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CB594">
      <w:pPr>
        <w:autoSpaceDE w:val="0"/>
        <w:autoSpaceDN w:val="0"/>
        <w:adjustRightInd w:val="0"/>
        <w:snapToGrid w:val="0"/>
        <w:spacing w:line="360" w:lineRule="auto"/>
        <w:jc w:val="left"/>
        <w:rPr>
          <w:rFonts w:hint="eastAsia" w:ascii="宋体" w:hAnsi="宋体" w:cs="宋体"/>
          <w:b/>
          <w:bCs/>
          <w:color w:val="auto"/>
          <w:sz w:val="30"/>
          <w:szCs w:val="30"/>
          <w:lang w:val="zh-CN"/>
        </w:rPr>
      </w:pPr>
      <w:bookmarkStart w:id="0" w:name="_Toc21955"/>
      <w:bookmarkStart w:id="1" w:name="_Toc495908398"/>
      <w:bookmarkStart w:id="2" w:name="_Toc268"/>
      <w:bookmarkStart w:id="3" w:name="_Toc519156735"/>
      <w:r>
        <w:rPr>
          <w:rFonts w:hint="eastAsia" w:ascii="宋体" w:hAnsi="宋体" w:cs="宋体"/>
          <w:b/>
          <w:bCs/>
          <w:color w:val="auto"/>
          <w:sz w:val="30"/>
          <w:szCs w:val="30"/>
          <w:lang w:val="zh-CN"/>
        </w:rPr>
        <w:t>政府采购项目</w:t>
      </w:r>
    </w:p>
    <w:p w14:paraId="1BC95212">
      <w:pPr>
        <w:tabs>
          <w:tab w:val="left" w:pos="4620"/>
          <w:tab w:val="left" w:pos="5145"/>
        </w:tabs>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HRC-ZBDL-2025-00586.1B1</w:t>
      </w:r>
    </w:p>
    <w:p w14:paraId="0C0D0DB9">
      <w:pPr>
        <w:rPr>
          <w:rFonts w:hint="eastAsia" w:ascii="宋体" w:hAnsi="宋体" w:eastAsia="宋体" w:cs="宋体"/>
          <w:b/>
          <w:bCs/>
          <w:color w:val="auto"/>
          <w:sz w:val="52"/>
          <w:szCs w:val="52"/>
          <w:highlight w:val="none"/>
          <w:u w:val="none"/>
          <w:lang w:val="en-US" w:eastAsia="zh-CN"/>
        </w:rPr>
      </w:pPr>
    </w:p>
    <w:p w14:paraId="4494B6D0">
      <w:pPr>
        <w:rPr>
          <w:rFonts w:hint="eastAsia" w:ascii="宋体" w:hAnsi="宋体" w:eastAsia="宋体" w:cs="宋体"/>
          <w:b/>
          <w:bCs/>
          <w:color w:val="auto"/>
          <w:sz w:val="52"/>
          <w:szCs w:val="52"/>
          <w:highlight w:val="none"/>
          <w:u w:val="none"/>
          <w:lang w:val="en-US" w:eastAsia="zh-CN"/>
        </w:rPr>
      </w:pPr>
    </w:p>
    <w:p w14:paraId="54BF6E3E">
      <w:pPr>
        <w:pStyle w:val="10"/>
        <w:jc w:val="center"/>
        <w:rPr>
          <w:rFonts w:hint="eastAsia" w:ascii="宋体" w:hAnsi="宋体" w:eastAsia="宋体" w:cs="宋体"/>
          <w:color w:val="auto"/>
          <w:sz w:val="28"/>
          <w:szCs w:val="28"/>
          <w:highlight w:val="none"/>
        </w:rPr>
      </w:pPr>
      <w:r>
        <w:rPr>
          <w:rFonts w:hint="eastAsia" w:ascii="宋体" w:hAnsi="宋体" w:cs="宋体"/>
          <w:b/>
          <w:bCs/>
          <w:color w:val="auto"/>
          <w:sz w:val="48"/>
          <w:szCs w:val="48"/>
          <w:highlight w:val="none"/>
          <w:u w:val="none"/>
          <w:lang w:val="en-US" w:eastAsia="zh-CN"/>
        </w:rPr>
        <w:t>后库周界防护升级（安防系统替代完善）项目(二次)</w:t>
      </w:r>
    </w:p>
    <w:p w14:paraId="7779DC09">
      <w:pPr>
        <w:rPr>
          <w:rFonts w:hint="eastAsia" w:ascii="宋体" w:hAnsi="宋体" w:eastAsia="宋体" w:cs="宋体"/>
          <w:color w:val="auto"/>
          <w:sz w:val="28"/>
          <w:szCs w:val="28"/>
          <w:highlight w:val="none"/>
        </w:rPr>
      </w:pPr>
    </w:p>
    <w:p w14:paraId="41F7D3B3">
      <w:pPr>
        <w:pStyle w:val="44"/>
        <w:rPr>
          <w:rFonts w:hint="eastAsia"/>
          <w:color w:val="auto"/>
        </w:rPr>
      </w:pPr>
    </w:p>
    <w:p w14:paraId="5A80769B">
      <w:pPr>
        <w:rPr>
          <w:rFonts w:hint="eastAsia" w:ascii="宋体" w:hAnsi="宋体" w:eastAsia="宋体" w:cs="宋体"/>
          <w:color w:val="auto"/>
          <w:sz w:val="22"/>
          <w:szCs w:val="28"/>
          <w:highlight w:val="none"/>
        </w:rPr>
      </w:pPr>
    </w:p>
    <w:p w14:paraId="0E9811A5">
      <w:pPr>
        <w:rPr>
          <w:rFonts w:hint="eastAsia" w:ascii="宋体" w:hAnsi="宋体" w:eastAsia="宋体" w:cs="宋体"/>
          <w:color w:val="auto"/>
          <w:sz w:val="22"/>
          <w:szCs w:val="28"/>
          <w:highlight w:val="none"/>
        </w:rPr>
      </w:pPr>
    </w:p>
    <w:p w14:paraId="039F803E">
      <w:pPr>
        <w:rPr>
          <w:rFonts w:hint="eastAsia"/>
          <w:color w:val="auto"/>
        </w:rPr>
      </w:pPr>
    </w:p>
    <w:p w14:paraId="3F438949">
      <w:pPr>
        <w:tabs>
          <w:tab w:val="left" w:pos="5145"/>
        </w:tabs>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35242F9B">
      <w:pPr>
        <w:tabs>
          <w:tab w:val="left" w:pos="5145"/>
        </w:tabs>
        <w:spacing w:line="360" w:lineRule="auto"/>
        <w:jc w:val="center"/>
        <w:rPr>
          <w:rFonts w:hint="eastAsia" w:ascii="宋体" w:hAnsi="宋体" w:eastAsia="宋体" w:cs="宋体"/>
          <w:color w:val="auto"/>
          <w:sz w:val="28"/>
          <w:szCs w:val="28"/>
          <w:highlight w:val="none"/>
        </w:rPr>
      </w:pPr>
    </w:p>
    <w:p w14:paraId="6D2F5AE7">
      <w:pPr>
        <w:rPr>
          <w:rFonts w:hint="eastAsia"/>
          <w:color w:val="auto"/>
        </w:rPr>
      </w:pPr>
    </w:p>
    <w:p w14:paraId="5A1EB6FA">
      <w:pPr>
        <w:pStyle w:val="44"/>
        <w:rPr>
          <w:rFonts w:hint="eastAsia"/>
          <w:color w:val="auto"/>
        </w:rPr>
      </w:pPr>
    </w:p>
    <w:p w14:paraId="686583DF">
      <w:pPr>
        <w:pStyle w:val="44"/>
        <w:rPr>
          <w:rFonts w:hint="eastAsia"/>
          <w:color w:val="auto"/>
        </w:rPr>
      </w:pPr>
    </w:p>
    <w:p w14:paraId="45A7A698">
      <w:pPr>
        <w:tabs>
          <w:tab w:val="left" w:pos="5145"/>
        </w:tabs>
        <w:spacing w:line="360" w:lineRule="auto"/>
        <w:jc w:val="center"/>
        <w:rPr>
          <w:rFonts w:hint="eastAsia" w:ascii="宋体" w:hAnsi="宋体" w:eastAsia="宋体" w:cs="宋体"/>
          <w:b/>
          <w:color w:val="auto"/>
          <w:sz w:val="32"/>
          <w:szCs w:val="32"/>
          <w:highlight w:val="none"/>
        </w:rPr>
      </w:pPr>
    </w:p>
    <w:p w14:paraId="3C1355AD">
      <w:pPr>
        <w:tabs>
          <w:tab w:val="left" w:pos="5145"/>
        </w:tabs>
        <w:spacing w:line="360" w:lineRule="auto"/>
        <w:jc w:val="center"/>
        <w:rPr>
          <w:rFonts w:hint="eastAsia" w:ascii="宋体" w:hAnsi="宋体" w:eastAsia="宋体" w:cs="宋体"/>
          <w:b/>
          <w:color w:val="auto"/>
          <w:sz w:val="32"/>
          <w:szCs w:val="32"/>
          <w:highlight w:val="none"/>
        </w:rPr>
      </w:pPr>
    </w:p>
    <w:p w14:paraId="739F7265">
      <w:pPr>
        <w:pStyle w:val="10"/>
        <w:rPr>
          <w:rFonts w:hint="eastAsia" w:ascii="宋体" w:hAnsi="宋体" w:eastAsia="宋体" w:cs="宋体"/>
          <w:color w:val="auto"/>
          <w:sz w:val="28"/>
          <w:szCs w:val="28"/>
          <w:highlight w:val="none"/>
        </w:rPr>
      </w:pPr>
    </w:p>
    <w:p w14:paraId="48E5448F">
      <w:pPr>
        <w:rPr>
          <w:rFonts w:hint="eastAsia"/>
        </w:rPr>
      </w:pPr>
    </w:p>
    <w:p w14:paraId="7E93F301">
      <w:pPr>
        <w:tabs>
          <w:tab w:val="left" w:pos="5670"/>
        </w:tabs>
        <w:autoSpaceDE w:val="0"/>
        <w:autoSpaceDN w:val="0"/>
        <w:adjustRightInd w:val="0"/>
        <w:snapToGrid w:val="0"/>
        <w:spacing w:line="480" w:lineRule="auto"/>
        <w:ind w:firstLine="1262" w:firstLineChars="419"/>
        <w:rPr>
          <w:rFonts w:hint="eastAsia" w:ascii="宋体" w:hAnsi="宋体" w:cs="宋体"/>
          <w:b/>
          <w:bCs/>
          <w:color w:val="auto"/>
          <w:sz w:val="32"/>
          <w:szCs w:val="32"/>
          <w:u w:val="single"/>
          <w:lang w:val="zh-CN"/>
        </w:rPr>
      </w:pPr>
      <w:r>
        <w:rPr>
          <w:rFonts w:hint="eastAsia" w:ascii="宋体" w:hAnsi="宋体" w:cs="宋体"/>
          <w:b/>
          <w:bCs/>
          <w:color w:val="auto"/>
          <w:sz w:val="30"/>
          <w:szCs w:val="30"/>
        </w:rPr>
        <w:t>采购代理机构</w:t>
      </w:r>
      <w:r>
        <w:rPr>
          <w:rFonts w:hint="eastAsia" w:ascii="宋体" w:hAnsi="宋体" w:cs="宋体"/>
          <w:b/>
          <w:bCs/>
          <w:color w:val="auto"/>
          <w:sz w:val="32"/>
          <w:szCs w:val="32"/>
          <w:lang w:val="zh-CN"/>
        </w:rPr>
        <w:t>：</w:t>
      </w:r>
      <w:r>
        <w:rPr>
          <w:rFonts w:hint="eastAsia" w:ascii="宋体" w:hAnsi="宋体" w:cs="宋体"/>
          <w:b/>
          <w:bCs/>
          <w:color w:val="auto"/>
          <w:sz w:val="32"/>
          <w:szCs w:val="32"/>
          <w:u w:val="single"/>
          <w:lang w:val="zh-CN"/>
        </w:rPr>
        <w:t>华睿诚项目管理有限公司</w:t>
      </w:r>
    </w:p>
    <w:p w14:paraId="5B48DA2B">
      <w:pPr>
        <w:pStyle w:val="19"/>
        <w:ind w:firstLine="1285" w:firstLineChars="400"/>
        <w:rPr>
          <w:rFonts w:hint="default" w:eastAsia="宋体"/>
          <w:lang w:val="en-US" w:eastAsia="zh-CN"/>
        </w:rPr>
      </w:pPr>
      <w:r>
        <w:rPr>
          <w:rFonts w:hint="eastAsia" w:ascii="宋体" w:hAnsi="宋体" w:cs="宋体"/>
          <w:b/>
          <w:bCs/>
          <w:color w:val="auto"/>
          <w:sz w:val="32"/>
          <w:szCs w:val="32"/>
          <w:u w:val="none"/>
          <w:lang w:val="en-US" w:eastAsia="zh-CN"/>
        </w:rPr>
        <w:t>日       期</w:t>
      </w:r>
      <w:r>
        <w:rPr>
          <w:rFonts w:hint="eastAsia" w:ascii="宋体" w:hAnsi="宋体" w:cs="宋体"/>
          <w:b/>
          <w:bCs/>
          <w:color w:val="auto"/>
          <w:sz w:val="32"/>
          <w:szCs w:val="32"/>
          <w:lang w:val="zh-CN"/>
        </w:rPr>
        <w:t>：</w:t>
      </w:r>
      <w:r>
        <w:rPr>
          <w:rFonts w:hint="eastAsia" w:ascii="宋体" w:hAnsi="宋体" w:cs="宋体"/>
          <w:b/>
          <w:bCs/>
          <w:color w:val="auto"/>
          <w:sz w:val="32"/>
          <w:szCs w:val="32"/>
          <w:u w:val="single"/>
          <w:lang w:val="en-US" w:eastAsia="zh-CN"/>
        </w:rPr>
        <w:t xml:space="preserve">    2025年5月       </w:t>
      </w:r>
    </w:p>
    <w:p w14:paraId="5F740E57">
      <w:pPr>
        <w:tabs>
          <w:tab w:val="left" w:pos="2530"/>
          <w:tab w:val="center" w:pos="4513"/>
        </w:tabs>
        <w:snapToGrid w:val="0"/>
        <w:spacing w:line="360" w:lineRule="auto"/>
        <w:jc w:val="center"/>
        <w:rPr>
          <w:rFonts w:hint="eastAsia" w:ascii="宋体" w:hAnsi="宋体" w:eastAsia="宋体" w:cs="宋体"/>
          <w:b/>
          <w:bCs/>
          <w:color w:val="auto"/>
          <w:sz w:val="32"/>
          <w:szCs w:val="32"/>
          <w:highlight w:val="none"/>
        </w:rPr>
        <w:sectPr>
          <w:headerReference r:id="rId6" w:type="first"/>
          <w:headerReference r:id="rId5" w:type="default"/>
          <w:pgSz w:w="11906" w:h="16838"/>
          <w:pgMar w:top="1440" w:right="1800" w:bottom="1440" w:left="1800" w:header="850" w:footer="992" w:gutter="0"/>
          <w:pgNumType w:fmt="decimal" w:start="1"/>
          <w:cols w:space="0" w:num="1"/>
          <w:titlePg/>
          <w:docGrid w:type="lines" w:linePitch="312" w:charSpace="0"/>
        </w:sectPr>
      </w:pPr>
    </w:p>
    <w:p w14:paraId="44197E57">
      <w:pPr>
        <w:tabs>
          <w:tab w:val="left" w:pos="2530"/>
          <w:tab w:val="center" w:pos="4513"/>
        </w:tabs>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174F1326">
      <w:pPr>
        <w:pStyle w:val="19"/>
        <w:tabs>
          <w:tab w:val="right" w:leader="dot" w:pos="8902"/>
        </w:tabs>
        <w:rPr>
          <w:sz w:val="28"/>
          <w:szCs w:val="28"/>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"1-2"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_Toc8973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lang w:val="en-US" w:eastAsia="zh-CN" w:bidi="ar-SA"/>
        </w:rPr>
        <w:t>第一章  竞争性磋商公告</w:t>
      </w:r>
      <w:r>
        <w:rPr>
          <w:sz w:val="28"/>
          <w:szCs w:val="28"/>
        </w:rPr>
        <w:tab/>
      </w:r>
      <w:r>
        <w:rPr>
          <w:sz w:val="28"/>
          <w:szCs w:val="28"/>
        </w:rPr>
        <w:fldChar w:fldCharType="begin"/>
      </w:r>
      <w:r>
        <w:rPr>
          <w:sz w:val="28"/>
          <w:szCs w:val="28"/>
        </w:rPr>
        <w:instrText xml:space="preserve"> PAGEREF _Toc8973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rPr>
        <w:fldChar w:fldCharType="end"/>
      </w:r>
    </w:p>
    <w:p w14:paraId="458BB3FB">
      <w:pPr>
        <w:pStyle w:val="19"/>
        <w:tabs>
          <w:tab w:val="right" w:leader="dot" w:pos="8902"/>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_Toc2912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lang w:val="en-US" w:eastAsia="zh-CN" w:bidi="ar-SA"/>
        </w:rPr>
        <w:t>第二章  磋商供应商须知</w:t>
      </w:r>
      <w:r>
        <w:rPr>
          <w:sz w:val="28"/>
          <w:szCs w:val="28"/>
        </w:rPr>
        <w:tab/>
      </w:r>
      <w:r>
        <w:rPr>
          <w:sz w:val="28"/>
          <w:szCs w:val="28"/>
        </w:rPr>
        <w:fldChar w:fldCharType="begin"/>
      </w:r>
      <w:r>
        <w:rPr>
          <w:sz w:val="28"/>
          <w:szCs w:val="28"/>
        </w:rPr>
        <w:instrText xml:space="preserve"> PAGEREF _Toc2912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auto"/>
          <w:sz w:val="28"/>
          <w:szCs w:val="28"/>
          <w:highlight w:val="none"/>
        </w:rPr>
        <w:fldChar w:fldCharType="end"/>
      </w:r>
    </w:p>
    <w:p w14:paraId="20B8BD74">
      <w:pPr>
        <w:pStyle w:val="19"/>
        <w:tabs>
          <w:tab w:val="right" w:leader="dot" w:pos="8902"/>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_Toc5074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lang w:val="en-US" w:eastAsia="zh-CN" w:bidi="ar-SA"/>
        </w:rPr>
        <w:t xml:space="preserve">第三章 </w:t>
      </w:r>
      <w:r>
        <w:rPr>
          <w:rFonts w:hint="eastAsia" w:ascii="宋体" w:hAnsi="宋体" w:cs="宋体"/>
          <w:bCs/>
          <w:kern w:val="2"/>
          <w:sz w:val="28"/>
          <w:szCs w:val="28"/>
          <w:lang w:val="en-US" w:eastAsia="zh-CN" w:bidi="ar-SA"/>
        </w:rPr>
        <w:t xml:space="preserve"> </w:t>
      </w:r>
      <w:r>
        <w:rPr>
          <w:rFonts w:hint="eastAsia" w:ascii="宋体" w:hAnsi="宋体" w:eastAsia="宋体" w:cs="宋体"/>
          <w:bCs/>
          <w:kern w:val="2"/>
          <w:sz w:val="28"/>
          <w:szCs w:val="28"/>
          <w:highlight w:val="none"/>
          <w:lang w:val="en-US" w:eastAsia="zh-CN" w:bidi="ar-SA"/>
        </w:rPr>
        <w:t>磋商要求及说明</w:t>
      </w:r>
      <w:r>
        <w:rPr>
          <w:sz w:val="28"/>
          <w:szCs w:val="28"/>
        </w:rPr>
        <w:tab/>
      </w:r>
      <w:r>
        <w:rPr>
          <w:sz w:val="28"/>
          <w:szCs w:val="28"/>
        </w:rPr>
        <w:fldChar w:fldCharType="begin"/>
      </w:r>
      <w:r>
        <w:rPr>
          <w:sz w:val="28"/>
          <w:szCs w:val="28"/>
        </w:rPr>
        <w:instrText xml:space="preserve"> PAGEREF _Toc5074 \h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color w:val="auto"/>
          <w:sz w:val="28"/>
          <w:szCs w:val="28"/>
          <w:highlight w:val="none"/>
        </w:rPr>
        <w:fldChar w:fldCharType="end"/>
      </w:r>
    </w:p>
    <w:p w14:paraId="59E30A69">
      <w:pPr>
        <w:pStyle w:val="19"/>
        <w:tabs>
          <w:tab w:val="right" w:leader="dot" w:pos="8902"/>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_Toc24593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lang w:val="en-US" w:eastAsia="zh-CN" w:bidi="ar-SA"/>
        </w:rPr>
        <w:t>第四章  商务及合同主要条款</w:t>
      </w:r>
      <w:r>
        <w:rPr>
          <w:sz w:val="28"/>
          <w:szCs w:val="28"/>
        </w:rPr>
        <w:tab/>
      </w:r>
      <w:r>
        <w:rPr>
          <w:sz w:val="28"/>
          <w:szCs w:val="28"/>
        </w:rPr>
        <w:fldChar w:fldCharType="begin"/>
      </w:r>
      <w:r>
        <w:rPr>
          <w:sz w:val="28"/>
          <w:szCs w:val="28"/>
        </w:rPr>
        <w:instrText xml:space="preserve"> PAGEREF _Toc24593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color w:val="auto"/>
          <w:sz w:val="28"/>
          <w:szCs w:val="28"/>
          <w:highlight w:val="none"/>
        </w:rPr>
        <w:fldChar w:fldCharType="end"/>
      </w:r>
    </w:p>
    <w:p w14:paraId="6110A09B">
      <w:pPr>
        <w:pStyle w:val="19"/>
        <w:tabs>
          <w:tab w:val="right" w:leader="dot" w:pos="8902"/>
        </w:tabs>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_Toc11390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lang w:val="en-US" w:eastAsia="zh-CN" w:bidi="ar-SA"/>
        </w:rPr>
        <w:t>第五章  评审办法</w:t>
      </w:r>
      <w:r>
        <w:rPr>
          <w:sz w:val="28"/>
          <w:szCs w:val="28"/>
        </w:rPr>
        <w:tab/>
      </w:r>
      <w:r>
        <w:rPr>
          <w:sz w:val="28"/>
          <w:szCs w:val="28"/>
        </w:rPr>
        <w:fldChar w:fldCharType="begin"/>
      </w:r>
      <w:r>
        <w:rPr>
          <w:sz w:val="28"/>
          <w:szCs w:val="28"/>
        </w:rPr>
        <w:instrText xml:space="preserve"> PAGEREF _Toc11390 \h </w:instrText>
      </w:r>
      <w:r>
        <w:rPr>
          <w:sz w:val="28"/>
          <w:szCs w:val="28"/>
        </w:rPr>
        <w:fldChar w:fldCharType="separate"/>
      </w:r>
      <w:r>
        <w:rPr>
          <w:sz w:val="28"/>
          <w:szCs w:val="28"/>
        </w:rPr>
        <w:t>36</w:t>
      </w:r>
      <w:r>
        <w:rPr>
          <w:sz w:val="28"/>
          <w:szCs w:val="28"/>
        </w:rPr>
        <w:fldChar w:fldCharType="end"/>
      </w:r>
      <w:r>
        <w:rPr>
          <w:rFonts w:hint="eastAsia" w:ascii="宋体" w:hAnsi="宋体" w:eastAsia="宋体" w:cs="宋体"/>
          <w:color w:val="auto"/>
          <w:sz w:val="28"/>
          <w:szCs w:val="28"/>
          <w:highlight w:val="none"/>
        </w:rPr>
        <w:fldChar w:fldCharType="end"/>
      </w:r>
    </w:p>
    <w:p w14:paraId="70E83A71">
      <w:pPr>
        <w:pStyle w:val="19"/>
        <w:tabs>
          <w:tab w:val="right" w:leader="dot" w:pos="8902"/>
        </w:tabs>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_Toc7403 </w:instrText>
      </w:r>
      <w:r>
        <w:rPr>
          <w:rFonts w:hint="eastAsia" w:ascii="宋体" w:hAnsi="宋体" w:eastAsia="宋体" w:cs="宋体"/>
          <w:sz w:val="28"/>
          <w:szCs w:val="28"/>
          <w:highlight w:val="none"/>
        </w:rPr>
        <w:fldChar w:fldCharType="separate"/>
      </w:r>
      <w:r>
        <w:rPr>
          <w:rFonts w:hint="eastAsia" w:ascii="宋体" w:hAnsi="宋体" w:eastAsia="宋体" w:cs="宋体"/>
          <w:bCs/>
          <w:kern w:val="2"/>
          <w:sz w:val="28"/>
          <w:szCs w:val="28"/>
          <w:highlight w:val="none"/>
          <w:lang w:val="en-US" w:eastAsia="zh-CN" w:bidi="ar-SA"/>
        </w:rPr>
        <w:t>第六章  竞争性磋商响应文件格式</w:t>
      </w:r>
      <w:r>
        <w:rPr>
          <w:sz w:val="28"/>
          <w:szCs w:val="28"/>
        </w:rPr>
        <w:tab/>
      </w:r>
      <w:r>
        <w:rPr>
          <w:sz w:val="28"/>
          <w:szCs w:val="28"/>
        </w:rPr>
        <w:fldChar w:fldCharType="begin"/>
      </w:r>
      <w:r>
        <w:rPr>
          <w:sz w:val="28"/>
          <w:szCs w:val="28"/>
        </w:rPr>
        <w:instrText xml:space="preserve"> PAGEREF _Toc7403 \h </w:instrText>
      </w:r>
      <w:r>
        <w:rPr>
          <w:sz w:val="28"/>
          <w:szCs w:val="28"/>
        </w:rPr>
        <w:fldChar w:fldCharType="separate"/>
      </w:r>
      <w:r>
        <w:rPr>
          <w:sz w:val="28"/>
          <w:szCs w:val="28"/>
        </w:rPr>
        <w:t>46</w:t>
      </w:r>
      <w:r>
        <w:rPr>
          <w:sz w:val="28"/>
          <w:szCs w:val="28"/>
        </w:rPr>
        <w:fldChar w:fldCharType="end"/>
      </w:r>
      <w:r>
        <w:rPr>
          <w:rFonts w:hint="eastAsia" w:ascii="宋体" w:hAnsi="宋体" w:eastAsia="宋体" w:cs="宋体"/>
          <w:color w:val="auto"/>
          <w:sz w:val="28"/>
          <w:szCs w:val="28"/>
          <w:highlight w:val="none"/>
        </w:rPr>
        <w:fldChar w:fldCharType="end"/>
      </w:r>
    </w:p>
    <w:p w14:paraId="6F0EE6DB">
      <w:pPr>
        <w:pStyle w:val="22"/>
        <w:keepNext w:val="0"/>
        <w:keepLines w:val="0"/>
        <w:pageBreakBefore w:val="0"/>
        <w:widowControl w:val="0"/>
        <w:tabs>
          <w:tab w:val="right" w:leader="hyphen" w:pos="9016"/>
        </w:tabs>
        <w:kinsoku/>
        <w:wordWrap/>
        <w:overflowPunct/>
        <w:topLinePunct w:val="0"/>
        <w:autoSpaceDE/>
        <w:autoSpaceDN/>
        <w:bidi w:val="0"/>
        <w:adjustRightInd/>
        <w:snapToGrid/>
        <w:spacing w:line="480" w:lineRule="auto"/>
        <w:ind w:left="0" w:left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418156BD">
      <w:pPr>
        <w:rPr>
          <w:rFonts w:hint="eastAsia" w:ascii="宋体" w:hAnsi="宋体" w:eastAsia="宋体" w:cs="宋体"/>
          <w:color w:val="auto"/>
          <w:sz w:val="22"/>
          <w:szCs w:val="28"/>
          <w:highlight w:val="none"/>
        </w:rPr>
      </w:pPr>
    </w:p>
    <w:p w14:paraId="6866A8B8">
      <w:pPr>
        <w:tabs>
          <w:tab w:val="center" w:pos="4451"/>
        </w:tabs>
        <w:jc w:val="left"/>
        <w:rPr>
          <w:rFonts w:hint="eastAsia" w:ascii="宋体" w:hAnsi="宋体" w:eastAsia="宋体" w:cs="宋体"/>
          <w:color w:val="auto"/>
          <w:sz w:val="22"/>
          <w:szCs w:val="28"/>
          <w:highlight w:val="none"/>
        </w:rPr>
        <w:sectPr>
          <w:footerReference r:id="rId8" w:type="first"/>
          <w:footerReference r:id="rId7" w:type="default"/>
          <w:pgSz w:w="11906" w:h="16838"/>
          <w:pgMar w:top="1440" w:right="1800" w:bottom="1440" w:left="1800" w:header="850" w:footer="992" w:gutter="0"/>
          <w:pgNumType w:fmt="decimal" w:start="1"/>
          <w:cols w:space="0" w:num="1"/>
          <w:docGrid w:type="lines" w:linePitch="312" w:charSpace="0"/>
        </w:sectPr>
      </w:pPr>
      <w:r>
        <w:rPr>
          <w:rFonts w:hint="eastAsia" w:ascii="宋体" w:hAnsi="宋体" w:eastAsia="宋体" w:cs="宋体"/>
          <w:color w:val="auto"/>
          <w:sz w:val="22"/>
          <w:szCs w:val="28"/>
          <w:highlight w:val="none"/>
        </w:rPr>
        <w:tab/>
      </w:r>
    </w:p>
    <w:bookmarkEnd w:id="0"/>
    <w:bookmarkEnd w:id="1"/>
    <w:bookmarkEnd w:id="2"/>
    <w:bookmarkEnd w:id="3"/>
    <w:p w14:paraId="73C8D306">
      <w:pPr>
        <w:jc w:val="center"/>
        <w:outlineLvl w:val="0"/>
        <w:rPr>
          <w:rFonts w:hint="eastAsia" w:ascii="宋体" w:hAnsi="宋体" w:eastAsia="宋体" w:cs="宋体"/>
          <w:b/>
          <w:bCs/>
          <w:color w:val="auto"/>
          <w:kern w:val="2"/>
          <w:sz w:val="36"/>
          <w:szCs w:val="36"/>
          <w:highlight w:val="none"/>
          <w:lang w:val="en-US" w:eastAsia="zh-CN" w:bidi="ar-SA"/>
        </w:rPr>
      </w:pPr>
      <w:bookmarkStart w:id="4" w:name="_Toc8973"/>
      <w:bookmarkStart w:id="5" w:name="_Toc8474"/>
      <w:bookmarkStart w:id="6" w:name="_Toc495908399"/>
      <w:bookmarkStart w:id="7" w:name="_Toc26933"/>
      <w:bookmarkStart w:id="8" w:name="_Toc28842"/>
      <w:bookmarkStart w:id="9" w:name="_Toc2990"/>
      <w:bookmarkStart w:id="10" w:name="_Toc519156736"/>
      <w:r>
        <w:rPr>
          <w:rFonts w:hint="eastAsia" w:ascii="宋体" w:hAnsi="宋体" w:eastAsia="宋体" w:cs="宋体"/>
          <w:b/>
          <w:bCs/>
          <w:color w:val="auto"/>
          <w:kern w:val="2"/>
          <w:sz w:val="36"/>
          <w:szCs w:val="36"/>
          <w:highlight w:val="none"/>
          <w:lang w:val="en-US" w:eastAsia="zh-CN" w:bidi="ar-SA"/>
        </w:rPr>
        <w:t>第一章  竞争性磋商公告</w:t>
      </w:r>
      <w:bookmarkEnd w:id="4"/>
    </w:p>
    <w:p w14:paraId="5A58DF7E">
      <w:pPr>
        <w:pStyle w:val="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val="0"/>
        <w:snapToGrid/>
        <w:spacing w:before="150" w:beforeAutospacing="0" w:after="0" w:afterAutospacing="0" w:line="360" w:lineRule="auto"/>
        <w:ind w:left="0" w:right="0"/>
        <w:jc w:val="left"/>
        <w:textAlignment w:val="baseline"/>
        <w:outlineLvl w:val="1"/>
        <w:rPr>
          <w:rStyle w:val="31"/>
          <w:rFonts w:hint="eastAsia" w:ascii="宋体" w:hAnsi="宋体" w:eastAsia="宋体" w:cs="宋体"/>
          <w:b/>
          <w:bCs/>
          <w:i w:val="0"/>
          <w:iCs w:val="0"/>
          <w:caps w:val="0"/>
          <w:color w:val="auto"/>
          <w:spacing w:val="0"/>
          <w:sz w:val="24"/>
          <w:szCs w:val="24"/>
        </w:rPr>
      </w:pPr>
      <w:bookmarkStart w:id="11" w:name="_Toc32413"/>
      <w:r>
        <w:rPr>
          <w:rStyle w:val="31"/>
          <w:rFonts w:hint="eastAsia" w:ascii="宋体" w:hAnsi="宋体" w:eastAsia="宋体" w:cs="宋体"/>
          <w:b/>
          <w:bCs/>
          <w:i w:val="0"/>
          <w:iCs w:val="0"/>
          <w:caps w:val="0"/>
          <w:color w:val="auto"/>
          <w:spacing w:val="0"/>
          <w:sz w:val="24"/>
          <w:szCs w:val="24"/>
        </w:rPr>
        <w:t>项目概况</w:t>
      </w:r>
      <w:bookmarkEnd w:id="11"/>
    </w:p>
    <w:p w14:paraId="468656E9">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snapToGrid/>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后库周界防护升级（安防系统替代完善）项目(二次)的潜在供应商应在陕西省西安市雁塔区曲江新区雁翔路3269号旺座曲江E座29层2901号获取采购文件，并于2025年06月11日09时30分（北京时间）前递交响应文件。</w:t>
      </w:r>
    </w:p>
    <w:p w14:paraId="0C2076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2" w:name="_Toc30963"/>
      <w:r>
        <w:rPr>
          <w:rFonts w:hint="eastAsia" w:ascii="宋体" w:hAnsi="宋体" w:eastAsia="宋体" w:cs="宋体"/>
          <w:b/>
          <w:bCs/>
          <w:i w:val="0"/>
          <w:iCs w:val="0"/>
          <w:caps w:val="0"/>
          <w:color w:val="auto"/>
          <w:spacing w:val="0"/>
          <w:sz w:val="24"/>
          <w:szCs w:val="24"/>
        </w:rPr>
        <w:t>一、项目基本情况</w:t>
      </w:r>
      <w:bookmarkEnd w:id="12"/>
    </w:p>
    <w:p w14:paraId="3215B8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项目编号：</w:t>
      </w:r>
      <w:r>
        <w:rPr>
          <w:rFonts w:hint="eastAsia" w:ascii="宋体" w:hAnsi="宋体" w:eastAsia="宋体" w:cs="宋体"/>
          <w:i w:val="0"/>
          <w:iCs w:val="0"/>
          <w:caps w:val="0"/>
          <w:color w:val="auto"/>
          <w:spacing w:val="0"/>
          <w:sz w:val="24"/>
          <w:szCs w:val="24"/>
          <w:lang w:eastAsia="zh-CN"/>
        </w:rPr>
        <w:t>HRC-ZBDL-2025-00586.1B1</w:t>
      </w:r>
    </w:p>
    <w:p w14:paraId="5A60193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项目名称：后库周界防护升级（安防系统替代完善）项目(二次)</w:t>
      </w:r>
    </w:p>
    <w:p w14:paraId="2F12664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采购方式：竞争性磋商</w:t>
      </w:r>
    </w:p>
    <w:p w14:paraId="4B13864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预算金额：130000</w:t>
      </w:r>
      <w:r>
        <w:rPr>
          <w:rFonts w:hint="eastAsia" w:ascii="宋体" w:hAnsi="宋体" w:eastAsia="宋体" w:cs="宋体"/>
          <w:i w:val="0"/>
          <w:iCs w:val="0"/>
          <w:caps w:val="0"/>
          <w:color w:val="auto"/>
          <w:spacing w:val="0"/>
          <w:sz w:val="24"/>
          <w:szCs w:val="24"/>
          <w:lang w:val="en-US" w:eastAsia="zh-CN"/>
        </w:rPr>
        <w:t>.00</w:t>
      </w:r>
      <w:r>
        <w:rPr>
          <w:rFonts w:hint="eastAsia" w:ascii="宋体" w:hAnsi="宋体" w:eastAsia="宋体" w:cs="宋体"/>
          <w:i w:val="0"/>
          <w:iCs w:val="0"/>
          <w:caps w:val="0"/>
          <w:color w:val="auto"/>
          <w:spacing w:val="0"/>
          <w:sz w:val="24"/>
          <w:szCs w:val="24"/>
        </w:rPr>
        <w:t>元</w:t>
      </w:r>
    </w:p>
    <w:p w14:paraId="228494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采购需求：</w:t>
      </w:r>
    </w:p>
    <w:p w14:paraId="3EDA06A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合同包1(</w:t>
      </w:r>
      <w:r>
        <w:rPr>
          <w:rFonts w:hint="eastAsia" w:cs="宋体"/>
          <w:i w:val="0"/>
          <w:iCs w:val="0"/>
          <w:caps w:val="0"/>
          <w:color w:val="auto"/>
          <w:spacing w:val="0"/>
          <w:sz w:val="24"/>
          <w:szCs w:val="24"/>
          <w:lang w:val="en-US" w:eastAsia="zh-CN"/>
        </w:rPr>
        <w:t>后库周界防护升级（安防系统替代完善）项目</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eastAsia="zh-CN"/>
        </w:rPr>
        <w:t>：</w:t>
      </w:r>
    </w:p>
    <w:p w14:paraId="1A9CC27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合同包预算金额：130000</w:t>
      </w:r>
      <w:r>
        <w:rPr>
          <w:rFonts w:hint="eastAsia" w:ascii="宋体" w:hAnsi="宋体" w:eastAsia="宋体" w:cs="宋体"/>
          <w:i w:val="0"/>
          <w:iCs w:val="0"/>
          <w:caps w:val="0"/>
          <w:color w:val="auto"/>
          <w:spacing w:val="0"/>
          <w:sz w:val="24"/>
          <w:szCs w:val="24"/>
          <w:lang w:val="en-US" w:eastAsia="zh-CN"/>
        </w:rPr>
        <w:t>.00</w:t>
      </w:r>
      <w:r>
        <w:rPr>
          <w:rFonts w:hint="eastAsia" w:ascii="宋体" w:hAnsi="宋体" w:eastAsia="宋体" w:cs="宋体"/>
          <w:i w:val="0"/>
          <w:iCs w:val="0"/>
          <w:caps w:val="0"/>
          <w:color w:val="auto"/>
          <w:spacing w:val="0"/>
          <w:sz w:val="24"/>
          <w:szCs w:val="24"/>
        </w:rPr>
        <w:t>元</w:t>
      </w:r>
    </w:p>
    <w:p w14:paraId="58C62F0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合同包最高限价：130000</w:t>
      </w:r>
      <w:r>
        <w:rPr>
          <w:rFonts w:hint="eastAsia" w:ascii="宋体" w:hAnsi="宋体" w:eastAsia="宋体" w:cs="宋体"/>
          <w:i w:val="0"/>
          <w:iCs w:val="0"/>
          <w:caps w:val="0"/>
          <w:color w:val="auto"/>
          <w:spacing w:val="0"/>
          <w:sz w:val="24"/>
          <w:szCs w:val="24"/>
          <w:lang w:val="en-US" w:eastAsia="zh-CN"/>
        </w:rPr>
        <w:t>.00</w:t>
      </w:r>
      <w:r>
        <w:rPr>
          <w:rFonts w:hint="eastAsia" w:ascii="宋体" w:hAnsi="宋体" w:eastAsia="宋体" w:cs="宋体"/>
          <w:i w:val="0"/>
          <w:iCs w:val="0"/>
          <w:caps w:val="0"/>
          <w:color w:val="auto"/>
          <w:spacing w:val="0"/>
          <w:sz w:val="24"/>
          <w:szCs w:val="24"/>
        </w:rPr>
        <w:t>元</w:t>
      </w:r>
    </w:p>
    <w:tbl>
      <w:tblPr>
        <w:tblStyle w:val="28"/>
        <w:tblW w:w="99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9"/>
        <w:gridCol w:w="1371"/>
        <w:gridCol w:w="2177"/>
        <w:gridCol w:w="1252"/>
        <w:gridCol w:w="1508"/>
        <w:gridCol w:w="1406"/>
        <w:gridCol w:w="1441"/>
      </w:tblGrid>
      <w:tr w14:paraId="531353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0" w:hRule="atLeast"/>
          <w:tblHeader/>
          <w:jc w:val="center"/>
        </w:trPr>
        <w:tc>
          <w:tcPr>
            <w:tcW w:w="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53BF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6F8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F861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ABB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数量</w:t>
            </w:r>
          </w:p>
          <w:p w14:paraId="4C03F6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（单位）</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EC81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D15C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DD0B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0290F7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4" w:hRule="atLeast"/>
          <w:jc w:val="center"/>
        </w:trPr>
        <w:tc>
          <w:tcPr>
            <w:tcW w:w="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A794E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08B1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其他安装</w:t>
            </w:r>
          </w:p>
        </w:tc>
        <w:tc>
          <w:tcPr>
            <w:tcW w:w="2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90D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在原有周界防护上进行升级，加装周界电子围墙、围墙刀片滚笼和完善安防系统</w:t>
            </w:r>
            <w:r>
              <w:rPr>
                <w:rFonts w:ascii="微软雅黑" w:hAnsi="微软雅黑" w:eastAsia="微软雅黑" w:cs="微软雅黑"/>
                <w:i w:val="0"/>
                <w:iCs w:val="0"/>
                <w:caps w:val="0"/>
                <w:color w:val="333333"/>
                <w:spacing w:val="0"/>
                <w:sz w:val="21"/>
                <w:szCs w:val="21"/>
                <w:shd w:val="clear" w:fill="FFFFFF"/>
              </w:rPr>
              <w:t>。</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01D1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8BDB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4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21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rPr>
              <w:t>130000</w:t>
            </w:r>
            <w:r>
              <w:rPr>
                <w:rFonts w:hint="eastAsia" w:ascii="宋体" w:hAnsi="宋体" w:eastAsia="宋体" w:cs="宋体"/>
                <w:i w:val="0"/>
                <w:iCs w:val="0"/>
                <w:caps w:val="0"/>
                <w:color w:val="auto"/>
                <w:spacing w:val="0"/>
                <w:sz w:val="24"/>
                <w:szCs w:val="24"/>
                <w:lang w:val="en-US" w:eastAsia="zh-CN"/>
              </w:rPr>
              <w:t>.00</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AC9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rPr>
              <w:t>130000</w:t>
            </w:r>
            <w:r>
              <w:rPr>
                <w:rFonts w:hint="eastAsia" w:ascii="宋体" w:hAnsi="宋体" w:eastAsia="宋体" w:cs="宋体"/>
                <w:i w:val="0"/>
                <w:iCs w:val="0"/>
                <w:caps w:val="0"/>
                <w:color w:val="auto"/>
                <w:spacing w:val="0"/>
                <w:sz w:val="24"/>
                <w:szCs w:val="24"/>
                <w:lang w:val="en-US" w:eastAsia="zh-CN"/>
              </w:rPr>
              <w:t>.00</w:t>
            </w:r>
          </w:p>
        </w:tc>
      </w:tr>
    </w:tbl>
    <w:p w14:paraId="76AA5168">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本合同包不接受联合体投标</w:t>
      </w:r>
    </w:p>
    <w:p w14:paraId="365553DC">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合同履行期限：</w:t>
      </w:r>
      <w:r>
        <w:rPr>
          <w:rFonts w:hint="eastAsia"/>
          <w:highlight w:val="none"/>
        </w:rPr>
        <w:t>30个工作日（分时段累计）</w:t>
      </w:r>
    </w:p>
    <w:p w14:paraId="6B24450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3" w:name="_Toc22739"/>
      <w:r>
        <w:rPr>
          <w:rFonts w:hint="eastAsia" w:ascii="宋体" w:hAnsi="宋体" w:eastAsia="宋体" w:cs="宋体"/>
          <w:b/>
          <w:bCs/>
          <w:i w:val="0"/>
          <w:iCs w:val="0"/>
          <w:caps w:val="0"/>
          <w:color w:val="auto"/>
          <w:spacing w:val="0"/>
          <w:sz w:val="24"/>
          <w:szCs w:val="24"/>
        </w:rPr>
        <w:t>二、申请人的资格要求：</w:t>
      </w:r>
      <w:bookmarkEnd w:id="13"/>
    </w:p>
    <w:p w14:paraId="2B67744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1.满足《中华人民共和国政府釆购法》第二十二条规定;</w:t>
      </w:r>
    </w:p>
    <w:p w14:paraId="1BFF1C48">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2.落实政府采购政策需满足的资格要求：</w:t>
      </w:r>
    </w:p>
    <w:p w14:paraId="2B0011E4">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合同包1(</w:t>
      </w:r>
      <w:r>
        <w:rPr>
          <w:rFonts w:hint="eastAsia" w:cs="宋体"/>
          <w:i w:val="0"/>
          <w:iCs w:val="0"/>
          <w:caps w:val="0"/>
          <w:color w:val="auto"/>
          <w:spacing w:val="0"/>
          <w:sz w:val="24"/>
          <w:szCs w:val="24"/>
          <w:lang w:val="en-US" w:eastAsia="zh-CN"/>
        </w:rPr>
        <w:t>后库周界防护升级（安防系统替代完善）项目</w:t>
      </w:r>
      <w:r>
        <w:rPr>
          <w:rFonts w:hint="eastAsia" w:ascii="宋体" w:hAnsi="宋体" w:eastAsia="宋体" w:cs="宋体"/>
          <w:i w:val="0"/>
          <w:iCs w:val="0"/>
          <w:caps w:val="0"/>
          <w:color w:val="auto"/>
          <w:spacing w:val="0"/>
          <w:sz w:val="24"/>
          <w:szCs w:val="24"/>
        </w:rPr>
        <w:t>)落实政府采购政策需满足的资格要求如下</w:t>
      </w:r>
      <w:r>
        <w:rPr>
          <w:rFonts w:hint="eastAsia" w:cs="宋体"/>
          <w:i w:val="0"/>
          <w:iCs w:val="0"/>
          <w:caps w:val="0"/>
          <w:color w:val="auto"/>
          <w:spacing w:val="0"/>
          <w:sz w:val="24"/>
          <w:szCs w:val="24"/>
          <w:lang w:eastAsia="zh-CN"/>
        </w:rPr>
        <w:t>：</w:t>
      </w:r>
    </w:p>
    <w:p w14:paraId="6E02867E">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本项目专门面向中小企业采购。</w:t>
      </w:r>
    </w:p>
    <w:p w14:paraId="2CF090CF">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3.本项目的特定资格要求：</w:t>
      </w:r>
    </w:p>
    <w:p w14:paraId="2C7C566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合同包1(</w:t>
      </w:r>
      <w:r>
        <w:rPr>
          <w:rFonts w:hint="eastAsia" w:cs="宋体"/>
          <w:i w:val="0"/>
          <w:iCs w:val="0"/>
          <w:caps w:val="0"/>
          <w:color w:val="auto"/>
          <w:spacing w:val="0"/>
          <w:sz w:val="24"/>
          <w:szCs w:val="24"/>
          <w:lang w:val="en-US" w:eastAsia="zh-CN"/>
        </w:rPr>
        <w:t>后库周界防护升级（安防系统替代完善）项目</w:t>
      </w:r>
      <w:r>
        <w:rPr>
          <w:rFonts w:hint="eastAsia" w:ascii="宋体" w:hAnsi="宋体" w:eastAsia="宋体" w:cs="宋体"/>
          <w:i w:val="0"/>
          <w:iCs w:val="0"/>
          <w:caps w:val="0"/>
          <w:color w:val="auto"/>
          <w:spacing w:val="0"/>
          <w:sz w:val="24"/>
          <w:szCs w:val="24"/>
        </w:rPr>
        <w:t>)特定资格要求如下:</w:t>
      </w:r>
    </w:p>
    <w:p w14:paraId="36E6AE46">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法定代表人直接参加磋商的，须出具法人身份证；法定代表人授权代表参加磋商的，须出具法定代表人授权书及授权代表身份证。</w:t>
      </w:r>
    </w:p>
    <w:p w14:paraId="0982747B">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98D2C29">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本项目专门面向中小企业采购，非中小企业单位（监狱企业、残疾人福利单位除外）不得参与磋商。</w:t>
      </w:r>
    </w:p>
    <w:p w14:paraId="3978945A">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单位负责人为同一人或者存在直接控股、管理关系的不同供应商，不得参加同一合同项下的政府采购活动。</w:t>
      </w:r>
    </w:p>
    <w:p w14:paraId="3B33C7A6">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本项目不接受联合体磋商。</w:t>
      </w:r>
    </w:p>
    <w:p w14:paraId="545DF8C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4" w:name="_Toc10941"/>
      <w:r>
        <w:rPr>
          <w:rFonts w:hint="eastAsia" w:ascii="宋体" w:hAnsi="宋体" w:eastAsia="宋体" w:cs="宋体"/>
          <w:b/>
          <w:bCs/>
          <w:i w:val="0"/>
          <w:iCs w:val="0"/>
          <w:caps w:val="0"/>
          <w:color w:val="auto"/>
          <w:spacing w:val="0"/>
          <w:sz w:val="24"/>
          <w:szCs w:val="24"/>
        </w:rPr>
        <w:t>三、获取采购文件</w:t>
      </w:r>
      <w:bookmarkEnd w:id="14"/>
    </w:p>
    <w:p w14:paraId="33C3E391">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时间：</w:t>
      </w:r>
      <w:r>
        <w:rPr>
          <w:rFonts w:hint="eastAsia" w:ascii="宋体" w:hAnsi="宋体" w:eastAsia="宋体" w:cs="宋体"/>
          <w:b w:val="0"/>
          <w:bCs w:val="0"/>
          <w:i w:val="0"/>
          <w:iCs w:val="0"/>
          <w:caps w:val="0"/>
          <w:color w:val="auto"/>
          <w:spacing w:val="0"/>
          <w:sz w:val="24"/>
          <w:szCs w:val="24"/>
          <w:shd w:val="clear" w:fill="auto"/>
          <w:lang w:val="en-US" w:eastAsia="zh-CN"/>
        </w:rPr>
        <w:t>2025年05月29日至2025年06月06日</w:t>
      </w:r>
      <w:r>
        <w:rPr>
          <w:rFonts w:hint="eastAsia" w:ascii="宋体" w:hAnsi="宋体" w:eastAsia="宋体" w:cs="宋体"/>
          <w:i w:val="0"/>
          <w:iCs w:val="0"/>
          <w:caps w:val="0"/>
          <w:color w:val="auto"/>
          <w:spacing w:val="0"/>
          <w:sz w:val="24"/>
          <w:szCs w:val="24"/>
        </w:rPr>
        <w:t>，每天上午0</w:t>
      </w:r>
      <w:r>
        <w:rPr>
          <w:rFonts w:hint="eastAsia"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:00:00至12:00:00，下午1</w:t>
      </w: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:00:00至17:00:00（北京时间</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法定节假日除外）</w:t>
      </w:r>
    </w:p>
    <w:p w14:paraId="0BC75DFA">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途径：陕西省西安市雁塔区曲江新区雁翔路3269号旺座曲江E座29层2901号</w:t>
      </w:r>
    </w:p>
    <w:p w14:paraId="6D6E24D1">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方式：现场获取</w:t>
      </w:r>
    </w:p>
    <w:p w14:paraId="65998B4F">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售价：500元</w:t>
      </w:r>
    </w:p>
    <w:p w14:paraId="3A75D4D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5" w:name="_Toc1488"/>
      <w:r>
        <w:rPr>
          <w:rFonts w:hint="eastAsia" w:ascii="宋体" w:hAnsi="宋体" w:eastAsia="宋体" w:cs="宋体"/>
          <w:b/>
          <w:bCs/>
          <w:i w:val="0"/>
          <w:iCs w:val="0"/>
          <w:caps w:val="0"/>
          <w:color w:val="auto"/>
          <w:spacing w:val="0"/>
          <w:sz w:val="24"/>
          <w:szCs w:val="24"/>
        </w:rPr>
        <w:t>四、响应文件提交</w:t>
      </w:r>
      <w:bookmarkEnd w:id="15"/>
    </w:p>
    <w:p w14:paraId="14ECE261">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截止时</w:t>
      </w:r>
      <w:r>
        <w:rPr>
          <w:rFonts w:hint="eastAsia"/>
          <w:color w:val="auto"/>
          <w:lang w:eastAsia="zh-CN"/>
        </w:rPr>
        <w:t>间：2025年06月11日 09时30分00秒（北京时间）</w:t>
      </w:r>
    </w:p>
    <w:p w14:paraId="4C1A612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w:t>
      </w:r>
      <w:r>
        <w:rPr>
          <w:rFonts w:hint="eastAsia"/>
          <w:color w:val="auto"/>
          <w:lang w:eastAsia="zh-CN"/>
        </w:rPr>
        <w:t>西安市曲江新区雁翔路3269号【旺座·曲江】</w:t>
      </w:r>
      <w:r>
        <w:rPr>
          <w:rFonts w:hint="eastAsia" w:ascii="宋体" w:hAnsi="宋体" w:eastAsia="宋体" w:cs="宋体"/>
          <w:color w:val="auto"/>
          <w:lang w:eastAsia="zh-CN"/>
        </w:rPr>
        <w:t>E座</w:t>
      </w:r>
      <w:r>
        <w:rPr>
          <w:rFonts w:hint="eastAsia" w:ascii="宋体" w:hAnsi="宋体" w:eastAsia="宋体" w:cs="宋体"/>
          <w:color w:val="auto"/>
          <w:lang w:val="en-US" w:eastAsia="zh-CN"/>
        </w:rPr>
        <w:t>30</w:t>
      </w:r>
      <w:r>
        <w:rPr>
          <w:rFonts w:hint="eastAsia" w:ascii="宋体" w:hAnsi="宋体" w:eastAsia="宋体" w:cs="宋体"/>
          <w:color w:val="auto"/>
          <w:lang w:eastAsia="zh-CN"/>
        </w:rPr>
        <w:t>层</w:t>
      </w:r>
      <w:r>
        <w:rPr>
          <w:rFonts w:hint="eastAsia" w:ascii="宋体" w:hAnsi="宋体" w:eastAsia="宋体" w:cs="宋体"/>
          <w:color w:val="auto"/>
          <w:lang w:val="en-US" w:eastAsia="zh-CN"/>
        </w:rPr>
        <w:t>第三</w:t>
      </w:r>
      <w:r>
        <w:rPr>
          <w:rFonts w:hint="eastAsia" w:ascii="宋体" w:hAnsi="宋体" w:eastAsia="宋体" w:cs="宋体"/>
          <w:color w:val="auto"/>
          <w:lang w:eastAsia="zh-CN"/>
        </w:rPr>
        <w:t>会议室</w:t>
      </w:r>
    </w:p>
    <w:p w14:paraId="306719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6" w:name="_Toc20950"/>
      <w:r>
        <w:rPr>
          <w:rFonts w:hint="eastAsia" w:ascii="宋体" w:hAnsi="宋体" w:eastAsia="宋体" w:cs="宋体"/>
          <w:b/>
          <w:bCs/>
          <w:i w:val="0"/>
          <w:iCs w:val="0"/>
          <w:caps w:val="0"/>
          <w:color w:val="auto"/>
          <w:spacing w:val="0"/>
          <w:sz w:val="24"/>
          <w:szCs w:val="24"/>
        </w:rPr>
        <w:t>五、开启</w:t>
      </w:r>
      <w:bookmarkEnd w:id="16"/>
    </w:p>
    <w:p w14:paraId="7CA75B56">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时</w:t>
      </w:r>
      <w:r>
        <w:rPr>
          <w:rFonts w:hint="eastAsia"/>
          <w:color w:val="auto"/>
          <w:lang w:eastAsia="zh-CN"/>
        </w:rPr>
        <w:t>间：2025年06月11日 09时30分00秒（北京时间）</w:t>
      </w:r>
    </w:p>
    <w:p w14:paraId="5C4FD6A2">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地点：</w:t>
      </w:r>
      <w:r>
        <w:rPr>
          <w:rFonts w:hint="eastAsia"/>
          <w:color w:val="auto"/>
          <w:lang w:eastAsia="zh-CN"/>
        </w:rPr>
        <w:t>西安市曲江新区雁翔路3269号【旺座·曲江】E座</w:t>
      </w:r>
      <w:r>
        <w:rPr>
          <w:rFonts w:hint="eastAsia"/>
          <w:color w:val="auto"/>
          <w:lang w:val="en-US" w:eastAsia="zh-CN"/>
        </w:rPr>
        <w:t>30</w:t>
      </w:r>
      <w:r>
        <w:rPr>
          <w:rFonts w:hint="eastAsia"/>
          <w:color w:val="auto"/>
          <w:lang w:eastAsia="zh-CN"/>
        </w:rPr>
        <w:t>层</w:t>
      </w:r>
      <w:r>
        <w:rPr>
          <w:rFonts w:hint="eastAsia"/>
          <w:color w:val="auto"/>
          <w:lang w:val="en-US" w:eastAsia="zh-CN"/>
        </w:rPr>
        <w:t>第三</w:t>
      </w:r>
      <w:r>
        <w:rPr>
          <w:rFonts w:hint="eastAsia"/>
          <w:color w:val="auto"/>
        </w:rPr>
        <w:t>会议室</w:t>
      </w:r>
    </w:p>
    <w:p w14:paraId="55F2591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7" w:name="_Toc9972"/>
      <w:r>
        <w:rPr>
          <w:rFonts w:hint="eastAsia" w:ascii="宋体" w:hAnsi="宋体" w:eastAsia="宋体" w:cs="宋体"/>
          <w:b/>
          <w:bCs/>
          <w:i w:val="0"/>
          <w:iCs w:val="0"/>
          <w:caps w:val="0"/>
          <w:color w:val="auto"/>
          <w:spacing w:val="0"/>
          <w:sz w:val="24"/>
          <w:szCs w:val="24"/>
        </w:rPr>
        <w:t>六、公告期限</w:t>
      </w:r>
      <w:bookmarkEnd w:id="17"/>
    </w:p>
    <w:p w14:paraId="200D9000">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自本公告发布之日起3个工作日。</w:t>
      </w:r>
    </w:p>
    <w:p w14:paraId="7F4B2EF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rPr>
      </w:pPr>
      <w:bookmarkStart w:id="18" w:name="_Toc18743"/>
      <w:r>
        <w:rPr>
          <w:rFonts w:hint="eastAsia" w:ascii="宋体" w:hAnsi="宋体" w:eastAsia="宋体" w:cs="宋体"/>
          <w:b/>
          <w:bCs/>
          <w:i w:val="0"/>
          <w:iCs w:val="0"/>
          <w:caps w:val="0"/>
          <w:color w:val="auto"/>
          <w:spacing w:val="0"/>
          <w:sz w:val="24"/>
          <w:szCs w:val="24"/>
        </w:rPr>
        <w:t>七、其他补充事宜</w:t>
      </w:r>
      <w:bookmarkEnd w:id="18"/>
    </w:p>
    <w:p w14:paraId="6176A27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落实政府采购政策</w:t>
      </w:r>
    </w:p>
    <w:p w14:paraId="4FD83D3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1</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《财政部国家发展改革委关于印发〈节能产品政府采购实施意见〉的通知》（财库〔2004〕185号）；</w:t>
      </w:r>
    </w:p>
    <w:p w14:paraId="14000F1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2</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《财政部环保总局关于环境标志产品政府采购实施的意见》（财库〔2006〕90号）；</w:t>
      </w:r>
    </w:p>
    <w:p w14:paraId="7DE318E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3</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《国务院办公厅关于建立政府强制采购节能产品制度的通知》（国办发〔2007〕51号）；</w:t>
      </w:r>
    </w:p>
    <w:p w14:paraId="2623B8A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4</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《财政部、司法部关于政府采购支持监狱企业发展有关问题的通知》（财库〔2014〕68号）；</w:t>
      </w:r>
    </w:p>
    <w:p w14:paraId="1C53C0A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5</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残疾人福利性单位应符合《财政部、民政部、中国残疾人联合会关于促进残疾人就业政府采购政策的通知》（财库〔2017〕141号）；</w:t>
      </w:r>
    </w:p>
    <w:p w14:paraId="58F5961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6</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陕西省财政厅关于印发《陕西省中小企业政府采购信用融资办法》（陕财办采〔2018〕23号）；</w:t>
      </w:r>
    </w:p>
    <w:p w14:paraId="661D571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7</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《财政部发展改革委生态环境部市场监管总局关于调整优化节能产品、环境标志产品政府采购执行机制的通知》（财库〔2019〕9号）；</w:t>
      </w:r>
    </w:p>
    <w:p w14:paraId="5935725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8</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《财政部 农业农村部 国家乡村振兴局关于运用政府采购政策支持乡村产业振兴的通知》（财库〔2021〕19号）；</w:t>
      </w:r>
    </w:p>
    <w:p w14:paraId="0909422B">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9</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《市场监督总局关于发布参与实施政府采购节能产品、环境标志产品认证机构名录的公告》—2019年第16号；</w:t>
      </w:r>
    </w:p>
    <w:p w14:paraId="40F6734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lang w:eastAsia="zh-CN"/>
        </w:rPr>
        <w:t>（</w:t>
      </w:r>
      <w:r>
        <w:rPr>
          <w:rFonts w:hint="eastAsia" w:cs="宋体"/>
          <w:i w:val="0"/>
          <w:iCs w:val="0"/>
          <w:caps w:val="0"/>
          <w:color w:val="auto"/>
          <w:spacing w:val="0"/>
          <w:sz w:val="24"/>
          <w:szCs w:val="24"/>
          <w:lang w:val="en-US" w:eastAsia="zh-CN"/>
        </w:rPr>
        <w:t>10</w:t>
      </w:r>
      <w:r>
        <w:rPr>
          <w:rFonts w:hint="eastAsia"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《政府采购促进中小企业发展管办法》（财库〔2020〕46号）；</w:t>
      </w:r>
    </w:p>
    <w:p w14:paraId="3ECAC3B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（11）其他需要落实的政府采购政策。</w:t>
      </w:r>
    </w:p>
    <w:p w14:paraId="146A69CD">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w:t>
      </w:r>
      <w:r>
        <w:rPr>
          <w:rFonts w:hint="eastAsia" w:cs="宋体"/>
          <w:b/>
          <w:bCs/>
          <w:i w:val="0"/>
          <w:iCs w:val="0"/>
          <w:caps w:val="0"/>
          <w:color w:val="auto"/>
          <w:spacing w:val="0"/>
          <w:sz w:val="24"/>
          <w:szCs w:val="24"/>
          <w:shd w:val="clear" w:fill="FFFFFF"/>
          <w:lang w:val="en-US" w:eastAsia="zh-CN"/>
        </w:rPr>
        <w:t>供</w:t>
      </w:r>
      <w:r>
        <w:rPr>
          <w:rFonts w:hint="eastAsia" w:ascii="宋体" w:hAnsi="宋体" w:eastAsia="宋体" w:cs="宋体"/>
          <w:b/>
          <w:bCs/>
          <w:i w:val="0"/>
          <w:iCs w:val="0"/>
          <w:caps w:val="0"/>
          <w:color w:val="auto"/>
          <w:spacing w:val="0"/>
          <w:sz w:val="24"/>
          <w:szCs w:val="24"/>
          <w:shd w:val="clear" w:fill="FFFFFF"/>
          <w:lang w:val="en-US" w:eastAsia="zh-CN"/>
        </w:rPr>
        <w:t>应商可在文件获取时间内（法定节假日除外）将单位介绍信、经办人身份证复印件加盖供应商单位章扫描件发送至邮箱</w:t>
      </w:r>
      <w:r>
        <w:rPr>
          <w:rFonts w:hint="eastAsia" w:cs="宋体"/>
          <w:b/>
          <w:bCs/>
          <w:i w:val="0"/>
          <w:iCs w:val="0"/>
          <w:caps w:val="0"/>
          <w:color w:val="auto"/>
          <w:spacing w:val="0"/>
          <w:sz w:val="24"/>
          <w:szCs w:val="24"/>
          <w:shd w:val="clear" w:fill="FFFFFF"/>
          <w:lang w:val="en-US" w:eastAsia="zh-CN"/>
        </w:rPr>
        <w:t>1666160252@qq.com</w:t>
      </w:r>
      <w:r>
        <w:rPr>
          <w:rFonts w:hint="eastAsia" w:ascii="宋体" w:hAnsi="宋体" w:eastAsia="宋体" w:cs="宋体"/>
          <w:b/>
          <w:bCs/>
          <w:i w:val="0"/>
          <w:iCs w:val="0"/>
          <w:caps w:val="0"/>
          <w:color w:val="auto"/>
          <w:spacing w:val="0"/>
          <w:sz w:val="24"/>
          <w:szCs w:val="24"/>
          <w:shd w:val="clear" w:fill="FFFFFF"/>
          <w:lang w:val="en-US" w:eastAsia="zh-CN"/>
        </w:rPr>
        <w:t>，注明联系人+联系电话+邮箱，并及时联系采购代理机构确认，联系电话：18291945670，采购代理机构</w:t>
      </w:r>
      <w:r>
        <w:rPr>
          <w:rFonts w:hint="eastAsia" w:cs="宋体"/>
          <w:b/>
          <w:bCs/>
          <w:i w:val="0"/>
          <w:iCs w:val="0"/>
          <w:caps w:val="0"/>
          <w:color w:val="auto"/>
          <w:spacing w:val="0"/>
          <w:sz w:val="24"/>
          <w:szCs w:val="24"/>
          <w:shd w:val="clear" w:fill="FFFFFF"/>
          <w:lang w:val="en-US" w:eastAsia="zh-CN"/>
        </w:rPr>
        <w:t>在收到邮件，通过邮箱向供应商发售磋商文件，请及时查收。</w:t>
      </w:r>
    </w:p>
    <w:p w14:paraId="790ADB7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uto"/>
        <w:ind w:right="0"/>
        <w:jc w:val="both"/>
        <w:rPr>
          <w:rFonts w:hint="eastAsia" w:ascii="宋体" w:hAnsi="宋体" w:eastAsia="宋体" w:cs="宋体"/>
          <w:b/>
          <w:bCs/>
          <w:i w:val="0"/>
          <w:iCs w:val="0"/>
          <w:caps w:val="0"/>
          <w:color w:val="auto"/>
          <w:spacing w:val="0"/>
          <w:sz w:val="24"/>
          <w:szCs w:val="24"/>
          <w:lang w:val="en-US" w:eastAsia="zh-CN"/>
        </w:rPr>
      </w:pPr>
      <w:bookmarkStart w:id="19" w:name="_Toc22029"/>
      <w:r>
        <w:rPr>
          <w:rFonts w:hint="eastAsia" w:ascii="宋体" w:hAnsi="宋体" w:eastAsia="宋体" w:cs="宋体"/>
          <w:b/>
          <w:bCs/>
          <w:i w:val="0"/>
          <w:iCs w:val="0"/>
          <w:caps w:val="0"/>
          <w:color w:val="auto"/>
          <w:spacing w:val="0"/>
          <w:sz w:val="24"/>
          <w:szCs w:val="24"/>
          <w:lang w:val="en-US" w:eastAsia="zh-CN"/>
        </w:rPr>
        <w:t>八、凡对本次采购提出询问，请按以下方式联系。</w:t>
      </w:r>
      <w:bookmarkEnd w:id="19"/>
    </w:p>
    <w:p w14:paraId="7C046083">
      <w:pPr>
        <w:keepNext w:val="0"/>
        <w:keepLines w:val="0"/>
        <w:pageBreakBefore w:val="0"/>
        <w:widowControl/>
        <w:suppressLineNumbers w:val="0"/>
        <w:pBdr>
          <w:top w:val="none" w:color="auto" w:sz="0" w:space="0"/>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rPr>
        <w:t>1.釆购人信息</w:t>
      </w:r>
    </w:p>
    <w:p w14:paraId="033D4582">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名称：陕西省档案馆</w:t>
      </w:r>
    </w:p>
    <w:p w14:paraId="128B1926">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地址：西安市长安区子午大道与学府大街十字东北角</w:t>
      </w:r>
    </w:p>
    <w:p w14:paraId="484077DD">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rPr>
        <w:t>联系方式</w:t>
      </w:r>
      <w:r>
        <w:rPr>
          <w:rFonts w:hint="eastAsia" w:ascii="宋体" w:hAnsi="宋体" w:eastAsia="宋体" w:cs="宋体"/>
          <w:i w:val="0"/>
          <w:iCs w:val="0"/>
          <w:caps w:val="0"/>
          <w:color w:val="auto"/>
          <w:spacing w:val="0"/>
          <w:sz w:val="24"/>
          <w:szCs w:val="24"/>
          <w:highlight w:val="none"/>
          <w:lang w:eastAsia="zh-CN"/>
        </w:rPr>
        <w:t>：029-89230808/0917-4763176</w:t>
      </w:r>
    </w:p>
    <w:p w14:paraId="202CB32F">
      <w:pPr>
        <w:keepNext w:val="0"/>
        <w:keepLines w:val="0"/>
        <w:pageBreakBefore w:val="0"/>
        <w:widowControl/>
        <w:suppressLineNumbers w:val="0"/>
        <w:pBdr>
          <w:top w:val="none" w:color="auto" w:sz="0" w:space="0"/>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2.釆购代理机构信息</w:t>
      </w:r>
    </w:p>
    <w:p w14:paraId="610E983B">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val="0"/>
          <w:bCs w:val="0"/>
          <w:color w:val="auto"/>
          <w:sz w:val="24"/>
          <w:szCs w:val="24"/>
        </w:rPr>
        <w:t>名称</w:t>
      </w:r>
      <w:r>
        <w:rPr>
          <w:rFonts w:hint="eastAsia" w:ascii="宋体" w:hAnsi="宋体" w:eastAsia="宋体" w:cs="宋体"/>
          <w:i w:val="0"/>
          <w:iCs w:val="0"/>
          <w:caps w:val="0"/>
          <w:color w:val="auto"/>
          <w:spacing w:val="0"/>
          <w:sz w:val="24"/>
          <w:szCs w:val="24"/>
        </w:rPr>
        <w:t>：华睿诚项目管理有限公司</w:t>
      </w:r>
    </w:p>
    <w:p w14:paraId="341DCE73">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地址：西安市曲江新区雁翔路3269号【旺座·曲江】E座29层</w:t>
      </w:r>
    </w:p>
    <w:p w14:paraId="147A1063">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联系方式：</w:t>
      </w:r>
      <w:r>
        <w:rPr>
          <w:rFonts w:hint="eastAsia" w:ascii="宋体" w:hAnsi="宋体" w:eastAsia="宋体" w:cs="宋体"/>
          <w:i w:val="0"/>
          <w:iCs w:val="0"/>
          <w:caps w:val="0"/>
          <w:color w:val="auto"/>
          <w:spacing w:val="0"/>
          <w:sz w:val="24"/>
          <w:szCs w:val="24"/>
          <w:lang w:val="en-US" w:eastAsia="zh-CN"/>
        </w:rPr>
        <w:t>18291945670</w:t>
      </w:r>
    </w:p>
    <w:p w14:paraId="7559657F">
      <w:pPr>
        <w:keepNext w:val="0"/>
        <w:keepLines w:val="0"/>
        <w:pageBreakBefore w:val="0"/>
        <w:widowControl/>
        <w:suppressLineNumbers w:val="0"/>
        <w:pBdr>
          <w:top w:val="none" w:color="auto" w:sz="0" w:space="0"/>
          <w:left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3.项目联系方式</w:t>
      </w:r>
    </w:p>
    <w:p w14:paraId="33ABE37E">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rPr>
        <w:t>项目联系人：孙笑梅</w:t>
      </w:r>
    </w:p>
    <w:p w14:paraId="0DE1B696">
      <w:pPr>
        <w:pStyle w:val="2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电话：</w:t>
      </w:r>
      <w:r>
        <w:rPr>
          <w:rFonts w:hint="eastAsia" w:ascii="宋体" w:hAnsi="宋体" w:eastAsia="宋体" w:cs="宋体"/>
          <w:i w:val="0"/>
          <w:iCs w:val="0"/>
          <w:caps w:val="0"/>
          <w:color w:val="auto"/>
          <w:spacing w:val="0"/>
          <w:sz w:val="24"/>
          <w:szCs w:val="24"/>
          <w:lang w:val="en-US" w:eastAsia="zh-CN"/>
        </w:rPr>
        <w:t>18291945670</w:t>
      </w:r>
    </w:p>
    <w:p w14:paraId="63618283">
      <w:pP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br w:type="page"/>
      </w:r>
    </w:p>
    <w:p w14:paraId="78A9268E">
      <w:pPr>
        <w:jc w:val="center"/>
        <w:outlineLvl w:val="0"/>
        <w:rPr>
          <w:rFonts w:hint="eastAsia" w:ascii="宋体" w:hAnsi="宋体" w:eastAsia="宋体" w:cs="宋体"/>
          <w:b/>
          <w:bCs/>
          <w:color w:val="auto"/>
          <w:kern w:val="2"/>
          <w:sz w:val="36"/>
          <w:szCs w:val="36"/>
          <w:highlight w:val="none"/>
          <w:lang w:val="en-US" w:eastAsia="zh-CN" w:bidi="ar-SA"/>
        </w:rPr>
      </w:pPr>
      <w:bookmarkStart w:id="20" w:name="_Toc2912"/>
      <w:r>
        <w:rPr>
          <w:rFonts w:hint="eastAsia" w:ascii="宋体" w:hAnsi="宋体" w:eastAsia="宋体" w:cs="宋体"/>
          <w:b/>
          <w:bCs/>
          <w:color w:val="auto"/>
          <w:kern w:val="2"/>
          <w:sz w:val="36"/>
          <w:szCs w:val="36"/>
          <w:highlight w:val="none"/>
          <w:lang w:val="en-US" w:eastAsia="zh-CN" w:bidi="ar-SA"/>
        </w:rPr>
        <w:t>第二章  磋商供应商须知</w:t>
      </w:r>
      <w:bookmarkEnd w:id="5"/>
      <w:bookmarkEnd w:id="6"/>
      <w:bookmarkEnd w:id="7"/>
      <w:bookmarkEnd w:id="8"/>
      <w:bookmarkEnd w:id="9"/>
      <w:bookmarkEnd w:id="10"/>
      <w:bookmarkEnd w:id="20"/>
    </w:p>
    <w:p w14:paraId="323CC2F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须知前附表</w:t>
      </w:r>
    </w:p>
    <w:tbl>
      <w:tblPr>
        <w:tblStyle w:val="2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9"/>
        <w:gridCol w:w="7093"/>
      </w:tblGrid>
      <w:tr w14:paraId="7BE4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7" w:type="dxa"/>
            <w:vAlign w:val="center"/>
          </w:tcPr>
          <w:p w14:paraId="503468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69" w:type="dxa"/>
            <w:vAlign w:val="center"/>
          </w:tcPr>
          <w:p w14:paraId="0636DA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93" w:type="dxa"/>
            <w:vAlign w:val="center"/>
          </w:tcPr>
          <w:p w14:paraId="39410F3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3555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44F1B8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69" w:type="dxa"/>
            <w:vAlign w:val="center"/>
          </w:tcPr>
          <w:p w14:paraId="5AEFF6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7093" w:type="dxa"/>
            <w:vAlign w:val="center"/>
          </w:tcPr>
          <w:p w14:paraId="673AD55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陕西省档案馆</w:t>
            </w:r>
          </w:p>
          <w:p w14:paraId="6775F4A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lang w:eastAsia="zh-CN"/>
              </w:rPr>
              <w:t>陕西省西安市长安区子午大道与学府大街十字东北角</w:t>
            </w:r>
          </w:p>
          <w:p w14:paraId="6BD01466">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张主任 029-89230808/0917-4763176</w:t>
            </w:r>
            <w:r>
              <w:rPr>
                <w:rFonts w:hint="eastAsia" w:ascii="宋体" w:hAnsi="宋体" w:eastAsia="宋体" w:cs="宋体"/>
                <w:color w:val="auto"/>
                <w:sz w:val="21"/>
                <w:szCs w:val="21"/>
                <w:highlight w:val="none"/>
              </w:rPr>
              <w:t xml:space="preserve"> </w:t>
            </w:r>
          </w:p>
        </w:tc>
      </w:tr>
      <w:tr w14:paraId="3485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27AB3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769" w:type="dxa"/>
            <w:vAlign w:val="center"/>
          </w:tcPr>
          <w:p w14:paraId="7F9A1C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7093" w:type="dxa"/>
            <w:vAlign w:val="center"/>
          </w:tcPr>
          <w:p w14:paraId="1D97042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名  称：华睿诚项目管理有限公司</w:t>
            </w:r>
          </w:p>
          <w:p w14:paraId="49FF0C6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地  址：西安市曲江新区雁翔路3269号【旺座·曲江】E座29层</w:t>
            </w:r>
          </w:p>
          <w:p w14:paraId="3291C38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联系人：孙笑梅</w:t>
            </w:r>
          </w:p>
          <w:p w14:paraId="6616F06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lang w:val="en-US" w:eastAsia="zh-CN"/>
              </w:rPr>
              <w:t>电  话：18291945670</w:t>
            </w:r>
          </w:p>
        </w:tc>
      </w:tr>
      <w:tr w14:paraId="0211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7" w:type="dxa"/>
            <w:vAlign w:val="center"/>
          </w:tcPr>
          <w:p w14:paraId="3A6D2A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769" w:type="dxa"/>
            <w:vAlign w:val="center"/>
          </w:tcPr>
          <w:p w14:paraId="683662D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w:t>
            </w:r>
          </w:p>
        </w:tc>
        <w:tc>
          <w:tcPr>
            <w:tcW w:w="7093" w:type="dxa"/>
            <w:vAlign w:val="center"/>
          </w:tcPr>
          <w:p w14:paraId="6F8CF440">
            <w:pPr>
              <w:pStyle w:val="24"/>
              <w:keepNext w:val="0"/>
              <w:keepLines w:val="0"/>
              <w:pageBreakBefore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color w:val="auto"/>
                <w:sz w:val="21"/>
                <w:szCs w:val="21"/>
                <w:highlight w:val="none"/>
                <w:lang w:eastAsia="zh-CN"/>
              </w:rPr>
            </w:pPr>
            <w:r>
              <w:rPr>
                <w:rFonts w:hint="eastAsia" w:cs="宋体"/>
                <w:color w:val="auto"/>
                <w:kern w:val="2"/>
                <w:sz w:val="21"/>
                <w:szCs w:val="21"/>
                <w:highlight w:val="none"/>
                <w:lang w:val="en-US" w:eastAsia="zh-CN"/>
              </w:rPr>
              <w:t>工程</w:t>
            </w:r>
          </w:p>
        </w:tc>
      </w:tr>
      <w:tr w14:paraId="2C0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29645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769" w:type="dxa"/>
            <w:vAlign w:val="center"/>
          </w:tcPr>
          <w:p w14:paraId="6317C75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采购标的所属行业</w:t>
            </w:r>
          </w:p>
        </w:tc>
        <w:tc>
          <w:tcPr>
            <w:tcW w:w="7093" w:type="dxa"/>
            <w:vAlign w:val="center"/>
          </w:tcPr>
          <w:p w14:paraId="4DB564D7">
            <w:pPr>
              <w:pStyle w:val="24"/>
              <w:keepNext w:val="0"/>
              <w:keepLines w:val="0"/>
              <w:pageBreakBefore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建筑业。</w:t>
            </w:r>
            <w:r>
              <w:rPr>
                <w:rFonts w:hint="eastAsia" w:ascii="宋体" w:hAnsi="宋体" w:eastAsia="宋体" w:cs="宋体"/>
                <w:color w:val="auto"/>
                <w:sz w:val="21"/>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FA3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4EC3B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769" w:type="dxa"/>
            <w:vAlign w:val="center"/>
          </w:tcPr>
          <w:p w14:paraId="74370049">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是否为专门面向中小企业采购</w:t>
            </w:r>
          </w:p>
        </w:tc>
        <w:tc>
          <w:tcPr>
            <w:tcW w:w="7093" w:type="dxa"/>
            <w:vAlign w:val="center"/>
          </w:tcPr>
          <w:p w14:paraId="604F157A">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kern w:val="2"/>
                <w:sz w:val="21"/>
                <w:szCs w:val="21"/>
                <w:highlight w:val="none"/>
                <w:lang w:val="en-US" w:eastAsia="zh-CN" w:bidi="ar-SA"/>
              </w:rPr>
              <w:t>是</w:t>
            </w:r>
          </w:p>
        </w:tc>
      </w:tr>
      <w:tr w14:paraId="61DF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7CD2EA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769" w:type="dxa"/>
            <w:vAlign w:val="center"/>
          </w:tcPr>
          <w:p w14:paraId="1E8FD996">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中小企业信用融资</w:t>
            </w:r>
          </w:p>
        </w:tc>
        <w:tc>
          <w:tcPr>
            <w:tcW w:w="7093" w:type="dxa"/>
            <w:vAlign w:val="center"/>
          </w:tcPr>
          <w:p w14:paraId="0F1AF03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1、陕西省财政厅关于加快推进我省中小企业政府采购信用融资工作的通知-陕财办采〔2020〕15 号</w:t>
            </w:r>
          </w:p>
          <w:p w14:paraId="46602EA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2、陕西省财政厅关于印发《陕西省中小企业政府采购信用融资办法》（陕财办采〔2018〕23号）</w:t>
            </w:r>
          </w:p>
          <w:p w14:paraId="366935B0">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具体情况，可登录“陕西省政府采购网-陕西省政府采购信用融资平台”查看详情。</w:t>
            </w:r>
          </w:p>
        </w:tc>
      </w:tr>
      <w:tr w14:paraId="3A2A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97" w:type="dxa"/>
            <w:vAlign w:val="center"/>
          </w:tcPr>
          <w:p w14:paraId="0B710C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69" w:type="dxa"/>
            <w:vAlign w:val="center"/>
          </w:tcPr>
          <w:p w14:paraId="7AED4A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资金来源</w:t>
            </w:r>
          </w:p>
        </w:tc>
        <w:tc>
          <w:tcPr>
            <w:tcW w:w="7093" w:type="dxa"/>
            <w:vAlign w:val="center"/>
          </w:tcPr>
          <w:p w14:paraId="55037C0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财政资金</w:t>
            </w:r>
          </w:p>
        </w:tc>
      </w:tr>
      <w:tr w14:paraId="562F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7" w:type="dxa"/>
            <w:vAlign w:val="center"/>
          </w:tcPr>
          <w:p w14:paraId="181FA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69" w:type="dxa"/>
            <w:vAlign w:val="center"/>
          </w:tcPr>
          <w:p w14:paraId="5926FBC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资金落实情况</w:t>
            </w:r>
          </w:p>
        </w:tc>
        <w:tc>
          <w:tcPr>
            <w:tcW w:w="7093" w:type="dxa"/>
            <w:vAlign w:val="center"/>
          </w:tcPr>
          <w:p w14:paraId="05FFECD0">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已落实</w:t>
            </w:r>
          </w:p>
        </w:tc>
      </w:tr>
      <w:tr w14:paraId="40F5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6ADBD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69" w:type="dxa"/>
            <w:vAlign w:val="center"/>
          </w:tcPr>
          <w:p w14:paraId="3990480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采购内容</w:t>
            </w:r>
          </w:p>
        </w:tc>
        <w:tc>
          <w:tcPr>
            <w:tcW w:w="7093" w:type="dxa"/>
            <w:shd w:val="clear" w:color="auto" w:fill="auto"/>
            <w:vAlign w:val="center"/>
          </w:tcPr>
          <w:p w14:paraId="54217B7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20" w:lineRule="exact"/>
              <w:ind w:right="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预算金额：</w:t>
            </w:r>
            <w:r>
              <w:rPr>
                <w:rFonts w:hint="eastAsia" w:cs="宋体"/>
                <w:b w:val="0"/>
                <w:bCs w:val="0"/>
                <w:color w:val="auto"/>
                <w:kern w:val="0"/>
                <w:sz w:val="21"/>
                <w:szCs w:val="21"/>
                <w:highlight w:val="none"/>
                <w:lang w:val="en-US" w:eastAsia="zh-CN" w:bidi="ar-SA"/>
              </w:rPr>
              <w:t>130000.00元</w:t>
            </w:r>
          </w:p>
          <w:p w14:paraId="075C23D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详见竞争性磋商文件第三部分磋商要求及说明。</w:t>
            </w:r>
          </w:p>
        </w:tc>
      </w:tr>
      <w:tr w14:paraId="7CE7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7" w:type="dxa"/>
            <w:vAlign w:val="center"/>
          </w:tcPr>
          <w:p w14:paraId="2A236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1769" w:type="dxa"/>
            <w:vAlign w:val="center"/>
          </w:tcPr>
          <w:p w14:paraId="13E1347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工期及质保期</w:t>
            </w:r>
          </w:p>
        </w:tc>
        <w:tc>
          <w:tcPr>
            <w:tcW w:w="7093" w:type="dxa"/>
            <w:vAlign w:val="center"/>
          </w:tcPr>
          <w:p w14:paraId="3F21B325">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工期：</w:t>
            </w:r>
            <w:r>
              <w:rPr>
                <w:rFonts w:hint="default" w:ascii="宋体" w:hAnsi="宋体" w:eastAsia="宋体" w:cs="宋体"/>
                <w:color w:val="auto"/>
                <w:sz w:val="21"/>
                <w:szCs w:val="21"/>
                <w:highlight w:val="none"/>
                <w:lang w:val="en-US" w:eastAsia="zh-CN"/>
              </w:rPr>
              <w:t>30个工作日（分时段累计）</w:t>
            </w:r>
          </w:p>
          <w:p w14:paraId="63FD116C">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质保期：3年</w:t>
            </w:r>
          </w:p>
        </w:tc>
      </w:tr>
      <w:tr w14:paraId="01D3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7" w:type="dxa"/>
            <w:vAlign w:val="center"/>
          </w:tcPr>
          <w:p w14:paraId="4E2FD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1769" w:type="dxa"/>
            <w:vAlign w:val="center"/>
          </w:tcPr>
          <w:p w14:paraId="12026DAA">
            <w:pPr>
              <w:pStyle w:val="14"/>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7093" w:type="dxa"/>
            <w:vAlign w:val="center"/>
          </w:tcPr>
          <w:p w14:paraId="6B20A4D8">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w:t>
            </w:r>
          </w:p>
        </w:tc>
      </w:tr>
      <w:tr w14:paraId="7E4A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7" w:type="dxa"/>
            <w:vAlign w:val="center"/>
          </w:tcPr>
          <w:p w14:paraId="79F7B1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2</w:t>
            </w:r>
          </w:p>
        </w:tc>
        <w:tc>
          <w:tcPr>
            <w:tcW w:w="1769" w:type="dxa"/>
            <w:vAlign w:val="center"/>
          </w:tcPr>
          <w:p w14:paraId="293568B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val="en-US" w:eastAsia="zh-CN"/>
              </w:rPr>
              <w:t>/转包</w:t>
            </w:r>
          </w:p>
        </w:tc>
        <w:tc>
          <w:tcPr>
            <w:tcW w:w="7093" w:type="dxa"/>
            <w:vAlign w:val="center"/>
          </w:tcPr>
          <w:p w14:paraId="0889A45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A3C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239AB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p>
        </w:tc>
        <w:tc>
          <w:tcPr>
            <w:tcW w:w="1769" w:type="dxa"/>
            <w:vAlign w:val="center"/>
          </w:tcPr>
          <w:p w14:paraId="35DB3F1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采购资金的支付方式和时间</w:t>
            </w:r>
          </w:p>
        </w:tc>
        <w:tc>
          <w:tcPr>
            <w:tcW w:w="7093" w:type="dxa"/>
            <w:vAlign w:val="center"/>
          </w:tcPr>
          <w:p w14:paraId="44D04EB2">
            <w:pPr>
              <w:pStyle w:val="9"/>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kern w:val="2"/>
                <w:sz w:val="21"/>
                <w:szCs w:val="21"/>
                <w:lang w:val="en-US" w:eastAsia="zh-CN" w:bidi="ar-SA"/>
              </w:rPr>
            </w:pPr>
            <w:r>
              <w:rPr>
                <w:rFonts w:hint="eastAsia" w:ascii="宋体" w:hAnsi="宋体" w:eastAsia="宋体" w:cs="宋体"/>
                <w:color w:val="auto"/>
                <w:sz w:val="21"/>
                <w:szCs w:val="21"/>
                <w:highlight w:val="none"/>
              </w:rPr>
              <w:t>1)</w:t>
            </w:r>
            <w:r>
              <w:rPr>
                <w:rFonts w:hint="eastAsia" w:ascii="宋体" w:hAnsi="宋体" w:cs="宋体"/>
                <w:i w:val="0"/>
                <w:iCs w:val="0"/>
                <w:caps w:val="0"/>
                <w:color w:val="auto"/>
                <w:spacing w:val="0"/>
                <w:kern w:val="2"/>
                <w:sz w:val="21"/>
                <w:szCs w:val="21"/>
                <w:lang w:val="en-US" w:eastAsia="zh-CN" w:bidi="ar-SA"/>
              </w:rPr>
              <w:t>支付方式</w:t>
            </w:r>
            <w:r>
              <w:rPr>
                <w:rFonts w:hint="eastAsia" w:ascii="宋体" w:hAnsi="宋体" w:eastAsia="宋体" w:cs="宋体"/>
                <w:i w:val="0"/>
                <w:iCs w:val="0"/>
                <w:caps w:val="0"/>
                <w:color w:val="auto"/>
                <w:spacing w:val="0"/>
                <w:kern w:val="2"/>
                <w:sz w:val="21"/>
                <w:szCs w:val="21"/>
                <w:lang w:val="en-US" w:eastAsia="zh-CN" w:bidi="ar-SA"/>
              </w:rPr>
              <w:t>：银行转账，由采购人负责结算。在付款前，供应商必须开具与合同金额相应的增值税发票给采购人，附详细清单。</w:t>
            </w:r>
          </w:p>
          <w:p w14:paraId="7BF08CA3">
            <w:pPr>
              <w:pStyle w:val="9"/>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rPr>
            </w:pPr>
            <w:r>
              <w:rPr>
                <w:rFonts w:hint="eastAsia" w:ascii="宋体" w:hAnsi="宋体" w:eastAsia="宋体" w:cs="宋体"/>
                <w:i w:val="0"/>
                <w:iCs w:val="0"/>
                <w:caps w:val="0"/>
                <w:color w:val="auto"/>
                <w:spacing w:val="0"/>
                <w:kern w:val="2"/>
                <w:sz w:val="21"/>
                <w:szCs w:val="21"/>
                <w:highlight w:val="none"/>
                <w:lang w:val="en-US" w:eastAsia="zh-CN" w:bidi="ar-SA"/>
              </w:rPr>
              <w:t>2)付款方式</w:t>
            </w:r>
            <w:r>
              <w:rPr>
                <w:rFonts w:hint="eastAsia" w:ascii="宋体" w:hAnsi="宋体" w:cs="宋体"/>
                <w:i w:val="0"/>
                <w:iCs w:val="0"/>
                <w:caps w:val="0"/>
                <w:color w:val="auto"/>
                <w:spacing w:val="0"/>
                <w:kern w:val="2"/>
                <w:sz w:val="21"/>
                <w:szCs w:val="21"/>
                <w:highlight w:val="none"/>
                <w:lang w:val="en-US" w:eastAsia="zh-CN" w:bidi="ar-SA"/>
              </w:rPr>
              <w:t>：施工结束，项目验收合格后10个工作日内一次性付清。</w:t>
            </w:r>
          </w:p>
        </w:tc>
      </w:tr>
      <w:tr w14:paraId="6450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202B94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4</w:t>
            </w:r>
          </w:p>
        </w:tc>
        <w:tc>
          <w:tcPr>
            <w:tcW w:w="1769" w:type="dxa"/>
            <w:vAlign w:val="center"/>
          </w:tcPr>
          <w:p w14:paraId="0D7A954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77E5589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w:t>
            </w:r>
            <w:r>
              <w:rPr>
                <w:rFonts w:hint="eastAsia" w:ascii="宋体" w:hAnsi="宋体" w:eastAsia="宋体" w:cs="宋体"/>
                <w:color w:val="auto"/>
                <w:sz w:val="21"/>
                <w:szCs w:val="21"/>
                <w:highlight w:val="none"/>
                <w:lang w:val="en-US" w:eastAsia="zh-CN"/>
              </w:rPr>
              <w:t>证明资料</w:t>
            </w:r>
          </w:p>
        </w:tc>
        <w:tc>
          <w:tcPr>
            <w:tcW w:w="7093" w:type="dxa"/>
            <w:shd w:val="clear" w:color="auto" w:fill="auto"/>
            <w:vAlign w:val="center"/>
          </w:tcPr>
          <w:p w14:paraId="7EF1C2FC">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营业执照：</w:t>
            </w:r>
            <w:r>
              <w:rPr>
                <w:rFonts w:hint="eastAsia" w:ascii="宋体" w:hAnsi="宋体" w:eastAsia="宋体" w:cs="宋体"/>
                <w:color w:val="auto"/>
                <w:sz w:val="21"/>
                <w:szCs w:val="21"/>
                <w:highlight w:val="none"/>
              </w:rPr>
              <w:t xml:space="preserve">具有独立承担民事责任能力的法人、其他组织或自然人，提供合法有效的统一社会信用代码营业执照（事业单位提供法人证书，自然人提供身份证，其他组织应提供合法登记证明文件）； </w:t>
            </w:r>
          </w:p>
          <w:p w14:paraId="4A5D2739">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2、财务状况报告：提供</w:t>
            </w:r>
            <w:r>
              <w:rPr>
                <w:rFonts w:hint="eastAsia" w:cs="宋体"/>
                <w:color w:val="auto"/>
                <w:sz w:val="21"/>
                <w:szCs w:val="21"/>
                <w:highlight w:val="none"/>
                <w:lang w:val="en-US" w:eastAsia="zh-CN"/>
              </w:rPr>
              <w:t>经审计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年或 20</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年度财务报告或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lang w:eastAsia="zh-CN"/>
              </w:rPr>
              <w:t>前</w:t>
            </w:r>
            <w:r>
              <w:rPr>
                <w:rFonts w:hint="eastAsia" w:ascii="宋体" w:hAnsi="宋体" w:eastAsia="宋体" w:cs="宋体"/>
                <w:color w:val="auto"/>
                <w:sz w:val="21"/>
                <w:szCs w:val="21"/>
                <w:highlight w:val="none"/>
              </w:rPr>
              <w:t>六个月内其基本账户银行出具的资信证明</w:t>
            </w:r>
            <w:r>
              <w:rPr>
                <w:rFonts w:hint="eastAsia" w:cs="宋体"/>
                <w:color w:val="auto"/>
                <w:sz w:val="21"/>
                <w:szCs w:val="21"/>
                <w:highlight w:val="none"/>
                <w:lang w:val="en-US" w:eastAsia="zh-CN"/>
              </w:rPr>
              <w:t>及</w:t>
            </w:r>
            <w:r>
              <w:rPr>
                <w:rFonts w:hint="eastAsia" w:ascii="宋体" w:hAnsi="宋体" w:eastAsia="宋体" w:cs="宋体"/>
                <w:i w:val="0"/>
                <w:iCs w:val="0"/>
                <w:caps w:val="0"/>
                <w:color w:val="auto"/>
                <w:spacing w:val="0"/>
                <w:kern w:val="2"/>
                <w:sz w:val="21"/>
                <w:szCs w:val="21"/>
                <w:lang w:val="en-US" w:eastAsia="zh-CN" w:bidi="ar-SA"/>
              </w:rPr>
              <w:t>基本户开户证明</w:t>
            </w:r>
            <w:r>
              <w:rPr>
                <w:rFonts w:hint="eastAsia" w:cs="宋体"/>
                <w:color w:val="auto"/>
                <w:sz w:val="21"/>
                <w:szCs w:val="21"/>
                <w:highlight w:val="none"/>
                <w:lang w:eastAsia="zh-CN"/>
              </w:rPr>
              <w:t>；</w:t>
            </w:r>
            <w:r>
              <w:rPr>
                <w:rFonts w:hint="eastAsia" w:ascii="宋体" w:hAnsi="宋体" w:cs="宋体"/>
                <w:color w:val="000000"/>
                <w:sz w:val="21"/>
                <w:szCs w:val="21"/>
              </w:rPr>
              <w:t>2025年以后新成立企业提供成立之日至开标前</w:t>
            </w:r>
            <w:r>
              <w:rPr>
                <w:rFonts w:hint="eastAsia" w:ascii="宋体" w:hAnsi="宋体" w:cs="宋体"/>
                <w:color w:val="000000"/>
                <w:sz w:val="21"/>
                <w:szCs w:val="21"/>
                <w:lang w:val="en-US" w:eastAsia="zh-CN"/>
              </w:rPr>
              <w:t>任意</w:t>
            </w:r>
            <w:r>
              <w:rPr>
                <w:rFonts w:hint="eastAsia" w:ascii="宋体" w:hAnsi="宋体" w:cs="宋体"/>
                <w:color w:val="000000"/>
                <w:sz w:val="21"/>
                <w:szCs w:val="21"/>
              </w:rPr>
              <w:t>一</w:t>
            </w:r>
            <w:r>
              <w:rPr>
                <w:rFonts w:hint="eastAsia" w:ascii="宋体" w:hAnsi="宋体" w:cs="宋体"/>
                <w:color w:val="000000"/>
                <w:sz w:val="21"/>
                <w:szCs w:val="21"/>
                <w:lang w:eastAsia="zh-CN"/>
              </w:rPr>
              <w:t>个</w:t>
            </w:r>
            <w:r>
              <w:rPr>
                <w:rFonts w:hint="eastAsia" w:ascii="宋体" w:hAnsi="宋体" w:cs="宋体"/>
                <w:color w:val="000000"/>
                <w:sz w:val="21"/>
                <w:szCs w:val="21"/>
              </w:rPr>
              <w:t>月的财务报表（至少包括资产负债表、现金流量表和利润表）</w:t>
            </w:r>
            <w:r>
              <w:rPr>
                <w:rFonts w:hint="eastAsia" w:ascii="宋体" w:hAnsi="宋体" w:eastAsia="宋体" w:cs="宋体"/>
                <w:color w:val="auto"/>
                <w:sz w:val="21"/>
                <w:szCs w:val="21"/>
                <w:highlight w:val="none"/>
              </w:rPr>
              <w:t xml:space="preserve">其他组织和自然人提供银行出具的资信证明或财务报表； </w:t>
            </w:r>
          </w:p>
          <w:p w14:paraId="4C7E6805">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3、社会保障资金缴纳证明：提供</w:t>
            </w:r>
            <w:r>
              <w:rPr>
                <w:rFonts w:hint="eastAsia" w:ascii="宋体" w:hAnsi="宋体" w:eastAsia="宋体" w:cs="宋体"/>
                <w:i w:val="0"/>
                <w:iCs w:val="0"/>
                <w:caps w:val="0"/>
                <w:color w:val="auto"/>
                <w:spacing w:val="0"/>
                <w:sz w:val="21"/>
                <w:szCs w:val="21"/>
                <w:shd w:val="clear" w:color="auto" w:fill="FFFFFF"/>
              </w:rPr>
              <w:t>202</w:t>
            </w:r>
            <w:r>
              <w:rPr>
                <w:rFonts w:hint="eastAsia"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年</w:t>
            </w:r>
            <w:r>
              <w:rPr>
                <w:rFonts w:hint="eastAsia"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月1日至今</w:t>
            </w:r>
            <w:r>
              <w:rPr>
                <w:rFonts w:hint="eastAsia" w:ascii="宋体" w:hAnsi="宋体" w:eastAsia="宋体" w:cs="宋体"/>
                <w:color w:val="auto"/>
                <w:sz w:val="21"/>
                <w:szCs w:val="21"/>
                <w:highlight w:val="none"/>
              </w:rPr>
              <w:t>已缴存的任意</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 xml:space="preserve">的社会保障资金缴存单据或社保机构开具的社会保险参保缴费情况证明；依法不需要缴纳社会保障资金的应提供相关文件证明； </w:t>
            </w:r>
          </w:p>
          <w:p w14:paraId="5232E77C">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4、税收缴纳证明：提供</w:t>
            </w:r>
            <w:r>
              <w:rPr>
                <w:rFonts w:hint="eastAsia" w:ascii="宋体" w:hAnsi="宋体" w:eastAsia="宋体" w:cs="宋体"/>
                <w:i w:val="0"/>
                <w:iCs w:val="0"/>
                <w:caps w:val="0"/>
                <w:color w:val="auto"/>
                <w:spacing w:val="0"/>
                <w:sz w:val="21"/>
                <w:szCs w:val="21"/>
                <w:shd w:val="clear" w:color="auto" w:fill="FFFFFF"/>
              </w:rPr>
              <w:t>202</w:t>
            </w:r>
            <w:r>
              <w:rPr>
                <w:rFonts w:hint="eastAsia"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年</w:t>
            </w:r>
            <w:r>
              <w:rPr>
                <w:rFonts w:hint="eastAsia"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月1日至今</w:t>
            </w:r>
            <w:r>
              <w:rPr>
                <w:rFonts w:hint="eastAsia" w:ascii="宋体" w:hAnsi="宋体" w:eastAsia="宋体" w:cs="宋体"/>
                <w:color w:val="auto"/>
                <w:sz w:val="21"/>
                <w:szCs w:val="21"/>
                <w:highlight w:val="none"/>
              </w:rPr>
              <w:t>已缴纳任意</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完税凭证或税务机关开具的完税证明（任意税种）；其他组织提供</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 xml:space="preserve">截止时间前六个月内缴纳税收的凭据；依法免税的应提供相关文件证明； </w:t>
            </w:r>
          </w:p>
          <w:p w14:paraId="5C0A1FEA">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5、提供具有履行本合同所必需的专业技术能力的声明；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lang w:eastAsia="zh-CN"/>
              </w:rPr>
              <w:t>）</w:t>
            </w:r>
          </w:p>
          <w:p w14:paraId="47E36C89">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lang w:eastAsia="zh-CN"/>
              </w:rPr>
              <w:t>）</w:t>
            </w:r>
          </w:p>
          <w:p w14:paraId="06D9D6DD">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、法定代表人直接参加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的，须出具法人身份证,并与营业执照上信息一致；法定代表人授权代表参加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 xml:space="preserve">的，须出具法定代表人授权书及授权代表身份证； </w:t>
            </w:r>
          </w:p>
          <w:p w14:paraId="25BE65CA">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color w:val="auto"/>
                <w:sz w:val="21"/>
                <w:szCs w:val="21"/>
                <w:highlight w:val="none"/>
                <w:lang w:eastAsia="zh-CN"/>
              </w:rPr>
              <w:t>（</w:t>
            </w:r>
            <w:r>
              <w:rPr>
                <w:rFonts w:hint="eastAsia" w:ascii="宋体" w:hAnsi="宋体"/>
                <w:sz w:val="21"/>
                <w:szCs w:val="21"/>
              </w:rPr>
              <w:t>以</w:t>
            </w:r>
            <w:r>
              <w:rPr>
                <w:rFonts w:hint="eastAsia" w:ascii="宋体" w:hAnsi="宋体"/>
                <w:sz w:val="21"/>
                <w:szCs w:val="21"/>
                <w:lang w:val="en-US" w:eastAsia="zh-CN"/>
              </w:rPr>
              <w:t>响应</w:t>
            </w:r>
            <w:r>
              <w:rPr>
                <w:rFonts w:hint="eastAsia" w:ascii="宋体" w:hAnsi="宋体"/>
                <w:sz w:val="21"/>
                <w:szCs w:val="21"/>
              </w:rPr>
              <w:t>文件中附网站截图为准，如未附截图或截图不清楚，则以</w:t>
            </w:r>
            <w:r>
              <w:rPr>
                <w:rFonts w:hint="eastAsia" w:ascii="宋体" w:hAnsi="宋体"/>
                <w:sz w:val="21"/>
                <w:szCs w:val="21"/>
                <w:lang w:val="en-US" w:eastAsia="zh-CN"/>
              </w:rPr>
              <w:t>磋商</w:t>
            </w:r>
            <w:r>
              <w:rPr>
                <w:rFonts w:hint="eastAsia" w:ascii="宋体" w:hAnsi="宋体"/>
                <w:sz w:val="21"/>
                <w:szCs w:val="21"/>
              </w:rPr>
              <w:t>会议</w:t>
            </w:r>
            <w:r>
              <w:rPr>
                <w:rFonts w:hint="eastAsia" w:ascii="宋体" w:hAnsi="宋体"/>
                <w:sz w:val="21"/>
                <w:szCs w:val="21"/>
                <w:lang w:val="zh-CN"/>
              </w:rPr>
              <w:t>后的网站查询记录为准，并以截图形式留存</w:t>
            </w:r>
            <w:r>
              <w:rPr>
                <w:rFonts w:hint="eastAsia" w:ascii="宋体" w:hAnsi="宋体" w:eastAsia="宋体" w:cs="宋体"/>
                <w:color w:val="auto"/>
                <w:sz w:val="21"/>
                <w:szCs w:val="21"/>
                <w:highlight w:val="none"/>
                <w:lang w:eastAsia="zh-CN"/>
              </w:rPr>
              <w:t>）</w:t>
            </w:r>
          </w:p>
          <w:p w14:paraId="1220990F">
            <w:pPr>
              <w:pStyle w:val="24"/>
              <w:keepNext w:val="0"/>
              <w:keepLines w:val="0"/>
              <w:pageBreakBefore w:val="0"/>
              <w:shd w:val="clear" w:color="auto"/>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、本项目专门面向中小企业采购，非中小企业单位（监狱企业、残疾人福利单位除外）不得参与磋商。（中小企业声明函）</w:t>
            </w:r>
          </w:p>
          <w:p w14:paraId="1C2F212F">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eastAsia" w:ascii="宋体" w:hAnsi="宋体" w:eastAsia="宋体" w:cs="宋体"/>
                <w:i w:val="0"/>
                <w:iCs w:val="0"/>
                <w:caps w:val="0"/>
                <w:color w:val="auto"/>
                <w:spacing w:val="0"/>
                <w:sz w:val="21"/>
                <w:szCs w:val="21"/>
                <w:lang w:eastAsia="zh-CN"/>
              </w:rPr>
            </w:pPr>
            <w:r>
              <w:rPr>
                <w:rFonts w:hint="eastAsia" w:cs="宋体"/>
                <w:color w:val="auto"/>
                <w:sz w:val="21"/>
                <w:szCs w:val="21"/>
                <w:highlight w:val="none"/>
                <w:lang w:val="en-US" w:eastAsia="zh-CN"/>
              </w:rPr>
              <w:t>10、</w:t>
            </w:r>
            <w:r>
              <w:rPr>
                <w:rFonts w:hint="eastAsia" w:ascii="宋体" w:hAnsi="宋体" w:eastAsia="宋体" w:cs="宋体"/>
                <w:i w:val="0"/>
                <w:iCs w:val="0"/>
                <w:caps w:val="0"/>
                <w:color w:val="auto"/>
                <w:spacing w:val="0"/>
                <w:sz w:val="21"/>
                <w:szCs w:val="21"/>
              </w:rPr>
              <w:t>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lang w:val="en-US" w:eastAsia="zh-CN"/>
              </w:rPr>
              <w:t>声明</w:t>
            </w:r>
            <w:r>
              <w:rPr>
                <w:rFonts w:hint="eastAsia" w:ascii="宋体" w:hAnsi="宋体" w:eastAsia="宋体" w:cs="宋体"/>
                <w:i w:val="0"/>
                <w:iCs w:val="0"/>
                <w:caps w:val="0"/>
                <w:color w:val="auto"/>
                <w:spacing w:val="0"/>
                <w:sz w:val="21"/>
                <w:szCs w:val="21"/>
                <w:lang w:eastAsia="zh-CN"/>
              </w:rPr>
              <w:t>）</w:t>
            </w:r>
          </w:p>
          <w:p w14:paraId="43D79B5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lang w:val="en-US" w:eastAsia="zh-CN"/>
              </w:rPr>
              <w:t>1</w:t>
            </w:r>
            <w:r>
              <w:rPr>
                <w:rFonts w:hint="eastAsia" w:cs="宋体"/>
                <w:i w:val="0"/>
                <w:iCs w:val="0"/>
                <w:caps w:val="0"/>
                <w:color w:val="auto"/>
                <w:spacing w:val="0"/>
                <w:sz w:val="21"/>
                <w:szCs w:val="21"/>
                <w:lang w:val="en-US" w:eastAsia="zh-CN"/>
              </w:rPr>
              <w:t>1</w:t>
            </w:r>
            <w:r>
              <w:rPr>
                <w:rFonts w:hint="eastAsia" w:ascii="宋体" w:hAnsi="宋体" w:eastAsia="宋体" w:cs="宋体"/>
                <w:i w:val="0"/>
                <w:iCs w:val="0"/>
                <w:caps w:val="0"/>
                <w:color w:val="auto"/>
                <w:spacing w:val="0"/>
                <w:sz w:val="21"/>
                <w:szCs w:val="21"/>
                <w:lang w:val="en-US" w:eastAsia="zh-CN"/>
              </w:rPr>
              <w:t>、</w:t>
            </w:r>
            <w:r>
              <w:rPr>
                <w:rFonts w:hint="eastAsia" w:ascii="宋体" w:hAnsi="宋体" w:eastAsia="宋体" w:cs="宋体"/>
                <w:i w:val="0"/>
                <w:iCs w:val="0"/>
                <w:caps w:val="0"/>
                <w:color w:val="auto"/>
                <w:spacing w:val="0"/>
                <w:sz w:val="21"/>
                <w:szCs w:val="21"/>
              </w:rPr>
              <w:t>本项目不接受联合体磋商。</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lang w:val="en-US" w:eastAsia="zh-CN"/>
              </w:rPr>
              <w:t>声明</w:t>
            </w:r>
            <w:r>
              <w:rPr>
                <w:rFonts w:hint="eastAsia" w:ascii="宋体" w:hAnsi="宋体" w:eastAsia="宋体" w:cs="宋体"/>
                <w:i w:val="0"/>
                <w:iCs w:val="0"/>
                <w:caps w:val="0"/>
                <w:color w:val="auto"/>
                <w:spacing w:val="0"/>
                <w:sz w:val="21"/>
                <w:szCs w:val="21"/>
                <w:lang w:eastAsia="zh-CN"/>
              </w:rPr>
              <w:t>）</w:t>
            </w:r>
          </w:p>
          <w:p w14:paraId="574FEE7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358BA17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1、所有资质证件的复印件必须加盖单位公章附在磋商响应文件中。</w:t>
            </w:r>
          </w:p>
          <w:p w14:paraId="35D71C4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2、上述资格证明文件为必备资格，缺项按无效</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处理。</w:t>
            </w:r>
          </w:p>
        </w:tc>
      </w:tr>
      <w:tr w14:paraId="4EFB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7" w:type="dxa"/>
            <w:vAlign w:val="center"/>
          </w:tcPr>
          <w:p w14:paraId="3ED2A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5</w:t>
            </w:r>
          </w:p>
        </w:tc>
        <w:tc>
          <w:tcPr>
            <w:tcW w:w="1769" w:type="dxa"/>
            <w:vAlign w:val="center"/>
          </w:tcPr>
          <w:p w14:paraId="5C7750F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联合体竞争性</w:t>
            </w:r>
          </w:p>
          <w:p w14:paraId="43C129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p>
        </w:tc>
        <w:tc>
          <w:tcPr>
            <w:tcW w:w="7093" w:type="dxa"/>
            <w:shd w:val="clear" w:color="auto" w:fill="auto"/>
            <w:vAlign w:val="center"/>
          </w:tcPr>
          <w:p w14:paraId="6183C5D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AED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7" w:type="dxa"/>
            <w:vAlign w:val="center"/>
          </w:tcPr>
          <w:p w14:paraId="4A5C7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p>
        </w:tc>
        <w:tc>
          <w:tcPr>
            <w:tcW w:w="1769" w:type="dxa"/>
            <w:vAlign w:val="center"/>
          </w:tcPr>
          <w:p w14:paraId="246FBF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前答疑会</w:t>
            </w:r>
          </w:p>
        </w:tc>
        <w:tc>
          <w:tcPr>
            <w:tcW w:w="7093" w:type="dxa"/>
            <w:vAlign w:val="center"/>
          </w:tcPr>
          <w:p w14:paraId="491A19E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6ED5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62B525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7</w:t>
            </w:r>
          </w:p>
        </w:tc>
        <w:tc>
          <w:tcPr>
            <w:tcW w:w="1769" w:type="dxa"/>
            <w:vAlign w:val="center"/>
          </w:tcPr>
          <w:p w14:paraId="2D4BEBB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供应商提出询问和质疑的时间</w:t>
            </w:r>
          </w:p>
        </w:tc>
        <w:tc>
          <w:tcPr>
            <w:tcW w:w="7093" w:type="dxa"/>
            <w:vAlign w:val="center"/>
          </w:tcPr>
          <w:p w14:paraId="05080BF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已经购买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文件有询问或者质疑的，可以在知道或者知其权益受到损害之日起七个工作日内，以书面形式向采购人、采购代理机构提出。在此之后提出的询问和质疑均为无效，采购代理机构不予受理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供应商应当在法定质疑期内一次性提出针对同一采购程序环节的质疑。</w:t>
            </w:r>
          </w:p>
        </w:tc>
      </w:tr>
      <w:tr w14:paraId="25E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7E3162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8</w:t>
            </w:r>
          </w:p>
        </w:tc>
        <w:tc>
          <w:tcPr>
            <w:tcW w:w="1769" w:type="dxa"/>
            <w:vAlign w:val="center"/>
          </w:tcPr>
          <w:p w14:paraId="7A54945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采购代理机构答疑的时间</w:t>
            </w:r>
          </w:p>
        </w:tc>
        <w:tc>
          <w:tcPr>
            <w:tcW w:w="7093" w:type="dxa"/>
            <w:vAlign w:val="center"/>
          </w:tcPr>
          <w:p w14:paraId="5B3C761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对于供应商在规定时间内依法提出的询问和质疑，采购代理机构将在三个工作日内答复询问，七个工作日内答复质疑。</w:t>
            </w:r>
          </w:p>
        </w:tc>
      </w:tr>
      <w:tr w14:paraId="157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59312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19</w:t>
            </w:r>
          </w:p>
        </w:tc>
        <w:tc>
          <w:tcPr>
            <w:tcW w:w="1769" w:type="dxa"/>
            <w:vAlign w:val="center"/>
          </w:tcPr>
          <w:p w14:paraId="1EAA947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磋商有效期</w:t>
            </w:r>
          </w:p>
        </w:tc>
        <w:tc>
          <w:tcPr>
            <w:tcW w:w="7093" w:type="dxa"/>
            <w:vAlign w:val="center"/>
          </w:tcPr>
          <w:p w14:paraId="65652D8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日历天（自磋商截止之日算起）</w:t>
            </w:r>
          </w:p>
        </w:tc>
      </w:tr>
      <w:tr w14:paraId="3600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14:paraId="59711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0</w:t>
            </w:r>
          </w:p>
        </w:tc>
        <w:tc>
          <w:tcPr>
            <w:tcW w:w="1769" w:type="dxa"/>
            <w:vAlign w:val="center"/>
          </w:tcPr>
          <w:p w14:paraId="26C16A5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报价要求</w:t>
            </w:r>
          </w:p>
        </w:tc>
        <w:tc>
          <w:tcPr>
            <w:tcW w:w="7093" w:type="dxa"/>
            <w:vAlign w:val="center"/>
          </w:tcPr>
          <w:p w14:paraId="2121D6A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总价及分项报价</w:t>
            </w:r>
          </w:p>
          <w:p w14:paraId="1CD299C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1）报价应包含完成该项目工作所发生的全部费用以及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利润、税金和政策性文件规定及合同包含的所有风险、责任等一切费用；</w:t>
            </w:r>
          </w:p>
          <w:p w14:paraId="01AF581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必须对所投项目全部内容进行完整报价，并列出明细及价格组成。采购人不接受（将拒绝）只对项目部分内容进行报价的</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w:t>
            </w:r>
          </w:p>
        </w:tc>
      </w:tr>
      <w:tr w14:paraId="79A7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7" w:type="dxa"/>
            <w:vAlign w:val="center"/>
          </w:tcPr>
          <w:p w14:paraId="01986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p>
        </w:tc>
        <w:tc>
          <w:tcPr>
            <w:tcW w:w="1769" w:type="dxa"/>
            <w:vAlign w:val="center"/>
          </w:tcPr>
          <w:p w14:paraId="577D64F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w:t>
            </w:r>
          </w:p>
          <w:p w14:paraId="39E2A2E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方案</w:t>
            </w:r>
          </w:p>
        </w:tc>
        <w:tc>
          <w:tcPr>
            <w:tcW w:w="7093" w:type="dxa"/>
            <w:vAlign w:val="center"/>
          </w:tcPr>
          <w:p w14:paraId="2019D07F">
            <w:pPr>
              <w:keepNext w:val="0"/>
              <w:keepLines w:val="0"/>
              <w:pageBreakBefore w:val="0"/>
              <w:kinsoku/>
              <w:wordWrap/>
              <w:overflowPunct/>
              <w:topLinePunct w:val="0"/>
              <w:autoSpaceDE/>
              <w:autoSpaceDN/>
              <w:bidi w:val="0"/>
              <w:adjustRightInd/>
              <w:snapToGrid/>
              <w:spacing w:line="320" w:lineRule="exact"/>
              <w:ind w:left="315" w:leftChars="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A0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7" w:type="dxa"/>
            <w:vAlign w:val="center"/>
          </w:tcPr>
          <w:p w14:paraId="3F66E0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2</w:t>
            </w:r>
          </w:p>
        </w:tc>
        <w:tc>
          <w:tcPr>
            <w:tcW w:w="1769" w:type="dxa"/>
            <w:vAlign w:val="center"/>
          </w:tcPr>
          <w:p w14:paraId="6D8535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履约保证金</w:t>
            </w:r>
          </w:p>
        </w:tc>
        <w:tc>
          <w:tcPr>
            <w:tcW w:w="7093" w:type="dxa"/>
            <w:vAlign w:val="center"/>
          </w:tcPr>
          <w:p w14:paraId="62882D55">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按合同总金额的5%收取履约保证金</w:t>
            </w:r>
          </w:p>
        </w:tc>
      </w:tr>
      <w:tr w14:paraId="71E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7" w:type="dxa"/>
            <w:vAlign w:val="center"/>
          </w:tcPr>
          <w:p w14:paraId="498D0D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3</w:t>
            </w:r>
          </w:p>
        </w:tc>
        <w:tc>
          <w:tcPr>
            <w:tcW w:w="1769" w:type="dxa"/>
            <w:vAlign w:val="center"/>
          </w:tcPr>
          <w:p w14:paraId="6B08D8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磋商保证金</w:t>
            </w:r>
          </w:p>
        </w:tc>
        <w:tc>
          <w:tcPr>
            <w:tcW w:w="7093" w:type="dxa"/>
            <w:vAlign w:val="center"/>
          </w:tcPr>
          <w:p w14:paraId="42B99360">
            <w:pPr>
              <w:pStyle w:val="84"/>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无</w:t>
            </w:r>
          </w:p>
        </w:tc>
      </w:tr>
      <w:tr w14:paraId="0A73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7" w:type="dxa"/>
            <w:vAlign w:val="center"/>
          </w:tcPr>
          <w:p w14:paraId="017B97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4</w:t>
            </w:r>
          </w:p>
        </w:tc>
        <w:tc>
          <w:tcPr>
            <w:tcW w:w="1769" w:type="dxa"/>
            <w:vAlign w:val="center"/>
          </w:tcPr>
          <w:p w14:paraId="5EB1553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信用查询</w:t>
            </w:r>
          </w:p>
        </w:tc>
        <w:tc>
          <w:tcPr>
            <w:tcW w:w="7093" w:type="dxa"/>
            <w:vAlign w:val="top"/>
          </w:tcPr>
          <w:p w14:paraId="5F4C0A79">
            <w:pPr>
              <w:pStyle w:val="14"/>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1BDE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7" w:type="dxa"/>
            <w:vAlign w:val="center"/>
          </w:tcPr>
          <w:p w14:paraId="60F0E6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5</w:t>
            </w:r>
          </w:p>
        </w:tc>
        <w:tc>
          <w:tcPr>
            <w:tcW w:w="1769" w:type="dxa"/>
            <w:vAlign w:val="center"/>
          </w:tcPr>
          <w:p w14:paraId="347569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投标人失信行为</w:t>
            </w:r>
          </w:p>
        </w:tc>
        <w:tc>
          <w:tcPr>
            <w:tcW w:w="7093" w:type="dxa"/>
            <w:vAlign w:val="center"/>
          </w:tcPr>
          <w:p w14:paraId="5CF2AA8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5E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7" w:type="dxa"/>
            <w:vAlign w:val="center"/>
          </w:tcPr>
          <w:p w14:paraId="0B1DF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6</w:t>
            </w:r>
          </w:p>
        </w:tc>
        <w:tc>
          <w:tcPr>
            <w:tcW w:w="1769" w:type="dxa"/>
            <w:vAlign w:val="center"/>
          </w:tcPr>
          <w:p w14:paraId="2861C07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093" w:type="dxa"/>
            <w:vAlign w:val="center"/>
          </w:tcPr>
          <w:p w14:paraId="14F579A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磋商响应文件中要求盖章签字的地方，均应按</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副本可以为正本的复印件。 </w:t>
            </w:r>
          </w:p>
        </w:tc>
      </w:tr>
      <w:tr w14:paraId="7B77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97964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7</w:t>
            </w:r>
          </w:p>
        </w:tc>
        <w:tc>
          <w:tcPr>
            <w:tcW w:w="1769" w:type="dxa"/>
            <w:tcBorders>
              <w:top w:val="single" w:color="auto" w:sz="4" w:space="0"/>
              <w:left w:val="single" w:color="auto" w:sz="4" w:space="0"/>
              <w:bottom w:val="single" w:color="auto" w:sz="4" w:space="0"/>
              <w:right w:val="single" w:color="auto" w:sz="4" w:space="0"/>
            </w:tcBorders>
            <w:vAlign w:val="center"/>
          </w:tcPr>
          <w:p w14:paraId="01B1A0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文件份数</w:t>
            </w:r>
          </w:p>
        </w:tc>
        <w:tc>
          <w:tcPr>
            <w:tcW w:w="7093" w:type="dxa"/>
            <w:tcBorders>
              <w:top w:val="single" w:color="auto" w:sz="4" w:space="0"/>
              <w:left w:val="single" w:color="auto" w:sz="4" w:space="0"/>
              <w:bottom w:val="single" w:color="auto" w:sz="4" w:space="0"/>
              <w:right w:val="single" w:color="auto" w:sz="4" w:space="0"/>
            </w:tcBorders>
            <w:vAlign w:val="center"/>
          </w:tcPr>
          <w:p w14:paraId="7506C89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正本壹份，副本贰份，电子版（U盘）壹份</w:t>
            </w:r>
          </w:p>
        </w:tc>
      </w:tr>
      <w:tr w14:paraId="4AF8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0C6C0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8</w:t>
            </w:r>
          </w:p>
        </w:tc>
        <w:tc>
          <w:tcPr>
            <w:tcW w:w="1769" w:type="dxa"/>
            <w:tcBorders>
              <w:top w:val="single" w:color="auto" w:sz="4" w:space="0"/>
              <w:left w:val="single" w:color="auto" w:sz="4" w:space="0"/>
              <w:bottom w:val="single" w:color="auto" w:sz="4" w:space="0"/>
              <w:right w:val="single" w:color="auto" w:sz="4" w:space="0"/>
            </w:tcBorders>
            <w:vAlign w:val="center"/>
          </w:tcPr>
          <w:p w14:paraId="7778ACD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电子版</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p>
        </w:tc>
        <w:tc>
          <w:tcPr>
            <w:tcW w:w="7093" w:type="dxa"/>
            <w:tcBorders>
              <w:top w:val="single" w:color="auto" w:sz="4" w:space="0"/>
              <w:left w:val="single" w:color="auto" w:sz="4" w:space="0"/>
              <w:bottom w:val="single" w:color="auto" w:sz="4" w:space="0"/>
              <w:right w:val="single" w:color="auto" w:sz="4" w:space="0"/>
            </w:tcBorders>
            <w:vAlign w:val="center"/>
          </w:tcPr>
          <w:p w14:paraId="28EF2CD5">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格式和载体要求： </w:t>
            </w:r>
          </w:p>
          <w:p w14:paraId="486DD55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val="0"/>
                <w:bCs w:val="0"/>
                <w:color w:val="auto"/>
                <w:sz w:val="21"/>
                <w:szCs w:val="21"/>
                <w:highlight w:val="none"/>
                <w:u w:val="none"/>
              </w:rPr>
              <w:t>供应商须另行提供与纸质</w:t>
            </w:r>
            <w:r>
              <w:rPr>
                <w:rFonts w:hint="eastAsia" w:ascii="宋体" w:hAnsi="宋体" w:eastAsia="宋体" w:cs="宋体"/>
                <w:b w:val="0"/>
                <w:bCs w:val="0"/>
                <w:color w:val="auto"/>
                <w:sz w:val="21"/>
                <w:szCs w:val="21"/>
                <w:highlight w:val="none"/>
                <w:u w:val="none"/>
                <w:lang w:val="en-US" w:eastAsia="zh-CN"/>
              </w:rPr>
              <w:t>响应</w:t>
            </w:r>
            <w:r>
              <w:rPr>
                <w:rFonts w:hint="eastAsia" w:ascii="宋体" w:hAnsi="宋体" w:eastAsia="宋体" w:cs="宋体"/>
                <w:b w:val="0"/>
                <w:bCs w:val="0"/>
                <w:color w:val="auto"/>
                <w:sz w:val="21"/>
                <w:szCs w:val="21"/>
                <w:highlight w:val="none"/>
                <w:u w:val="none"/>
              </w:rPr>
              <w:t>文件正本一致的Word格式</w:t>
            </w:r>
            <w:r>
              <w:rPr>
                <w:rFonts w:hint="eastAsia" w:ascii="宋体" w:hAnsi="宋体" w:eastAsia="宋体" w:cs="宋体"/>
                <w:b w:val="0"/>
                <w:bCs w:val="0"/>
                <w:color w:val="auto"/>
                <w:sz w:val="21"/>
                <w:szCs w:val="21"/>
                <w:highlight w:val="none"/>
                <w:u w:val="none"/>
                <w:lang w:val="en-US" w:eastAsia="zh-CN"/>
              </w:rPr>
              <w:t>或</w:t>
            </w:r>
            <w:r>
              <w:rPr>
                <w:rFonts w:hint="eastAsia" w:ascii="宋体" w:hAnsi="宋体" w:eastAsia="宋体" w:cs="宋体"/>
                <w:b/>
                <w:bCs/>
                <w:color w:val="auto"/>
                <w:sz w:val="21"/>
                <w:szCs w:val="21"/>
                <w:highlight w:val="none"/>
                <w:u w:val="none"/>
              </w:rPr>
              <w:t>PDF版本</w:t>
            </w:r>
            <w:r>
              <w:rPr>
                <w:rFonts w:hint="eastAsia" w:ascii="宋体" w:hAnsi="宋体" w:eastAsia="宋体" w:cs="宋体"/>
                <w:b w:val="0"/>
                <w:bCs w:val="0"/>
                <w:color w:val="auto"/>
                <w:sz w:val="21"/>
                <w:szCs w:val="21"/>
                <w:highlight w:val="none"/>
                <w:u w:val="none"/>
              </w:rPr>
              <w:t>的电子版</w:t>
            </w:r>
            <w:r>
              <w:rPr>
                <w:rFonts w:hint="eastAsia" w:ascii="宋体" w:hAnsi="宋体" w:eastAsia="宋体" w:cs="宋体"/>
                <w:b w:val="0"/>
                <w:bCs w:val="0"/>
                <w:color w:val="auto"/>
                <w:sz w:val="21"/>
                <w:szCs w:val="21"/>
                <w:highlight w:val="none"/>
                <w:u w:val="none"/>
                <w:lang w:val="en-US" w:eastAsia="zh-CN"/>
              </w:rPr>
              <w:t>响应</w:t>
            </w:r>
            <w:r>
              <w:rPr>
                <w:rFonts w:hint="eastAsia" w:ascii="宋体" w:hAnsi="宋体" w:eastAsia="宋体" w:cs="宋体"/>
                <w:b w:val="0"/>
                <w:bCs w:val="0"/>
                <w:color w:val="auto"/>
                <w:sz w:val="21"/>
                <w:szCs w:val="21"/>
                <w:highlight w:val="none"/>
                <w:u w:val="none"/>
              </w:rPr>
              <w:t>文件</w:t>
            </w:r>
            <w:r>
              <w:rPr>
                <w:rFonts w:hint="eastAsia" w:ascii="宋体" w:hAnsi="宋体" w:eastAsia="宋体" w:cs="宋体"/>
                <w:b w:val="0"/>
                <w:bCs w:val="0"/>
                <w:color w:val="auto"/>
                <w:sz w:val="21"/>
                <w:szCs w:val="21"/>
                <w:highlight w:val="none"/>
                <w:u w:val="none"/>
                <w:lang w:val="en-US" w:eastAsia="zh-CN"/>
              </w:rPr>
              <w:t>,电子文本与纸质不一致已纸质为准</w:t>
            </w:r>
            <w:r>
              <w:rPr>
                <w:rFonts w:hint="eastAsia" w:ascii="宋体" w:hAnsi="宋体" w:eastAsia="宋体" w:cs="宋体"/>
                <w:b w:val="0"/>
                <w:bCs w:val="0"/>
                <w:color w:val="auto"/>
                <w:sz w:val="21"/>
                <w:szCs w:val="21"/>
                <w:highlight w:val="none"/>
                <w:u w:val="none"/>
              </w:rPr>
              <w:t>；</w:t>
            </w:r>
          </w:p>
          <w:p w14:paraId="0ED44C2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须保证</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文件的纸质文件与电子文档保持一致；</w:t>
            </w:r>
          </w:p>
        </w:tc>
      </w:tr>
      <w:tr w14:paraId="02F0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C840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29</w:t>
            </w:r>
          </w:p>
        </w:tc>
        <w:tc>
          <w:tcPr>
            <w:tcW w:w="1769" w:type="dxa"/>
            <w:tcBorders>
              <w:top w:val="single" w:color="auto" w:sz="4" w:space="0"/>
              <w:left w:val="single" w:color="auto" w:sz="4" w:space="0"/>
              <w:bottom w:val="single" w:color="auto" w:sz="4" w:space="0"/>
              <w:right w:val="single" w:color="auto" w:sz="4" w:space="0"/>
            </w:tcBorders>
            <w:vAlign w:val="center"/>
          </w:tcPr>
          <w:p w14:paraId="277643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装订、包装、密封及标记要求</w:t>
            </w:r>
          </w:p>
        </w:tc>
        <w:tc>
          <w:tcPr>
            <w:tcW w:w="7093" w:type="dxa"/>
            <w:tcBorders>
              <w:top w:val="single" w:color="auto" w:sz="4" w:space="0"/>
              <w:left w:val="single" w:color="auto" w:sz="4" w:space="0"/>
              <w:bottom w:val="single" w:color="auto" w:sz="4" w:space="0"/>
              <w:right w:val="single" w:color="auto" w:sz="4" w:space="0"/>
            </w:tcBorders>
            <w:vAlign w:val="center"/>
          </w:tcPr>
          <w:p w14:paraId="22395833">
            <w:pPr>
              <w:keepNext w:val="0"/>
              <w:keepLines w:val="0"/>
              <w:pageBreakBefore w:val="0"/>
              <w:kinsoku/>
              <w:wordWrap/>
              <w:overflowPunct/>
              <w:topLinePunct w:val="0"/>
              <w:autoSpaceDE/>
              <w:autoSpaceDN/>
              <w:bidi w:val="0"/>
              <w:adjustRightInd/>
              <w:snapToGrid/>
              <w:spacing w:line="320" w:lineRule="exact"/>
              <w:ind w:left="315"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1）文件正、副本应分别装订成册，装订应牢固、不易拆散和换页，不得采用活页装订。</w:t>
            </w:r>
          </w:p>
          <w:p w14:paraId="55B0B0D3">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2）密封包装方式：</w:t>
            </w:r>
            <w:r>
              <w:rPr>
                <w:rFonts w:hint="eastAsia" w:ascii="宋体" w:hAnsi="宋体" w:cs="宋体"/>
                <w:color w:val="auto"/>
                <w:sz w:val="21"/>
                <w:szCs w:val="21"/>
                <w:highlight w:val="none"/>
                <w:lang w:val="en-US" w:eastAsia="zh-CN"/>
              </w:rPr>
              <w:t>密封完整</w:t>
            </w:r>
          </w:p>
          <w:p w14:paraId="1CC7399F">
            <w:pPr>
              <w:keepNext w:val="0"/>
              <w:keepLines w:val="0"/>
              <w:pageBreakBefore w:val="0"/>
              <w:kinsoku/>
              <w:wordWrap/>
              <w:overflowPunct/>
              <w:topLinePunct w:val="0"/>
              <w:autoSpaceDE/>
              <w:autoSpaceDN/>
              <w:bidi w:val="0"/>
              <w:adjustRightInd/>
              <w:snapToGrid/>
              <w:spacing w:line="320" w:lineRule="exact"/>
              <w:ind w:left="589" w:leftChars="114"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3）封套上应写明：</w:t>
            </w:r>
          </w:p>
          <w:p w14:paraId="4555968B">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                       正</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/副</w:t>
            </w:r>
            <w:r>
              <w:rPr>
                <w:rFonts w:hint="eastAsia" w:ascii="宋体" w:hAnsi="宋体" w:eastAsia="宋体" w:cs="宋体"/>
                <w:color w:val="auto"/>
                <w:sz w:val="21"/>
                <w:szCs w:val="21"/>
                <w:highlight w:val="none"/>
                <w:lang w:val="en-US" w:eastAsia="zh-CN"/>
              </w:rPr>
              <w:t>本/电子版</w:t>
            </w:r>
          </w:p>
          <w:p w14:paraId="0981C0A1">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4D239E50">
            <w:pPr>
              <w:keepNext w:val="0"/>
              <w:keepLines w:val="0"/>
              <w:pageBreakBefore w:val="0"/>
              <w:kinsoku/>
              <w:wordWrap/>
              <w:overflowPunct/>
              <w:topLinePunct w:val="0"/>
              <w:autoSpaceDE/>
              <w:autoSpaceDN/>
              <w:bidi w:val="0"/>
              <w:adjustRightInd/>
              <w:snapToGrid/>
              <w:spacing w:line="320" w:lineRule="exact"/>
              <w:ind w:firstLine="1890" w:firstLineChars="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p>
          <w:p w14:paraId="36422396">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在    年  月  日 时  分前</w:t>
            </w:r>
            <w:r>
              <w:rPr>
                <w:rFonts w:hint="eastAsia" w:ascii="宋体" w:hAnsi="宋体" w:eastAsia="宋体" w:cs="宋体"/>
                <w:color w:val="auto"/>
                <w:sz w:val="21"/>
                <w:szCs w:val="21"/>
                <w:highlight w:val="none"/>
              </w:rPr>
              <w:t>不得开启</w:t>
            </w:r>
          </w:p>
          <w:p w14:paraId="4D37731C">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（公章）</w:t>
            </w:r>
          </w:p>
          <w:p w14:paraId="218D84E1">
            <w:pPr>
              <w:keepNext w:val="0"/>
              <w:keepLines w:val="0"/>
              <w:pageBreakBefore w:val="0"/>
              <w:kinsoku/>
              <w:wordWrap/>
              <w:overflowPunct/>
              <w:topLinePunct w:val="0"/>
              <w:autoSpaceDE/>
              <w:autoSpaceDN/>
              <w:bidi w:val="0"/>
              <w:adjustRightInd/>
              <w:snapToGrid/>
              <w:spacing w:line="320" w:lineRule="exact"/>
              <w:ind w:left="511" w:leftChars="213" w:firstLine="235" w:firstLineChars="11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w:t>
            </w:r>
            <w:r>
              <w:rPr>
                <w:rFonts w:hint="eastAsia" w:ascii="宋体" w:hAnsi="宋体" w:eastAsia="宋体" w:cs="宋体"/>
                <w:color w:val="auto"/>
                <w:sz w:val="21"/>
                <w:szCs w:val="21"/>
                <w:highlight w:val="none"/>
                <w:u w:val="single"/>
              </w:rPr>
              <w:t xml:space="preserve">   （签字或盖章）</w:t>
            </w:r>
          </w:p>
        </w:tc>
      </w:tr>
      <w:tr w14:paraId="59CB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34382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0</w:t>
            </w:r>
          </w:p>
        </w:tc>
        <w:tc>
          <w:tcPr>
            <w:tcW w:w="1769" w:type="dxa"/>
            <w:tcBorders>
              <w:top w:val="single" w:color="auto" w:sz="4" w:space="0"/>
              <w:left w:val="single" w:color="auto" w:sz="4" w:space="0"/>
              <w:bottom w:val="single" w:color="auto" w:sz="4" w:space="0"/>
              <w:right w:val="single" w:color="auto" w:sz="4" w:space="0"/>
            </w:tcBorders>
            <w:vAlign w:val="center"/>
          </w:tcPr>
          <w:p w14:paraId="5202209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文件递交</w:t>
            </w:r>
            <w:r>
              <w:rPr>
                <w:rFonts w:hint="eastAsia" w:ascii="宋体" w:hAnsi="宋体" w:eastAsia="宋体" w:cs="宋体"/>
                <w:color w:val="auto"/>
                <w:sz w:val="21"/>
                <w:szCs w:val="21"/>
                <w:highlight w:val="none"/>
                <w:lang w:val="en-US" w:eastAsia="zh-CN"/>
              </w:rPr>
              <w:t>截止</w:t>
            </w:r>
            <w:r>
              <w:rPr>
                <w:rFonts w:hint="eastAsia" w:ascii="宋体" w:hAnsi="宋体" w:eastAsia="宋体" w:cs="宋体"/>
                <w:color w:val="auto"/>
                <w:sz w:val="21"/>
                <w:szCs w:val="21"/>
                <w:highlight w:val="none"/>
              </w:rPr>
              <w:t>时间和地点</w:t>
            </w:r>
          </w:p>
        </w:tc>
        <w:tc>
          <w:tcPr>
            <w:tcW w:w="7093" w:type="dxa"/>
            <w:tcBorders>
              <w:top w:val="single" w:color="auto" w:sz="4" w:space="0"/>
              <w:left w:val="single" w:color="auto" w:sz="4" w:space="0"/>
              <w:bottom w:val="single" w:color="auto" w:sz="4" w:space="0"/>
              <w:right w:val="single" w:color="auto" w:sz="4" w:space="0"/>
            </w:tcBorders>
            <w:vAlign w:val="center"/>
          </w:tcPr>
          <w:p w14:paraId="7492390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2025年06月11日 09时30分00秒 </w:t>
            </w:r>
            <w:r>
              <w:rPr>
                <w:rFonts w:hint="eastAsia" w:ascii="宋体" w:hAnsi="宋体" w:eastAsia="宋体" w:cs="宋体"/>
                <w:color w:val="auto"/>
                <w:sz w:val="21"/>
                <w:szCs w:val="21"/>
                <w:highlight w:val="none"/>
              </w:rPr>
              <w:t>（北京时间</w:t>
            </w:r>
            <w:r>
              <w:rPr>
                <w:rFonts w:hint="eastAsia" w:ascii="宋体" w:hAnsi="宋体" w:eastAsia="宋体" w:cs="宋体"/>
                <w:i w:val="0"/>
                <w:iCs w:val="0"/>
                <w:caps w:val="0"/>
                <w:color w:val="auto"/>
                <w:spacing w:val="0"/>
                <w:sz w:val="21"/>
                <w:szCs w:val="21"/>
              </w:rPr>
              <w:t>）</w:t>
            </w:r>
          </w:p>
          <w:p w14:paraId="60410FB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color w:val="auto"/>
                <w:sz w:val="21"/>
                <w:szCs w:val="21"/>
                <w:lang w:eastAsia="zh-CN"/>
              </w:rPr>
              <w:t>西安市曲江新区雁翔路3269号【旺座·曲江】E座</w:t>
            </w:r>
            <w:r>
              <w:rPr>
                <w:rFonts w:hint="eastAsia"/>
                <w:color w:val="auto"/>
                <w:sz w:val="21"/>
                <w:szCs w:val="21"/>
                <w:lang w:val="en-US" w:eastAsia="zh-CN"/>
              </w:rPr>
              <w:t>30</w:t>
            </w:r>
            <w:r>
              <w:rPr>
                <w:rFonts w:hint="eastAsia"/>
                <w:color w:val="auto"/>
                <w:sz w:val="21"/>
                <w:szCs w:val="21"/>
                <w:lang w:eastAsia="zh-CN"/>
              </w:rPr>
              <w:t>层</w:t>
            </w:r>
            <w:r>
              <w:rPr>
                <w:rFonts w:hint="eastAsia"/>
                <w:color w:val="auto"/>
                <w:sz w:val="21"/>
                <w:szCs w:val="21"/>
                <w:lang w:val="en-US" w:eastAsia="zh-CN"/>
              </w:rPr>
              <w:t>第三</w:t>
            </w:r>
            <w:r>
              <w:rPr>
                <w:rFonts w:hint="eastAsia"/>
                <w:color w:val="auto"/>
                <w:sz w:val="21"/>
                <w:szCs w:val="21"/>
              </w:rPr>
              <w:t>会议室</w:t>
            </w:r>
          </w:p>
        </w:tc>
      </w:tr>
      <w:tr w14:paraId="3CE3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A6F7C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1</w:t>
            </w:r>
          </w:p>
        </w:tc>
        <w:tc>
          <w:tcPr>
            <w:tcW w:w="1769" w:type="dxa"/>
            <w:tcBorders>
              <w:top w:val="single" w:color="auto" w:sz="4" w:space="0"/>
              <w:left w:val="single" w:color="auto" w:sz="4" w:space="0"/>
              <w:bottom w:val="single" w:color="auto" w:sz="4" w:space="0"/>
              <w:right w:val="single" w:color="auto" w:sz="4" w:space="0"/>
            </w:tcBorders>
            <w:vAlign w:val="center"/>
          </w:tcPr>
          <w:p w14:paraId="0D6CC4E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时间和地点</w:t>
            </w:r>
          </w:p>
        </w:tc>
        <w:tc>
          <w:tcPr>
            <w:tcW w:w="7093" w:type="dxa"/>
            <w:tcBorders>
              <w:top w:val="single" w:color="auto" w:sz="4" w:space="0"/>
              <w:left w:val="single" w:color="auto" w:sz="4" w:space="0"/>
              <w:bottom w:val="single" w:color="auto" w:sz="4" w:space="0"/>
              <w:right w:val="single" w:color="auto" w:sz="4" w:space="0"/>
            </w:tcBorders>
            <w:vAlign w:val="center"/>
          </w:tcPr>
          <w:p w14:paraId="5C5A546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2025年06月11日 09时30分00秒</w:t>
            </w:r>
            <w:r>
              <w:rPr>
                <w:rFonts w:hint="eastAsia" w:ascii="宋体" w:hAnsi="宋体" w:eastAsia="宋体" w:cs="宋体"/>
                <w:i w:val="0"/>
                <w:iCs w:val="0"/>
                <w:caps w:val="0"/>
                <w:color w:val="auto"/>
                <w:spacing w:val="0"/>
                <w:sz w:val="21"/>
                <w:szCs w:val="21"/>
              </w:rPr>
              <w:t>（北京时间）</w:t>
            </w:r>
          </w:p>
          <w:p w14:paraId="34A0705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color w:val="auto"/>
                <w:sz w:val="21"/>
                <w:szCs w:val="21"/>
                <w:lang w:eastAsia="zh-CN"/>
              </w:rPr>
              <w:t>西安市曲江新区雁翔路3269号【旺座·曲江】E座</w:t>
            </w:r>
            <w:r>
              <w:rPr>
                <w:rFonts w:hint="eastAsia"/>
                <w:color w:val="auto"/>
                <w:sz w:val="21"/>
                <w:szCs w:val="21"/>
                <w:lang w:val="en-US" w:eastAsia="zh-CN"/>
              </w:rPr>
              <w:t>30</w:t>
            </w:r>
            <w:r>
              <w:rPr>
                <w:rFonts w:hint="eastAsia"/>
                <w:color w:val="auto"/>
                <w:sz w:val="21"/>
                <w:szCs w:val="21"/>
                <w:lang w:eastAsia="zh-CN"/>
              </w:rPr>
              <w:t>层</w:t>
            </w:r>
            <w:r>
              <w:rPr>
                <w:rFonts w:hint="eastAsia"/>
                <w:color w:val="auto"/>
                <w:sz w:val="21"/>
                <w:szCs w:val="21"/>
                <w:lang w:val="en-US" w:eastAsia="zh-CN"/>
              </w:rPr>
              <w:t>第三</w:t>
            </w:r>
            <w:r>
              <w:rPr>
                <w:rFonts w:hint="eastAsia"/>
                <w:color w:val="auto"/>
                <w:sz w:val="21"/>
                <w:szCs w:val="21"/>
              </w:rPr>
              <w:t>会议室</w:t>
            </w:r>
          </w:p>
        </w:tc>
      </w:tr>
      <w:tr w14:paraId="3005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719C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2</w:t>
            </w:r>
          </w:p>
        </w:tc>
        <w:tc>
          <w:tcPr>
            <w:tcW w:w="1769" w:type="dxa"/>
            <w:tcBorders>
              <w:top w:val="single" w:color="auto" w:sz="4" w:space="0"/>
              <w:left w:val="single" w:color="auto" w:sz="4" w:space="0"/>
              <w:bottom w:val="single" w:color="auto" w:sz="4" w:space="0"/>
              <w:right w:val="single" w:color="auto" w:sz="4" w:space="0"/>
            </w:tcBorders>
            <w:vAlign w:val="center"/>
          </w:tcPr>
          <w:p w14:paraId="0C75F86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是否退还磋商响应</w:t>
            </w:r>
          </w:p>
          <w:p w14:paraId="475809A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文件</w:t>
            </w:r>
          </w:p>
        </w:tc>
        <w:tc>
          <w:tcPr>
            <w:tcW w:w="7093" w:type="dxa"/>
            <w:tcBorders>
              <w:top w:val="single" w:color="auto" w:sz="4" w:space="0"/>
              <w:left w:val="single" w:color="auto" w:sz="4" w:space="0"/>
              <w:bottom w:val="single" w:color="auto" w:sz="4" w:space="0"/>
              <w:right w:val="single" w:color="auto" w:sz="4" w:space="0"/>
            </w:tcBorders>
            <w:vAlign w:val="center"/>
          </w:tcPr>
          <w:p w14:paraId="12CCEE4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14:paraId="66F8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A5EEB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3</w:t>
            </w:r>
          </w:p>
        </w:tc>
        <w:tc>
          <w:tcPr>
            <w:tcW w:w="1769" w:type="dxa"/>
            <w:tcBorders>
              <w:top w:val="single" w:color="auto" w:sz="4" w:space="0"/>
              <w:left w:val="single" w:color="auto" w:sz="4" w:space="0"/>
              <w:bottom w:val="single" w:color="auto" w:sz="4" w:space="0"/>
              <w:right w:val="single" w:color="auto" w:sz="4" w:space="0"/>
            </w:tcBorders>
            <w:vAlign w:val="center"/>
          </w:tcPr>
          <w:p w14:paraId="56A17B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val="en-US" w:eastAsia="zh-CN"/>
              </w:rPr>
              <w:t>小组</w:t>
            </w:r>
            <w:r>
              <w:rPr>
                <w:rFonts w:hint="eastAsia" w:ascii="宋体" w:hAnsi="宋体" w:eastAsia="宋体" w:cs="宋体"/>
                <w:color w:val="auto"/>
                <w:sz w:val="21"/>
                <w:szCs w:val="21"/>
                <w:highlight w:val="none"/>
              </w:rPr>
              <w:t>的组建</w:t>
            </w:r>
          </w:p>
        </w:tc>
        <w:tc>
          <w:tcPr>
            <w:tcW w:w="7093" w:type="dxa"/>
            <w:tcBorders>
              <w:top w:val="single" w:color="auto" w:sz="4" w:space="0"/>
              <w:left w:val="single" w:color="auto" w:sz="4" w:space="0"/>
              <w:bottom w:val="single" w:color="auto" w:sz="4" w:space="0"/>
              <w:right w:val="single" w:color="auto" w:sz="4" w:space="0"/>
            </w:tcBorders>
            <w:vAlign w:val="center"/>
          </w:tcPr>
          <w:p w14:paraId="12CB910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磋商小组构成：3人，其中项目采购人代表1人，专家2人；</w:t>
            </w:r>
          </w:p>
          <w:p w14:paraId="1ADC164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专家确定方式：从专家库随机抽取</w:t>
            </w:r>
          </w:p>
        </w:tc>
      </w:tr>
      <w:tr w14:paraId="6FD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ECAF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4</w:t>
            </w:r>
          </w:p>
        </w:tc>
        <w:tc>
          <w:tcPr>
            <w:tcW w:w="1769" w:type="dxa"/>
            <w:tcBorders>
              <w:top w:val="single" w:color="auto" w:sz="4" w:space="0"/>
              <w:left w:val="single" w:color="auto" w:sz="4" w:space="0"/>
              <w:bottom w:val="single" w:color="auto" w:sz="4" w:space="0"/>
              <w:right w:val="single" w:color="auto" w:sz="4" w:space="0"/>
            </w:tcBorders>
            <w:vAlign w:val="center"/>
          </w:tcPr>
          <w:p w14:paraId="1BA8024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是否授权磋商小组确定磋商供应商</w:t>
            </w:r>
          </w:p>
        </w:tc>
        <w:tc>
          <w:tcPr>
            <w:tcW w:w="7093" w:type="dxa"/>
            <w:tcBorders>
              <w:top w:val="single" w:color="auto" w:sz="4" w:space="0"/>
              <w:left w:val="single" w:color="auto" w:sz="4" w:space="0"/>
              <w:bottom w:val="single" w:color="auto" w:sz="4" w:space="0"/>
              <w:right w:val="single" w:color="auto" w:sz="4" w:space="0"/>
            </w:tcBorders>
            <w:vAlign w:val="center"/>
          </w:tcPr>
          <w:p w14:paraId="3A099CB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eastAsia="zh-CN"/>
              </w:rPr>
              <w:t>；</w:t>
            </w:r>
          </w:p>
        </w:tc>
      </w:tr>
      <w:tr w14:paraId="115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7128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5</w:t>
            </w:r>
          </w:p>
        </w:tc>
        <w:tc>
          <w:tcPr>
            <w:tcW w:w="1769" w:type="dxa"/>
            <w:tcBorders>
              <w:top w:val="single" w:color="auto" w:sz="4" w:space="0"/>
              <w:left w:val="single" w:color="auto" w:sz="4" w:space="0"/>
              <w:bottom w:val="single" w:color="auto" w:sz="4" w:space="0"/>
              <w:right w:val="single" w:color="auto" w:sz="4" w:space="0"/>
            </w:tcBorders>
            <w:vAlign w:val="center"/>
          </w:tcPr>
          <w:p w14:paraId="05BAFD1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磋商报价次数、磋商程序和最终报价的产生原则</w:t>
            </w:r>
          </w:p>
        </w:tc>
        <w:tc>
          <w:tcPr>
            <w:tcW w:w="7093" w:type="dxa"/>
            <w:tcBorders>
              <w:top w:val="single" w:color="auto" w:sz="4" w:space="0"/>
              <w:left w:val="single" w:color="auto" w:sz="4" w:space="0"/>
              <w:bottom w:val="single" w:color="auto" w:sz="4" w:space="0"/>
              <w:right w:val="single" w:color="auto" w:sz="4" w:space="0"/>
            </w:tcBorders>
            <w:vAlign w:val="center"/>
          </w:tcPr>
          <w:p w14:paraId="16FF6E7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本次磋商采用二次报价。</w:t>
            </w:r>
          </w:p>
          <w:p w14:paraId="5079DA8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磋商程序为：</w:t>
            </w:r>
          </w:p>
          <w:p w14:paraId="3FD7D6C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1.磋商小组对所有提交的响应文件进行评审；</w:t>
            </w:r>
          </w:p>
          <w:p w14:paraId="4C40DD9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2.磋商小组所有成员集中与单一供应商分别进行磋商；</w:t>
            </w:r>
          </w:p>
          <w:p w14:paraId="77156A5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3.供应商按照要求提交二次报价；</w:t>
            </w:r>
          </w:p>
          <w:p w14:paraId="29ADEDD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4.磋商小组评审、推荐成交候选人。</w:t>
            </w:r>
          </w:p>
          <w:p w14:paraId="1DD165F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在磋商过程中，磋商小组可以根据磋商文件和磋商情况实质性变动采购需求中的技术、服务要求以及合同草案条款，二次报价为最终报价。</w:t>
            </w:r>
          </w:p>
        </w:tc>
      </w:tr>
      <w:tr w14:paraId="5A12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679CA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6</w:t>
            </w:r>
          </w:p>
        </w:tc>
        <w:tc>
          <w:tcPr>
            <w:tcW w:w="1769" w:type="dxa"/>
            <w:tcBorders>
              <w:top w:val="single" w:color="auto" w:sz="4" w:space="0"/>
              <w:left w:val="single" w:color="auto" w:sz="4" w:space="0"/>
              <w:bottom w:val="single" w:color="auto" w:sz="4" w:space="0"/>
              <w:right w:val="single" w:color="auto" w:sz="4" w:space="0"/>
            </w:tcBorders>
            <w:vAlign w:val="center"/>
          </w:tcPr>
          <w:p w14:paraId="0F391E3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7093" w:type="dxa"/>
            <w:tcBorders>
              <w:top w:val="single" w:color="auto" w:sz="4" w:space="0"/>
              <w:left w:val="single" w:color="auto" w:sz="4" w:space="0"/>
              <w:bottom w:val="single" w:color="auto" w:sz="4" w:space="0"/>
              <w:right w:val="single" w:color="auto" w:sz="4" w:space="0"/>
            </w:tcBorders>
            <w:vAlign w:val="center"/>
          </w:tcPr>
          <w:p w14:paraId="300E2BA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参考国家计委颁布的《招标代理服务收费管理暂行办法》（计价格〔2002〕1980号）、发改办价格〔2003〕857号、发改价格〔2011〕534号及发改价格〔2015〕299号文件规定收取，</w:t>
            </w:r>
            <w:r>
              <w:rPr>
                <w:rFonts w:hint="eastAsia" w:ascii="宋体" w:hAnsi="宋体" w:cs="宋体"/>
                <w:color w:val="auto"/>
                <w:sz w:val="21"/>
                <w:szCs w:val="21"/>
                <w:highlight w:val="none"/>
                <w:lang w:val="en-US" w:eastAsia="zh-CN"/>
              </w:rPr>
              <w:t>不足5000.00元，按5000.00元计取。</w:t>
            </w:r>
            <w:r>
              <w:rPr>
                <w:rFonts w:hint="eastAsia" w:ascii="宋体" w:hAnsi="宋体" w:eastAsia="宋体" w:cs="宋体"/>
                <w:color w:val="auto"/>
                <w:sz w:val="21"/>
                <w:szCs w:val="21"/>
                <w:highlight w:val="none"/>
              </w:rPr>
              <w:t>由成交供应商在领取成交通知书之前向代理公司一次性付清招标代理服务费。</w:t>
            </w:r>
          </w:p>
        </w:tc>
      </w:tr>
    </w:tbl>
    <w:p w14:paraId="42F5ED32">
      <w:pPr>
        <w:spacing w:line="400" w:lineRule="exact"/>
        <w:rPr>
          <w:rFonts w:hint="eastAsia" w:ascii="宋体" w:hAnsi="宋体" w:eastAsia="宋体" w:cs="宋体"/>
          <w:b/>
          <w:color w:val="auto"/>
          <w:sz w:val="32"/>
          <w:szCs w:val="32"/>
          <w:highlight w:val="none"/>
        </w:rPr>
      </w:pPr>
      <w:bookmarkStart w:id="21" w:name="_Toc32045"/>
      <w:bookmarkStart w:id="22" w:name="_Toc519156737"/>
      <w:bookmarkStart w:id="23" w:name="_Toc32286"/>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供应商</w:t>
      </w:r>
      <w:r>
        <w:rPr>
          <w:rFonts w:hint="eastAsia" w:ascii="宋体" w:hAnsi="宋体" w:eastAsia="宋体" w:cs="宋体"/>
          <w:b/>
          <w:color w:val="auto"/>
          <w:sz w:val="22"/>
          <w:szCs w:val="22"/>
          <w:highlight w:val="none"/>
        </w:rPr>
        <w:t>须知前附表与</w:t>
      </w:r>
      <w:r>
        <w:rPr>
          <w:rFonts w:hint="eastAsia" w:ascii="宋体" w:hAnsi="宋体" w:eastAsia="宋体" w:cs="宋体"/>
          <w:b/>
          <w:color w:val="auto"/>
          <w:sz w:val="22"/>
          <w:szCs w:val="22"/>
          <w:highlight w:val="none"/>
          <w:lang w:val="en-US" w:eastAsia="zh-CN"/>
        </w:rPr>
        <w:t>采购</w:t>
      </w:r>
      <w:r>
        <w:rPr>
          <w:rFonts w:hint="eastAsia" w:ascii="宋体" w:hAnsi="宋体" w:eastAsia="宋体" w:cs="宋体"/>
          <w:b/>
          <w:color w:val="auto"/>
          <w:sz w:val="22"/>
          <w:szCs w:val="22"/>
          <w:highlight w:val="none"/>
        </w:rPr>
        <w:t>文件正文对同一事项描述不一致的，以</w:t>
      </w:r>
      <w:r>
        <w:rPr>
          <w:rFonts w:hint="eastAsia" w:ascii="宋体" w:hAnsi="宋体" w:eastAsia="宋体" w:cs="宋体"/>
          <w:b/>
          <w:color w:val="auto"/>
          <w:sz w:val="22"/>
          <w:szCs w:val="22"/>
          <w:highlight w:val="none"/>
          <w:lang w:val="en-US" w:eastAsia="zh-CN"/>
        </w:rPr>
        <w:t>供应商</w:t>
      </w:r>
      <w:r>
        <w:rPr>
          <w:rFonts w:hint="eastAsia" w:ascii="宋体" w:hAnsi="宋体" w:eastAsia="宋体" w:cs="宋体"/>
          <w:b/>
          <w:color w:val="auto"/>
          <w:sz w:val="22"/>
          <w:szCs w:val="22"/>
          <w:highlight w:val="none"/>
        </w:rPr>
        <w:t>须知前附表为准</w:t>
      </w:r>
      <w:r>
        <w:rPr>
          <w:rFonts w:hint="eastAsia" w:ascii="宋体" w:hAnsi="宋体" w:eastAsia="宋体" w:cs="宋体"/>
          <w:b/>
          <w:color w:val="auto"/>
          <w:sz w:val="28"/>
          <w:szCs w:val="28"/>
          <w:highlight w:val="none"/>
        </w:rPr>
        <w:t>。</w:t>
      </w:r>
    </w:p>
    <w:p w14:paraId="7DE45FB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bookmarkEnd w:id="21"/>
    <w:bookmarkEnd w:id="22"/>
    <w:bookmarkEnd w:id="23"/>
    <w:p w14:paraId="0EC3B9F5">
      <w:pPr>
        <w:pStyle w:val="3"/>
        <w:bidi w:val="0"/>
        <w:rPr>
          <w:rFonts w:hint="eastAsia" w:ascii="宋体" w:hAnsi="宋体" w:eastAsia="宋体" w:cs="宋体"/>
          <w:color w:val="auto"/>
          <w:sz w:val="32"/>
          <w:szCs w:val="36"/>
          <w:highlight w:val="none"/>
        </w:rPr>
      </w:pPr>
      <w:bookmarkStart w:id="24" w:name="_Toc29650"/>
      <w:bookmarkStart w:id="25" w:name="_Toc10488"/>
      <w:bookmarkStart w:id="26" w:name="_Toc29597"/>
      <w:bookmarkStart w:id="27" w:name="_Toc519156746"/>
      <w:bookmarkStart w:id="28" w:name="_Toc26143"/>
      <w:r>
        <w:rPr>
          <w:rFonts w:hint="eastAsia" w:ascii="宋体" w:hAnsi="宋体" w:eastAsia="宋体" w:cs="宋体"/>
          <w:color w:val="auto"/>
          <w:sz w:val="32"/>
          <w:szCs w:val="36"/>
          <w:highlight w:val="none"/>
        </w:rPr>
        <w:t>一</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名词解释</w:t>
      </w:r>
      <w:bookmarkEnd w:id="24"/>
      <w:bookmarkEnd w:id="25"/>
    </w:p>
    <w:p w14:paraId="17965041">
      <w:pPr>
        <w:keepNext w:val="0"/>
        <w:keepLines w:val="0"/>
        <w:pageBreakBefore w:val="0"/>
        <w:widowControl w:val="0"/>
        <w:numPr>
          <w:ilvl w:val="0"/>
          <w:numId w:val="3"/>
        </w:numPr>
        <w:tabs>
          <w:tab w:val="left" w:pos="240"/>
          <w:tab w:val="clear" w:pos="840"/>
        </w:tabs>
        <w:kinsoku/>
        <w:wordWrap/>
        <w:overflowPunct/>
        <w:topLinePunct w:val="0"/>
        <w:autoSpaceDE/>
        <w:autoSpaceDN/>
        <w:bidi w:val="0"/>
        <w:adjustRightInd/>
        <w:snapToGrid/>
        <w:spacing w:line="480" w:lineRule="exact"/>
        <w:ind w:left="-137" w:leftChars="-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陕西省档案馆</w:t>
      </w:r>
    </w:p>
    <w:p w14:paraId="156E3473">
      <w:pPr>
        <w:keepNext w:val="0"/>
        <w:keepLines w:val="0"/>
        <w:pageBreakBefore w:val="0"/>
        <w:widowControl w:val="0"/>
        <w:numPr>
          <w:ilvl w:val="0"/>
          <w:numId w:val="3"/>
        </w:numPr>
        <w:tabs>
          <w:tab w:val="left" w:pos="240"/>
          <w:tab w:val="clear" w:pos="840"/>
        </w:tabs>
        <w:kinsoku/>
        <w:wordWrap/>
        <w:overflowPunct/>
        <w:topLinePunct w:val="0"/>
        <w:autoSpaceDE/>
        <w:autoSpaceDN/>
        <w:bidi w:val="0"/>
        <w:adjustRightInd/>
        <w:snapToGrid/>
        <w:spacing w:line="480" w:lineRule="exact"/>
        <w:ind w:left="-137" w:leftChars="-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监督机构：政府采购监督管理部门及监察部门</w:t>
      </w:r>
    </w:p>
    <w:p w14:paraId="3446368F">
      <w:pPr>
        <w:keepNext w:val="0"/>
        <w:keepLines w:val="0"/>
        <w:pageBreakBefore w:val="0"/>
        <w:widowControl w:val="0"/>
        <w:numPr>
          <w:ilvl w:val="0"/>
          <w:numId w:val="3"/>
        </w:numPr>
        <w:tabs>
          <w:tab w:val="left" w:pos="240"/>
          <w:tab w:val="clear" w:pos="840"/>
        </w:tabs>
        <w:kinsoku/>
        <w:wordWrap/>
        <w:overflowPunct/>
        <w:topLinePunct w:val="0"/>
        <w:autoSpaceDE/>
        <w:autoSpaceDN/>
        <w:bidi w:val="0"/>
        <w:adjustRightInd/>
        <w:snapToGrid/>
        <w:spacing w:line="480" w:lineRule="exact"/>
        <w:ind w:left="-137" w:leftChars="-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cs="宋体"/>
          <w:b w:val="0"/>
          <w:bCs w:val="0"/>
          <w:color w:val="auto"/>
          <w:sz w:val="24"/>
          <w:szCs w:val="24"/>
        </w:rPr>
        <w:t>华睿诚项目管理有限公司</w:t>
      </w:r>
      <w:r>
        <w:rPr>
          <w:rFonts w:hint="eastAsia" w:ascii="宋体" w:hAnsi="宋体" w:eastAsia="宋体" w:cs="宋体"/>
          <w:color w:val="auto"/>
          <w:sz w:val="24"/>
          <w:szCs w:val="24"/>
          <w:highlight w:val="none"/>
          <w:lang w:val="en-US" w:eastAsia="zh-CN"/>
        </w:rPr>
        <w:t xml:space="preserve">  </w:t>
      </w:r>
    </w:p>
    <w:p w14:paraId="0977771D">
      <w:pPr>
        <w:keepNext w:val="0"/>
        <w:keepLines w:val="0"/>
        <w:pageBreakBefore w:val="0"/>
        <w:widowControl w:val="0"/>
        <w:numPr>
          <w:ilvl w:val="0"/>
          <w:numId w:val="3"/>
        </w:numPr>
        <w:tabs>
          <w:tab w:val="left" w:pos="240"/>
          <w:tab w:val="clear" w:pos="840"/>
        </w:tabs>
        <w:kinsoku/>
        <w:wordWrap/>
        <w:overflowPunct/>
        <w:topLinePunct w:val="0"/>
        <w:autoSpaceDE/>
        <w:autoSpaceDN/>
        <w:bidi w:val="0"/>
        <w:adjustRightInd/>
        <w:snapToGrid/>
        <w:spacing w:line="480" w:lineRule="exact"/>
        <w:ind w:left="-137" w:leftChars="-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磋商供应商：满足本次磋商要求具有相应资质和完成项目能力的供应商</w:t>
      </w:r>
    </w:p>
    <w:p w14:paraId="29F608E7">
      <w:pPr>
        <w:keepNext w:val="0"/>
        <w:keepLines w:val="0"/>
        <w:pageBreakBefore w:val="0"/>
        <w:widowControl w:val="0"/>
        <w:numPr>
          <w:ilvl w:val="0"/>
          <w:numId w:val="3"/>
        </w:numPr>
        <w:tabs>
          <w:tab w:val="left" w:pos="240"/>
          <w:tab w:val="clear" w:pos="840"/>
        </w:tabs>
        <w:kinsoku/>
        <w:wordWrap/>
        <w:overflowPunct/>
        <w:topLinePunct w:val="0"/>
        <w:autoSpaceDE/>
        <w:autoSpaceDN/>
        <w:bidi w:val="0"/>
        <w:adjustRightInd/>
        <w:snapToGrid/>
        <w:spacing w:line="480" w:lineRule="exact"/>
        <w:ind w:left="-137" w:leftChars="-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成交供应商：由磋商小组推荐经采购人确认的磋商供应商</w:t>
      </w:r>
    </w:p>
    <w:p w14:paraId="064C45A2">
      <w:pPr>
        <w:pStyle w:val="3"/>
        <w:bidi w:val="0"/>
        <w:rPr>
          <w:rFonts w:hint="eastAsia" w:ascii="宋体" w:hAnsi="宋体" w:eastAsia="宋体" w:cs="宋体"/>
          <w:color w:val="auto"/>
          <w:sz w:val="32"/>
          <w:szCs w:val="36"/>
          <w:highlight w:val="none"/>
        </w:rPr>
      </w:pPr>
      <w:bookmarkStart w:id="29" w:name="_Toc3429"/>
      <w:bookmarkStart w:id="30" w:name="_Toc519156738"/>
      <w:bookmarkStart w:id="31" w:name="_Toc13421"/>
      <w:bookmarkStart w:id="32" w:name="_Toc12414"/>
      <w:bookmarkStart w:id="33" w:name="_Toc12298"/>
      <w:bookmarkStart w:id="34" w:name="_Toc7253"/>
      <w:r>
        <w:rPr>
          <w:rFonts w:hint="eastAsia" w:ascii="宋体" w:hAnsi="宋体" w:eastAsia="宋体" w:cs="宋体"/>
          <w:color w:val="auto"/>
          <w:sz w:val="32"/>
          <w:szCs w:val="36"/>
          <w:highlight w:val="none"/>
        </w:rPr>
        <w:t>二</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磋商供应商</w:t>
      </w:r>
      <w:bookmarkEnd w:id="29"/>
      <w:bookmarkEnd w:id="30"/>
      <w:bookmarkEnd w:id="31"/>
      <w:bookmarkEnd w:id="32"/>
      <w:bookmarkEnd w:id="33"/>
      <w:bookmarkEnd w:id="34"/>
    </w:p>
    <w:p w14:paraId="49905DEA">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1.合格磋商供应商</w:t>
      </w:r>
    </w:p>
    <w:p w14:paraId="19628E76">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9EABDA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53517F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3）具有履行合同所必需的专业技术能力</w:t>
      </w:r>
    </w:p>
    <w:p w14:paraId="3C60DFD8">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0FD1AE0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545120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6）法律、行政法规规定的其它条件</w:t>
      </w:r>
    </w:p>
    <w:p w14:paraId="243EF42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1.1单位负责人为同一人或者存在直接控股、管理关系的不同供应商，不得参加本项目同一合同项下的磋商响应。如果磋商供应商在磋商响应中隐瞒了上述关系，则该磋商响应无效。</w:t>
      </w:r>
    </w:p>
    <w:p w14:paraId="7E07AAD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1.2为本采购项目提供整体设计、规范编制或者项目管理、监理、检测等服务的供应商，不得再参加本采购项目的磋商响应</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如果磋商供应商在磋商响应中隐瞒了上述事实，则该磋商响应无效。</w:t>
      </w:r>
    </w:p>
    <w:p w14:paraId="7FED6D2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1.3磋商供应商不得直接或间接地与招标采购单位（包括采购代理机构、采购人及用户）有任何关联，亦不得是招标采购单位的附属机构。如果磋商供应商在磋商响应中隐瞒了上述关系，则该磋商响应无效。</w:t>
      </w:r>
    </w:p>
    <w:p w14:paraId="46222BAF">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2.磋商委托</w:t>
      </w:r>
    </w:p>
    <w:p w14:paraId="5DD3285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如磋商供应商代表不是法定代表人，须持有《法定代表人授权书》（原件）</w:t>
      </w:r>
      <w:r>
        <w:rPr>
          <w:rFonts w:hint="eastAsia" w:ascii="宋体" w:hAnsi="宋体" w:cs="宋体"/>
          <w:color w:val="auto"/>
          <w:sz w:val="24"/>
          <w:szCs w:val="24"/>
          <w:highlight w:val="none"/>
          <w:lang w:val="en-US" w:eastAsia="zh-CN"/>
        </w:rPr>
        <w:t>及身份证原件</w:t>
      </w:r>
      <w:r>
        <w:rPr>
          <w:rFonts w:hint="eastAsia" w:ascii="宋体" w:hAnsi="宋体" w:eastAsia="宋体" w:cs="宋体"/>
          <w:color w:val="auto"/>
          <w:sz w:val="24"/>
          <w:szCs w:val="24"/>
          <w:highlight w:val="none"/>
        </w:rPr>
        <w:t>。</w:t>
      </w:r>
    </w:p>
    <w:p w14:paraId="69AAA4E7">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3.磋商响应文件内容的真实性</w:t>
      </w:r>
    </w:p>
    <w:p w14:paraId="2C574BE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保证其磋商响应文件中所提供的所有有关磋商响应的资料、信息是真实的，并且来源于合法的渠道。因磋商响应文件中所提供的有关磋商响应的资料、信息不真实，或者其来源不合法而导致的所有法律责任，由磋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自行承担。</w:t>
      </w:r>
    </w:p>
    <w:p w14:paraId="0C15957F">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4.磋商费用</w:t>
      </w:r>
    </w:p>
    <w:p w14:paraId="34E4407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无论磋商结果如何，磋商供应商自行承担参加磋商相关的全部费用。</w:t>
      </w:r>
    </w:p>
    <w:p w14:paraId="74B3DAB2">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5.联合体形式</w:t>
      </w:r>
    </w:p>
    <w:p w14:paraId="6DD45CA0">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本项目是否接受联合体参与及相关要求见磋商须知前附表。</w:t>
      </w:r>
    </w:p>
    <w:p w14:paraId="16EECC31">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供应商为联合体形式的，应同时遵守以下规定：</w:t>
      </w:r>
    </w:p>
    <w:p w14:paraId="7BA75B98">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(1)联合体各方必须签订联合体协议书，明确联合体牵头人和各方权利、义务及分工、合同工作量比例；</w:t>
      </w:r>
    </w:p>
    <w:p w14:paraId="46148B27">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(2)联合体各方均应当符合</w:t>
      </w:r>
      <w:r>
        <w:rPr>
          <w:rFonts w:hint="eastAsia" w:ascii="宋体" w:hAnsi="宋体" w:eastAsia="宋体" w:cs="宋体"/>
          <w:color w:val="auto"/>
          <w:sz w:val="24"/>
          <w:szCs w:val="24"/>
          <w:highlight w:val="none"/>
          <w:lang w:val="en-US" w:eastAsia="zh-CN"/>
        </w:rPr>
        <w:t>供应商须知前附表</w:t>
      </w:r>
      <w:r>
        <w:rPr>
          <w:rFonts w:hint="eastAsia" w:ascii="宋体" w:hAnsi="宋体" w:eastAsia="宋体" w:cs="宋体"/>
          <w:color w:val="auto"/>
          <w:sz w:val="24"/>
          <w:szCs w:val="24"/>
          <w:highlight w:val="none"/>
        </w:rPr>
        <w:t>的供应商基本资格条件；</w:t>
      </w:r>
    </w:p>
    <w:p w14:paraId="43A49048">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(3)除磋商须知前附表中另有规定，联合体各方中至少有一方应当符</w:t>
      </w:r>
      <w:r>
        <w:rPr>
          <w:rFonts w:hint="eastAsia" w:ascii="宋体" w:hAnsi="宋体" w:eastAsia="宋体" w:cs="宋体"/>
          <w:color w:val="auto"/>
          <w:sz w:val="24"/>
          <w:szCs w:val="24"/>
          <w:highlight w:val="none"/>
          <w:lang w:val="en-US" w:eastAsia="zh-CN"/>
        </w:rPr>
        <w:t>合供应商须知前附表的供应商特定资格条件；</w:t>
      </w:r>
    </w:p>
    <w:p w14:paraId="2A22C0A0">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(4)联合体中有同类资质的供应商按照联合体分工承担相同工作的，应当按照资质等级较低的供应商确定资质等级；</w:t>
      </w:r>
    </w:p>
    <w:p w14:paraId="6D3B6FD9">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(5)联合体各方不得再单独或与其他供应商组成新的联合体参加同一项目的采购活动。</w:t>
      </w:r>
    </w:p>
    <w:p w14:paraId="0177220B">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6.项目现场踏勘</w:t>
      </w:r>
    </w:p>
    <w:p w14:paraId="531D8652">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本项目是否组织现场踏勘见磋商须知前附表。</w:t>
      </w:r>
    </w:p>
    <w:p w14:paraId="62BB1FF5">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供应商应按磋商须知前附表中规定对采购项目现场和周围环境进行踏勘。供应商未在指定时间进行踏勘的，其踏勘将被拒绝。</w:t>
      </w:r>
    </w:p>
    <w:p w14:paraId="7ED7FEEE">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踏勘现场的费用由供应商自己承担，踏勘期间所发生的人身伤害及财产损失由供应商自己负责。</w:t>
      </w:r>
    </w:p>
    <w:p w14:paraId="4A0805AF">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采购人不对供应商据现场踏勘而做出的推论、理解和结论负责。一旦成交，供应商不得以任何借口，提出额外补偿，或延长合同期限的要求。</w:t>
      </w:r>
    </w:p>
    <w:p w14:paraId="011DF8F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7.采购进口产品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购买服务项目不适用</w:t>
      </w:r>
      <w:r>
        <w:rPr>
          <w:rFonts w:hint="eastAsia" w:ascii="宋体" w:hAnsi="宋体" w:eastAsia="宋体" w:cs="宋体"/>
          <w:b/>
          <w:color w:val="auto"/>
          <w:sz w:val="24"/>
          <w:szCs w:val="24"/>
          <w:highlight w:val="none"/>
          <w:lang w:eastAsia="zh-CN"/>
        </w:rPr>
        <w:t>）</w:t>
      </w:r>
    </w:p>
    <w:p w14:paraId="3823993A">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本项目是否采购进口产品及相关要求见磋商须知前附表。</w:t>
      </w:r>
    </w:p>
    <w:p w14:paraId="4684A5F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8.政府采购政策支持与其他规定</w:t>
      </w:r>
    </w:p>
    <w:p w14:paraId="37F084FF">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bookmarkStart w:id="35" w:name="_Toc4528"/>
      <w:bookmarkStart w:id="36" w:name="_Toc519156739"/>
      <w:bookmarkStart w:id="37" w:name="_Toc27408"/>
      <w:r>
        <w:rPr>
          <w:rFonts w:hint="eastAsia" w:ascii="宋体" w:hAnsi="宋体" w:eastAsia="宋体" w:cs="宋体"/>
          <w:color w:val="auto"/>
          <w:sz w:val="24"/>
          <w:szCs w:val="24"/>
          <w:highlight w:val="none"/>
        </w:rPr>
        <w:t>8.1　产品属于政府强制采购节能产品范围，必须将是否列入最新一期节能清单作为采购产品的资格条件。本项目的详细要求见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19A4A20E">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对列入最新一期节能清单(非强制类)、环保清单内的产品，应分别予以相应的加分或价格扣除；对于同时列入“两个清单”的产品，应当优先于只获得其中一项认证的产品。本项目的详细要求见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578C3E4B">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供应商享受支持中小企业发展政策优惠的，可用扣除后的最后报价参与价格比较。本项目价格扣除比例及相关要求见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1D790826">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监狱企业视同小型、微型企业，享受促进中小企业发展政策优惠，可用扣除后的最后报价参与价格比较。本项目价格扣除比例及相关要求</w:t>
      </w:r>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2935F801">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7A71E1C1">
      <w:pPr>
        <w:pStyle w:val="14"/>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其他法律法规强制性规定。本项目的详细要求见</w:t>
      </w:r>
      <w:r>
        <w:rPr>
          <w:rFonts w:hint="eastAsia" w:ascii="宋体" w:hAnsi="宋体" w:eastAsia="宋体" w:cs="宋体"/>
          <w:color w:val="auto"/>
          <w:sz w:val="24"/>
          <w:szCs w:val="24"/>
          <w:highlight w:val="none"/>
          <w:lang w:val="en-US" w:eastAsia="zh-CN"/>
        </w:rPr>
        <w:t>评审办法</w:t>
      </w:r>
      <w:r>
        <w:rPr>
          <w:rFonts w:hint="eastAsia" w:ascii="宋体" w:hAnsi="宋体" w:eastAsia="宋体" w:cs="宋体"/>
          <w:color w:val="auto"/>
          <w:sz w:val="24"/>
          <w:szCs w:val="24"/>
          <w:highlight w:val="none"/>
        </w:rPr>
        <w:t>。</w:t>
      </w:r>
    </w:p>
    <w:p w14:paraId="7591A9F8">
      <w:pPr>
        <w:pStyle w:val="3"/>
        <w:bidi w:val="0"/>
        <w:rPr>
          <w:rFonts w:hint="eastAsia" w:ascii="宋体" w:hAnsi="宋体" w:eastAsia="宋体" w:cs="宋体"/>
          <w:color w:val="auto"/>
          <w:sz w:val="32"/>
          <w:szCs w:val="36"/>
          <w:highlight w:val="none"/>
        </w:rPr>
      </w:pPr>
      <w:bookmarkStart w:id="38" w:name="_Toc2653"/>
      <w:bookmarkStart w:id="39" w:name="_Toc25030"/>
      <w:bookmarkStart w:id="40" w:name="_Toc17254"/>
      <w:r>
        <w:rPr>
          <w:rFonts w:hint="eastAsia" w:ascii="宋体" w:hAnsi="宋体" w:eastAsia="宋体" w:cs="宋体"/>
          <w:color w:val="auto"/>
          <w:sz w:val="32"/>
          <w:szCs w:val="36"/>
          <w:highlight w:val="none"/>
        </w:rPr>
        <w:t>三</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磋商文件</w:t>
      </w:r>
      <w:bookmarkEnd w:id="35"/>
      <w:bookmarkEnd w:id="36"/>
      <w:bookmarkEnd w:id="37"/>
      <w:bookmarkEnd w:id="38"/>
      <w:bookmarkEnd w:id="39"/>
      <w:bookmarkEnd w:id="40"/>
    </w:p>
    <w:p w14:paraId="38DB2C0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9.磋商文件</w:t>
      </w:r>
    </w:p>
    <w:p w14:paraId="2825DC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9.1 磋商文件要求提供的货物及服务，磋商程序和合同条件在磋商文件中均有说明。磋商文件共六章，内容如下：</w:t>
      </w:r>
    </w:p>
    <w:p w14:paraId="599812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第一章 竞争性磋商公告</w:t>
      </w:r>
    </w:p>
    <w:p w14:paraId="591E2D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第二章 磋商供应商须知</w:t>
      </w:r>
    </w:p>
    <w:p w14:paraId="1143EA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第三章 磋商要求及说明</w:t>
      </w:r>
    </w:p>
    <w:p w14:paraId="659B02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第四章 商务及合同主要条款</w:t>
      </w:r>
    </w:p>
    <w:p w14:paraId="5FB2F2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第五章 评审办法</w:t>
      </w:r>
    </w:p>
    <w:p w14:paraId="503455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第六章 竞争性磋商响应文件格式</w:t>
      </w:r>
    </w:p>
    <w:p w14:paraId="7A9BBF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17FFA0C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10．磋商文件的澄清修改</w:t>
      </w:r>
    </w:p>
    <w:p w14:paraId="4CBEA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r>
        <w:rPr>
          <w:rFonts w:hint="eastAsia" w:ascii="宋体" w:hAnsi="宋体" w:eastAsia="宋体" w:cs="宋体"/>
          <w:b/>
          <w:color w:val="auto"/>
          <w:sz w:val="24"/>
          <w:szCs w:val="24"/>
          <w:highlight w:val="none"/>
        </w:rPr>
        <w:t>对磋商文件中有难以理解或参数有疑义的内容，须在规定时间内提交书面资料，否则</w:t>
      </w:r>
      <w:r>
        <w:rPr>
          <w:rFonts w:hint="eastAsia" w:ascii="宋体" w:hAnsi="宋体" w:eastAsia="宋体" w:cs="宋体"/>
          <w:b/>
          <w:bCs/>
          <w:color w:val="auto"/>
          <w:sz w:val="24"/>
          <w:szCs w:val="24"/>
          <w:highlight w:val="none"/>
        </w:rPr>
        <w:t>视为对磋商文件再无疑义，因此带来的一切不利后果由磋商供应商自负。</w:t>
      </w:r>
    </w:p>
    <w:p w14:paraId="569D9F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供应商在收到上述通知后，应立即向招标代理机构回函确认。</w:t>
      </w:r>
    </w:p>
    <w:p w14:paraId="1F3A88A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11.磋商文件的购买</w:t>
      </w:r>
    </w:p>
    <w:p w14:paraId="4E49BF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磋商供应商必须从采购代理机构购买磋商文件，磋商供应商自行转让或复制的磋商文件视为无效文件；磋商文件一经售出，一律不退，仅作为本次磋商使用。</w:t>
      </w:r>
    </w:p>
    <w:p w14:paraId="7796A0C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12.磋商的处理依据</w:t>
      </w:r>
    </w:p>
    <w:p w14:paraId="4AD22A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根据《中华人民共和国政府采购法》和《政府采购竞争性磋商采购方式管理暂行办法》的条款，本着公开、公平、公正的原则进行处理。</w:t>
      </w:r>
    </w:p>
    <w:p w14:paraId="1CD6C87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13.解释权归属</w:t>
      </w:r>
    </w:p>
    <w:p w14:paraId="3BBC35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本次磋商文件的解释权归采购代理机构。</w:t>
      </w:r>
    </w:p>
    <w:p w14:paraId="71A27D83">
      <w:pPr>
        <w:pStyle w:val="3"/>
        <w:bidi w:val="0"/>
        <w:rPr>
          <w:rFonts w:hint="eastAsia" w:ascii="宋体" w:hAnsi="宋体" w:eastAsia="宋体" w:cs="宋体"/>
          <w:color w:val="auto"/>
          <w:sz w:val="32"/>
          <w:szCs w:val="36"/>
          <w:highlight w:val="none"/>
        </w:rPr>
      </w:pPr>
      <w:bookmarkStart w:id="41" w:name="_Toc26347"/>
      <w:bookmarkStart w:id="42" w:name="_Toc1168"/>
      <w:bookmarkStart w:id="43" w:name="_Toc16846"/>
      <w:bookmarkStart w:id="44" w:name="_Toc8808"/>
      <w:bookmarkStart w:id="45" w:name="_Toc18132"/>
      <w:r>
        <w:rPr>
          <w:rFonts w:hint="eastAsia" w:ascii="宋体" w:hAnsi="宋体" w:eastAsia="宋体" w:cs="宋体"/>
          <w:color w:val="auto"/>
          <w:sz w:val="32"/>
          <w:szCs w:val="36"/>
          <w:highlight w:val="none"/>
        </w:rPr>
        <w:t>四</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磋商要求</w:t>
      </w:r>
      <w:bookmarkEnd w:id="41"/>
      <w:bookmarkEnd w:id="42"/>
      <w:bookmarkEnd w:id="43"/>
      <w:bookmarkEnd w:id="44"/>
      <w:bookmarkEnd w:id="45"/>
    </w:p>
    <w:p w14:paraId="57FDB32B">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bookmarkStart w:id="46" w:name="_Toc24973"/>
      <w:bookmarkStart w:id="47" w:name="_Toc519156741"/>
      <w:r>
        <w:rPr>
          <w:rFonts w:hint="eastAsia" w:ascii="宋体" w:hAnsi="宋体" w:eastAsia="宋体" w:cs="宋体"/>
          <w:b/>
          <w:color w:val="auto"/>
          <w:sz w:val="24"/>
          <w:szCs w:val="24"/>
          <w:highlight w:val="none"/>
        </w:rPr>
        <w:t>14.磋商语言和磋商货币</w:t>
      </w:r>
    </w:p>
    <w:p w14:paraId="521B1E7F">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14.1供应商提交的磋商响应文件以及供应商与招标代理机构就有关磋商的所有来往函电均应使用中文。</w:t>
      </w:r>
    </w:p>
    <w:p w14:paraId="2F345499">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14.2磋商报价应以人民币报价，任何包含非人民币报价的磋商将按无效磋商处理</w:t>
      </w:r>
    </w:p>
    <w:p w14:paraId="670A6EE6">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本项目不接受联合体磋商。</w:t>
      </w:r>
    </w:p>
    <w:p w14:paraId="6933998C">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15.磋商响应文件的构成</w:t>
      </w:r>
    </w:p>
    <w:p w14:paraId="02130F94">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15.1供应商提交的磋商响应文件应包括下列部分的内容：</w:t>
      </w:r>
    </w:p>
    <w:p w14:paraId="1823719D">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一、磋商函</w:t>
      </w:r>
    </w:p>
    <w:p w14:paraId="373C7A56">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3891D52A">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三、法人授权委托书</w:t>
      </w:r>
    </w:p>
    <w:p w14:paraId="78A00729">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四、报价表</w:t>
      </w:r>
    </w:p>
    <w:p w14:paraId="6712F8E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五、近年承接的类似项目情况表</w:t>
      </w:r>
    </w:p>
    <w:p w14:paraId="10E74CFA">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项目实施</w:t>
      </w:r>
      <w:r>
        <w:rPr>
          <w:rFonts w:hint="eastAsia" w:ascii="宋体" w:hAnsi="宋体" w:eastAsia="宋体" w:cs="宋体"/>
          <w:color w:val="auto"/>
          <w:sz w:val="24"/>
          <w:szCs w:val="24"/>
          <w:highlight w:val="none"/>
        </w:rPr>
        <w:t>方案</w:t>
      </w:r>
    </w:p>
    <w:p w14:paraId="1C863837">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七、技术</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响应说明</w:t>
      </w:r>
    </w:p>
    <w:p w14:paraId="36B97474">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八</w:t>
      </w:r>
      <w:r>
        <w:rPr>
          <w:rFonts w:hint="eastAsia" w:ascii="宋体" w:hAnsi="宋体" w:eastAsia="宋体" w:cs="宋体"/>
          <w:color w:val="auto"/>
          <w:sz w:val="24"/>
          <w:szCs w:val="24"/>
          <w:highlight w:val="none"/>
        </w:rPr>
        <w:t>、资格证明文件</w:t>
      </w:r>
    </w:p>
    <w:p w14:paraId="746501D0">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九</w:t>
      </w:r>
      <w:r>
        <w:rPr>
          <w:rFonts w:hint="eastAsia" w:ascii="宋体" w:hAnsi="宋体" w:eastAsia="宋体" w:cs="宋体"/>
          <w:color w:val="auto"/>
          <w:sz w:val="24"/>
          <w:szCs w:val="24"/>
          <w:highlight w:val="none"/>
        </w:rPr>
        <w:t>、其他资料</w:t>
      </w:r>
    </w:p>
    <w:p w14:paraId="1B1189DC">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如果在磋商文件中没有允许提供备选方案，则每个供应商只允许提交一个磋商方案，否则，将按无效响磋商处理。</w:t>
      </w:r>
    </w:p>
    <w:p w14:paraId="590F649B">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2A8FAB3A">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16.磋商报价</w:t>
      </w:r>
    </w:p>
    <w:p w14:paraId="23639C0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16.1磋商报价是指项目达到正常使用条件下的所有费用，包括包括人</w:t>
      </w:r>
      <w:r>
        <w:rPr>
          <w:rFonts w:hint="eastAsia" w:ascii="宋体" w:hAnsi="宋体" w:eastAsia="宋体" w:cs="宋体"/>
          <w:color w:val="auto"/>
          <w:sz w:val="24"/>
          <w:szCs w:val="24"/>
          <w:highlight w:val="none"/>
          <w:lang w:val="en-US" w:eastAsia="zh-CN"/>
        </w:rPr>
        <w:t>工费</w:t>
      </w:r>
      <w:r>
        <w:rPr>
          <w:rFonts w:hint="eastAsia" w:ascii="宋体" w:hAnsi="宋体" w:eastAsia="宋体" w:cs="宋体"/>
          <w:color w:val="auto"/>
          <w:sz w:val="24"/>
          <w:szCs w:val="24"/>
          <w:highlight w:val="none"/>
        </w:rPr>
        <w:t>、服务费、设备费、税费等一切相关费用，以磋商文件的内容和要求作为依据；</w:t>
      </w:r>
    </w:p>
    <w:p w14:paraId="536801A8">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16.2磋商供应商应在磋商响应文件中的响应报价表上，标明费用组成；任何有选择的报价不予接受；</w:t>
      </w:r>
    </w:p>
    <w:p w14:paraId="3A73752A">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16.3磋商货币：人民币；单位：元（精确到小数点后两位）；</w:t>
      </w:r>
    </w:p>
    <w:p w14:paraId="42DA18F3">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16.4响应报价表应有法定代表人或被授权人的签字；</w:t>
      </w:r>
    </w:p>
    <w:p w14:paraId="4C9E987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16.5合同价格：经磋商小组确认的某一磋商供应商的最终报价，在合同执行过程中是固定不变的，不受外汇汇率及市场价格变化的影响；</w:t>
      </w:r>
    </w:p>
    <w:p w14:paraId="4ADB4BB0">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16.6凡因磋商供应商对磋商文件阅读不深、理解不透、误解、疏漏、或因市场行情了解不清造成的后果和风险均由磋商供应商自负；</w:t>
      </w:r>
    </w:p>
    <w:p w14:paraId="02347F0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14:paraId="68E06BEF">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17.证明供应商合格的资格证明文件</w:t>
      </w:r>
    </w:p>
    <w:p w14:paraId="248FEF14">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17.1供应商应按照磋商文件“供应商须知前附表”的要求，在磋商响应文件中提交合格的资格证明文件。如果资格证明文件不全或不合格的，将按无效磋商处理。</w:t>
      </w:r>
    </w:p>
    <w:p w14:paraId="201F7E6F">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18.证明标的物的合格性和符合磋商文件规定的文件</w:t>
      </w:r>
    </w:p>
    <w:p w14:paraId="1AE9D358">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18.1供应商应在磋商响应文件中提供</w:t>
      </w:r>
      <w:r>
        <w:rPr>
          <w:rFonts w:hint="eastAsia" w:ascii="宋体" w:hAnsi="宋体" w:eastAsia="宋体" w:cs="宋体"/>
          <w:color w:val="auto"/>
          <w:sz w:val="24"/>
          <w:szCs w:val="24"/>
          <w:highlight w:val="none"/>
          <w:lang w:val="en-US" w:eastAsia="zh-CN"/>
        </w:rPr>
        <w:t>货物及</w:t>
      </w:r>
      <w:r>
        <w:rPr>
          <w:rFonts w:hint="eastAsia" w:ascii="宋体" w:hAnsi="宋体" w:eastAsia="宋体" w:cs="宋体"/>
          <w:color w:val="auto"/>
          <w:sz w:val="24"/>
          <w:szCs w:val="24"/>
          <w:highlight w:val="none"/>
        </w:rPr>
        <w:t>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79EB2C7C">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18.2上述证明文件可以是文字资料、图纸、图片和数据，它包括：</w:t>
      </w:r>
    </w:p>
    <w:p w14:paraId="2C0C07D5">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18.2.1</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、付款方式等方面的详细说明；</w:t>
      </w:r>
    </w:p>
    <w:p w14:paraId="22935D7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 逐条对磋商文件提出的技术要求和商务要求进行应答，说明所提供的</w:t>
      </w:r>
      <w:r>
        <w:rPr>
          <w:rFonts w:hint="eastAsia" w:ascii="宋体" w:hAnsi="宋体" w:eastAsia="宋体" w:cs="宋体"/>
          <w:color w:val="auto"/>
          <w:sz w:val="24"/>
          <w:szCs w:val="24"/>
          <w:highlight w:val="none"/>
          <w:lang w:val="en-US" w:eastAsia="zh-CN"/>
        </w:rPr>
        <w:t>货物及</w:t>
      </w:r>
      <w:r>
        <w:rPr>
          <w:rFonts w:hint="eastAsia" w:ascii="宋体" w:hAnsi="宋体" w:eastAsia="宋体" w:cs="宋体"/>
          <w:color w:val="auto"/>
          <w:sz w:val="24"/>
          <w:szCs w:val="24"/>
          <w:highlight w:val="none"/>
        </w:rPr>
        <w:t>服务对磋商的技术和商务要求是否做出了实质性响应并提供支持文件。</w:t>
      </w:r>
    </w:p>
    <w:p w14:paraId="6896E99E">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19.磋商保证金</w:t>
      </w:r>
    </w:p>
    <w:p w14:paraId="11199089">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19.1保证金是用于保护本次磋商免受磋商供应商的行为而引起的风险。</w:t>
      </w:r>
    </w:p>
    <w:p w14:paraId="4B3012DB">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19.2磋商保证金由磋商供应商通过银行转账、电汇、保函等非现金形式缴纳。</w:t>
      </w:r>
    </w:p>
    <w:p w14:paraId="0AA5F806">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19.3未交纳、未足额交纳或未按规定时间交纳保证金的，将被视为自动放弃磋商权利。</w:t>
      </w:r>
    </w:p>
    <w:p w14:paraId="35AFA4C3">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19.4提交保证金后，各磋商供应商须将其交纳保证金凭证复印件加盖供应商红章附在磋商响应文件中，否则视为无效响应文件。</w:t>
      </w:r>
    </w:p>
    <w:p w14:paraId="2EDBA233">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19.5磋商保证金退还:</w:t>
      </w:r>
    </w:p>
    <w:p w14:paraId="6BF95F0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 未成交供应商：成交通知书发放后5个工作日</w:t>
      </w:r>
      <w:r>
        <w:rPr>
          <w:rFonts w:hint="eastAsia" w:ascii="宋体" w:hAnsi="宋体" w:eastAsia="宋体" w:cs="宋体"/>
          <w:b/>
          <w:color w:val="auto"/>
          <w:sz w:val="24"/>
          <w:szCs w:val="24"/>
          <w:highlight w:val="none"/>
          <w:lang w:val="en-US" w:eastAsia="zh-CN"/>
        </w:rPr>
        <w:t>内</w:t>
      </w:r>
      <w:r>
        <w:rPr>
          <w:rFonts w:hint="eastAsia" w:ascii="宋体" w:hAnsi="宋体" w:eastAsia="宋体" w:cs="宋体"/>
          <w:b/>
          <w:color w:val="auto"/>
          <w:sz w:val="24"/>
          <w:szCs w:val="24"/>
          <w:highlight w:val="none"/>
        </w:rPr>
        <w:t xml:space="preserve">退还； </w:t>
      </w:r>
    </w:p>
    <w:p w14:paraId="4592552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 成交供应商：成交供应商与采购单位签订合同并缴纳足额</w:t>
      </w:r>
      <w:r>
        <w:rPr>
          <w:rFonts w:hint="eastAsia" w:ascii="宋体" w:hAnsi="宋体" w:cs="宋体"/>
          <w:b/>
          <w:color w:val="auto"/>
          <w:sz w:val="24"/>
          <w:szCs w:val="24"/>
          <w:highlight w:val="none"/>
          <w:lang w:val="en-US" w:eastAsia="zh-CN"/>
        </w:rPr>
        <w:t>招标代理</w:t>
      </w:r>
      <w:r>
        <w:rPr>
          <w:rFonts w:hint="eastAsia" w:ascii="宋体" w:hAnsi="宋体" w:eastAsia="宋体" w:cs="宋体"/>
          <w:b/>
          <w:color w:val="auto"/>
          <w:sz w:val="24"/>
          <w:szCs w:val="24"/>
          <w:highlight w:val="none"/>
        </w:rPr>
        <w:t>服务费后退还；（退还时，须向代理机构提供开户许可证复印件及合同原件壹份并加盖供应商公章）；</w:t>
      </w:r>
    </w:p>
    <w:p w14:paraId="4409B57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以上供应商自身原因导致无法退还的除外。</w:t>
      </w:r>
    </w:p>
    <w:p w14:paraId="3A1781C5">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 供应商以担保机构保函形式交纳磋商保证金的，磋商结束之后供应商用收据原件在代理机构财务室换取担保机构保函原件（退还保证金参照19.5条款）</w:t>
      </w:r>
    </w:p>
    <w:p w14:paraId="126C7AD3">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19.7发生下列情况之一，磋商保证金将不予退还：</w:t>
      </w:r>
    </w:p>
    <w:p w14:paraId="6BA4A51C">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19.7.1供应商在递交磋商响应文件截止时间后，撤回磋商响应文件的或者擅自退出磋商活动的。</w:t>
      </w:r>
    </w:p>
    <w:p w14:paraId="3407168E">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19.7.2供应商成交后放弃成交或未能按规定签订合同、无正当理由不与采购人签订合同的或未能按规定交纳招标代理服务费或由于供应商的原因导致成交无效的。</w:t>
      </w:r>
    </w:p>
    <w:p w14:paraId="2F45473F">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19.7.3将成交项目转让给他人，或者在磋商响应文件中未说明，且未经采购人和招标代理机构同意，将成交项目分包给他人的。</w:t>
      </w:r>
    </w:p>
    <w:p w14:paraId="3FB27441">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19.7.4供应商在磋商响应文件中提供伪造、套改、虚假资料参与磋商的。</w:t>
      </w:r>
    </w:p>
    <w:p w14:paraId="48DF4FA6">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19.7.5供应商不按法定程序进行质疑和投诉,捏造事实，查无实据，造成恶劣影响，导致采购活动无法正常进行的;</w:t>
      </w:r>
    </w:p>
    <w:p w14:paraId="4E9A56F5">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19.7.6供应商在磋商响应文件中提供虚假材料的；</w:t>
      </w:r>
    </w:p>
    <w:p w14:paraId="41A2CF28">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19.7.7磋商文件规定的其他情形。</w:t>
      </w:r>
    </w:p>
    <w:p w14:paraId="6BD6EC16">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19.8联合磋商的，可以由联合体中的主体提交磋商保证金，以一方名义提交磋商保证金，对联合体各方均具有约束力；</w:t>
      </w:r>
    </w:p>
    <w:p w14:paraId="6FAA9CCF">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20.磋商响应文件的有效期</w:t>
      </w:r>
    </w:p>
    <w:p w14:paraId="12FF3544">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磋商有效期从递交磋商响应文件的截止之日起9</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个日历天。磋商有效期不满足磋商文件要求的磋商，将被视为非响应性磋商而予以拒绝，将按无效磋商处理。磋商有效期内供应商撤销磋商响应文件的，招标代理机构不退还磋商保证金。</w:t>
      </w:r>
    </w:p>
    <w:p w14:paraId="462C6ACA">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21、磋商响应文件的签署及规定</w:t>
      </w:r>
    </w:p>
    <w:p w14:paraId="153B94D1">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21.1磋商供应商须依据磋商文件内容和磋商响应文件格式的要求编制磋商响应文件；</w:t>
      </w:r>
    </w:p>
    <w:p w14:paraId="1C0D3B6E">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21.2磋商响应文件的正本和所有的副本均需打印或用不褪色的蓝（黑）墨水填写，注明“正本”“副本”字样。统一胶装、编码，在每一页的正下方清楚标明页码等字样；</w:t>
      </w:r>
    </w:p>
    <w:p w14:paraId="15F0484C">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21.3磋商响应文件份数，正本壹份，副本贰份，电子版磋商响应文件（U盘）壹份；在封面标明“正本”、“副本”及“电子版磋商响应文件”字样；</w:t>
      </w:r>
    </w:p>
    <w:p w14:paraId="3F50C732">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21.4磋商供应商在磋商响应文件中指定的页面落款处，必须按磋商文件要求加盖印章或签字；</w:t>
      </w:r>
    </w:p>
    <w:p w14:paraId="2EDB88F7">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21.5磋商供应商名称应填写全称，同时加盖公章；</w:t>
      </w:r>
    </w:p>
    <w:p w14:paraId="13F67AEF">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21.6磋商响应文件的任何行间插字、涂改和增删，必须由法定代表人或被授权人在改动处旁签字方为有效；</w:t>
      </w:r>
    </w:p>
    <w:p w14:paraId="27CBE406">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21.7磋商响应文件因字迹潦草或表达不清所引起的后果由磋商供应商负责。</w:t>
      </w:r>
    </w:p>
    <w:p w14:paraId="75840149">
      <w:pPr>
        <w:pStyle w:val="10"/>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21.8</w:t>
      </w:r>
      <w:r>
        <w:rPr>
          <w:rFonts w:hint="eastAsia" w:ascii="宋体" w:hAnsi="宋体" w:eastAsia="宋体" w:cs="宋体"/>
          <w:b/>
          <w:bCs/>
          <w:color w:val="auto"/>
          <w:sz w:val="24"/>
          <w:szCs w:val="24"/>
          <w:highlight w:val="none"/>
        </w:rPr>
        <w:t>为响应国家环保号召，磋商响应文件建议采用双面打印。</w:t>
      </w:r>
    </w:p>
    <w:p w14:paraId="5369F632">
      <w:pPr>
        <w:keepNext w:val="0"/>
        <w:keepLines w:val="0"/>
        <w:pageBreakBefore w:val="0"/>
        <w:widowControl w:val="0"/>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22.文字要求</w:t>
      </w:r>
    </w:p>
    <w:p w14:paraId="652FE87E">
      <w:pPr>
        <w:keepNext w:val="0"/>
        <w:keepLines w:val="0"/>
        <w:pageBreakBefore w:val="0"/>
        <w:widowControl w:val="0"/>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本次磋商只接受简体中文文字的磋商响应文件。</w:t>
      </w:r>
    </w:p>
    <w:p w14:paraId="45D39B82">
      <w:pPr>
        <w:pStyle w:val="3"/>
        <w:bidi w:val="0"/>
        <w:rPr>
          <w:rFonts w:hint="eastAsia" w:ascii="宋体" w:hAnsi="宋体" w:eastAsia="宋体" w:cs="宋体"/>
          <w:color w:val="auto"/>
          <w:sz w:val="32"/>
          <w:szCs w:val="36"/>
          <w:highlight w:val="none"/>
        </w:rPr>
      </w:pPr>
      <w:bookmarkStart w:id="48" w:name="_Toc16723"/>
      <w:bookmarkStart w:id="49" w:name="_Toc31661"/>
      <w:bookmarkStart w:id="50" w:name="_Toc690"/>
      <w:r>
        <w:rPr>
          <w:rFonts w:hint="eastAsia" w:ascii="宋体" w:hAnsi="宋体" w:eastAsia="宋体" w:cs="宋体"/>
          <w:color w:val="auto"/>
          <w:sz w:val="32"/>
          <w:szCs w:val="36"/>
          <w:highlight w:val="none"/>
        </w:rPr>
        <w:t>五</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磋商响应文件封装、递交</w:t>
      </w:r>
      <w:bookmarkEnd w:id="46"/>
      <w:bookmarkEnd w:id="47"/>
      <w:bookmarkEnd w:id="48"/>
      <w:bookmarkEnd w:id="49"/>
      <w:bookmarkEnd w:id="50"/>
    </w:p>
    <w:p w14:paraId="4E0C74F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23.磋商响应文件的封装及标记</w:t>
      </w:r>
    </w:p>
    <w:p w14:paraId="6AAFA1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pacing w:val="6"/>
          <w:sz w:val="24"/>
          <w:szCs w:val="24"/>
          <w:highlight w:val="none"/>
        </w:rPr>
        <w:t>磋商</w:t>
      </w:r>
      <w:r>
        <w:rPr>
          <w:rFonts w:hint="eastAsia" w:ascii="宋体" w:hAnsi="宋体" w:eastAsia="宋体" w:cs="宋体"/>
          <w:color w:val="auto"/>
          <w:sz w:val="24"/>
          <w:szCs w:val="24"/>
          <w:highlight w:val="none"/>
        </w:rPr>
        <w:t>响应</w:t>
      </w:r>
      <w:r>
        <w:rPr>
          <w:rFonts w:hint="eastAsia" w:ascii="宋体" w:hAnsi="宋体" w:eastAsia="宋体" w:cs="宋体"/>
          <w:color w:val="auto"/>
          <w:spacing w:val="6"/>
          <w:sz w:val="24"/>
          <w:szCs w:val="24"/>
          <w:highlight w:val="none"/>
        </w:rPr>
        <w:t>文件</w:t>
      </w:r>
      <w:r>
        <w:rPr>
          <w:rFonts w:hint="eastAsia" w:ascii="宋体" w:hAnsi="宋体" w:eastAsia="宋体" w:cs="宋体"/>
          <w:color w:val="auto"/>
          <w:sz w:val="24"/>
          <w:szCs w:val="24"/>
          <w:highlight w:val="none"/>
        </w:rPr>
        <w:t>应按以下要求封装：</w:t>
      </w:r>
    </w:p>
    <w:p w14:paraId="678809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23.1.1</w:t>
      </w:r>
      <w:r>
        <w:rPr>
          <w:rFonts w:hint="eastAsia" w:ascii="宋体" w:hAnsi="宋体" w:eastAsia="宋体" w:cs="宋体"/>
          <w:color w:val="auto"/>
          <w:spacing w:val="6"/>
          <w:sz w:val="24"/>
          <w:szCs w:val="24"/>
          <w:highlight w:val="none"/>
        </w:rPr>
        <w:t>磋商供应商</w:t>
      </w:r>
      <w:r>
        <w:rPr>
          <w:rFonts w:hint="eastAsia" w:ascii="宋体" w:hAnsi="宋体" w:eastAsia="宋体" w:cs="宋体"/>
          <w:color w:val="auto"/>
          <w:sz w:val="24"/>
          <w:szCs w:val="24"/>
          <w:highlight w:val="none"/>
        </w:rPr>
        <w:t>应将</w:t>
      </w:r>
      <w:r>
        <w:rPr>
          <w:rFonts w:hint="eastAsia" w:ascii="宋体" w:hAnsi="宋体" w:eastAsia="宋体" w:cs="宋体"/>
          <w:color w:val="auto"/>
          <w:spacing w:val="6"/>
          <w:sz w:val="24"/>
          <w:szCs w:val="24"/>
          <w:highlight w:val="none"/>
        </w:rPr>
        <w:t>磋商响应文件</w:t>
      </w:r>
      <w:r>
        <w:rPr>
          <w:rFonts w:hint="eastAsia" w:ascii="宋体" w:hAnsi="宋体" w:cs="宋体"/>
          <w:color w:val="auto"/>
          <w:spacing w:val="6"/>
          <w:sz w:val="24"/>
          <w:szCs w:val="24"/>
          <w:highlight w:val="none"/>
          <w:lang w:val="en-US" w:eastAsia="zh-CN"/>
        </w:rPr>
        <w:t>进行</w:t>
      </w:r>
      <w:r>
        <w:rPr>
          <w:rFonts w:hint="eastAsia" w:ascii="宋体" w:hAnsi="宋体" w:eastAsia="宋体" w:cs="宋体"/>
          <w:b/>
          <w:bCs/>
          <w:color w:val="auto"/>
          <w:sz w:val="24"/>
          <w:szCs w:val="24"/>
          <w:highlight w:val="none"/>
        </w:rPr>
        <w:t>密封</w:t>
      </w:r>
      <w:r>
        <w:rPr>
          <w:rFonts w:hint="eastAsia" w:ascii="宋体" w:hAnsi="宋体" w:eastAsia="宋体" w:cs="宋体"/>
          <w:color w:val="auto"/>
          <w:sz w:val="24"/>
          <w:szCs w:val="24"/>
          <w:highlight w:val="none"/>
        </w:rPr>
        <w:t>（封袋不得有破损），在封袋上标明“正本”或“副本”及“电子版”字样，封线处加盖</w:t>
      </w:r>
      <w:r>
        <w:rPr>
          <w:rFonts w:hint="eastAsia" w:ascii="宋体" w:hAnsi="宋体" w:eastAsia="宋体" w:cs="宋体"/>
          <w:color w:val="auto"/>
          <w:spacing w:val="6"/>
          <w:sz w:val="24"/>
          <w:szCs w:val="24"/>
          <w:highlight w:val="none"/>
        </w:rPr>
        <w:t>磋商供应商</w:t>
      </w:r>
      <w:r>
        <w:rPr>
          <w:rFonts w:hint="eastAsia" w:ascii="宋体" w:hAnsi="宋体" w:eastAsia="宋体" w:cs="宋体"/>
          <w:color w:val="auto"/>
          <w:sz w:val="24"/>
          <w:szCs w:val="24"/>
          <w:highlight w:val="none"/>
        </w:rPr>
        <w:t>公章，封袋正面要粘贴标识。磋商响应文件中资质证明文件为复印件加盖磋商供应商公章；</w:t>
      </w:r>
    </w:p>
    <w:p w14:paraId="3CB5453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24.磋商响应文件递交</w:t>
      </w:r>
    </w:p>
    <w:p w14:paraId="24F54D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24.1磋商供应商必须在磋商文件规定的时间和地点，将全部磋商响应文件递交至采购代理机构项目承办人；</w:t>
      </w:r>
    </w:p>
    <w:p w14:paraId="546A17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24.2采购代理机构项目承办人在磋商文件规定的磋商响应文件递交截止时间前，只负责磋商响应文件的接收、清点、造册登记工作，并请法定代表人或被授权人签字确认，对其有效性不负任何责任；</w:t>
      </w:r>
    </w:p>
    <w:p w14:paraId="1EBF96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24.3采购代理机构在宣布递交磋商响应文件时间截止之后，拒绝接收任何人送达、递交的磋商响应文件；</w:t>
      </w:r>
    </w:p>
    <w:p w14:paraId="21B2C3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无论磋商供应商成交与否或者废标，其磋商响应文件恕不退还。</w:t>
      </w:r>
    </w:p>
    <w:p w14:paraId="6A4A93E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25.磋商响应文件递交截止时间</w:t>
      </w:r>
    </w:p>
    <w:p w14:paraId="463A8E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25.1磋商供应商</w:t>
      </w:r>
      <w:r>
        <w:rPr>
          <w:rFonts w:hint="eastAsia" w:ascii="宋体" w:hAnsi="宋体" w:eastAsia="宋体" w:cs="宋体"/>
          <w:color w:val="auto"/>
          <w:spacing w:val="6"/>
          <w:sz w:val="24"/>
          <w:szCs w:val="24"/>
          <w:highlight w:val="none"/>
        </w:rPr>
        <w:t>必须在磋商文件规定的递交截止时间之前递交磋商响应文件，</w:t>
      </w:r>
      <w:r>
        <w:rPr>
          <w:rFonts w:hint="eastAsia" w:ascii="宋体" w:hAnsi="宋体" w:eastAsia="宋体" w:cs="宋体"/>
          <w:color w:val="auto"/>
          <w:sz w:val="24"/>
          <w:szCs w:val="24"/>
          <w:highlight w:val="none"/>
        </w:rPr>
        <w:t>采购代理机构在截止时间后拒绝接收任何磋商响应文件。</w:t>
      </w:r>
    </w:p>
    <w:p w14:paraId="3E40D8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25.2采购代理机构因采购人推迟磋商截止时间时，应以书面的形式，通知所有磋商供应商；在这种情况下，采购代理机构和磋商供应商的权利和义务将受到新的截止期的约束。</w:t>
      </w:r>
    </w:p>
    <w:p w14:paraId="786EE4F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26.磋商响应文件的修改和撤回</w:t>
      </w:r>
    </w:p>
    <w:p w14:paraId="2E45A5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26.1磋商响应文件递交后，如果磋商供应商提出书面修改和撤回磋商响应文件要求，在磋商截止时间前以书面形式送达采购代理机构；</w:t>
      </w:r>
    </w:p>
    <w:p w14:paraId="3AD015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26.2磋商供应商修改磋商响应文件的书面材料，须密封送达采购代理机构，修改或补充的内容应按磋商文件要求签署、盖章、密封、标记，并作为磋商响应文件的组成部分；</w:t>
      </w:r>
    </w:p>
    <w:p w14:paraId="328704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629563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26.4在磋商截止时间后到磋商文件规定的磋商有效期满之间的这段时间内，磋商供应商不得撤回其磋商响应文件；</w:t>
      </w:r>
    </w:p>
    <w:p w14:paraId="1363F8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26.5磋商供应商在磋商响应文件递交截止时间后，不得对其磋商响应文件做任何修改。</w:t>
      </w:r>
    </w:p>
    <w:p w14:paraId="74D55D9E">
      <w:pPr>
        <w:pStyle w:val="3"/>
        <w:bidi w:val="0"/>
        <w:rPr>
          <w:rFonts w:hint="eastAsia" w:ascii="宋体" w:hAnsi="宋体" w:eastAsia="宋体" w:cs="宋体"/>
          <w:color w:val="auto"/>
          <w:sz w:val="32"/>
          <w:szCs w:val="36"/>
          <w:highlight w:val="none"/>
          <w:lang w:val="en-US" w:eastAsia="zh-CN"/>
        </w:rPr>
      </w:pPr>
      <w:bookmarkStart w:id="51" w:name="_Toc32447"/>
      <w:bookmarkStart w:id="52" w:name="_Toc29321"/>
      <w:bookmarkStart w:id="53" w:name="_Toc519156742"/>
      <w:bookmarkStart w:id="54" w:name="_Toc1285"/>
      <w:bookmarkStart w:id="55" w:name="_Toc22413"/>
      <w:bookmarkStart w:id="56" w:name="_Toc4585"/>
      <w:r>
        <w:rPr>
          <w:rFonts w:hint="eastAsia" w:ascii="宋体" w:hAnsi="宋体" w:eastAsia="宋体" w:cs="宋体"/>
          <w:color w:val="auto"/>
          <w:sz w:val="32"/>
          <w:szCs w:val="36"/>
          <w:highlight w:val="none"/>
        </w:rPr>
        <w:t>六</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磋商</w:t>
      </w:r>
      <w:bookmarkEnd w:id="51"/>
      <w:bookmarkEnd w:id="52"/>
      <w:bookmarkEnd w:id="53"/>
      <w:r>
        <w:rPr>
          <w:rFonts w:hint="eastAsia" w:ascii="宋体" w:hAnsi="宋体" w:eastAsia="宋体" w:cs="宋体"/>
          <w:color w:val="auto"/>
          <w:sz w:val="32"/>
          <w:szCs w:val="36"/>
          <w:highlight w:val="none"/>
          <w:lang w:val="en-US" w:eastAsia="zh-CN"/>
        </w:rPr>
        <w:t>与评审</w:t>
      </w:r>
      <w:bookmarkEnd w:id="54"/>
      <w:bookmarkEnd w:id="55"/>
      <w:bookmarkEnd w:id="56"/>
    </w:p>
    <w:p w14:paraId="3BB5664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27.磋商小组和磋商评审原则</w:t>
      </w:r>
    </w:p>
    <w:p w14:paraId="305230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27.1按照《</w:t>
      </w:r>
      <w:r>
        <w:rPr>
          <w:rFonts w:hint="eastAsia" w:ascii="宋体" w:hAnsi="宋体" w:eastAsia="宋体" w:cs="宋体"/>
          <w:color w:val="auto"/>
          <w:sz w:val="24"/>
          <w:szCs w:val="24"/>
          <w:highlight w:val="none"/>
        </w:rPr>
        <w:t>中华人民共和国</w:t>
      </w:r>
      <w:r>
        <w:rPr>
          <w:rFonts w:hint="eastAsia" w:ascii="宋体" w:hAnsi="宋体" w:eastAsia="宋体" w:cs="宋体"/>
          <w:bCs/>
          <w:color w:val="auto"/>
          <w:sz w:val="24"/>
          <w:szCs w:val="24"/>
          <w:highlight w:val="none"/>
        </w:rPr>
        <w:t>政府采购法》、《中华人民共和国政府采购法实施条例》和《政府采购竞争性磋商采购方式管理暂行办法》的规定，采购机构将依法组建竞争性磋商小组，依法进行磋商和评审工作。</w:t>
      </w:r>
    </w:p>
    <w:p w14:paraId="6067E9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27.2磋商文件和供应商的响应文件是评审的依据。</w:t>
      </w:r>
    </w:p>
    <w:p w14:paraId="49EB84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.磋商及评审程序</w:t>
      </w:r>
    </w:p>
    <w:p w14:paraId="6EAAD5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.1采购代理</w:t>
      </w:r>
      <w:r>
        <w:rPr>
          <w:rFonts w:hint="eastAsia" w:ascii="宋体" w:hAnsi="宋体" w:eastAsia="宋体" w:cs="宋体"/>
          <w:color w:val="auto"/>
          <w:sz w:val="24"/>
          <w:szCs w:val="24"/>
          <w:highlight w:val="none"/>
        </w:rPr>
        <w:t>机构</w:t>
      </w:r>
      <w:r>
        <w:rPr>
          <w:rFonts w:hint="eastAsia" w:ascii="宋体" w:hAnsi="宋体" w:eastAsia="宋体" w:cs="宋体"/>
          <w:bCs/>
          <w:color w:val="auto"/>
          <w:sz w:val="24"/>
          <w:szCs w:val="24"/>
          <w:highlight w:val="none"/>
        </w:rPr>
        <w:t>在规定的时间和地点组织磋商。</w:t>
      </w:r>
    </w:p>
    <w:p w14:paraId="63E8CE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.2本次磋商的报价次数、磋商程序和最终报价的产生原则见“磋商须知前附表”的规定。</w:t>
      </w:r>
    </w:p>
    <w:p w14:paraId="79ACAF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F29B8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.4磋商小组所有成员集中与单一供应商分别进行磋商，并给予所有参加磋商的供应商平等的磋商机会。</w:t>
      </w:r>
    </w:p>
    <w:p w14:paraId="6541AE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Cs w:val="28"/>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5在磋商过程中，磋商小组可以根据磋商文件和磋商情况实质性变动采购需求中的技术、服务要求以及合同草案条款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6F8655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磋商结束后，磋商小组要求所有继续参加磋商的供应商在规定时间内提交最后报价，最后报价是供应商响应文件的有效组成部分。</w:t>
      </w:r>
    </w:p>
    <w:p w14:paraId="138D9B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已提交响应文件的供应商，在提交最后报价之前，可以根据磋商情况退出磋商。采购机构将退还退出磋商的供应商的保证金。</w:t>
      </w:r>
    </w:p>
    <w:p w14:paraId="0D9A29A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.评审过程的保密</w:t>
      </w:r>
    </w:p>
    <w:p w14:paraId="7B0AC3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.1竞争性</w:t>
      </w:r>
      <w:r>
        <w:rPr>
          <w:rFonts w:hint="eastAsia" w:ascii="宋体" w:hAnsi="宋体" w:eastAsia="宋体" w:cs="宋体"/>
          <w:color w:val="auto"/>
          <w:sz w:val="24"/>
          <w:szCs w:val="24"/>
          <w:highlight w:val="none"/>
        </w:rPr>
        <w:t>磋商</w:t>
      </w:r>
      <w:r>
        <w:rPr>
          <w:rFonts w:hint="eastAsia" w:ascii="宋体" w:hAnsi="宋体" w:eastAsia="宋体" w:cs="宋体"/>
          <w:bCs/>
          <w:color w:val="auto"/>
          <w:sz w:val="24"/>
          <w:szCs w:val="24"/>
          <w:highlight w:val="none"/>
        </w:rPr>
        <w:t>小组成员和与评审活动有关的工作人员不得泄露有关磋商响应文件的评审和比较、成交候选人的推荐以及与评审有关的其他情况。</w:t>
      </w:r>
    </w:p>
    <w:p w14:paraId="3860AD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.2在评审过程中，如果磋商供应商试图在磋商响应文件的评审和比较、成交候选人的推荐以及与评审有关的其他方面，向磋商小组、采购人和采购代理机构施加任何影响，其磋商响应文件将按照无效处理。</w:t>
      </w:r>
    </w:p>
    <w:p w14:paraId="2CC548E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．评审方法</w:t>
      </w:r>
    </w:p>
    <w:p w14:paraId="59028C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.1按照</w:t>
      </w:r>
      <w:r>
        <w:rPr>
          <w:rFonts w:hint="eastAsia" w:ascii="宋体" w:hAnsi="宋体" w:eastAsia="宋体" w:cs="宋体"/>
          <w:color w:val="auto"/>
          <w:sz w:val="24"/>
          <w:szCs w:val="24"/>
          <w:highlight w:val="none"/>
        </w:rPr>
        <w:t>中华人民共和国</w:t>
      </w:r>
      <w:r>
        <w:rPr>
          <w:rFonts w:hint="eastAsia" w:ascii="宋体" w:hAnsi="宋体" w:eastAsia="宋体" w:cs="宋体"/>
          <w:bCs/>
          <w:color w:val="auto"/>
          <w:sz w:val="24"/>
          <w:szCs w:val="24"/>
          <w:highlight w:val="none"/>
        </w:rPr>
        <w:t>财政部财库[2014]214号《政府采购竞争性磋商采购方式管理暂行办法》的规定，磋商小组根据综合评分情况，按照评审得分由高到低顺序推荐3名成交候选供应商。</w:t>
      </w:r>
    </w:p>
    <w:p w14:paraId="61337F86">
      <w:pPr>
        <w:pStyle w:val="3"/>
        <w:bidi w:val="0"/>
        <w:rPr>
          <w:rFonts w:hint="eastAsia" w:ascii="宋体" w:hAnsi="宋体" w:eastAsia="宋体" w:cs="宋体"/>
          <w:color w:val="auto"/>
          <w:sz w:val="32"/>
          <w:szCs w:val="36"/>
          <w:highlight w:val="none"/>
        </w:rPr>
      </w:pPr>
      <w:bookmarkStart w:id="57" w:name="_Toc12452"/>
      <w:bookmarkStart w:id="58" w:name="_Toc21838"/>
      <w:bookmarkStart w:id="59" w:name="_Toc13700"/>
      <w:bookmarkStart w:id="60" w:name="_Toc519156743"/>
      <w:bookmarkStart w:id="61" w:name="_Toc28377"/>
      <w:bookmarkStart w:id="62" w:name="_Toc6759"/>
      <w:r>
        <w:rPr>
          <w:rFonts w:hint="eastAsia" w:ascii="宋体" w:hAnsi="宋体" w:eastAsia="宋体" w:cs="宋体"/>
          <w:color w:val="auto"/>
          <w:sz w:val="32"/>
          <w:szCs w:val="36"/>
          <w:highlight w:val="none"/>
        </w:rPr>
        <w:t>七</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确定成交人、成交通知与签约</w:t>
      </w:r>
      <w:bookmarkEnd w:id="57"/>
      <w:bookmarkEnd w:id="58"/>
      <w:bookmarkEnd w:id="59"/>
      <w:bookmarkEnd w:id="60"/>
      <w:bookmarkEnd w:id="61"/>
      <w:bookmarkEnd w:id="62"/>
    </w:p>
    <w:p w14:paraId="7A06006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bookmarkStart w:id="63" w:name="_Toc519156744"/>
      <w:bookmarkStart w:id="64" w:name="_Toc23113"/>
      <w:bookmarkStart w:id="65" w:name="_Toc19721"/>
      <w:r>
        <w:rPr>
          <w:rFonts w:hint="eastAsia" w:ascii="宋体" w:hAnsi="宋体" w:eastAsia="宋体" w:cs="宋体"/>
          <w:b/>
          <w:color w:val="auto"/>
          <w:sz w:val="24"/>
          <w:szCs w:val="24"/>
          <w:highlight w:val="none"/>
        </w:rPr>
        <w:t>31．确定成交人</w:t>
      </w:r>
    </w:p>
    <w:p w14:paraId="5422D9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31.1采购代理机构应在评审结束之日起2个工作日内将评审报告送采购人确认。</w:t>
      </w:r>
    </w:p>
    <w:p w14:paraId="73C006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31.2采购人应当在收到评审报告之日起5个工作日内，从评审报告提出的成交候选供应商中，按照排序由高到低的原则确定成交供应商。</w:t>
      </w:r>
    </w:p>
    <w:p w14:paraId="7B3312C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32．成交通知</w:t>
      </w:r>
    </w:p>
    <w:p w14:paraId="1DA756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成交供应商确定之后，代理公司将发出《成交通知书》。 </w:t>
      </w:r>
    </w:p>
    <w:p w14:paraId="101542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32.2成交通知书对采购人和成交供应商具有同等法律效力。成交通知书发出之后，采购人改变成交结果，或者成交供应商放弃成交，应当承担相应的法律责任。</w:t>
      </w:r>
    </w:p>
    <w:p w14:paraId="5F9941C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33．签订合同</w:t>
      </w:r>
    </w:p>
    <w:p w14:paraId="4B7377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33.1磋商文件、成交供应商响应文件及补充文件等均为签订政府采购合同依据。</w:t>
      </w:r>
    </w:p>
    <w:p w14:paraId="559B9E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33.2成交供应商应在成交通知书发出之日起30日内与采购人签订政府采购合同。</w:t>
      </w:r>
    </w:p>
    <w:p w14:paraId="66D5C2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w:t>
      </w:r>
    </w:p>
    <w:p w14:paraId="27CA3A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33.4自政府采购合同签订之日起2个工作日内，本项目政府采购合同在磋商须知前附表规定的媒体上公告，但政府采购合同中涉及国家秘密、商业秘密的内容除外。</w:t>
      </w:r>
    </w:p>
    <w:p w14:paraId="2A7CFA9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34．成交合同的履约验收</w:t>
      </w:r>
    </w:p>
    <w:p w14:paraId="404490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采购人按照政府采购合同规定的技术、服务、安全标准组织对供应商履约情况进行验收，并出具验收书。验收书应当包括每一项技术、服务、安全标准的履约情况。</w:t>
      </w:r>
    </w:p>
    <w:p w14:paraId="4B409769">
      <w:pPr>
        <w:pStyle w:val="3"/>
        <w:bidi w:val="0"/>
        <w:rPr>
          <w:rFonts w:hint="eastAsia" w:ascii="宋体" w:hAnsi="宋体" w:eastAsia="宋体" w:cs="宋体"/>
          <w:color w:val="auto"/>
          <w:sz w:val="32"/>
          <w:szCs w:val="36"/>
          <w:highlight w:val="none"/>
        </w:rPr>
      </w:pPr>
      <w:bookmarkStart w:id="66" w:name="_Toc31757"/>
      <w:bookmarkStart w:id="67" w:name="_Toc12773"/>
      <w:bookmarkStart w:id="68" w:name="_Toc26927"/>
      <w:r>
        <w:rPr>
          <w:rFonts w:hint="eastAsia" w:ascii="宋体" w:hAnsi="宋体" w:eastAsia="宋体" w:cs="宋体"/>
          <w:color w:val="auto"/>
          <w:sz w:val="32"/>
          <w:szCs w:val="36"/>
          <w:highlight w:val="none"/>
        </w:rPr>
        <w:t>八、其他事项</w:t>
      </w:r>
      <w:bookmarkEnd w:id="63"/>
      <w:bookmarkEnd w:id="64"/>
      <w:bookmarkEnd w:id="65"/>
      <w:bookmarkEnd w:id="66"/>
      <w:bookmarkEnd w:id="67"/>
      <w:bookmarkEnd w:id="68"/>
    </w:p>
    <w:p w14:paraId="594D8AC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35.竞争性磋商项目实行二轮报价</w:t>
      </w:r>
      <w:r>
        <w:rPr>
          <w:rFonts w:hint="eastAsia" w:ascii="宋体" w:hAnsi="宋体" w:eastAsia="宋体" w:cs="宋体"/>
          <w:color w:val="auto"/>
          <w:sz w:val="24"/>
          <w:szCs w:val="24"/>
          <w:highlight w:val="none"/>
        </w:rPr>
        <w:t>，第一次报价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响应文件中所列价格</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，磋商小组可以变更采购需求中的技术、服务要求以及合同草案条款，二轮报价为最终报价。</w:t>
      </w:r>
    </w:p>
    <w:p w14:paraId="628235D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36.磋商开始后，出现下列情形之一的，采购代理机构将终止竞争性磋商采购活动，发布项目终止公告并说明原因，重新开展采购活动：</w:t>
      </w:r>
    </w:p>
    <w:p w14:paraId="79E09B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3ED1D0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5AB56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（三）在采购过程中符合要求的供应商不足3家的 （不包含政府购买服务项目）；</w:t>
      </w:r>
    </w:p>
    <w:p w14:paraId="587014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（四）报价未超过采购预算的供应商不足3家的。</w:t>
      </w:r>
    </w:p>
    <w:p w14:paraId="0CB38D1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37. 提交最后报价的供应商为2家时，可以继续进行磋商的情形：</w:t>
      </w:r>
    </w:p>
    <w:p w14:paraId="0660FC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（一）市场竞争不充分的科研项目，以及需要扶持的科技成果转化项目；</w:t>
      </w:r>
    </w:p>
    <w:p w14:paraId="2C5281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（二）政府购买服务项目（含政府和社会资本项目）。</w:t>
      </w:r>
    </w:p>
    <w:p w14:paraId="39397E1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38.最后报价应按报价的格式内容填写</w:t>
      </w:r>
      <w:r>
        <w:rPr>
          <w:rFonts w:hint="eastAsia" w:ascii="宋体" w:hAnsi="宋体" w:eastAsia="宋体" w:cs="宋体"/>
          <w:color w:val="auto"/>
          <w:sz w:val="24"/>
          <w:szCs w:val="24"/>
          <w:highlight w:val="none"/>
        </w:rPr>
        <w:t>，并且同时提交最后响应报价表、最后报价明细表等内容（最后响应报价表、最后报价明细表等内容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r>
        <w:rPr>
          <w:rFonts w:hint="eastAsia" w:ascii="宋体" w:hAnsi="宋体" w:eastAsia="宋体" w:cs="宋体"/>
          <w:color w:val="auto"/>
          <w:sz w:val="24"/>
          <w:szCs w:val="24"/>
          <w:highlight w:val="none"/>
          <w:lang w:eastAsia="zh-CN"/>
        </w:rPr>
        <w:t>。</w:t>
      </w:r>
    </w:p>
    <w:p w14:paraId="56919CBC">
      <w:pPr>
        <w:pStyle w:val="3"/>
        <w:bidi w:val="0"/>
        <w:rPr>
          <w:rFonts w:hint="eastAsia" w:ascii="宋体" w:hAnsi="宋体" w:eastAsia="宋体" w:cs="宋体"/>
          <w:color w:val="auto"/>
          <w:sz w:val="32"/>
          <w:szCs w:val="36"/>
          <w:highlight w:val="none"/>
        </w:rPr>
      </w:pPr>
      <w:bookmarkStart w:id="69" w:name="_Toc5011"/>
      <w:bookmarkStart w:id="70" w:name="_Toc23647"/>
      <w:bookmarkStart w:id="71" w:name="_Toc23884"/>
      <w:bookmarkStart w:id="72" w:name="_Toc519156745"/>
      <w:bookmarkStart w:id="73" w:name="_Toc23716"/>
      <w:bookmarkStart w:id="74" w:name="_Toc23835"/>
      <w:bookmarkStart w:id="75" w:name="_Toc30935"/>
      <w:r>
        <w:rPr>
          <w:rFonts w:hint="eastAsia" w:ascii="宋体" w:hAnsi="宋体" w:eastAsia="宋体" w:cs="宋体"/>
          <w:color w:val="auto"/>
          <w:sz w:val="32"/>
          <w:szCs w:val="36"/>
          <w:highlight w:val="none"/>
        </w:rPr>
        <w:t>九</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成交服务费</w:t>
      </w:r>
      <w:bookmarkEnd w:id="69"/>
      <w:bookmarkEnd w:id="70"/>
      <w:bookmarkEnd w:id="71"/>
      <w:bookmarkEnd w:id="72"/>
      <w:bookmarkEnd w:id="73"/>
      <w:bookmarkEnd w:id="74"/>
      <w:bookmarkEnd w:id="75"/>
    </w:p>
    <w:p w14:paraId="397FC9C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39</w:t>
      </w:r>
      <w:r>
        <w:rPr>
          <w:rFonts w:hint="eastAsia" w:ascii="宋体" w:hAnsi="宋体" w:eastAsia="宋体" w:cs="宋体"/>
          <w:b/>
          <w:bCs/>
          <w:color w:val="auto"/>
          <w:sz w:val="24"/>
          <w:szCs w:val="24"/>
          <w:highlight w:val="none"/>
        </w:rPr>
        <w:t>.招标代理服务费</w:t>
      </w:r>
    </w:p>
    <w:p w14:paraId="186EE2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参考国家计委颁布的《招标代理服务收费管理暂行办法》（计价格〔2002〕1980号）、发改办价格〔2003〕857号、发改价格〔2011〕534号及发改价格〔2015〕299号文件规定收取，</w:t>
      </w:r>
      <w:r>
        <w:rPr>
          <w:rFonts w:hint="eastAsia" w:ascii="宋体" w:hAnsi="宋体" w:eastAsia="宋体" w:cs="宋体"/>
          <w:color w:val="auto"/>
          <w:sz w:val="24"/>
          <w:szCs w:val="24"/>
          <w:highlight w:val="none"/>
          <w:lang w:val="en-US" w:eastAsia="zh-CN"/>
        </w:rPr>
        <w:t>不足</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元，按</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元计取。</w:t>
      </w:r>
      <w:r>
        <w:rPr>
          <w:rFonts w:hint="eastAsia" w:ascii="宋体" w:hAnsi="宋体" w:eastAsia="宋体" w:cs="宋体"/>
          <w:color w:val="auto"/>
          <w:sz w:val="24"/>
          <w:szCs w:val="24"/>
          <w:highlight w:val="none"/>
        </w:rPr>
        <w:t>由成交供应商在领取成交通知书之前向代理公司一次性付清招标代理服务费。</w:t>
      </w:r>
    </w:p>
    <w:p w14:paraId="5C9118D9">
      <w:pPr>
        <w:pStyle w:val="3"/>
        <w:bidi w:val="0"/>
        <w:rPr>
          <w:rFonts w:hint="eastAsia" w:ascii="宋体" w:hAnsi="宋体" w:eastAsia="宋体" w:cs="宋体"/>
          <w:color w:val="auto"/>
          <w:sz w:val="32"/>
          <w:szCs w:val="36"/>
          <w:highlight w:val="none"/>
        </w:rPr>
      </w:pPr>
      <w:bookmarkStart w:id="76" w:name="_Toc5878"/>
      <w:bookmarkStart w:id="77" w:name="_Toc10336"/>
      <w:bookmarkStart w:id="78" w:name="_Toc32429"/>
      <w:bookmarkStart w:id="79" w:name="_Toc23078"/>
      <w:r>
        <w:rPr>
          <w:rFonts w:hint="eastAsia" w:ascii="宋体" w:hAnsi="宋体" w:eastAsia="宋体" w:cs="宋体"/>
          <w:color w:val="auto"/>
          <w:sz w:val="32"/>
          <w:szCs w:val="36"/>
          <w:highlight w:val="none"/>
        </w:rPr>
        <w:t>十</w:t>
      </w:r>
      <w:r>
        <w:rPr>
          <w:rFonts w:hint="eastAsia" w:ascii="宋体" w:hAnsi="宋体" w:eastAsia="宋体" w:cs="宋体"/>
          <w:color w:val="auto"/>
          <w:sz w:val="32"/>
          <w:szCs w:val="36"/>
          <w:highlight w:val="none"/>
          <w:lang w:eastAsia="zh-CN"/>
        </w:rPr>
        <w:t>、</w:t>
      </w:r>
      <w:r>
        <w:rPr>
          <w:rFonts w:hint="eastAsia" w:ascii="宋体" w:hAnsi="宋体" w:eastAsia="宋体" w:cs="宋体"/>
          <w:color w:val="auto"/>
          <w:sz w:val="32"/>
          <w:szCs w:val="36"/>
          <w:highlight w:val="none"/>
        </w:rPr>
        <w:t>质疑</w:t>
      </w:r>
      <w:bookmarkEnd w:id="76"/>
      <w:bookmarkEnd w:id="77"/>
      <w:bookmarkEnd w:id="78"/>
      <w:bookmarkEnd w:id="79"/>
    </w:p>
    <w:p w14:paraId="4D6E5D50">
      <w:pPr>
        <w:pStyle w:val="10"/>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.质疑</w:t>
      </w:r>
    </w:p>
    <w:p w14:paraId="521AB77E">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.1供应商对本次磋商采购活动有疑问的，应当按照《中华人民共和国政府采购法实施条例》的有关规定办理。</w:t>
      </w:r>
    </w:p>
    <w:p w14:paraId="382292C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023F9946">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 质疑函应当包括下列内容：</w:t>
      </w:r>
    </w:p>
    <w:p w14:paraId="2D71FCB8">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0245DF17">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1C0CC59E">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570DCC19">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45104320">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265EC038">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535C77B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供应商为自然人的，应当由本人签字；供应商为法人或者其他组织的，应当由法定代表人、主要负责人，或者其授权代表（附法人代表授权书）签字或者盖章（鲜章），并加盖公章（鲜章）。</w:t>
      </w:r>
    </w:p>
    <w:p w14:paraId="75D063A6">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接收质疑函的方式：书面形式；</w:t>
      </w:r>
    </w:p>
    <w:p w14:paraId="44DDEB1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联系部门：华睿诚项目管理有限公司；</w:t>
      </w:r>
    </w:p>
    <w:p w14:paraId="1DB81513">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联系人：孙笑梅</w:t>
      </w:r>
    </w:p>
    <w:p w14:paraId="5B737BA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联系电话：</w:t>
      </w:r>
      <w:r>
        <w:rPr>
          <w:rFonts w:hint="eastAsia" w:ascii="宋体" w:hAnsi="宋体" w:eastAsia="宋体" w:cs="宋体"/>
          <w:i w:val="0"/>
          <w:iCs w:val="0"/>
          <w:caps w:val="0"/>
          <w:color w:val="auto"/>
          <w:spacing w:val="0"/>
          <w:sz w:val="24"/>
          <w:szCs w:val="24"/>
          <w:lang w:val="en-US" w:eastAsia="zh-CN"/>
        </w:rPr>
        <w:t>18291945670</w:t>
      </w:r>
    </w:p>
    <w:p w14:paraId="7918771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通讯地址：西安市曲江新区雁翔路3269号【旺座·曲江】E座29层</w:t>
      </w:r>
    </w:p>
    <w:p w14:paraId="049C3505">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质疑函范本格式在中国政府采购网站（http://www.ccgp.gov.cn/）自行下载。</w:t>
      </w:r>
    </w:p>
    <w:p w14:paraId="7E9BE9DE">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有下列情形之一的，属于无效质疑，采购代理机构和采购人不予受理：</w:t>
      </w:r>
    </w:p>
    <w:p w14:paraId="587F8DDA">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质疑供应商不是参与所质疑项目采购活动的供应商；</w:t>
      </w:r>
    </w:p>
    <w:p w14:paraId="3B633E8A">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未在法定质疑期内发出质疑的；</w:t>
      </w:r>
    </w:p>
    <w:p w14:paraId="2BF9BC1E">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质疑未以书面形式提出；</w:t>
      </w:r>
    </w:p>
    <w:p w14:paraId="3CFB4257">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质疑函没有合法有效的签字、盖章或授权的；</w:t>
      </w:r>
    </w:p>
    <w:p w14:paraId="05EC1835">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以非法手段取得证据、材料的；</w:t>
      </w:r>
    </w:p>
    <w:p w14:paraId="1348C600">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质疑答复后，同一质疑人就同一事项再次提出质疑的；</w:t>
      </w:r>
    </w:p>
    <w:p w14:paraId="0CF0BA7F">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不符合法律、法规、规章和政府采购监管机构规定的其他条件的。</w:t>
      </w:r>
    </w:p>
    <w:p w14:paraId="776DBE8F">
      <w:pPr>
        <w:pStyle w:val="10"/>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采购代理机构或采购人将在收到书面质疑后7个工作日内做出答复，并以书面形式通知质疑人和其他有关供应商。</w:t>
      </w:r>
    </w:p>
    <w:p w14:paraId="490CB5C7">
      <w:pPr>
        <w:pStyle w:val="10"/>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.其他规定</w:t>
      </w:r>
    </w:p>
    <w:p w14:paraId="0ABC6C5D">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41.1　磋商文件的其他规定见磋商须知前附表。</w:t>
      </w:r>
    </w:p>
    <w:p w14:paraId="172EE734">
      <w:pPr>
        <w:pStyle w:val="10"/>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.未尽事宜</w:t>
      </w:r>
    </w:p>
    <w:p w14:paraId="7D608A08">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其他未尽事宜按政府采购法律法规的规定执行。</w:t>
      </w:r>
    </w:p>
    <w:p w14:paraId="4B89680E">
      <w:pPr>
        <w:pStyle w:val="10"/>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.文件解释权</w:t>
      </w:r>
    </w:p>
    <w:p w14:paraId="12E0DFB6">
      <w:pPr>
        <w:pStyle w:val="1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本磋商文件的解释权归采购代理机构所有。</w:t>
      </w:r>
    </w:p>
    <w:p w14:paraId="02D90527">
      <w:pPr>
        <w:numPr>
          <w:ilvl w:val="0"/>
          <w:numId w:val="5"/>
        </w:numPr>
        <w:jc w:val="center"/>
        <w:outlineLvl w:val="0"/>
        <w:rPr>
          <w:rFonts w:hint="eastAsia" w:ascii="宋体" w:hAnsi="宋体" w:eastAsia="宋体" w:cs="宋体"/>
          <w:b/>
          <w:bCs/>
          <w:color w:val="auto"/>
          <w:kern w:val="2"/>
          <w:sz w:val="36"/>
          <w:szCs w:val="36"/>
          <w:highlight w:val="none"/>
          <w:lang w:val="en-US" w:eastAsia="zh-CN" w:bidi="ar-SA"/>
        </w:rPr>
      </w:pPr>
      <w:bookmarkStart w:id="80" w:name="_Toc31900"/>
      <w:bookmarkStart w:id="81" w:name="_Toc18268"/>
      <w:r>
        <w:rPr>
          <w:rFonts w:hint="eastAsia" w:ascii="宋体" w:hAnsi="宋体" w:eastAsia="宋体" w:cs="宋体"/>
          <w:b/>
          <w:bCs/>
          <w:color w:val="auto"/>
          <w:kern w:val="2"/>
          <w:sz w:val="36"/>
          <w:szCs w:val="36"/>
          <w:highlight w:val="none"/>
          <w:lang w:val="en-US" w:eastAsia="zh-CN" w:bidi="ar-SA"/>
        </w:rPr>
        <w:t xml:space="preserve"> </w:t>
      </w:r>
      <w:bookmarkStart w:id="82" w:name="_Toc5074"/>
      <w:r>
        <w:rPr>
          <w:rFonts w:hint="eastAsia" w:ascii="宋体" w:hAnsi="宋体" w:eastAsia="宋体" w:cs="宋体"/>
          <w:b/>
          <w:bCs/>
          <w:color w:val="auto"/>
          <w:kern w:val="2"/>
          <w:sz w:val="36"/>
          <w:szCs w:val="36"/>
          <w:highlight w:val="none"/>
          <w:lang w:val="en-US" w:eastAsia="zh-CN" w:bidi="ar-SA"/>
        </w:rPr>
        <w:t>磋商要求及说明</w:t>
      </w:r>
      <w:bookmarkEnd w:id="26"/>
      <w:bookmarkEnd w:id="27"/>
      <w:bookmarkEnd w:id="28"/>
      <w:bookmarkEnd w:id="80"/>
      <w:bookmarkEnd w:id="81"/>
      <w:bookmarkEnd w:id="82"/>
      <w:bookmarkStart w:id="83" w:name="_Toc13278"/>
      <w:bookmarkStart w:id="84" w:name="_Toc12426"/>
      <w:bookmarkStart w:id="85" w:name="_Toc519156757"/>
    </w:p>
    <w:p w14:paraId="62CE35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陕西省档案馆后库（凤县）为提高库区安全防范水平，现计划在原有周界防护上进行升级，内容包括加装周界电子围墙、围墙刀片滚笼和完善</w:t>
      </w:r>
      <w:r>
        <w:rPr>
          <w:rFonts w:hint="eastAsia" w:ascii="宋体" w:hAnsi="宋体" w:cs="宋体"/>
          <w:sz w:val="24"/>
          <w:szCs w:val="24"/>
          <w:lang w:eastAsia="zh-CN"/>
        </w:rPr>
        <w:t>周界围墙防护升级</w:t>
      </w:r>
      <w:r>
        <w:rPr>
          <w:rFonts w:hint="eastAsia" w:ascii="宋体" w:hAnsi="宋体" w:eastAsia="宋体" w:cs="宋体"/>
          <w:sz w:val="24"/>
          <w:szCs w:val="24"/>
        </w:rPr>
        <w:t>。</w:t>
      </w:r>
    </w:p>
    <w:p w14:paraId="0B843B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本项目共分为三个部分，分别予以表述：</w:t>
      </w:r>
    </w:p>
    <w:p w14:paraId="3838F8AB">
      <w:pPr>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第一部分：周界电子围栏系统</w:t>
      </w:r>
    </w:p>
    <w:p w14:paraId="6D5A1D7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一、系统概述</w:t>
      </w:r>
    </w:p>
    <w:p w14:paraId="3CF16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围栏是一种主动入侵防越围栏，对入侵企图做出反击，击退入侵者，延迟入侵时间，并且不威胁人的性命，同时把入侵信号发送到安全部门监控设备上，以保证管理人员能及时了解报警区域的情况，快速作出处理。</w:t>
      </w:r>
    </w:p>
    <w:p w14:paraId="6DDB486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二、系统构成</w:t>
      </w:r>
    </w:p>
    <w:p w14:paraId="02FF04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周界电子围栏系统是整个安全防范的最外层的安保系统，是对防范区域进行非法入侵的第一道重要关卡。</w:t>
      </w:r>
    </w:p>
    <w:p w14:paraId="55CD68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周界电子围栏由电子围栏主机和前端探测围栏组成。电子围栏主机是产生和接收高压脉冲信号，并在前端探测围栏处于触网、短路、断路状态时能产生报警信号，并把入侵信号发送到安全报警中心；前端探测围栏由杆及金属导线等构件组成的有形周界。通过控制键盘或控制软件，可实现多级联网。</w:t>
      </w:r>
    </w:p>
    <w:p w14:paraId="32E1B6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根据防范区域平面图和要求，防范区域的四周围墙上设置高压电网，防止有人翻越围墙进入区域，一旦有人企图翻越围墙，布防后的报警器，会立即触发， 报警后，位于中心控制室的防盗主机会发出声光报警信息，在液晶显示屏上显示报警方位号，及时提醒值班人员前往报警点查看。同时报警主机将报警日期、时间、防区号码等资料存储到PC中，实现报警记录功能，为以后处置提供证据。</w:t>
      </w:r>
    </w:p>
    <w:p w14:paraId="635F47F3">
      <w:pPr>
        <w:spacing w:line="360" w:lineRule="auto"/>
        <w:ind w:firstLine="480" w:firstLineChars="200"/>
        <w:rPr>
          <w:rFonts w:ascii="楷体" w:hAnsi="楷体" w:eastAsia="楷体" w:cs="楷体"/>
          <w:sz w:val="24"/>
          <w:szCs w:val="24"/>
        </w:rPr>
      </w:pPr>
    </w:p>
    <w:p w14:paraId="5CD7CE8F">
      <w:pPr>
        <w:spacing w:line="360" w:lineRule="auto"/>
        <w:ind w:firstLine="480" w:firstLineChars="200"/>
        <w:rPr>
          <w:rFonts w:ascii="楷体" w:hAnsi="楷体" w:eastAsia="楷体" w:cs="楷体"/>
          <w:sz w:val="24"/>
          <w:szCs w:val="24"/>
        </w:rPr>
      </w:pPr>
    </w:p>
    <w:p w14:paraId="782174A1">
      <w:pPr>
        <w:spacing w:line="360" w:lineRule="auto"/>
        <w:ind w:firstLine="480" w:firstLineChars="200"/>
        <w:rPr>
          <w:rFonts w:ascii="楷体" w:hAnsi="楷体" w:eastAsia="楷体" w:cs="楷体"/>
          <w:sz w:val="24"/>
          <w:szCs w:val="24"/>
        </w:rPr>
      </w:pPr>
      <w:r>
        <w:rPr>
          <w:rFonts w:ascii="楷体" w:hAnsi="楷体" w:eastAsia="楷体" w:cs="楷体"/>
          <w:sz w:val="24"/>
          <w:szCs w:val="24"/>
        </w:rPr>
        <w:drawing>
          <wp:inline distT="0" distB="0" distL="0" distR="0">
            <wp:extent cx="4838700" cy="3401695"/>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838700" cy="3401695"/>
                    </a:xfrm>
                    <a:prstGeom prst="rect">
                      <a:avLst/>
                    </a:prstGeom>
                  </pic:spPr>
                </pic:pic>
              </a:graphicData>
            </a:graphic>
          </wp:inline>
        </w:drawing>
      </w:r>
    </w:p>
    <w:p w14:paraId="74E0A5EC">
      <w:pPr>
        <w:spacing w:line="360" w:lineRule="auto"/>
        <w:ind w:firstLine="480" w:firstLineChars="200"/>
        <w:rPr>
          <w:rFonts w:ascii="楷体" w:hAnsi="楷体" w:eastAsia="楷体" w:cs="楷体"/>
          <w:sz w:val="24"/>
          <w:szCs w:val="24"/>
        </w:rPr>
      </w:pPr>
    </w:p>
    <w:p w14:paraId="6AECB1C5">
      <w:pPr>
        <w:spacing w:line="360" w:lineRule="auto"/>
        <w:ind w:firstLine="480" w:firstLineChars="200"/>
        <w:rPr>
          <w:rFonts w:ascii="楷体" w:hAnsi="楷体" w:eastAsia="楷体" w:cs="楷体"/>
          <w:sz w:val="24"/>
          <w:szCs w:val="24"/>
        </w:rPr>
      </w:pPr>
      <w:r>
        <w:rPr>
          <w:rFonts w:ascii="楷体" w:hAnsi="楷体" w:eastAsia="楷体" w:cs="楷体"/>
          <w:sz w:val="24"/>
          <w:szCs w:val="24"/>
        </w:rPr>
        <w:drawing>
          <wp:inline distT="0" distB="0" distL="0" distR="0">
            <wp:extent cx="5077460" cy="4496435"/>
            <wp:effectExtent l="0" t="0" r="698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077460" cy="4496435"/>
                    </a:xfrm>
                    <a:prstGeom prst="rect">
                      <a:avLst/>
                    </a:prstGeom>
                  </pic:spPr>
                </pic:pic>
              </a:graphicData>
            </a:graphic>
          </wp:inline>
        </w:drawing>
      </w:r>
    </w:p>
    <w:p w14:paraId="387D152F">
      <w:pPr>
        <w:spacing w:line="360" w:lineRule="auto"/>
        <w:ind w:firstLine="480" w:firstLineChars="200"/>
        <w:rPr>
          <w:rFonts w:ascii="楷体" w:hAnsi="楷体" w:eastAsia="楷体" w:cs="楷体"/>
          <w:sz w:val="24"/>
          <w:szCs w:val="24"/>
        </w:rPr>
      </w:pPr>
    </w:p>
    <w:p w14:paraId="6338E6FA">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drawing>
          <wp:inline distT="0" distB="0" distL="0" distR="0">
            <wp:extent cx="4904740" cy="3839210"/>
            <wp:effectExtent l="0" t="0" r="698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904740" cy="3839210"/>
                    </a:xfrm>
                    <a:prstGeom prst="rect">
                      <a:avLst/>
                    </a:prstGeom>
                  </pic:spPr>
                </pic:pic>
              </a:graphicData>
            </a:graphic>
          </wp:inline>
        </w:drawing>
      </w:r>
    </w:p>
    <w:p w14:paraId="708F2F5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三、系统优势</w:t>
      </w:r>
    </w:p>
    <w:p w14:paraId="6085AA4D">
      <w:pPr>
        <w:numPr>
          <w:ilvl w:val="0"/>
          <w:numId w:val="6"/>
        </w:numPr>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电子围栏主机采用了先进的“阻挡为主，报警为辅”的周界安防理念，集“威慑、阻挡、报警、安全”于一身。</w:t>
      </w:r>
    </w:p>
    <w:p w14:paraId="7D2633D8">
      <w:pPr>
        <w:numPr>
          <w:ilvl w:val="0"/>
          <w:numId w:val="6"/>
        </w:numPr>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独特的触网探测技术使电子围栏真正实现触网、短路、断路三种报警模式。</w:t>
      </w:r>
    </w:p>
    <w:p w14:paraId="3D889E93">
      <w:pPr>
        <w:numPr>
          <w:ilvl w:val="0"/>
          <w:numId w:val="6"/>
        </w:numPr>
        <w:spacing w:line="360" w:lineRule="auto"/>
        <w:ind w:firstLine="482"/>
        <w:jc w:val="left"/>
        <w:rPr>
          <w:rFonts w:hint="eastAsia" w:ascii="宋体" w:hAnsi="宋体" w:eastAsia="宋体" w:cs="宋体"/>
          <w:bCs/>
          <w:sz w:val="24"/>
          <w:szCs w:val="24"/>
        </w:rPr>
      </w:pPr>
      <w:r>
        <w:rPr>
          <w:rFonts w:hint="eastAsia" w:ascii="宋体" w:hAnsi="宋体" w:eastAsia="宋体" w:cs="宋体"/>
          <w:bCs/>
          <w:sz w:val="24"/>
          <w:szCs w:val="24"/>
        </w:rPr>
        <w:t>由微处理器控制具有高度可靠性，键盘操作简单方便。</w:t>
      </w:r>
    </w:p>
    <w:p w14:paraId="1F63DC53">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先进的脉冲高压输出功能：周界每条线都有电击，使周界电子围栏无懈可击。强力阻挡形成物理屏障，能延迟入侵时间，为安全防范争取主动。</w:t>
      </w:r>
    </w:p>
    <w:p w14:paraId="789061D0">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误报率极低，先进的报警原理，抗干扰能力强，报警准确，克服了红外、微波、静电感应等的技术缺陷，周界各种绝缘子均为防水设计，保证系统在能报警的同时，不受气候、植物、小动物等因素的影响。</w:t>
      </w:r>
    </w:p>
    <w:p w14:paraId="1E46613B">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无盲区、无死角，周界电子围栏可随地形的起伏架设，大门口、拐角均可安装。</w:t>
      </w:r>
    </w:p>
    <w:p w14:paraId="62A1BDD4">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安全可靠，系统采用高电压、低能量的设计思路，对人体不会构成生命危害。</w:t>
      </w:r>
    </w:p>
    <w:p w14:paraId="20CC0240">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高低压可转换模式：用户可以根据不同的需求自由切换模式。白天或有人员在围栏附近作业时切换到低压模式，可使前端围栏的脉冲打击力度降低；在夜间或需要高警戒时间，可以恢复到高压脉冲模式。现许多电子围栏主机都具备了设置切换时间后，机器自动切换高低压的功能。</w:t>
      </w:r>
    </w:p>
    <w:p w14:paraId="3342C3AD">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有联动输出接口，可与监视器、报警中心实现联动功能。也可实现网络计算机监控。</w:t>
      </w:r>
    </w:p>
    <w:p w14:paraId="30DA99C6">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配有订做的蓄电池，能在停电的情况下继续工作，来电后自动转换成220V供电。</w:t>
      </w:r>
    </w:p>
    <w:p w14:paraId="7C0EE0E0">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电子缆线作为周界围栏的一部份，因此可降低建筑工程成本减少投资。</w:t>
      </w:r>
    </w:p>
    <w:p w14:paraId="2BD39228">
      <w:pPr>
        <w:numPr>
          <w:ilvl w:val="0"/>
          <w:numId w:val="6"/>
        </w:numPr>
        <w:spacing w:line="360" w:lineRule="auto"/>
        <w:ind w:firstLine="480"/>
        <w:jc w:val="left"/>
        <w:rPr>
          <w:rFonts w:hint="eastAsia" w:ascii="宋体" w:hAnsi="宋体" w:eastAsia="宋体" w:cs="宋体"/>
          <w:bCs/>
          <w:sz w:val="24"/>
          <w:szCs w:val="24"/>
        </w:rPr>
      </w:pPr>
      <w:r>
        <w:rPr>
          <w:rFonts w:hint="eastAsia" w:ascii="宋体" w:hAnsi="宋体" w:eastAsia="宋体" w:cs="宋体"/>
          <w:bCs/>
          <w:sz w:val="24"/>
          <w:szCs w:val="24"/>
        </w:rPr>
        <w:t>电子围栏还具有外形美观、安装维护方便、操作简单，不受地形限制，成本较低等优点。</w:t>
      </w:r>
    </w:p>
    <w:p w14:paraId="6B596322">
      <w:pPr>
        <w:pStyle w:val="44"/>
        <w:spacing w:line="360" w:lineRule="auto"/>
        <w:ind w:left="420" w:firstLine="0" w:firstLineChars="0"/>
        <w:rPr>
          <w:rFonts w:hint="eastAsia" w:ascii="宋体" w:hAnsi="宋体" w:eastAsia="宋体" w:cs="宋体"/>
          <w:b/>
          <w:sz w:val="24"/>
          <w:szCs w:val="24"/>
        </w:rPr>
      </w:pPr>
      <w:r>
        <w:rPr>
          <w:rFonts w:hint="eastAsia" w:ascii="宋体" w:hAnsi="宋体" w:eastAsia="宋体" w:cs="宋体"/>
          <w:b/>
          <w:sz w:val="24"/>
          <w:szCs w:val="24"/>
        </w:rPr>
        <w:t>四、周界电子围栏构成清单</w:t>
      </w:r>
    </w:p>
    <w:p w14:paraId="745440E4">
      <w:pPr>
        <w:pStyle w:val="44"/>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（见附表）</w:t>
      </w:r>
    </w:p>
    <w:p w14:paraId="6CC8F18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第二部分：刀刺网</w:t>
      </w:r>
    </w:p>
    <w:p w14:paraId="01DEE11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一、刀刺网简述</w:t>
      </w:r>
    </w:p>
    <w:p w14:paraId="70930C2B">
      <w:pPr>
        <w:spacing w:line="360" w:lineRule="auto"/>
        <w:ind w:firstLine="480" w:firstLineChars="200"/>
        <w:rPr>
          <w:rFonts w:ascii="楷体" w:hAnsi="楷体" w:eastAsia="楷体" w:cs="楷体"/>
          <w:sz w:val="24"/>
          <w:szCs w:val="24"/>
        </w:rPr>
      </w:pPr>
      <w:r>
        <w:rPr>
          <w:rFonts w:hint="eastAsia" w:ascii="宋体" w:hAnsi="宋体" w:eastAsia="宋体" w:cs="宋体"/>
          <w:sz w:val="24"/>
          <w:szCs w:val="24"/>
        </w:rPr>
        <w:t>在后库周界围墙上沿加装0.5米高，800米长的刀刺网，主要用于防止非法攀爬和入侵。建设位置为后库内院周界围墙，方式见图。</w:t>
      </w:r>
    </w:p>
    <w:p w14:paraId="7EB07CEC">
      <w:pPr>
        <w:spacing w:line="360" w:lineRule="auto"/>
        <w:ind w:firstLine="600" w:firstLineChars="200"/>
        <w:rPr>
          <w:rFonts w:ascii="楷体" w:hAnsi="楷体" w:eastAsia="楷体" w:cs="楷体"/>
          <w:sz w:val="30"/>
          <w:szCs w:val="30"/>
        </w:rPr>
      </w:pPr>
      <w:r>
        <w:rPr>
          <w:rFonts w:ascii="楷体" w:hAnsi="楷体" w:eastAsia="楷体" w:cs="楷体"/>
          <w:sz w:val="30"/>
          <w:szCs w:val="30"/>
        </w:rPr>
        <w:drawing>
          <wp:inline distT="0" distB="0" distL="0" distR="0">
            <wp:extent cx="4525645" cy="3809365"/>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525645" cy="3809365"/>
                    </a:xfrm>
                    <a:prstGeom prst="rect">
                      <a:avLst/>
                    </a:prstGeom>
                  </pic:spPr>
                </pic:pic>
              </a:graphicData>
            </a:graphic>
          </wp:inline>
        </w:drawing>
      </w:r>
    </w:p>
    <w:p w14:paraId="6F2846D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二、技术要求</w:t>
      </w:r>
    </w:p>
    <w:p w14:paraId="03A568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1、刀片滚网采用</w:t>
      </w:r>
      <w:r>
        <w:rPr>
          <w:rFonts w:hint="eastAsia" w:ascii="宋体" w:hAnsi="宋体" w:eastAsia="宋体" w:cs="宋体"/>
        </w:rPr>
        <w:fldChar w:fldCharType="begin"/>
      </w:r>
      <w:r>
        <w:rPr>
          <w:rFonts w:hint="eastAsia" w:ascii="宋体" w:hAnsi="宋体" w:eastAsia="宋体" w:cs="宋体"/>
        </w:rPr>
        <w:instrText xml:space="preserve"> HYPERLINK "https://baike.baidu.com/item/%E5%88%80%E7%89%87%E5%88%BA%E7%BB%B3/6117983?fromModule=lemma_inlink" \t "https://baike.baidu.com/item/_blank" </w:instrText>
      </w:r>
      <w:r>
        <w:rPr>
          <w:rFonts w:hint="eastAsia" w:ascii="宋体" w:hAnsi="宋体" w:eastAsia="宋体" w:cs="宋体"/>
        </w:rPr>
        <w:fldChar w:fldCharType="separate"/>
      </w:r>
      <w:r>
        <w:rPr>
          <w:rFonts w:hint="eastAsia" w:ascii="宋体" w:hAnsi="宋体" w:eastAsia="宋体" w:cs="宋体"/>
          <w:sz w:val="24"/>
          <w:szCs w:val="24"/>
        </w:rPr>
        <w:t>刀片刺绳</w:t>
      </w:r>
      <w:r>
        <w:rPr>
          <w:rFonts w:hint="eastAsia" w:ascii="宋体" w:hAnsi="宋体" w:eastAsia="宋体" w:cs="宋体"/>
          <w:sz w:val="24"/>
          <w:szCs w:val="24"/>
        </w:rPr>
        <w:fldChar w:fldCharType="end"/>
      </w:r>
      <w:r>
        <w:rPr>
          <w:rFonts w:hint="eastAsia" w:ascii="宋体" w:hAnsi="宋体" w:eastAsia="宋体" w:cs="宋体"/>
          <w:sz w:val="24"/>
          <w:szCs w:val="24"/>
        </w:rPr>
        <w:t>绕圈后相临两圈每隔120°用刺丝连接卡固定，张开后形成蛇腹网状，闭合后刀片刺绳圈径为50cm，张开后每交叉圈安装间距20cm，直径不小于45cm。</w:t>
      </w:r>
    </w:p>
    <w:p w14:paraId="7E3615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2、刀片刺绳由冲切钢板采用机械压轧在钢丝上成型，刀刺宽度22mm，两刃垂直间距15mm，刀刺纵向间距34mm，芯丝直径为2.5mm。刀片采用厚度0.5mm的</w:t>
      </w:r>
      <w:r>
        <w:rPr>
          <w:rFonts w:hint="eastAsia" w:ascii="宋体" w:hAnsi="宋体" w:eastAsia="宋体" w:cs="宋体"/>
        </w:rPr>
        <w:fldChar w:fldCharType="begin"/>
      </w:r>
      <w:r>
        <w:rPr>
          <w:rFonts w:hint="eastAsia" w:ascii="宋体" w:hAnsi="宋体" w:eastAsia="宋体" w:cs="宋体"/>
        </w:rPr>
        <w:instrText xml:space="preserve"> HYPERLINK "https://baike.baidu.com/item/Q195%E9%92%A2%E6%9D%BF/7792835?fromModule=lemma_inlink" \t "https://baike.baidu.com/item/_blank" </w:instrText>
      </w:r>
      <w:r>
        <w:rPr>
          <w:rFonts w:hint="eastAsia" w:ascii="宋体" w:hAnsi="宋体" w:eastAsia="宋体" w:cs="宋体"/>
        </w:rPr>
        <w:fldChar w:fldCharType="separate"/>
      </w:r>
      <w:r>
        <w:rPr>
          <w:rFonts w:hint="eastAsia" w:ascii="宋体" w:hAnsi="宋体" w:eastAsia="宋体" w:cs="宋体"/>
          <w:sz w:val="24"/>
          <w:szCs w:val="24"/>
        </w:rPr>
        <w:t>Q195钢板</w:t>
      </w:r>
      <w:r>
        <w:rPr>
          <w:rFonts w:hint="eastAsia" w:ascii="宋体" w:hAnsi="宋体" w:eastAsia="宋体" w:cs="宋体"/>
          <w:sz w:val="24"/>
          <w:szCs w:val="24"/>
        </w:rPr>
        <w:fldChar w:fldCharType="end"/>
      </w:r>
      <w:r>
        <w:rPr>
          <w:rFonts w:hint="eastAsia" w:ascii="宋体" w:hAnsi="宋体" w:eastAsia="宋体" w:cs="宋体"/>
          <w:sz w:val="24"/>
          <w:szCs w:val="24"/>
        </w:rPr>
        <w:t>冲切制作，芯丝由HPB300ø6.5mm高线钢丝加工。</w:t>
      </w:r>
    </w:p>
    <w:p w14:paraId="551DA1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刀片滚网由刺丝连接卡扣与固定在支架上的纵向拉筋相连接，纵向拉筋与支架的连接采用ø2.5mm的冷拔镀锌钢丝绕2圈后拧紧固定，支架设置在跨度3m防护栅栏的立柱和跨中位置，其他跨度仅设置与立柱上部，支架与防护栅栏采用支架抱箍连接。</w:t>
      </w:r>
    </w:p>
    <w:p w14:paraId="74E6ED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4、刀片滚网的下缘距离</w:t>
      </w:r>
      <w:r>
        <w:rPr>
          <w:rFonts w:hint="eastAsia" w:ascii="宋体" w:hAnsi="宋体" w:eastAsia="宋体" w:cs="宋体"/>
        </w:rPr>
        <w:fldChar w:fldCharType="begin"/>
      </w:r>
      <w:r>
        <w:rPr>
          <w:rFonts w:hint="eastAsia" w:ascii="宋体" w:hAnsi="宋体" w:eastAsia="宋体" w:cs="宋体"/>
        </w:rPr>
        <w:instrText xml:space="preserve"> HYPERLINK "https://baike.baidu.com/item/%E9%92%A2%E7%AD%8B%E6%B7%B7%E5%87%9D%E5%9C%9F/2067974?fromModule=lemma_inlink" \t "https://baike.baidu.com/item/_blank" </w:instrText>
      </w:r>
      <w:r>
        <w:rPr>
          <w:rFonts w:hint="eastAsia" w:ascii="宋体" w:hAnsi="宋体" w:eastAsia="宋体" w:cs="宋体"/>
        </w:rPr>
        <w:fldChar w:fldCharType="separate"/>
      </w:r>
      <w:r>
        <w:rPr>
          <w:rFonts w:hint="eastAsia" w:ascii="宋体" w:hAnsi="宋体" w:eastAsia="宋体" w:cs="宋体"/>
          <w:sz w:val="24"/>
          <w:szCs w:val="24"/>
        </w:rPr>
        <w:t>钢筋混凝土</w:t>
      </w:r>
      <w:r>
        <w:rPr>
          <w:rFonts w:hint="eastAsia" w:ascii="宋体" w:hAnsi="宋体" w:eastAsia="宋体" w:cs="宋体"/>
          <w:sz w:val="24"/>
          <w:szCs w:val="24"/>
        </w:rPr>
        <w:fldChar w:fldCharType="end"/>
      </w:r>
      <w:r>
        <w:rPr>
          <w:rFonts w:hint="eastAsia" w:ascii="宋体" w:hAnsi="宋体" w:eastAsia="宋体" w:cs="宋体"/>
          <w:sz w:val="24"/>
          <w:szCs w:val="24"/>
        </w:rPr>
        <w:t>防护栅栏上缘的垂直距离为0.05m。</w:t>
      </w:r>
    </w:p>
    <w:p w14:paraId="4E27106F">
      <w:pPr>
        <w:spacing w:line="360" w:lineRule="auto"/>
        <w:ind w:firstLine="480" w:firstLineChars="200"/>
        <w:rPr>
          <w:rFonts w:hint="eastAsia" w:ascii="宋体" w:hAnsi="宋体" w:eastAsia="宋体" w:cs="宋体"/>
          <w:sz w:val="24"/>
          <w:szCs w:val="24"/>
        </w:rPr>
      </w:pPr>
      <w:bookmarkStart w:id="86" w:name="3"/>
      <w:bookmarkEnd w:id="86"/>
      <w:bookmarkStart w:id="87" w:name="规格参数"/>
      <w:bookmarkEnd w:id="87"/>
      <w:r>
        <w:rPr>
          <w:rFonts w:hint="eastAsia" w:ascii="宋体" w:hAnsi="宋体" w:eastAsia="宋体" w:cs="宋体"/>
          <w:sz w:val="24"/>
          <w:szCs w:val="24"/>
        </w:rPr>
        <w:t>刀片滚网安装考虑地埋因素务必防水防腐蚀。</w:t>
      </w:r>
    </w:p>
    <w:p w14:paraId="180CA3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在施工过程中做好疏散车辆、人员疏通工作。保证施工正常进行，杜绝重大人身伤亡和机械事故，坚持文明施工。</w:t>
      </w:r>
    </w:p>
    <w:p w14:paraId="08B71221">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三、刀刺网清单</w:t>
      </w:r>
    </w:p>
    <w:p w14:paraId="28DC9CF7">
      <w:pPr>
        <w:pStyle w:val="44"/>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（见附表）</w:t>
      </w:r>
    </w:p>
    <w:p w14:paraId="48793118">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eastAsia="宋体" w:cs="宋体"/>
          <w:b/>
          <w:sz w:val="24"/>
          <w:szCs w:val="24"/>
        </w:rPr>
        <w:t>第三部分 完善后库</w:t>
      </w:r>
      <w:r>
        <w:rPr>
          <w:rFonts w:hint="eastAsia" w:ascii="宋体" w:hAnsi="宋体" w:cs="宋体"/>
          <w:b/>
          <w:sz w:val="24"/>
          <w:szCs w:val="24"/>
          <w:lang w:eastAsia="zh-CN"/>
        </w:rPr>
        <w:t>周界围墙防护升级</w:t>
      </w:r>
    </w:p>
    <w:p w14:paraId="309CB2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对原有构成</w:t>
      </w:r>
      <w:r>
        <w:rPr>
          <w:rFonts w:hint="eastAsia" w:ascii="宋体" w:hAnsi="宋体" w:cs="宋体"/>
          <w:sz w:val="24"/>
          <w:szCs w:val="24"/>
          <w:lang w:eastAsia="zh-CN"/>
        </w:rPr>
        <w:t>周界围墙防护升级</w:t>
      </w:r>
      <w:r>
        <w:rPr>
          <w:rFonts w:hint="eastAsia" w:ascii="宋体" w:hAnsi="宋体" w:eastAsia="宋体" w:cs="宋体"/>
          <w:sz w:val="24"/>
          <w:szCs w:val="24"/>
        </w:rPr>
        <w:t>设备缺少的硬件、软件进行恢复和重建。</w:t>
      </w:r>
    </w:p>
    <w:p w14:paraId="796879B3">
      <w:pPr>
        <w:spacing w:line="360" w:lineRule="auto"/>
        <w:ind w:left="480"/>
        <w:rPr>
          <w:rFonts w:hint="eastAsia" w:ascii="宋体" w:hAnsi="宋体" w:eastAsia="宋体" w:cs="宋体"/>
          <w:sz w:val="24"/>
          <w:szCs w:val="24"/>
        </w:rPr>
      </w:pPr>
      <w:r>
        <w:rPr>
          <w:rFonts w:hint="eastAsia" w:ascii="宋体" w:hAnsi="宋体" w:eastAsia="宋体" w:cs="宋体"/>
          <w:sz w:val="24"/>
          <w:szCs w:val="24"/>
        </w:rPr>
        <w:t>完善清单及要求（见附表）。</w:t>
      </w:r>
    </w:p>
    <w:p w14:paraId="05C67146">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第四部分 注意事项</w:t>
      </w:r>
    </w:p>
    <w:p w14:paraId="0D666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1、供应商需承诺完全理解“后库周界防护升级”项目建设内容，并对采购方提供的附图、附表清单表达内容完全明白。</w:t>
      </w:r>
    </w:p>
    <w:p w14:paraId="02215964">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2、“后库周界防护升级”项目整体不少于三年无条件的质保期。</w:t>
      </w:r>
    </w:p>
    <w:p w14:paraId="5FC4CF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3、采用设备、电源线、光缆线、电缆线、网线、线管等材料长度（或设备数量，但又不少于采购清单数量）以实际发生量为准。</w:t>
      </w:r>
    </w:p>
    <w:p w14:paraId="24E3C1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4、“第三部分完善后库</w:t>
      </w:r>
      <w:r>
        <w:rPr>
          <w:rFonts w:hint="eastAsia" w:ascii="宋体" w:hAnsi="宋体" w:cs="宋体"/>
          <w:sz w:val="24"/>
          <w:szCs w:val="24"/>
          <w:lang w:eastAsia="zh-CN"/>
        </w:rPr>
        <w:t>周界围墙防护升级</w:t>
      </w:r>
      <w:r>
        <w:rPr>
          <w:rFonts w:hint="eastAsia" w:ascii="宋体" w:hAnsi="宋体" w:eastAsia="宋体" w:cs="宋体"/>
          <w:sz w:val="24"/>
          <w:szCs w:val="24"/>
        </w:rPr>
        <w:t>”中电脑硬件、电脑操作系统及部署的配套软件需完全恢复原样。</w:t>
      </w:r>
    </w:p>
    <w:p w14:paraId="0C540A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5、室内布线均进入Φ32mm KBG钢管穿线，走线符合规范做到横平竖直、勿交叉，并在恰当位置过孔。</w:t>
      </w:r>
    </w:p>
    <w:p w14:paraId="79C0F8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6、供应商完全明白施工过程中可能遇到的施工难度,不增加费用并解决困难，采购商对四邻关系进行积极协调。</w:t>
      </w:r>
    </w:p>
    <w:p w14:paraId="62B926C9">
      <w:pPr>
        <w:spacing w:line="360" w:lineRule="auto"/>
        <w:ind w:firstLine="480" w:firstLineChars="200"/>
        <w:rPr>
          <w:rFonts w:hint="eastAsia" w:ascii="宋体" w:hAnsi="宋体" w:eastAsia="宋体" w:cs="宋体"/>
          <w:sz w:val="30"/>
          <w:szCs w:val="30"/>
        </w:rPr>
      </w:pPr>
      <w:r>
        <w:rPr>
          <w:rFonts w:hint="eastAsia" w:ascii="宋体" w:hAnsi="宋体" w:eastAsia="宋体" w:cs="宋体"/>
          <w:sz w:val="24"/>
          <w:szCs w:val="24"/>
        </w:rPr>
        <w:t>7、材料清单为主要使用的设备及材料，部分设备及材料虽未列入材料清单，但在实际中会产生费用。因此，供应商需承诺自行承担部分未列入清单的设备及材料产生费用。</w:t>
      </w:r>
    </w:p>
    <w:p w14:paraId="34FECD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8、资料收集整理及培训</w:t>
      </w:r>
    </w:p>
    <w:p w14:paraId="44678E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（1）符合工程档案整理要求。</w:t>
      </w:r>
    </w:p>
    <w:p w14:paraId="4E7754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（2）各类设备合格证、说明书、操作手册收集整理。</w:t>
      </w:r>
    </w:p>
    <w:p w14:paraId="35726B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（3）本项目执行过程中的资料整理。</w:t>
      </w:r>
    </w:p>
    <w:p w14:paraId="7901CC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（4）项目形成的图纸、配线资料整理。</w:t>
      </w:r>
    </w:p>
    <w:p w14:paraId="70FE2E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（5）竣工验收资料整理。</w:t>
      </w:r>
    </w:p>
    <w:p w14:paraId="1815A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（6）编写培训资料对操作人员进行培训，时间不限，学会为止。</w:t>
      </w:r>
    </w:p>
    <w:p w14:paraId="4AF96C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9、采购清单中属于节能产品采购品目清单范围内的，必须采购节能产品，应提供国家确定的认证机构出具的，处于有效期内的节能产品认证证书。</w:t>
      </w:r>
    </w:p>
    <w:p w14:paraId="307339BC">
      <w:pPr>
        <w:widowControl/>
        <w:tabs>
          <w:tab w:val="left" w:pos="479"/>
          <w:tab w:val="center" w:pos="5653"/>
        </w:tabs>
        <w:jc w:val="left"/>
        <w:textAlignment w:val="center"/>
        <w:rPr>
          <w:rFonts w:ascii="宋体" w:hAnsi="宋体" w:cs="宋体"/>
          <w:b/>
          <w:bCs/>
          <w:color w:val="000000"/>
          <w:kern w:val="0"/>
          <w:sz w:val="28"/>
          <w:szCs w:val="28"/>
          <w:lang w:bidi="ar"/>
        </w:rPr>
      </w:pPr>
    </w:p>
    <w:p w14:paraId="5DD4FE6A">
      <w:pP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br w:type="page"/>
      </w:r>
    </w:p>
    <w:p w14:paraId="673338FA">
      <w:pPr>
        <w:widowControl/>
        <w:tabs>
          <w:tab w:val="left" w:pos="479"/>
          <w:tab w:val="center" w:pos="5653"/>
        </w:tabs>
        <w:jc w:val="left"/>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附表</w:t>
      </w:r>
    </w:p>
    <w:p w14:paraId="3DF8ADA2">
      <w:pPr>
        <w:widowControl/>
        <w:tabs>
          <w:tab w:val="left" w:pos="479"/>
          <w:tab w:val="center" w:pos="5653"/>
        </w:tabs>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周界围墙防护升级设施清单</w:t>
      </w:r>
    </w:p>
    <w:p w14:paraId="0A28ECB5">
      <w:pPr>
        <w:widowControl/>
        <w:tabs>
          <w:tab w:val="left" w:pos="479"/>
          <w:tab w:val="center" w:pos="5653"/>
        </w:tabs>
        <w:textAlignment w:val="center"/>
        <w:rPr>
          <w:rFonts w:ascii="宋体" w:hAnsi="宋体" w:cs="宋体"/>
          <w:b/>
          <w:color w:val="000000"/>
          <w:kern w:val="0"/>
          <w:lang w:bidi="ar"/>
        </w:rPr>
      </w:pPr>
      <w:r>
        <w:rPr>
          <w:rFonts w:hint="eastAsia" w:ascii="宋体" w:hAnsi="宋体" w:cs="宋体"/>
          <w:b/>
          <w:color w:val="000000"/>
          <w:kern w:val="0"/>
          <w:lang w:bidi="ar"/>
        </w:rPr>
        <w:t>一、电子围墙设施清单</w:t>
      </w:r>
    </w:p>
    <w:tbl>
      <w:tblPr>
        <w:tblStyle w:val="28"/>
        <w:tblW w:w="9447" w:type="dxa"/>
        <w:jc w:val="center"/>
        <w:tblLayout w:type="fixed"/>
        <w:tblCellMar>
          <w:top w:w="15" w:type="dxa"/>
          <w:left w:w="15" w:type="dxa"/>
          <w:bottom w:w="15" w:type="dxa"/>
          <w:right w:w="15" w:type="dxa"/>
        </w:tblCellMar>
      </w:tblPr>
      <w:tblGrid>
        <w:gridCol w:w="663"/>
        <w:gridCol w:w="1786"/>
        <w:gridCol w:w="5459"/>
        <w:gridCol w:w="780"/>
        <w:gridCol w:w="759"/>
      </w:tblGrid>
      <w:tr w14:paraId="59CA13A8">
        <w:tblPrEx>
          <w:tblCellMar>
            <w:top w:w="15" w:type="dxa"/>
            <w:left w:w="15" w:type="dxa"/>
            <w:bottom w:w="15" w:type="dxa"/>
            <w:right w:w="15"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39A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EF9">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名称</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9C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技  术  性  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83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1BA5">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数量</w:t>
            </w:r>
          </w:p>
        </w:tc>
      </w:tr>
      <w:tr w14:paraId="5D1FAEC2">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F2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74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 xml:space="preserve">总线报警主机 </w:t>
            </w:r>
          </w:p>
          <w:p w14:paraId="100C783B">
            <w:pPr>
              <w:widowControl/>
              <w:spacing w:line="240" w:lineRule="auto"/>
              <w:jc w:val="center"/>
              <w:textAlignment w:val="center"/>
              <w:rPr>
                <w:rFonts w:cs="宋体" w:asciiTheme="minorEastAsia" w:hAnsiTheme="minorEastAsia" w:eastAsiaTheme="minorEastAsia"/>
                <w:color w:val="000000"/>
                <w:sz w:val="21"/>
                <w:szCs w:val="21"/>
              </w:rPr>
            </w:pPr>
            <w:r>
              <w:rPr>
                <w:rFonts w:hint="eastAsia"/>
                <w:sz w:val="21"/>
                <w:szCs w:val="21"/>
              </w:rPr>
              <w:t>★</w:t>
            </w:r>
            <w:r>
              <w:rPr>
                <w:rFonts w:hint="eastAsia" w:cs="宋体" w:asciiTheme="minorEastAsia" w:hAnsiTheme="minorEastAsia" w:eastAsiaTheme="minorEastAsia"/>
                <w:color w:val="000000"/>
                <w:kern w:val="0"/>
                <w:sz w:val="21"/>
                <w:szCs w:val="21"/>
                <w:lang w:bidi="ar"/>
              </w:rPr>
              <w:t xml:space="preserve">     </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ABE1">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主机具有全独立不小于4路总线输入，具有极强的防雷抗干扰设计大屏幕中文蓝屏显示，不少于8个完全独立分区，可带不少于8个分体键盘 具有不少于250路总线防区，各个防区属性可设置（延时、及时、24小时防区）优于以下参数：不用任何中继或放大器，用线RVV2*1.0可达到8公里两边布线可达到18公里</w:t>
            </w:r>
            <w:r>
              <w:rPr>
                <w:rFonts w:hint="eastAsia" w:cs="宋体" w:asciiTheme="minorEastAsia" w:hAnsiTheme="minorEastAsia" w:eastAsiaTheme="minorEastAsia"/>
                <w:color w:val="000000"/>
                <w:kern w:val="0"/>
                <w:sz w:val="21"/>
                <w:szCs w:val="21"/>
                <w:lang w:eastAsia="zh-CN" w:bidi="ar"/>
              </w:rPr>
              <w:t>，</w:t>
            </w:r>
            <w:r>
              <w:rPr>
                <w:rFonts w:hint="eastAsia" w:cs="宋体" w:asciiTheme="minorEastAsia" w:hAnsiTheme="minorEastAsia" w:eastAsiaTheme="minorEastAsia"/>
                <w:color w:val="000000"/>
                <w:kern w:val="0"/>
                <w:sz w:val="21"/>
                <w:szCs w:val="21"/>
                <w:lang w:bidi="ar"/>
              </w:rPr>
              <w:t>支持星型接法。</w:t>
            </w:r>
          </w:p>
          <w:p w14:paraId="34D89BD7">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具备可外扩WiFi/IP模块、GPRS模块，通过RS232或IP实现与中心软件计算机连接。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D5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5C3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r>
      <w:tr w14:paraId="7E86E86C">
        <w:tblPrEx>
          <w:tblCellMar>
            <w:top w:w="15" w:type="dxa"/>
            <w:left w:w="15" w:type="dxa"/>
            <w:bottom w:w="15" w:type="dxa"/>
            <w:right w:w="15" w:type="dxa"/>
          </w:tblCellMar>
        </w:tblPrEx>
        <w:trPr>
          <w:trHeight w:val="70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42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266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网络模块</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BE11">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产品特性：支持不少于2个独立的以太网接警中心；网络接口采用10/100M自适应网口；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9244">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BC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 xml:space="preserve">1 </w:t>
            </w:r>
          </w:p>
        </w:tc>
      </w:tr>
      <w:tr w14:paraId="3624170F">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67F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F299">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报警主机编程键盘</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01A5">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采用高端ARM32-bit、Cortex -M3</w:t>
            </w:r>
          </w:p>
          <w:p w14:paraId="7589A59E">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加快运行速度，超大的容量设计。</w:t>
            </w:r>
          </w:p>
          <w:p w14:paraId="2934E716">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采用485通讯接口，在不加任何中继器的情况下可以传输1.2km。</w:t>
            </w:r>
          </w:p>
          <w:p w14:paraId="335E32DC">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全新UI菜单式设计，类似于手机操作。</w:t>
            </w:r>
          </w:p>
          <w:p w14:paraId="79B8651C">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至少具备3.5寸192*96高清分辨率液晶屏显示。</w:t>
            </w:r>
          </w:p>
          <w:p w14:paraId="45DF1C06">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外观采用高端ABS材质。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2328">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3C7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r>
      <w:tr w14:paraId="079A874F">
        <w:tblPrEx>
          <w:tblCellMar>
            <w:top w:w="15" w:type="dxa"/>
            <w:left w:w="15" w:type="dxa"/>
            <w:bottom w:w="15" w:type="dxa"/>
            <w:right w:w="15" w:type="dxa"/>
          </w:tblCellMar>
        </w:tblPrEx>
        <w:trPr>
          <w:trHeight w:val="69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D15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271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 xml:space="preserve">声光报警器 </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14C7">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声压：≥108分贝</w:t>
            </w:r>
          </w:p>
          <w:p w14:paraId="3387D909">
            <w:pPr>
              <w:widowControl/>
              <w:spacing w:line="240" w:lineRule="auto"/>
              <w:jc w:val="left"/>
              <w:textAlignment w:val="center"/>
              <w:rPr>
                <w:rFonts w:cs="微软雅黑"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电流：≤250毫安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288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A222">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r>
      <w:tr w14:paraId="264B8C9D">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E5F4">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B4BE">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智能脉冲电子围栏双防区主机</w:t>
            </w:r>
          </w:p>
          <w:p w14:paraId="0E2DE71E">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sz w:val="21"/>
                <w:szCs w:val="21"/>
              </w:rPr>
              <w:t>★</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5FD">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智能型双防区主机】LED显示防区数量：不少于2个；可接四线或者六线，差电压技术，每线有电击，相邻两线有压差；输出电压：5～10KV；低压700～1000V；输出电流峰值：&lt;10A；脉冲宽度：≤0.1s；脉冲间隔时间：1s；脉冲输出电量：≤2.5mC；脉冲输出能量：≤5.0J；系统功耗：≤5W  独立布、撤防，都拥有高、低压转换模式，自带有485通信功能，有报警直流13V输出，且有报警延时电路可以有效的联动起现场声光报警器，起到现场威慑作用。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91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6D4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w:t>
            </w:r>
          </w:p>
        </w:tc>
      </w:tr>
      <w:tr w14:paraId="52CD65FB">
        <w:tblPrEx>
          <w:tblCellMar>
            <w:top w:w="15" w:type="dxa"/>
            <w:left w:w="15" w:type="dxa"/>
            <w:bottom w:w="15" w:type="dxa"/>
            <w:right w:w="15" w:type="dxa"/>
          </w:tblCellMar>
        </w:tblPrEx>
        <w:trPr>
          <w:trHeight w:val="156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075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2A8">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网络模块</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E28B">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1、内置高性能处理芯片，可将报警系统模拟总线数据信号转换成TCP/IP协议数据包通过以太网传输。</w:t>
            </w:r>
          </w:p>
          <w:p w14:paraId="16354CE7">
            <w:pPr>
              <w:widowControl/>
              <w:spacing w:line="240" w:lineRule="auto"/>
              <w:jc w:val="left"/>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 xml:space="preserve">2、在上级通讯机出现故障时，可保存不少于12小时的状态数据，待上级通讯机恢复正常后，会主动上报状态信息。  </w:t>
            </w:r>
          </w:p>
          <w:p w14:paraId="20435AF0">
            <w:pPr>
              <w:widowControl/>
              <w:spacing w:line="240" w:lineRule="auto"/>
              <w:jc w:val="left"/>
              <w:textAlignment w:val="center"/>
              <w:rPr>
                <w:rFonts w:cs="微软雅黑"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3、接入系统中即自动发送本身的及转发的信号。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BB3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B5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w:t>
            </w:r>
          </w:p>
        </w:tc>
      </w:tr>
      <w:tr w14:paraId="7F3E595F">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2AA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13D6">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高压避雷器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0891">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防雷；防静电；易于维护；保护无线通讯信号不受脉冲高压干扰。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7B6">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37F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w:t>
            </w:r>
          </w:p>
        </w:tc>
      </w:tr>
      <w:tr w14:paraId="28E72103">
        <w:tblPrEx>
          <w:tblCellMar>
            <w:top w:w="15" w:type="dxa"/>
            <w:left w:w="15" w:type="dxa"/>
            <w:bottom w:w="15" w:type="dxa"/>
            <w:right w:w="15" w:type="dxa"/>
          </w:tblCellMar>
        </w:tblPrEx>
        <w:trPr>
          <w:trHeight w:val="93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D2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A46D">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I型铝合金终端杆</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622B">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I型直径不小于32×壁厚2×长度850mm。颜色6号银。高强度、耐腐蚀、圆形铝合金内置加厚螺纹，表面拉丝处理，防腐蚀，防氧化。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50C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4B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48</w:t>
            </w:r>
          </w:p>
        </w:tc>
      </w:tr>
      <w:tr w14:paraId="1AB7BBE3">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467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F6FE">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终端杆绝缘子</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40A5">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32#加厚型防紫外线尼龙绝缘复合材料，蓝色，高强度、耐腐蚀能、韧性好。太阳光爆嗮不会出现裂纹或者断裂、氧化。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60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0E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192</w:t>
            </w:r>
          </w:p>
        </w:tc>
      </w:tr>
      <w:tr w14:paraId="166B527B">
        <w:tblPrEx>
          <w:tblCellMar>
            <w:top w:w="15" w:type="dxa"/>
            <w:left w:w="15" w:type="dxa"/>
            <w:bottom w:w="15" w:type="dxa"/>
            <w:right w:w="15" w:type="dxa"/>
          </w:tblCellMar>
        </w:tblPrEx>
        <w:trPr>
          <w:trHeight w:val="92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2586">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EB3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终端杆底座</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0C1D">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镀锌材质、耐腐蚀，不易生锈，多角度孔位，防拆设计，结构坚固。用对穿螺丝将终端杆和万向底座连接，在用膨胀螺丝将底座和墙体连接。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55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AF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48</w:t>
            </w:r>
          </w:p>
        </w:tc>
      </w:tr>
      <w:tr w14:paraId="3D2ECBAA">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A26">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433">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I型铝合金承立杆</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0899">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I型直径不小于20×壁厚1.8×长度850mm。颜色6号银。高强度、耐腐蚀、圆形铝合金内置加厚螺纹，表面拉丝处理，防腐蚀，防氧化。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45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DE05">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16</w:t>
            </w:r>
          </w:p>
        </w:tc>
      </w:tr>
      <w:tr w14:paraId="36A70DA5">
        <w:tblPrEx>
          <w:tblCellMar>
            <w:top w:w="15" w:type="dxa"/>
            <w:left w:w="15" w:type="dxa"/>
            <w:bottom w:w="15" w:type="dxa"/>
            <w:right w:w="15" w:type="dxa"/>
          </w:tblCellMar>
        </w:tblPrEx>
        <w:trPr>
          <w:trHeight w:val="82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392">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DE89">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承立杆绝缘子</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1874">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20#加厚型防紫外线尼龙绝缘复合材料，蓝色，高强度、耐腐蚀能、韧性好。太阳光爆晒不会出现裂纹或者断裂、氧化。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E28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083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64</w:t>
            </w:r>
          </w:p>
        </w:tc>
      </w:tr>
      <w:tr w14:paraId="1F2CA6A2">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83F">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927">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承立杆底座</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3BBD">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镀锌材质、耐腐蚀，不易生锈，多角度孔位，防拆设计，结构坚固。用对穿螺丝将终端杆和万向底座连接，在用膨胀螺丝将底座和墙体连接。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A8D">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AF5A">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16</w:t>
            </w:r>
          </w:p>
        </w:tc>
      </w:tr>
      <w:tr w14:paraId="3208E29D">
        <w:tblPrEx>
          <w:tblCellMar>
            <w:top w:w="15" w:type="dxa"/>
            <w:left w:w="15" w:type="dxa"/>
            <w:bottom w:w="15" w:type="dxa"/>
            <w:right w:w="15" w:type="dxa"/>
          </w:tblCellMar>
        </w:tblPrEx>
        <w:trPr>
          <w:trHeight w:val="77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925">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AEF">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I型中间杆</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DE23">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Φ10×850mm, 灰色，玻璃纤维材质，绝缘、耐腐蚀、韧性好。应用于脉冲电子围栏前端过线支撑作用。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1B8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4E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198</w:t>
            </w:r>
          </w:p>
        </w:tc>
      </w:tr>
      <w:tr w14:paraId="670CD983">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648">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A11F">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中间杆绝缘子</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0E7">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20#加厚型防紫外线尼龙绝缘复合材料，蓝色，高强度、耐腐蚀能、韧性好。太阳光爆嗮不会出现裂纹或者断裂、氧化。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BB2">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348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1536</w:t>
            </w:r>
          </w:p>
        </w:tc>
      </w:tr>
      <w:tr w14:paraId="0392E63B">
        <w:tblPrEx>
          <w:tblCellMar>
            <w:top w:w="15" w:type="dxa"/>
            <w:left w:w="15" w:type="dxa"/>
            <w:bottom w:w="15" w:type="dxa"/>
            <w:right w:w="15" w:type="dxa"/>
          </w:tblCellMar>
        </w:tblPrEx>
        <w:trPr>
          <w:trHeight w:val="94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55F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337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中间杆底座</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DF4">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镀锌材质、耐腐蚀，不易生锈，多角度孔位，防拆设计，结构坚固。用对穿螺丝将终端杆和万向底座连接，在用膨胀螺丝将底座和墙体连接。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C3D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A4D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198</w:t>
            </w:r>
          </w:p>
        </w:tc>
      </w:tr>
      <w:tr w14:paraId="2450242E">
        <w:tblPrEx>
          <w:tblCellMar>
            <w:top w:w="15" w:type="dxa"/>
            <w:left w:w="15" w:type="dxa"/>
            <w:bottom w:w="15" w:type="dxa"/>
            <w:right w:w="15" w:type="dxa"/>
          </w:tblCellMar>
        </w:tblPrEx>
        <w:trPr>
          <w:trHeight w:val="134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7DB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387C">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合金线</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6894">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2.0#脉冲电子围栏专业合金线，含十几种金属，抗氧化，耐腐蚀，耐高压，每百米电阻小于2.5欧姆，阻值为同类产品的十七分之一。高压绝缘导线由围栏合金导线做内芯，防止两种金属导线接触，不同的金属发生电化学反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249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09B4">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3200</w:t>
            </w:r>
          </w:p>
        </w:tc>
      </w:tr>
      <w:tr w14:paraId="07BD2898">
        <w:tblPrEx>
          <w:tblCellMar>
            <w:top w:w="15" w:type="dxa"/>
            <w:left w:w="15" w:type="dxa"/>
            <w:bottom w:w="15" w:type="dxa"/>
            <w:right w:w="15" w:type="dxa"/>
          </w:tblCellMar>
        </w:tblPrEx>
        <w:trPr>
          <w:trHeight w:val="108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992">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471D">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高压线</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BC3">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多股Φ2.5 脉冲电子围栏专业高压绝缘导线，颜色有黑色和蓝色两种，外层绝缘层超规格设计，耐受30KV电压，内芯采用脉冲电子围栏专用合金线，以防止两种金属导线接触，不同的金属发生电化学反应。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181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DCA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1200</w:t>
            </w:r>
          </w:p>
        </w:tc>
      </w:tr>
      <w:tr w14:paraId="72343846">
        <w:tblPrEx>
          <w:tblCellMar>
            <w:top w:w="15" w:type="dxa"/>
            <w:left w:w="15" w:type="dxa"/>
            <w:bottom w:w="15" w:type="dxa"/>
            <w:right w:w="15" w:type="dxa"/>
          </w:tblCellMar>
        </w:tblPrEx>
        <w:trPr>
          <w:trHeight w:val="63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87C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308A">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线线连接器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04FB">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铝合金材质，用于脉冲电子围栏合金线和高压绝缘导线的连接固定。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667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67E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64</w:t>
            </w:r>
          </w:p>
        </w:tc>
      </w:tr>
      <w:tr w14:paraId="03F234CB">
        <w:tblPrEx>
          <w:tblCellMar>
            <w:top w:w="15" w:type="dxa"/>
            <w:left w:w="15" w:type="dxa"/>
            <w:bottom w:w="15" w:type="dxa"/>
            <w:right w:w="15" w:type="dxa"/>
          </w:tblCellMar>
        </w:tblPrEx>
        <w:trPr>
          <w:trHeight w:val="67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7C2">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F0D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收紧器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DD6">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防紫外线尼龙绝缘复合材料，蓝色，高强度、耐腐蚀能、韧性好。太阳光爆嗮不会出现裂纹或者断裂、氧化。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83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2A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64</w:t>
            </w:r>
          </w:p>
        </w:tc>
      </w:tr>
      <w:tr w14:paraId="34F0AABE">
        <w:tblPrEx>
          <w:tblCellMar>
            <w:top w:w="15" w:type="dxa"/>
            <w:left w:w="15" w:type="dxa"/>
            <w:bottom w:w="15" w:type="dxa"/>
            <w:right w:w="15" w:type="dxa"/>
          </w:tblCellMar>
        </w:tblPrEx>
        <w:trPr>
          <w:trHeight w:val="71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30D6">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05A">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围栏警示牌</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335">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双面为夜光显示，PVC材质，不易损坏，在前端围栏上平均按10米左右设置一块，起到警示作用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AD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E8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80</w:t>
            </w:r>
          </w:p>
        </w:tc>
      </w:tr>
      <w:tr w14:paraId="7632C0EE">
        <w:tblPrEx>
          <w:tblCellMar>
            <w:top w:w="15" w:type="dxa"/>
            <w:left w:w="15" w:type="dxa"/>
            <w:bottom w:w="15" w:type="dxa"/>
            <w:right w:w="15"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A5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7A7">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警号</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040A">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声光报警器红色（带转动）</w:t>
            </w:r>
            <w:r>
              <w:rPr>
                <w:rFonts w:hint="eastAsia" w:cs="宋体" w:asciiTheme="minorEastAsia" w:hAnsiTheme="minorEastAsia" w:eastAsiaTheme="minorEastAsia"/>
                <w:color w:val="000000"/>
                <w:kern w:val="0"/>
                <w:sz w:val="21"/>
                <w:szCs w:val="21"/>
                <w:lang w:eastAsia="zh-CN" w:bidi="ar"/>
              </w:rPr>
              <w:t>；</w:t>
            </w:r>
            <w:r>
              <w:rPr>
                <w:rFonts w:hint="eastAsia" w:cs="宋体" w:asciiTheme="minorEastAsia" w:hAnsiTheme="minorEastAsia" w:eastAsiaTheme="minorEastAsia"/>
                <w:color w:val="000000"/>
                <w:kern w:val="0"/>
                <w:sz w:val="21"/>
                <w:szCs w:val="21"/>
                <w:lang w:bidi="ar"/>
              </w:rPr>
              <w:t>声压≥108分贝;电流≤250毫安；（可防水）带支架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0319">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C3BD">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w:t>
            </w:r>
          </w:p>
        </w:tc>
      </w:tr>
      <w:tr w14:paraId="34690797">
        <w:tblPrEx>
          <w:tblCellMar>
            <w:top w:w="15" w:type="dxa"/>
            <w:left w:w="15" w:type="dxa"/>
            <w:bottom w:w="15" w:type="dxa"/>
            <w:right w:w="15" w:type="dxa"/>
          </w:tblCellMar>
        </w:tblPrEx>
        <w:trPr>
          <w:trHeight w:val="70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6A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3A9">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主机防护箱</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9155">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不锈钢至少配备500*400*200mm专用防水箱 ，内置主机挂钩、空开、对主机等附属设备起到很好的防护。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2731">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9F5">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w:t>
            </w:r>
          </w:p>
        </w:tc>
      </w:tr>
      <w:tr w14:paraId="5D16CEA6">
        <w:tblPrEx>
          <w:tblCellMar>
            <w:top w:w="15" w:type="dxa"/>
            <w:left w:w="15" w:type="dxa"/>
            <w:bottom w:w="15" w:type="dxa"/>
            <w:right w:w="15" w:type="dxa"/>
          </w:tblCellMar>
        </w:tblPrEx>
        <w:trPr>
          <w:trHeight w:val="58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369">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45E">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接地桩（含接地线）</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FB2D">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不小于1.2米防雷接地桩，直径不小于16mm，带1米6平方铜线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D89">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CE2E">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w:t>
            </w:r>
          </w:p>
        </w:tc>
      </w:tr>
      <w:tr w14:paraId="0E886029">
        <w:tblPrEx>
          <w:tblCellMar>
            <w:top w:w="15" w:type="dxa"/>
            <w:left w:w="15" w:type="dxa"/>
            <w:bottom w:w="15" w:type="dxa"/>
            <w:right w:w="15" w:type="dxa"/>
          </w:tblCellMar>
        </w:tblPrEx>
        <w:trPr>
          <w:trHeight w:val="50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C0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53E1">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光纤收发器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5949">
            <w:pPr>
              <w:spacing w:line="240" w:lineRule="auto"/>
              <w:jc w:val="left"/>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单纤单模</w:t>
            </w:r>
            <w:r>
              <w:rPr>
                <w:rFonts w:hint="eastAsia" w:cs="宋体" w:asciiTheme="minorEastAsia" w:hAnsiTheme="minorEastAsia" w:eastAsiaTheme="minorEastAsia"/>
                <w:color w:val="000000"/>
                <w:sz w:val="21"/>
                <w:szCs w:val="21"/>
              </w:rPr>
              <w:t>1310，支持poe，4千兆电口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DAC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62D">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4</w:t>
            </w:r>
          </w:p>
        </w:tc>
      </w:tr>
      <w:tr w14:paraId="159BDA96">
        <w:tblPrEx>
          <w:tblCellMar>
            <w:top w:w="15" w:type="dxa"/>
            <w:left w:w="15" w:type="dxa"/>
            <w:bottom w:w="15" w:type="dxa"/>
            <w:right w:w="15" w:type="dxa"/>
          </w:tblCellMar>
        </w:tblPrEx>
        <w:trPr>
          <w:trHeight w:val="38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674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A133">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千兆24口交换机</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8C70">
            <w:pPr>
              <w:spacing w:line="24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1u，24千兆网口，4千兆光口，配满单光纤SPF。</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B7F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3989">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r>
      <w:tr w14:paraId="0AEE4207">
        <w:tblPrEx>
          <w:tblCellMar>
            <w:top w:w="15" w:type="dxa"/>
            <w:left w:w="15" w:type="dxa"/>
            <w:bottom w:w="15" w:type="dxa"/>
            <w:right w:w="15"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52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E345">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复合光缆</w:t>
            </w:r>
          </w:p>
          <w:p w14:paraId="3EF6999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8+2*</w:t>
            </w:r>
            <w:r>
              <w:rPr>
                <w:rFonts w:cs="宋体" w:asciiTheme="minorEastAsia" w:hAnsiTheme="minorEastAsia" w:eastAsiaTheme="minorEastAsia"/>
                <w:color w:val="000000"/>
                <w:sz w:val="21"/>
                <w:szCs w:val="21"/>
                <w:lang w:bidi="ar"/>
              </w:rPr>
              <w:t>2.5</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B488">
            <w:pPr>
              <w:widowControl/>
              <w:spacing w:line="240" w:lineRule="auto"/>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室外型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9BD5">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AD20">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2000</w:t>
            </w:r>
          </w:p>
        </w:tc>
      </w:tr>
      <w:tr w14:paraId="1E694E27">
        <w:tblPrEx>
          <w:tblCellMar>
            <w:top w:w="15" w:type="dxa"/>
            <w:left w:w="15" w:type="dxa"/>
            <w:bottom w:w="15" w:type="dxa"/>
            <w:right w:w="15" w:type="dxa"/>
          </w:tblCellMar>
        </w:tblPrEx>
        <w:trPr>
          <w:trHeight w:val="45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8E9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549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网线超五类</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B8CB">
            <w:pPr>
              <w:spacing w:line="240" w:lineRule="auto"/>
              <w:jc w:val="left"/>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带屏蔽，无氧铜，国标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EF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箱</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848">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1</w:t>
            </w:r>
          </w:p>
        </w:tc>
      </w:tr>
      <w:tr w14:paraId="77F66CA2">
        <w:tblPrEx>
          <w:tblCellMar>
            <w:top w:w="15" w:type="dxa"/>
            <w:left w:w="15" w:type="dxa"/>
            <w:bottom w:w="15" w:type="dxa"/>
            <w:right w:w="15" w:type="dxa"/>
          </w:tblCellMar>
        </w:tblPrEx>
        <w:trPr>
          <w:trHeight w:val="61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2FC">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29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0E3">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KBG管</w:t>
            </w:r>
          </w:p>
          <w:p w14:paraId="2F6A31A3">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32#</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5EBE">
            <w:pPr>
              <w:spacing w:line="24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室内布放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197">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CA8B">
            <w:pPr>
              <w:widowControl/>
              <w:spacing w:line="240" w:lineRule="auto"/>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r>
      <w:tr w14:paraId="2CC1A4E0">
        <w:tblPrEx>
          <w:tblCellMar>
            <w:top w:w="15" w:type="dxa"/>
            <w:left w:w="15" w:type="dxa"/>
            <w:bottom w:w="15" w:type="dxa"/>
            <w:right w:w="15" w:type="dxa"/>
          </w:tblCellMar>
        </w:tblPrEx>
        <w:trPr>
          <w:trHeight w:val="5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C9B">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D489">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卷闸门</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373">
            <w:pPr>
              <w:spacing w:line="24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2.6米宽，3米高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0E1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387">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r>
      <w:tr w14:paraId="7B9DFD44">
        <w:tblPrEx>
          <w:tblCellMar>
            <w:top w:w="15" w:type="dxa"/>
            <w:left w:w="15" w:type="dxa"/>
            <w:bottom w:w="15" w:type="dxa"/>
            <w:right w:w="15" w:type="dxa"/>
          </w:tblCellMar>
        </w:tblPrEx>
        <w:trPr>
          <w:trHeight w:val="46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520">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EC48">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光纤终端盒</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8355">
            <w:pPr>
              <w:spacing w:line="24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机架式1u、24口、 FC头配满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93A0">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4DB7">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w:t>
            </w:r>
          </w:p>
        </w:tc>
      </w:tr>
      <w:tr w14:paraId="1A2B7EBD">
        <w:tblPrEx>
          <w:tblCellMar>
            <w:top w:w="15" w:type="dxa"/>
            <w:left w:w="15" w:type="dxa"/>
            <w:bottom w:w="15" w:type="dxa"/>
            <w:right w:w="15" w:type="dxa"/>
          </w:tblCellMar>
        </w:tblPrEx>
        <w:trPr>
          <w:trHeight w:val="46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CE2">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AAF8">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配电箱</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F01">
            <w:pPr>
              <w:spacing w:line="24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机架式2u、22位1P空开满配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B36">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2EC">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2</w:t>
            </w:r>
          </w:p>
        </w:tc>
      </w:tr>
      <w:tr w14:paraId="44C9BA29">
        <w:tblPrEx>
          <w:tblCellMar>
            <w:top w:w="15" w:type="dxa"/>
            <w:left w:w="15" w:type="dxa"/>
            <w:bottom w:w="15" w:type="dxa"/>
            <w:right w:w="15" w:type="dxa"/>
          </w:tblCellMar>
        </w:tblPrEx>
        <w:trPr>
          <w:trHeight w:val="49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634">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33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DFB7">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PDU</w:t>
            </w:r>
          </w:p>
        </w:tc>
        <w:tc>
          <w:tcPr>
            <w:tcW w:w="5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836D">
            <w:pPr>
              <w:spacing w:line="240" w:lineRule="auto"/>
              <w:jc w:val="lef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机架式1u、三防、10位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C48A">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E3AB">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4</w:t>
            </w:r>
          </w:p>
        </w:tc>
      </w:tr>
      <w:tr w14:paraId="5122E3FD">
        <w:tblPrEx>
          <w:tblCellMar>
            <w:top w:w="15" w:type="dxa"/>
            <w:left w:w="15" w:type="dxa"/>
            <w:bottom w:w="15" w:type="dxa"/>
            <w:right w:w="15" w:type="dxa"/>
          </w:tblCellMar>
        </w:tblPrEx>
        <w:trPr>
          <w:trHeight w:val="570" w:hRule="atLeast"/>
          <w:jc w:val="center"/>
        </w:trPr>
        <w:tc>
          <w:tcPr>
            <w:tcW w:w="9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D1D7E">
            <w:pPr>
              <w:widowControl/>
              <w:spacing w:line="240" w:lineRule="auto"/>
              <w:jc w:val="center"/>
              <w:textAlignment w:val="center"/>
              <w:rPr>
                <w:rFonts w:cs="宋体" w:asciiTheme="minorEastAsia" w:hAnsiTheme="minorEastAsia" w:eastAsiaTheme="minorEastAsia"/>
                <w:color w:val="000000"/>
                <w:kern w:val="0"/>
                <w:sz w:val="21"/>
                <w:szCs w:val="21"/>
                <w:lang w:bidi="ar"/>
              </w:rPr>
            </w:pPr>
            <w:r>
              <w:rPr>
                <w:rFonts w:hint="eastAsia" w:cs="宋体" w:asciiTheme="minorEastAsia" w:hAnsiTheme="minorEastAsia" w:eastAsiaTheme="minorEastAsia"/>
                <w:color w:val="000000"/>
                <w:kern w:val="0"/>
                <w:sz w:val="21"/>
                <w:szCs w:val="21"/>
                <w:lang w:bidi="ar"/>
              </w:rPr>
              <w:t>以上包含各种辅料、所有光纤熔接、光纤尾盒、跳纤等配件及其他费用</w:t>
            </w:r>
          </w:p>
        </w:tc>
      </w:tr>
    </w:tbl>
    <w:p w14:paraId="5C120E8D">
      <w:pPr>
        <w:widowControl/>
        <w:tabs>
          <w:tab w:val="left" w:pos="479"/>
          <w:tab w:val="center" w:pos="5653"/>
        </w:tabs>
        <w:textAlignment w:val="center"/>
        <w:rPr>
          <w:rFonts w:ascii="宋体" w:hAnsi="宋体" w:cs="宋体"/>
          <w:b/>
          <w:color w:val="000000"/>
          <w:kern w:val="0"/>
          <w:lang w:bidi="ar"/>
        </w:rPr>
      </w:pPr>
      <w:r>
        <w:rPr>
          <w:rFonts w:hint="eastAsia" w:ascii="宋体" w:hAnsi="宋体" w:cs="宋体"/>
          <w:b/>
          <w:color w:val="000000"/>
          <w:kern w:val="0"/>
          <w:lang w:bidi="ar"/>
        </w:rPr>
        <w:t>二、刀片滚网清单</w:t>
      </w:r>
    </w:p>
    <w:tbl>
      <w:tblPr>
        <w:tblStyle w:val="28"/>
        <w:tblW w:w="9258" w:type="dxa"/>
        <w:tblInd w:w="-457" w:type="dxa"/>
        <w:tblLayout w:type="fixed"/>
        <w:tblCellMar>
          <w:top w:w="15" w:type="dxa"/>
          <w:left w:w="15" w:type="dxa"/>
          <w:bottom w:w="15" w:type="dxa"/>
          <w:right w:w="15" w:type="dxa"/>
        </w:tblCellMar>
      </w:tblPr>
      <w:tblGrid>
        <w:gridCol w:w="652"/>
        <w:gridCol w:w="1707"/>
        <w:gridCol w:w="5373"/>
        <w:gridCol w:w="703"/>
        <w:gridCol w:w="823"/>
      </w:tblGrid>
      <w:tr w14:paraId="2EB24E93">
        <w:tblPrEx>
          <w:tblCellMar>
            <w:top w:w="15" w:type="dxa"/>
            <w:left w:w="15" w:type="dxa"/>
            <w:bottom w:w="15" w:type="dxa"/>
            <w:right w:w="15" w:type="dxa"/>
          </w:tblCellMar>
        </w:tblPrEx>
        <w:trPr>
          <w:trHeight w:val="31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83E">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6EE">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名称</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B39D">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参数</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CC6">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273E">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r>
      <w:tr w14:paraId="6E15A360">
        <w:tblPrEx>
          <w:tblCellMar>
            <w:top w:w="15" w:type="dxa"/>
            <w:left w:w="15" w:type="dxa"/>
            <w:bottom w:w="15" w:type="dxa"/>
            <w:right w:w="15" w:type="dxa"/>
          </w:tblCellMar>
        </w:tblPrEx>
        <w:trPr>
          <w:trHeight w:val="59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B7F">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54D">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刀片滚网</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2041">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镀锌材质，直径不少于</w:t>
            </w:r>
            <w:r>
              <w:rPr>
                <w:color w:val="000000"/>
                <w:sz w:val="21"/>
                <w:szCs w:val="21"/>
                <w:lang w:bidi="ar"/>
              </w:rPr>
              <w:t>50CM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EE8">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197">
            <w:pPr>
              <w:widowControl/>
              <w:spacing w:line="240" w:lineRule="auto"/>
              <w:jc w:val="center"/>
              <w:textAlignment w:val="center"/>
              <w:rPr>
                <w:color w:val="000000"/>
                <w:sz w:val="21"/>
                <w:szCs w:val="21"/>
              </w:rPr>
            </w:pPr>
            <w:r>
              <w:rPr>
                <w:rFonts w:hint="eastAsia"/>
                <w:color w:val="000000"/>
                <w:kern w:val="0"/>
                <w:sz w:val="21"/>
                <w:szCs w:val="21"/>
                <w:lang w:bidi="ar"/>
              </w:rPr>
              <w:t>800</w:t>
            </w:r>
          </w:p>
        </w:tc>
      </w:tr>
      <w:tr w14:paraId="531D6A79">
        <w:tblPrEx>
          <w:tblCellMar>
            <w:top w:w="15" w:type="dxa"/>
            <w:left w:w="15" w:type="dxa"/>
            <w:bottom w:w="15" w:type="dxa"/>
            <w:right w:w="15" w:type="dxa"/>
          </w:tblCellMar>
        </w:tblPrEx>
        <w:trPr>
          <w:trHeight w:val="876"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0E22">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D56">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V型支架</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043">
            <w:pPr>
              <w:widowControl/>
              <w:spacing w:line="240" w:lineRule="auto"/>
              <w:jc w:val="center"/>
              <w:textAlignment w:val="center"/>
              <w:rPr>
                <w:rFonts w:ascii="宋体" w:hAnsi="宋体" w:cs="宋体"/>
                <w:color w:val="000000"/>
                <w:sz w:val="21"/>
                <w:szCs w:val="21"/>
              </w:rPr>
            </w:pPr>
            <w:r>
              <w:rPr>
                <w:rFonts w:hint="eastAsia" w:cs="宋体" w:asciiTheme="minorEastAsia" w:hAnsiTheme="minorEastAsia" w:eastAsiaTheme="minorEastAsia"/>
                <w:color w:val="000000"/>
                <w:kern w:val="0"/>
                <w:sz w:val="21"/>
                <w:szCs w:val="21"/>
                <w:lang w:bidi="ar"/>
              </w:rPr>
              <w:t>不得低于以下标准：</w:t>
            </w:r>
            <w:r>
              <w:rPr>
                <w:rFonts w:hint="eastAsia" w:ascii="宋体" w:hAnsi="宋体" w:cs="宋体"/>
                <w:color w:val="000000"/>
                <w:kern w:val="0"/>
                <w:sz w:val="21"/>
                <w:szCs w:val="21"/>
                <w:lang w:bidi="ar"/>
              </w:rPr>
              <w:t>镀锌竹</w:t>
            </w:r>
            <w:r>
              <w:rPr>
                <w:color w:val="000000"/>
                <w:sz w:val="21"/>
                <w:szCs w:val="21"/>
                <w:lang w:bidi="ar"/>
              </w:rPr>
              <w:t>50*50mm*1.5mm</w:t>
            </w:r>
            <w:r>
              <w:rPr>
                <w:rFonts w:ascii="宋体" w:hAnsi="宋体" w:cs="宋体"/>
                <w:color w:val="000000"/>
                <w:sz w:val="21"/>
                <w:szCs w:val="21"/>
                <w:lang w:bidi="ar"/>
              </w:rPr>
              <w:t>厚，斜背</w:t>
            </w:r>
            <w:r>
              <w:rPr>
                <w:color w:val="000000"/>
                <w:sz w:val="21"/>
                <w:szCs w:val="21"/>
                <w:lang w:bidi="ar"/>
              </w:rPr>
              <w:t>0.5m.</w:t>
            </w:r>
            <w:r>
              <w:rPr>
                <w:rFonts w:ascii="宋体" w:hAnsi="宋体" w:cs="宋体"/>
                <w:color w:val="000000"/>
                <w:sz w:val="21"/>
                <w:szCs w:val="21"/>
                <w:lang w:bidi="ar"/>
              </w:rPr>
              <w:t>总垂直高度</w:t>
            </w:r>
            <w:r>
              <w:rPr>
                <w:color w:val="000000"/>
                <w:sz w:val="21"/>
                <w:szCs w:val="21"/>
                <w:lang w:bidi="ar"/>
              </w:rPr>
              <w:t>0.7m(</w:t>
            </w:r>
            <w:r>
              <w:rPr>
                <w:rFonts w:ascii="宋体" w:hAnsi="宋体" w:cs="宋体"/>
                <w:color w:val="000000"/>
                <w:sz w:val="21"/>
                <w:szCs w:val="21"/>
                <w:lang w:bidi="ar"/>
              </w:rPr>
              <w:t>身于</w:t>
            </w:r>
            <w:r>
              <w:rPr>
                <w:color w:val="000000"/>
                <w:sz w:val="21"/>
                <w:szCs w:val="21"/>
                <w:lang w:bidi="ar"/>
              </w:rPr>
              <w:t>0.35m)</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B8B">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CD38">
            <w:pPr>
              <w:widowControl/>
              <w:spacing w:line="240" w:lineRule="auto"/>
              <w:jc w:val="center"/>
              <w:textAlignment w:val="center"/>
              <w:rPr>
                <w:color w:val="000000"/>
                <w:sz w:val="21"/>
                <w:szCs w:val="21"/>
              </w:rPr>
            </w:pPr>
            <w:r>
              <w:rPr>
                <w:color w:val="000000"/>
                <w:kern w:val="0"/>
                <w:sz w:val="21"/>
                <w:szCs w:val="21"/>
                <w:lang w:bidi="ar"/>
              </w:rPr>
              <w:t>266</w:t>
            </w:r>
          </w:p>
        </w:tc>
      </w:tr>
      <w:tr w14:paraId="03993E51">
        <w:tblPrEx>
          <w:tblCellMar>
            <w:top w:w="15" w:type="dxa"/>
            <w:left w:w="15" w:type="dxa"/>
            <w:bottom w:w="15" w:type="dxa"/>
            <w:right w:w="15" w:type="dxa"/>
          </w:tblCellMar>
        </w:tblPrEx>
        <w:trPr>
          <w:trHeight w:val="60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DA3">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0A9A">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固定铁丝</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8FA">
            <w:pPr>
              <w:widowControl/>
              <w:spacing w:line="240" w:lineRule="auto"/>
              <w:jc w:val="center"/>
              <w:textAlignment w:val="center"/>
              <w:rPr>
                <w:rFonts w:ascii="宋体" w:hAnsi="宋体" w:cs="宋体"/>
                <w:color w:val="000000"/>
                <w:sz w:val="21"/>
                <w:szCs w:val="21"/>
              </w:rPr>
            </w:pPr>
            <w:r>
              <w:rPr>
                <w:rFonts w:hint="eastAsia" w:cs="宋体" w:asciiTheme="minorEastAsia" w:hAnsiTheme="minorEastAsia" w:eastAsiaTheme="minorEastAsia"/>
                <w:color w:val="000000"/>
                <w:kern w:val="0"/>
                <w:sz w:val="21"/>
                <w:szCs w:val="21"/>
                <w:lang w:bidi="ar"/>
              </w:rPr>
              <w:t>不得低于以下标准：</w:t>
            </w:r>
            <w:r>
              <w:rPr>
                <w:rFonts w:hint="eastAsia" w:ascii="宋体" w:hAnsi="宋体" w:cs="宋体"/>
                <w:color w:val="000000"/>
                <w:kern w:val="0"/>
                <w:sz w:val="21"/>
                <w:szCs w:val="21"/>
                <w:lang w:bidi="ar"/>
              </w:rPr>
              <w:t>直径</w:t>
            </w:r>
            <w:r>
              <w:rPr>
                <w:color w:val="000000"/>
                <w:sz w:val="21"/>
                <w:szCs w:val="21"/>
                <w:lang w:bidi="ar"/>
              </w:rPr>
              <w:t>2.5mm</w:t>
            </w:r>
            <w:r>
              <w:rPr>
                <w:rFonts w:ascii="宋体" w:hAnsi="宋体" w:cs="宋体"/>
                <w:color w:val="000000"/>
                <w:sz w:val="21"/>
                <w:szCs w:val="21"/>
                <w:lang w:bidi="ar"/>
              </w:rPr>
              <w:t>镀锌，</w:t>
            </w:r>
            <w:r>
              <w:rPr>
                <w:color w:val="000000"/>
                <w:sz w:val="21"/>
                <w:szCs w:val="21"/>
                <w:lang w:bidi="ar"/>
              </w:rPr>
              <w:t>2</w:t>
            </w:r>
            <w:r>
              <w:rPr>
                <w:rFonts w:ascii="宋体" w:hAnsi="宋体" w:cs="宋体"/>
                <w:color w:val="000000"/>
                <w:sz w:val="21"/>
                <w:szCs w:val="21"/>
                <w:lang w:bidi="ar"/>
              </w:rPr>
              <w:t>道，每面</w:t>
            </w:r>
            <w:r>
              <w:rPr>
                <w:color w:val="000000"/>
                <w:sz w:val="21"/>
                <w:szCs w:val="21"/>
                <w:lang w:bidi="ar"/>
              </w:rPr>
              <w:t>1</w:t>
            </w:r>
            <w:r>
              <w:rPr>
                <w:rFonts w:ascii="宋体" w:hAnsi="宋体" w:cs="宋体"/>
                <w:color w:val="000000"/>
                <w:sz w:val="21"/>
                <w:szCs w:val="21"/>
                <w:lang w:bidi="ar"/>
              </w:rPr>
              <w:t>道</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3DC3">
            <w:pPr>
              <w:widowControl/>
              <w:spacing w:line="240" w:lineRule="auto"/>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1E3F">
            <w:pPr>
              <w:widowControl/>
              <w:spacing w:line="240" w:lineRule="auto"/>
              <w:jc w:val="center"/>
              <w:textAlignment w:val="center"/>
              <w:rPr>
                <w:color w:val="000000"/>
                <w:sz w:val="21"/>
                <w:szCs w:val="21"/>
              </w:rPr>
            </w:pPr>
            <w:r>
              <w:rPr>
                <w:color w:val="000000"/>
                <w:kern w:val="0"/>
                <w:sz w:val="21"/>
                <w:szCs w:val="21"/>
                <w:lang w:bidi="ar"/>
              </w:rPr>
              <w:t>3300</w:t>
            </w:r>
          </w:p>
        </w:tc>
      </w:tr>
      <w:tr w14:paraId="18D9B2AC">
        <w:tblPrEx>
          <w:tblCellMar>
            <w:top w:w="15" w:type="dxa"/>
            <w:left w:w="15" w:type="dxa"/>
            <w:bottom w:w="15" w:type="dxa"/>
            <w:right w:w="15" w:type="dxa"/>
          </w:tblCellMar>
        </w:tblPrEx>
        <w:trPr>
          <w:trHeight w:val="605" w:hRule="atLeast"/>
        </w:trPr>
        <w:tc>
          <w:tcPr>
            <w:tcW w:w="92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05370">
            <w:pPr>
              <w:widowControl/>
              <w:spacing w:line="240" w:lineRule="auto"/>
              <w:jc w:val="center"/>
              <w:textAlignment w:val="center"/>
              <w:rPr>
                <w:color w:val="000000"/>
                <w:kern w:val="0"/>
                <w:sz w:val="21"/>
                <w:szCs w:val="21"/>
                <w:lang w:bidi="ar"/>
              </w:rPr>
            </w:pPr>
            <w:r>
              <w:rPr>
                <w:rFonts w:hint="eastAsia"/>
                <w:color w:val="000000"/>
                <w:kern w:val="0"/>
                <w:sz w:val="21"/>
                <w:szCs w:val="21"/>
                <w:lang w:bidi="ar"/>
              </w:rPr>
              <w:t>以上包含安装辅材及其他费用</w:t>
            </w:r>
          </w:p>
        </w:tc>
      </w:tr>
    </w:tbl>
    <w:p w14:paraId="52B69F4F">
      <w:pPr>
        <w:widowControl/>
        <w:tabs>
          <w:tab w:val="left" w:pos="479"/>
          <w:tab w:val="center" w:pos="5653"/>
        </w:tabs>
        <w:textAlignment w:val="center"/>
        <w:rPr>
          <w:rFonts w:ascii="宋体" w:hAnsi="宋体" w:cs="宋体"/>
          <w:b/>
          <w:color w:val="000000"/>
          <w:kern w:val="0"/>
          <w:lang w:bidi="ar"/>
        </w:rPr>
      </w:pPr>
      <w:r>
        <w:rPr>
          <w:rFonts w:hint="eastAsia" w:ascii="宋体" w:hAnsi="宋体" w:cs="宋体"/>
          <w:b/>
          <w:color w:val="000000"/>
          <w:kern w:val="0"/>
          <w:lang w:bidi="ar"/>
        </w:rPr>
        <w:t>三、补充周界围墙防护升级硬件清单</w:t>
      </w:r>
    </w:p>
    <w:tbl>
      <w:tblPr>
        <w:tblStyle w:val="29"/>
        <w:tblW w:w="918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16"/>
        <w:gridCol w:w="1507"/>
        <w:gridCol w:w="831"/>
        <w:gridCol w:w="2100"/>
        <w:gridCol w:w="1955"/>
      </w:tblGrid>
      <w:tr w14:paraId="4C6B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5111">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序号</w:t>
            </w:r>
          </w:p>
        </w:tc>
        <w:tc>
          <w:tcPr>
            <w:tcW w:w="2016" w:type="dxa"/>
            <w:shd w:val="clear" w:color="auto" w:fill="auto"/>
            <w:vAlign w:val="center"/>
          </w:tcPr>
          <w:p w14:paraId="0589CC71">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需补充硬件的设备</w:t>
            </w:r>
          </w:p>
        </w:tc>
        <w:tc>
          <w:tcPr>
            <w:tcW w:w="1507" w:type="dxa"/>
            <w:shd w:val="clear" w:color="auto" w:fill="auto"/>
            <w:vAlign w:val="center"/>
          </w:tcPr>
          <w:p w14:paraId="27274EFF">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需补充硬件</w:t>
            </w:r>
          </w:p>
        </w:tc>
        <w:tc>
          <w:tcPr>
            <w:tcW w:w="831" w:type="dxa"/>
            <w:shd w:val="clear" w:color="auto" w:fill="auto"/>
            <w:vAlign w:val="center"/>
          </w:tcPr>
          <w:p w14:paraId="3CCC9C6B">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数量</w:t>
            </w:r>
          </w:p>
        </w:tc>
        <w:tc>
          <w:tcPr>
            <w:tcW w:w="2100" w:type="dxa"/>
            <w:shd w:val="clear" w:color="auto" w:fill="auto"/>
            <w:vAlign w:val="center"/>
          </w:tcPr>
          <w:p w14:paraId="2A80A1D7">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参数</w:t>
            </w:r>
          </w:p>
        </w:tc>
        <w:tc>
          <w:tcPr>
            <w:tcW w:w="1955" w:type="dxa"/>
            <w:vAlign w:val="center"/>
          </w:tcPr>
          <w:p w14:paraId="12C95857">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操作系统</w:t>
            </w:r>
          </w:p>
        </w:tc>
      </w:tr>
      <w:tr w14:paraId="3D2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Merge w:val="restart"/>
            <w:tcBorders>
              <w:top w:val="single" w:color="000000" w:sz="4" w:space="0"/>
              <w:left w:val="single" w:color="000000" w:sz="4" w:space="0"/>
              <w:right w:val="single" w:color="000000" w:sz="4" w:space="0"/>
            </w:tcBorders>
            <w:shd w:val="clear" w:color="auto" w:fill="auto"/>
            <w:vAlign w:val="center"/>
          </w:tcPr>
          <w:p w14:paraId="07B8E945">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w:t>
            </w:r>
          </w:p>
        </w:tc>
        <w:tc>
          <w:tcPr>
            <w:tcW w:w="2016" w:type="dxa"/>
            <w:vMerge w:val="restart"/>
            <w:shd w:val="clear" w:color="auto" w:fill="auto"/>
            <w:vAlign w:val="center"/>
          </w:tcPr>
          <w:p w14:paraId="3E7B0D19">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双路通用服务器</w:t>
            </w:r>
          </w:p>
          <w:p w14:paraId="6FE1A1A2">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R420 G30</w:t>
            </w:r>
          </w:p>
        </w:tc>
        <w:tc>
          <w:tcPr>
            <w:tcW w:w="1507" w:type="dxa"/>
            <w:shd w:val="clear" w:color="auto" w:fill="auto"/>
            <w:vAlign w:val="center"/>
          </w:tcPr>
          <w:p w14:paraId="70FB89C2">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硬盘</w:t>
            </w:r>
          </w:p>
        </w:tc>
        <w:tc>
          <w:tcPr>
            <w:tcW w:w="831" w:type="dxa"/>
            <w:vAlign w:val="center"/>
          </w:tcPr>
          <w:p w14:paraId="692BC5A2">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w:t>
            </w:r>
          </w:p>
        </w:tc>
        <w:tc>
          <w:tcPr>
            <w:tcW w:w="2100" w:type="dxa"/>
            <w:vAlign w:val="center"/>
          </w:tcPr>
          <w:p w14:paraId="5C332883">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2T 7.2K 3.5寸SATA硬盘：企业级金盘</w:t>
            </w:r>
          </w:p>
        </w:tc>
        <w:tc>
          <w:tcPr>
            <w:tcW w:w="1955" w:type="dxa"/>
            <w:vMerge w:val="restart"/>
            <w:vAlign w:val="center"/>
          </w:tcPr>
          <w:p w14:paraId="42A01969">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安装 CentOS 7.8 64位操作系统</w:t>
            </w:r>
          </w:p>
        </w:tc>
      </w:tr>
      <w:tr w14:paraId="4936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Merge w:val="continue"/>
            <w:tcBorders>
              <w:left w:val="single" w:color="000000" w:sz="4" w:space="0"/>
              <w:right w:val="single" w:color="000000" w:sz="4" w:space="0"/>
            </w:tcBorders>
            <w:shd w:val="clear" w:color="auto" w:fill="auto"/>
            <w:vAlign w:val="center"/>
          </w:tcPr>
          <w:p w14:paraId="5A3830C4">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41736734">
            <w:pPr>
              <w:widowControl/>
              <w:spacing w:line="240" w:lineRule="auto"/>
              <w:jc w:val="center"/>
              <w:textAlignment w:val="bottom"/>
              <w:rPr>
                <w:rFonts w:ascii="宋体" w:hAnsi="宋体" w:cs="宋体"/>
                <w:kern w:val="0"/>
                <w:sz w:val="21"/>
                <w:szCs w:val="21"/>
                <w:lang w:bidi="ar"/>
              </w:rPr>
            </w:pPr>
          </w:p>
        </w:tc>
        <w:tc>
          <w:tcPr>
            <w:tcW w:w="1507" w:type="dxa"/>
            <w:shd w:val="clear" w:color="auto" w:fill="auto"/>
            <w:vAlign w:val="center"/>
          </w:tcPr>
          <w:p w14:paraId="56DBF8A0">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内存条</w:t>
            </w:r>
          </w:p>
        </w:tc>
        <w:tc>
          <w:tcPr>
            <w:tcW w:w="831" w:type="dxa"/>
            <w:vAlign w:val="center"/>
          </w:tcPr>
          <w:p w14:paraId="20A1E6D1">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4</w:t>
            </w:r>
          </w:p>
        </w:tc>
        <w:tc>
          <w:tcPr>
            <w:tcW w:w="2100" w:type="dxa"/>
            <w:vAlign w:val="center"/>
          </w:tcPr>
          <w:p w14:paraId="138FF7AD">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32GB DDR4 服务器内存条</w:t>
            </w:r>
          </w:p>
        </w:tc>
        <w:tc>
          <w:tcPr>
            <w:tcW w:w="1955" w:type="dxa"/>
            <w:vMerge w:val="continue"/>
            <w:vAlign w:val="center"/>
          </w:tcPr>
          <w:p w14:paraId="26424689">
            <w:pPr>
              <w:widowControl/>
              <w:spacing w:line="240" w:lineRule="auto"/>
              <w:jc w:val="center"/>
              <w:textAlignment w:val="bottom"/>
              <w:rPr>
                <w:rFonts w:ascii="宋体" w:hAnsi="宋体" w:cs="宋体"/>
                <w:kern w:val="0"/>
                <w:sz w:val="21"/>
                <w:szCs w:val="21"/>
                <w:lang w:bidi="ar"/>
              </w:rPr>
            </w:pPr>
          </w:p>
        </w:tc>
      </w:tr>
      <w:tr w14:paraId="6152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restart"/>
            <w:tcBorders>
              <w:left w:val="single" w:color="000000" w:sz="4" w:space="0"/>
              <w:right w:val="single" w:color="000000" w:sz="4" w:space="0"/>
            </w:tcBorders>
            <w:shd w:val="clear" w:color="auto" w:fill="auto"/>
            <w:vAlign w:val="center"/>
          </w:tcPr>
          <w:p w14:paraId="6BF8EA31">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w:t>
            </w:r>
          </w:p>
        </w:tc>
        <w:tc>
          <w:tcPr>
            <w:tcW w:w="2016" w:type="dxa"/>
            <w:vMerge w:val="restart"/>
            <w:shd w:val="clear" w:color="auto" w:fill="auto"/>
            <w:vAlign w:val="center"/>
          </w:tcPr>
          <w:p w14:paraId="7F854808">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平台运行主机</w:t>
            </w:r>
          </w:p>
          <w:p w14:paraId="402A686F">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DS-AXF141P</w:t>
            </w:r>
          </w:p>
        </w:tc>
        <w:tc>
          <w:tcPr>
            <w:tcW w:w="1507" w:type="dxa"/>
            <w:vMerge w:val="restart"/>
            <w:vAlign w:val="center"/>
          </w:tcPr>
          <w:p w14:paraId="01D787EC">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硬盘</w:t>
            </w:r>
          </w:p>
        </w:tc>
        <w:tc>
          <w:tcPr>
            <w:tcW w:w="831" w:type="dxa"/>
            <w:vMerge w:val="restart"/>
            <w:vAlign w:val="center"/>
          </w:tcPr>
          <w:p w14:paraId="10BDF316">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w:t>
            </w:r>
          </w:p>
        </w:tc>
        <w:tc>
          <w:tcPr>
            <w:tcW w:w="2100" w:type="dxa"/>
            <w:vAlign w:val="center"/>
          </w:tcPr>
          <w:p w14:paraId="7AF32AA9">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M.2 512G硬盘×1</w:t>
            </w:r>
          </w:p>
        </w:tc>
        <w:tc>
          <w:tcPr>
            <w:tcW w:w="1955" w:type="dxa"/>
            <w:vMerge w:val="restart"/>
            <w:vAlign w:val="center"/>
          </w:tcPr>
          <w:p w14:paraId="5A75E1F0">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依适配情况，安装win专业版操作系统</w:t>
            </w:r>
          </w:p>
        </w:tc>
      </w:tr>
      <w:tr w14:paraId="18B8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continue"/>
            <w:tcBorders>
              <w:left w:val="single" w:color="000000" w:sz="4" w:space="0"/>
              <w:right w:val="single" w:color="000000" w:sz="4" w:space="0"/>
            </w:tcBorders>
            <w:shd w:val="clear" w:color="auto" w:fill="auto"/>
            <w:vAlign w:val="center"/>
          </w:tcPr>
          <w:p w14:paraId="1BB3DF65">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17E47B3C">
            <w:pPr>
              <w:widowControl/>
              <w:spacing w:line="240" w:lineRule="auto"/>
              <w:jc w:val="center"/>
              <w:textAlignment w:val="bottom"/>
              <w:rPr>
                <w:rFonts w:ascii="宋体" w:hAnsi="宋体" w:cs="宋体"/>
                <w:kern w:val="0"/>
                <w:sz w:val="21"/>
                <w:szCs w:val="21"/>
                <w:lang w:bidi="ar"/>
              </w:rPr>
            </w:pPr>
          </w:p>
        </w:tc>
        <w:tc>
          <w:tcPr>
            <w:tcW w:w="1507" w:type="dxa"/>
            <w:vMerge w:val="continue"/>
            <w:vAlign w:val="center"/>
          </w:tcPr>
          <w:p w14:paraId="5A8D8389">
            <w:pPr>
              <w:widowControl/>
              <w:spacing w:line="240" w:lineRule="auto"/>
              <w:jc w:val="center"/>
              <w:textAlignment w:val="bottom"/>
              <w:rPr>
                <w:rFonts w:ascii="宋体" w:hAnsi="宋体" w:cs="宋体"/>
                <w:kern w:val="0"/>
                <w:sz w:val="21"/>
                <w:szCs w:val="21"/>
                <w:lang w:bidi="ar"/>
              </w:rPr>
            </w:pPr>
          </w:p>
        </w:tc>
        <w:tc>
          <w:tcPr>
            <w:tcW w:w="831" w:type="dxa"/>
            <w:vMerge w:val="continue"/>
            <w:vAlign w:val="center"/>
          </w:tcPr>
          <w:p w14:paraId="6CF9975B">
            <w:pPr>
              <w:widowControl/>
              <w:spacing w:line="240" w:lineRule="auto"/>
              <w:jc w:val="center"/>
              <w:textAlignment w:val="bottom"/>
              <w:rPr>
                <w:rFonts w:ascii="宋体" w:hAnsi="宋体" w:cs="宋体"/>
                <w:kern w:val="0"/>
                <w:sz w:val="21"/>
                <w:szCs w:val="21"/>
                <w:lang w:bidi="ar"/>
              </w:rPr>
            </w:pPr>
          </w:p>
        </w:tc>
        <w:tc>
          <w:tcPr>
            <w:tcW w:w="2100" w:type="dxa"/>
            <w:vAlign w:val="center"/>
          </w:tcPr>
          <w:p w14:paraId="2807865F">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2T SATA硬盘×1</w:t>
            </w:r>
          </w:p>
        </w:tc>
        <w:tc>
          <w:tcPr>
            <w:tcW w:w="1955" w:type="dxa"/>
            <w:vMerge w:val="continue"/>
          </w:tcPr>
          <w:p w14:paraId="18FAACCC">
            <w:pPr>
              <w:widowControl/>
              <w:spacing w:line="240" w:lineRule="auto"/>
              <w:jc w:val="center"/>
              <w:textAlignment w:val="bottom"/>
              <w:rPr>
                <w:rFonts w:ascii="宋体" w:hAnsi="宋体" w:cs="宋体"/>
                <w:kern w:val="0"/>
                <w:sz w:val="21"/>
                <w:szCs w:val="21"/>
                <w:lang w:bidi="ar"/>
              </w:rPr>
            </w:pPr>
          </w:p>
        </w:tc>
      </w:tr>
      <w:tr w14:paraId="5C7C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71" w:type="dxa"/>
            <w:vMerge w:val="continue"/>
            <w:tcBorders>
              <w:left w:val="single" w:color="000000" w:sz="4" w:space="0"/>
              <w:bottom w:val="single" w:color="000000" w:sz="4" w:space="0"/>
              <w:right w:val="single" w:color="000000" w:sz="4" w:space="0"/>
            </w:tcBorders>
            <w:shd w:val="clear" w:color="auto" w:fill="auto"/>
            <w:vAlign w:val="center"/>
          </w:tcPr>
          <w:p w14:paraId="1D934BF3">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2DFFB7AB">
            <w:pPr>
              <w:widowControl/>
              <w:spacing w:line="240" w:lineRule="auto"/>
              <w:jc w:val="center"/>
              <w:textAlignment w:val="bottom"/>
              <w:rPr>
                <w:rFonts w:ascii="宋体" w:hAnsi="宋体" w:cs="宋体"/>
                <w:kern w:val="0"/>
                <w:sz w:val="21"/>
                <w:szCs w:val="21"/>
                <w:lang w:bidi="ar"/>
              </w:rPr>
            </w:pPr>
          </w:p>
        </w:tc>
        <w:tc>
          <w:tcPr>
            <w:tcW w:w="1507" w:type="dxa"/>
            <w:vAlign w:val="center"/>
          </w:tcPr>
          <w:p w14:paraId="7429E28B">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内存</w:t>
            </w:r>
          </w:p>
        </w:tc>
        <w:tc>
          <w:tcPr>
            <w:tcW w:w="831" w:type="dxa"/>
            <w:vAlign w:val="center"/>
          </w:tcPr>
          <w:p w14:paraId="26D9DF34">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2</w:t>
            </w:r>
          </w:p>
        </w:tc>
        <w:tc>
          <w:tcPr>
            <w:tcW w:w="2100" w:type="dxa"/>
            <w:vAlign w:val="center"/>
          </w:tcPr>
          <w:p w14:paraId="5A69E36E">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单条8G DDR4台式机内存条</w:t>
            </w:r>
          </w:p>
        </w:tc>
        <w:tc>
          <w:tcPr>
            <w:tcW w:w="1955" w:type="dxa"/>
            <w:vMerge w:val="continue"/>
          </w:tcPr>
          <w:p w14:paraId="4BD0EBEB">
            <w:pPr>
              <w:widowControl/>
              <w:spacing w:line="240" w:lineRule="auto"/>
              <w:jc w:val="center"/>
              <w:textAlignment w:val="bottom"/>
              <w:rPr>
                <w:rFonts w:ascii="宋体" w:hAnsi="宋体" w:cs="宋体"/>
                <w:kern w:val="0"/>
                <w:sz w:val="21"/>
                <w:szCs w:val="21"/>
                <w:lang w:bidi="ar"/>
              </w:rPr>
            </w:pPr>
          </w:p>
        </w:tc>
      </w:tr>
      <w:tr w14:paraId="0580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DADE">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3</w:t>
            </w:r>
          </w:p>
        </w:tc>
        <w:tc>
          <w:tcPr>
            <w:tcW w:w="2016" w:type="dxa"/>
            <w:shd w:val="clear" w:color="auto" w:fill="auto"/>
            <w:vAlign w:val="center"/>
          </w:tcPr>
          <w:p w14:paraId="0532D167">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周界防范录像机</w:t>
            </w:r>
          </w:p>
          <w:p w14:paraId="630C6E65">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iDS-9632NX-I8/S</w:t>
            </w:r>
          </w:p>
          <w:p w14:paraId="3E82E5C2">
            <w:pPr>
              <w:widowControl/>
              <w:spacing w:line="240" w:lineRule="auto"/>
              <w:jc w:val="center"/>
              <w:textAlignment w:val="bottom"/>
              <w:rPr>
                <w:rFonts w:ascii="宋体" w:hAnsi="宋体" w:cs="宋体"/>
                <w:kern w:val="0"/>
                <w:sz w:val="21"/>
                <w:szCs w:val="21"/>
                <w:lang w:bidi="ar"/>
              </w:rPr>
            </w:pPr>
            <w:r>
              <w:rPr>
                <w:rFonts w:hint="eastAsia"/>
                <w:sz w:val="21"/>
                <w:szCs w:val="21"/>
              </w:rPr>
              <w:t>★</w:t>
            </w:r>
          </w:p>
        </w:tc>
        <w:tc>
          <w:tcPr>
            <w:tcW w:w="1507" w:type="dxa"/>
            <w:vAlign w:val="center"/>
          </w:tcPr>
          <w:p w14:paraId="60DA542E">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硬盘</w:t>
            </w:r>
          </w:p>
        </w:tc>
        <w:tc>
          <w:tcPr>
            <w:tcW w:w="831" w:type="dxa"/>
            <w:vAlign w:val="center"/>
          </w:tcPr>
          <w:p w14:paraId="7041D54A">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16</w:t>
            </w:r>
          </w:p>
        </w:tc>
        <w:tc>
          <w:tcPr>
            <w:tcW w:w="2100" w:type="dxa"/>
            <w:vAlign w:val="center"/>
          </w:tcPr>
          <w:p w14:paraId="5DC58443">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 xml:space="preserve">单盘8T SATA接口，海康授权(西数专用)。  </w:t>
            </w:r>
          </w:p>
        </w:tc>
        <w:tc>
          <w:tcPr>
            <w:tcW w:w="1955" w:type="dxa"/>
          </w:tcPr>
          <w:p w14:paraId="233FB278">
            <w:pPr>
              <w:spacing w:line="240" w:lineRule="auto"/>
              <w:ind w:left="210" w:hanging="210" w:hangingChars="100"/>
              <w:jc w:val="center"/>
              <w:textAlignment w:val="bottom"/>
              <w:rPr>
                <w:rFonts w:ascii="宋体" w:hAnsi="宋体" w:cs="宋体"/>
                <w:kern w:val="0"/>
                <w:sz w:val="21"/>
                <w:szCs w:val="21"/>
                <w:lang w:bidi="ar"/>
              </w:rPr>
            </w:pPr>
          </w:p>
        </w:tc>
      </w:tr>
      <w:tr w14:paraId="2D4A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BE8E">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4</w:t>
            </w:r>
          </w:p>
        </w:tc>
        <w:tc>
          <w:tcPr>
            <w:tcW w:w="2016" w:type="dxa"/>
            <w:shd w:val="clear" w:color="auto" w:fill="auto"/>
            <w:vAlign w:val="center"/>
          </w:tcPr>
          <w:p w14:paraId="1B3DE79A">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录音电话</w:t>
            </w:r>
          </w:p>
          <w:p w14:paraId="15F2A4EC">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VAA-SD170S</w:t>
            </w:r>
          </w:p>
        </w:tc>
        <w:tc>
          <w:tcPr>
            <w:tcW w:w="1507" w:type="dxa"/>
            <w:vAlign w:val="center"/>
          </w:tcPr>
          <w:p w14:paraId="739F1142">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存储卡</w:t>
            </w:r>
          </w:p>
        </w:tc>
        <w:tc>
          <w:tcPr>
            <w:tcW w:w="831" w:type="dxa"/>
            <w:vAlign w:val="center"/>
          </w:tcPr>
          <w:p w14:paraId="5736A4C4">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w:t>
            </w:r>
          </w:p>
        </w:tc>
        <w:tc>
          <w:tcPr>
            <w:tcW w:w="2100" w:type="dxa"/>
            <w:vAlign w:val="center"/>
          </w:tcPr>
          <w:p w14:paraId="62E2AD65">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32G大SD存储卡</w:t>
            </w:r>
          </w:p>
        </w:tc>
        <w:tc>
          <w:tcPr>
            <w:tcW w:w="1955" w:type="dxa"/>
          </w:tcPr>
          <w:p w14:paraId="3F57E8B2">
            <w:pPr>
              <w:spacing w:line="240" w:lineRule="auto"/>
              <w:jc w:val="center"/>
              <w:textAlignment w:val="bottom"/>
              <w:rPr>
                <w:rFonts w:ascii="宋体" w:hAnsi="宋体" w:cs="宋体"/>
                <w:kern w:val="0"/>
                <w:sz w:val="21"/>
                <w:szCs w:val="21"/>
                <w:lang w:bidi="ar"/>
              </w:rPr>
            </w:pPr>
          </w:p>
        </w:tc>
      </w:tr>
      <w:tr w14:paraId="17D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restart"/>
            <w:tcBorders>
              <w:top w:val="single" w:color="000000" w:sz="4" w:space="0"/>
              <w:left w:val="single" w:color="000000" w:sz="4" w:space="0"/>
              <w:right w:val="single" w:color="000000" w:sz="4" w:space="0"/>
            </w:tcBorders>
            <w:shd w:val="clear" w:color="auto" w:fill="auto"/>
            <w:vAlign w:val="center"/>
          </w:tcPr>
          <w:p w14:paraId="33EF3D3B">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5</w:t>
            </w:r>
          </w:p>
        </w:tc>
        <w:tc>
          <w:tcPr>
            <w:tcW w:w="2016" w:type="dxa"/>
            <w:vMerge w:val="restart"/>
            <w:shd w:val="clear" w:color="auto" w:fill="auto"/>
            <w:vAlign w:val="center"/>
          </w:tcPr>
          <w:p w14:paraId="0415D29E">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业务电脑</w:t>
            </w:r>
          </w:p>
          <w:p w14:paraId="25158A3A">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D540MC</w:t>
            </w:r>
          </w:p>
        </w:tc>
        <w:tc>
          <w:tcPr>
            <w:tcW w:w="1507" w:type="dxa"/>
            <w:vMerge w:val="restart"/>
            <w:vAlign w:val="center"/>
          </w:tcPr>
          <w:p w14:paraId="43FEB29D">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硬盘</w:t>
            </w:r>
          </w:p>
        </w:tc>
        <w:tc>
          <w:tcPr>
            <w:tcW w:w="831" w:type="dxa"/>
            <w:vMerge w:val="restart"/>
            <w:vAlign w:val="center"/>
          </w:tcPr>
          <w:p w14:paraId="2C56A75D">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6</w:t>
            </w:r>
          </w:p>
        </w:tc>
        <w:tc>
          <w:tcPr>
            <w:tcW w:w="2100" w:type="dxa"/>
            <w:vAlign w:val="center"/>
          </w:tcPr>
          <w:p w14:paraId="0F3A1911">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m.2固态国产</w:t>
            </w:r>
          </w:p>
          <w:p w14:paraId="40D13055">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SATA硬盘×3</w:t>
            </w:r>
          </w:p>
        </w:tc>
        <w:tc>
          <w:tcPr>
            <w:tcW w:w="1955" w:type="dxa"/>
            <w:vMerge w:val="restart"/>
            <w:vAlign w:val="center"/>
          </w:tcPr>
          <w:p w14:paraId="0061BFD4">
            <w:pPr>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依适配情况，安装win专业版操作系统</w:t>
            </w:r>
          </w:p>
        </w:tc>
      </w:tr>
      <w:tr w14:paraId="7830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continue"/>
            <w:tcBorders>
              <w:left w:val="single" w:color="000000" w:sz="4" w:space="0"/>
              <w:right w:val="single" w:color="000000" w:sz="4" w:space="0"/>
            </w:tcBorders>
            <w:shd w:val="clear" w:color="auto" w:fill="auto"/>
            <w:vAlign w:val="center"/>
          </w:tcPr>
          <w:p w14:paraId="06B434BE">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5247BD94">
            <w:pPr>
              <w:widowControl/>
              <w:spacing w:line="240" w:lineRule="auto"/>
              <w:jc w:val="center"/>
              <w:textAlignment w:val="bottom"/>
              <w:rPr>
                <w:rFonts w:ascii="宋体" w:hAnsi="宋体" w:cs="宋体"/>
                <w:kern w:val="0"/>
                <w:sz w:val="21"/>
                <w:szCs w:val="21"/>
                <w:lang w:bidi="ar"/>
              </w:rPr>
            </w:pPr>
          </w:p>
        </w:tc>
        <w:tc>
          <w:tcPr>
            <w:tcW w:w="1507" w:type="dxa"/>
            <w:vMerge w:val="continue"/>
            <w:vAlign w:val="center"/>
          </w:tcPr>
          <w:p w14:paraId="392405DC">
            <w:pPr>
              <w:widowControl/>
              <w:spacing w:line="240" w:lineRule="auto"/>
              <w:jc w:val="center"/>
              <w:textAlignment w:val="bottom"/>
              <w:rPr>
                <w:rFonts w:ascii="宋体" w:hAnsi="宋体" w:cs="宋体"/>
                <w:kern w:val="0"/>
                <w:sz w:val="21"/>
                <w:szCs w:val="21"/>
                <w:lang w:bidi="ar"/>
              </w:rPr>
            </w:pPr>
          </w:p>
        </w:tc>
        <w:tc>
          <w:tcPr>
            <w:tcW w:w="831" w:type="dxa"/>
            <w:vMerge w:val="continue"/>
            <w:vAlign w:val="center"/>
          </w:tcPr>
          <w:p w14:paraId="75C44882">
            <w:pPr>
              <w:widowControl/>
              <w:spacing w:line="240" w:lineRule="auto"/>
              <w:jc w:val="center"/>
              <w:textAlignment w:val="bottom"/>
              <w:rPr>
                <w:rFonts w:ascii="宋体" w:hAnsi="宋体" w:cs="宋体"/>
                <w:kern w:val="0"/>
                <w:sz w:val="21"/>
                <w:szCs w:val="21"/>
                <w:lang w:bidi="ar"/>
              </w:rPr>
            </w:pPr>
          </w:p>
        </w:tc>
        <w:tc>
          <w:tcPr>
            <w:tcW w:w="2100" w:type="dxa"/>
            <w:vAlign w:val="center"/>
          </w:tcPr>
          <w:p w14:paraId="044DAB0D">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单盘2T，SATA接口，大缓存×3</w:t>
            </w:r>
          </w:p>
        </w:tc>
        <w:tc>
          <w:tcPr>
            <w:tcW w:w="1955" w:type="dxa"/>
            <w:vMerge w:val="continue"/>
          </w:tcPr>
          <w:p w14:paraId="75B7684A">
            <w:pPr>
              <w:widowControl/>
              <w:spacing w:line="240" w:lineRule="auto"/>
              <w:jc w:val="center"/>
              <w:textAlignment w:val="bottom"/>
              <w:rPr>
                <w:rFonts w:ascii="宋体" w:hAnsi="宋体" w:cs="宋体"/>
                <w:kern w:val="0"/>
                <w:sz w:val="21"/>
                <w:szCs w:val="21"/>
                <w:lang w:bidi="ar"/>
              </w:rPr>
            </w:pPr>
          </w:p>
        </w:tc>
      </w:tr>
      <w:tr w14:paraId="6FFB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continue"/>
            <w:tcBorders>
              <w:left w:val="single" w:color="000000" w:sz="4" w:space="0"/>
              <w:right w:val="single" w:color="000000" w:sz="4" w:space="0"/>
            </w:tcBorders>
            <w:shd w:val="clear" w:color="auto" w:fill="auto"/>
            <w:vAlign w:val="center"/>
          </w:tcPr>
          <w:p w14:paraId="6AA63541">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359678B9">
            <w:pPr>
              <w:widowControl/>
              <w:spacing w:line="240" w:lineRule="auto"/>
              <w:jc w:val="center"/>
              <w:textAlignment w:val="bottom"/>
              <w:rPr>
                <w:rFonts w:ascii="宋体" w:hAnsi="宋体" w:cs="宋体"/>
                <w:kern w:val="0"/>
                <w:sz w:val="21"/>
                <w:szCs w:val="21"/>
                <w:lang w:bidi="ar"/>
              </w:rPr>
            </w:pPr>
          </w:p>
        </w:tc>
        <w:tc>
          <w:tcPr>
            <w:tcW w:w="1507" w:type="dxa"/>
            <w:vAlign w:val="center"/>
          </w:tcPr>
          <w:p w14:paraId="72F49BAE">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内存</w:t>
            </w:r>
          </w:p>
        </w:tc>
        <w:tc>
          <w:tcPr>
            <w:tcW w:w="831" w:type="dxa"/>
            <w:vAlign w:val="center"/>
          </w:tcPr>
          <w:p w14:paraId="0EC0B0F0">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6</w:t>
            </w:r>
          </w:p>
        </w:tc>
        <w:tc>
          <w:tcPr>
            <w:tcW w:w="2100" w:type="dxa"/>
            <w:vAlign w:val="center"/>
          </w:tcPr>
          <w:p w14:paraId="5C948935">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单条8G DDR4 台式机内存X6</w:t>
            </w:r>
          </w:p>
        </w:tc>
        <w:tc>
          <w:tcPr>
            <w:tcW w:w="1955" w:type="dxa"/>
            <w:vMerge w:val="continue"/>
          </w:tcPr>
          <w:p w14:paraId="365E1B59">
            <w:pPr>
              <w:widowControl/>
              <w:spacing w:line="240" w:lineRule="auto"/>
              <w:jc w:val="center"/>
              <w:textAlignment w:val="bottom"/>
              <w:rPr>
                <w:rFonts w:ascii="宋体" w:hAnsi="宋体" w:cs="宋体"/>
                <w:kern w:val="0"/>
                <w:sz w:val="21"/>
                <w:szCs w:val="21"/>
                <w:lang w:bidi="ar"/>
              </w:rPr>
            </w:pPr>
          </w:p>
        </w:tc>
      </w:tr>
      <w:tr w14:paraId="279B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1" w:type="dxa"/>
            <w:vMerge w:val="continue"/>
            <w:tcBorders>
              <w:left w:val="single" w:color="000000" w:sz="4" w:space="0"/>
              <w:right w:val="single" w:color="000000" w:sz="4" w:space="0"/>
            </w:tcBorders>
            <w:shd w:val="clear" w:color="auto" w:fill="auto"/>
            <w:vAlign w:val="center"/>
          </w:tcPr>
          <w:p w14:paraId="0395C6CD">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6F00F8FF">
            <w:pPr>
              <w:widowControl/>
              <w:spacing w:line="240" w:lineRule="auto"/>
              <w:jc w:val="center"/>
              <w:textAlignment w:val="bottom"/>
              <w:rPr>
                <w:rFonts w:ascii="宋体" w:hAnsi="宋体" w:cs="宋体"/>
                <w:kern w:val="0"/>
                <w:sz w:val="21"/>
                <w:szCs w:val="21"/>
                <w:lang w:bidi="ar"/>
              </w:rPr>
            </w:pPr>
          </w:p>
        </w:tc>
        <w:tc>
          <w:tcPr>
            <w:tcW w:w="1507" w:type="dxa"/>
            <w:vAlign w:val="center"/>
          </w:tcPr>
          <w:p w14:paraId="23D5D98B">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显卡</w:t>
            </w:r>
          </w:p>
        </w:tc>
        <w:tc>
          <w:tcPr>
            <w:tcW w:w="831" w:type="dxa"/>
            <w:vAlign w:val="center"/>
          </w:tcPr>
          <w:p w14:paraId="2DFCEE92">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w:t>
            </w:r>
          </w:p>
        </w:tc>
        <w:tc>
          <w:tcPr>
            <w:tcW w:w="2100" w:type="dxa"/>
            <w:vAlign w:val="center"/>
          </w:tcPr>
          <w:p w14:paraId="1EC0C559">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1050TI</w:t>
            </w:r>
          </w:p>
        </w:tc>
        <w:tc>
          <w:tcPr>
            <w:tcW w:w="1955" w:type="dxa"/>
            <w:vMerge w:val="continue"/>
          </w:tcPr>
          <w:p w14:paraId="22A77680">
            <w:pPr>
              <w:widowControl/>
              <w:spacing w:line="240" w:lineRule="auto"/>
              <w:jc w:val="center"/>
              <w:textAlignment w:val="bottom"/>
              <w:rPr>
                <w:rFonts w:ascii="宋体" w:hAnsi="宋体" w:cs="宋体"/>
                <w:kern w:val="0"/>
                <w:sz w:val="21"/>
                <w:szCs w:val="21"/>
                <w:lang w:bidi="ar"/>
              </w:rPr>
            </w:pPr>
          </w:p>
        </w:tc>
      </w:tr>
      <w:tr w14:paraId="4809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continue"/>
            <w:tcBorders>
              <w:left w:val="single" w:color="000000" w:sz="4" w:space="0"/>
              <w:right w:val="single" w:color="000000" w:sz="4" w:space="0"/>
            </w:tcBorders>
            <w:shd w:val="clear" w:color="auto" w:fill="auto"/>
            <w:vAlign w:val="center"/>
          </w:tcPr>
          <w:p w14:paraId="75A00710">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06A95351">
            <w:pPr>
              <w:widowControl/>
              <w:spacing w:line="240" w:lineRule="auto"/>
              <w:jc w:val="center"/>
              <w:textAlignment w:val="bottom"/>
              <w:rPr>
                <w:rFonts w:ascii="宋体" w:hAnsi="宋体" w:cs="宋体"/>
                <w:kern w:val="0"/>
                <w:sz w:val="21"/>
                <w:szCs w:val="21"/>
                <w:lang w:bidi="ar"/>
              </w:rPr>
            </w:pPr>
          </w:p>
        </w:tc>
        <w:tc>
          <w:tcPr>
            <w:tcW w:w="1507" w:type="dxa"/>
            <w:vAlign w:val="center"/>
          </w:tcPr>
          <w:p w14:paraId="670A0B3C">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CPU散热器</w:t>
            </w:r>
          </w:p>
        </w:tc>
        <w:tc>
          <w:tcPr>
            <w:tcW w:w="831" w:type="dxa"/>
            <w:vAlign w:val="center"/>
          </w:tcPr>
          <w:p w14:paraId="05E6853B">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w:t>
            </w:r>
          </w:p>
        </w:tc>
        <w:tc>
          <w:tcPr>
            <w:tcW w:w="2100" w:type="dxa"/>
            <w:vAlign w:val="center"/>
          </w:tcPr>
          <w:p w14:paraId="20B4E755">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配套cpu</w:t>
            </w:r>
          </w:p>
        </w:tc>
        <w:tc>
          <w:tcPr>
            <w:tcW w:w="1955" w:type="dxa"/>
            <w:vMerge w:val="continue"/>
          </w:tcPr>
          <w:p w14:paraId="01E9F6B1">
            <w:pPr>
              <w:widowControl/>
              <w:spacing w:line="240" w:lineRule="auto"/>
              <w:jc w:val="center"/>
              <w:textAlignment w:val="bottom"/>
              <w:rPr>
                <w:rFonts w:ascii="宋体" w:hAnsi="宋体" w:cs="宋体"/>
                <w:kern w:val="0"/>
                <w:sz w:val="21"/>
                <w:szCs w:val="21"/>
                <w:lang w:bidi="ar"/>
              </w:rPr>
            </w:pPr>
          </w:p>
        </w:tc>
      </w:tr>
      <w:tr w14:paraId="4445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1" w:type="dxa"/>
            <w:vMerge w:val="continue"/>
            <w:tcBorders>
              <w:left w:val="single" w:color="000000" w:sz="4" w:space="0"/>
              <w:right w:val="single" w:color="000000" w:sz="4" w:space="0"/>
            </w:tcBorders>
            <w:shd w:val="clear" w:color="auto" w:fill="auto"/>
            <w:vAlign w:val="center"/>
          </w:tcPr>
          <w:p w14:paraId="3517CF1C">
            <w:pPr>
              <w:widowControl/>
              <w:spacing w:line="240" w:lineRule="auto"/>
              <w:jc w:val="center"/>
              <w:textAlignment w:val="bottom"/>
              <w:rPr>
                <w:rFonts w:ascii="宋体" w:hAnsi="宋体" w:cs="宋体"/>
                <w:kern w:val="0"/>
                <w:sz w:val="21"/>
                <w:szCs w:val="21"/>
                <w:lang w:bidi="ar"/>
              </w:rPr>
            </w:pPr>
          </w:p>
        </w:tc>
        <w:tc>
          <w:tcPr>
            <w:tcW w:w="2016" w:type="dxa"/>
            <w:vMerge w:val="continue"/>
            <w:shd w:val="clear" w:color="auto" w:fill="auto"/>
            <w:vAlign w:val="center"/>
          </w:tcPr>
          <w:p w14:paraId="1B35DA93">
            <w:pPr>
              <w:widowControl/>
              <w:spacing w:line="240" w:lineRule="auto"/>
              <w:jc w:val="center"/>
              <w:textAlignment w:val="bottom"/>
              <w:rPr>
                <w:rFonts w:ascii="宋体" w:hAnsi="宋体" w:cs="宋体"/>
                <w:kern w:val="0"/>
                <w:sz w:val="21"/>
                <w:szCs w:val="21"/>
                <w:lang w:bidi="ar"/>
              </w:rPr>
            </w:pPr>
          </w:p>
        </w:tc>
        <w:tc>
          <w:tcPr>
            <w:tcW w:w="1507" w:type="dxa"/>
            <w:vAlign w:val="center"/>
          </w:tcPr>
          <w:p w14:paraId="264F7B40">
            <w:pPr>
              <w:widowControl/>
              <w:spacing w:line="240" w:lineRule="auto"/>
              <w:jc w:val="center"/>
              <w:textAlignment w:val="bottom"/>
              <w:rPr>
                <w:rFonts w:ascii="宋体" w:hAnsi="宋体" w:cs="宋体"/>
                <w:kern w:val="0"/>
                <w:sz w:val="21"/>
                <w:szCs w:val="21"/>
                <w:lang w:bidi="ar"/>
              </w:rPr>
            </w:pPr>
            <w:r>
              <w:rPr>
                <w:rFonts w:ascii="宋体" w:hAnsi="宋体" w:cs="宋体"/>
                <w:kern w:val="0"/>
                <w:sz w:val="21"/>
                <w:szCs w:val="21"/>
                <w:lang w:bidi="ar"/>
              </w:rPr>
              <w:t>C</w:t>
            </w:r>
            <w:r>
              <w:rPr>
                <w:rFonts w:hint="eastAsia" w:ascii="宋体" w:hAnsi="宋体" w:cs="宋体"/>
                <w:kern w:val="0"/>
                <w:sz w:val="21"/>
                <w:szCs w:val="21"/>
                <w:lang w:bidi="ar"/>
              </w:rPr>
              <w:t>pu</w:t>
            </w:r>
          </w:p>
        </w:tc>
        <w:tc>
          <w:tcPr>
            <w:tcW w:w="831" w:type="dxa"/>
            <w:vAlign w:val="center"/>
          </w:tcPr>
          <w:p w14:paraId="78BB5EA1">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1</w:t>
            </w:r>
          </w:p>
        </w:tc>
        <w:tc>
          <w:tcPr>
            <w:tcW w:w="2100" w:type="dxa"/>
            <w:vAlign w:val="center"/>
          </w:tcPr>
          <w:p w14:paraId="63FF080D">
            <w:pPr>
              <w:widowControl/>
              <w:spacing w:line="240" w:lineRule="auto"/>
              <w:jc w:val="center"/>
              <w:textAlignment w:val="bottom"/>
              <w:rPr>
                <w:rFonts w:ascii="宋体" w:hAnsi="宋体" w:cs="宋体"/>
                <w:kern w:val="0"/>
                <w:sz w:val="21"/>
                <w:szCs w:val="21"/>
                <w:lang w:bidi="ar"/>
              </w:rPr>
            </w:pPr>
            <w:r>
              <w:rPr>
                <w:rFonts w:ascii="宋体" w:hAnsi="宋体" w:cs="宋体"/>
                <w:kern w:val="0"/>
                <w:sz w:val="21"/>
                <w:szCs w:val="21"/>
                <w:lang w:bidi="ar"/>
              </w:rPr>
              <w:t>I</w:t>
            </w:r>
            <w:r>
              <w:rPr>
                <w:rFonts w:hint="eastAsia" w:ascii="宋体" w:hAnsi="宋体" w:cs="宋体"/>
                <w:kern w:val="0"/>
                <w:sz w:val="21"/>
                <w:szCs w:val="21"/>
                <w:lang w:bidi="ar"/>
              </w:rPr>
              <w:t>7-8700</w:t>
            </w:r>
          </w:p>
        </w:tc>
        <w:tc>
          <w:tcPr>
            <w:tcW w:w="1955" w:type="dxa"/>
            <w:vMerge w:val="continue"/>
          </w:tcPr>
          <w:p w14:paraId="085BEA40">
            <w:pPr>
              <w:widowControl/>
              <w:spacing w:line="240" w:lineRule="auto"/>
              <w:jc w:val="center"/>
              <w:textAlignment w:val="bottom"/>
              <w:rPr>
                <w:rFonts w:ascii="宋体" w:hAnsi="宋体" w:cs="宋体"/>
                <w:kern w:val="0"/>
                <w:sz w:val="21"/>
                <w:szCs w:val="21"/>
                <w:lang w:bidi="ar"/>
              </w:rPr>
            </w:pPr>
          </w:p>
        </w:tc>
      </w:tr>
      <w:tr w14:paraId="16A7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180" w:type="dxa"/>
            <w:gridSpan w:val="6"/>
            <w:tcBorders>
              <w:left w:val="single" w:color="000000" w:sz="4" w:space="0"/>
            </w:tcBorders>
            <w:shd w:val="clear" w:color="auto" w:fill="auto"/>
            <w:vAlign w:val="center"/>
          </w:tcPr>
          <w:p w14:paraId="32AFA119">
            <w:pPr>
              <w:widowControl/>
              <w:spacing w:line="240" w:lineRule="auto"/>
              <w:jc w:val="center"/>
              <w:textAlignment w:val="bottom"/>
              <w:rPr>
                <w:rFonts w:ascii="宋体" w:hAnsi="宋体" w:cs="宋体"/>
                <w:kern w:val="0"/>
                <w:sz w:val="21"/>
                <w:szCs w:val="21"/>
                <w:lang w:bidi="ar"/>
              </w:rPr>
            </w:pPr>
            <w:r>
              <w:rPr>
                <w:rFonts w:hint="eastAsia" w:ascii="宋体" w:hAnsi="宋体" w:cs="宋体"/>
                <w:kern w:val="0"/>
                <w:sz w:val="21"/>
                <w:szCs w:val="21"/>
                <w:lang w:bidi="ar"/>
              </w:rPr>
              <w:t>以上硬件需与原设备兼容、匹配，且包含安装操作系统、线缆、辅材及其他费用。</w:t>
            </w:r>
          </w:p>
        </w:tc>
      </w:tr>
    </w:tbl>
    <w:p w14:paraId="58DB88D5">
      <w:pPr>
        <w:pStyle w:val="7"/>
        <w:rPr>
          <w:rFonts w:hint="default"/>
          <w:lang w:val="en-US" w:eastAsia="zh-CN"/>
        </w:rPr>
        <w:sectPr>
          <w:footerReference r:id="rId9" w:type="default"/>
          <w:pgSz w:w="11906" w:h="16838"/>
          <w:pgMar w:top="1440" w:right="1800" w:bottom="1440" w:left="1800" w:header="850" w:footer="992" w:gutter="0"/>
          <w:pgNumType w:fmt="decimal" w:start="1"/>
          <w:cols w:space="0" w:num="1"/>
          <w:docGrid w:type="lines" w:linePitch="317" w:charSpace="0"/>
        </w:sectPr>
      </w:pPr>
    </w:p>
    <w:p w14:paraId="3C78563D">
      <w:pPr>
        <w:widowControl/>
        <w:spacing w:line="360" w:lineRule="auto"/>
        <w:jc w:val="center"/>
        <w:outlineLvl w:val="0"/>
        <w:rPr>
          <w:rFonts w:hint="eastAsia" w:ascii="宋体" w:hAnsi="宋体" w:eastAsia="宋体" w:cs="宋体"/>
          <w:color w:val="auto"/>
          <w:sz w:val="36"/>
          <w:szCs w:val="36"/>
          <w:highlight w:val="none"/>
        </w:rPr>
      </w:pPr>
      <w:bookmarkStart w:id="88" w:name="_Toc24593"/>
      <w:r>
        <w:rPr>
          <w:rFonts w:hint="eastAsia" w:ascii="宋体" w:hAnsi="宋体" w:eastAsia="宋体" w:cs="宋体"/>
          <w:b/>
          <w:bCs/>
          <w:color w:val="auto"/>
          <w:kern w:val="2"/>
          <w:sz w:val="36"/>
          <w:szCs w:val="36"/>
          <w:highlight w:val="none"/>
          <w:lang w:val="en-US" w:eastAsia="zh-CN" w:bidi="ar-SA"/>
        </w:rPr>
        <w:t>第四章  商务及合同主要条款</w:t>
      </w:r>
      <w:bookmarkEnd w:id="88"/>
    </w:p>
    <w:p w14:paraId="475C6EFB">
      <w:pPr>
        <w:rPr>
          <w:rFonts w:hint="eastAsia" w:ascii="宋体" w:hAnsi="宋体" w:eastAsia="宋体" w:cs="宋体"/>
          <w:color w:val="auto"/>
          <w:sz w:val="22"/>
          <w:szCs w:val="28"/>
          <w:highlight w:val="none"/>
        </w:rPr>
      </w:pPr>
    </w:p>
    <w:p w14:paraId="4250DC81">
      <w:pPr>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政府采购合同                        合同编号：</w:t>
      </w:r>
    </w:p>
    <w:p w14:paraId="7B711611">
      <w:pPr>
        <w:pStyle w:val="10"/>
        <w:rPr>
          <w:rFonts w:hint="eastAsia" w:ascii="宋体" w:hAnsi="宋体" w:eastAsia="宋体" w:cs="宋体"/>
          <w:b/>
          <w:bCs/>
          <w:color w:val="auto"/>
          <w:sz w:val="32"/>
          <w:szCs w:val="32"/>
          <w:highlight w:val="none"/>
          <w:lang w:val="en-US" w:eastAsia="zh-CN"/>
        </w:rPr>
      </w:pPr>
    </w:p>
    <w:p w14:paraId="6BB832B7">
      <w:pPr>
        <w:pStyle w:val="10"/>
        <w:rPr>
          <w:rFonts w:hint="eastAsia" w:ascii="宋体" w:hAnsi="宋体" w:eastAsia="宋体" w:cs="宋体"/>
          <w:b/>
          <w:bCs/>
          <w:color w:val="auto"/>
          <w:sz w:val="32"/>
          <w:szCs w:val="32"/>
          <w:highlight w:val="none"/>
          <w:lang w:val="en-US" w:eastAsia="zh-CN"/>
        </w:rPr>
      </w:pPr>
    </w:p>
    <w:p w14:paraId="5CD7C169">
      <w:pPr>
        <w:pStyle w:val="10"/>
        <w:rPr>
          <w:rFonts w:hint="eastAsia" w:ascii="宋体" w:hAnsi="宋体" w:eastAsia="宋体" w:cs="宋体"/>
          <w:color w:val="auto"/>
          <w:sz w:val="28"/>
          <w:szCs w:val="28"/>
          <w:highlight w:val="none"/>
        </w:rPr>
      </w:pPr>
    </w:p>
    <w:p w14:paraId="439F78AF">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u w:val="single"/>
          <w:lang w:val="en-US" w:eastAsia="zh-CN"/>
        </w:rPr>
        <w:t xml:space="preserve">                        </w:t>
      </w:r>
      <w:r>
        <w:rPr>
          <w:rFonts w:hint="eastAsia" w:ascii="宋体" w:hAnsi="宋体" w:eastAsia="宋体" w:cs="宋体"/>
          <w:b/>
          <w:bCs/>
          <w:color w:val="auto"/>
          <w:sz w:val="48"/>
          <w:szCs w:val="48"/>
          <w:highlight w:val="none"/>
          <w:u w:val="none"/>
          <w:lang w:val="en-US" w:eastAsia="zh-CN"/>
        </w:rPr>
        <w:t>采购</w:t>
      </w:r>
      <w:r>
        <w:rPr>
          <w:rFonts w:hint="eastAsia" w:ascii="宋体" w:hAnsi="宋体" w:eastAsia="宋体" w:cs="宋体"/>
          <w:b/>
          <w:bCs/>
          <w:color w:val="auto"/>
          <w:sz w:val="48"/>
          <w:szCs w:val="48"/>
          <w:highlight w:val="none"/>
        </w:rPr>
        <w:t>项目</w:t>
      </w:r>
    </w:p>
    <w:p w14:paraId="020D3B26">
      <w:pPr>
        <w:rPr>
          <w:rFonts w:hint="eastAsia" w:ascii="宋体" w:hAnsi="宋体" w:eastAsia="宋体" w:cs="宋体"/>
          <w:color w:val="auto"/>
          <w:sz w:val="22"/>
          <w:szCs w:val="28"/>
          <w:highlight w:val="none"/>
        </w:rPr>
      </w:pPr>
    </w:p>
    <w:p w14:paraId="390913EA">
      <w:pPr>
        <w:rPr>
          <w:rFonts w:hint="eastAsia" w:ascii="宋体" w:hAnsi="宋体" w:eastAsia="宋体" w:cs="宋体"/>
          <w:color w:val="auto"/>
          <w:sz w:val="22"/>
          <w:szCs w:val="28"/>
          <w:highlight w:val="none"/>
        </w:rPr>
      </w:pPr>
    </w:p>
    <w:p w14:paraId="1CD63F94">
      <w:pPr>
        <w:pStyle w:val="10"/>
        <w:rPr>
          <w:rFonts w:hint="eastAsia" w:ascii="宋体" w:hAnsi="宋体" w:eastAsia="宋体" w:cs="宋体"/>
          <w:color w:val="auto"/>
          <w:sz w:val="28"/>
          <w:szCs w:val="28"/>
          <w:highlight w:val="none"/>
        </w:rPr>
      </w:pPr>
    </w:p>
    <w:p w14:paraId="1FDE9F86">
      <w:pPr>
        <w:rPr>
          <w:rFonts w:hint="eastAsia" w:ascii="宋体" w:hAnsi="宋体" w:eastAsia="宋体" w:cs="宋体"/>
          <w:b/>
          <w:color w:val="auto"/>
          <w:kern w:val="2"/>
          <w:sz w:val="40"/>
          <w:szCs w:val="40"/>
          <w:highlight w:val="none"/>
          <w:lang w:val="en-US" w:eastAsia="zh-CN" w:bidi="ar-SA"/>
        </w:rPr>
      </w:pPr>
    </w:p>
    <w:p w14:paraId="5F7BF44A">
      <w:pPr>
        <w:pStyle w:val="87"/>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（此合同仅作为参考，最终签订的合同以采购人确定的合同内容为准）</w:t>
      </w:r>
    </w:p>
    <w:p w14:paraId="2850175C">
      <w:pPr>
        <w:jc w:val="center"/>
        <w:rPr>
          <w:rFonts w:hint="eastAsia" w:ascii="宋体" w:hAnsi="宋体" w:eastAsia="宋体" w:cs="宋体"/>
          <w:b/>
          <w:color w:val="auto"/>
          <w:sz w:val="40"/>
          <w:szCs w:val="40"/>
          <w:highlight w:val="none"/>
        </w:rPr>
      </w:pPr>
    </w:p>
    <w:p w14:paraId="1847C3A9">
      <w:pPr>
        <w:jc w:val="center"/>
        <w:rPr>
          <w:rFonts w:hint="eastAsia" w:ascii="宋体" w:hAnsi="宋体" w:eastAsia="宋体" w:cs="宋体"/>
          <w:b/>
          <w:color w:val="auto"/>
          <w:sz w:val="40"/>
          <w:szCs w:val="40"/>
          <w:highlight w:val="none"/>
        </w:rPr>
      </w:pPr>
    </w:p>
    <w:p w14:paraId="10FA7E24">
      <w:pPr>
        <w:pStyle w:val="10"/>
        <w:rPr>
          <w:rFonts w:hint="eastAsia" w:ascii="宋体" w:hAnsi="宋体" w:eastAsia="宋体" w:cs="宋体"/>
          <w:b/>
          <w:color w:val="auto"/>
          <w:sz w:val="40"/>
          <w:szCs w:val="40"/>
          <w:highlight w:val="none"/>
        </w:rPr>
      </w:pPr>
    </w:p>
    <w:p w14:paraId="0BFD8B4E">
      <w:pPr>
        <w:rPr>
          <w:rFonts w:hint="eastAsia" w:ascii="宋体" w:hAnsi="宋体" w:eastAsia="宋体" w:cs="宋体"/>
          <w:b/>
          <w:color w:val="auto"/>
          <w:sz w:val="40"/>
          <w:szCs w:val="40"/>
          <w:highlight w:val="none"/>
        </w:rPr>
      </w:pPr>
    </w:p>
    <w:p w14:paraId="0F1EEA46">
      <w:pPr>
        <w:pStyle w:val="10"/>
        <w:rPr>
          <w:rFonts w:hint="eastAsia"/>
        </w:rPr>
      </w:pPr>
    </w:p>
    <w:p w14:paraId="7D35D0F4">
      <w:pPr>
        <w:spacing w:before="163" w:beforeLines="50" w:line="360" w:lineRule="auto"/>
        <w:ind w:left="0" w:leftChars="0" w:firstLine="1386" w:firstLineChars="493"/>
        <w:jc w:val="left"/>
        <w:rPr>
          <w:rFonts w:hint="eastAsia" w:ascii="宋体" w:hAnsi="宋体" w:eastAsia="宋体" w:cs="宋体"/>
          <w:b w:val="0"/>
          <w:bCs w:val="0"/>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采购人：</w:t>
      </w:r>
      <w:r>
        <w:rPr>
          <w:rFonts w:hint="eastAsia" w:ascii="宋体" w:hAnsi="宋体" w:eastAsia="宋体" w:cs="宋体"/>
          <w:b w:val="0"/>
          <w:bCs w:val="0"/>
          <w:color w:val="auto"/>
          <w:sz w:val="28"/>
          <w:szCs w:val="28"/>
          <w:highlight w:val="none"/>
          <w:u w:val="single"/>
          <w:lang w:val="en-US" w:eastAsia="zh-CN"/>
        </w:rPr>
        <w:t xml:space="preserve">                     </w:t>
      </w:r>
    </w:p>
    <w:p w14:paraId="598AFAA4">
      <w:pPr>
        <w:spacing w:before="163" w:beforeLines="50" w:line="360" w:lineRule="auto"/>
        <w:ind w:left="0" w:leftChars="0" w:firstLine="1386" w:firstLineChars="493"/>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供应商：</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 xml:space="preserve">        </w:t>
      </w:r>
    </w:p>
    <w:p w14:paraId="6A01634F">
      <w:pPr>
        <w:pStyle w:val="1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二〇二</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年</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月</w:t>
      </w:r>
      <w:r>
        <w:rPr>
          <w:rFonts w:hint="eastAsia" w:ascii="宋体" w:hAnsi="宋体" w:eastAsia="宋体" w:cs="宋体"/>
          <w:b/>
          <w:bCs/>
          <w:color w:val="auto"/>
          <w:sz w:val="40"/>
          <w:szCs w:val="40"/>
          <w:highlight w:val="none"/>
        </w:rPr>
        <w:br w:type="page"/>
      </w:r>
    </w:p>
    <w:bookmarkEnd w:id="83"/>
    <w:bookmarkEnd w:id="84"/>
    <w:bookmarkEnd w:id="85"/>
    <w:p w14:paraId="002B10AE">
      <w:pPr>
        <w:spacing w:line="360" w:lineRule="auto"/>
        <w:ind w:firstLine="480" w:firstLineChars="200"/>
        <w:rPr>
          <w:rFonts w:hint="eastAsia" w:ascii="宋体" w:hAnsi="宋体"/>
          <w:sz w:val="24"/>
          <w:highlight w:val="none"/>
          <w:u w:val="single"/>
          <w:lang w:val="en-US" w:eastAsia="zh-CN"/>
        </w:rPr>
      </w:pPr>
      <w:bookmarkStart w:id="89" w:name="_Toc27511"/>
      <w:bookmarkStart w:id="90" w:name="_Toc23166"/>
      <w:bookmarkStart w:id="91" w:name="_Toc13105"/>
      <w:r>
        <w:rPr>
          <w:rFonts w:hint="eastAsia" w:ascii="宋体" w:hAnsi="宋体"/>
          <w:sz w:val="24"/>
          <w:highlight w:val="none"/>
          <w:lang w:val="en-US" w:eastAsia="zh-CN"/>
        </w:rPr>
        <w:t>采购人</w:t>
      </w:r>
      <w:r>
        <w:rPr>
          <w:rFonts w:hint="eastAsia" w:ascii="宋体" w:hAnsi="宋体"/>
          <w:sz w:val="24"/>
          <w:highlight w:val="none"/>
        </w:rPr>
        <w:t>（以下简称甲方）</w:t>
      </w:r>
      <w:r>
        <w:rPr>
          <w:rFonts w:hint="eastAsia" w:ascii="宋体" w:hAnsi="宋体"/>
          <w:sz w:val="24"/>
          <w:highlight w:val="none"/>
          <w:lang w:val="en-US" w:eastAsia="zh-CN"/>
        </w:rPr>
        <w:t>：</w:t>
      </w:r>
      <w:r>
        <w:rPr>
          <w:rFonts w:hint="eastAsia" w:ascii="宋体" w:hAnsi="宋体"/>
          <w:sz w:val="24"/>
          <w:highlight w:val="none"/>
          <w:u w:val="single"/>
          <w:lang w:val="en-US" w:eastAsia="zh-CN"/>
        </w:rPr>
        <w:t xml:space="preserve">                  </w:t>
      </w:r>
    </w:p>
    <w:p w14:paraId="2423874C">
      <w:pPr>
        <w:pStyle w:val="5"/>
        <w:spacing w:line="360" w:lineRule="auto"/>
        <w:rPr>
          <w:rFonts w:hint="eastAsia" w:ascii="宋体" w:hAnsi="宋体" w:eastAsia="宋体"/>
          <w:sz w:val="24"/>
          <w:highlight w:val="none"/>
          <w:u w:val="none"/>
          <w:lang w:val="en-US" w:eastAsia="zh-CN"/>
        </w:rPr>
      </w:pPr>
      <w:r>
        <w:rPr>
          <w:rFonts w:hint="eastAsia" w:ascii="宋体" w:hAnsi="宋体"/>
          <w:sz w:val="24"/>
          <w:highlight w:val="none"/>
          <w:u w:val="none"/>
          <w:lang w:val="en-US" w:eastAsia="zh-CN"/>
        </w:rPr>
        <w:t>供应商</w:t>
      </w:r>
      <w:r>
        <w:rPr>
          <w:rFonts w:hint="eastAsia" w:ascii="宋体" w:hAnsi="宋体"/>
          <w:sz w:val="24"/>
          <w:highlight w:val="none"/>
          <w:lang w:eastAsia="zh-CN"/>
        </w:rPr>
        <w:t>（</w:t>
      </w:r>
      <w:r>
        <w:rPr>
          <w:rFonts w:hint="eastAsia" w:ascii="宋体" w:hAnsi="宋体"/>
          <w:sz w:val="24"/>
          <w:highlight w:val="none"/>
        </w:rPr>
        <w:t>以下简称乙方</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p w14:paraId="641F7907">
      <w:pPr>
        <w:pStyle w:val="6"/>
        <w:rPr>
          <w:rFonts w:hint="default"/>
          <w:lang w:val="en-US" w:eastAsia="zh-CN"/>
        </w:rPr>
      </w:pPr>
    </w:p>
    <w:p w14:paraId="11003CE4">
      <w:pPr>
        <w:spacing w:line="500" w:lineRule="exact"/>
        <w:ind w:firstLine="480" w:firstLineChars="200"/>
        <w:rPr>
          <w:rFonts w:ascii="宋体" w:hAnsi="宋体"/>
          <w:sz w:val="24"/>
          <w:highlight w:val="none"/>
        </w:rPr>
      </w:pPr>
      <w:r>
        <w:rPr>
          <w:rFonts w:hint="eastAsia" w:ascii="宋体" w:hAnsi="宋体"/>
          <w:sz w:val="24"/>
          <w:highlight w:val="none"/>
          <w:u w:val="single"/>
        </w:rPr>
        <w:t>（以下简称甲方）</w:t>
      </w:r>
      <w:r>
        <w:rPr>
          <w:rFonts w:hint="eastAsia" w:ascii="宋体" w:hAnsi="宋体"/>
          <w:sz w:val="24"/>
          <w:highlight w:val="none"/>
          <w:u w:val="single"/>
          <w:lang w:val="en-US" w:eastAsia="zh-CN"/>
        </w:rPr>
        <w:t xml:space="preserve">       </w:t>
      </w:r>
      <w:r>
        <w:rPr>
          <w:rFonts w:hint="eastAsia" w:ascii="宋体" w:hAnsi="宋体"/>
          <w:sz w:val="24"/>
          <w:highlight w:val="none"/>
        </w:rPr>
        <w:t>采购</w:t>
      </w:r>
      <w:r>
        <w:rPr>
          <w:rFonts w:hint="eastAsia" w:ascii="宋体" w:hAnsi="宋体"/>
          <w:sz w:val="24"/>
          <w:highlight w:val="none"/>
          <w:u w:val="single"/>
          <w:lang w:val="en-US" w:eastAsia="zh-CN"/>
        </w:rPr>
        <w:t xml:space="preserve">                （项目名称）</w:t>
      </w:r>
      <w:r>
        <w:rPr>
          <w:rFonts w:hint="eastAsia" w:ascii="宋体" w:hAnsi="宋体"/>
          <w:sz w:val="24"/>
          <w:highlight w:val="none"/>
        </w:rPr>
        <w:t>，由</w:t>
      </w:r>
      <w:r>
        <w:rPr>
          <w:rFonts w:hint="eastAsia" w:ascii="宋体" w:hAnsi="宋体"/>
          <w:sz w:val="24"/>
          <w:highlight w:val="none"/>
          <w:u w:val="single"/>
          <w:lang w:val="en-US" w:eastAsia="zh-CN"/>
        </w:rPr>
        <w:t xml:space="preserve"> </w:t>
      </w:r>
      <w:r>
        <w:rPr>
          <w:rFonts w:hint="eastAsia" w:ascii="宋体" w:hAnsi="宋体"/>
          <w:sz w:val="24"/>
          <w:highlight w:val="none"/>
          <w:u w:val="single"/>
          <w:lang w:val="zh-CN"/>
        </w:rPr>
        <w:t>华睿诚项目管理有限公司</w:t>
      </w:r>
      <w:r>
        <w:rPr>
          <w:rFonts w:hint="eastAsia" w:ascii="宋体" w:hAnsi="宋体"/>
          <w:sz w:val="24"/>
          <w:highlight w:val="none"/>
          <w:u w:val="single"/>
          <w:lang w:val="en-US" w:eastAsia="zh-CN"/>
        </w:rPr>
        <w:t xml:space="preserve"> </w:t>
      </w:r>
      <w:r>
        <w:rPr>
          <w:rFonts w:hint="eastAsia" w:ascii="宋体" w:hAnsi="宋体"/>
          <w:sz w:val="24"/>
          <w:highlight w:val="none"/>
        </w:rPr>
        <w:t>组织采购，选定</w:t>
      </w:r>
      <w:r>
        <w:rPr>
          <w:rFonts w:hint="eastAsia" w:ascii="宋体" w:hAnsi="宋体"/>
          <w:sz w:val="24"/>
          <w:highlight w:val="none"/>
          <w:u w:val="single"/>
        </w:rPr>
        <w:t xml:space="preserve"> (以下简称乙方）</w:t>
      </w:r>
      <w:r>
        <w:rPr>
          <w:rFonts w:hint="eastAsia" w:ascii="宋体" w:hAnsi="宋体"/>
          <w:sz w:val="24"/>
          <w:highlight w:val="none"/>
          <w:u w:val="single"/>
          <w:lang w:val="en-US" w:eastAsia="zh-CN"/>
        </w:rPr>
        <w:t xml:space="preserve">           </w:t>
      </w:r>
      <w:r>
        <w:rPr>
          <w:rFonts w:hint="eastAsia" w:ascii="宋体" w:hAnsi="宋体"/>
          <w:sz w:val="24"/>
          <w:highlight w:val="none"/>
        </w:rPr>
        <w:t>为该项目成交供应商。依据《中华人民共和国民法典》和《中华人民共和国政府采购法》，经甲、乙双方共同协商，按下述条款和条件签署本合同。</w:t>
      </w:r>
    </w:p>
    <w:p w14:paraId="227A383E">
      <w:pPr>
        <w:spacing w:line="500" w:lineRule="exact"/>
        <w:ind w:firstLine="482"/>
        <w:jc w:val="left"/>
        <w:rPr>
          <w:rFonts w:ascii="宋体" w:hAnsi="宋体"/>
          <w:b/>
          <w:sz w:val="24"/>
          <w:highlight w:val="none"/>
        </w:rPr>
      </w:pPr>
      <w:r>
        <w:rPr>
          <w:rFonts w:hint="eastAsia" w:ascii="宋体" w:hAnsi="宋体"/>
          <w:b/>
          <w:sz w:val="24"/>
          <w:highlight w:val="none"/>
        </w:rPr>
        <w:t>一、合同内容</w:t>
      </w:r>
    </w:p>
    <w:p w14:paraId="6D4E9662">
      <w:pPr>
        <w:spacing w:line="500" w:lineRule="exact"/>
        <w:ind w:firstLine="480" w:firstLineChars="200"/>
        <w:jc w:val="left"/>
        <w:rPr>
          <w:rFonts w:ascii="宋体" w:hAnsi="宋体"/>
          <w:sz w:val="24"/>
          <w:highlight w:val="none"/>
        </w:rPr>
      </w:pPr>
      <w:r>
        <w:rPr>
          <w:rFonts w:hint="eastAsia" w:ascii="宋体" w:hAnsi="宋体"/>
          <w:color w:val="000000"/>
          <w:sz w:val="24"/>
          <w:highlight w:val="none"/>
        </w:rPr>
        <w:t>乙方负责按照合同确定的项目名称、服务内容、服务标准组织服务，确保各项服务达到要求，保证甲方工作能够正常进行。</w:t>
      </w:r>
    </w:p>
    <w:p w14:paraId="14497489">
      <w:pPr>
        <w:spacing w:line="500" w:lineRule="exact"/>
        <w:ind w:firstLine="482"/>
        <w:jc w:val="left"/>
        <w:rPr>
          <w:rFonts w:ascii="宋体" w:hAnsi="宋体"/>
          <w:b/>
          <w:sz w:val="24"/>
          <w:highlight w:val="none"/>
        </w:rPr>
      </w:pPr>
      <w:r>
        <w:rPr>
          <w:rFonts w:hint="eastAsia" w:ascii="宋体" w:hAnsi="宋体"/>
          <w:b/>
          <w:sz w:val="24"/>
          <w:highlight w:val="none"/>
        </w:rPr>
        <w:t>二、合同价格</w:t>
      </w:r>
    </w:p>
    <w:p w14:paraId="3A07E8F0">
      <w:pPr>
        <w:spacing w:line="500" w:lineRule="exact"/>
        <w:ind w:left="480" w:leftChars="200"/>
        <w:jc w:val="left"/>
        <w:rPr>
          <w:rFonts w:ascii="宋体" w:hAnsi="宋体"/>
          <w:sz w:val="24"/>
          <w:highlight w:val="none"/>
        </w:rPr>
      </w:pPr>
      <w:r>
        <w:rPr>
          <w:rFonts w:hint="eastAsia" w:ascii="宋体" w:hAnsi="宋体"/>
          <w:sz w:val="24"/>
          <w:highlight w:val="none"/>
        </w:rPr>
        <w:t>合同总价：</w:t>
      </w:r>
      <w:r>
        <w:rPr>
          <w:rFonts w:hint="eastAsia" w:ascii="宋体" w:hAnsi="宋体"/>
          <w:color w:val="000000"/>
          <w:sz w:val="24"/>
          <w:highlight w:val="none"/>
          <w:u w:val="single"/>
        </w:rPr>
        <w:t xml:space="preserve">人民币       元整（¥         元） </w:t>
      </w:r>
    </w:p>
    <w:p w14:paraId="6537D1F1">
      <w:pPr>
        <w:spacing w:line="500" w:lineRule="exact"/>
        <w:ind w:left="480" w:leftChars="200"/>
        <w:jc w:val="left"/>
        <w:rPr>
          <w:rFonts w:ascii="宋体" w:hAnsi="宋体"/>
          <w:sz w:val="24"/>
          <w:highlight w:val="none"/>
        </w:rPr>
      </w:pPr>
      <w:r>
        <w:rPr>
          <w:rFonts w:hint="eastAsia" w:ascii="宋体" w:hAnsi="宋体"/>
          <w:sz w:val="24"/>
          <w:highlight w:val="none"/>
        </w:rPr>
        <w:t>说明：合同总价不受市场价格变化的影响，并作为结算的依据。</w:t>
      </w:r>
    </w:p>
    <w:p w14:paraId="4B2F5603">
      <w:pPr>
        <w:spacing w:line="500" w:lineRule="exact"/>
        <w:ind w:left="480"/>
        <w:jc w:val="left"/>
        <w:rPr>
          <w:sz w:val="24"/>
          <w:highlight w:val="none"/>
        </w:rPr>
      </w:pPr>
      <w:r>
        <w:rPr>
          <w:rFonts w:hint="eastAsia" w:ascii="宋体" w:hAnsi="宋体"/>
          <w:b/>
          <w:sz w:val="24"/>
          <w:highlight w:val="none"/>
        </w:rPr>
        <w:t>三、合同款项支付</w:t>
      </w:r>
    </w:p>
    <w:p w14:paraId="540E3721">
      <w:pPr>
        <w:pStyle w:val="90"/>
        <w:spacing w:line="360" w:lineRule="auto"/>
        <w:ind w:firstLine="480"/>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1、付款条件说明：供应商在采购人办理付款的支付手续前，应向采购人出具等额的符合国家规定的发票（下述时间不包括采购人正常办理支付报批手续的时间）。</w:t>
      </w:r>
    </w:p>
    <w:p w14:paraId="4CCECE7F">
      <w:pPr>
        <w:pStyle w:val="90"/>
        <w:spacing w:line="360" w:lineRule="auto"/>
        <w:ind w:firstLine="48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2、付款条件说明：项目验收合格后，</w:t>
      </w:r>
      <w:r>
        <w:rPr>
          <w:rFonts w:hint="eastAsia" w:ascii="宋体" w:hAnsi="宋体" w:eastAsia="宋体" w:cs="宋体"/>
          <w:sz w:val="24"/>
          <w:szCs w:val="24"/>
          <w:highlight w:val="none"/>
          <w:lang w:val="en-US" w:eastAsia="zh-CN"/>
        </w:rPr>
        <w:t>10个工作日内</w:t>
      </w:r>
      <w:r>
        <w:rPr>
          <w:rFonts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一次性</w:t>
      </w:r>
      <w:r>
        <w:rPr>
          <w:rFonts w:ascii="宋体" w:hAnsi="宋体" w:eastAsia="宋体" w:cs="宋体"/>
          <w:sz w:val="24"/>
          <w:szCs w:val="24"/>
          <w:highlight w:val="none"/>
          <w:lang w:eastAsia="zh-CN"/>
        </w:rPr>
        <w:t>支付合同总金额。</w:t>
      </w:r>
    </w:p>
    <w:p w14:paraId="742EB23C">
      <w:pPr>
        <w:pStyle w:val="90"/>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3、乙方领取成交通知书后，合同签约前，需缴纳项目履约保证金，履约保证金金额为合同总金额5%，在项目实施完成，并通过甲方验收后，原路无息退回项目履约保证金。</w:t>
      </w:r>
    </w:p>
    <w:p w14:paraId="133B6370">
      <w:pPr>
        <w:spacing w:line="500" w:lineRule="exact"/>
        <w:ind w:firstLine="482"/>
        <w:jc w:val="left"/>
        <w:rPr>
          <w:rFonts w:ascii="宋体" w:hAnsi="宋体"/>
          <w:b/>
          <w:sz w:val="24"/>
          <w:highlight w:val="none"/>
        </w:rPr>
      </w:pPr>
      <w:r>
        <w:rPr>
          <w:rFonts w:hint="eastAsia" w:ascii="宋体" w:hAnsi="宋体"/>
          <w:b/>
          <w:sz w:val="24"/>
          <w:highlight w:val="none"/>
        </w:rPr>
        <w:t>四、服务条件</w:t>
      </w:r>
    </w:p>
    <w:p w14:paraId="4235F6CE">
      <w:pPr>
        <w:pStyle w:val="90"/>
        <w:spacing w:line="360" w:lineRule="auto"/>
        <w:ind w:firstLine="48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sz w:val="24"/>
          <w:szCs w:val="24"/>
          <w:highlight w:val="none"/>
        </w:rPr>
        <w:t>（一）</w:t>
      </w:r>
      <w:r>
        <w:rPr>
          <w:rFonts w:hAnsi="宋体" w:cs="Helvetica"/>
          <w:sz w:val="24"/>
          <w:szCs w:val="24"/>
          <w:highlight w:val="none"/>
        </w:rPr>
        <w:t>服务地点：</w:t>
      </w:r>
      <w:r>
        <w:rPr>
          <w:rFonts w:hint="eastAsia" w:ascii="宋体" w:hAnsi="宋体" w:eastAsia="宋体" w:cs="宋体"/>
          <w:sz w:val="24"/>
          <w:szCs w:val="24"/>
          <w:highlight w:val="none"/>
          <w:lang w:val="en-US" w:eastAsia="zh-CN"/>
        </w:rPr>
        <w:t>甲方</w:t>
      </w:r>
      <w:r>
        <w:rPr>
          <w:rFonts w:ascii="宋体" w:hAnsi="宋体" w:eastAsia="宋体" w:cs="宋体"/>
          <w:color w:val="000000" w:themeColor="text1"/>
          <w:sz w:val="24"/>
          <w:szCs w:val="24"/>
          <w:highlight w:val="none"/>
          <w:lang w:eastAsia="zh-CN"/>
          <w14:textFill>
            <w14:solidFill>
              <w14:schemeClr w14:val="tx1"/>
            </w14:solidFill>
          </w14:textFill>
        </w:rPr>
        <w:t>指定地点</w:t>
      </w:r>
      <w:r>
        <w:rPr>
          <w:rFonts w:ascii="宋体" w:hAnsi="宋体" w:eastAsia="宋体"/>
          <w:color w:val="000000" w:themeColor="text1"/>
          <w:sz w:val="24"/>
          <w:szCs w:val="24"/>
          <w:highlight w:val="none"/>
          <w14:textFill>
            <w14:solidFill>
              <w14:schemeClr w14:val="tx1"/>
            </w14:solidFill>
          </w14:textFill>
        </w:rPr>
        <w:t>。</w:t>
      </w:r>
    </w:p>
    <w:p w14:paraId="059E2496">
      <w:pPr>
        <w:pStyle w:val="90"/>
        <w:spacing w:line="360" w:lineRule="auto"/>
        <w:ind w:firstLine="480"/>
        <w:rPr>
          <w:rFonts w:ascii="宋体" w:hAnsi="宋体" w:eastAsia="宋体"/>
          <w:sz w:val="24"/>
          <w:szCs w:val="24"/>
          <w:highlight w:val="none"/>
          <w:lang w:eastAsia="zh-CN"/>
        </w:rPr>
      </w:pPr>
      <w:r>
        <w:rPr>
          <w:rFonts w:ascii="宋体" w:hAnsi="宋体"/>
          <w:sz w:val="24"/>
          <w:szCs w:val="24"/>
          <w:highlight w:val="none"/>
        </w:rPr>
        <w:t>（二）</w:t>
      </w:r>
      <w:r>
        <w:rPr>
          <w:rFonts w:hint="eastAsia" w:ascii="宋体" w:hAnsi="宋体" w:eastAsia="宋体" w:cs="宋体"/>
          <w:sz w:val="24"/>
          <w:szCs w:val="24"/>
          <w:highlight w:val="none"/>
          <w:lang w:val="en-US" w:eastAsia="zh-CN"/>
        </w:rPr>
        <w:t>工期</w:t>
      </w:r>
      <w:r>
        <w:rPr>
          <w:rFonts w:ascii="宋体" w:hAnsi="宋体" w:eastAsia="宋体" w:cs="宋体"/>
          <w:sz w:val="24"/>
          <w:szCs w:val="24"/>
          <w:highlight w:val="none"/>
        </w:rPr>
        <w:t>：</w:t>
      </w:r>
      <w:r>
        <w:rPr>
          <w:rFonts w:hint="eastAsia" w:ascii="宋体" w:hAnsi="宋体" w:eastAsia="宋体" w:cs="宋体"/>
          <w:sz w:val="24"/>
          <w:szCs w:val="24"/>
          <w:highlight w:val="none"/>
        </w:rPr>
        <w:t>30个工作日（分时段累计）</w:t>
      </w:r>
    </w:p>
    <w:p w14:paraId="7FFF67B6">
      <w:pPr>
        <w:pStyle w:val="90"/>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三</w:t>
      </w:r>
      <w:r>
        <w:rPr>
          <w:rFonts w:hint="eastAsia" w:ascii="宋体" w:hAnsi="宋体" w:eastAsia="宋体"/>
          <w:sz w:val="24"/>
          <w:szCs w:val="24"/>
          <w:highlight w:val="none"/>
          <w:lang w:eastAsia="zh-CN"/>
        </w:rPr>
        <w:t>）</w:t>
      </w:r>
      <w:r>
        <w:rPr>
          <w:rFonts w:hint="eastAsia" w:ascii="宋体" w:hAnsi="宋体" w:eastAsia="宋体" w:cs="宋体"/>
          <w:sz w:val="24"/>
          <w:szCs w:val="24"/>
          <w:highlight w:val="none"/>
          <w:lang w:val="en-US" w:eastAsia="zh-CN"/>
        </w:rPr>
        <w:t>质保期：三年</w:t>
      </w:r>
    </w:p>
    <w:p w14:paraId="32906100">
      <w:pPr>
        <w:spacing w:line="500" w:lineRule="exact"/>
        <w:ind w:firstLine="482"/>
        <w:jc w:val="left"/>
        <w:rPr>
          <w:rFonts w:ascii="宋体" w:hAnsi="宋体"/>
          <w:b/>
          <w:color w:val="000000"/>
          <w:sz w:val="24"/>
          <w:highlight w:val="none"/>
        </w:rPr>
      </w:pPr>
      <w:r>
        <w:rPr>
          <w:rFonts w:hint="eastAsia" w:ascii="宋体" w:hAnsi="宋体"/>
          <w:b/>
          <w:color w:val="000000"/>
          <w:sz w:val="24"/>
          <w:highlight w:val="none"/>
        </w:rPr>
        <w:t>五、质量保证</w:t>
      </w:r>
    </w:p>
    <w:p w14:paraId="117166E8">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（一）乙方应当保证服务内容质量完全符合合同规定的要求，并对服务内容质量问题负责。</w:t>
      </w:r>
    </w:p>
    <w:p w14:paraId="2EBD043D">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（二）采购项目执行内容需要调整时，经甲方同意后，可以对相应的内容进行调整。</w:t>
      </w:r>
    </w:p>
    <w:p w14:paraId="798A745E">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（三）知识产权：成交供应商应保证采购人在使用项目成果时，不承担任何涉及知识产权法律诉讼的责任。</w:t>
      </w:r>
    </w:p>
    <w:p w14:paraId="594582E4">
      <w:pPr>
        <w:spacing w:line="500" w:lineRule="exact"/>
        <w:ind w:firstLine="482"/>
        <w:jc w:val="left"/>
        <w:rPr>
          <w:rFonts w:ascii="宋体" w:hAnsi="宋体"/>
          <w:b/>
          <w:color w:val="000000"/>
          <w:sz w:val="24"/>
          <w:highlight w:val="none"/>
        </w:rPr>
      </w:pPr>
      <w:r>
        <w:rPr>
          <w:rFonts w:hint="eastAsia" w:ascii="宋体" w:hAnsi="宋体"/>
          <w:b/>
          <w:color w:val="000000"/>
          <w:sz w:val="24"/>
          <w:highlight w:val="none"/>
        </w:rPr>
        <w:t>六、技术服务</w:t>
      </w:r>
    </w:p>
    <w:p w14:paraId="5D991623">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（一）技术资料</w:t>
      </w:r>
    </w:p>
    <w:p w14:paraId="4271A4B4">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（二）服务承诺</w:t>
      </w:r>
    </w:p>
    <w:p w14:paraId="5117E637">
      <w:pPr>
        <w:spacing w:line="500" w:lineRule="exact"/>
        <w:ind w:firstLine="482"/>
        <w:jc w:val="left"/>
        <w:rPr>
          <w:rFonts w:ascii="宋体" w:hAnsi="宋体"/>
          <w:b/>
          <w:color w:val="000000"/>
          <w:sz w:val="24"/>
          <w:highlight w:val="none"/>
        </w:rPr>
      </w:pPr>
      <w:r>
        <w:rPr>
          <w:rFonts w:hint="eastAsia" w:ascii="宋体" w:hAnsi="宋体"/>
          <w:b/>
          <w:color w:val="000000"/>
          <w:sz w:val="24"/>
          <w:highlight w:val="none"/>
        </w:rPr>
        <w:t>七、违约责任</w:t>
      </w:r>
    </w:p>
    <w:p w14:paraId="2B43AF01">
      <w:pPr>
        <w:spacing w:line="500" w:lineRule="exact"/>
        <w:ind w:firstLine="480" w:firstLineChars="200"/>
        <w:jc w:val="left"/>
        <w:rPr>
          <w:rFonts w:ascii="宋体" w:hAnsi="宋体"/>
          <w:color w:val="000000"/>
          <w:sz w:val="24"/>
          <w:highlight w:val="none"/>
        </w:rPr>
      </w:pPr>
      <w:r>
        <w:rPr>
          <w:rFonts w:hint="eastAsia" w:ascii="宋体" w:hAnsi="宋体"/>
          <w:color w:val="000000"/>
          <w:sz w:val="24"/>
          <w:highlight w:val="none"/>
        </w:rPr>
        <w:t>（一）按《中华人民共和国民法典》中的相关条款执行。</w:t>
      </w:r>
    </w:p>
    <w:p w14:paraId="4264DEA3">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（二）未按合同要求的提供服务或服务质量不能满足采购人要求，甲方有权终止合同，甚至对供方违约行为进行追究。</w:t>
      </w:r>
    </w:p>
    <w:p w14:paraId="7E3162B2">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（三）如有纠纷，双方友好协商解决，协商不成时可诉讼到甲方所在地人民法院解决。</w:t>
      </w:r>
    </w:p>
    <w:p w14:paraId="3F0B0EF1">
      <w:pPr>
        <w:spacing w:line="500" w:lineRule="exact"/>
        <w:ind w:firstLine="482"/>
        <w:jc w:val="left"/>
        <w:rPr>
          <w:rFonts w:ascii="宋体" w:hAnsi="宋体"/>
          <w:b/>
          <w:color w:val="FF0000"/>
          <w:sz w:val="24"/>
          <w:highlight w:val="none"/>
        </w:rPr>
      </w:pPr>
      <w:r>
        <w:rPr>
          <w:rFonts w:hint="eastAsia" w:ascii="宋体" w:hAnsi="宋体"/>
          <w:b/>
          <w:color w:val="000000"/>
          <w:sz w:val="24"/>
          <w:highlight w:val="none"/>
        </w:rPr>
        <w:t>八、验收</w:t>
      </w:r>
    </w:p>
    <w:p w14:paraId="33315382">
      <w:pPr>
        <w:pStyle w:val="90"/>
        <w:spacing w:line="360" w:lineRule="auto"/>
        <w:ind w:firstLine="480" w:firstLineChars="200"/>
        <w:rPr>
          <w:rFonts w:hint="default" w:ascii="宋体" w:hAnsi="宋体" w:eastAsia="宋体" w:cs="宋体"/>
          <w:sz w:val="24"/>
          <w:szCs w:val="24"/>
          <w:highlight w:val="none"/>
        </w:rPr>
      </w:pPr>
      <w:r>
        <w:rPr>
          <w:rFonts w:hint="eastAsia" w:ascii="宋体" w:hAnsi="宋体"/>
          <w:color w:val="000000"/>
          <w:sz w:val="24"/>
          <w:highlight w:val="none"/>
        </w:rPr>
        <w:t>（一）</w:t>
      </w:r>
      <w:r>
        <w:rPr>
          <w:rFonts w:ascii="宋体" w:hAnsi="宋体" w:eastAsia="宋体"/>
          <w:sz w:val="24"/>
          <w:szCs w:val="24"/>
          <w:highlight w:val="none"/>
        </w:rPr>
        <w:t>项目验收由采购人或其委托的专家或第三方机构对项目进行验收，验收时，成交人应无条件予以配合并提供所需的全部资料；</w:t>
      </w:r>
    </w:p>
    <w:p w14:paraId="788E12EA">
      <w:pPr>
        <w:spacing w:line="360" w:lineRule="auto"/>
        <w:ind w:firstLine="482"/>
        <w:jc w:val="left"/>
        <w:rPr>
          <w:rFonts w:ascii="宋体" w:hAnsi="宋体"/>
          <w:sz w:val="24"/>
          <w:highlight w:val="none"/>
        </w:rPr>
      </w:pPr>
      <w:r>
        <w:rPr>
          <w:rFonts w:hint="eastAsia" w:ascii="宋体" w:hAnsi="宋体"/>
          <w:color w:val="000000"/>
          <w:sz w:val="24"/>
          <w:highlight w:val="none"/>
        </w:rPr>
        <w:t>（二）</w:t>
      </w:r>
      <w:r>
        <w:rPr>
          <w:rFonts w:ascii="宋体" w:hAnsi="宋体"/>
          <w:sz w:val="24"/>
          <w:highlight w:val="none"/>
        </w:rPr>
        <w:t>验收依据：磋商文件、响应文件、合同文本、国内相应的标准、规范。</w:t>
      </w:r>
    </w:p>
    <w:p w14:paraId="307F7C69">
      <w:pPr>
        <w:spacing w:line="500" w:lineRule="exact"/>
        <w:ind w:firstLine="482"/>
        <w:jc w:val="left"/>
        <w:rPr>
          <w:rFonts w:ascii="宋体" w:hAnsi="宋体"/>
          <w:b/>
          <w:sz w:val="24"/>
          <w:highlight w:val="none"/>
        </w:rPr>
      </w:pPr>
      <w:r>
        <w:rPr>
          <w:rFonts w:hint="eastAsia" w:ascii="宋体" w:hAnsi="宋体"/>
          <w:b/>
          <w:sz w:val="24"/>
          <w:highlight w:val="none"/>
        </w:rPr>
        <w:t>九、其他事项</w:t>
      </w:r>
    </w:p>
    <w:p w14:paraId="0CDA7055">
      <w:pPr>
        <w:spacing w:line="500" w:lineRule="exact"/>
        <w:ind w:firstLine="480" w:firstLineChars="200"/>
        <w:jc w:val="left"/>
        <w:rPr>
          <w:rFonts w:ascii="宋体" w:hAnsi="宋体"/>
          <w:sz w:val="24"/>
          <w:highlight w:val="none"/>
        </w:rPr>
      </w:pPr>
      <w:r>
        <w:rPr>
          <w:rFonts w:hint="eastAsia" w:ascii="宋体" w:hAnsi="宋体"/>
          <w:sz w:val="24"/>
          <w:highlight w:val="none"/>
        </w:rPr>
        <w:t>（一）本合同一式</w:t>
      </w:r>
      <w:r>
        <w:rPr>
          <w:rFonts w:hint="eastAsia" w:ascii="宋体" w:hAnsi="宋体"/>
          <w:sz w:val="24"/>
          <w:highlight w:val="none"/>
          <w:lang w:val="en-US" w:eastAsia="zh-CN"/>
        </w:rPr>
        <w:t>陆</w:t>
      </w:r>
      <w:r>
        <w:rPr>
          <w:rFonts w:hint="eastAsia" w:ascii="宋体" w:hAnsi="宋体"/>
          <w:sz w:val="24"/>
          <w:highlight w:val="none"/>
        </w:rPr>
        <w:t>份，甲方</w:t>
      </w:r>
      <w:r>
        <w:rPr>
          <w:rFonts w:hint="eastAsia" w:ascii="宋体" w:hAnsi="宋体"/>
          <w:sz w:val="24"/>
          <w:highlight w:val="none"/>
          <w:lang w:val="en-US" w:eastAsia="zh-CN"/>
        </w:rPr>
        <w:t>肆</w:t>
      </w:r>
      <w:r>
        <w:rPr>
          <w:rFonts w:hint="eastAsia" w:ascii="宋体" w:hAnsi="宋体"/>
          <w:sz w:val="24"/>
          <w:highlight w:val="none"/>
        </w:rPr>
        <w:t>份，乙方</w:t>
      </w:r>
      <w:r>
        <w:rPr>
          <w:rFonts w:hint="eastAsia" w:ascii="宋体" w:hAnsi="宋体"/>
          <w:sz w:val="24"/>
          <w:highlight w:val="none"/>
          <w:lang w:val="en-US" w:eastAsia="zh-CN"/>
        </w:rPr>
        <w:t>贰</w:t>
      </w:r>
      <w:r>
        <w:rPr>
          <w:rFonts w:hint="eastAsia" w:ascii="宋体" w:hAnsi="宋体"/>
          <w:sz w:val="24"/>
          <w:highlight w:val="none"/>
        </w:rPr>
        <w:t>份，甲乙双方签字盖章后生效。</w:t>
      </w:r>
    </w:p>
    <w:p w14:paraId="07B4FE3C">
      <w:pPr>
        <w:spacing w:line="500" w:lineRule="exact"/>
        <w:ind w:firstLine="480" w:firstLineChars="200"/>
        <w:jc w:val="left"/>
        <w:rPr>
          <w:rFonts w:ascii="宋体" w:hAnsi="宋体"/>
          <w:sz w:val="24"/>
          <w:highlight w:val="none"/>
        </w:rPr>
      </w:pPr>
      <w:r>
        <w:rPr>
          <w:rFonts w:hint="eastAsia" w:ascii="宋体" w:hAnsi="宋体"/>
          <w:sz w:val="24"/>
          <w:highlight w:val="none"/>
        </w:rPr>
        <w:t>（二）</w:t>
      </w:r>
      <w:r>
        <w:rPr>
          <w:rFonts w:hint="eastAsia" w:ascii="宋体" w:hAnsi="宋体"/>
          <w:bCs/>
          <w:sz w:val="24"/>
          <w:highlight w:val="none"/>
        </w:rPr>
        <w:t>磋商文件、响应文件也是合同的组成部分，合同中未约定的以磋商文件、响应文件为准。</w:t>
      </w:r>
    </w:p>
    <w:p w14:paraId="3CCFCA79">
      <w:pPr>
        <w:spacing w:line="500" w:lineRule="exact"/>
        <w:ind w:firstLine="600" w:firstLineChars="250"/>
        <w:jc w:val="left"/>
        <w:rPr>
          <w:rFonts w:ascii="宋体" w:hAnsi="宋体"/>
          <w:sz w:val="24"/>
          <w:highlight w:val="none"/>
        </w:rPr>
      </w:pPr>
    </w:p>
    <w:p w14:paraId="65917A89">
      <w:pPr>
        <w:spacing w:line="500" w:lineRule="exact"/>
        <w:jc w:val="left"/>
        <w:rPr>
          <w:rFonts w:ascii="宋体" w:hAnsi="宋体"/>
          <w:sz w:val="24"/>
          <w:highlight w:val="none"/>
        </w:rPr>
      </w:pPr>
      <w:r>
        <w:rPr>
          <w:rFonts w:hint="eastAsia" w:ascii="宋体" w:hAnsi="宋体"/>
          <w:sz w:val="24"/>
          <w:highlight w:val="none"/>
        </w:rPr>
        <w:t xml:space="preserve">合同签订地点：   </w:t>
      </w:r>
    </w:p>
    <w:p w14:paraId="5C92FCEE">
      <w:pPr>
        <w:spacing w:line="500" w:lineRule="exact"/>
        <w:jc w:val="left"/>
        <w:rPr>
          <w:rFonts w:ascii="宋体" w:hAnsi="宋体"/>
          <w:sz w:val="24"/>
          <w:highlight w:val="none"/>
        </w:rPr>
      </w:pPr>
      <w:r>
        <w:rPr>
          <w:rFonts w:hint="eastAsia" w:ascii="宋体" w:hAnsi="宋体"/>
          <w:sz w:val="24"/>
          <w:highlight w:val="none"/>
        </w:rPr>
        <w:t>合同签订时间：    年   月    日</w:t>
      </w:r>
    </w:p>
    <w:p w14:paraId="4489FE0E">
      <w:pPr>
        <w:spacing w:line="500" w:lineRule="exact"/>
        <w:jc w:val="left"/>
        <w:rPr>
          <w:rFonts w:ascii="宋体" w:hAnsi="宋体"/>
          <w:sz w:val="24"/>
          <w:highlight w:val="none"/>
        </w:rPr>
      </w:pPr>
    </w:p>
    <w:p w14:paraId="59CE99B0">
      <w:pPr>
        <w:spacing w:line="500" w:lineRule="exact"/>
        <w:jc w:val="left"/>
        <w:rPr>
          <w:rFonts w:hint="eastAsia" w:ascii="宋体" w:hAnsi="宋体"/>
          <w:sz w:val="24"/>
          <w:highlight w:val="none"/>
        </w:rPr>
      </w:pPr>
    </w:p>
    <w:p w14:paraId="4E3043E2">
      <w:pPr>
        <w:spacing w:line="500" w:lineRule="exact"/>
        <w:jc w:val="left"/>
        <w:rPr>
          <w:rFonts w:hint="eastAsia" w:ascii="宋体" w:hAnsi="宋体"/>
          <w:sz w:val="24"/>
          <w:highlight w:val="none"/>
        </w:rPr>
      </w:pPr>
    </w:p>
    <w:p w14:paraId="772771DC">
      <w:pPr>
        <w:spacing w:line="500" w:lineRule="exact"/>
        <w:jc w:val="left"/>
        <w:rPr>
          <w:rFonts w:ascii="宋体" w:hAnsi="宋体"/>
          <w:sz w:val="24"/>
          <w:highlight w:val="none"/>
        </w:rPr>
      </w:pPr>
      <w:r>
        <w:rPr>
          <w:rFonts w:hint="eastAsia" w:ascii="宋体" w:hAnsi="宋体"/>
          <w:sz w:val="24"/>
          <w:highlight w:val="none"/>
        </w:rPr>
        <w:t>甲    方                           乙    方</w:t>
      </w:r>
    </w:p>
    <w:p w14:paraId="3F812549">
      <w:pPr>
        <w:spacing w:line="500" w:lineRule="exact"/>
        <w:jc w:val="left"/>
        <w:rPr>
          <w:rFonts w:ascii="宋体" w:hAnsi="宋体"/>
          <w:sz w:val="24"/>
          <w:highlight w:val="none"/>
        </w:rPr>
      </w:pPr>
      <w:r>
        <w:rPr>
          <w:rFonts w:hint="eastAsia" w:ascii="宋体" w:hAnsi="宋体"/>
          <w:sz w:val="24"/>
          <w:highlight w:val="none"/>
        </w:rPr>
        <w:t xml:space="preserve">单位名称：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单位名称： </w:t>
      </w:r>
    </w:p>
    <w:p w14:paraId="6B61DF91">
      <w:pPr>
        <w:spacing w:line="500" w:lineRule="exact"/>
        <w:jc w:val="left"/>
        <w:rPr>
          <w:rFonts w:ascii="宋体" w:hAnsi="宋体"/>
          <w:sz w:val="24"/>
          <w:highlight w:val="none"/>
        </w:rPr>
      </w:pPr>
      <w:r>
        <w:rPr>
          <w:rFonts w:hint="eastAsia" w:ascii="宋体" w:hAnsi="宋体"/>
          <w:sz w:val="24"/>
          <w:highlight w:val="none"/>
        </w:rPr>
        <w:t xml:space="preserve">地   址：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地    址：</w:t>
      </w:r>
    </w:p>
    <w:p w14:paraId="6990E357">
      <w:pPr>
        <w:spacing w:line="500" w:lineRule="exact"/>
        <w:jc w:val="left"/>
        <w:rPr>
          <w:rFonts w:ascii="宋体" w:hAnsi="宋体"/>
          <w:sz w:val="24"/>
          <w:highlight w:val="none"/>
        </w:rPr>
      </w:pPr>
    </w:p>
    <w:p w14:paraId="0EEF6278">
      <w:pPr>
        <w:spacing w:line="500" w:lineRule="exact"/>
        <w:jc w:val="left"/>
        <w:rPr>
          <w:rFonts w:ascii="宋体" w:hAnsi="宋体"/>
          <w:sz w:val="24"/>
          <w:highlight w:val="none"/>
        </w:rPr>
      </w:pPr>
      <w:r>
        <w:rPr>
          <w:rFonts w:hint="eastAsia" w:ascii="宋体" w:hAnsi="宋体"/>
          <w:sz w:val="24"/>
          <w:highlight w:val="none"/>
        </w:rPr>
        <w:t xml:space="preserve">法人代表：                         法人代表： </w:t>
      </w:r>
    </w:p>
    <w:p w14:paraId="16143031">
      <w:pPr>
        <w:spacing w:line="500" w:lineRule="exact"/>
        <w:jc w:val="left"/>
        <w:rPr>
          <w:rFonts w:ascii="宋体" w:hAnsi="宋体"/>
          <w:sz w:val="24"/>
          <w:highlight w:val="none"/>
        </w:rPr>
      </w:pPr>
    </w:p>
    <w:p w14:paraId="17FEEE8D">
      <w:pPr>
        <w:spacing w:line="500" w:lineRule="exact"/>
        <w:jc w:val="left"/>
        <w:rPr>
          <w:rFonts w:ascii="宋体" w:hAnsi="宋体"/>
          <w:sz w:val="24"/>
          <w:highlight w:val="none"/>
        </w:rPr>
      </w:pPr>
      <w:r>
        <w:rPr>
          <w:rFonts w:hint="eastAsia" w:ascii="宋体" w:hAnsi="宋体"/>
          <w:sz w:val="24"/>
          <w:highlight w:val="none"/>
        </w:rPr>
        <w:t xml:space="preserve">联系电话：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联系电话： </w:t>
      </w:r>
    </w:p>
    <w:p w14:paraId="721C8127">
      <w:pPr>
        <w:spacing w:line="500" w:lineRule="exact"/>
        <w:jc w:val="left"/>
        <w:rPr>
          <w:rFonts w:ascii="宋体" w:hAnsi="宋体"/>
          <w:sz w:val="24"/>
          <w:highlight w:val="none"/>
        </w:rPr>
      </w:pPr>
      <w:r>
        <w:rPr>
          <w:rFonts w:hint="eastAsia" w:ascii="宋体" w:hAnsi="宋体"/>
          <w:sz w:val="24"/>
          <w:highlight w:val="none"/>
        </w:rPr>
        <w:t xml:space="preserve">开 户 行：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开 户 行： </w:t>
      </w:r>
    </w:p>
    <w:p w14:paraId="663526E8">
      <w:pPr>
        <w:spacing w:line="500" w:lineRule="exact"/>
        <w:jc w:val="left"/>
        <w:rPr>
          <w:rFonts w:ascii="宋体" w:hAnsi="宋体"/>
          <w:b/>
          <w:bCs/>
          <w:sz w:val="24"/>
          <w:highlight w:val="none"/>
        </w:rPr>
      </w:pPr>
      <w:r>
        <w:rPr>
          <w:rFonts w:hint="eastAsia" w:ascii="宋体" w:hAnsi="宋体"/>
          <w:sz w:val="24"/>
          <w:highlight w:val="none"/>
        </w:rPr>
        <w:t xml:space="preserve">账    号：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账    号：</w:t>
      </w:r>
    </w:p>
    <w:p w14:paraId="09CC3E93">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color w:val="auto"/>
          <w:sz w:val="22"/>
          <w:szCs w:val="28"/>
          <w:highlight w:val="none"/>
        </w:rPr>
        <w:br w:type="page"/>
      </w:r>
      <w:bookmarkStart w:id="92" w:name="_Toc21558"/>
      <w:bookmarkStart w:id="93" w:name="_Toc18360"/>
      <w:bookmarkStart w:id="94" w:name="_Toc11390"/>
      <w:r>
        <w:rPr>
          <w:rFonts w:hint="eastAsia" w:ascii="宋体" w:hAnsi="宋体" w:eastAsia="宋体" w:cs="宋体"/>
          <w:b/>
          <w:bCs/>
          <w:color w:val="auto"/>
          <w:kern w:val="2"/>
          <w:sz w:val="36"/>
          <w:szCs w:val="36"/>
          <w:highlight w:val="none"/>
          <w:lang w:val="en-US" w:eastAsia="zh-CN" w:bidi="ar-SA"/>
        </w:rPr>
        <w:t xml:space="preserve">第五章  </w:t>
      </w:r>
      <w:bookmarkEnd w:id="92"/>
      <w:bookmarkEnd w:id="93"/>
      <w:r>
        <w:rPr>
          <w:rFonts w:hint="eastAsia" w:ascii="宋体" w:hAnsi="宋体" w:eastAsia="宋体" w:cs="宋体"/>
          <w:b/>
          <w:bCs/>
          <w:color w:val="auto"/>
          <w:kern w:val="2"/>
          <w:sz w:val="36"/>
          <w:szCs w:val="36"/>
          <w:highlight w:val="none"/>
          <w:lang w:val="en-US" w:eastAsia="zh-CN" w:bidi="ar-SA"/>
        </w:rPr>
        <w:t>评审办法</w:t>
      </w:r>
      <w:bookmarkEnd w:id="94"/>
    </w:p>
    <w:bookmarkEnd w:id="89"/>
    <w:bookmarkEnd w:id="90"/>
    <w:p w14:paraId="498049E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1.磋商方法</w:t>
      </w:r>
    </w:p>
    <w:p w14:paraId="7A627B09">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1.1磋商方法：按照《中华人民共和国政府采购法》、《中华人民共和国政府采购法实施条例》和</w:t>
      </w:r>
      <w:r>
        <w:rPr>
          <w:rFonts w:hint="eastAsia" w:ascii="宋体" w:hAnsi="宋体" w:eastAsia="宋体" w:cs="宋体"/>
          <w:color w:val="auto"/>
          <w:kern w:val="0"/>
          <w:sz w:val="24"/>
          <w:szCs w:val="24"/>
          <w:highlight w:val="none"/>
        </w:rPr>
        <w:t>《政府采购竞争性磋商采购方式管理暂行办法》的规定</w:t>
      </w:r>
      <w:r>
        <w:rPr>
          <w:rFonts w:hint="eastAsia" w:ascii="宋体" w:hAnsi="宋体" w:eastAsia="宋体" w:cs="宋体"/>
          <w:color w:val="auto"/>
          <w:sz w:val="24"/>
          <w:szCs w:val="24"/>
          <w:highlight w:val="none"/>
        </w:rPr>
        <w:t>，竞争性磋商小组采用综合评分法对提交最后报价的供应商的响应文件和最后报价进行综合评分，按照评审得分由高到低顺序推荐3名成交候选供应商。</w:t>
      </w:r>
    </w:p>
    <w:p w14:paraId="5435E75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11832F6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w:t>
      </w:r>
    </w:p>
    <w:p w14:paraId="3E0777EB">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2.1采购代理机构按竞争性磋商采购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规定的时间、地点组织磋商；磋商大会由采购人代表、磋商小组成员、监督机构代表、磋商供应商代表及采购代理机构工作人员参加，参会代表应签名报到，以证明其出席；</w:t>
      </w:r>
    </w:p>
    <w:p w14:paraId="220E1F6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1A1AF3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2.2.1要严格遵守政府采购相关法律制度，依法履行各自职责，公正、客观、审慎地组织和参与评审工作；</w:t>
      </w:r>
    </w:p>
    <w:p w14:paraId="7F5E2794">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2.2.2对磋商响应文件进行资格性、符合性检查，并做出评价；</w:t>
      </w:r>
    </w:p>
    <w:p w14:paraId="0BC72A7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2.2.3按竞争性磋商采购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 xml:space="preserve">规定的评审方法和标准，进行比较和评价； </w:t>
      </w:r>
    </w:p>
    <w:p w14:paraId="0C0B750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2.2.4要求磋商供应商对磋商响应文件有关事项作出解释或澄清；</w:t>
      </w:r>
    </w:p>
    <w:p w14:paraId="5C95BD3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2.2.5要依法独立评审，按照竞争性磋商采购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的要求和评标标准进行评标，推荐成交候选供应商名单，对评审意见承担个人责任；</w:t>
      </w:r>
    </w:p>
    <w:p w14:paraId="5DC2B72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2.2.6对需要共同认定的事项存在争议的，按照少数服从多数原则做出结论。持不同意见的磋商小组成员应当在评审报告上签署不同意见并说明理由，否则视为同意； </w:t>
      </w:r>
    </w:p>
    <w:p w14:paraId="4F4F624D">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2.2.7对评审情况以及在评审过程中获悉的国家秘密、商业秘密负有保密责任；</w:t>
      </w:r>
    </w:p>
    <w:p w14:paraId="26645F09">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2.2.8配合财政部门的投诉处理工作；</w:t>
      </w:r>
    </w:p>
    <w:p w14:paraId="144F051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2.2.9配合采购人、采购代理机构答复磋商供应商提出的质疑。</w:t>
      </w:r>
    </w:p>
    <w:p w14:paraId="2607F92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3.磋商响应文件的初审</w:t>
      </w:r>
    </w:p>
    <w:p w14:paraId="0F9D6A6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审查分为资格性检查和符合性检查。分别按照以下内容对响应文件进行检查，一项不合格即按照无效磋商处理。</w:t>
      </w:r>
    </w:p>
    <w:p w14:paraId="4A6AE3EF">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响应文件审查合格的为实质性响应磋商文件要求的供应商。</w:t>
      </w:r>
    </w:p>
    <w:p w14:paraId="424126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3.1资格性检查</w:t>
      </w:r>
    </w:p>
    <w:tbl>
      <w:tblPr>
        <w:tblStyle w:val="28"/>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6926"/>
        <w:gridCol w:w="1902"/>
      </w:tblGrid>
      <w:tr w14:paraId="1352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7" w:type="dxa"/>
            <w:noWrap w:val="0"/>
            <w:vAlign w:val="center"/>
          </w:tcPr>
          <w:p w14:paraId="142B4BA5">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rPr>
            </w:pPr>
            <w:r>
              <w:rPr>
                <w:rFonts w:hint="eastAsia" w:ascii="宋体" w:hAnsi="宋体"/>
                <w:b/>
                <w:sz w:val="21"/>
                <w:szCs w:val="21"/>
                <w:lang w:val="zh-CN"/>
              </w:rPr>
              <w:t>序号</w:t>
            </w:r>
          </w:p>
        </w:tc>
        <w:tc>
          <w:tcPr>
            <w:tcW w:w="6926" w:type="dxa"/>
            <w:noWrap w:val="0"/>
            <w:vAlign w:val="center"/>
          </w:tcPr>
          <w:p w14:paraId="3E885520">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b/>
                <w:sz w:val="21"/>
                <w:szCs w:val="21"/>
                <w:lang w:val="zh-CN"/>
              </w:rPr>
            </w:pPr>
            <w:r>
              <w:rPr>
                <w:rFonts w:hint="eastAsia" w:ascii="宋体" w:hAnsi="宋体"/>
                <w:b/>
                <w:sz w:val="21"/>
                <w:szCs w:val="21"/>
                <w:lang w:val="zh-CN"/>
              </w:rPr>
              <w:t>评审因素</w:t>
            </w:r>
          </w:p>
        </w:tc>
        <w:tc>
          <w:tcPr>
            <w:tcW w:w="1902" w:type="dxa"/>
            <w:noWrap w:val="0"/>
            <w:vAlign w:val="center"/>
          </w:tcPr>
          <w:p w14:paraId="09370B7D">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b/>
                <w:sz w:val="21"/>
                <w:szCs w:val="21"/>
                <w:lang w:val="zh-CN"/>
              </w:rPr>
            </w:pPr>
            <w:r>
              <w:rPr>
                <w:rFonts w:hint="eastAsia" w:ascii="宋体" w:hAnsi="宋体"/>
                <w:b/>
                <w:sz w:val="21"/>
                <w:szCs w:val="21"/>
                <w:lang w:val="zh-CN"/>
              </w:rPr>
              <w:t>评审标准</w:t>
            </w:r>
          </w:p>
        </w:tc>
      </w:tr>
      <w:tr w14:paraId="477D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7" w:type="dxa"/>
            <w:noWrap w:val="0"/>
            <w:vAlign w:val="center"/>
          </w:tcPr>
          <w:p w14:paraId="7E20F92F">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1</w:t>
            </w:r>
          </w:p>
        </w:tc>
        <w:tc>
          <w:tcPr>
            <w:tcW w:w="6926" w:type="dxa"/>
            <w:noWrap w:val="0"/>
            <w:vAlign w:val="center"/>
          </w:tcPr>
          <w:p w14:paraId="5951F6CD">
            <w:pPr>
              <w:pStyle w:val="24"/>
              <w:keepNext w:val="0"/>
              <w:keepLines w:val="0"/>
              <w:pageBreakBefore w:val="0"/>
              <w:shd w:val="clear" w:color="auto"/>
              <w:kinsoku/>
              <w:overflowPunct/>
              <w:topLinePunct w:val="0"/>
              <w:bidi w:val="0"/>
              <w:adjustRightInd/>
              <w:snapToGrid/>
              <w:spacing w:beforeAutospacing="0" w:afterAutospacing="0" w:line="320" w:lineRule="exact"/>
              <w:ind w:firstLine="0" w:firstLineChars="0"/>
              <w:rPr>
                <w:rFonts w:hint="eastAsia"/>
                <w:sz w:val="21"/>
                <w:szCs w:val="21"/>
                <w:highlight w:val="none"/>
              </w:rPr>
            </w:pPr>
            <w:r>
              <w:rPr>
                <w:rFonts w:hint="eastAsia" w:cs="宋体"/>
                <w:color w:val="auto"/>
                <w:sz w:val="21"/>
                <w:szCs w:val="21"/>
                <w:highlight w:val="none"/>
                <w:lang w:val="en-US" w:eastAsia="zh-CN"/>
              </w:rPr>
              <w:t>营业执照：</w:t>
            </w:r>
            <w:r>
              <w:rPr>
                <w:rFonts w:hint="eastAsia" w:ascii="宋体" w:hAnsi="宋体" w:eastAsia="宋体" w:cs="宋体"/>
                <w:color w:val="auto"/>
                <w:sz w:val="21"/>
                <w:szCs w:val="21"/>
                <w:highlight w:val="none"/>
              </w:rPr>
              <w:t xml:space="preserve">具有独立承担民事责任能力的法人、其他组织或自然人，提供合法有效的统一社会信用代码营业执照（事业单位提供法人证书，自然人提供身份证，其他组织应提供合法登记证明文件）； </w:t>
            </w:r>
          </w:p>
        </w:tc>
        <w:tc>
          <w:tcPr>
            <w:tcW w:w="1902" w:type="dxa"/>
            <w:noWrap w:val="0"/>
            <w:vAlign w:val="center"/>
          </w:tcPr>
          <w:p w14:paraId="60292AF2">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256A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7" w:type="dxa"/>
            <w:noWrap w:val="0"/>
            <w:vAlign w:val="center"/>
          </w:tcPr>
          <w:p w14:paraId="7DB790BC">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2</w:t>
            </w:r>
          </w:p>
        </w:tc>
        <w:tc>
          <w:tcPr>
            <w:tcW w:w="6926" w:type="dxa"/>
            <w:noWrap w:val="0"/>
            <w:vAlign w:val="center"/>
          </w:tcPr>
          <w:p w14:paraId="5BDD572F">
            <w:pPr>
              <w:pStyle w:val="24"/>
              <w:keepNext w:val="0"/>
              <w:keepLines w:val="0"/>
              <w:pageBreakBefore w:val="0"/>
              <w:shd w:val="clear" w:color="auto"/>
              <w:kinsoku/>
              <w:overflowPunct/>
              <w:topLinePunct w:val="0"/>
              <w:bidi w:val="0"/>
              <w:adjustRightInd/>
              <w:snapToGrid/>
              <w:spacing w:beforeAutospacing="0" w:afterAutospacing="0" w:line="320" w:lineRule="exact"/>
              <w:ind w:firstLine="0"/>
              <w:rPr>
                <w:rFonts w:hint="eastAsia" w:ascii="宋体" w:hAnsi="宋体" w:cs="宋体"/>
                <w:sz w:val="21"/>
                <w:szCs w:val="21"/>
                <w:highlight w:val="none"/>
              </w:rPr>
            </w:pPr>
            <w:r>
              <w:rPr>
                <w:rFonts w:hint="eastAsia" w:ascii="宋体" w:hAnsi="宋体" w:eastAsia="宋体" w:cs="宋体"/>
                <w:color w:val="auto"/>
                <w:sz w:val="21"/>
                <w:szCs w:val="21"/>
                <w:highlight w:val="none"/>
              </w:rPr>
              <w:t>财务状况报告：提供</w:t>
            </w:r>
            <w:r>
              <w:rPr>
                <w:rFonts w:hint="eastAsia" w:cs="宋体"/>
                <w:color w:val="auto"/>
                <w:sz w:val="21"/>
                <w:szCs w:val="21"/>
                <w:highlight w:val="none"/>
                <w:lang w:val="en-US" w:eastAsia="zh-CN"/>
              </w:rPr>
              <w:t>经审计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年或 20</w:t>
            </w: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rPr>
              <w:t>年度财务报告或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lang w:eastAsia="zh-CN"/>
              </w:rPr>
              <w:t>前</w:t>
            </w:r>
            <w:r>
              <w:rPr>
                <w:rFonts w:hint="eastAsia" w:ascii="宋体" w:hAnsi="宋体" w:eastAsia="宋体" w:cs="宋体"/>
                <w:color w:val="auto"/>
                <w:sz w:val="21"/>
                <w:szCs w:val="21"/>
                <w:highlight w:val="none"/>
              </w:rPr>
              <w:t>六个月内其基本账户银行出具的资信证明</w:t>
            </w:r>
            <w:r>
              <w:rPr>
                <w:rFonts w:hint="eastAsia" w:cs="宋体"/>
                <w:color w:val="auto"/>
                <w:sz w:val="21"/>
                <w:szCs w:val="21"/>
                <w:highlight w:val="none"/>
                <w:lang w:val="en-US" w:eastAsia="zh-CN"/>
              </w:rPr>
              <w:t>及</w:t>
            </w:r>
            <w:r>
              <w:rPr>
                <w:rFonts w:hint="eastAsia" w:ascii="宋体" w:hAnsi="宋体" w:eastAsia="宋体" w:cs="宋体"/>
                <w:i w:val="0"/>
                <w:iCs w:val="0"/>
                <w:caps w:val="0"/>
                <w:color w:val="auto"/>
                <w:spacing w:val="0"/>
                <w:kern w:val="2"/>
                <w:sz w:val="21"/>
                <w:szCs w:val="21"/>
                <w:highlight w:val="none"/>
                <w:lang w:val="en-US" w:eastAsia="zh-CN" w:bidi="ar-SA"/>
              </w:rPr>
              <w:t>基本户开户证明</w:t>
            </w:r>
            <w:r>
              <w:rPr>
                <w:rFonts w:hint="eastAsia" w:cs="宋体"/>
                <w:color w:val="auto"/>
                <w:sz w:val="21"/>
                <w:szCs w:val="21"/>
                <w:highlight w:val="none"/>
                <w:lang w:eastAsia="zh-CN"/>
              </w:rPr>
              <w:t>；</w:t>
            </w:r>
            <w:r>
              <w:rPr>
                <w:rFonts w:hint="eastAsia" w:ascii="宋体" w:hAnsi="宋体" w:cs="宋体"/>
                <w:color w:val="000000"/>
                <w:sz w:val="21"/>
                <w:szCs w:val="21"/>
                <w:highlight w:val="none"/>
              </w:rPr>
              <w:t>2025年以后新成立企业提供成立之日至开标前</w:t>
            </w:r>
            <w:r>
              <w:rPr>
                <w:rFonts w:hint="eastAsia" w:ascii="宋体" w:hAnsi="宋体" w:cs="宋体"/>
                <w:color w:val="000000"/>
                <w:sz w:val="21"/>
                <w:szCs w:val="21"/>
                <w:highlight w:val="none"/>
                <w:lang w:val="en-US" w:eastAsia="zh-CN"/>
              </w:rPr>
              <w:t>任意</w:t>
            </w:r>
            <w:r>
              <w:rPr>
                <w:rFonts w:hint="eastAsia" w:ascii="宋体" w:hAnsi="宋体" w:cs="宋体"/>
                <w:color w:val="000000"/>
                <w:sz w:val="21"/>
                <w:szCs w:val="21"/>
                <w:highlight w:val="none"/>
              </w:rPr>
              <w:t>一</w:t>
            </w:r>
            <w:r>
              <w:rPr>
                <w:rFonts w:hint="eastAsia" w:ascii="宋体" w:hAnsi="宋体" w:cs="宋体"/>
                <w:color w:val="000000"/>
                <w:sz w:val="21"/>
                <w:szCs w:val="21"/>
                <w:highlight w:val="none"/>
                <w:lang w:eastAsia="zh-CN"/>
              </w:rPr>
              <w:t>个</w:t>
            </w:r>
            <w:r>
              <w:rPr>
                <w:rFonts w:hint="eastAsia" w:ascii="宋体" w:hAnsi="宋体" w:cs="宋体"/>
                <w:color w:val="000000"/>
                <w:sz w:val="21"/>
                <w:szCs w:val="21"/>
                <w:highlight w:val="none"/>
              </w:rPr>
              <w:t>月的财务报表（至少包括资产负债表、现金流量表和利润表）</w:t>
            </w:r>
            <w:r>
              <w:rPr>
                <w:rFonts w:hint="eastAsia" w:ascii="宋体" w:hAnsi="宋体" w:eastAsia="宋体" w:cs="宋体"/>
                <w:color w:val="auto"/>
                <w:sz w:val="21"/>
                <w:szCs w:val="21"/>
                <w:highlight w:val="none"/>
              </w:rPr>
              <w:t>其他组织和自然人提供银行出具的资信证明或财务报表；</w:t>
            </w:r>
          </w:p>
        </w:tc>
        <w:tc>
          <w:tcPr>
            <w:tcW w:w="1902" w:type="dxa"/>
            <w:noWrap w:val="0"/>
            <w:vAlign w:val="center"/>
          </w:tcPr>
          <w:p w14:paraId="612691AC">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0FBA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7" w:type="dxa"/>
            <w:noWrap w:val="0"/>
            <w:vAlign w:val="center"/>
          </w:tcPr>
          <w:p w14:paraId="6E67EF23">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3</w:t>
            </w:r>
          </w:p>
        </w:tc>
        <w:tc>
          <w:tcPr>
            <w:tcW w:w="6926" w:type="dxa"/>
            <w:noWrap w:val="0"/>
            <w:vAlign w:val="center"/>
          </w:tcPr>
          <w:p w14:paraId="1262B0F3">
            <w:pPr>
              <w:pStyle w:val="24"/>
              <w:keepNext w:val="0"/>
              <w:keepLines w:val="0"/>
              <w:pageBreakBefore w:val="0"/>
              <w:shd w:val="clear" w:color="auto"/>
              <w:kinsoku/>
              <w:overflowPunct/>
              <w:topLinePunct w:val="0"/>
              <w:bidi w:val="0"/>
              <w:adjustRightInd/>
              <w:snapToGrid/>
              <w:spacing w:beforeAutospacing="0" w:afterAutospacing="0" w:line="320" w:lineRule="exact"/>
              <w:ind w:firstLine="0"/>
              <w:rPr>
                <w:rFonts w:hint="eastAsia" w:ascii="宋体" w:hAnsi="宋体" w:cs="宋体"/>
                <w:sz w:val="21"/>
                <w:szCs w:val="21"/>
                <w:highlight w:val="none"/>
                <w:lang w:val="zh-CN"/>
              </w:rPr>
            </w:pPr>
            <w:r>
              <w:rPr>
                <w:rFonts w:hint="eastAsia" w:ascii="宋体" w:hAnsi="宋体" w:eastAsia="宋体" w:cs="宋体"/>
                <w:color w:val="auto"/>
                <w:sz w:val="21"/>
                <w:szCs w:val="21"/>
                <w:highlight w:val="none"/>
              </w:rPr>
              <w:t>社会保障资金缴纳证明：提供</w:t>
            </w:r>
            <w:r>
              <w:rPr>
                <w:rFonts w:hint="eastAsia" w:ascii="宋体" w:hAnsi="宋体" w:eastAsia="宋体" w:cs="宋体"/>
                <w:i w:val="0"/>
                <w:iCs w:val="0"/>
                <w:caps w:val="0"/>
                <w:color w:val="auto"/>
                <w:spacing w:val="0"/>
                <w:sz w:val="21"/>
                <w:szCs w:val="21"/>
                <w:highlight w:val="none"/>
                <w:shd w:val="clear" w:color="auto" w:fill="FFFFFF"/>
              </w:rPr>
              <w:t>202</w:t>
            </w:r>
            <w:r>
              <w:rPr>
                <w:rFonts w:hint="eastAsia"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月1日至今</w:t>
            </w:r>
            <w:r>
              <w:rPr>
                <w:rFonts w:hint="eastAsia" w:ascii="宋体" w:hAnsi="宋体" w:eastAsia="宋体" w:cs="宋体"/>
                <w:color w:val="auto"/>
                <w:sz w:val="21"/>
                <w:szCs w:val="21"/>
                <w:highlight w:val="none"/>
              </w:rPr>
              <w:t>已缴存的任意</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 xml:space="preserve">的社会保障资金缴存单据或社保机构开具的社会保险参保缴费情况证明；依法不需要缴纳社会保障资金的应提供相关文件证明； </w:t>
            </w:r>
          </w:p>
        </w:tc>
        <w:tc>
          <w:tcPr>
            <w:tcW w:w="1902" w:type="dxa"/>
            <w:noWrap w:val="0"/>
            <w:vAlign w:val="center"/>
          </w:tcPr>
          <w:p w14:paraId="7CB5C5CE">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676A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57" w:type="dxa"/>
            <w:noWrap w:val="0"/>
            <w:vAlign w:val="center"/>
          </w:tcPr>
          <w:p w14:paraId="181B709A">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4</w:t>
            </w:r>
          </w:p>
        </w:tc>
        <w:tc>
          <w:tcPr>
            <w:tcW w:w="6926" w:type="dxa"/>
            <w:noWrap w:val="0"/>
            <w:vAlign w:val="center"/>
          </w:tcPr>
          <w:p w14:paraId="76C6ED44">
            <w:pPr>
              <w:pStyle w:val="24"/>
              <w:keepNext w:val="0"/>
              <w:keepLines w:val="0"/>
              <w:pageBreakBefore w:val="0"/>
              <w:shd w:val="clear" w:color="auto"/>
              <w:kinsoku/>
              <w:overflowPunct/>
              <w:topLinePunct w:val="0"/>
              <w:bidi w:val="0"/>
              <w:adjustRightInd/>
              <w:snapToGrid/>
              <w:spacing w:beforeAutospacing="0" w:afterAutospacing="0" w:line="320" w:lineRule="exact"/>
              <w:ind w:firstLine="0"/>
              <w:rPr>
                <w:rFonts w:hint="eastAsia" w:ascii="宋体" w:hAnsi="宋体" w:cs="宋体"/>
                <w:sz w:val="21"/>
                <w:szCs w:val="21"/>
                <w:highlight w:val="none"/>
              </w:rPr>
            </w:pPr>
            <w:r>
              <w:rPr>
                <w:rFonts w:hint="eastAsia" w:ascii="宋体" w:hAnsi="宋体" w:eastAsia="宋体" w:cs="宋体"/>
                <w:color w:val="auto"/>
                <w:sz w:val="21"/>
                <w:szCs w:val="21"/>
                <w:highlight w:val="none"/>
              </w:rPr>
              <w:t>税收缴纳证明：提供</w:t>
            </w:r>
            <w:r>
              <w:rPr>
                <w:rFonts w:hint="eastAsia" w:ascii="宋体" w:hAnsi="宋体" w:eastAsia="宋体" w:cs="宋体"/>
                <w:i w:val="0"/>
                <w:iCs w:val="0"/>
                <w:caps w:val="0"/>
                <w:color w:val="auto"/>
                <w:spacing w:val="0"/>
                <w:sz w:val="21"/>
                <w:szCs w:val="21"/>
                <w:highlight w:val="none"/>
                <w:shd w:val="clear" w:color="auto" w:fill="FFFFFF"/>
              </w:rPr>
              <w:t>202</w:t>
            </w:r>
            <w:r>
              <w:rPr>
                <w:rFonts w:hint="eastAsia" w:cs="宋体"/>
                <w:i w:val="0"/>
                <w:iCs w:val="0"/>
                <w:caps w:val="0"/>
                <w:color w:val="auto"/>
                <w:spacing w:val="0"/>
                <w:sz w:val="21"/>
                <w:szCs w:val="21"/>
                <w:highlight w:val="none"/>
                <w:shd w:val="clear" w:color="auto" w:fill="FFFFFF"/>
                <w:lang w:val="en-US" w:eastAsia="zh-CN"/>
              </w:rPr>
              <w:t>4</w:t>
            </w:r>
            <w:r>
              <w:rPr>
                <w:rFonts w:hint="eastAsia" w:ascii="宋体" w:hAnsi="宋体" w:eastAsia="宋体" w:cs="宋体"/>
                <w:i w:val="0"/>
                <w:iCs w:val="0"/>
                <w:caps w:val="0"/>
                <w:color w:val="auto"/>
                <w:spacing w:val="0"/>
                <w:sz w:val="21"/>
                <w:szCs w:val="21"/>
                <w:highlight w:val="none"/>
                <w:shd w:val="clear" w:color="auto" w:fill="FFFFFF"/>
              </w:rPr>
              <w:t>年</w:t>
            </w:r>
            <w:r>
              <w:rPr>
                <w:rFonts w:hint="eastAsia"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月1日至今</w:t>
            </w:r>
            <w:r>
              <w:rPr>
                <w:rFonts w:hint="eastAsia" w:ascii="宋体" w:hAnsi="宋体" w:eastAsia="宋体" w:cs="宋体"/>
                <w:color w:val="auto"/>
                <w:sz w:val="21"/>
                <w:szCs w:val="21"/>
                <w:highlight w:val="none"/>
              </w:rPr>
              <w:t>已缴纳任意</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完税凭证或税务机关开具的完税证明（任意税种）；其他组织提供</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 xml:space="preserve">截止时间前六个月内缴纳税收的凭据；依法免税的应提供相关文件证明； </w:t>
            </w:r>
          </w:p>
        </w:tc>
        <w:tc>
          <w:tcPr>
            <w:tcW w:w="1902" w:type="dxa"/>
            <w:noWrap w:val="0"/>
            <w:vAlign w:val="center"/>
          </w:tcPr>
          <w:p w14:paraId="38E51F00">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4ED2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7" w:type="dxa"/>
            <w:noWrap w:val="0"/>
            <w:vAlign w:val="center"/>
          </w:tcPr>
          <w:p w14:paraId="2125734E">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5</w:t>
            </w:r>
          </w:p>
        </w:tc>
        <w:tc>
          <w:tcPr>
            <w:tcW w:w="6926" w:type="dxa"/>
            <w:noWrap w:val="0"/>
            <w:vAlign w:val="center"/>
          </w:tcPr>
          <w:p w14:paraId="72BB3B0B">
            <w:pPr>
              <w:pStyle w:val="24"/>
              <w:keepNext w:val="0"/>
              <w:keepLines w:val="0"/>
              <w:pageBreakBefore w:val="0"/>
              <w:shd w:val="clear" w:color="auto"/>
              <w:kinsoku/>
              <w:overflowPunct/>
              <w:topLinePunct w:val="0"/>
              <w:bidi w:val="0"/>
              <w:adjustRightInd/>
              <w:snapToGrid/>
              <w:spacing w:beforeAutospacing="0" w:afterAutospacing="0" w:line="320" w:lineRule="exact"/>
              <w:ind w:firstLine="0"/>
              <w:rPr>
                <w:sz w:val="21"/>
                <w:szCs w:val="21"/>
                <w:highlight w:val="none"/>
              </w:rPr>
            </w:pPr>
            <w:r>
              <w:rPr>
                <w:rFonts w:hint="eastAsia" w:ascii="宋体" w:hAnsi="宋体" w:eastAsia="宋体" w:cs="宋体"/>
                <w:color w:val="auto"/>
                <w:sz w:val="21"/>
                <w:szCs w:val="21"/>
                <w:highlight w:val="none"/>
              </w:rPr>
              <w:t>提供具有履行本合同所必需的专业技术能力的声明；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lang w:eastAsia="zh-CN"/>
              </w:rPr>
              <w:t>）</w:t>
            </w:r>
          </w:p>
        </w:tc>
        <w:tc>
          <w:tcPr>
            <w:tcW w:w="1902" w:type="dxa"/>
            <w:noWrap w:val="0"/>
            <w:vAlign w:val="center"/>
          </w:tcPr>
          <w:p w14:paraId="42EB2084">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26E4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7" w:type="dxa"/>
            <w:noWrap w:val="0"/>
            <w:vAlign w:val="center"/>
          </w:tcPr>
          <w:p w14:paraId="29C1AC33">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6</w:t>
            </w:r>
          </w:p>
        </w:tc>
        <w:tc>
          <w:tcPr>
            <w:tcW w:w="6926" w:type="dxa"/>
            <w:noWrap w:val="0"/>
            <w:vAlign w:val="center"/>
          </w:tcPr>
          <w:p w14:paraId="6A566508">
            <w:pPr>
              <w:pStyle w:val="24"/>
              <w:keepNext w:val="0"/>
              <w:keepLines w:val="0"/>
              <w:pageBreakBefore w:val="0"/>
              <w:shd w:val="clear" w:color="auto"/>
              <w:kinsoku/>
              <w:overflowPunct/>
              <w:topLinePunct w:val="0"/>
              <w:bidi w:val="0"/>
              <w:adjustRightInd/>
              <w:snapToGrid/>
              <w:spacing w:beforeAutospacing="0" w:afterAutospacing="0" w:line="320" w:lineRule="exact"/>
              <w:rPr>
                <w:rFonts w:hint="eastAsia" w:ascii="宋体" w:hAnsi="宋体"/>
                <w:sz w:val="21"/>
                <w:szCs w:val="21"/>
                <w:highlight w:val="none"/>
              </w:rPr>
            </w:pPr>
            <w:r>
              <w:rPr>
                <w:rFonts w:hint="eastAsia" w:ascii="宋体" w:hAnsi="宋体" w:eastAsia="宋体" w:cs="宋体"/>
                <w:color w:val="auto"/>
                <w:sz w:val="21"/>
                <w:szCs w:val="21"/>
                <w:highlight w:val="none"/>
              </w:rPr>
              <w:t>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原件</w:t>
            </w:r>
            <w:r>
              <w:rPr>
                <w:rFonts w:hint="eastAsia" w:ascii="宋体" w:hAnsi="宋体" w:eastAsia="宋体" w:cs="宋体"/>
                <w:color w:val="auto"/>
                <w:sz w:val="21"/>
                <w:szCs w:val="21"/>
                <w:highlight w:val="none"/>
                <w:lang w:eastAsia="zh-CN"/>
              </w:rPr>
              <w:t>）</w:t>
            </w:r>
          </w:p>
        </w:tc>
        <w:tc>
          <w:tcPr>
            <w:tcW w:w="1902" w:type="dxa"/>
            <w:noWrap w:val="0"/>
            <w:vAlign w:val="center"/>
          </w:tcPr>
          <w:p w14:paraId="4A851E7B">
            <w:pPr>
              <w:keepNext w:val="0"/>
              <w:keepLines w:val="0"/>
              <w:pageBreakBefore w:val="0"/>
              <w:tabs>
                <w:tab w:val="left" w:pos="1180"/>
              </w:tabs>
              <w:kinsoku/>
              <w:overflowPunct/>
              <w:topLinePunct w:val="0"/>
              <w:bidi w:val="0"/>
              <w:adjustRightInd/>
              <w:snapToGrid/>
              <w:spacing w:beforeAutospacing="0" w:afterAutospacing="0" w:line="320" w:lineRule="exact"/>
              <w:jc w:val="center"/>
              <w:rPr>
                <w:rFonts w:hint="eastAsia" w:ascii="宋体" w:hAnsi="宋体"/>
                <w:sz w:val="21"/>
                <w:szCs w:val="21"/>
              </w:rPr>
            </w:pPr>
            <w:r>
              <w:rPr>
                <w:rFonts w:hint="eastAsia" w:ascii="宋体" w:hAnsi="宋体"/>
                <w:sz w:val="21"/>
                <w:szCs w:val="21"/>
              </w:rPr>
              <w:t>符合要求</w:t>
            </w:r>
          </w:p>
        </w:tc>
      </w:tr>
      <w:tr w14:paraId="6EB3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57" w:type="dxa"/>
            <w:noWrap w:val="0"/>
            <w:vAlign w:val="center"/>
          </w:tcPr>
          <w:p w14:paraId="51994167">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7</w:t>
            </w:r>
          </w:p>
        </w:tc>
        <w:tc>
          <w:tcPr>
            <w:tcW w:w="6926" w:type="dxa"/>
            <w:noWrap w:val="0"/>
            <w:vAlign w:val="center"/>
          </w:tcPr>
          <w:p w14:paraId="5D9AFA75">
            <w:pPr>
              <w:pStyle w:val="24"/>
              <w:keepNext w:val="0"/>
              <w:keepLines w:val="0"/>
              <w:pageBreakBefore w:val="0"/>
              <w:shd w:val="clear" w:color="auto"/>
              <w:kinsoku/>
              <w:overflowPunct/>
              <w:topLinePunct w:val="0"/>
              <w:bidi w:val="0"/>
              <w:adjustRightInd/>
              <w:snapToGrid/>
              <w:spacing w:beforeAutospacing="0" w:afterAutospacing="0" w:line="320" w:lineRule="exact"/>
              <w:rPr>
                <w:rFonts w:hint="eastAsia" w:ascii="宋体" w:hAnsi="宋体"/>
                <w:sz w:val="21"/>
                <w:szCs w:val="21"/>
                <w:highlight w:val="none"/>
              </w:rPr>
            </w:pPr>
            <w:r>
              <w:rPr>
                <w:rFonts w:hint="eastAsia" w:ascii="宋体" w:hAnsi="宋体" w:eastAsia="宋体" w:cs="宋体"/>
                <w:color w:val="auto"/>
                <w:sz w:val="21"/>
                <w:szCs w:val="21"/>
                <w:highlight w:val="none"/>
              </w:rPr>
              <w:t>法定代表人直接参加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的，须出具法人身份证,并与营业执照上信息一致；法定代表人授权代表参加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 xml:space="preserve">的，须出具法定代表人授权书及授权代表身份证； </w:t>
            </w:r>
          </w:p>
        </w:tc>
        <w:tc>
          <w:tcPr>
            <w:tcW w:w="1902" w:type="dxa"/>
            <w:noWrap w:val="0"/>
            <w:vAlign w:val="center"/>
          </w:tcPr>
          <w:p w14:paraId="588D752D">
            <w:pPr>
              <w:keepNext w:val="0"/>
              <w:keepLines w:val="0"/>
              <w:pageBreakBefore w:val="0"/>
              <w:widowControl/>
              <w:kinsoku/>
              <w:overflowPunct/>
              <w:topLinePunct w:val="0"/>
              <w:bidi w:val="0"/>
              <w:adjustRightInd/>
              <w:snapToGrid/>
              <w:spacing w:beforeAutospacing="0" w:afterAutospacing="0" w:line="320" w:lineRule="exact"/>
              <w:jc w:val="center"/>
              <w:textAlignment w:val="baseline"/>
              <w:rPr>
                <w:rFonts w:hint="eastAsia" w:ascii="宋体" w:hAnsi="宋体"/>
                <w:sz w:val="21"/>
                <w:szCs w:val="21"/>
              </w:rPr>
            </w:pPr>
            <w:r>
              <w:rPr>
                <w:rFonts w:hint="eastAsia" w:ascii="宋体" w:hAnsi="宋体"/>
                <w:sz w:val="21"/>
                <w:szCs w:val="21"/>
              </w:rPr>
              <w:t>符合要求</w:t>
            </w:r>
          </w:p>
        </w:tc>
      </w:tr>
      <w:tr w14:paraId="63B4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757" w:type="dxa"/>
            <w:noWrap w:val="0"/>
            <w:vAlign w:val="center"/>
          </w:tcPr>
          <w:p w14:paraId="7482143D">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highlight w:val="none"/>
                <w:lang w:val="zh-CN"/>
              </w:rPr>
            </w:pPr>
            <w:r>
              <w:rPr>
                <w:rFonts w:hint="eastAsia" w:ascii="宋体" w:hAnsi="宋体"/>
                <w:sz w:val="21"/>
                <w:szCs w:val="21"/>
                <w:highlight w:val="none"/>
                <w:lang w:val="zh-CN"/>
              </w:rPr>
              <w:t>8</w:t>
            </w:r>
          </w:p>
        </w:tc>
        <w:tc>
          <w:tcPr>
            <w:tcW w:w="6926" w:type="dxa"/>
            <w:noWrap w:val="0"/>
            <w:vAlign w:val="center"/>
          </w:tcPr>
          <w:p w14:paraId="42A69DF8">
            <w:pPr>
              <w:pStyle w:val="24"/>
              <w:keepNext w:val="0"/>
              <w:keepLines w:val="0"/>
              <w:pageBreakBefore w:val="0"/>
              <w:shd w:val="clear" w:color="auto"/>
              <w:kinsoku/>
              <w:overflowPunct/>
              <w:topLinePunct w:val="0"/>
              <w:bidi w:val="0"/>
              <w:adjustRightInd/>
              <w:snapToGrid/>
              <w:spacing w:beforeAutospacing="0" w:afterAutospacing="0" w:line="320" w:lineRule="exact"/>
              <w:rPr>
                <w:rFonts w:hint="eastAsia" w:ascii="宋体" w:hAnsi="宋体"/>
                <w:sz w:val="21"/>
                <w:szCs w:val="21"/>
                <w:highlight w:val="none"/>
                <w:lang w:val="zh-CN"/>
              </w:rPr>
            </w:pPr>
            <w:r>
              <w:rPr>
                <w:rFonts w:hint="eastAsia" w:ascii="宋体" w:hAnsi="宋体" w:eastAsia="宋体" w:cs="宋体"/>
                <w:color w:val="auto"/>
                <w:sz w:val="21"/>
                <w:szCs w:val="21"/>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c>
          <w:tcPr>
            <w:tcW w:w="1902" w:type="dxa"/>
            <w:noWrap w:val="0"/>
            <w:vAlign w:val="center"/>
          </w:tcPr>
          <w:p w14:paraId="1666E805">
            <w:pPr>
              <w:keepNext w:val="0"/>
              <w:keepLines w:val="0"/>
              <w:pageBreakBefore w:val="0"/>
              <w:widowControl/>
              <w:kinsoku/>
              <w:overflowPunct/>
              <w:topLinePunct w:val="0"/>
              <w:bidi w:val="0"/>
              <w:adjustRightInd/>
              <w:snapToGrid/>
              <w:spacing w:beforeAutospacing="0" w:afterAutospacing="0" w:line="320" w:lineRule="exact"/>
              <w:jc w:val="center"/>
              <w:textAlignment w:val="baseline"/>
              <w:rPr>
                <w:rFonts w:hint="eastAsia" w:ascii="宋体" w:hAnsi="宋体"/>
                <w:sz w:val="21"/>
                <w:szCs w:val="21"/>
              </w:rPr>
            </w:pPr>
            <w:r>
              <w:rPr>
                <w:rFonts w:hint="eastAsia" w:ascii="宋体" w:hAnsi="宋体"/>
                <w:sz w:val="21"/>
                <w:szCs w:val="21"/>
              </w:rPr>
              <w:t>符合要求（以</w:t>
            </w:r>
            <w:r>
              <w:rPr>
                <w:rFonts w:hint="eastAsia" w:ascii="宋体" w:hAnsi="宋体"/>
                <w:sz w:val="21"/>
                <w:szCs w:val="21"/>
                <w:lang w:val="en-US" w:eastAsia="zh-CN"/>
              </w:rPr>
              <w:t>响应</w:t>
            </w:r>
            <w:r>
              <w:rPr>
                <w:rFonts w:hint="eastAsia" w:ascii="宋体" w:hAnsi="宋体"/>
                <w:sz w:val="21"/>
                <w:szCs w:val="21"/>
              </w:rPr>
              <w:t>文件中附网站截图为准，如未附截图或截图不清楚，则以</w:t>
            </w:r>
            <w:r>
              <w:rPr>
                <w:rFonts w:hint="eastAsia" w:ascii="宋体" w:hAnsi="宋体"/>
                <w:sz w:val="21"/>
                <w:szCs w:val="21"/>
                <w:lang w:val="en-US" w:eastAsia="zh-CN"/>
              </w:rPr>
              <w:t>磋商</w:t>
            </w:r>
            <w:r>
              <w:rPr>
                <w:rFonts w:hint="eastAsia" w:ascii="宋体" w:hAnsi="宋体"/>
                <w:sz w:val="21"/>
                <w:szCs w:val="21"/>
              </w:rPr>
              <w:t>会议</w:t>
            </w:r>
            <w:r>
              <w:rPr>
                <w:rFonts w:hint="eastAsia" w:ascii="宋体" w:hAnsi="宋体"/>
                <w:sz w:val="21"/>
                <w:szCs w:val="21"/>
                <w:lang w:val="zh-CN"/>
              </w:rPr>
              <w:t>后的网站查询记录为准，并以截图形式留存</w:t>
            </w:r>
            <w:r>
              <w:rPr>
                <w:rFonts w:hint="eastAsia" w:ascii="宋体" w:hAnsi="宋体"/>
                <w:sz w:val="21"/>
                <w:szCs w:val="21"/>
              </w:rPr>
              <w:t>）</w:t>
            </w:r>
          </w:p>
        </w:tc>
      </w:tr>
      <w:tr w14:paraId="7133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7" w:type="dxa"/>
            <w:noWrap w:val="0"/>
            <w:vAlign w:val="center"/>
          </w:tcPr>
          <w:p w14:paraId="3FB49A14">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highlight w:val="none"/>
                <w:lang w:val="zh-CN"/>
              </w:rPr>
            </w:pPr>
            <w:r>
              <w:rPr>
                <w:rFonts w:hint="eastAsia" w:ascii="宋体" w:hAnsi="宋体"/>
                <w:sz w:val="21"/>
                <w:szCs w:val="21"/>
                <w:highlight w:val="none"/>
                <w:lang w:val="zh-CN"/>
              </w:rPr>
              <w:t>9</w:t>
            </w:r>
          </w:p>
        </w:tc>
        <w:tc>
          <w:tcPr>
            <w:tcW w:w="6926" w:type="dxa"/>
            <w:noWrap w:val="0"/>
            <w:vAlign w:val="center"/>
          </w:tcPr>
          <w:p w14:paraId="1CF9615E">
            <w:pPr>
              <w:pStyle w:val="24"/>
              <w:keepNext w:val="0"/>
              <w:keepLines w:val="0"/>
              <w:pageBreakBefore w:val="0"/>
              <w:shd w:val="clear" w:color="auto"/>
              <w:kinsoku/>
              <w:overflowPunct/>
              <w:topLinePunct w:val="0"/>
              <w:bidi w:val="0"/>
              <w:adjustRightInd/>
              <w:snapToGrid/>
              <w:spacing w:beforeAutospacing="0" w:afterAutospacing="0" w:line="320" w:lineRule="exact"/>
              <w:rPr>
                <w:rFonts w:hint="eastAsia" w:ascii="宋体" w:hAnsi="宋体"/>
                <w:sz w:val="21"/>
                <w:szCs w:val="21"/>
                <w:highlight w:val="none"/>
                <w:lang w:val="zh-CN"/>
              </w:rPr>
            </w:pPr>
            <w:r>
              <w:rPr>
                <w:rFonts w:hint="eastAsia" w:ascii="宋体" w:hAnsi="宋体" w:eastAsia="宋体" w:cs="宋体"/>
                <w:color w:val="auto"/>
                <w:sz w:val="21"/>
                <w:szCs w:val="21"/>
                <w:highlight w:val="none"/>
                <w:lang w:val="en-US" w:eastAsia="zh-CN"/>
              </w:rPr>
              <w:t>本项目专门面向中小企业采购，非中小企业单位（监狱企业、残疾人福利单位除外）不得参与磋商。（中小企业声明函）</w:t>
            </w:r>
          </w:p>
        </w:tc>
        <w:tc>
          <w:tcPr>
            <w:tcW w:w="1902" w:type="dxa"/>
            <w:noWrap w:val="0"/>
            <w:vAlign w:val="center"/>
          </w:tcPr>
          <w:p w14:paraId="1E0AED5D">
            <w:pPr>
              <w:keepNext w:val="0"/>
              <w:keepLines w:val="0"/>
              <w:pageBreakBefore w:val="0"/>
              <w:widowControl/>
              <w:kinsoku/>
              <w:overflowPunct/>
              <w:topLinePunct w:val="0"/>
              <w:bidi w:val="0"/>
              <w:adjustRightInd/>
              <w:snapToGrid/>
              <w:spacing w:beforeAutospacing="0" w:afterAutospacing="0" w:line="320" w:lineRule="exact"/>
              <w:jc w:val="center"/>
              <w:textAlignment w:val="baseline"/>
              <w:rPr>
                <w:rFonts w:hint="eastAsia" w:ascii="宋体" w:hAnsi="宋体"/>
                <w:sz w:val="21"/>
                <w:szCs w:val="21"/>
              </w:rPr>
            </w:pPr>
            <w:r>
              <w:rPr>
                <w:rFonts w:hint="eastAsia" w:ascii="宋体" w:hAnsi="宋体"/>
                <w:sz w:val="21"/>
                <w:szCs w:val="21"/>
              </w:rPr>
              <w:t>符合要求</w:t>
            </w:r>
          </w:p>
        </w:tc>
      </w:tr>
      <w:tr w14:paraId="7C4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57" w:type="dxa"/>
            <w:noWrap w:val="0"/>
            <w:vAlign w:val="center"/>
          </w:tcPr>
          <w:p w14:paraId="482BB1CB">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10</w:t>
            </w:r>
          </w:p>
        </w:tc>
        <w:tc>
          <w:tcPr>
            <w:tcW w:w="6926" w:type="dxa"/>
            <w:noWrap w:val="0"/>
            <w:vAlign w:val="center"/>
          </w:tcPr>
          <w:p w14:paraId="0978D125">
            <w:pPr>
              <w:pStyle w:val="24"/>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20" w:lineRule="exact"/>
              <w:jc w:val="both"/>
              <w:rPr>
                <w:rFonts w:hint="eastAsia"/>
                <w:color w:val="000000"/>
                <w:sz w:val="21"/>
                <w:szCs w:val="21"/>
                <w:shd w:val="clear" w:color="auto" w:fill="FFFFFF"/>
              </w:rPr>
            </w:pPr>
            <w:r>
              <w:rPr>
                <w:rFonts w:hint="eastAsia" w:ascii="宋体" w:hAnsi="宋体" w:eastAsia="宋体" w:cs="宋体"/>
                <w:i w:val="0"/>
                <w:iCs w:val="0"/>
                <w:caps w:val="0"/>
                <w:color w:val="auto"/>
                <w:spacing w:val="0"/>
                <w:sz w:val="21"/>
                <w:szCs w:val="21"/>
              </w:rPr>
              <w:t>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lang w:val="en-US" w:eastAsia="zh-CN"/>
              </w:rPr>
              <w:t>声明</w:t>
            </w:r>
            <w:r>
              <w:rPr>
                <w:rFonts w:hint="eastAsia" w:ascii="宋体" w:hAnsi="宋体" w:eastAsia="宋体" w:cs="宋体"/>
                <w:i w:val="0"/>
                <w:iCs w:val="0"/>
                <w:caps w:val="0"/>
                <w:color w:val="auto"/>
                <w:spacing w:val="0"/>
                <w:sz w:val="21"/>
                <w:szCs w:val="21"/>
                <w:lang w:eastAsia="zh-CN"/>
              </w:rPr>
              <w:t>）</w:t>
            </w:r>
          </w:p>
        </w:tc>
        <w:tc>
          <w:tcPr>
            <w:tcW w:w="1902" w:type="dxa"/>
            <w:noWrap w:val="0"/>
            <w:vAlign w:val="center"/>
          </w:tcPr>
          <w:p w14:paraId="7D7EDD58">
            <w:pPr>
              <w:keepNext w:val="0"/>
              <w:keepLines w:val="0"/>
              <w:pageBreakBefore w:val="0"/>
              <w:widowControl/>
              <w:kinsoku/>
              <w:overflowPunct/>
              <w:topLinePunct w:val="0"/>
              <w:bidi w:val="0"/>
              <w:adjustRightInd/>
              <w:snapToGrid/>
              <w:spacing w:beforeAutospacing="0" w:afterAutospacing="0" w:line="320" w:lineRule="exact"/>
              <w:jc w:val="center"/>
              <w:textAlignment w:val="baseline"/>
              <w:rPr>
                <w:rFonts w:hint="eastAsia" w:ascii="宋体" w:hAnsi="宋体"/>
                <w:sz w:val="21"/>
                <w:szCs w:val="21"/>
              </w:rPr>
            </w:pPr>
            <w:r>
              <w:rPr>
                <w:rFonts w:hint="eastAsia" w:ascii="宋体" w:hAnsi="宋体"/>
                <w:sz w:val="21"/>
                <w:szCs w:val="21"/>
              </w:rPr>
              <w:t>符合要求</w:t>
            </w:r>
          </w:p>
        </w:tc>
      </w:tr>
      <w:tr w14:paraId="314C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noWrap w:val="0"/>
            <w:vAlign w:val="center"/>
          </w:tcPr>
          <w:p w14:paraId="1323D16A">
            <w:pPr>
              <w:keepNext w:val="0"/>
              <w:keepLines w:val="0"/>
              <w:pageBreakBefore w:val="0"/>
              <w:kinsoku/>
              <w:overflowPunct/>
              <w:topLinePunct w:val="0"/>
              <w:autoSpaceDE w:val="0"/>
              <w:autoSpaceDN w:val="0"/>
              <w:bidi w:val="0"/>
              <w:adjustRightInd/>
              <w:snapToGrid/>
              <w:spacing w:beforeAutospacing="0" w:afterAutospacing="0" w:line="320" w:lineRule="exact"/>
              <w:jc w:val="center"/>
              <w:rPr>
                <w:rFonts w:hint="eastAsia" w:ascii="宋体" w:hAnsi="宋体"/>
                <w:sz w:val="21"/>
                <w:szCs w:val="21"/>
                <w:lang w:val="zh-CN"/>
              </w:rPr>
            </w:pPr>
            <w:r>
              <w:rPr>
                <w:rFonts w:hint="eastAsia" w:ascii="宋体" w:hAnsi="宋体"/>
                <w:sz w:val="21"/>
                <w:szCs w:val="21"/>
                <w:lang w:val="zh-CN"/>
              </w:rPr>
              <w:t>11</w:t>
            </w:r>
          </w:p>
        </w:tc>
        <w:tc>
          <w:tcPr>
            <w:tcW w:w="6926" w:type="dxa"/>
            <w:noWrap w:val="0"/>
            <w:vAlign w:val="center"/>
          </w:tcPr>
          <w:p w14:paraId="66CDFD82">
            <w:pPr>
              <w:keepNext w:val="0"/>
              <w:keepLines w:val="0"/>
              <w:pageBreakBefore w:val="0"/>
              <w:kinsoku/>
              <w:overflowPunct/>
              <w:topLinePunct w:val="0"/>
              <w:bidi w:val="0"/>
              <w:adjustRightInd/>
              <w:snapToGrid/>
              <w:spacing w:beforeAutospacing="0" w:afterAutospacing="0" w:line="320" w:lineRule="exact"/>
              <w:rPr>
                <w:rFonts w:hint="eastAsia" w:ascii="宋体" w:hAnsi="宋体"/>
                <w:sz w:val="21"/>
                <w:szCs w:val="21"/>
              </w:rPr>
            </w:pPr>
            <w:r>
              <w:rPr>
                <w:rFonts w:hint="eastAsia" w:ascii="宋体" w:hAnsi="宋体" w:eastAsia="宋体" w:cs="宋体"/>
                <w:i w:val="0"/>
                <w:iCs w:val="0"/>
                <w:caps w:val="0"/>
                <w:color w:val="auto"/>
                <w:spacing w:val="0"/>
                <w:sz w:val="21"/>
                <w:szCs w:val="21"/>
              </w:rPr>
              <w:t>本项目不接受联合体磋商。</w:t>
            </w:r>
            <w:r>
              <w:rPr>
                <w:rFonts w:hint="eastAsia" w:ascii="宋体" w:hAnsi="宋体" w:eastAsia="宋体" w:cs="宋体"/>
                <w:i w:val="0"/>
                <w:iCs w:val="0"/>
                <w:caps w:val="0"/>
                <w:color w:val="auto"/>
                <w:spacing w:val="0"/>
                <w:sz w:val="21"/>
                <w:szCs w:val="21"/>
                <w:lang w:eastAsia="zh-CN"/>
              </w:rPr>
              <w:t>（</w:t>
            </w:r>
            <w:r>
              <w:rPr>
                <w:rFonts w:hint="eastAsia" w:ascii="宋体" w:hAnsi="宋体" w:eastAsia="宋体" w:cs="宋体"/>
                <w:i w:val="0"/>
                <w:iCs w:val="0"/>
                <w:caps w:val="0"/>
                <w:color w:val="auto"/>
                <w:spacing w:val="0"/>
                <w:sz w:val="21"/>
                <w:szCs w:val="21"/>
                <w:lang w:val="en-US" w:eastAsia="zh-CN"/>
              </w:rPr>
              <w:t>声明</w:t>
            </w:r>
            <w:r>
              <w:rPr>
                <w:rFonts w:hint="eastAsia" w:ascii="宋体" w:hAnsi="宋体" w:eastAsia="宋体" w:cs="宋体"/>
                <w:i w:val="0"/>
                <w:iCs w:val="0"/>
                <w:caps w:val="0"/>
                <w:color w:val="auto"/>
                <w:spacing w:val="0"/>
                <w:sz w:val="21"/>
                <w:szCs w:val="21"/>
                <w:lang w:eastAsia="zh-CN"/>
              </w:rPr>
              <w:t>）</w:t>
            </w:r>
          </w:p>
        </w:tc>
        <w:tc>
          <w:tcPr>
            <w:tcW w:w="1902" w:type="dxa"/>
            <w:noWrap w:val="0"/>
            <w:vAlign w:val="center"/>
          </w:tcPr>
          <w:p w14:paraId="0328E195">
            <w:pPr>
              <w:keepNext w:val="0"/>
              <w:keepLines w:val="0"/>
              <w:pageBreakBefore w:val="0"/>
              <w:widowControl/>
              <w:kinsoku/>
              <w:overflowPunct/>
              <w:topLinePunct w:val="0"/>
              <w:bidi w:val="0"/>
              <w:adjustRightInd/>
              <w:snapToGrid/>
              <w:spacing w:beforeAutospacing="0" w:afterAutospacing="0" w:line="320" w:lineRule="exact"/>
              <w:jc w:val="center"/>
              <w:textAlignment w:val="baseline"/>
              <w:rPr>
                <w:rFonts w:hint="eastAsia" w:ascii="宋体" w:hAnsi="宋体"/>
                <w:sz w:val="21"/>
                <w:szCs w:val="21"/>
              </w:rPr>
            </w:pPr>
            <w:r>
              <w:rPr>
                <w:rFonts w:hint="eastAsia" w:ascii="宋体" w:hAnsi="宋体"/>
                <w:sz w:val="21"/>
                <w:szCs w:val="21"/>
              </w:rPr>
              <w:t>符合要求</w:t>
            </w:r>
          </w:p>
        </w:tc>
      </w:tr>
    </w:tbl>
    <w:p w14:paraId="0854E7C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56A4903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1、所有资质证件的复印件必须加盖单位公章附在磋商响应文件中。</w:t>
      </w:r>
    </w:p>
    <w:p w14:paraId="539E23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1"/>
          <w:szCs w:val="21"/>
          <w:highlight w:val="none"/>
        </w:rPr>
        <w:t>2、上述资格证明文件为必备资格，缺项按无效</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处理。　</w:t>
      </w:r>
      <w:r>
        <w:rPr>
          <w:rFonts w:hint="eastAsia" w:ascii="宋体" w:hAnsi="宋体" w:eastAsia="宋体" w:cs="宋体"/>
          <w:color w:val="auto"/>
          <w:kern w:val="0"/>
          <w:sz w:val="24"/>
          <w:szCs w:val="24"/>
          <w:highlight w:val="none"/>
        </w:rPr>
        <w:t>　</w:t>
      </w:r>
      <w:r>
        <w:rPr>
          <w:rFonts w:hint="eastAsia" w:ascii="宋体" w:hAnsi="宋体" w:eastAsia="宋体" w:cs="宋体"/>
          <w:color w:val="auto"/>
          <w:sz w:val="24"/>
          <w:szCs w:val="24"/>
          <w:highlight w:val="none"/>
        </w:rPr>
        <w:t>　　　</w:t>
      </w:r>
    </w:p>
    <w:p w14:paraId="06FD2E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3.2符合性审查</w:t>
      </w:r>
    </w:p>
    <w:p w14:paraId="5188F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8"/>
        <w:tblW w:w="9064" w:type="dxa"/>
        <w:jc w:val="center"/>
        <w:tblLayout w:type="fixed"/>
        <w:tblCellMar>
          <w:top w:w="0" w:type="dxa"/>
          <w:left w:w="10" w:type="dxa"/>
          <w:bottom w:w="0" w:type="dxa"/>
          <w:right w:w="10" w:type="dxa"/>
        </w:tblCellMar>
      </w:tblPr>
      <w:tblGrid>
        <w:gridCol w:w="681"/>
        <w:gridCol w:w="2929"/>
        <w:gridCol w:w="5454"/>
      </w:tblGrid>
      <w:tr w14:paraId="614FBAA6">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AFDF7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09A83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336A8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5FFD4278">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33B9F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1136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3EB77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供应商名称和公章、营业执照一致</w:t>
            </w:r>
          </w:p>
        </w:tc>
      </w:tr>
      <w:tr w14:paraId="7D7D5D0D">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9ABC2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B6D0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422B4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完整无缺项，无选择性报价</w:t>
            </w:r>
            <w:r>
              <w:rPr>
                <w:rFonts w:hint="eastAsia" w:ascii="宋体" w:hAnsi="宋体" w:eastAsia="宋体" w:cs="宋体"/>
                <w:color w:val="auto"/>
                <w:sz w:val="21"/>
                <w:szCs w:val="21"/>
                <w:highlight w:val="none"/>
                <w:lang w:eastAsia="zh-CN"/>
              </w:rPr>
              <w:t>；</w:t>
            </w:r>
          </w:p>
        </w:tc>
      </w:tr>
      <w:tr w14:paraId="1A582A31">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7407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9FC8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3D28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自磋商之日起不少于90个日历日</w:t>
            </w:r>
          </w:p>
        </w:tc>
      </w:tr>
      <w:tr w14:paraId="502CD633">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970B7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2BCBA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47E1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响应文件的签字盖章合格有效；</w:t>
            </w:r>
          </w:p>
        </w:tc>
      </w:tr>
      <w:tr w14:paraId="6EF838B6">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8724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9CB1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7A72D0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w:t>
            </w:r>
          </w:p>
        </w:tc>
      </w:tr>
      <w:tr w14:paraId="3D8579F8">
        <w:tblPrEx>
          <w:tblCellMar>
            <w:top w:w="0" w:type="dxa"/>
            <w:left w:w="10" w:type="dxa"/>
            <w:bottom w:w="0" w:type="dxa"/>
            <w:right w:w="10"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8E29D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CC56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en-US" w:eastAsia="zh-CN"/>
              </w:rPr>
              <w:t>份数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3E21C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w:t>
            </w:r>
          </w:p>
        </w:tc>
      </w:tr>
    </w:tbl>
    <w:p w14:paraId="74A59BA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说明：以上各项有1项不合格，评审不予通过，作为未实质性响应磋商文件。在资格性、符合性检查时，审查未通过的，不得进入后续评审环节。</w:t>
      </w:r>
    </w:p>
    <w:p w14:paraId="1CEDA11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3.2.2有下列情形之一的，视为供应商串通磋商，磋商小组应当认定其响应文件无效：</w:t>
      </w:r>
    </w:p>
    <w:p w14:paraId="2E2219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w:t>
      </w:r>
    </w:p>
    <w:p w14:paraId="3E6812A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不同供应商委托同一单位或者个人办理磋商事宜； </w:t>
      </w:r>
    </w:p>
    <w:p w14:paraId="674936A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（2）不同供应商的响应文件载明的项目管理成员或者联系人员为同一人；</w:t>
      </w:r>
    </w:p>
    <w:p w14:paraId="365CD83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（3）不同供应商的响应文件异常一致或者磋商报价呈规律性差异；</w:t>
      </w:r>
    </w:p>
    <w:p w14:paraId="542792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（4）不同供应商的响应文件相互混装；</w:t>
      </w:r>
    </w:p>
    <w:p w14:paraId="4501960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（5）不同供应商的磋商保证金从同一单位或者个人的账户转出。</w:t>
      </w:r>
    </w:p>
    <w:p w14:paraId="287B8A9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3.2.3出现下列情况之一者（但不限于），磋商小组应按无效响应文件处理：</w:t>
      </w:r>
    </w:p>
    <w:p w14:paraId="31C86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供应商的磋商报价超过采购预算的；</w:t>
      </w:r>
    </w:p>
    <w:p w14:paraId="38551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供应商未经过正常渠道购买磋商文件，或供应商名称与购买磋商文件时登记的供应商名称不符的；</w:t>
      </w:r>
    </w:p>
    <w:p w14:paraId="599A9E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供应商不具备资格条件的；</w:t>
      </w:r>
    </w:p>
    <w:p w14:paraId="5DF87F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实质性内容不满足或未响应的；</w:t>
      </w:r>
    </w:p>
    <w:p w14:paraId="0FCDDE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响应文件的有效性和符合性不符合要求的；</w:t>
      </w:r>
    </w:p>
    <w:p w14:paraId="16A52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供应商未按磋商文件要求签字、加盖公章的；</w:t>
      </w:r>
    </w:p>
    <w:p w14:paraId="3E49B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响应文件有涂改，涂改处未按磋商文件要求签字的；</w:t>
      </w:r>
    </w:p>
    <w:p w14:paraId="249C9F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无磋商有效期或有效期不符合磋商文件要求的；</w:t>
      </w:r>
    </w:p>
    <w:p w14:paraId="017CB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供应商针对同一项目递交两份或多份内容不同的响应文件，未书面声明哪一份是有效的或出现选择性报价的；</w:t>
      </w:r>
    </w:p>
    <w:p w14:paraId="4CF78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提供虚假资质、虚假证明（包括第三方提供的虚假证明）、出现虚假应答的，除按无效响应文件处理外，还将按照政府采购的有关规定进行处罚；</w:t>
      </w:r>
    </w:p>
    <w:p w14:paraId="6C524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响应文件附加了采购人难以接受的条件或条款的；</w:t>
      </w:r>
    </w:p>
    <w:p w14:paraId="3A462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供应商前期参与了本次项目方案设计的；</w:t>
      </w:r>
    </w:p>
    <w:p w14:paraId="693596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在政府采购或其它重大项目履约过程中有不良记录，未能按期履约的；</w:t>
      </w:r>
    </w:p>
    <w:p w14:paraId="564EAD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磋商报价与市场价格偏离较大、低于成本、磋商小组认为形成不正当竞争的，且在规定时间内无法提供有效书面证明；</w:t>
      </w:r>
    </w:p>
    <w:p w14:paraId="0D98F7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供应商未按磋商文件要求提交磋商保证金的；</w:t>
      </w:r>
    </w:p>
    <w:p w14:paraId="54A93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不符合法律、法规和磋商文件中规定的其他无效情形。</w:t>
      </w:r>
    </w:p>
    <w:p w14:paraId="667B0F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4.磋商澄清</w:t>
      </w:r>
    </w:p>
    <w:p w14:paraId="64D46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4.1磋商小组有权就磋商响应文件中含混之处向上述步骤初审合格的磋商供应商提出询问或澄清要求；磋商供应商将有关询标澄清、补正、说明的内容应以书面形式提交；</w:t>
      </w:r>
    </w:p>
    <w:p w14:paraId="468A9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4.2竞争性磋商公告、磋商响应文件作为磋商的依据，澄清、补正、说明的内容只作为磋商参考。磋商澄清时磋商供应商只作说明和解释，不得借此对磋商报价、</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、主要技术指标等实质性内容做任何修改；如澄清、补正、说明的内容与磋商响应文件内容有重大相悖或矛盾，将被认定为无效文件；</w:t>
      </w:r>
    </w:p>
    <w:p w14:paraId="4E6E4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4.3磋商供应商对磋商响应文件的澄清不得改变磋商报价及实质内容。磋商时，磋商响应文件中出现下列情况，修正原则为：</w:t>
      </w:r>
    </w:p>
    <w:p w14:paraId="61448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（1）磋商响应文件中响应报价表内容与磋商响应文件中明细内容不一致的，以响应报价表为准；</w:t>
      </w:r>
    </w:p>
    <w:p w14:paraId="5DFB0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（2）磋商报价的大写金额和小写金额不一致的，以大写金额为准；</w:t>
      </w:r>
    </w:p>
    <w:p w14:paraId="1FA93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7A174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（4）单价金额小数点有明显错位的，以总价为准，并修改单价；</w:t>
      </w:r>
    </w:p>
    <w:p w14:paraId="50DA7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（5）磋商响应文件正本与副本不一致的，以正本为准；</w:t>
      </w:r>
    </w:p>
    <w:p w14:paraId="7623D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（6）多处内容交叉不符时，以磋商小组成员会评审结果为准；</w:t>
      </w:r>
    </w:p>
    <w:p w14:paraId="4DC5D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（7）文字与图表不符时以文字为准；</w:t>
      </w:r>
    </w:p>
    <w:p w14:paraId="53A07C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r>
        <w:rPr>
          <w:rFonts w:hint="eastAsia" w:ascii="宋体" w:hAnsi="宋体" w:eastAsia="宋体" w:cs="宋体"/>
          <w:color w:val="auto"/>
          <w:sz w:val="24"/>
          <w:szCs w:val="24"/>
          <w:highlight w:val="none"/>
          <w:lang w:eastAsia="zh-CN"/>
        </w:rPr>
        <w:t>。</w:t>
      </w:r>
    </w:p>
    <w:p w14:paraId="7A8328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5.评审方法及内容</w:t>
      </w:r>
    </w:p>
    <w:p w14:paraId="2F2FF2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65D4F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5.2磋商小组根据以下内容进行综合比较，自主打分，按最后得分由高到低汇总排序，推荐成交候选3名供应商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若项目划分标段，则</w:t>
      </w:r>
      <w:r>
        <w:rPr>
          <w:rFonts w:hint="eastAsia" w:ascii="宋体" w:hAnsi="宋体" w:eastAsia="宋体" w:cs="宋体"/>
          <w:color w:val="auto"/>
          <w:sz w:val="24"/>
          <w:szCs w:val="24"/>
          <w:highlight w:val="none"/>
        </w:rPr>
        <w:t>以标段为单位分别推荐成交候选3名供应商；磋商小组根据磋商结果写出磋商意见。</w:t>
      </w:r>
    </w:p>
    <w:p w14:paraId="3E1A6E57">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sectPr>
          <w:pgSz w:w="11906" w:h="16838"/>
          <w:pgMar w:top="1440" w:right="1800" w:bottom="1440" w:left="1800" w:header="850" w:footer="992" w:gutter="0"/>
          <w:pgNumType w:fmt="decimal"/>
          <w:cols w:space="0" w:num="1"/>
          <w:docGrid w:type="lines" w:linePitch="317" w:charSpace="0"/>
        </w:sectPr>
      </w:pPr>
    </w:p>
    <w:p w14:paraId="7D110253">
      <w:pPr>
        <w:pStyle w:val="1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5.3评审指标分值构成（总计100分）</w:t>
      </w:r>
    </w:p>
    <w:p w14:paraId="48925F3B">
      <w:pPr>
        <w:jc w:val="center"/>
      </w:pPr>
      <w:r>
        <w:rPr>
          <w:rFonts w:hint="eastAsia"/>
        </w:rPr>
        <w:t>评审要素及分值表</w:t>
      </w:r>
    </w:p>
    <w:tbl>
      <w:tblPr>
        <w:tblStyle w:val="28"/>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810"/>
        <w:gridCol w:w="7760"/>
      </w:tblGrid>
      <w:tr w14:paraId="1E7D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39DF9C5D">
            <w:pPr>
              <w:jc w:val="center"/>
              <w:rPr>
                <w:rFonts w:hint="default" w:ascii="Times New Roman" w:hAnsi="Times New Roman" w:cs="Times New Roman"/>
                <w:sz w:val="21"/>
                <w:szCs w:val="21"/>
              </w:rPr>
            </w:pPr>
            <w:r>
              <w:rPr>
                <w:rFonts w:hint="default" w:ascii="Times New Roman" w:hAnsi="Times New Roman" w:cs="Times New Roman"/>
                <w:sz w:val="21"/>
                <w:szCs w:val="21"/>
              </w:rPr>
              <w:t>评分项目</w:t>
            </w:r>
          </w:p>
        </w:tc>
        <w:tc>
          <w:tcPr>
            <w:tcW w:w="810" w:type="dxa"/>
            <w:tcBorders>
              <w:top w:val="single" w:color="auto" w:sz="4" w:space="0"/>
              <w:left w:val="single" w:color="auto" w:sz="4" w:space="0"/>
              <w:bottom w:val="single" w:color="auto" w:sz="4" w:space="0"/>
              <w:right w:val="single" w:color="auto" w:sz="4" w:space="0"/>
            </w:tcBorders>
            <w:vAlign w:val="center"/>
          </w:tcPr>
          <w:p w14:paraId="06F21B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分值</w:t>
            </w:r>
          </w:p>
        </w:tc>
        <w:tc>
          <w:tcPr>
            <w:tcW w:w="7760" w:type="dxa"/>
            <w:tcBorders>
              <w:top w:val="single" w:color="auto" w:sz="4" w:space="0"/>
              <w:left w:val="single" w:color="auto" w:sz="4" w:space="0"/>
              <w:bottom w:val="single" w:color="auto" w:sz="4" w:space="0"/>
              <w:right w:val="single" w:color="auto" w:sz="4" w:space="0"/>
            </w:tcBorders>
            <w:vAlign w:val="center"/>
          </w:tcPr>
          <w:p w14:paraId="7730C109">
            <w:pPr>
              <w:jc w:val="center"/>
              <w:rPr>
                <w:rFonts w:hint="default" w:ascii="Times New Roman" w:hAnsi="Times New Roman" w:cs="Times New Roman"/>
                <w:sz w:val="21"/>
                <w:szCs w:val="21"/>
              </w:rPr>
            </w:pPr>
            <w:r>
              <w:rPr>
                <w:rFonts w:hint="default" w:ascii="Times New Roman" w:hAnsi="Times New Roman" w:cs="Times New Roman"/>
                <w:sz w:val="21"/>
                <w:szCs w:val="21"/>
              </w:rPr>
              <w:t>评分标准</w:t>
            </w:r>
          </w:p>
        </w:tc>
      </w:tr>
      <w:tr w14:paraId="473D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3BF84271">
            <w:pPr>
              <w:jc w:val="center"/>
              <w:rPr>
                <w:rFonts w:hint="default" w:ascii="Times New Roman" w:hAnsi="Times New Roman" w:cs="Times New Roman"/>
                <w:sz w:val="21"/>
                <w:szCs w:val="21"/>
              </w:rPr>
            </w:pPr>
            <w:r>
              <w:rPr>
                <w:rFonts w:hint="default" w:ascii="Times New Roman" w:hAnsi="Times New Roman" w:cs="Times New Roman"/>
                <w:sz w:val="21"/>
                <w:szCs w:val="21"/>
              </w:rPr>
              <w:t>报价</w:t>
            </w:r>
          </w:p>
        </w:tc>
        <w:tc>
          <w:tcPr>
            <w:tcW w:w="810" w:type="dxa"/>
            <w:tcBorders>
              <w:top w:val="single" w:color="auto" w:sz="4" w:space="0"/>
              <w:left w:val="single" w:color="auto" w:sz="4" w:space="0"/>
              <w:bottom w:val="single" w:color="auto" w:sz="4" w:space="0"/>
              <w:right w:val="single" w:color="auto" w:sz="4" w:space="0"/>
            </w:tcBorders>
            <w:vAlign w:val="center"/>
          </w:tcPr>
          <w:p w14:paraId="346CD3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30分</w:t>
            </w:r>
          </w:p>
        </w:tc>
        <w:tc>
          <w:tcPr>
            <w:tcW w:w="7760" w:type="dxa"/>
            <w:tcBorders>
              <w:top w:val="single" w:color="auto" w:sz="4" w:space="0"/>
              <w:left w:val="single" w:color="auto" w:sz="4" w:space="0"/>
              <w:bottom w:val="single" w:color="auto" w:sz="4" w:space="0"/>
              <w:right w:val="single" w:color="auto" w:sz="4" w:space="0"/>
            </w:tcBorders>
            <w:vAlign w:val="center"/>
          </w:tcPr>
          <w:p w14:paraId="410301B3">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通过资格审查及符合性审查的磋商报价为有效报价</w:t>
            </w:r>
          </w:p>
          <w:p w14:paraId="1EC4A36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价格分采用低价优先法计算，即满足竞争性磋商文件要求且磋商报价最低的磋商报价为评标基准价，其价格分为满分30分。其他磋商供应商的价格分按照下列公式计算：</w:t>
            </w:r>
          </w:p>
          <w:p w14:paraId="3599BA1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磋商报价＝（评标基准价/磋商报价）×100% ×30</w:t>
            </w:r>
          </w:p>
        </w:tc>
      </w:tr>
      <w:tr w14:paraId="39D2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644F7125">
            <w:pPr>
              <w:jc w:val="center"/>
              <w:rPr>
                <w:rFonts w:hint="default" w:ascii="Times New Roman" w:hAnsi="Times New Roman" w:cs="Times New Roman"/>
                <w:sz w:val="21"/>
                <w:szCs w:val="21"/>
              </w:rPr>
            </w:pPr>
            <w:r>
              <w:rPr>
                <w:rFonts w:hint="default" w:ascii="Times New Roman" w:hAnsi="Times New Roman" w:cs="Times New Roman"/>
                <w:sz w:val="21"/>
                <w:szCs w:val="21"/>
              </w:rPr>
              <w:t>项目理解</w:t>
            </w:r>
          </w:p>
        </w:tc>
        <w:tc>
          <w:tcPr>
            <w:tcW w:w="810" w:type="dxa"/>
            <w:tcBorders>
              <w:top w:val="single" w:color="auto" w:sz="4" w:space="0"/>
              <w:left w:val="single" w:color="auto" w:sz="4" w:space="0"/>
              <w:bottom w:val="single" w:color="auto" w:sz="4" w:space="0"/>
              <w:right w:val="single" w:color="auto" w:sz="4" w:space="0"/>
            </w:tcBorders>
            <w:vAlign w:val="center"/>
          </w:tcPr>
          <w:p w14:paraId="3307BF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9</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4B18FD06">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cs="Times New Roman"/>
                <w:sz w:val="21"/>
                <w:szCs w:val="21"/>
                <w:lang w:val="en-US" w:eastAsia="zh-CN"/>
              </w:rPr>
            </w:pPr>
            <w:r>
              <w:rPr>
                <w:rFonts w:hint="eastAsia" w:cs="Times New Roman"/>
                <w:sz w:val="21"/>
                <w:szCs w:val="21"/>
                <w:lang w:val="en-US" w:eastAsia="zh-CN"/>
              </w:rPr>
              <w:t>1、评审内容：</w:t>
            </w:r>
          </w:p>
          <w:p w14:paraId="71E87E96">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eastAsia="宋体" w:cs="Times New Roman"/>
                <w:sz w:val="21"/>
                <w:szCs w:val="21"/>
                <w:lang w:eastAsia="zh-CN"/>
              </w:rPr>
            </w:pPr>
            <w:r>
              <w:rPr>
                <w:rFonts w:hint="default" w:ascii="Times New Roman" w:hAnsi="Times New Roman" w:cs="Times New Roman"/>
                <w:sz w:val="21"/>
                <w:szCs w:val="21"/>
              </w:rPr>
              <w:t>供应商结合本项目的特点对需求有深入的理解。</w:t>
            </w:r>
            <w:r>
              <w:rPr>
                <w:rFonts w:hint="eastAsia" w:cs="Times New Roman"/>
                <w:sz w:val="21"/>
                <w:szCs w:val="21"/>
                <w:lang w:val="en-US" w:eastAsia="zh-CN"/>
              </w:rPr>
              <w:t>内容包括</w:t>
            </w:r>
            <w:r>
              <w:rPr>
                <w:rFonts w:hint="eastAsia" w:ascii="宋体" w:hAnsi="宋体" w:eastAsia="宋体" w:cs="宋体"/>
                <w:sz w:val="21"/>
                <w:szCs w:val="21"/>
              </w:rPr>
              <w:t>①</w:t>
            </w:r>
            <w:r>
              <w:rPr>
                <w:rFonts w:hint="default" w:ascii="Times New Roman" w:hAnsi="Times New Roman" w:cs="Times New Roman"/>
                <w:sz w:val="21"/>
                <w:szCs w:val="21"/>
              </w:rPr>
              <w:t>项目所购设备的供货、安装及运维的深化设计思路</w:t>
            </w:r>
            <w:r>
              <w:rPr>
                <w:rFonts w:hint="eastAsia" w:ascii="宋体" w:hAnsi="宋体" w:eastAsia="宋体" w:cs="宋体"/>
                <w:sz w:val="21"/>
                <w:szCs w:val="21"/>
              </w:rPr>
              <w:t>②</w:t>
            </w:r>
            <w:r>
              <w:rPr>
                <w:rFonts w:hint="eastAsia" w:ascii="Times New Roman" w:hAnsi="Times New Roman" w:eastAsia="宋体" w:cs="Times New Roman"/>
                <w:sz w:val="21"/>
                <w:szCs w:val="21"/>
                <w:lang w:val="en-US" w:eastAsia="zh-CN"/>
              </w:rPr>
              <w:t>对</w:t>
            </w:r>
            <w:r>
              <w:rPr>
                <w:rFonts w:hint="default" w:ascii="Times New Roman" w:hAnsi="Times New Roman" w:eastAsia="宋体" w:cs="Times New Roman"/>
                <w:sz w:val="21"/>
                <w:szCs w:val="21"/>
              </w:rPr>
              <w:t>项目</w:t>
            </w:r>
            <w:r>
              <w:rPr>
                <w:rFonts w:hint="eastAsia" w:ascii="Times New Roman" w:hAnsi="Times New Roman" w:eastAsia="宋体" w:cs="Times New Roman"/>
                <w:sz w:val="21"/>
                <w:szCs w:val="21"/>
                <w:lang w:val="en-US" w:eastAsia="zh-CN"/>
              </w:rPr>
              <w:t>工作难点和要点有明确的理解</w:t>
            </w:r>
            <w:r>
              <w:rPr>
                <w:rFonts w:hint="default" w:ascii="Times New Roman" w:hAnsi="Times New Roman" w:eastAsia="宋体" w:cs="Times New Roman"/>
                <w:sz w:val="21"/>
                <w:szCs w:val="21"/>
                <w:lang w:val="en-US" w:eastAsia="zh-CN"/>
              </w:rPr>
              <w:t>③</w:t>
            </w:r>
            <w:r>
              <w:rPr>
                <w:rFonts w:hint="eastAsia" w:ascii="Times New Roman" w:hAnsi="Times New Roman" w:eastAsia="宋体" w:cs="Times New Roman"/>
                <w:sz w:val="21"/>
                <w:szCs w:val="21"/>
                <w:lang w:val="en-US" w:eastAsia="zh-CN"/>
              </w:rPr>
              <w:t>对项目整体</w:t>
            </w:r>
            <w:r>
              <w:rPr>
                <w:rFonts w:hint="default" w:ascii="Times New Roman" w:hAnsi="Times New Roman" w:eastAsia="宋体" w:cs="Times New Roman"/>
                <w:sz w:val="21"/>
                <w:szCs w:val="21"/>
              </w:rPr>
              <w:t>解决方案</w:t>
            </w:r>
            <w:r>
              <w:rPr>
                <w:rFonts w:hint="eastAsia" w:ascii="Times New Roman" w:hAnsi="Times New Roman" w:eastAsia="宋体" w:cs="Times New Roman"/>
                <w:sz w:val="21"/>
                <w:szCs w:val="21"/>
                <w:lang w:val="en-US" w:eastAsia="zh-CN"/>
              </w:rPr>
              <w:t>有明确的</w:t>
            </w:r>
            <w:r>
              <w:rPr>
                <w:rFonts w:hint="default" w:ascii="Times New Roman" w:hAnsi="Times New Roman" w:eastAsia="宋体" w:cs="Times New Roman"/>
                <w:sz w:val="21"/>
                <w:szCs w:val="21"/>
              </w:rPr>
              <w:t>理解</w:t>
            </w:r>
            <w:r>
              <w:rPr>
                <w:rFonts w:hint="eastAsia" w:eastAsia="宋体" w:cs="Times New Roman"/>
                <w:sz w:val="21"/>
                <w:szCs w:val="21"/>
                <w:lang w:eastAsia="zh-CN"/>
              </w:rPr>
              <w:t>。</w:t>
            </w:r>
          </w:p>
          <w:p w14:paraId="50417850">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2、评审标准</w:t>
            </w:r>
          </w:p>
          <w:p w14:paraId="4F0D386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 xml:space="preserve">①完整性：方案须全面，对评审内容中的各项要求有详细描述及说明； </w:t>
            </w:r>
          </w:p>
          <w:p w14:paraId="0A40A06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②可实施性：方案科学合理，可操作性强；</w:t>
            </w:r>
          </w:p>
          <w:p w14:paraId="27657706">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③针对性：方案能紧扣本项目实际情况，满足本项目各项具体要求。</w:t>
            </w:r>
          </w:p>
          <w:p w14:paraId="07145462">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3、赋分标准（满分</w:t>
            </w:r>
            <w:r>
              <w:rPr>
                <w:rFonts w:hint="eastAsia" w:eastAsia="宋体" w:cs="Times New Roman"/>
                <w:sz w:val="21"/>
                <w:szCs w:val="21"/>
                <w:lang w:val="en-US" w:eastAsia="zh-CN"/>
              </w:rPr>
              <w:t>9</w:t>
            </w:r>
            <w:r>
              <w:rPr>
                <w:rFonts w:hint="default" w:eastAsia="宋体" w:cs="Times New Roman"/>
                <w:sz w:val="21"/>
                <w:szCs w:val="21"/>
                <w:lang w:val="en-US" w:eastAsia="zh-CN"/>
              </w:rPr>
              <w:t>分）</w:t>
            </w:r>
          </w:p>
          <w:p w14:paraId="5C40889B">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①对</w:t>
            </w:r>
            <w:r>
              <w:rPr>
                <w:rFonts w:hint="default" w:ascii="Times New Roman" w:hAnsi="Times New Roman" w:cs="Times New Roman"/>
                <w:sz w:val="21"/>
                <w:szCs w:val="21"/>
              </w:rPr>
              <w:t>项目所购设备的供货、安装及运维的深化设计思路</w:t>
            </w:r>
            <w:r>
              <w:rPr>
                <w:rFonts w:hint="default" w:eastAsia="宋体" w:cs="Times New Roman"/>
                <w:sz w:val="21"/>
                <w:szCs w:val="21"/>
                <w:lang w:val="en-US" w:eastAsia="zh-CN"/>
              </w:rPr>
              <w:t>：每完全满足一个评审标准得</w:t>
            </w:r>
            <w:r>
              <w:rPr>
                <w:rFonts w:hint="eastAsia" w:eastAsia="宋体" w:cs="Times New Roman"/>
                <w:sz w:val="21"/>
                <w:szCs w:val="21"/>
                <w:lang w:val="en-US" w:eastAsia="zh-CN"/>
              </w:rPr>
              <w:t>1</w:t>
            </w:r>
            <w:r>
              <w:rPr>
                <w:rFonts w:hint="default" w:eastAsia="宋体" w:cs="Times New Roman"/>
                <w:sz w:val="21"/>
                <w:szCs w:val="21"/>
                <w:lang w:val="en-US" w:eastAsia="zh-CN"/>
              </w:rPr>
              <w:t>分，满分</w:t>
            </w:r>
            <w:r>
              <w:rPr>
                <w:rFonts w:hint="eastAsia" w:eastAsia="宋体" w:cs="Times New Roman"/>
                <w:sz w:val="21"/>
                <w:szCs w:val="21"/>
                <w:lang w:val="en-US" w:eastAsia="zh-CN"/>
              </w:rPr>
              <w:t>3</w:t>
            </w:r>
            <w:r>
              <w:rPr>
                <w:rFonts w:hint="default" w:eastAsia="宋体" w:cs="Times New Roman"/>
                <w:sz w:val="21"/>
                <w:szCs w:val="21"/>
                <w:lang w:val="en-US" w:eastAsia="zh-CN"/>
              </w:rPr>
              <w:t>分；</w:t>
            </w:r>
          </w:p>
          <w:p w14:paraId="78773DC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val="en-US" w:eastAsia="zh-CN"/>
              </w:rPr>
            </w:pPr>
            <w:r>
              <w:rPr>
                <w:rFonts w:hint="default" w:eastAsia="宋体" w:cs="Times New Roman"/>
                <w:sz w:val="21"/>
                <w:szCs w:val="21"/>
                <w:lang w:val="en-US" w:eastAsia="zh-CN"/>
              </w:rPr>
              <w:t>②对</w:t>
            </w:r>
            <w:r>
              <w:rPr>
                <w:rFonts w:hint="default" w:eastAsia="宋体" w:cs="Times New Roman"/>
                <w:sz w:val="21"/>
                <w:szCs w:val="21"/>
                <w:lang w:eastAsia="zh-CN"/>
              </w:rPr>
              <w:t>项目</w:t>
            </w:r>
            <w:r>
              <w:rPr>
                <w:rFonts w:hint="default" w:eastAsia="宋体" w:cs="Times New Roman"/>
                <w:sz w:val="21"/>
                <w:szCs w:val="21"/>
                <w:lang w:val="en-US" w:eastAsia="zh-CN"/>
              </w:rPr>
              <w:t>工作难点和要点有明确的理解：每完全满足一个评审标准得</w:t>
            </w:r>
            <w:r>
              <w:rPr>
                <w:rFonts w:hint="eastAsia" w:eastAsia="宋体" w:cs="Times New Roman"/>
                <w:sz w:val="21"/>
                <w:szCs w:val="21"/>
                <w:lang w:val="en-US" w:eastAsia="zh-CN"/>
              </w:rPr>
              <w:t>1</w:t>
            </w:r>
            <w:r>
              <w:rPr>
                <w:rFonts w:hint="default" w:eastAsia="宋体" w:cs="Times New Roman"/>
                <w:sz w:val="21"/>
                <w:szCs w:val="21"/>
                <w:lang w:val="en-US" w:eastAsia="zh-CN"/>
              </w:rPr>
              <w:t>分，满分</w:t>
            </w:r>
            <w:r>
              <w:rPr>
                <w:rFonts w:hint="eastAsia" w:eastAsia="宋体" w:cs="Times New Roman"/>
                <w:sz w:val="21"/>
                <w:szCs w:val="21"/>
                <w:lang w:val="en-US" w:eastAsia="zh-CN"/>
              </w:rPr>
              <w:t>3</w:t>
            </w:r>
            <w:r>
              <w:rPr>
                <w:rFonts w:hint="default" w:eastAsia="宋体" w:cs="Times New Roman"/>
                <w:sz w:val="21"/>
                <w:szCs w:val="21"/>
                <w:lang w:val="en-US" w:eastAsia="zh-CN"/>
              </w:rPr>
              <w:t>分；</w:t>
            </w:r>
          </w:p>
          <w:p w14:paraId="70F74DA9">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eastAsia="宋体" w:cs="Times New Roman"/>
                <w:sz w:val="21"/>
                <w:szCs w:val="21"/>
                <w:lang w:eastAsia="zh-CN"/>
              </w:rPr>
            </w:pPr>
            <w:r>
              <w:rPr>
                <w:rFonts w:hint="default" w:eastAsia="宋体" w:cs="Times New Roman"/>
                <w:sz w:val="21"/>
                <w:szCs w:val="21"/>
                <w:lang w:val="en-US" w:eastAsia="zh-CN"/>
              </w:rPr>
              <w:t>③对项目整体</w:t>
            </w:r>
            <w:r>
              <w:rPr>
                <w:rFonts w:hint="default" w:eastAsia="宋体" w:cs="Times New Roman"/>
                <w:sz w:val="21"/>
                <w:szCs w:val="21"/>
                <w:lang w:eastAsia="zh-CN"/>
              </w:rPr>
              <w:t>解决方案</w:t>
            </w:r>
            <w:r>
              <w:rPr>
                <w:rFonts w:hint="default" w:eastAsia="宋体" w:cs="Times New Roman"/>
                <w:sz w:val="21"/>
                <w:szCs w:val="21"/>
                <w:lang w:val="en-US" w:eastAsia="zh-CN"/>
              </w:rPr>
              <w:t>有明确的</w:t>
            </w:r>
            <w:r>
              <w:rPr>
                <w:rFonts w:hint="default" w:eastAsia="宋体" w:cs="Times New Roman"/>
                <w:sz w:val="21"/>
                <w:szCs w:val="21"/>
                <w:lang w:eastAsia="zh-CN"/>
              </w:rPr>
              <w:t>理解</w:t>
            </w:r>
            <w:r>
              <w:rPr>
                <w:rFonts w:hint="default" w:eastAsia="宋体" w:cs="Times New Roman"/>
                <w:sz w:val="21"/>
                <w:szCs w:val="21"/>
                <w:lang w:val="en-US" w:eastAsia="zh-CN"/>
              </w:rPr>
              <w:t>：每完全满足一个评审标准得</w:t>
            </w:r>
            <w:r>
              <w:rPr>
                <w:rFonts w:hint="eastAsia" w:eastAsia="宋体" w:cs="Times New Roman"/>
                <w:sz w:val="21"/>
                <w:szCs w:val="21"/>
                <w:lang w:val="en-US" w:eastAsia="zh-CN"/>
              </w:rPr>
              <w:t>1</w:t>
            </w:r>
            <w:r>
              <w:rPr>
                <w:rFonts w:hint="default" w:eastAsia="宋体" w:cs="Times New Roman"/>
                <w:sz w:val="21"/>
                <w:szCs w:val="21"/>
                <w:lang w:val="en-US" w:eastAsia="zh-CN"/>
              </w:rPr>
              <w:t>分，满分</w:t>
            </w:r>
            <w:r>
              <w:rPr>
                <w:rFonts w:hint="eastAsia" w:eastAsia="宋体" w:cs="Times New Roman"/>
                <w:sz w:val="21"/>
                <w:szCs w:val="21"/>
                <w:lang w:val="en-US" w:eastAsia="zh-CN"/>
              </w:rPr>
              <w:t>3</w:t>
            </w:r>
            <w:r>
              <w:rPr>
                <w:rFonts w:hint="default" w:eastAsia="宋体" w:cs="Times New Roman"/>
                <w:sz w:val="21"/>
                <w:szCs w:val="21"/>
                <w:lang w:val="en-US" w:eastAsia="zh-CN"/>
              </w:rPr>
              <w:t>分；</w:t>
            </w:r>
          </w:p>
        </w:tc>
      </w:tr>
      <w:tr w14:paraId="6F11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590E63FE">
            <w:pPr>
              <w:pStyle w:val="5"/>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技术方案</w:t>
            </w:r>
          </w:p>
        </w:tc>
        <w:tc>
          <w:tcPr>
            <w:tcW w:w="810" w:type="dxa"/>
            <w:tcBorders>
              <w:top w:val="single" w:color="auto" w:sz="4" w:space="0"/>
              <w:left w:val="single" w:color="auto" w:sz="4" w:space="0"/>
              <w:bottom w:val="single" w:color="auto" w:sz="4" w:space="0"/>
              <w:right w:val="single" w:color="auto" w:sz="4" w:space="0"/>
            </w:tcBorders>
            <w:vAlign w:val="center"/>
          </w:tcPr>
          <w:p w14:paraId="7BDEBC7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15</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4C761B93">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bCs/>
                <w:sz w:val="21"/>
                <w:szCs w:val="21"/>
              </w:rPr>
            </w:pPr>
            <w:r>
              <w:rPr>
                <w:rFonts w:hint="default" w:ascii="Times New Roman" w:hAnsi="Times New Roman" w:cs="Times New Roman"/>
                <w:sz w:val="21"/>
                <w:szCs w:val="21"/>
              </w:rPr>
              <w:t>所投产品技术指标和性能完全满足磋商文件要求得</w:t>
            </w:r>
            <w:r>
              <w:rPr>
                <w:rFonts w:hint="eastAsia" w:cs="Times New Roman"/>
                <w:sz w:val="21"/>
                <w:szCs w:val="21"/>
                <w:lang w:val="en-US" w:eastAsia="zh-CN"/>
              </w:rPr>
              <w:t>15</w:t>
            </w:r>
            <w:r>
              <w:rPr>
                <w:rFonts w:hint="default" w:ascii="Times New Roman" w:hAnsi="Times New Roman" w:cs="Times New Roman"/>
                <w:sz w:val="21"/>
                <w:szCs w:val="21"/>
              </w:rPr>
              <w:t>分。其中“★”项为重要参数每有一项不满足扣2分，其他项每有一项不满足扣1分，本项分值扣完为止。</w:t>
            </w:r>
            <w:r>
              <w:rPr>
                <w:rFonts w:hint="eastAsia" w:cs="Times New Roman"/>
                <w:sz w:val="21"/>
                <w:szCs w:val="21"/>
                <w:lang w:val="en-US" w:eastAsia="zh-CN"/>
              </w:rPr>
              <w:t>供应商</w:t>
            </w:r>
            <w:r>
              <w:rPr>
                <w:rFonts w:hint="default" w:ascii="Times New Roman" w:hAnsi="Times New Roman" w:cs="Times New Roman"/>
                <w:sz w:val="21"/>
                <w:szCs w:val="21"/>
              </w:rPr>
              <w:t>应提供充足的佐证材料（包括但不限于检测报告、官网截图、软硬件功能截图、产品彩页等并加盖厂商公章）予以证明参数的技术响应性。</w:t>
            </w:r>
          </w:p>
        </w:tc>
      </w:tr>
      <w:tr w14:paraId="523E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5F072BB0">
            <w:pPr>
              <w:pStyle w:val="5"/>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实施方案</w:t>
            </w:r>
          </w:p>
        </w:tc>
        <w:tc>
          <w:tcPr>
            <w:tcW w:w="810" w:type="dxa"/>
            <w:tcBorders>
              <w:top w:val="single" w:color="auto" w:sz="4" w:space="0"/>
              <w:left w:val="single" w:color="auto" w:sz="4" w:space="0"/>
              <w:bottom w:val="single" w:color="auto" w:sz="4" w:space="0"/>
              <w:right w:val="single" w:color="auto" w:sz="4" w:space="0"/>
            </w:tcBorders>
            <w:vAlign w:val="center"/>
          </w:tcPr>
          <w:p w14:paraId="0F7CA30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9</w:t>
            </w:r>
            <w:r>
              <w:rPr>
                <w:rFonts w:hint="default" w:ascii="Times New Roman" w:hAnsi="Times New Roman" w:cs="Times New Roman"/>
                <w:color w:val="auto"/>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545774D4">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cs="Times New Roman"/>
                <w:color w:val="auto"/>
                <w:sz w:val="21"/>
                <w:szCs w:val="21"/>
                <w:lang w:val="en-US" w:eastAsia="zh-CN"/>
              </w:rPr>
            </w:pPr>
            <w:r>
              <w:rPr>
                <w:rFonts w:hint="eastAsia" w:cs="Times New Roman"/>
                <w:color w:val="auto"/>
                <w:sz w:val="21"/>
                <w:szCs w:val="21"/>
                <w:lang w:val="en-US" w:eastAsia="zh-CN"/>
              </w:rPr>
              <w:t>1、评审内容：</w:t>
            </w:r>
          </w:p>
          <w:p w14:paraId="75BEC729">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供应商</w:t>
            </w:r>
            <w:r>
              <w:rPr>
                <w:rFonts w:hint="default" w:ascii="Times New Roman" w:hAnsi="Times New Roman" w:cs="Times New Roman"/>
                <w:color w:val="auto"/>
                <w:sz w:val="21"/>
                <w:szCs w:val="21"/>
              </w:rPr>
              <w:t>需针对本项目提供完整的项目实施方案，包含</w:t>
            </w:r>
            <w:r>
              <w:rPr>
                <w:rFonts w:hint="eastAsia" w:ascii="宋体" w:hAnsi="宋体" w:eastAsia="宋体" w:cs="宋体"/>
                <w:color w:val="auto"/>
                <w:sz w:val="21"/>
                <w:szCs w:val="21"/>
              </w:rPr>
              <w:t>①</w:t>
            </w:r>
            <w:r>
              <w:rPr>
                <w:rFonts w:hint="default" w:ascii="Times New Roman" w:hAnsi="Times New Roman" w:cs="Times New Roman"/>
                <w:color w:val="auto"/>
                <w:sz w:val="21"/>
                <w:szCs w:val="21"/>
              </w:rPr>
              <w:t>供货组织方案</w:t>
            </w:r>
            <w:r>
              <w:rPr>
                <w:rFonts w:hint="eastAsia" w:ascii="宋体" w:hAnsi="宋体" w:eastAsia="宋体" w:cs="宋体"/>
                <w:color w:val="auto"/>
                <w:sz w:val="21"/>
                <w:szCs w:val="21"/>
              </w:rPr>
              <w:t>②</w:t>
            </w:r>
            <w:r>
              <w:rPr>
                <w:rFonts w:hint="default" w:ascii="Times New Roman" w:hAnsi="Times New Roman" w:cs="Times New Roman"/>
                <w:color w:val="auto"/>
                <w:sz w:val="21"/>
                <w:szCs w:val="21"/>
              </w:rPr>
              <w:t>项目进度方案</w:t>
            </w:r>
            <w:r>
              <w:rPr>
                <w:rFonts w:hint="eastAsia" w:ascii="宋体" w:hAnsi="宋体" w:eastAsia="宋体" w:cs="宋体"/>
                <w:color w:val="auto"/>
                <w:sz w:val="21"/>
                <w:szCs w:val="21"/>
              </w:rPr>
              <w:t>③</w:t>
            </w:r>
            <w:r>
              <w:rPr>
                <w:rFonts w:hint="default" w:ascii="Times New Roman" w:hAnsi="Times New Roman" w:cs="Times New Roman"/>
                <w:color w:val="auto"/>
                <w:sz w:val="21"/>
                <w:szCs w:val="21"/>
              </w:rPr>
              <w:t>安装调试方案</w:t>
            </w:r>
            <w:r>
              <w:rPr>
                <w:rFonts w:hint="eastAsia" w:ascii="宋体" w:hAnsi="宋体" w:eastAsia="宋体" w:cs="宋体"/>
                <w:color w:val="auto"/>
                <w:sz w:val="21"/>
                <w:szCs w:val="21"/>
              </w:rPr>
              <w:t>④</w:t>
            </w:r>
            <w:r>
              <w:rPr>
                <w:rFonts w:hint="default" w:ascii="Times New Roman" w:hAnsi="Times New Roman" w:cs="Times New Roman"/>
                <w:color w:val="auto"/>
                <w:sz w:val="21"/>
                <w:szCs w:val="21"/>
              </w:rPr>
              <w:t>验收方案⑤应急方案和保密措施。</w:t>
            </w:r>
          </w:p>
          <w:p w14:paraId="06EE2826">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2、评审标准</w:t>
            </w:r>
          </w:p>
          <w:p w14:paraId="6D4F7D3D">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①完整性：方案须全面，对评审内容中的各项要求有详细描述及说明； </w:t>
            </w:r>
          </w:p>
          <w:p w14:paraId="0384A925">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②可实施性：方案科学合理，可操作性强；</w:t>
            </w:r>
          </w:p>
          <w:p w14:paraId="2D12B6AB">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③针对性：方案能紧扣本项目实际情况，满足本项目各项具体要求。</w:t>
            </w:r>
          </w:p>
          <w:p w14:paraId="25AD52AD">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3、赋分标准（满分</w:t>
            </w:r>
            <w:r>
              <w:rPr>
                <w:rFonts w:hint="eastAsia" w:cs="Times New Roman"/>
                <w:color w:val="auto"/>
                <w:sz w:val="21"/>
                <w:szCs w:val="21"/>
                <w:lang w:val="en-US" w:eastAsia="zh-CN"/>
              </w:rPr>
              <w:t>9</w:t>
            </w:r>
            <w:r>
              <w:rPr>
                <w:rFonts w:hint="default" w:ascii="Times New Roman" w:hAnsi="Times New Roman" w:cs="Times New Roman"/>
                <w:color w:val="auto"/>
                <w:sz w:val="21"/>
                <w:szCs w:val="21"/>
                <w:lang w:val="en-US" w:eastAsia="zh-CN"/>
              </w:rPr>
              <w:t>分）</w:t>
            </w:r>
          </w:p>
          <w:p w14:paraId="5761A9A0">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供货组织方案（包括组织框架，人员配备等）</w:t>
            </w:r>
            <w:r>
              <w:rPr>
                <w:rFonts w:hint="default" w:ascii="Times New Roman" w:hAnsi="Times New Roman" w:cs="Times New Roman"/>
                <w:color w:val="auto"/>
                <w:sz w:val="21"/>
                <w:szCs w:val="21"/>
                <w:lang w:val="en-US" w:eastAsia="zh-CN"/>
              </w:rPr>
              <w:t>：每完全满足一个评审标准得</w:t>
            </w:r>
            <w:r>
              <w:rPr>
                <w:rFonts w:hint="eastAsia" w:cs="Times New Roman"/>
                <w:color w:val="auto"/>
                <w:sz w:val="21"/>
                <w:szCs w:val="21"/>
                <w:lang w:val="en-US" w:eastAsia="zh-CN"/>
              </w:rPr>
              <w:t>0.5</w:t>
            </w:r>
            <w:r>
              <w:rPr>
                <w:rFonts w:hint="default" w:ascii="Times New Roman" w:hAnsi="Times New Roman" w:cs="Times New Roman"/>
                <w:color w:val="auto"/>
                <w:sz w:val="21"/>
                <w:szCs w:val="21"/>
                <w:lang w:val="en-US" w:eastAsia="zh-CN"/>
              </w:rPr>
              <w:t>分，满分</w:t>
            </w:r>
            <w:r>
              <w:rPr>
                <w:rFonts w:hint="eastAsia" w:cs="Times New Roman"/>
                <w:color w:val="auto"/>
                <w:sz w:val="21"/>
                <w:szCs w:val="21"/>
                <w:lang w:val="en-US" w:eastAsia="zh-CN"/>
              </w:rPr>
              <w:t>1.5</w:t>
            </w:r>
            <w:r>
              <w:rPr>
                <w:rFonts w:hint="default" w:ascii="Times New Roman" w:hAnsi="Times New Roman" w:cs="Times New Roman"/>
                <w:color w:val="auto"/>
                <w:sz w:val="21"/>
                <w:szCs w:val="21"/>
                <w:lang w:val="en-US" w:eastAsia="zh-CN"/>
              </w:rPr>
              <w:t>分；</w:t>
            </w:r>
          </w:p>
          <w:p w14:paraId="3FE2D504">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rPr>
              <w:t>项目进度方案</w:t>
            </w:r>
            <w:r>
              <w:rPr>
                <w:rFonts w:hint="default" w:ascii="Times New Roman" w:hAnsi="Times New Roman" w:cs="Times New Roman"/>
                <w:color w:val="auto"/>
                <w:sz w:val="21"/>
                <w:szCs w:val="21"/>
                <w:lang w:val="en-US" w:eastAsia="zh-CN"/>
              </w:rPr>
              <w:t>：每完全满足一个评审标准得</w:t>
            </w:r>
            <w:r>
              <w:rPr>
                <w:rFonts w:hint="eastAsia" w:cs="Times New Roman"/>
                <w:color w:val="auto"/>
                <w:sz w:val="21"/>
                <w:szCs w:val="21"/>
                <w:lang w:val="en-US" w:eastAsia="zh-CN"/>
              </w:rPr>
              <w:t>0.5</w:t>
            </w:r>
            <w:r>
              <w:rPr>
                <w:rFonts w:hint="default" w:ascii="Times New Roman" w:hAnsi="Times New Roman" w:cs="Times New Roman"/>
                <w:color w:val="auto"/>
                <w:sz w:val="21"/>
                <w:szCs w:val="21"/>
                <w:lang w:val="en-US" w:eastAsia="zh-CN"/>
              </w:rPr>
              <w:t>分，满分</w:t>
            </w:r>
            <w:r>
              <w:rPr>
                <w:rFonts w:hint="eastAsia" w:cs="Times New Roman"/>
                <w:color w:val="auto"/>
                <w:sz w:val="21"/>
                <w:szCs w:val="21"/>
                <w:lang w:val="en-US" w:eastAsia="zh-CN"/>
              </w:rPr>
              <w:t>1.5</w:t>
            </w:r>
            <w:r>
              <w:rPr>
                <w:rFonts w:hint="default" w:ascii="Times New Roman" w:hAnsi="Times New Roman" w:cs="Times New Roman"/>
                <w:color w:val="auto"/>
                <w:sz w:val="21"/>
                <w:szCs w:val="21"/>
                <w:lang w:val="en-US" w:eastAsia="zh-CN"/>
              </w:rPr>
              <w:t>分；</w:t>
            </w:r>
          </w:p>
          <w:p w14:paraId="58C10471">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③</w:t>
            </w:r>
            <w:r>
              <w:rPr>
                <w:rFonts w:hint="default" w:ascii="Times New Roman" w:hAnsi="Times New Roman" w:cs="Times New Roman"/>
                <w:color w:val="auto"/>
                <w:sz w:val="21"/>
                <w:szCs w:val="21"/>
              </w:rPr>
              <w:t>安装调试方案</w:t>
            </w:r>
            <w:r>
              <w:rPr>
                <w:rFonts w:hint="default" w:ascii="Times New Roman" w:hAnsi="Times New Roman" w:cs="Times New Roman"/>
                <w:color w:val="auto"/>
                <w:sz w:val="21"/>
                <w:szCs w:val="21"/>
                <w:lang w:val="en-US" w:eastAsia="zh-CN"/>
              </w:rPr>
              <w:t>：每完全满足一个评审标准得</w:t>
            </w:r>
            <w:r>
              <w:rPr>
                <w:rFonts w:hint="eastAsia" w:cs="Times New Roman"/>
                <w:color w:val="auto"/>
                <w:sz w:val="21"/>
                <w:szCs w:val="21"/>
                <w:lang w:val="en-US" w:eastAsia="zh-CN"/>
              </w:rPr>
              <w:t>0.5</w:t>
            </w:r>
            <w:r>
              <w:rPr>
                <w:rFonts w:hint="default" w:ascii="Times New Roman" w:hAnsi="Times New Roman" w:cs="Times New Roman"/>
                <w:color w:val="auto"/>
                <w:sz w:val="21"/>
                <w:szCs w:val="21"/>
                <w:lang w:val="en-US" w:eastAsia="zh-CN"/>
              </w:rPr>
              <w:t>分，满分</w:t>
            </w:r>
            <w:r>
              <w:rPr>
                <w:rFonts w:hint="eastAsia" w:cs="Times New Roman"/>
                <w:color w:val="auto"/>
                <w:sz w:val="21"/>
                <w:szCs w:val="21"/>
                <w:lang w:val="en-US" w:eastAsia="zh-CN"/>
              </w:rPr>
              <w:t>1.5</w:t>
            </w:r>
            <w:r>
              <w:rPr>
                <w:rFonts w:hint="default" w:ascii="Times New Roman" w:hAnsi="Times New Roman" w:cs="Times New Roman"/>
                <w:color w:val="auto"/>
                <w:sz w:val="21"/>
                <w:szCs w:val="21"/>
                <w:lang w:val="en-US" w:eastAsia="zh-CN"/>
              </w:rPr>
              <w:t>分；</w:t>
            </w:r>
          </w:p>
          <w:p w14:paraId="44315476">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④验收方案</w:t>
            </w:r>
            <w:r>
              <w:rPr>
                <w:rFonts w:hint="eastAsia" w:cs="Times New Roman"/>
                <w:color w:val="auto"/>
                <w:sz w:val="21"/>
                <w:szCs w:val="21"/>
                <w:lang w:eastAsia="zh-CN"/>
              </w:rPr>
              <w:t>：</w:t>
            </w:r>
            <w:r>
              <w:rPr>
                <w:rFonts w:hint="default" w:ascii="Times New Roman" w:hAnsi="Times New Roman" w:cs="Times New Roman"/>
                <w:color w:val="auto"/>
                <w:sz w:val="21"/>
                <w:szCs w:val="21"/>
                <w:lang w:val="en-US" w:eastAsia="zh-CN"/>
              </w:rPr>
              <w:t>每完全满足一个评审标准得</w:t>
            </w:r>
            <w:r>
              <w:rPr>
                <w:rFonts w:hint="eastAsia" w:cs="Times New Roman"/>
                <w:color w:val="auto"/>
                <w:sz w:val="21"/>
                <w:szCs w:val="21"/>
                <w:lang w:val="en-US" w:eastAsia="zh-CN"/>
              </w:rPr>
              <w:t>0.5</w:t>
            </w:r>
            <w:r>
              <w:rPr>
                <w:rFonts w:hint="default" w:ascii="Times New Roman" w:hAnsi="Times New Roman" w:cs="Times New Roman"/>
                <w:color w:val="auto"/>
                <w:sz w:val="21"/>
                <w:szCs w:val="21"/>
                <w:lang w:val="en-US" w:eastAsia="zh-CN"/>
              </w:rPr>
              <w:t>分，满分</w:t>
            </w:r>
            <w:r>
              <w:rPr>
                <w:rFonts w:hint="eastAsia" w:cs="Times New Roman"/>
                <w:color w:val="auto"/>
                <w:sz w:val="21"/>
                <w:szCs w:val="21"/>
                <w:lang w:val="en-US" w:eastAsia="zh-CN"/>
              </w:rPr>
              <w:t>1.5</w:t>
            </w:r>
            <w:r>
              <w:rPr>
                <w:rFonts w:hint="default" w:ascii="Times New Roman" w:hAnsi="Times New Roman" w:cs="Times New Roman"/>
                <w:color w:val="auto"/>
                <w:sz w:val="21"/>
                <w:szCs w:val="21"/>
                <w:lang w:val="en-US" w:eastAsia="zh-CN"/>
              </w:rPr>
              <w:t>分；</w:t>
            </w:r>
          </w:p>
          <w:p w14:paraId="3A9141E6">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eastAsia="宋体"/>
                <w:color w:val="auto"/>
                <w:lang w:eastAsia="zh-CN"/>
              </w:rPr>
            </w:pPr>
            <w:r>
              <w:rPr>
                <w:rFonts w:hint="default" w:ascii="Times New Roman" w:hAnsi="Times New Roman" w:cs="Times New Roman"/>
                <w:color w:val="auto"/>
                <w:sz w:val="21"/>
                <w:szCs w:val="21"/>
              </w:rPr>
              <w:t>⑤应急方案和保密措施</w:t>
            </w:r>
            <w:r>
              <w:rPr>
                <w:rFonts w:hint="eastAsia" w:cs="Times New Roman"/>
                <w:color w:val="auto"/>
                <w:sz w:val="21"/>
                <w:szCs w:val="21"/>
                <w:lang w:eastAsia="zh-CN"/>
              </w:rPr>
              <w:t>：</w:t>
            </w:r>
            <w:r>
              <w:rPr>
                <w:rFonts w:hint="default" w:ascii="Times New Roman" w:hAnsi="Times New Roman" w:cs="Times New Roman"/>
                <w:color w:val="auto"/>
                <w:sz w:val="21"/>
                <w:szCs w:val="21"/>
                <w:lang w:val="en-US" w:eastAsia="zh-CN"/>
              </w:rPr>
              <w:t>每完全满足一个评审标准得</w:t>
            </w:r>
            <w:r>
              <w:rPr>
                <w:rFonts w:hint="eastAsia" w:cs="Times New Roman"/>
                <w:color w:val="auto"/>
                <w:sz w:val="21"/>
                <w:szCs w:val="21"/>
                <w:lang w:val="en-US" w:eastAsia="zh-CN"/>
              </w:rPr>
              <w:t>1</w:t>
            </w:r>
            <w:r>
              <w:rPr>
                <w:rFonts w:hint="default" w:ascii="Times New Roman" w:hAnsi="Times New Roman" w:cs="Times New Roman"/>
                <w:color w:val="auto"/>
                <w:sz w:val="21"/>
                <w:szCs w:val="21"/>
                <w:lang w:val="en-US" w:eastAsia="zh-CN"/>
              </w:rPr>
              <w:t>分，满分</w:t>
            </w:r>
            <w:r>
              <w:rPr>
                <w:rFonts w:hint="eastAsia" w:cs="Times New Roman"/>
                <w:color w:val="auto"/>
                <w:sz w:val="21"/>
                <w:szCs w:val="21"/>
                <w:lang w:val="en-US" w:eastAsia="zh-CN"/>
              </w:rPr>
              <w:t>3</w:t>
            </w:r>
            <w:r>
              <w:rPr>
                <w:rFonts w:hint="default" w:ascii="Times New Roman" w:hAnsi="Times New Roman" w:cs="Times New Roman"/>
                <w:color w:val="auto"/>
                <w:sz w:val="21"/>
                <w:szCs w:val="21"/>
                <w:lang w:val="en-US" w:eastAsia="zh-CN"/>
              </w:rPr>
              <w:t>分</w:t>
            </w:r>
            <w:r>
              <w:rPr>
                <w:rFonts w:hint="eastAsia" w:cs="Times New Roman"/>
                <w:color w:val="auto"/>
                <w:sz w:val="21"/>
                <w:szCs w:val="21"/>
                <w:lang w:val="en-US" w:eastAsia="zh-CN"/>
              </w:rPr>
              <w:t>。</w:t>
            </w:r>
          </w:p>
        </w:tc>
      </w:tr>
      <w:tr w14:paraId="51A8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2B5ACACD">
            <w:pPr>
              <w:pStyle w:val="5"/>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项目团队</w:t>
            </w:r>
          </w:p>
        </w:tc>
        <w:tc>
          <w:tcPr>
            <w:tcW w:w="810" w:type="dxa"/>
            <w:tcBorders>
              <w:top w:val="single" w:color="auto" w:sz="4" w:space="0"/>
              <w:left w:val="single" w:color="auto" w:sz="4" w:space="0"/>
              <w:bottom w:val="single" w:color="auto" w:sz="4" w:space="0"/>
              <w:right w:val="single" w:color="auto" w:sz="4" w:space="0"/>
            </w:tcBorders>
            <w:vAlign w:val="center"/>
          </w:tcPr>
          <w:p w14:paraId="71C8B8F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9</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6E774C3B">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cs="Times New Roman"/>
                <w:sz w:val="21"/>
                <w:szCs w:val="21"/>
                <w:lang w:val="en-US" w:eastAsia="zh-CN"/>
              </w:rPr>
            </w:pPr>
            <w:r>
              <w:rPr>
                <w:rFonts w:hint="eastAsia" w:cs="Times New Roman"/>
                <w:sz w:val="21"/>
                <w:szCs w:val="21"/>
                <w:lang w:val="en-US" w:eastAsia="zh-CN"/>
              </w:rPr>
              <w:t>1、评审内容：</w:t>
            </w:r>
          </w:p>
          <w:p w14:paraId="754F90AC">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eastAsia="zh-CN"/>
              </w:rPr>
            </w:pPr>
            <w:r>
              <w:rPr>
                <w:rFonts w:hint="default" w:ascii="Times New Roman" w:hAnsi="Times New Roman" w:cs="Times New Roman"/>
                <w:sz w:val="21"/>
                <w:szCs w:val="21"/>
              </w:rPr>
              <w:t>提供针对本项目的项目团队</w:t>
            </w:r>
            <w:r>
              <w:rPr>
                <w:rFonts w:hint="eastAsia" w:cs="Times New Roman"/>
                <w:sz w:val="21"/>
                <w:szCs w:val="21"/>
                <w:lang w:val="en-US" w:eastAsia="zh-CN"/>
              </w:rPr>
              <w:t>成员情况介绍</w:t>
            </w:r>
            <w:r>
              <w:rPr>
                <w:rFonts w:hint="default" w:ascii="Times New Roman" w:hAnsi="Times New Roman" w:cs="Times New Roman"/>
                <w:sz w:val="21"/>
                <w:szCs w:val="21"/>
              </w:rPr>
              <w:t>，</w:t>
            </w:r>
            <w:r>
              <w:rPr>
                <w:rFonts w:hint="eastAsia" w:cs="Times New Roman"/>
                <w:sz w:val="21"/>
                <w:szCs w:val="21"/>
                <w:lang w:val="en-US" w:eastAsia="zh-CN"/>
              </w:rPr>
              <w:t>包含</w:t>
            </w:r>
            <w:r>
              <w:rPr>
                <w:rFonts w:hint="eastAsia" w:ascii="宋体" w:hAnsi="宋体" w:eastAsia="宋体" w:cs="宋体"/>
                <w:sz w:val="21"/>
                <w:szCs w:val="21"/>
              </w:rPr>
              <w:t>①</w:t>
            </w:r>
            <w:r>
              <w:rPr>
                <w:rFonts w:hint="default" w:ascii="Times New Roman" w:hAnsi="Times New Roman" w:cs="Times New Roman"/>
                <w:sz w:val="21"/>
                <w:szCs w:val="21"/>
              </w:rPr>
              <w:t>完整的组织机构</w:t>
            </w:r>
            <w:r>
              <w:rPr>
                <w:rFonts w:hint="eastAsia" w:ascii="宋体" w:hAnsi="宋体" w:eastAsia="宋体" w:cs="宋体"/>
                <w:sz w:val="21"/>
                <w:szCs w:val="21"/>
              </w:rPr>
              <w:t>②</w:t>
            </w:r>
            <w:r>
              <w:rPr>
                <w:rFonts w:hint="default" w:ascii="Times New Roman" w:hAnsi="Times New Roman" w:cs="Times New Roman"/>
                <w:sz w:val="21"/>
                <w:szCs w:val="21"/>
              </w:rPr>
              <w:t>人员保障措施</w:t>
            </w:r>
            <w:r>
              <w:rPr>
                <w:rFonts w:hint="default" w:ascii="Times New Roman" w:hAnsi="Times New Roman" w:cs="Times New Roman"/>
                <w:sz w:val="21"/>
                <w:szCs w:val="21"/>
                <w:lang w:val="en-US" w:eastAsia="zh-CN"/>
              </w:rPr>
              <w:t>③</w:t>
            </w:r>
            <w:r>
              <w:rPr>
                <w:rFonts w:hint="eastAsia" w:cs="Times New Roman"/>
                <w:sz w:val="21"/>
                <w:szCs w:val="21"/>
                <w:lang w:val="en-US" w:eastAsia="zh-CN"/>
              </w:rPr>
              <w:t>人员</w:t>
            </w:r>
            <w:r>
              <w:rPr>
                <w:rFonts w:hint="default" w:ascii="Times New Roman" w:hAnsi="Times New Roman" w:cs="Times New Roman"/>
                <w:sz w:val="21"/>
                <w:szCs w:val="21"/>
              </w:rPr>
              <w:t>管理制度</w:t>
            </w:r>
            <w:r>
              <w:rPr>
                <w:rFonts w:hint="eastAsia" w:cs="Times New Roman"/>
                <w:sz w:val="21"/>
                <w:szCs w:val="21"/>
                <w:lang w:eastAsia="zh-CN"/>
              </w:rPr>
              <w:t>。</w:t>
            </w:r>
          </w:p>
          <w:p w14:paraId="4DD887E1">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2、评审标准</w:t>
            </w:r>
          </w:p>
          <w:p w14:paraId="4125D5B5">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①完整性：方案须全面，对评审内容中的各项要求有详细描述及说明； </w:t>
            </w:r>
          </w:p>
          <w:p w14:paraId="4EA54E88">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②可实施性：方案科学合理，可操作性强；</w:t>
            </w:r>
          </w:p>
          <w:p w14:paraId="5537766F">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③针对性：方案能紧扣本项目实际情况，满足本项目各项具体要求。</w:t>
            </w:r>
          </w:p>
          <w:p w14:paraId="7F2C305B">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3、赋分标准（满分</w:t>
            </w:r>
            <w:r>
              <w:rPr>
                <w:rFonts w:hint="eastAsia" w:cs="Times New Roman"/>
                <w:sz w:val="21"/>
                <w:szCs w:val="21"/>
                <w:lang w:val="en-US" w:eastAsia="zh-CN"/>
              </w:rPr>
              <w:t>9</w:t>
            </w:r>
            <w:r>
              <w:rPr>
                <w:rFonts w:hint="default" w:ascii="Times New Roman" w:hAnsi="Times New Roman" w:cs="Times New Roman"/>
                <w:sz w:val="21"/>
                <w:szCs w:val="21"/>
                <w:lang w:val="en-US" w:eastAsia="zh-CN"/>
              </w:rPr>
              <w:t>分）</w:t>
            </w:r>
          </w:p>
          <w:p w14:paraId="2B736447">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①</w:t>
            </w:r>
            <w:r>
              <w:rPr>
                <w:rFonts w:hint="default" w:ascii="Times New Roman" w:hAnsi="Times New Roman" w:cs="Times New Roman"/>
                <w:sz w:val="21"/>
                <w:szCs w:val="21"/>
              </w:rPr>
              <w:t>完整的组织机构</w:t>
            </w:r>
            <w:r>
              <w:rPr>
                <w:rFonts w:hint="default" w:ascii="Times New Roman" w:hAnsi="Times New Roman" w:cs="Times New Roman"/>
                <w:sz w:val="21"/>
                <w:szCs w:val="21"/>
                <w:lang w:val="en-US" w:eastAsia="zh-CN"/>
              </w:rPr>
              <w:t>：每完全满足一个评审标准得</w:t>
            </w:r>
            <w:r>
              <w:rPr>
                <w:rFonts w:hint="eastAsia" w:cs="Times New Roman"/>
                <w:sz w:val="21"/>
                <w:szCs w:val="21"/>
                <w:lang w:val="en-US" w:eastAsia="zh-CN"/>
              </w:rPr>
              <w:t>1</w:t>
            </w:r>
            <w:r>
              <w:rPr>
                <w:rFonts w:hint="default" w:ascii="Times New Roman" w:hAnsi="Times New Roman" w:cs="Times New Roman"/>
                <w:sz w:val="21"/>
                <w:szCs w:val="21"/>
                <w:lang w:val="en-US" w:eastAsia="zh-CN"/>
              </w:rPr>
              <w:t>分，满分</w:t>
            </w:r>
            <w:r>
              <w:rPr>
                <w:rFonts w:hint="eastAsia" w:cs="Times New Roman"/>
                <w:sz w:val="21"/>
                <w:szCs w:val="21"/>
                <w:lang w:val="en-US" w:eastAsia="zh-CN"/>
              </w:rPr>
              <w:t>3</w:t>
            </w:r>
            <w:r>
              <w:rPr>
                <w:rFonts w:hint="default" w:ascii="Times New Roman" w:hAnsi="Times New Roman" w:cs="Times New Roman"/>
                <w:sz w:val="21"/>
                <w:szCs w:val="21"/>
                <w:lang w:val="en-US" w:eastAsia="zh-CN"/>
              </w:rPr>
              <w:t>分；</w:t>
            </w:r>
          </w:p>
          <w:p w14:paraId="5AB9DD45">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②</w:t>
            </w:r>
            <w:r>
              <w:rPr>
                <w:rFonts w:hint="default" w:ascii="Times New Roman" w:hAnsi="Times New Roman" w:cs="Times New Roman"/>
                <w:sz w:val="21"/>
                <w:szCs w:val="21"/>
              </w:rPr>
              <w:t>人员保障措施</w:t>
            </w:r>
            <w:r>
              <w:rPr>
                <w:rFonts w:hint="default" w:ascii="Times New Roman" w:hAnsi="Times New Roman" w:cs="Times New Roman"/>
                <w:sz w:val="21"/>
                <w:szCs w:val="21"/>
                <w:lang w:val="en-US" w:eastAsia="zh-CN"/>
              </w:rPr>
              <w:t>：每完全满足一个评审标准得</w:t>
            </w:r>
            <w:r>
              <w:rPr>
                <w:rFonts w:hint="eastAsia" w:cs="Times New Roman"/>
                <w:sz w:val="21"/>
                <w:szCs w:val="21"/>
                <w:lang w:val="en-US" w:eastAsia="zh-CN"/>
              </w:rPr>
              <w:t>1</w:t>
            </w:r>
            <w:r>
              <w:rPr>
                <w:rFonts w:hint="default" w:ascii="Times New Roman" w:hAnsi="Times New Roman" w:cs="Times New Roman"/>
                <w:sz w:val="21"/>
                <w:szCs w:val="21"/>
                <w:lang w:val="en-US" w:eastAsia="zh-CN"/>
              </w:rPr>
              <w:t>分，满分</w:t>
            </w:r>
            <w:r>
              <w:rPr>
                <w:rFonts w:hint="eastAsia" w:cs="Times New Roman"/>
                <w:sz w:val="21"/>
                <w:szCs w:val="21"/>
                <w:lang w:val="en-US" w:eastAsia="zh-CN"/>
              </w:rPr>
              <w:t>3</w:t>
            </w:r>
            <w:r>
              <w:rPr>
                <w:rFonts w:hint="default" w:ascii="Times New Roman" w:hAnsi="Times New Roman" w:cs="Times New Roman"/>
                <w:sz w:val="21"/>
                <w:szCs w:val="21"/>
                <w:lang w:val="en-US" w:eastAsia="zh-CN"/>
              </w:rPr>
              <w:t>分；</w:t>
            </w:r>
          </w:p>
          <w:p w14:paraId="117DCF90">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lang w:eastAsia="zh-CN"/>
              </w:rPr>
            </w:pPr>
            <w:r>
              <w:rPr>
                <w:rFonts w:hint="default" w:ascii="Times New Roman" w:hAnsi="Times New Roman" w:cs="Times New Roman"/>
                <w:sz w:val="21"/>
                <w:szCs w:val="21"/>
                <w:lang w:val="en-US" w:eastAsia="zh-CN"/>
              </w:rPr>
              <w:t>③</w:t>
            </w:r>
            <w:r>
              <w:rPr>
                <w:rFonts w:hint="eastAsia" w:cs="Times New Roman"/>
                <w:sz w:val="21"/>
                <w:szCs w:val="21"/>
                <w:lang w:val="en-US" w:eastAsia="zh-CN"/>
              </w:rPr>
              <w:t>人员</w:t>
            </w:r>
            <w:r>
              <w:rPr>
                <w:rFonts w:hint="default" w:ascii="Times New Roman" w:hAnsi="Times New Roman" w:cs="Times New Roman"/>
                <w:sz w:val="21"/>
                <w:szCs w:val="21"/>
              </w:rPr>
              <w:t>管理制度</w:t>
            </w:r>
            <w:r>
              <w:rPr>
                <w:rFonts w:hint="default" w:ascii="Times New Roman" w:hAnsi="Times New Roman" w:cs="Times New Roman"/>
                <w:sz w:val="21"/>
                <w:szCs w:val="21"/>
                <w:lang w:val="en-US" w:eastAsia="zh-CN"/>
              </w:rPr>
              <w:t>：每完全满足一个评审标准得</w:t>
            </w:r>
            <w:r>
              <w:rPr>
                <w:rFonts w:hint="eastAsia" w:cs="Times New Roman"/>
                <w:sz w:val="21"/>
                <w:szCs w:val="21"/>
                <w:lang w:val="en-US" w:eastAsia="zh-CN"/>
              </w:rPr>
              <w:t>1</w:t>
            </w:r>
            <w:r>
              <w:rPr>
                <w:rFonts w:hint="default" w:ascii="Times New Roman" w:hAnsi="Times New Roman" w:cs="Times New Roman"/>
                <w:sz w:val="21"/>
                <w:szCs w:val="21"/>
                <w:lang w:val="en-US" w:eastAsia="zh-CN"/>
              </w:rPr>
              <w:t>分，满分</w:t>
            </w:r>
            <w:r>
              <w:rPr>
                <w:rFonts w:hint="eastAsia" w:cs="Times New Roman"/>
                <w:sz w:val="21"/>
                <w:szCs w:val="21"/>
                <w:lang w:val="en-US" w:eastAsia="zh-CN"/>
              </w:rPr>
              <w:t>3</w:t>
            </w:r>
            <w:r>
              <w:rPr>
                <w:rFonts w:hint="default" w:ascii="Times New Roman" w:hAnsi="Times New Roman" w:cs="Times New Roman"/>
                <w:sz w:val="21"/>
                <w:szCs w:val="21"/>
                <w:lang w:val="en-US" w:eastAsia="zh-CN"/>
              </w:rPr>
              <w:t>分</w:t>
            </w:r>
            <w:r>
              <w:rPr>
                <w:rFonts w:hint="eastAsia" w:cs="Times New Roman"/>
                <w:sz w:val="21"/>
                <w:szCs w:val="21"/>
                <w:lang w:val="en-US" w:eastAsia="zh-CN"/>
              </w:rPr>
              <w:t>。</w:t>
            </w:r>
          </w:p>
        </w:tc>
      </w:tr>
      <w:tr w14:paraId="2FB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2CE71FC9">
            <w:pPr>
              <w:pStyle w:val="5"/>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培训方案</w:t>
            </w:r>
          </w:p>
        </w:tc>
        <w:tc>
          <w:tcPr>
            <w:tcW w:w="810" w:type="dxa"/>
            <w:tcBorders>
              <w:top w:val="single" w:color="auto" w:sz="4" w:space="0"/>
              <w:left w:val="single" w:color="auto" w:sz="4" w:space="0"/>
              <w:bottom w:val="single" w:color="auto" w:sz="4" w:space="0"/>
              <w:right w:val="single" w:color="auto" w:sz="4" w:space="0"/>
            </w:tcBorders>
            <w:vAlign w:val="center"/>
          </w:tcPr>
          <w:p w14:paraId="0A3EA4C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6</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7EDE1468">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cs="Times New Roman"/>
                <w:sz w:val="21"/>
                <w:szCs w:val="21"/>
                <w:lang w:val="en-US" w:eastAsia="zh-CN"/>
              </w:rPr>
            </w:pPr>
            <w:r>
              <w:rPr>
                <w:rFonts w:hint="eastAsia" w:cs="Times New Roman"/>
                <w:sz w:val="21"/>
                <w:szCs w:val="21"/>
                <w:lang w:val="en-US" w:eastAsia="zh-CN"/>
              </w:rPr>
              <w:t>1、评审内容：</w:t>
            </w:r>
          </w:p>
          <w:p w14:paraId="29CC97C1">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default" w:ascii="Times New Roman" w:hAnsi="Times New Roman" w:cs="Times New Roman"/>
                <w:sz w:val="21"/>
                <w:szCs w:val="21"/>
              </w:rPr>
              <w:t>针对本项目具有可行的技术培训方案，培训采购人指定的技术人员或管理人员，指定培训课程计划表，列出具体的培训时间和地点，培训内容应包括</w:t>
            </w:r>
            <w:r>
              <w:rPr>
                <w:rFonts w:hint="default" w:ascii="Times New Roman" w:hAnsi="Times New Roman" w:cs="Times New Roman"/>
                <w:sz w:val="21"/>
                <w:szCs w:val="21"/>
                <w:lang w:val="en-US" w:eastAsia="zh-CN"/>
              </w:rPr>
              <w:t>①</w:t>
            </w:r>
            <w:r>
              <w:rPr>
                <w:rFonts w:hint="default" w:ascii="Times New Roman" w:hAnsi="Times New Roman" w:cs="Times New Roman"/>
                <w:sz w:val="21"/>
                <w:szCs w:val="21"/>
              </w:rPr>
              <w:t>产品的原理和技术性能</w:t>
            </w:r>
            <w:r>
              <w:rPr>
                <w:rFonts w:hint="default" w:cs="Times New Roman"/>
                <w:sz w:val="21"/>
                <w:szCs w:val="21"/>
                <w:lang w:val="en-US" w:eastAsia="zh-CN"/>
              </w:rPr>
              <w:t>②操作维护方案、安装调试</w:t>
            </w:r>
            <w:r>
              <w:rPr>
                <w:rFonts w:hint="eastAsia" w:cs="Times New Roman"/>
                <w:sz w:val="21"/>
                <w:szCs w:val="21"/>
                <w:lang w:val="en-US" w:eastAsia="zh-CN"/>
              </w:rPr>
              <w:t>及</w:t>
            </w:r>
            <w:r>
              <w:rPr>
                <w:rFonts w:hint="default" w:cs="Times New Roman"/>
                <w:sz w:val="21"/>
                <w:szCs w:val="21"/>
                <w:lang w:val="en-US" w:eastAsia="zh-CN"/>
              </w:rPr>
              <w:t>简单的排除故障</w:t>
            </w:r>
            <w:r>
              <w:rPr>
                <w:rFonts w:hint="eastAsia" w:cs="Times New Roman"/>
                <w:sz w:val="21"/>
                <w:szCs w:val="21"/>
                <w:lang w:val="en-US" w:eastAsia="zh-CN"/>
              </w:rPr>
              <w:t>。</w:t>
            </w:r>
          </w:p>
          <w:p w14:paraId="6916F806">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2、评审标准</w:t>
            </w:r>
          </w:p>
          <w:p w14:paraId="4B827D5F">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 xml:space="preserve">①完整性：方案须全面，对评审内容中的各项要求有详细描述及说明； </w:t>
            </w:r>
          </w:p>
          <w:p w14:paraId="71241007">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②可实施性：方案科学合理，可操作性强；</w:t>
            </w:r>
          </w:p>
          <w:p w14:paraId="554DD015">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③针对性：方案能紧扣本项目实际情况，满足本项目各项具体要求。</w:t>
            </w:r>
          </w:p>
          <w:p w14:paraId="63D02454">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3、赋分标准（满分6分）</w:t>
            </w:r>
          </w:p>
          <w:p w14:paraId="4BCE702F">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s="Times New Roman"/>
                <w:sz w:val="21"/>
                <w:szCs w:val="21"/>
                <w:lang w:val="en-US" w:eastAsia="zh-CN"/>
              </w:rPr>
            </w:pPr>
            <w:r>
              <w:rPr>
                <w:rFonts w:hint="eastAsia" w:cs="Times New Roman"/>
                <w:sz w:val="21"/>
                <w:szCs w:val="21"/>
                <w:lang w:val="en-US" w:eastAsia="zh-CN"/>
              </w:rPr>
              <w:t>①</w:t>
            </w:r>
            <w:r>
              <w:rPr>
                <w:rFonts w:hint="default" w:ascii="Times New Roman" w:hAnsi="Times New Roman" w:cs="Times New Roman"/>
                <w:sz w:val="21"/>
                <w:szCs w:val="21"/>
              </w:rPr>
              <w:t>产品的原理和技术性能</w:t>
            </w:r>
            <w:r>
              <w:rPr>
                <w:rFonts w:hint="eastAsia" w:cs="Times New Roman"/>
                <w:sz w:val="21"/>
                <w:szCs w:val="21"/>
                <w:lang w:val="en-US" w:eastAsia="zh-CN"/>
              </w:rPr>
              <w:t>：每完全满足一个评审标准得1分，满分3分；</w:t>
            </w:r>
          </w:p>
          <w:p w14:paraId="0D9444EB">
            <w:pPr>
              <w:pStyle w:val="5"/>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lang w:eastAsia="zh-CN"/>
              </w:rPr>
            </w:pPr>
            <w:r>
              <w:rPr>
                <w:rFonts w:hint="eastAsia" w:cs="Times New Roman"/>
                <w:sz w:val="21"/>
                <w:szCs w:val="21"/>
                <w:lang w:val="en-US" w:eastAsia="zh-CN"/>
              </w:rPr>
              <w:t>②</w:t>
            </w:r>
            <w:r>
              <w:rPr>
                <w:rFonts w:hint="default" w:cs="Times New Roman"/>
                <w:sz w:val="21"/>
                <w:szCs w:val="21"/>
                <w:lang w:val="en-US" w:eastAsia="zh-CN"/>
              </w:rPr>
              <w:t>操作维护方案、安装调试</w:t>
            </w:r>
            <w:r>
              <w:rPr>
                <w:rFonts w:hint="eastAsia" w:cs="Times New Roman"/>
                <w:sz w:val="21"/>
                <w:szCs w:val="21"/>
                <w:lang w:val="en-US" w:eastAsia="zh-CN"/>
              </w:rPr>
              <w:t>及</w:t>
            </w:r>
            <w:r>
              <w:rPr>
                <w:rFonts w:hint="default" w:cs="Times New Roman"/>
                <w:sz w:val="21"/>
                <w:szCs w:val="21"/>
                <w:lang w:val="en-US" w:eastAsia="zh-CN"/>
              </w:rPr>
              <w:t>简单的排除故障</w:t>
            </w:r>
            <w:r>
              <w:rPr>
                <w:rFonts w:hint="eastAsia" w:cs="Times New Roman"/>
                <w:sz w:val="21"/>
                <w:szCs w:val="21"/>
                <w:lang w:val="en-US" w:eastAsia="zh-CN"/>
              </w:rPr>
              <w:t>：每完全满足一个评审标准得1分，满分3分；</w:t>
            </w:r>
          </w:p>
        </w:tc>
      </w:tr>
      <w:tr w14:paraId="04A6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74" w:type="dxa"/>
            <w:tcBorders>
              <w:left w:val="single" w:color="auto" w:sz="4" w:space="0"/>
              <w:bottom w:val="single" w:color="auto" w:sz="4" w:space="0"/>
              <w:right w:val="single" w:color="auto" w:sz="4" w:space="0"/>
            </w:tcBorders>
            <w:vAlign w:val="center"/>
          </w:tcPr>
          <w:p w14:paraId="6ED438E2">
            <w:pPr>
              <w:jc w:val="center"/>
              <w:rPr>
                <w:rFonts w:hint="default" w:ascii="Times New Roman" w:hAnsi="Times New Roman" w:cs="Times New Roman"/>
                <w:sz w:val="21"/>
                <w:szCs w:val="21"/>
              </w:rPr>
            </w:pPr>
            <w:r>
              <w:rPr>
                <w:rFonts w:hint="default" w:ascii="Times New Roman" w:hAnsi="Times New Roman" w:cs="Times New Roman"/>
                <w:sz w:val="21"/>
                <w:szCs w:val="21"/>
              </w:rPr>
              <w:t>质量保障</w:t>
            </w:r>
          </w:p>
        </w:tc>
        <w:tc>
          <w:tcPr>
            <w:tcW w:w="810" w:type="dxa"/>
            <w:tcBorders>
              <w:left w:val="single" w:color="auto" w:sz="4" w:space="0"/>
              <w:bottom w:val="single" w:color="auto" w:sz="4" w:space="0"/>
              <w:right w:val="single" w:color="auto" w:sz="4" w:space="0"/>
            </w:tcBorders>
            <w:vAlign w:val="center"/>
          </w:tcPr>
          <w:p w14:paraId="408110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10</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59C2E517">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1、提供</w:t>
            </w:r>
            <w:r>
              <w:rPr>
                <w:rFonts w:hint="eastAsia" w:cs="Times New Roman"/>
                <w:sz w:val="21"/>
                <w:szCs w:val="21"/>
                <w:lang w:val="en-US" w:eastAsia="zh-CN"/>
              </w:rPr>
              <w:t>所投产品的</w:t>
            </w:r>
            <w:r>
              <w:rPr>
                <w:rFonts w:hint="default" w:ascii="Times New Roman" w:hAnsi="Times New Roman" w:cs="Times New Roman"/>
                <w:sz w:val="21"/>
                <w:szCs w:val="21"/>
              </w:rPr>
              <w:t>合法来源渠道证明文件（包括但不限于产品制造商授权书及售后服务承诺函、销售协议，代理协议等），每提供一种产品的合法来源渠道证明得1分，满分</w:t>
            </w:r>
            <w:r>
              <w:rPr>
                <w:rFonts w:hint="eastAsia" w:cs="Times New Roman"/>
                <w:sz w:val="21"/>
                <w:szCs w:val="21"/>
                <w:lang w:val="en-US" w:eastAsia="zh-CN"/>
              </w:rPr>
              <w:t>5</w:t>
            </w:r>
            <w:r>
              <w:rPr>
                <w:rFonts w:hint="default" w:ascii="Times New Roman" w:hAnsi="Times New Roman" w:cs="Times New Roman"/>
                <w:sz w:val="21"/>
                <w:szCs w:val="21"/>
              </w:rPr>
              <w:t>分。</w:t>
            </w:r>
          </w:p>
          <w:p w14:paraId="21EA8394">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rPr>
              <w:t>投标产品为节能环保产品的，提供有效的认证证书的，每提供一项得0.5分，最高得</w:t>
            </w:r>
            <w:r>
              <w:rPr>
                <w:rFonts w:hint="eastAsia" w:cs="Times New Roman"/>
                <w:sz w:val="21"/>
                <w:szCs w:val="21"/>
                <w:lang w:val="en-US" w:eastAsia="zh-CN"/>
              </w:rPr>
              <w:t>2</w:t>
            </w:r>
            <w:r>
              <w:rPr>
                <w:rFonts w:hint="default" w:ascii="Times New Roman" w:hAnsi="Times New Roman" w:cs="Times New Roman"/>
                <w:sz w:val="21"/>
                <w:szCs w:val="21"/>
                <w:lang w:val="en-US"/>
              </w:rPr>
              <w:t>分。</w:t>
            </w:r>
          </w:p>
          <w:p w14:paraId="7C75CC07">
            <w:pPr>
              <w:pStyle w:val="89"/>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3、</w:t>
            </w:r>
            <w:r>
              <w:rPr>
                <w:rFonts w:hint="default" w:ascii="Times New Roman" w:hAnsi="Times New Roman" w:cs="Times New Roman"/>
                <w:sz w:val="21"/>
                <w:szCs w:val="21"/>
              </w:rPr>
              <w:t>有详细的质量保证方案及质量保证承诺的，赋值0-3分。</w:t>
            </w:r>
          </w:p>
        </w:tc>
      </w:tr>
      <w:tr w14:paraId="61F2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74" w:type="dxa"/>
            <w:tcBorders>
              <w:left w:val="single" w:color="auto" w:sz="4" w:space="0"/>
              <w:bottom w:val="single" w:color="auto" w:sz="4" w:space="0"/>
              <w:right w:val="single" w:color="auto" w:sz="4" w:space="0"/>
            </w:tcBorders>
            <w:vAlign w:val="center"/>
          </w:tcPr>
          <w:p w14:paraId="52507E8C">
            <w:pPr>
              <w:jc w:val="center"/>
              <w:rPr>
                <w:rFonts w:hint="default" w:ascii="Times New Roman" w:hAnsi="Times New Roman" w:cs="Times New Roman"/>
                <w:sz w:val="21"/>
                <w:szCs w:val="21"/>
              </w:rPr>
            </w:pPr>
            <w:r>
              <w:rPr>
                <w:rFonts w:hint="default" w:ascii="Times New Roman" w:hAnsi="Times New Roman" w:cs="Times New Roman"/>
                <w:sz w:val="21"/>
                <w:szCs w:val="21"/>
              </w:rPr>
              <w:t>涉密资质</w:t>
            </w:r>
          </w:p>
        </w:tc>
        <w:tc>
          <w:tcPr>
            <w:tcW w:w="810" w:type="dxa"/>
            <w:tcBorders>
              <w:left w:val="single" w:color="auto" w:sz="4" w:space="0"/>
              <w:bottom w:val="single" w:color="auto" w:sz="4" w:space="0"/>
              <w:right w:val="single" w:color="auto" w:sz="4" w:space="0"/>
            </w:tcBorders>
            <w:vAlign w:val="center"/>
          </w:tcPr>
          <w:p w14:paraId="22C35D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1分</w:t>
            </w:r>
          </w:p>
        </w:tc>
        <w:tc>
          <w:tcPr>
            <w:tcW w:w="7760" w:type="dxa"/>
            <w:tcBorders>
              <w:top w:val="single" w:color="auto" w:sz="4" w:space="0"/>
              <w:left w:val="single" w:color="auto" w:sz="4" w:space="0"/>
              <w:bottom w:val="single" w:color="auto" w:sz="4" w:space="0"/>
              <w:right w:val="single" w:color="auto" w:sz="4" w:space="0"/>
            </w:tcBorders>
            <w:vAlign w:val="center"/>
          </w:tcPr>
          <w:p w14:paraId="2EDD28D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eastAsia" w:cs="Times New Roman"/>
                <w:sz w:val="21"/>
                <w:szCs w:val="21"/>
                <w:lang w:val="en-US" w:eastAsia="zh-CN"/>
              </w:rPr>
              <w:t>供应商</w:t>
            </w:r>
            <w:r>
              <w:rPr>
                <w:rFonts w:hint="default" w:ascii="Times New Roman" w:hAnsi="Times New Roman" w:cs="Times New Roman"/>
                <w:sz w:val="21"/>
                <w:szCs w:val="21"/>
              </w:rPr>
              <w:t>提供有效的涉密信息系统集成乙级及以上资格证书，得1分。</w:t>
            </w:r>
          </w:p>
        </w:tc>
      </w:tr>
      <w:tr w14:paraId="1869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74" w:type="dxa"/>
            <w:tcBorders>
              <w:left w:val="single" w:color="auto" w:sz="4" w:space="0"/>
              <w:bottom w:val="single" w:color="auto" w:sz="4" w:space="0"/>
              <w:right w:val="single" w:color="auto" w:sz="4" w:space="0"/>
            </w:tcBorders>
            <w:vAlign w:val="center"/>
          </w:tcPr>
          <w:p w14:paraId="44032643">
            <w:pPr>
              <w:jc w:val="center"/>
              <w:rPr>
                <w:rFonts w:hint="default" w:ascii="Times New Roman" w:hAnsi="Times New Roman" w:cs="Times New Roman"/>
                <w:sz w:val="21"/>
                <w:szCs w:val="21"/>
              </w:rPr>
            </w:pPr>
            <w:r>
              <w:rPr>
                <w:rFonts w:hint="default" w:ascii="Times New Roman" w:hAnsi="Times New Roman" w:cs="Times New Roman"/>
                <w:sz w:val="21"/>
                <w:szCs w:val="21"/>
              </w:rPr>
              <w:t>售后服务</w:t>
            </w:r>
          </w:p>
        </w:tc>
        <w:tc>
          <w:tcPr>
            <w:tcW w:w="810" w:type="dxa"/>
            <w:tcBorders>
              <w:left w:val="single" w:color="auto" w:sz="4" w:space="0"/>
              <w:bottom w:val="single" w:color="auto" w:sz="4" w:space="0"/>
              <w:right w:val="single" w:color="auto" w:sz="4" w:space="0"/>
            </w:tcBorders>
            <w:vAlign w:val="center"/>
          </w:tcPr>
          <w:p w14:paraId="1698B3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7</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13B27CFD">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1、评审内容：</w:t>
            </w:r>
          </w:p>
          <w:p w14:paraId="28A41834">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针对本项目提供售后服务承诺书，提供完整的、可行的售后服务方案。包含</w:t>
            </w:r>
            <w:r>
              <w:rPr>
                <w:rFonts w:hint="eastAsia" w:ascii="Times New Roman" w:hAnsi="Times New Roman" w:cs="Times New Roman"/>
                <w:sz w:val="21"/>
                <w:szCs w:val="21"/>
                <w:lang w:val="en-US" w:eastAsia="zh-CN"/>
              </w:rPr>
              <w:t>①</w:t>
            </w:r>
            <w:r>
              <w:rPr>
                <w:rFonts w:hint="default" w:ascii="Times New Roman" w:hAnsi="Times New Roman" w:cs="Times New Roman"/>
                <w:sz w:val="21"/>
                <w:szCs w:val="21"/>
                <w:lang w:val="en-US" w:eastAsia="zh-CN"/>
              </w:rPr>
              <w:t>日常维护</w:t>
            </w:r>
            <w:r>
              <w:rPr>
                <w:rFonts w:hint="eastAsia" w:ascii="Times New Roman" w:hAnsi="Times New Roman" w:cs="Times New Roman"/>
                <w:sz w:val="21"/>
                <w:szCs w:val="21"/>
                <w:lang w:val="en-US" w:eastAsia="zh-CN"/>
              </w:rPr>
              <w:t>方案②</w:t>
            </w:r>
            <w:r>
              <w:rPr>
                <w:rFonts w:hint="default" w:ascii="Times New Roman" w:hAnsi="Times New Roman" w:cs="Times New Roman"/>
                <w:sz w:val="21"/>
                <w:szCs w:val="21"/>
                <w:lang w:val="en-US" w:eastAsia="zh-CN"/>
              </w:rPr>
              <w:t>响应时间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应急响应速度及措施</w:t>
            </w:r>
            <w:r>
              <w:rPr>
                <w:rFonts w:hint="eastAsia" w:ascii="Times New Roman" w:hAnsi="Times New Roman" w:cs="Times New Roman"/>
                <w:sz w:val="21"/>
                <w:szCs w:val="21"/>
                <w:lang w:val="en-US" w:eastAsia="zh-CN"/>
              </w:rPr>
              <w:t>③</w:t>
            </w:r>
            <w:r>
              <w:rPr>
                <w:rFonts w:hint="default" w:ascii="Times New Roman" w:hAnsi="Times New Roman" w:cs="Times New Roman"/>
                <w:sz w:val="21"/>
                <w:szCs w:val="21"/>
                <w:lang w:val="en-US" w:eastAsia="zh-CN"/>
              </w:rPr>
              <w:t>备品备件计划</w:t>
            </w:r>
            <w:r>
              <w:rPr>
                <w:rFonts w:hint="default" w:ascii="Times New Roman" w:hAnsi="Times New Roman" w:cs="Times New Roman"/>
                <w:sz w:val="21"/>
                <w:szCs w:val="21"/>
              </w:rPr>
              <w:t>④</w:t>
            </w:r>
            <w:r>
              <w:rPr>
                <w:rFonts w:hint="default" w:ascii="Times New Roman" w:hAnsi="Times New Roman" w:cs="Times New Roman"/>
                <w:sz w:val="21"/>
                <w:szCs w:val="21"/>
                <w:lang w:val="en-US" w:eastAsia="zh-CN"/>
              </w:rPr>
              <w:t>质保期限及质保范围</w:t>
            </w:r>
            <w:r>
              <w:rPr>
                <w:rFonts w:hint="default" w:ascii="Times New Roman" w:hAnsi="Times New Roman" w:cs="Times New Roman"/>
                <w:sz w:val="21"/>
                <w:szCs w:val="21"/>
              </w:rPr>
              <w:t>⑤</w:t>
            </w:r>
            <w:r>
              <w:rPr>
                <w:rFonts w:hint="default" w:ascii="Times New Roman" w:hAnsi="Times New Roman" w:cs="Times New Roman"/>
                <w:sz w:val="21"/>
                <w:szCs w:val="21"/>
                <w:lang w:val="en-US" w:eastAsia="zh-CN"/>
              </w:rPr>
              <w:t>售后服务团队</w:t>
            </w:r>
            <w:r>
              <w:rPr>
                <w:rFonts w:hint="eastAsia" w:ascii="Times New Roman" w:hAnsi="Times New Roman" w:cs="Times New Roman"/>
                <w:sz w:val="21"/>
                <w:szCs w:val="21"/>
                <w:lang w:val="en-US" w:eastAsia="zh-CN"/>
              </w:rPr>
              <w:t>及</w:t>
            </w:r>
            <w:r>
              <w:rPr>
                <w:rFonts w:hint="default" w:ascii="Times New Roman" w:hAnsi="Times New Roman" w:cs="Times New Roman"/>
                <w:sz w:val="21"/>
                <w:szCs w:val="21"/>
                <w:lang w:val="en-US" w:eastAsia="zh-CN"/>
              </w:rPr>
              <w:t>联系方式</w:t>
            </w:r>
            <w:r>
              <w:rPr>
                <w:rFonts w:hint="eastAsia" w:ascii="宋体" w:hAnsi="宋体" w:eastAsia="宋体" w:cs="宋体"/>
                <w:sz w:val="21"/>
                <w:szCs w:val="21"/>
                <w:lang w:val="en-US" w:eastAsia="zh-CN"/>
              </w:rPr>
              <w:t>⑥</w:t>
            </w:r>
            <w:r>
              <w:rPr>
                <w:rFonts w:hint="default" w:ascii="Times New Roman" w:hAnsi="Times New Roman" w:cs="Times New Roman"/>
                <w:sz w:val="21"/>
                <w:szCs w:val="21"/>
                <w:lang w:val="en-US" w:eastAsia="zh-CN"/>
              </w:rPr>
              <w:t>有固定的本地化售后服务机构</w:t>
            </w:r>
            <w:r>
              <w:rPr>
                <w:rFonts w:hint="eastAsia" w:cs="Times New Roman"/>
                <w:sz w:val="21"/>
                <w:szCs w:val="21"/>
                <w:lang w:val="en-US" w:eastAsia="zh-CN"/>
              </w:rPr>
              <w:t>。</w:t>
            </w:r>
          </w:p>
          <w:p w14:paraId="3F4860EC">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2、评审标准</w:t>
            </w:r>
          </w:p>
          <w:p w14:paraId="45651DE1">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①完整性：方案须全面，对评审内容中的各项要求有详细描述及说明； </w:t>
            </w:r>
          </w:p>
          <w:p w14:paraId="0C8B22A9">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②可实施性：方案科学合理，可操作性强；</w:t>
            </w:r>
          </w:p>
          <w:p w14:paraId="536744B6">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③针对性：方案能紧扣本项目实际情况，满足本项目各项具体要求。</w:t>
            </w:r>
          </w:p>
          <w:p w14:paraId="6682419F">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3、赋分标准（满分</w:t>
            </w:r>
            <w:r>
              <w:rPr>
                <w:rFonts w:hint="eastAsia" w:cs="Times New Roman"/>
                <w:sz w:val="21"/>
                <w:szCs w:val="21"/>
                <w:lang w:val="en-US" w:eastAsia="zh-CN"/>
              </w:rPr>
              <w:t>7</w:t>
            </w:r>
            <w:r>
              <w:rPr>
                <w:rFonts w:hint="eastAsia" w:ascii="Times New Roman" w:hAnsi="Times New Roman" w:cs="Times New Roman"/>
                <w:sz w:val="21"/>
                <w:szCs w:val="21"/>
                <w:lang w:val="en-US" w:eastAsia="zh-CN"/>
              </w:rPr>
              <w:t>分）</w:t>
            </w:r>
          </w:p>
          <w:p w14:paraId="59AEDA67">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①</w:t>
            </w:r>
            <w:r>
              <w:rPr>
                <w:rFonts w:hint="default" w:ascii="Times New Roman" w:hAnsi="Times New Roman" w:cs="Times New Roman"/>
                <w:sz w:val="21"/>
                <w:szCs w:val="21"/>
                <w:lang w:val="en-US" w:eastAsia="zh-CN"/>
              </w:rPr>
              <w:t>日常维护</w:t>
            </w:r>
            <w:r>
              <w:rPr>
                <w:rFonts w:hint="eastAsia" w:ascii="Times New Roman" w:hAnsi="Times New Roman" w:cs="Times New Roman"/>
                <w:sz w:val="21"/>
                <w:szCs w:val="21"/>
                <w:lang w:val="en-US" w:eastAsia="zh-CN"/>
              </w:rPr>
              <w:t>方案：每完全满足一个评审标准得</w:t>
            </w:r>
            <w:r>
              <w:rPr>
                <w:rFonts w:hint="eastAsia" w:cs="Times New Roman"/>
                <w:sz w:val="21"/>
                <w:szCs w:val="21"/>
                <w:lang w:val="en-US" w:eastAsia="zh-CN"/>
              </w:rPr>
              <w:t>0.5</w:t>
            </w:r>
            <w:r>
              <w:rPr>
                <w:rFonts w:hint="eastAsia" w:ascii="Times New Roman" w:hAnsi="Times New Roman" w:cs="Times New Roman"/>
                <w:sz w:val="21"/>
                <w:szCs w:val="21"/>
                <w:lang w:val="en-US" w:eastAsia="zh-CN"/>
              </w:rPr>
              <w:t>分，满分</w:t>
            </w:r>
            <w:r>
              <w:rPr>
                <w:rFonts w:hint="eastAsia" w:cs="Times New Roman"/>
                <w:sz w:val="21"/>
                <w:szCs w:val="21"/>
                <w:lang w:val="en-US" w:eastAsia="zh-CN"/>
              </w:rPr>
              <w:t>1.5</w:t>
            </w:r>
            <w:r>
              <w:rPr>
                <w:rFonts w:hint="eastAsia" w:ascii="Times New Roman" w:hAnsi="Times New Roman" w:cs="Times New Roman"/>
                <w:sz w:val="21"/>
                <w:szCs w:val="21"/>
                <w:lang w:val="en-US" w:eastAsia="zh-CN"/>
              </w:rPr>
              <w:t>分</w:t>
            </w:r>
          </w:p>
          <w:p w14:paraId="35678E61">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②</w:t>
            </w:r>
            <w:r>
              <w:rPr>
                <w:rFonts w:hint="default" w:ascii="Times New Roman" w:hAnsi="Times New Roman" w:cs="Times New Roman"/>
                <w:sz w:val="21"/>
                <w:szCs w:val="21"/>
                <w:lang w:val="en-US" w:eastAsia="zh-CN"/>
              </w:rPr>
              <w:t>响应时间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应急响应速度及措施</w:t>
            </w:r>
            <w:r>
              <w:rPr>
                <w:rFonts w:hint="eastAsia" w:cs="Times New Roman"/>
                <w:sz w:val="21"/>
                <w:szCs w:val="21"/>
                <w:lang w:val="en-US" w:eastAsia="zh-CN"/>
              </w:rPr>
              <w:t>：</w:t>
            </w:r>
            <w:r>
              <w:rPr>
                <w:rFonts w:hint="eastAsia" w:ascii="Times New Roman" w:hAnsi="Times New Roman" w:cs="Times New Roman"/>
                <w:sz w:val="21"/>
                <w:szCs w:val="21"/>
                <w:lang w:val="en-US" w:eastAsia="zh-CN"/>
              </w:rPr>
              <w:t>每完全满足一个评审标准得</w:t>
            </w:r>
            <w:r>
              <w:rPr>
                <w:rFonts w:hint="eastAsia" w:cs="Times New Roman"/>
                <w:sz w:val="21"/>
                <w:szCs w:val="21"/>
                <w:lang w:val="en-US" w:eastAsia="zh-CN"/>
              </w:rPr>
              <w:t>0.5</w:t>
            </w:r>
            <w:r>
              <w:rPr>
                <w:rFonts w:hint="eastAsia" w:ascii="Times New Roman" w:hAnsi="Times New Roman" w:cs="Times New Roman"/>
                <w:sz w:val="21"/>
                <w:szCs w:val="21"/>
                <w:lang w:val="en-US" w:eastAsia="zh-CN"/>
              </w:rPr>
              <w:t>分，满分</w:t>
            </w:r>
            <w:r>
              <w:rPr>
                <w:rFonts w:hint="eastAsia" w:cs="Times New Roman"/>
                <w:sz w:val="21"/>
                <w:szCs w:val="21"/>
                <w:lang w:val="en-US" w:eastAsia="zh-CN"/>
              </w:rPr>
              <w:t>1.5</w:t>
            </w:r>
            <w:r>
              <w:rPr>
                <w:rFonts w:hint="eastAsia" w:ascii="Times New Roman" w:hAnsi="Times New Roman" w:cs="Times New Roman"/>
                <w:sz w:val="21"/>
                <w:szCs w:val="21"/>
                <w:lang w:val="en-US" w:eastAsia="zh-CN"/>
              </w:rPr>
              <w:t>分；</w:t>
            </w:r>
          </w:p>
          <w:p w14:paraId="041BE43F">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③</w:t>
            </w:r>
            <w:r>
              <w:rPr>
                <w:rFonts w:hint="default" w:ascii="Times New Roman" w:hAnsi="Times New Roman" w:cs="Times New Roman"/>
                <w:sz w:val="21"/>
                <w:szCs w:val="21"/>
                <w:lang w:val="en-US" w:eastAsia="zh-CN"/>
              </w:rPr>
              <w:t>备品备件计划</w:t>
            </w:r>
            <w:r>
              <w:rPr>
                <w:rFonts w:hint="eastAsia" w:ascii="Times New Roman" w:hAnsi="Times New Roman" w:cs="Times New Roman"/>
                <w:sz w:val="21"/>
                <w:szCs w:val="21"/>
                <w:lang w:val="en-US" w:eastAsia="zh-CN"/>
              </w:rPr>
              <w:t>：每完全满足一个评审标准得</w:t>
            </w:r>
            <w:r>
              <w:rPr>
                <w:rFonts w:hint="eastAsia" w:cs="Times New Roman"/>
                <w:sz w:val="21"/>
                <w:szCs w:val="21"/>
                <w:lang w:val="en-US" w:eastAsia="zh-CN"/>
              </w:rPr>
              <w:t>0.5</w:t>
            </w:r>
            <w:r>
              <w:rPr>
                <w:rFonts w:hint="eastAsia" w:ascii="Times New Roman" w:hAnsi="Times New Roman" w:cs="Times New Roman"/>
                <w:sz w:val="21"/>
                <w:szCs w:val="21"/>
                <w:lang w:val="en-US" w:eastAsia="zh-CN"/>
              </w:rPr>
              <w:t>分，满分</w:t>
            </w:r>
            <w:r>
              <w:rPr>
                <w:rFonts w:hint="eastAsia" w:cs="Times New Roman"/>
                <w:sz w:val="21"/>
                <w:szCs w:val="21"/>
                <w:lang w:val="en-US" w:eastAsia="zh-CN"/>
              </w:rPr>
              <w:t>1.5</w:t>
            </w:r>
            <w:r>
              <w:rPr>
                <w:rFonts w:hint="eastAsia" w:ascii="Times New Roman" w:hAnsi="Times New Roman" w:cs="Times New Roman"/>
                <w:sz w:val="21"/>
                <w:szCs w:val="21"/>
                <w:lang w:val="en-US" w:eastAsia="zh-CN"/>
              </w:rPr>
              <w:t>分</w:t>
            </w:r>
          </w:p>
          <w:p w14:paraId="429124DE">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④</w:t>
            </w:r>
            <w:r>
              <w:rPr>
                <w:rFonts w:hint="default" w:ascii="Times New Roman" w:hAnsi="Times New Roman" w:cs="Times New Roman"/>
                <w:sz w:val="21"/>
                <w:szCs w:val="21"/>
                <w:lang w:val="en-US" w:eastAsia="zh-CN"/>
              </w:rPr>
              <w:t>质保期限及质保范围</w:t>
            </w:r>
            <w:r>
              <w:rPr>
                <w:rFonts w:hint="eastAsia" w:ascii="Times New Roman" w:hAnsi="Times New Roman" w:cs="Times New Roman"/>
                <w:sz w:val="21"/>
                <w:szCs w:val="21"/>
                <w:lang w:val="en-US" w:eastAsia="zh-CN"/>
              </w:rPr>
              <w:t>；</w:t>
            </w:r>
            <w:r>
              <w:rPr>
                <w:rFonts w:hint="eastAsia" w:cs="Times New Roman"/>
                <w:sz w:val="21"/>
                <w:szCs w:val="21"/>
                <w:lang w:val="en-US" w:eastAsia="zh-CN"/>
              </w:rPr>
              <w:t>对本项目的</w:t>
            </w:r>
            <w:r>
              <w:rPr>
                <w:rFonts w:hint="default" w:ascii="Times New Roman" w:hAnsi="Times New Roman" w:cs="Times New Roman"/>
                <w:sz w:val="21"/>
                <w:szCs w:val="21"/>
                <w:lang w:val="en-US" w:eastAsia="zh-CN"/>
              </w:rPr>
              <w:t>质保期限及质保范围</w:t>
            </w:r>
            <w:r>
              <w:rPr>
                <w:rFonts w:hint="eastAsia" w:cs="Times New Roman"/>
                <w:sz w:val="21"/>
                <w:szCs w:val="21"/>
                <w:lang w:val="en-US" w:eastAsia="zh-CN"/>
              </w:rPr>
              <w:t>有明确承诺，符合项目要求，得1分</w:t>
            </w:r>
            <w:r>
              <w:rPr>
                <w:rFonts w:hint="eastAsia" w:ascii="Times New Roman" w:hAnsi="Times New Roman" w:cs="Times New Roman"/>
                <w:sz w:val="21"/>
                <w:szCs w:val="21"/>
                <w:lang w:val="en-US" w:eastAsia="zh-CN"/>
              </w:rPr>
              <w:t>；</w:t>
            </w:r>
          </w:p>
          <w:p w14:paraId="094894AA">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⑤</w:t>
            </w:r>
            <w:r>
              <w:rPr>
                <w:rFonts w:hint="default" w:ascii="Times New Roman" w:hAnsi="Times New Roman" w:cs="Times New Roman"/>
                <w:sz w:val="21"/>
                <w:szCs w:val="21"/>
                <w:lang w:val="en-US" w:eastAsia="zh-CN"/>
              </w:rPr>
              <w:t>售后服务团队</w:t>
            </w:r>
            <w:r>
              <w:rPr>
                <w:rFonts w:hint="eastAsia" w:ascii="Times New Roman" w:hAnsi="Times New Roman" w:cs="Times New Roman"/>
                <w:sz w:val="21"/>
                <w:szCs w:val="21"/>
                <w:lang w:val="en-US" w:eastAsia="zh-CN"/>
              </w:rPr>
              <w:t>及</w:t>
            </w:r>
            <w:r>
              <w:rPr>
                <w:rFonts w:hint="default" w:ascii="Times New Roman" w:hAnsi="Times New Roman" w:cs="Times New Roman"/>
                <w:sz w:val="21"/>
                <w:szCs w:val="21"/>
                <w:lang w:val="en-US" w:eastAsia="zh-CN"/>
              </w:rPr>
              <w:t>联系方式</w:t>
            </w:r>
            <w:r>
              <w:rPr>
                <w:rFonts w:hint="eastAsia" w:ascii="Times New Roman" w:hAnsi="Times New Roman" w:cs="Times New Roman"/>
                <w:sz w:val="21"/>
                <w:szCs w:val="21"/>
                <w:lang w:val="en-US" w:eastAsia="zh-CN"/>
              </w:rPr>
              <w:t>：</w:t>
            </w:r>
            <w:r>
              <w:rPr>
                <w:rFonts w:hint="eastAsia" w:cs="Times New Roman"/>
                <w:sz w:val="21"/>
                <w:szCs w:val="21"/>
                <w:lang w:val="en-US" w:eastAsia="zh-CN"/>
              </w:rPr>
              <w:t>有明确的售后服务团队成员及联系方式，售后服务团队成员不少于2人的，得1分</w:t>
            </w:r>
            <w:r>
              <w:rPr>
                <w:rFonts w:hint="eastAsia" w:ascii="Times New Roman" w:hAnsi="Times New Roman" w:cs="Times New Roman"/>
                <w:sz w:val="21"/>
                <w:szCs w:val="21"/>
                <w:lang w:val="en-US" w:eastAsia="zh-CN"/>
              </w:rPr>
              <w:t>；</w:t>
            </w:r>
          </w:p>
          <w:p w14:paraId="5684ADD9">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lang w:val="en-US"/>
              </w:rPr>
            </w:pPr>
            <w:r>
              <w:rPr>
                <w:rFonts w:hint="eastAsia" w:ascii="宋体" w:hAnsi="宋体" w:eastAsia="宋体" w:cs="宋体"/>
                <w:sz w:val="21"/>
                <w:szCs w:val="21"/>
                <w:lang w:val="en-US" w:eastAsia="zh-CN"/>
              </w:rPr>
              <w:t>⑥</w:t>
            </w:r>
            <w:r>
              <w:rPr>
                <w:rFonts w:hint="default" w:ascii="Times New Roman" w:hAnsi="Times New Roman" w:cs="Times New Roman"/>
                <w:sz w:val="21"/>
                <w:szCs w:val="21"/>
                <w:lang w:val="en-US" w:eastAsia="zh-CN"/>
              </w:rPr>
              <w:t>有固定的本地化售后服务机构，提供佐证材料，</w:t>
            </w:r>
            <w:r>
              <w:rPr>
                <w:rFonts w:hint="eastAsia" w:cs="Times New Roman"/>
                <w:sz w:val="21"/>
                <w:szCs w:val="21"/>
                <w:lang w:val="en-US" w:eastAsia="zh-CN"/>
              </w:rPr>
              <w:t>得0.5分</w:t>
            </w:r>
            <w:r>
              <w:rPr>
                <w:rFonts w:hint="default" w:ascii="Times New Roman" w:hAnsi="Times New Roman" w:cs="Times New Roman"/>
                <w:sz w:val="21"/>
                <w:szCs w:val="21"/>
                <w:lang w:val="en-US" w:eastAsia="zh-CN"/>
              </w:rPr>
              <w:t>。</w:t>
            </w:r>
          </w:p>
        </w:tc>
      </w:tr>
      <w:tr w14:paraId="182A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14:paraId="726BCAF4">
            <w:pPr>
              <w:jc w:val="center"/>
              <w:rPr>
                <w:rFonts w:hint="default" w:ascii="Times New Roman" w:hAnsi="Times New Roman" w:cs="Times New Roman"/>
                <w:sz w:val="21"/>
                <w:szCs w:val="21"/>
              </w:rPr>
            </w:pPr>
            <w:r>
              <w:rPr>
                <w:rFonts w:hint="default" w:ascii="Times New Roman" w:hAnsi="Times New Roman" w:cs="Times New Roman"/>
                <w:sz w:val="21"/>
                <w:szCs w:val="21"/>
              </w:rPr>
              <w:t>业 绩</w:t>
            </w:r>
          </w:p>
        </w:tc>
        <w:tc>
          <w:tcPr>
            <w:tcW w:w="810" w:type="dxa"/>
            <w:tcBorders>
              <w:top w:val="single" w:color="auto" w:sz="4" w:space="0"/>
              <w:left w:val="single" w:color="auto" w:sz="4" w:space="0"/>
              <w:bottom w:val="single" w:color="auto" w:sz="4" w:space="0"/>
              <w:right w:val="single" w:color="auto" w:sz="4" w:space="0"/>
            </w:tcBorders>
            <w:vAlign w:val="center"/>
          </w:tcPr>
          <w:p w14:paraId="0ED06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s="Times New Roman"/>
                <w:sz w:val="21"/>
                <w:szCs w:val="21"/>
                <w:lang w:val="en-US" w:eastAsia="zh-CN"/>
              </w:rPr>
              <w:t>4</w:t>
            </w:r>
            <w:r>
              <w:rPr>
                <w:rFonts w:hint="default" w:ascii="Times New Roman" w:hAnsi="Times New Roman" w:cs="Times New Roman"/>
                <w:sz w:val="21"/>
                <w:szCs w:val="21"/>
              </w:rPr>
              <w:t>分</w:t>
            </w:r>
          </w:p>
        </w:tc>
        <w:tc>
          <w:tcPr>
            <w:tcW w:w="7760" w:type="dxa"/>
            <w:tcBorders>
              <w:top w:val="single" w:color="auto" w:sz="4" w:space="0"/>
              <w:left w:val="single" w:color="auto" w:sz="4" w:space="0"/>
              <w:bottom w:val="single" w:color="auto" w:sz="4" w:space="0"/>
              <w:right w:val="single" w:color="auto" w:sz="4" w:space="0"/>
            </w:tcBorders>
            <w:vAlign w:val="center"/>
          </w:tcPr>
          <w:p w14:paraId="2F2CE78E">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提供202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年1月至今</w:t>
            </w:r>
            <w:r>
              <w:rPr>
                <w:rFonts w:hint="eastAsia" w:cs="Times New Roman"/>
                <w:sz w:val="21"/>
                <w:szCs w:val="21"/>
                <w:lang w:val="en-US" w:eastAsia="zh-CN"/>
              </w:rPr>
              <w:t>类似</w:t>
            </w:r>
            <w:r>
              <w:rPr>
                <w:rFonts w:hint="default" w:ascii="Times New Roman" w:hAnsi="Times New Roman" w:cs="Times New Roman"/>
                <w:sz w:val="21"/>
                <w:szCs w:val="21"/>
              </w:rPr>
              <w:t>项目业绩，每提供1份得1分，最高得</w:t>
            </w:r>
            <w:r>
              <w:rPr>
                <w:rFonts w:hint="eastAsia" w:cs="Times New Roman"/>
                <w:sz w:val="21"/>
                <w:szCs w:val="21"/>
                <w:lang w:val="en-US" w:eastAsia="zh-CN"/>
              </w:rPr>
              <w:t>4</w:t>
            </w:r>
            <w:r>
              <w:rPr>
                <w:rFonts w:hint="default" w:ascii="Times New Roman" w:hAnsi="Times New Roman" w:cs="Times New Roman"/>
                <w:sz w:val="21"/>
                <w:szCs w:val="21"/>
              </w:rPr>
              <w:t>分。（以上合同复印件加盖公章）</w:t>
            </w:r>
          </w:p>
        </w:tc>
      </w:tr>
    </w:tbl>
    <w:p w14:paraId="3D1CA2C4">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5.4评标排序</w:t>
      </w:r>
    </w:p>
    <w:p w14:paraId="0193A56A">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商务文件得分较高的优先。当一个供应商的综合得分在多个标段同时排名第一时，仅保留合同金额较大标段的中标资格，合同金额较小标段各供应商排序依次递</w:t>
      </w:r>
      <w:r>
        <w:rPr>
          <w:rFonts w:hint="eastAsia" w:ascii="宋体" w:hAnsi="宋体" w:eastAsia="宋体" w:cs="宋体"/>
          <w:color w:val="auto"/>
          <w:sz w:val="24"/>
          <w:szCs w:val="24"/>
          <w:highlight w:val="none"/>
          <w:lang w:val="en-US" w:eastAsia="zh-CN"/>
        </w:rPr>
        <w:t>补</w:t>
      </w:r>
      <w:r>
        <w:rPr>
          <w:rFonts w:hint="eastAsia" w:ascii="宋体" w:hAnsi="宋体" w:eastAsia="宋体" w:cs="宋体"/>
          <w:color w:val="auto"/>
          <w:sz w:val="24"/>
          <w:szCs w:val="24"/>
          <w:highlight w:val="none"/>
        </w:rPr>
        <w:t>。</w:t>
      </w:r>
    </w:p>
    <w:p w14:paraId="71E09911">
      <w:pPr>
        <w:keepNext w:val="0"/>
        <w:keepLines w:val="0"/>
        <w:pageBreakBefore w:val="0"/>
        <w:widowControl w:val="0"/>
        <w:kinsoku/>
        <w:wordWrap/>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6.需要落实的政府采购政策</w:t>
      </w:r>
    </w:p>
    <w:p w14:paraId="2D0C7097">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满足以下文件要求中任意一条（及以上），其制造（生产）产品的价格给予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%的扣除，用扣除后价格参与评审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对于同时属于小微企业、监狱企业或残疾人福利性单位的，不重复进行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报价扣除。</w:t>
      </w:r>
    </w:p>
    <w:p w14:paraId="3458BB98">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1.1根据财政部、工业和信息化部关于印发《政府采购促进中小企业发展管理办法》的通知(财库〔2020〕46号)。在政府采购活动中，供应商提供的货物、工程或者服务符合下列情形的，享受《办法》规定的中小企业扶持政策:</w:t>
      </w:r>
    </w:p>
    <w:p w14:paraId="3643E232">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1961A91A">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54A59536">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45CB34E4">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673B870E">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auto"/>
          <w:sz w:val="24"/>
          <w:szCs w:val="24"/>
          <w:highlight w:val="none"/>
          <w:lang w:eastAsia="zh-CN"/>
        </w:rPr>
        <w:t>。</w:t>
      </w:r>
    </w:p>
    <w:p w14:paraId="3E874BFB">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联合协议中约定，小型、微型企业和监狱企业的协议合同金额占到联合体协议合同总金额30%以上的，可给予联合体2%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工程1%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的价格扣除。</w:t>
      </w:r>
    </w:p>
    <w:p w14:paraId="62BA0D0A">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依据《政府采购促进中小企业发展管理办法》规定享受扶持政策获得政府采购合同的，小微企业不得将合同分包给大中型企业，中型企业不得将合同分包给大型企业。</w:t>
      </w:r>
    </w:p>
    <w:p w14:paraId="17A0AC6A">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中小企业参加政府采购活动，应当出具本办法规定的《中小企业声明函》（见附件），并对声明的真实性负责。否则，按照有关规定予以处理。</w:t>
      </w:r>
    </w:p>
    <w:p w14:paraId="043FC2E6">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.1.2监狱和戒毒企业应符合《财政部司法部关于政府采购支持监狱企业发展有关问题的通知》--财库〔2014〕68号，并提供声明，并对声明的真实性负责。</w:t>
      </w:r>
    </w:p>
    <w:p w14:paraId="62B03226">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.1.3符合条件的残疾人福利性单位在参加政府采购活动时，应当提供财库〔2017〕141号文规定的《残疾人福利性单位声明函》，并对声明的真实性负责。 </w:t>
      </w:r>
    </w:p>
    <w:p w14:paraId="5C1FAFB6">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所投</w:t>
      </w:r>
      <w:r>
        <w:rPr>
          <w:rFonts w:hint="eastAsia" w:ascii="宋体" w:hAnsi="宋体" w:eastAsia="宋体" w:cs="宋体"/>
          <w:color w:val="auto"/>
          <w:sz w:val="24"/>
          <w:szCs w:val="24"/>
          <w:highlight w:val="none"/>
        </w:rPr>
        <w:t>产品政府采购政策</w:t>
      </w:r>
      <w:r>
        <w:rPr>
          <w:rFonts w:hint="eastAsia" w:ascii="宋体" w:hAnsi="宋体" w:eastAsia="宋体" w:cs="宋体"/>
          <w:bCs/>
          <w:color w:val="auto"/>
          <w:sz w:val="24"/>
          <w:szCs w:val="24"/>
          <w:highlight w:val="none"/>
        </w:rPr>
        <w:t>（所投产品满足以下文件要求中任意一条（及以上），其价格给予3%的扣除，用扣除后价格参与评审。</w:t>
      </w:r>
    </w:p>
    <w:p w14:paraId="3951A83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.2.1节能产品根据《国务院办公厅关于建立政府强制采购节能产品制度的通知》（国办发〔2007〕51号）的规定，以财库〔2019〕9号为准。</w:t>
      </w:r>
    </w:p>
    <w:p w14:paraId="2F788756">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.2.2环境标志产品根据《环境标志产品政府采购实施的意见》（财库[2006]90号）的规定，以财库〔2019〕9号为准。</w:t>
      </w:r>
    </w:p>
    <w:p w14:paraId="3F9F4E63">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2648C72">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.2.4对于已列入品目清单的产品类别，采购人可在采购需求中提出更高的节约资源和保护环境要求，对符合条件的获证产品给予优先待遇。</w:t>
      </w:r>
    </w:p>
    <w:p w14:paraId="22CFC1D6">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.2.5供应商在</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文件中对所</w:t>
      </w:r>
      <w:r>
        <w:rPr>
          <w:rFonts w:hint="eastAsia" w:ascii="宋体" w:hAnsi="宋体" w:eastAsia="宋体" w:cs="宋体"/>
          <w:bCs/>
          <w:color w:val="auto"/>
          <w:sz w:val="24"/>
          <w:szCs w:val="24"/>
          <w:highlight w:val="none"/>
          <w:lang w:val="en-US" w:eastAsia="zh-CN"/>
        </w:rPr>
        <w:t>投</w:t>
      </w:r>
      <w:r>
        <w:rPr>
          <w:rFonts w:hint="eastAsia" w:ascii="宋体" w:hAnsi="宋体" w:eastAsia="宋体" w:cs="宋体"/>
          <w:bCs/>
          <w:color w:val="auto"/>
          <w:sz w:val="24"/>
          <w:szCs w:val="24"/>
          <w:highlight w:val="none"/>
        </w:rPr>
        <w:t>产品为节能、环保、环境标志产品清单中的产品，在</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报价时必须对此类产品单独分项报价，计算出小计金额。未提供节能、环保、环境标志产品计分明细表的不给予计分。</w:t>
      </w:r>
    </w:p>
    <w:p w14:paraId="0152074E">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.2.6若节能、环保、环境标志清单内的产品仅是构成</w:t>
      </w:r>
      <w:r>
        <w:rPr>
          <w:rFonts w:hint="eastAsia" w:ascii="宋体" w:hAnsi="宋体" w:eastAsia="宋体" w:cs="宋体"/>
          <w:bCs/>
          <w:color w:val="auto"/>
          <w:sz w:val="24"/>
          <w:szCs w:val="24"/>
          <w:highlight w:val="none"/>
          <w:lang w:val="en-US" w:eastAsia="zh-CN"/>
        </w:rPr>
        <w:t>所投</w:t>
      </w:r>
      <w:r>
        <w:rPr>
          <w:rFonts w:hint="eastAsia" w:ascii="宋体" w:hAnsi="宋体" w:eastAsia="宋体" w:cs="宋体"/>
          <w:bCs/>
          <w:color w:val="auto"/>
          <w:sz w:val="24"/>
          <w:szCs w:val="24"/>
          <w:highlight w:val="none"/>
        </w:rPr>
        <w:t>产品的部件、组件或零件的，则该产品不享受鼓励优惠政策。</w:t>
      </w:r>
    </w:p>
    <w:p w14:paraId="07056D92">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.2.7节能、环保、环境标志产品不重复计分；同时列入国家级清单和省级清单的产品不重复计分。</w:t>
      </w:r>
    </w:p>
    <w:p w14:paraId="74D95BF7">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B85BA48">
      <w:pPr>
        <w:widowControl/>
        <w:spacing w:line="240" w:lineRule="auto"/>
        <w:jc w:val="center"/>
        <w:outlineLvl w:val="0"/>
        <w:rPr>
          <w:rFonts w:hint="eastAsia" w:ascii="宋体" w:hAnsi="宋体" w:eastAsia="宋体" w:cs="宋体"/>
          <w:b/>
          <w:bCs/>
          <w:color w:val="auto"/>
          <w:kern w:val="2"/>
          <w:sz w:val="36"/>
          <w:szCs w:val="36"/>
          <w:highlight w:val="none"/>
          <w:lang w:val="en-US" w:eastAsia="zh-CN" w:bidi="ar-SA"/>
        </w:rPr>
      </w:pPr>
      <w:bookmarkStart w:id="95" w:name="_Toc7403"/>
      <w:r>
        <w:rPr>
          <w:rFonts w:hint="eastAsia" w:ascii="宋体" w:hAnsi="宋体" w:eastAsia="宋体" w:cs="宋体"/>
          <w:b/>
          <w:bCs/>
          <w:color w:val="auto"/>
          <w:kern w:val="2"/>
          <w:sz w:val="36"/>
          <w:szCs w:val="36"/>
          <w:highlight w:val="none"/>
          <w:lang w:val="en-US" w:eastAsia="zh-CN" w:bidi="ar-SA"/>
        </w:rPr>
        <w:t>第六章  竞争性磋商响应文件格式</w:t>
      </w:r>
      <w:bookmarkEnd w:id="91"/>
      <w:bookmarkEnd w:id="95"/>
    </w:p>
    <w:p w14:paraId="43E9407B">
      <w:pPr>
        <w:adjustRightInd w:val="0"/>
        <w:snapToGrid w:val="0"/>
        <w:spacing w:line="360" w:lineRule="auto"/>
        <w:ind w:right="600"/>
        <w:jc w:val="right"/>
        <w:rPr>
          <w:rFonts w:hint="eastAsia" w:ascii="宋体" w:hAnsi="宋体" w:eastAsia="宋体" w:cs="宋体"/>
          <w:b/>
          <w:color w:val="auto"/>
          <w:sz w:val="20"/>
          <w:szCs w:val="20"/>
          <w:highlight w:val="none"/>
        </w:rPr>
      </w:pPr>
      <w:bookmarkStart w:id="96" w:name="_Toc5592_WPSOffice_Level1"/>
      <w:bookmarkStart w:id="97" w:name="_Toc25996_WPSOffice_Level1"/>
      <w:bookmarkStart w:id="98" w:name="_Toc10930_WPSOffice_Level1"/>
      <w:bookmarkStart w:id="99" w:name="_Toc19196"/>
    </w:p>
    <w:p w14:paraId="10F24C1E">
      <w:pPr>
        <w:adjustRightInd w:val="0"/>
        <w:snapToGrid w:val="0"/>
        <w:spacing w:line="360" w:lineRule="auto"/>
        <w:ind w:right="600"/>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（正本或副本）</w:t>
      </w:r>
    </w:p>
    <w:p w14:paraId="47E79D16">
      <w:pPr>
        <w:autoSpaceDE w:val="0"/>
        <w:autoSpaceDN w:val="0"/>
        <w:adjustRightInd w:val="0"/>
        <w:snapToGrid w:val="0"/>
        <w:spacing w:line="360" w:lineRule="auto"/>
        <w:jc w:val="left"/>
        <w:rPr>
          <w:rFonts w:hint="eastAsia" w:ascii="宋体" w:hAnsi="宋体" w:cs="宋体"/>
          <w:b/>
          <w:bCs/>
          <w:color w:val="auto"/>
          <w:sz w:val="30"/>
          <w:szCs w:val="30"/>
          <w:lang w:val="zh-CN"/>
        </w:rPr>
      </w:pPr>
      <w:r>
        <w:rPr>
          <w:rFonts w:hint="eastAsia" w:ascii="宋体" w:hAnsi="宋体" w:cs="宋体"/>
          <w:b/>
          <w:bCs/>
          <w:color w:val="auto"/>
          <w:sz w:val="30"/>
          <w:szCs w:val="30"/>
          <w:lang w:val="zh-CN"/>
        </w:rPr>
        <w:t>政府采购项目</w:t>
      </w:r>
    </w:p>
    <w:p w14:paraId="1A97F096">
      <w:pPr>
        <w:wordWrap w:val="0"/>
        <w:spacing w:line="360" w:lineRule="auto"/>
        <w:ind w:right="98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705F22ED">
      <w:pPr>
        <w:spacing w:line="360" w:lineRule="auto"/>
        <w:rPr>
          <w:rFonts w:hint="eastAsia" w:ascii="宋体" w:hAnsi="宋体" w:eastAsia="宋体" w:cs="宋体"/>
          <w:b/>
          <w:color w:val="auto"/>
          <w:sz w:val="24"/>
          <w:szCs w:val="24"/>
          <w:highlight w:val="none"/>
        </w:rPr>
      </w:pPr>
    </w:p>
    <w:p w14:paraId="4715F142">
      <w:pPr>
        <w:adjustRightInd w:val="0"/>
        <w:snapToGrid w:val="0"/>
        <w:spacing w:line="360" w:lineRule="auto"/>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u w:val="single"/>
        </w:rPr>
        <w:t xml:space="preserve">                       </w:t>
      </w:r>
      <w:r>
        <w:rPr>
          <w:rFonts w:hint="eastAsia" w:ascii="宋体" w:hAnsi="宋体" w:eastAsia="宋体" w:cs="宋体"/>
          <w:bCs/>
          <w:color w:val="auto"/>
          <w:sz w:val="48"/>
          <w:szCs w:val="48"/>
          <w:highlight w:val="none"/>
        </w:rPr>
        <w:t>项目</w:t>
      </w:r>
    </w:p>
    <w:p w14:paraId="7D037AD0">
      <w:pPr>
        <w:adjustRightInd w:val="0"/>
        <w:snapToGrid w:val="0"/>
        <w:spacing w:line="360" w:lineRule="auto"/>
        <w:jc w:val="center"/>
        <w:rPr>
          <w:rFonts w:hint="eastAsia" w:ascii="宋体" w:hAnsi="宋体" w:eastAsia="宋体" w:cs="宋体"/>
          <w:bCs/>
          <w:color w:val="auto"/>
          <w:sz w:val="48"/>
          <w:szCs w:val="48"/>
          <w:highlight w:val="none"/>
        </w:rPr>
      </w:pPr>
    </w:p>
    <w:p w14:paraId="52537576">
      <w:pPr>
        <w:adjustRightInd w:val="0"/>
        <w:snapToGrid w:val="0"/>
        <w:spacing w:line="360" w:lineRule="auto"/>
        <w:jc w:val="center"/>
        <w:rPr>
          <w:rFonts w:hint="eastAsia" w:ascii="宋体" w:hAnsi="宋体" w:eastAsia="宋体" w:cs="宋体"/>
          <w:bCs/>
          <w:color w:val="auto"/>
          <w:sz w:val="48"/>
          <w:szCs w:val="48"/>
          <w:highlight w:val="none"/>
        </w:rPr>
      </w:pPr>
    </w:p>
    <w:p w14:paraId="0B2128EA">
      <w:pPr>
        <w:adjustRightInd w:val="0"/>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竞争性磋商响应文件</w:t>
      </w:r>
    </w:p>
    <w:p w14:paraId="7BFF4A08">
      <w:pPr>
        <w:adjustRightInd w:val="0"/>
        <w:snapToGrid w:val="0"/>
        <w:spacing w:line="360" w:lineRule="auto"/>
        <w:jc w:val="center"/>
        <w:rPr>
          <w:rFonts w:hint="eastAsia" w:ascii="宋体" w:hAnsi="宋体" w:eastAsia="宋体" w:cs="宋体"/>
          <w:b/>
          <w:color w:val="auto"/>
          <w:sz w:val="28"/>
          <w:szCs w:val="24"/>
          <w:highlight w:val="none"/>
        </w:rPr>
      </w:pPr>
    </w:p>
    <w:p w14:paraId="2782B15C">
      <w:pPr>
        <w:adjustRightInd w:val="0"/>
        <w:snapToGrid w:val="0"/>
        <w:spacing w:line="360" w:lineRule="auto"/>
        <w:rPr>
          <w:rFonts w:hint="eastAsia" w:ascii="宋体" w:hAnsi="宋体" w:eastAsia="宋体" w:cs="宋体"/>
          <w:b/>
          <w:color w:val="auto"/>
          <w:sz w:val="28"/>
          <w:szCs w:val="24"/>
          <w:highlight w:val="none"/>
        </w:rPr>
      </w:pPr>
    </w:p>
    <w:p w14:paraId="4C51B949">
      <w:pPr>
        <w:pStyle w:val="13"/>
        <w:rPr>
          <w:rFonts w:hint="eastAsia" w:ascii="宋体" w:hAnsi="宋体" w:eastAsia="宋体" w:cs="宋体"/>
          <w:b/>
          <w:color w:val="auto"/>
          <w:sz w:val="28"/>
          <w:szCs w:val="24"/>
          <w:highlight w:val="none"/>
        </w:rPr>
      </w:pPr>
    </w:p>
    <w:p w14:paraId="5E1E28F3">
      <w:pPr>
        <w:pStyle w:val="14"/>
        <w:rPr>
          <w:rFonts w:hint="eastAsia" w:ascii="宋体" w:hAnsi="宋体" w:eastAsia="宋体" w:cs="宋体"/>
          <w:b/>
          <w:color w:val="auto"/>
          <w:sz w:val="28"/>
          <w:szCs w:val="24"/>
          <w:highlight w:val="none"/>
        </w:rPr>
      </w:pPr>
    </w:p>
    <w:p w14:paraId="21EC0EA9">
      <w:pPr>
        <w:pStyle w:val="14"/>
        <w:rPr>
          <w:rFonts w:hint="eastAsia" w:ascii="宋体" w:hAnsi="宋体" w:eastAsia="宋体" w:cs="宋体"/>
          <w:b/>
          <w:color w:val="auto"/>
          <w:sz w:val="28"/>
          <w:szCs w:val="24"/>
          <w:highlight w:val="none"/>
        </w:rPr>
      </w:pPr>
    </w:p>
    <w:p w14:paraId="528A5489">
      <w:pPr>
        <w:pStyle w:val="17"/>
        <w:rPr>
          <w:rFonts w:hint="eastAsia" w:ascii="宋体" w:hAnsi="宋体" w:eastAsia="宋体" w:cs="宋体"/>
          <w:b/>
          <w:color w:val="auto"/>
          <w:sz w:val="28"/>
          <w:szCs w:val="18"/>
          <w:highlight w:val="none"/>
        </w:rPr>
      </w:pPr>
    </w:p>
    <w:p w14:paraId="0F862D99">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供应商名称</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（公章）</w:t>
      </w:r>
    </w:p>
    <w:p w14:paraId="3AD2398A">
      <w:pPr>
        <w:keepNext w:val="0"/>
        <w:keepLines w:val="0"/>
        <w:pageBreakBefore w:val="0"/>
        <w:widowControl w:val="0"/>
        <w:kinsoku/>
        <w:wordWrap/>
        <w:overflowPunct/>
        <w:topLinePunct w:val="0"/>
        <w:autoSpaceDE/>
        <w:autoSpaceDN/>
        <w:bidi w:val="0"/>
        <w:adjustRightInd/>
        <w:snapToGrid/>
        <w:spacing w:line="240" w:lineRule="auto"/>
        <w:ind w:firstLine="1405" w:firstLineChars="5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w:t>
      </w:r>
    </w:p>
    <w:p w14:paraId="168CD7A2">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或授权代表：</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（签字或盖章）</w:t>
      </w:r>
    </w:p>
    <w:p w14:paraId="3EECCE10">
      <w:pPr>
        <w:ind w:firstLine="1405" w:firstLine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7FC1BDE4">
      <w:pPr>
        <w:adjustRightInd w:val="0"/>
        <w:snapToGrid w:val="0"/>
        <w:spacing w:line="360" w:lineRule="auto"/>
        <w:rPr>
          <w:rFonts w:hint="eastAsia" w:ascii="宋体" w:hAnsi="宋体" w:eastAsia="宋体" w:cs="宋体"/>
          <w:b/>
          <w:color w:val="auto"/>
          <w:sz w:val="20"/>
          <w:szCs w:val="28"/>
          <w:highlight w:val="none"/>
        </w:rPr>
      </w:pPr>
    </w:p>
    <w:p w14:paraId="6B459CA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82BA3AB">
      <w:pPr>
        <w:pStyle w:val="10"/>
        <w:rPr>
          <w:rFonts w:hint="eastAsia" w:ascii="宋体" w:hAnsi="宋体" w:eastAsia="宋体" w:cs="宋体"/>
          <w:color w:val="auto"/>
          <w:highlight w:val="none"/>
        </w:rPr>
      </w:pPr>
    </w:p>
    <w:p w14:paraId="7A5B5C55">
      <w:pPr>
        <w:spacing w:line="360" w:lineRule="auto"/>
        <w:jc w:val="center"/>
        <w:rPr>
          <w:rFonts w:hint="eastAsia" w:ascii="宋体" w:hAnsi="宋体" w:eastAsia="宋体" w:cs="宋体"/>
          <w:b/>
          <w:bCs/>
          <w:color w:val="auto"/>
          <w:spacing w:val="4"/>
          <w:sz w:val="48"/>
          <w:szCs w:val="48"/>
          <w:highlight w:val="none"/>
        </w:rPr>
      </w:pPr>
      <w:r>
        <w:rPr>
          <w:rFonts w:hint="eastAsia" w:ascii="宋体" w:hAnsi="宋体" w:eastAsia="宋体" w:cs="宋体"/>
          <w:b/>
          <w:bCs/>
          <w:color w:val="auto"/>
          <w:spacing w:val="4"/>
          <w:sz w:val="48"/>
          <w:szCs w:val="48"/>
          <w:highlight w:val="none"/>
        </w:rPr>
        <w:t>目   录</w:t>
      </w:r>
    </w:p>
    <w:p w14:paraId="2ED2A76E">
      <w:pPr>
        <w:spacing w:line="360" w:lineRule="auto"/>
        <w:jc w:val="left"/>
        <w:rPr>
          <w:rFonts w:hint="eastAsia" w:ascii="宋体" w:hAnsi="宋体" w:eastAsia="宋体" w:cs="宋体"/>
          <w:b/>
          <w:bCs/>
          <w:color w:val="auto"/>
          <w:spacing w:val="4"/>
          <w:sz w:val="32"/>
          <w:szCs w:val="32"/>
          <w:highlight w:val="none"/>
        </w:rPr>
      </w:pPr>
    </w:p>
    <w:p w14:paraId="2D0B01C5">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磋商函…………………………………………（页码）</w:t>
      </w:r>
    </w:p>
    <w:p w14:paraId="22980DB5">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法定代表人身份证明…………………………（页码）</w:t>
      </w:r>
    </w:p>
    <w:p w14:paraId="7869C53E">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法人授权委托书………………………………（页码）</w:t>
      </w:r>
    </w:p>
    <w:p w14:paraId="5694E3F1">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报价表…………………………………………（页码）</w:t>
      </w:r>
    </w:p>
    <w:p w14:paraId="120BAD37">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近年承接的类似项目情况表…………………（页码）</w:t>
      </w:r>
    </w:p>
    <w:p w14:paraId="6D961E66">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项目实施</w:t>
      </w:r>
      <w:r>
        <w:rPr>
          <w:rFonts w:hint="eastAsia" w:ascii="宋体" w:hAnsi="宋体" w:eastAsia="宋体" w:cs="宋体"/>
          <w:color w:val="auto"/>
          <w:sz w:val="28"/>
          <w:szCs w:val="28"/>
          <w:highlight w:val="none"/>
        </w:rPr>
        <w:t>方案…………………………………（页码）</w:t>
      </w:r>
    </w:p>
    <w:p w14:paraId="418AD993">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w:t>
      </w:r>
      <w:r>
        <w:rPr>
          <w:rFonts w:hint="eastAsia" w:ascii="宋体" w:hAnsi="宋体" w:eastAsia="宋体" w:cs="宋体"/>
          <w:color w:val="auto"/>
          <w:sz w:val="28"/>
          <w:szCs w:val="28"/>
          <w:highlight w:val="none"/>
          <w:lang w:val="en-US" w:eastAsia="zh-CN"/>
        </w:rPr>
        <w:t>和技术</w:t>
      </w:r>
      <w:r>
        <w:rPr>
          <w:rFonts w:hint="eastAsia" w:ascii="宋体" w:hAnsi="宋体" w:eastAsia="宋体" w:cs="宋体"/>
          <w:color w:val="auto"/>
          <w:sz w:val="28"/>
          <w:szCs w:val="28"/>
          <w:highlight w:val="none"/>
        </w:rPr>
        <w:t>偏离说明…………………………（页码）</w:t>
      </w:r>
    </w:p>
    <w:p w14:paraId="48DC0497">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资格证明文件…………………………………（页码）</w:t>
      </w:r>
    </w:p>
    <w:p w14:paraId="0519AFEB">
      <w:pPr>
        <w:numPr>
          <w:ilvl w:val="0"/>
          <w:numId w:val="7"/>
        </w:numPr>
        <w:spacing w:line="360" w:lineRule="auto"/>
        <w:ind w:left="480" w:leftChars="20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其他资料………………………………………（页码）</w:t>
      </w:r>
    </w:p>
    <w:p w14:paraId="6C2B3502">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Cs/>
          <w:color w:val="auto"/>
          <w:sz w:val="32"/>
          <w:szCs w:val="32"/>
          <w:highlight w:val="none"/>
        </w:rPr>
        <w:br w:type="page"/>
      </w:r>
      <w:bookmarkStart w:id="100" w:name="_Toc20210"/>
      <w:r>
        <w:rPr>
          <w:rFonts w:hint="eastAsia" w:ascii="宋体" w:hAnsi="宋体" w:eastAsia="宋体" w:cs="宋体"/>
          <w:b/>
          <w:bCs/>
          <w:color w:val="auto"/>
          <w:sz w:val="32"/>
          <w:szCs w:val="32"/>
          <w:highlight w:val="none"/>
        </w:rPr>
        <w:t>磋商函</w:t>
      </w:r>
      <w:bookmarkEnd w:id="100"/>
    </w:p>
    <w:p w14:paraId="392DAAB1">
      <w:pPr>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rPr>
        <w:t>陕西省档案馆</w:t>
      </w:r>
      <w:r>
        <w:rPr>
          <w:rFonts w:hint="eastAsia" w:ascii="宋体" w:hAnsi="宋体" w:eastAsia="宋体" w:cs="宋体"/>
          <w:color w:val="auto"/>
          <w:sz w:val="24"/>
          <w:szCs w:val="24"/>
          <w:highlight w:val="none"/>
        </w:rPr>
        <w:t>：</w:t>
      </w:r>
    </w:p>
    <w:p w14:paraId="2095A3AC">
      <w:pPr>
        <w:autoSpaceDE w:val="0"/>
        <w:autoSpaceDN w:val="0"/>
        <w:adjustRightInd w:val="0"/>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我单位收到贵公司</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竞争性磋商文件，经详细研究，我们决定参加本次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活动并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。为此，我方郑重声明以下诸点，并负法律责任。</w:t>
      </w:r>
    </w:p>
    <w:p w14:paraId="5E7B473F">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、愿意按照竞争性磋商采购文件中的一切要求，提供磋商技术服务，完成合同的责任和义务。</w:t>
      </w:r>
    </w:p>
    <w:p w14:paraId="42A9E4F4">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、按竞争性磋商采购文件的规定，我公司的第一次磋商报价为：人民币（</w:t>
      </w:r>
      <w:r>
        <w:rPr>
          <w:rFonts w:hint="eastAsia" w:ascii="宋体" w:hAnsi="宋体" w:eastAsia="宋体" w:cs="宋体"/>
          <w:color w:val="auto"/>
          <w:sz w:val="24"/>
          <w:szCs w:val="24"/>
          <w:highlight w:val="none"/>
          <w:u w:val="single"/>
          <w:lang w:val="zh-CN"/>
        </w:rPr>
        <w:t>大写）：（￥：元）</w:t>
      </w:r>
      <w:r>
        <w:rPr>
          <w:rFonts w:hint="eastAsia" w:ascii="宋体" w:hAnsi="宋体" w:eastAsia="宋体" w:cs="宋体"/>
          <w:color w:val="auto"/>
          <w:sz w:val="24"/>
          <w:szCs w:val="24"/>
          <w:highlight w:val="none"/>
          <w:lang w:val="zh-CN"/>
        </w:rPr>
        <w:t>，并对其后的磋商报价负法律责任。</w:t>
      </w:r>
    </w:p>
    <w:p w14:paraId="7ABBD968">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、我方提交的磋商响应文件正本一份、副本二份、电子</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U盘</w:t>
      </w:r>
      <w:r>
        <w:rPr>
          <w:rFonts w:hint="eastAsia" w:ascii="宋体" w:hAnsi="宋体" w:eastAsia="宋体" w:cs="宋体"/>
          <w:color w:val="auto"/>
          <w:sz w:val="24"/>
          <w:szCs w:val="24"/>
          <w:highlight w:val="none"/>
          <w:lang w:val="zh-CN"/>
        </w:rPr>
        <w:t>）一份。</w:t>
      </w:r>
    </w:p>
    <w:p w14:paraId="335941EC">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、我方已详细阅读了竞争性磋商采购文件，完全理解并放弃提出含糊不清或易形成歧义的表述和资料。</w:t>
      </w:r>
    </w:p>
    <w:p w14:paraId="79430EE4">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、磋商后在规定的有效期内撤回磋商，我方愿接受政府采购的有关处罚决定。</w:t>
      </w:r>
    </w:p>
    <w:p w14:paraId="1BEBE2AC">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、同意向贵方提供可能要求的，与本次磋商有关的任何证据或资料，我们完全理解最低磋商报价不作为成交的唯一条件，且尊重磋商小组的评审结论和结果。</w:t>
      </w:r>
    </w:p>
    <w:p w14:paraId="6D9A088C">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、我方的磋商响应文件在磋商后有效期为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日历天，若我方成交，磋商响应文件有效期延长至合同执行完毕。</w:t>
      </w:r>
    </w:p>
    <w:p w14:paraId="53132B84">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、有关于本磋商采购文件的函电，请按下列地址联系。</w:t>
      </w:r>
    </w:p>
    <w:p w14:paraId="2E5F7B74">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val="zh-CN"/>
        </w:rPr>
        <w:t>）</w:t>
      </w:r>
    </w:p>
    <w:p w14:paraId="433CB0E7">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6E908CF9">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p>
    <w:p w14:paraId="06910628">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p>
    <w:p w14:paraId="6983C358">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p>
    <w:p w14:paraId="565FA6C5">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6895FB68">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A14B2D6">
      <w:pPr>
        <w:pStyle w:val="76"/>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u w:val="none"/>
          <w:lang w:val="en-US" w:eastAsia="zh-CN"/>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14:paraId="6AB22E34">
      <w:pP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br w:type="page"/>
      </w:r>
    </w:p>
    <w:p w14:paraId="12E3057B">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bookmarkStart w:id="101" w:name="_Toc24999"/>
      <w:r>
        <w:rPr>
          <w:rFonts w:hint="eastAsia" w:ascii="宋体" w:hAnsi="宋体" w:eastAsia="宋体" w:cs="宋体"/>
          <w:b/>
          <w:bCs/>
          <w:color w:val="auto"/>
          <w:sz w:val="32"/>
          <w:szCs w:val="32"/>
          <w:highlight w:val="none"/>
        </w:rPr>
        <w:t>法定代表人身份证明</w:t>
      </w:r>
      <w:bookmarkEnd w:id="101"/>
    </w:p>
    <w:p w14:paraId="1E6D2191">
      <w:pPr>
        <w:autoSpaceDE w:val="0"/>
        <w:autoSpaceDN w:val="0"/>
        <w:adjustRightInd w:val="0"/>
        <w:spacing w:line="360" w:lineRule="auto"/>
        <w:jc w:val="center"/>
        <w:rPr>
          <w:rFonts w:hint="eastAsia" w:ascii="宋体" w:hAnsi="宋体" w:cs="宋体"/>
          <w:b/>
          <w:color w:val="auto"/>
          <w:sz w:val="28"/>
          <w:szCs w:val="28"/>
        </w:rPr>
      </w:pPr>
    </w:p>
    <w:p w14:paraId="7293B3A6">
      <w:pPr>
        <w:autoSpaceDE w:val="0"/>
        <w:autoSpaceDN w:val="0"/>
        <w:adjustRightInd w:val="0"/>
        <w:spacing w:line="360" w:lineRule="auto"/>
        <w:jc w:val="center"/>
        <w:rPr>
          <w:rFonts w:hint="eastAsia" w:ascii="宋体" w:hAnsi="宋体" w:cs="宋体"/>
          <w:b/>
          <w:color w:val="auto"/>
          <w:sz w:val="28"/>
          <w:szCs w:val="24"/>
        </w:rPr>
      </w:pPr>
      <w:r>
        <w:rPr>
          <w:rFonts w:hint="eastAsia" w:ascii="宋体" w:hAnsi="宋体" w:cs="宋体"/>
          <w:b/>
          <w:color w:val="auto"/>
          <w:sz w:val="28"/>
          <w:szCs w:val="28"/>
        </w:rPr>
        <w:t>法定代表人</w:t>
      </w:r>
      <w:r>
        <w:rPr>
          <w:rFonts w:hint="eastAsia" w:ascii="宋体" w:hAnsi="宋体" w:cs="宋体"/>
          <w:b/>
          <w:color w:val="auto"/>
          <w:sz w:val="28"/>
          <w:szCs w:val="24"/>
        </w:rPr>
        <w:t>身份证明</w:t>
      </w:r>
    </w:p>
    <w:p w14:paraId="2C25A263">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u w:val="single"/>
        </w:rPr>
        <w:t xml:space="preserve">                            </w:t>
      </w:r>
    </w:p>
    <w:p w14:paraId="3633A687">
      <w:pPr>
        <w:spacing w:line="360" w:lineRule="auto"/>
        <w:ind w:firstLine="480" w:firstLineChars="2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p>
    <w:p w14:paraId="3B549D1E">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7D5077E2">
      <w:pPr>
        <w:spacing w:line="360" w:lineRule="auto"/>
        <w:ind w:firstLine="480" w:firstLineChars="2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1CCB56C">
      <w:pPr>
        <w:spacing w:line="360" w:lineRule="auto"/>
        <w:ind w:firstLine="480" w:firstLineChars="2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4F479A19">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        别：</w:t>
      </w:r>
      <w:r>
        <w:rPr>
          <w:rFonts w:hint="eastAsia" w:ascii="宋体" w:hAnsi="宋体" w:cs="宋体"/>
          <w:color w:val="auto"/>
          <w:sz w:val="24"/>
          <w:u w:val="single"/>
        </w:rPr>
        <w:t xml:space="preserve">           </w:t>
      </w:r>
    </w:p>
    <w:p w14:paraId="69D78B6F">
      <w:pPr>
        <w:spacing w:line="360" w:lineRule="auto"/>
        <w:ind w:firstLine="480" w:firstLineChars="2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14:paraId="7C07DCE0">
      <w:pPr>
        <w:spacing w:line="360" w:lineRule="auto"/>
        <w:ind w:firstLine="480" w:firstLineChars="2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43308CEE">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特此证明。</w:t>
      </w:r>
    </w:p>
    <w:p w14:paraId="2FC993A1">
      <w:pPr>
        <w:spacing w:line="360" w:lineRule="auto"/>
        <w:ind w:firstLine="480" w:firstLineChars="200"/>
        <w:rPr>
          <w:rFonts w:hint="eastAsia" w:ascii="宋体" w:hAnsi="宋体" w:cs="宋体"/>
          <w:color w:val="auto"/>
          <w:sz w:val="24"/>
        </w:rPr>
      </w:pPr>
      <w:r>
        <w:rPr>
          <w:rFonts w:hint="eastAsia" w:ascii="宋体" w:hAnsi="宋体" w:cs="宋体"/>
          <w:color w:val="auto"/>
          <w:sz w:val="24"/>
        </w:rPr>
        <w:t>附</w:t>
      </w:r>
      <w:r>
        <w:rPr>
          <w:rFonts w:hint="eastAsia" w:ascii="宋体" w:hAnsi="宋体" w:cs="宋体"/>
          <w:color w:val="auto"/>
          <w:sz w:val="24"/>
          <w:lang w:val="en-US" w:eastAsia="zh-CN"/>
        </w:rPr>
        <w:t>法定代表人</w:t>
      </w:r>
      <w:r>
        <w:rPr>
          <w:rFonts w:hint="eastAsia" w:ascii="宋体" w:hAnsi="宋体" w:cs="宋体"/>
          <w:color w:val="auto"/>
          <w:sz w:val="24"/>
        </w:rPr>
        <w:t>身份证。</w:t>
      </w:r>
    </w:p>
    <w:p w14:paraId="1C4BA405">
      <w:pPr>
        <w:spacing w:line="360" w:lineRule="auto"/>
        <w:ind w:firstLine="480" w:firstLineChars="200"/>
        <w:rPr>
          <w:rFonts w:hint="eastAsia" w:ascii="宋体" w:hAnsi="宋体" w:cs="宋体"/>
          <w:color w:val="auto"/>
          <w:sz w:val="24"/>
        </w:rPr>
      </w:pPr>
    </w:p>
    <w:p w14:paraId="6910CDBC">
      <w:pPr>
        <w:spacing w:line="360" w:lineRule="auto"/>
        <w:ind w:firstLine="480" w:firstLineChars="200"/>
        <w:rPr>
          <w:rFonts w:hint="eastAsia" w:ascii="宋体" w:hAnsi="宋体" w:cs="宋体"/>
          <w:color w:val="auto"/>
          <w:sz w:val="24"/>
        </w:rPr>
      </w:pPr>
    </w:p>
    <w:p w14:paraId="5C297205">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公章</w:t>
      </w:r>
      <w:r>
        <w:rPr>
          <w:rFonts w:hint="eastAsia" w:ascii="宋体" w:hAnsi="宋体" w:cs="宋体"/>
          <w:color w:val="auto"/>
          <w:sz w:val="24"/>
          <w:szCs w:val="24"/>
        </w:rPr>
        <w:t>）</w:t>
      </w:r>
    </w:p>
    <w:p w14:paraId="4D536187">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法定代表人或授权代表：</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（签字或盖章）</w:t>
      </w:r>
    </w:p>
    <w:p w14:paraId="28689F34">
      <w:pPr>
        <w:pStyle w:val="46"/>
        <w:ind w:firstLine="480"/>
        <w:jc w:val="left"/>
        <w:rPr>
          <w:rFonts w:hint="eastAsia" w:ascii="宋体" w:hAnsi="宋体" w:cs="宋体"/>
          <w:color w:val="auto"/>
          <w:lang w:val="zh-CN"/>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9A95820">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Cs/>
          <w:color w:val="auto"/>
          <w:sz w:val="32"/>
          <w:szCs w:val="32"/>
          <w:highlight w:val="none"/>
        </w:rPr>
        <w:br w:type="page"/>
      </w:r>
      <w:bookmarkStart w:id="102" w:name="_Toc22301"/>
      <w:r>
        <w:rPr>
          <w:rFonts w:hint="eastAsia" w:ascii="宋体" w:hAnsi="宋体" w:eastAsia="宋体" w:cs="宋体"/>
          <w:b/>
          <w:bCs/>
          <w:color w:val="auto"/>
          <w:sz w:val="32"/>
          <w:szCs w:val="32"/>
          <w:highlight w:val="none"/>
        </w:rPr>
        <w:t>法人授权委托书</w:t>
      </w:r>
      <w:bookmarkEnd w:id="102"/>
    </w:p>
    <w:p w14:paraId="33FB8929">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陕西省档案馆</w:t>
      </w:r>
      <w:r>
        <w:rPr>
          <w:rFonts w:hint="eastAsia" w:ascii="宋体" w:hAnsi="宋体" w:eastAsia="宋体" w:cs="宋体"/>
          <w:color w:val="auto"/>
          <w:sz w:val="24"/>
          <w:szCs w:val="24"/>
          <w:lang w:val="zh-CN"/>
        </w:rPr>
        <w:t>：</w:t>
      </w:r>
    </w:p>
    <w:p w14:paraId="77C3F991">
      <w:pPr>
        <w:autoSpaceDE w:val="0"/>
        <w:autoSpaceDN w:val="0"/>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注册于</w:t>
      </w:r>
      <w:r>
        <w:rPr>
          <w:rFonts w:hint="eastAsia" w:ascii="宋体" w:hAnsi="宋体" w:cs="宋体"/>
          <w:color w:val="auto"/>
          <w:sz w:val="24"/>
          <w:szCs w:val="24"/>
          <w:u w:val="single"/>
          <w:lang w:val="zh-CN"/>
        </w:rPr>
        <w:t>（工商行政管理局名称）</w:t>
      </w:r>
      <w:r>
        <w:rPr>
          <w:rFonts w:hint="eastAsia" w:ascii="宋体" w:hAnsi="宋体" w:cs="宋体"/>
          <w:color w:val="auto"/>
          <w:sz w:val="24"/>
          <w:szCs w:val="24"/>
          <w:lang w:val="zh-CN"/>
        </w:rPr>
        <w:t>之</w:t>
      </w:r>
      <w:r>
        <w:rPr>
          <w:rFonts w:hint="eastAsia" w:ascii="宋体" w:hAnsi="宋体" w:cs="宋体"/>
          <w:color w:val="auto"/>
          <w:sz w:val="24"/>
          <w:szCs w:val="24"/>
          <w:u w:val="single"/>
          <w:lang w:val="zh-CN"/>
        </w:rPr>
        <w:t>（供应商全称）</w:t>
      </w:r>
      <w:r>
        <w:rPr>
          <w:rFonts w:hint="eastAsia" w:ascii="宋体" w:hAnsi="宋体" w:cs="宋体"/>
          <w:color w:val="auto"/>
          <w:sz w:val="24"/>
          <w:szCs w:val="24"/>
          <w:lang w:val="zh-CN"/>
        </w:rPr>
        <w:t>法人代表</w:t>
      </w:r>
      <w:r>
        <w:rPr>
          <w:rFonts w:hint="eastAsia" w:ascii="宋体" w:hAnsi="宋体" w:cs="宋体"/>
          <w:color w:val="auto"/>
          <w:sz w:val="24"/>
          <w:szCs w:val="24"/>
          <w:u w:val="single"/>
          <w:lang w:val="zh-CN"/>
        </w:rPr>
        <w:t>（姓名、职务）</w:t>
      </w:r>
      <w:r>
        <w:rPr>
          <w:rFonts w:hint="eastAsia" w:ascii="宋体" w:hAnsi="宋体" w:cs="宋体"/>
          <w:color w:val="auto"/>
          <w:sz w:val="24"/>
          <w:szCs w:val="24"/>
          <w:lang w:val="zh-CN"/>
        </w:rPr>
        <w:t>授权</w:t>
      </w:r>
      <w:r>
        <w:rPr>
          <w:rFonts w:hint="eastAsia" w:ascii="宋体" w:hAnsi="宋体" w:cs="宋体"/>
          <w:color w:val="auto"/>
          <w:sz w:val="24"/>
          <w:szCs w:val="24"/>
          <w:u w:val="single"/>
          <w:lang w:val="zh-CN"/>
        </w:rPr>
        <w:t>（被授权人姓名、职务）</w:t>
      </w:r>
      <w:r>
        <w:rPr>
          <w:rFonts w:hint="eastAsia" w:ascii="宋体" w:hAnsi="宋体" w:cs="宋体"/>
          <w:color w:val="auto"/>
          <w:sz w:val="24"/>
          <w:szCs w:val="24"/>
          <w:lang w:val="zh-CN"/>
        </w:rPr>
        <w:t>为本公司的合法代理人，就</w:t>
      </w:r>
      <w:r>
        <w:rPr>
          <w:rFonts w:hint="eastAsia" w:ascii="宋体" w:hAnsi="宋体" w:cs="宋体"/>
          <w:color w:val="auto"/>
          <w:sz w:val="24"/>
          <w:szCs w:val="24"/>
          <w:u w:val="single"/>
          <w:lang w:val="zh-CN"/>
        </w:rPr>
        <w:t>（项目名称）</w:t>
      </w:r>
      <w:r>
        <w:rPr>
          <w:rFonts w:hint="eastAsia" w:ascii="宋体" w:hAnsi="宋体" w:cs="宋体"/>
          <w:color w:val="auto"/>
          <w:sz w:val="24"/>
          <w:szCs w:val="24"/>
          <w:lang w:val="zh-CN"/>
        </w:rPr>
        <w:t>的磋商及合同的执行和完成，以本公司的名义处理一切与之有关的事宜。</w:t>
      </w:r>
    </w:p>
    <w:p w14:paraId="76BD3A6A">
      <w:pPr>
        <w:autoSpaceDE w:val="0"/>
        <w:autoSpaceDN w:val="0"/>
        <w:adjustRightInd w:val="0"/>
        <w:spacing w:line="360" w:lineRule="auto"/>
        <w:ind w:right="960" w:firstLine="480" w:firstLineChars="200"/>
        <w:jc w:val="both"/>
        <w:rPr>
          <w:rFonts w:hint="eastAsia" w:ascii="宋体" w:hAnsi="宋体" w:cs="宋体"/>
          <w:color w:val="auto"/>
          <w:sz w:val="24"/>
          <w:szCs w:val="24"/>
        </w:rPr>
      </w:pPr>
      <w:r>
        <w:rPr>
          <w:rFonts w:hint="eastAsia" w:ascii="宋体" w:hAnsi="宋体" w:cs="宋体"/>
          <w:color w:val="auto"/>
          <w:sz w:val="24"/>
          <w:szCs w:val="24"/>
          <w:lang w:val="zh-CN"/>
        </w:rPr>
        <w:t>本授权书有效期：</w:t>
      </w:r>
      <w:r>
        <w:rPr>
          <w:rFonts w:hint="eastAsia" w:ascii="宋体" w:hAnsi="宋体" w:cs="宋体"/>
          <w:color w:val="auto"/>
          <w:sz w:val="24"/>
          <w:szCs w:val="24"/>
        </w:rPr>
        <w:t>自磋商响应文件提交截止时间起90日历日。</w:t>
      </w:r>
    </w:p>
    <w:p w14:paraId="1497190E">
      <w:pPr>
        <w:tabs>
          <w:tab w:val="left" w:pos="4035"/>
        </w:tabs>
        <w:autoSpaceDE w:val="0"/>
        <w:autoSpaceDN w:val="0"/>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ab/>
      </w:r>
    </w:p>
    <w:p w14:paraId="4EA3AAC3">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附：全权代表姓名：</w:t>
      </w:r>
      <w:r>
        <w:rPr>
          <w:rFonts w:hint="eastAsia" w:ascii="宋体" w:hAnsi="宋体" w:cs="宋体"/>
          <w:color w:val="auto"/>
          <w:sz w:val="24"/>
          <w:u w:val="single"/>
        </w:rPr>
        <w:t xml:space="preserve">             </w:t>
      </w:r>
    </w:p>
    <w:p w14:paraId="79102AAC">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性别：</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zh-CN"/>
        </w:rPr>
        <w:t>年  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zh-CN"/>
        </w:rPr>
        <w:t>职</w:t>
      </w:r>
      <w:r>
        <w:rPr>
          <w:rFonts w:hint="eastAsia" w:ascii="宋体" w:hAnsi="宋体" w:cs="宋体"/>
          <w:color w:val="auto"/>
          <w:sz w:val="24"/>
          <w:szCs w:val="24"/>
        </w:rPr>
        <w:t xml:space="preserve">    </w:t>
      </w:r>
      <w:r>
        <w:rPr>
          <w:rFonts w:hint="eastAsia" w:ascii="宋体" w:hAnsi="宋体" w:cs="宋体"/>
          <w:color w:val="auto"/>
          <w:sz w:val="24"/>
          <w:szCs w:val="24"/>
          <w:lang w:val="zh-CN"/>
        </w:rPr>
        <w:t>务：</w:t>
      </w:r>
      <w:r>
        <w:rPr>
          <w:rFonts w:hint="eastAsia" w:ascii="宋体" w:hAnsi="宋体" w:cs="宋体"/>
          <w:color w:val="auto"/>
          <w:sz w:val="24"/>
          <w:u w:val="single"/>
        </w:rPr>
        <w:t xml:space="preserve">       </w:t>
      </w:r>
    </w:p>
    <w:p w14:paraId="0484F4C0">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身份证号码：</w:t>
      </w:r>
      <w:r>
        <w:rPr>
          <w:rFonts w:hint="eastAsia" w:ascii="宋体" w:hAnsi="宋体" w:cs="宋体"/>
          <w:color w:val="auto"/>
          <w:sz w:val="24"/>
          <w:szCs w:val="24"/>
          <w:u w:val="single"/>
        </w:rPr>
        <w:t xml:space="preserve">                   </w:t>
      </w:r>
    </w:p>
    <w:p w14:paraId="01B8BEAD">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通讯地址：</w:t>
      </w:r>
      <w:r>
        <w:rPr>
          <w:rFonts w:hint="eastAsia" w:ascii="宋体" w:hAnsi="宋体" w:cs="宋体"/>
          <w:color w:val="auto"/>
          <w:sz w:val="24"/>
          <w:szCs w:val="24"/>
          <w:u w:val="single"/>
        </w:rPr>
        <w:t xml:space="preserve">                     </w:t>
      </w:r>
    </w:p>
    <w:p w14:paraId="1E51197B">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邮政编码：</w:t>
      </w:r>
      <w:r>
        <w:rPr>
          <w:rFonts w:hint="eastAsia" w:ascii="宋体" w:hAnsi="宋体" w:cs="宋体"/>
          <w:color w:val="auto"/>
          <w:sz w:val="24"/>
          <w:szCs w:val="24"/>
          <w:u w:val="single"/>
        </w:rPr>
        <w:t xml:space="preserve">                     </w:t>
      </w:r>
    </w:p>
    <w:p w14:paraId="60819263">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电</w:t>
      </w:r>
      <w:r>
        <w:rPr>
          <w:rFonts w:hint="eastAsia" w:ascii="宋体" w:hAnsi="宋体" w:cs="宋体"/>
          <w:color w:val="auto"/>
          <w:sz w:val="24"/>
          <w:szCs w:val="24"/>
        </w:rPr>
        <w:t xml:space="preserve">    </w:t>
      </w:r>
      <w:r>
        <w:rPr>
          <w:rFonts w:hint="eastAsia" w:ascii="宋体" w:hAnsi="宋体" w:cs="宋体"/>
          <w:color w:val="auto"/>
          <w:sz w:val="24"/>
          <w:szCs w:val="24"/>
          <w:lang w:val="zh-CN"/>
        </w:rPr>
        <w:t>话：</w:t>
      </w:r>
      <w:r>
        <w:rPr>
          <w:rFonts w:hint="eastAsia" w:ascii="宋体" w:hAnsi="宋体" w:cs="宋体"/>
          <w:color w:val="auto"/>
          <w:sz w:val="24"/>
          <w:szCs w:val="24"/>
          <w:u w:val="single"/>
        </w:rPr>
        <w:t xml:space="preserve">                     </w:t>
      </w:r>
    </w:p>
    <w:p w14:paraId="036FE8BF">
      <w:pPr>
        <w:autoSpaceDE w:val="0"/>
        <w:autoSpaceDN w:val="0"/>
        <w:adjustRightInd w:val="0"/>
        <w:spacing w:line="360" w:lineRule="auto"/>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lang w:val="zh-CN"/>
        </w:rPr>
        <w:t>电    传：</w:t>
      </w:r>
      <w:r>
        <w:rPr>
          <w:rFonts w:hint="eastAsia" w:ascii="宋体" w:hAnsi="宋体" w:cs="宋体"/>
          <w:color w:val="auto"/>
          <w:sz w:val="24"/>
          <w:szCs w:val="24"/>
          <w:u w:val="single"/>
        </w:rPr>
        <w:t xml:space="preserve">                    </w:t>
      </w:r>
    </w:p>
    <w:p w14:paraId="675B5B74">
      <w:pPr>
        <w:autoSpaceDE w:val="0"/>
        <w:autoSpaceDN w:val="0"/>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法定代表人</w:t>
      </w:r>
      <w:r>
        <w:rPr>
          <w:rFonts w:hint="eastAsia" w:ascii="宋体" w:hAnsi="宋体" w:cs="宋体"/>
          <w:color w:val="auto"/>
          <w:sz w:val="24"/>
          <w:szCs w:val="24"/>
        </w:rPr>
        <w:t>及</w:t>
      </w:r>
      <w:r>
        <w:rPr>
          <w:rFonts w:hint="eastAsia" w:ascii="宋体" w:hAnsi="宋体" w:cs="宋体"/>
          <w:color w:val="auto"/>
          <w:sz w:val="24"/>
          <w:szCs w:val="24"/>
          <w:lang w:val="zh-CN"/>
        </w:rPr>
        <w:t>授权代表身份证复印件</w:t>
      </w:r>
    </w:p>
    <w:tbl>
      <w:tblPr>
        <w:tblStyle w:val="28"/>
        <w:tblW w:w="7934" w:type="dxa"/>
        <w:tblInd w:w="679" w:type="dxa"/>
        <w:tblLayout w:type="fixed"/>
        <w:tblCellMar>
          <w:top w:w="0" w:type="dxa"/>
          <w:left w:w="108" w:type="dxa"/>
          <w:bottom w:w="0" w:type="dxa"/>
          <w:right w:w="108" w:type="dxa"/>
        </w:tblCellMar>
      </w:tblPr>
      <w:tblGrid>
        <w:gridCol w:w="4049"/>
        <w:gridCol w:w="3885"/>
      </w:tblGrid>
      <w:tr w14:paraId="54008039">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2BC0E21">
            <w:pPr>
              <w:autoSpaceDE w:val="0"/>
              <w:autoSpaceDN w:val="0"/>
              <w:adjustRightInd w:val="0"/>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法定代表人身份证复印件</w:t>
            </w:r>
          </w:p>
          <w:p w14:paraId="10F043FC">
            <w:pPr>
              <w:autoSpaceDE w:val="0"/>
              <w:autoSpaceDN w:val="0"/>
              <w:adjustRightInd w:val="0"/>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8D5481E">
            <w:pPr>
              <w:autoSpaceDE w:val="0"/>
              <w:autoSpaceDN w:val="0"/>
              <w:adjustRightInd w:val="0"/>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授权代表身份证复印件</w:t>
            </w:r>
          </w:p>
          <w:p w14:paraId="479F8C79">
            <w:pPr>
              <w:autoSpaceDE w:val="0"/>
              <w:autoSpaceDN w:val="0"/>
              <w:adjustRightInd w:val="0"/>
              <w:spacing w:line="360" w:lineRule="auto"/>
              <w:jc w:val="center"/>
              <w:rPr>
                <w:rFonts w:hint="eastAsia" w:ascii="宋体" w:hAnsi="宋体" w:cs="宋体"/>
                <w:color w:val="auto"/>
                <w:sz w:val="24"/>
                <w:szCs w:val="24"/>
                <w:lang w:val="zh-CN"/>
              </w:rPr>
            </w:pPr>
            <w:r>
              <w:rPr>
                <w:rFonts w:hint="eastAsia" w:ascii="宋体" w:hAnsi="宋体" w:cs="宋体"/>
                <w:color w:val="auto"/>
                <w:sz w:val="24"/>
                <w:szCs w:val="24"/>
                <w:lang w:val="zh-CN"/>
              </w:rPr>
              <w:t>（正反面）</w:t>
            </w:r>
          </w:p>
        </w:tc>
      </w:tr>
    </w:tbl>
    <w:p w14:paraId="590F140F">
      <w:pPr>
        <w:adjustRightInd w:val="0"/>
        <w:snapToGrid w:val="0"/>
        <w:spacing w:line="360" w:lineRule="auto"/>
        <w:ind w:firstLine="480" w:firstLineChars="200"/>
        <w:rPr>
          <w:rFonts w:hint="eastAsia" w:ascii="宋体" w:hAnsi="宋体" w:cs="宋体"/>
          <w:color w:val="auto"/>
          <w:sz w:val="24"/>
          <w:szCs w:val="24"/>
        </w:rPr>
      </w:pPr>
    </w:p>
    <w:p w14:paraId="00325A25">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lang w:eastAsia="zh-CN"/>
        </w:rPr>
        <w:t>公章</w:t>
      </w:r>
      <w:r>
        <w:rPr>
          <w:rFonts w:hint="eastAsia" w:ascii="宋体" w:hAnsi="宋体" w:cs="宋体"/>
          <w:color w:val="auto"/>
          <w:sz w:val="24"/>
          <w:szCs w:val="24"/>
        </w:rPr>
        <w:t>）</w:t>
      </w:r>
    </w:p>
    <w:p w14:paraId="3083658F">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（签字或盖章）</w:t>
      </w:r>
    </w:p>
    <w:p w14:paraId="32F590A4">
      <w:pPr>
        <w:pStyle w:val="46"/>
        <w:ind w:firstLine="480"/>
        <w:jc w:val="left"/>
        <w:rPr>
          <w:rFonts w:hint="eastAsia" w:ascii="宋体" w:hAnsi="宋体" w:cs="宋体"/>
          <w:color w:val="auto"/>
          <w:lang w:val="zh-CN"/>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0C506A5">
      <w:pPr>
        <w:autoSpaceDE w:val="0"/>
        <w:autoSpaceDN w:val="0"/>
        <w:adjustRightInd w:val="0"/>
        <w:spacing w:line="360" w:lineRule="auto"/>
        <w:ind w:right="960" w:firstLine="480" w:firstLineChars="200"/>
        <w:rPr>
          <w:rFonts w:hint="eastAsia" w:ascii="宋体" w:hAnsi="宋体" w:cs="宋体"/>
          <w:color w:val="auto"/>
          <w:sz w:val="24"/>
          <w:szCs w:val="24"/>
          <w:lang w:val="zh-CN"/>
        </w:rPr>
      </w:pPr>
    </w:p>
    <w:p w14:paraId="58BDB82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2AECB1E">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lang w:eastAsia="zh-CN"/>
        </w:rPr>
      </w:pPr>
      <w:bookmarkStart w:id="103" w:name="_Toc13871"/>
      <w:bookmarkStart w:id="104" w:name="_Toc26642"/>
      <w:bookmarkStart w:id="105" w:name="_Toc18383"/>
      <w:r>
        <w:rPr>
          <w:rFonts w:hint="eastAsia" w:ascii="宋体" w:hAnsi="宋体" w:eastAsia="宋体" w:cs="宋体"/>
          <w:b/>
          <w:bCs/>
          <w:color w:val="auto"/>
          <w:sz w:val="32"/>
          <w:szCs w:val="32"/>
          <w:highlight w:val="none"/>
        </w:rPr>
        <w:t>报价表</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第一次</w:t>
      </w:r>
      <w:r>
        <w:rPr>
          <w:rFonts w:hint="eastAsia" w:ascii="宋体" w:hAnsi="宋体" w:eastAsia="宋体" w:cs="宋体"/>
          <w:b/>
          <w:bCs/>
          <w:color w:val="auto"/>
          <w:sz w:val="32"/>
          <w:szCs w:val="32"/>
          <w:highlight w:val="none"/>
          <w:lang w:eastAsia="zh-CN"/>
        </w:rPr>
        <w:t>）</w:t>
      </w:r>
      <w:bookmarkEnd w:id="103"/>
      <w:bookmarkEnd w:id="104"/>
      <w:bookmarkEnd w:id="105"/>
    </w:p>
    <w:tbl>
      <w:tblPr>
        <w:tblStyle w:val="28"/>
        <w:tblW w:w="8534" w:type="dxa"/>
        <w:jc w:val="center"/>
        <w:tblLayout w:type="fixed"/>
        <w:tblCellMar>
          <w:top w:w="0" w:type="dxa"/>
          <w:left w:w="108" w:type="dxa"/>
          <w:bottom w:w="0" w:type="dxa"/>
          <w:right w:w="108" w:type="dxa"/>
        </w:tblCellMar>
      </w:tblPr>
      <w:tblGrid>
        <w:gridCol w:w="2351"/>
        <w:gridCol w:w="6183"/>
      </w:tblGrid>
      <w:tr w14:paraId="052CD825">
        <w:tblPrEx>
          <w:tblCellMar>
            <w:top w:w="0" w:type="dxa"/>
            <w:left w:w="108" w:type="dxa"/>
            <w:bottom w:w="0" w:type="dxa"/>
            <w:right w:w="108" w:type="dxa"/>
          </w:tblCellMar>
        </w:tblPrEx>
        <w:trPr>
          <w:trHeight w:val="1213" w:hRule="atLeast"/>
          <w:jc w:val="center"/>
        </w:trPr>
        <w:tc>
          <w:tcPr>
            <w:tcW w:w="2351" w:type="dxa"/>
            <w:tcBorders>
              <w:top w:val="single" w:color="auto" w:sz="6" w:space="0"/>
              <w:left w:val="single" w:color="auto" w:sz="6" w:space="0"/>
              <w:bottom w:val="single" w:color="auto" w:sz="6" w:space="0"/>
              <w:right w:val="single" w:color="auto" w:sz="6" w:space="0"/>
            </w:tcBorders>
            <w:noWrap w:val="0"/>
            <w:vAlign w:val="center"/>
          </w:tcPr>
          <w:p w14:paraId="7741423F">
            <w:pPr>
              <w:pStyle w:val="24"/>
              <w:jc w:val="center"/>
              <w:rPr>
                <w:rFonts w:hint="eastAsia" w:eastAsia="宋体"/>
                <w:color w:val="auto"/>
                <w:lang w:eastAsia="zh-CN"/>
              </w:rPr>
            </w:pPr>
            <w:r>
              <w:rPr>
                <w:rFonts w:hint="eastAsia" w:ascii="宋体" w:hAnsi="宋体" w:cs="宋体"/>
                <w:color w:val="auto"/>
                <w:sz w:val="24"/>
                <w:szCs w:val="28"/>
                <w:lang w:val="en-US" w:eastAsia="zh-CN"/>
              </w:rPr>
              <w:t>项目名称</w:t>
            </w:r>
          </w:p>
        </w:tc>
        <w:tc>
          <w:tcPr>
            <w:tcW w:w="6183" w:type="dxa"/>
            <w:tcBorders>
              <w:top w:val="single" w:color="auto" w:sz="6" w:space="0"/>
              <w:left w:val="single" w:color="auto" w:sz="6" w:space="0"/>
              <w:bottom w:val="single" w:color="auto" w:sz="6" w:space="0"/>
              <w:right w:val="single" w:color="auto" w:sz="6" w:space="0"/>
            </w:tcBorders>
            <w:noWrap w:val="0"/>
            <w:vAlign w:val="center"/>
          </w:tcPr>
          <w:p w14:paraId="0283C610">
            <w:pPr>
              <w:autoSpaceDE w:val="0"/>
              <w:autoSpaceDN w:val="0"/>
              <w:adjustRightInd w:val="0"/>
              <w:snapToGrid w:val="0"/>
              <w:spacing w:line="360" w:lineRule="auto"/>
              <w:jc w:val="center"/>
              <w:rPr>
                <w:rFonts w:hint="eastAsia" w:ascii="宋体" w:hAnsi="宋体" w:cs="宋体"/>
                <w:color w:val="auto"/>
                <w:sz w:val="24"/>
                <w:szCs w:val="28"/>
              </w:rPr>
            </w:pPr>
          </w:p>
        </w:tc>
      </w:tr>
      <w:tr w14:paraId="045B96DF">
        <w:tblPrEx>
          <w:tblCellMar>
            <w:top w:w="0" w:type="dxa"/>
            <w:left w:w="108" w:type="dxa"/>
            <w:bottom w:w="0" w:type="dxa"/>
            <w:right w:w="108" w:type="dxa"/>
          </w:tblCellMar>
        </w:tblPrEx>
        <w:trPr>
          <w:trHeight w:val="1387" w:hRule="atLeast"/>
          <w:jc w:val="center"/>
        </w:trPr>
        <w:tc>
          <w:tcPr>
            <w:tcW w:w="2351" w:type="dxa"/>
            <w:tcBorders>
              <w:top w:val="single" w:color="auto" w:sz="6" w:space="0"/>
              <w:left w:val="single" w:color="auto" w:sz="6" w:space="0"/>
              <w:bottom w:val="single" w:color="auto" w:sz="6" w:space="0"/>
              <w:right w:val="single" w:color="auto" w:sz="6" w:space="0"/>
            </w:tcBorders>
            <w:noWrap w:val="0"/>
            <w:vAlign w:val="center"/>
          </w:tcPr>
          <w:p w14:paraId="2D6CDB16">
            <w:pPr>
              <w:pStyle w:val="24"/>
              <w:jc w:val="center"/>
              <w:rPr>
                <w:rFonts w:hint="eastAsia"/>
                <w:color w:val="auto"/>
                <w:lang w:eastAsia="zh-CN"/>
              </w:rPr>
            </w:pPr>
            <w:r>
              <w:rPr>
                <w:rFonts w:hint="eastAsia" w:ascii="宋体" w:hAnsi="宋体" w:cs="宋体"/>
                <w:color w:val="auto"/>
                <w:sz w:val="24"/>
                <w:szCs w:val="28"/>
              </w:rPr>
              <w:t>磋商总报价</w:t>
            </w:r>
          </w:p>
        </w:tc>
        <w:tc>
          <w:tcPr>
            <w:tcW w:w="6183" w:type="dxa"/>
            <w:tcBorders>
              <w:top w:val="single" w:color="auto" w:sz="6" w:space="0"/>
              <w:left w:val="single" w:color="auto" w:sz="6" w:space="0"/>
              <w:bottom w:val="single" w:color="auto" w:sz="6" w:space="0"/>
              <w:right w:val="single" w:color="auto" w:sz="6" w:space="0"/>
            </w:tcBorders>
            <w:noWrap w:val="0"/>
            <w:vAlign w:val="center"/>
          </w:tcPr>
          <w:p w14:paraId="6230FBDE">
            <w:pPr>
              <w:autoSpaceDE w:val="0"/>
              <w:autoSpaceDN w:val="0"/>
              <w:adjustRightInd w:val="0"/>
              <w:snapToGrid w:val="0"/>
              <w:spacing w:line="360" w:lineRule="auto"/>
              <w:rPr>
                <w:rFonts w:hint="eastAsia" w:ascii="宋体" w:hAnsi="宋体" w:cs="宋体"/>
                <w:color w:val="auto"/>
                <w:sz w:val="24"/>
                <w:szCs w:val="28"/>
                <w:u w:val="single"/>
              </w:rPr>
            </w:pPr>
            <w:r>
              <w:rPr>
                <w:rFonts w:hint="eastAsia" w:ascii="宋体" w:hAnsi="宋体" w:cs="宋体"/>
                <w:color w:val="auto"/>
                <w:sz w:val="24"/>
                <w:szCs w:val="28"/>
              </w:rPr>
              <w:t>大写：</w:t>
            </w:r>
            <w:r>
              <w:rPr>
                <w:rFonts w:hint="eastAsia" w:ascii="宋体" w:hAnsi="宋体" w:cs="宋体"/>
                <w:color w:val="auto"/>
                <w:sz w:val="24"/>
                <w:szCs w:val="28"/>
                <w:u w:val="single"/>
              </w:rPr>
              <w:t xml:space="preserve">           </w:t>
            </w:r>
          </w:p>
          <w:p w14:paraId="0DEB3E89">
            <w:pPr>
              <w:autoSpaceDE w:val="0"/>
              <w:autoSpaceDN w:val="0"/>
              <w:adjustRightInd w:val="0"/>
              <w:snapToGrid w:val="0"/>
              <w:spacing w:line="360" w:lineRule="auto"/>
              <w:jc w:val="both"/>
              <w:rPr>
                <w:rFonts w:hint="eastAsia" w:ascii="宋体" w:hAnsi="宋体" w:cs="宋体"/>
                <w:color w:val="auto"/>
                <w:sz w:val="24"/>
                <w:szCs w:val="28"/>
              </w:rPr>
            </w:pPr>
            <w:r>
              <w:rPr>
                <w:rFonts w:hint="eastAsia" w:ascii="宋体" w:hAnsi="宋体" w:cs="宋体"/>
                <w:color w:val="auto"/>
                <w:sz w:val="24"/>
                <w:szCs w:val="28"/>
              </w:rPr>
              <w:t>小写：</w:t>
            </w:r>
            <w:r>
              <w:rPr>
                <w:rFonts w:hint="eastAsia" w:ascii="宋体" w:hAnsi="宋体" w:cs="宋体"/>
                <w:color w:val="auto"/>
                <w:sz w:val="24"/>
                <w:szCs w:val="28"/>
                <w:u w:val="single"/>
              </w:rPr>
              <w:t xml:space="preserve">           </w:t>
            </w:r>
            <w:r>
              <w:rPr>
                <w:rFonts w:hint="eastAsia" w:ascii="宋体" w:hAnsi="宋体" w:cs="宋体"/>
                <w:color w:val="auto"/>
                <w:sz w:val="24"/>
                <w:szCs w:val="28"/>
              </w:rPr>
              <w:t>元</w:t>
            </w:r>
          </w:p>
        </w:tc>
      </w:tr>
      <w:tr w14:paraId="3DC9EBAC">
        <w:tblPrEx>
          <w:tblCellMar>
            <w:top w:w="0" w:type="dxa"/>
            <w:left w:w="108" w:type="dxa"/>
            <w:bottom w:w="0" w:type="dxa"/>
            <w:right w:w="108" w:type="dxa"/>
          </w:tblCellMar>
        </w:tblPrEx>
        <w:trPr>
          <w:trHeight w:val="1213" w:hRule="atLeast"/>
          <w:jc w:val="center"/>
        </w:trPr>
        <w:tc>
          <w:tcPr>
            <w:tcW w:w="2351" w:type="dxa"/>
            <w:tcBorders>
              <w:top w:val="single" w:color="auto" w:sz="6" w:space="0"/>
              <w:left w:val="single" w:color="auto" w:sz="6" w:space="0"/>
              <w:bottom w:val="single" w:color="auto" w:sz="6" w:space="0"/>
              <w:right w:val="single" w:color="auto" w:sz="6" w:space="0"/>
            </w:tcBorders>
            <w:noWrap w:val="0"/>
            <w:vAlign w:val="center"/>
          </w:tcPr>
          <w:p w14:paraId="373E59F1">
            <w:pPr>
              <w:pStyle w:val="24"/>
              <w:jc w:val="center"/>
              <w:rPr>
                <w:rFonts w:hint="eastAsia"/>
                <w:color w:val="auto"/>
                <w:lang w:eastAsia="zh-CN"/>
              </w:rPr>
            </w:pPr>
            <w:r>
              <w:rPr>
                <w:rFonts w:hint="eastAsia" w:ascii="宋体" w:hAnsi="宋体" w:cs="宋体"/>
                <w:color w:val="auto"/>
                <w:sz w:val="24"/>
                <w:szCs w:val="28"/>
              </w:rPr>
              <w:t>服务期</w:t>
            </w:r>
          </w:p>
        </w:tc>
        <w:tc>
          <w:tcPr>
            <w:tcW w:w="6183" w:type="dxa"/>
            <w:tcBorders>
              <w:top w:val="single" w:color="auto" w:sz="6" w:space="0"/>
              <w:left w:val="single" w:color="auto" w:sz="6" w:space="0"/>
              <w:bottom w:val="single" w:color="auto" w:sz="6" w:space="0"/>
              <w:right w:val="single" w:color="auto" w:sz="6" w:space="0"/>
            </w:tcBorders>
            <w:noWrap w:val="0"/>
            <w:vAlign w:val="center"/>
          </w:tcPr>
          <w:p w14:paraId="795EEAF9">
            <w:pPr>
              <w:autoSpaceDE w:val="0"/>
              <w:autoSpaceDN w:val="0"/>
              <w:adjustRightInd w:val="0"/>
              <w:snapToGrid w:val="0"/>
              <w:spacing w:line="360" w:lineRule="auto"/>
              <w:jc w:val="center"/>
              <w:rPr>
                <w:rFonts w:hint="eastAsia" w:ascii="宋体" w:hAnsi="宋体" w:cs="宋体"/>
                <w:color w:val="auto"/>
                <w:sz w:val="24"/>
                <w:szCs w:val="28"/>
              </w:rPr>
            </w:pPr>
          </w:p>
        </w:tc>
      </w:tr>
      <w:tr w14:paraId="099BAA5C">
        <w:tblPrEx>
          <w:tblCellMar>
            <w:top w:w="0" w:type="dxa"/>
            <w:left w:w="108" w:type="dxa"/>
            <w:bottom w:w="0" w:type="dxa"/>
            <w:right w:w="108" w:type="dxa"/>
          </w:tblCellMar>
        </w:tblPrEx>
        <w:trPr>
          <w:trHeight w:val="1213" w:hRule="atLeast"/>
          <w:jc w:val="center"/>
        </w:trPr>
        <w:tc>
          <w:tcPr>
            <w:tcW w:w="2351" w:type="dxa"/>
            <w:tcBorders>
              <w:top w:val="single" w:color="auto" w:sz="6" w:space="0"/>
              <w:left w:val="single" w:color="auto" w:sz="6" w:space="0"/>
              <w:bottom w:val="single" w:color="auto" w:sz="6" w:space="0"/>
              <w:right w:val="single" w:color="auto" w:sz="6" w:space="0"/>
            </w:tcBorders>
            <w:noWrap w:val="0"/>
            <w:vAlign w:val="center"/>
          </w:tcPr>
          <w:p w14:paraId="6DFAA1B1">
            <w:pPr>
              <w:pStyle w:val="24"/>
              <w:jc w:val="center"/>
              <w:rPr>
                <w:rFonts w:hint="default"/>
                <w:color w:val="auto"/>
                <w:lang w:val="en-US" w:eastAsia="zh-CN"/>
              </w:rPr>
            </w:pPr>
            <w:r>
              <w:rPr>
                <w:rFonts w:hint="eastAsia"/>
                <w:color w:val="auto"/>
                <w:lang w:val="en-US" w:eastAsia="zh-CN"/>
              </w:rPr>
              <w:t>质保期</w:t>
            </w:r>
          </w:p>
        </w:tc>
        <w:tc>
          <w:tcPr>
            <w:tcW w:w="6183" w:type="dxa"/>
            <w:tcBorders>
              <w:top w:val="single" w:color="auto" w:sz="6" w:space="0"/>
              <w:left w:val="single" w:color="auto" w:sz="6" w:space="0"/>
              <w:bottom w:val="single" w:color="auto" w:sz="6" w:space="0"/>
              <w:right w:val="single" w:color="auto" w:sz="6" w:space="0"/>
            </w:tcBorders>
            <w:noWrap w:val="0"/>
            <w:vAlign w:val="center"/>
          </w:tcPr>
          <w:p w14:paraId="75532992">
            <w:pPr>
              <w:autoSpaceDE w:val="0"/>
              <w:autoSpaceDN w:val="0"/>
              <w:adjustRightInd w:val="0"/>
              <w:snapToGrid w:val="0"/>
              <w:spacing w:line="360" w:lineRule="auto"/>
              <w:jc w:val="center"/>
              <w:rPr>
                <w:rFonts w:hint="eastAsia" w:ascii="宋体" w:hAnsi="宋体" w:cs="宋体"/>
                <w:color w:val="auto"/>
                <w:sz w:val="24"/>
                <w:szCs w:val="28"/>
              </w:rPr>
            </w:pPr>
          </w:p>
        </w:tc>
      </w:tr>
      <w:tr w14:paraId="35CE1581">
        <w:tblPrEx>
          <w:tblCellMar>
            <w:top w:w="0" w:type="dxa"/>
            <w:left w:w="108" w:type="dxa"/>
            <w:bottom w:w="0" w:type="dxa"/>
            <w:right w:w="108" w:type="dxa"/>
          </w:tblCellMar>
        </w:tblPrEx>
        <w:trPr>
          <w:trHeight w:val="1213" w:hRule="atLeast"/>
          <w:jc w:val="center"/>
        </w:trPr>
        <w:tc>
          <w:tcPr>
            <w:tcW w:w="2351" w:type="dxa"/>
            <w:tcBorders>
              <w:top w:val="single" w:color="auto" w:sz="6" w:space="0"/>
              <w:left w:val="single" w:color="auto" w:sz="6" w:space="0"/>
              <w:bottom w:val="single" w:color="auto" w:sz="6" w:space="0"/>
              <w:right w:val="single" w:color="auto" w:sz="6" w:space="0"/>
            </w:tcBorders>
            <w:noWrap w:val="0"/>
            <w:vAlign w:val="center"/>
          </w:tcPr>
          <w:p w14:paraId="3CCAAC28">
            <w:pPr>
              <w:pStyle w:val="24"/>
              <w:jc w:val="center"/>
              <w:rPr>
                <w:rFonts w:hint="default"/>
                <w:color w:val="auto"/>
                <w:lang w:val="en-US" w:eastAsia="zh-CN"/>
              </w:rPr>
            </w:pPr>
            <w:r>
              <w:rPr>
                <w:rFonts w:hint="eastAsia"/>
                <w:color w:val="auto"/>
                <w:lang w:val="en-US" w:eastAsia="zh-CN"/>
              </w:rPr>
              <w:t>说明</w:t>
            </w:r>
          </w:p>
        </w:tc>
        <w:tc>
          <w:tcPr>
            <w:tcW w:w="6183" w:type="dxa"/>
            <w:tcBorders>
              <w:top w:val="single" w:color="auto" w:sz="6" w:space="0"/>
              <w:left w:val="single" w:color="auto" w:sz="6" w:space="0"/>
              <w:bottom w:val="single" w:color="auto" w:sz="6" w:space="0"/>
              <w:right w:val="single" w:color="auto" w:sz="6" w:space="0"/>
            </w:tcBorders>
            <w:noWrap w:val="0"/>
            <w:vAlign w:val="center"/>
          </w:tcPr>
          <w:p w14:paraId="0C47D125">
            <w:pPr>
              <w:autoSpaceDE w:val="0"/>
              <w:autoSpaceDN w:val="0"/>
              <w:adjustRightInd w:val="0"/>
              <w:snapToGrid w:val="0"/>
              <w:spacing w:line="360" w:lineRule="auto"/>
              <w:jc w:val="center"/>
              <w:rPr>
                <w:rFonts w:hint="eastAsia" w:ascii="宋体" w:hAnsi="宋体" w:cs="宋体"/>
                <w:color w:val="auto"/>
                <w:sz w:val="24"/>
                <w:szCs w:val="28"/>
              </w:rPr>
            </w:pPr>
          </w:p>
        </w:tc>
      </w:tr>
    </w:tbl>
    <w:p w14:paraId="315D16BB">
      <w:pPr>
        <w:spacing w:line="360" w:lineRule="auto"/>
        <w:rPr>
          <w:rFonts w:hint="eastAsia" w:ascii="宋体" w:hAnsi="宋体" w:eastAsia="宋体" w:cs="宋体"/>
          <w:color w:val="auto"/>
          <w:sz w:val="24"/>
          <w:szCs w:val="24"/>
          <w:highlight w:val="none"/>
        </w:rPr>
      </w:pPr>
    </w:p>
    <w:p w14:paraId="2C21B853">
      <w:pPr>
        <w:widowControl/>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备注：</w:t>
      </w:r>
      <w:r>
        <w:rPr>
          <w:rFonts w:hint="eastAsia" w:ascii="宋体" w:hAnsi="宋体" w:cs="宋体"/>
          <w:color w:val="auto"/>
          <w:highlight w:val="none"/>
          <w:lang w:val="en-US" w:eastAsia="zh-CN"/>
        </w:rPr>
        <w:t>1、</w:t>
      </w:r>
      <w:r>
        <w:rPr>
          <w:rFonts w:hint="eastAsia" w:ascii="宋体" w:hAnsi="宋体" w:eastAsia="宋体" w:cs="宋体"/>
          <w:color w:val="auto"/>
          <w:highlight w:val="none"/>
        </w:rPr>
        <w:t>报价以元为单位，最多保留小数点后两位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大小写不一致时，以大写为准。</w:t>
      </w:r>
    </w:p>
    <w:p w14:paraId="6A9B5499">
      <w:pPr>
        <w:pStyle w:val="10"/>
        <w:rPr>
          <w:rFonts w:hint="default" w:eastAsia="宋体"/>
          <w:lang w:val="en-US" w:eastAsia="zh-CN"/>
        </w:rPr>
      </w:pPr>
      <w:r>
        <w:rPr>
          <w:rFonts w:hint="eastAsia" w:ascii="宋体" w:hAnsi="宋体" w:cs="宋体"/>
          <w:color w:val="auto"/>
          <w:highlight w:val="none"/>
          <w:lang w:val="en-US" w:eastAsia="zh-CN"/>
        </w:rPr>
        <w:t>2、此报价包含完成项目服务要求所有内容。</w:t>
      </w:r>
    </w:p>
    <w:p w14:paraId="3ECDCE07">
      <w:pPr>
        <w:spacing w:line="360" w:lineRule="auto"/>
        <w:rPr>
          <w:rFonts w:hint="eastAsia" w:ascii="宋体" w:hAnsi="宋体" w:eastAsia="宋体" w:cs="宋体"/>
          <w:color w:val="auto"/>
          <w:sz w:val="24"/>
          <w:szCs w:val="24"/>
          <w:highlight w:val="none"/>
        </w:rPr>
      </w:pPr>
    </w:p>
    <w:p w14:paraId="123097B3">
      <w:pPr>
        <w:spacing w:line="360" w:lineRule="auto"/>
        <w:jc w:val="center"/>
        <w:rPr>
          <w:rFonts w:hint="eastAsia" w:ascii="宋体" w:hAnsi="宋体" w:eastAsia="宋体" w:cs="宋体"/>
          <w:color w:val="auto"/>
          <w:sz w:val="24"/>
          <w:szCs w:val="24"/>
          <w:highlight w:val="none"/>
        </w:rPr>
      </w:pPr>
    </w:p>
    <w:p w14:paraId="5A829BD9">
      <w:pPr>
        <w:spacing w:line="360" w:lineRule="auto"/>
        <w:jc w:val="left"/>
        <w:rPr>
          <w:rFonts w:hint="eastAsia" w:ascii="宋体" w:hAnsi="宋体" w:eastAsia="宋体" w:cs="宋体"/>
          <w:color w:val="auto"/>
          <w:sz w:val="24"/>
          <w:szCs w:val="24"/>
          <w:highlight w:val="none"/>
        </w:rPr>
      </w:pPr>
    </w:p>
    <w:p w14:paraId="5D679C10">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55756E43">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6E229702">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B62EEBC">
      <w:pPr>
        <w:overflowPunct w:val="0"/>
        <w:spacing w:line="360" w:lineRule="auto"/>
        <w:jc w:val="center"/>
        <w:rPr>
          <w:rFonts w:hint="eastAsia" w:ascii="宋体" w:hAnsi="宋体" w:eastAsia="宋体" w:cs="宋体"/>
          <w:color w:val="auto"/>
          <w:sz w:val="24"/>
          <w:szCs w:val="24"/>
          <w:highlight w:val="none"/>
        </w:rPr>
        <w:sectPr>
          <w:pgSz w:w="11906" w:h="16838"/>
          <w:pgMar w:top="1440" w:right="1800" w:bottom="1440" w:left="1800" w:header="850" w:footer="992" w:gutter="0"/>
          <w:pgNumType w:fmt="decimal"/>
          <w:cols w:space="0" w:num="1"/>
          <w:docGrid w:type="lines" w:linePitch="317" w:charSpace="0"/>
        </w:sectPr>
      </w:pPr>
    </w:p>
    <w:p w14:paraId="4BFDD78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分项</w:t>
      </w:r>
      <w:r>
        <w:rPr>
          <w:rFonts w:hint="eastAsia" w:ascii="宋体" w:hAnsi="宋体" w:eastAsia="宋体" w:cs="宋体"/>
          <w:b/>
          <w:bCs/>
          <w:color w:val="auto"/>
          <w:sz w:val="32"/>
          <w:szCs w:val="32"/>
          <w:highlight w:val="none"/>
        </w:rPr>
        <w:t>报价表</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首次</w:t>
      </w:r>
      <w:r>
        <w:rPr>
          <w:rFonts w:hint="eastAsia" w:ascii="宋体" w:hAnsi="宋体" w:eastAsia="宋体" w:cs="宋体"/>
          <w:b/>
          <w:bCs/>
          <w:color w:val="auto"/>
          <w:sz w:val="32"/>
          <w:szCs w:val="32"/>
          <w:highlight w:val="none"/>
          <w:lang w:eastAsia="zh-CN"/>
        </w:rPr>
        <w:t>）</w:t>
      </w:r>
    </w:p>
    <w:p w14:paraId="02CEEC30">
      <w:pPr>
        <w:spacing w:line="324" w:lineRule="auto"/>
        <w:jc w:val="center"/>
        <w:rPr>
          <w:rFonts w:hint="eastAsia" w:ascii="宋体" w:hAnsi="宋体" w:cs="宋体"/>
          <w:color w:val="auto"/>
          <w:szCs w:val="21"/>
          <w:lang w:eastAsia="zh-CN"/>
        </w:rPr>
      </w:pPr>
    </w:p>
    <w:tbl>
      <w:tblPr>
        <w:tblStyle w:val="29"/>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195"/>
        <w:gridCol w:w="1346"/>
        <w:gridCol w:w="1319"/>
        <w:gridCol w:w="1518"/>
        <w:gridCol w:w="1432"/>
      </w:tblGrid>
      <w:tr w14:paraId="2524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1C4778EE">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序号</w:t>
            </w:r>
          </w:p>
        </w:tc>
        <w:tc>
          <w:tcPr>
            <w:tcW w:w="2195" w:type="dxa"/>
            <w:vAlign w:val="center"/>
          </w:tcPr>
          <w:p w14:paraId="23072971">
            <w:pPr>
              <w:spacing w:line="324" w:lineRule="auto"/>
              <w:jc w:val="center"/>
              <w:rPr>
                <w:rFonts w:hint="default"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分项内容</w:t>
            </w:r>
          </w:p>
        </w:tc>
        <w:tc>
          <w:tcPr>
            <w:tcW w:w="1346" w:type="dxa"/>
            <w:vAlign w:val="center"/>
          </w:tcPr>
          <w:p w14:paraId="1B967823">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数量</w:t>
            </w:r>
          </w:p>
        </w:tc>
        <w:tc>
          <w:tcPr>
            <w:tcW w:w="1319" w:type="dxa"/>
            <w:vAlign w:val="center"/>
          </w:tcPr>
          <w:p w14:paraId="2FC9162E">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单位</w:t>
            </w:r>
          </w:p>
        </w:tc>
        <w:tc>
          <w:tcPr>
            <w:tcW w:w="1518" w:type="dxa"/>
            <w:vAlign w:val="center"/>
          </w:tcPr>
          <w:p w14:paraId="702F033C">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单价（元）</w:t>
            </w:r>
          </w:p>
        </w:tc>
        <w:tc>
          <w:tcPr>
            <w:tcW w:w="1432" w:type="dxa"/>
            <w:vAlign w:val="center"/>
          </w:tcPr>
          <w:p w14:paraId="2B187F1E">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小计（元）</w:t>
            </w:r>
          </w:p>
        </w:tc>
      </w:tr>
      <w:tr w14:paraId="715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74B99CC0">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1</w:t>
            </w:r>
          </w:p>
        </w:tc>
        <w:tc>
          <w:tcPr>
            <w:tcW w:w="2195" w:type="dxa"/>
            <w:vAlign w:val="center"/>
          </w:tcPr>
          <w:p w14:paraId="2D450A6C">
            <w:pPr>
              <w:spacing w:line="324" w:lineRule="auto"/>
              <w:jc w:val="center"/>
              <w:rPr>
                <w:rFonts w:hint="eastAsia" w:ascii="宋体" w:hAnsi="宋体" w:cs="宋体"/>
                <w:color w:val="auto"/>
                <w:szCs w:val="21"/>
                <w:vertAlign w:val="baseline"/>
              </w:rPr>
            </w:pPr>
            <w:r>
              <w:rPr>
                <w:rFonts w:hint="eastAsia" w:ascii="宋体" w:hAnsi="宋体" w:cs="宋体"/>
                <w:color w:val="auto"/>
                <w:szCs w:val="21"/>
                <w:vertAlign w:val="baseline"/>
              </w:rPr>
              <w:t>周界电子围栏系统</w:t>
            </w:r>
          </w:p>
        </w:tc>
        <w:tc>
          <w:tcPr>
            <w:tcW w:w="1346" w:type="dxa"/>
            <w:vAlign w:val="center"/>
          </w:tcPr>
          <w:p w14:paraId="3D847844">
            <w:pPr>
              <w:spacing w:line="324" w:lineRule="auto"/>
              <w:jc w:val="center"/>
              <w:rPr>
                <w:rFonts w:hint="eastAsia" w:ascii="宋体" w:hAnsi="宋体" w:cs="宋体"/>
                <w:color w:val="auto"/>
                <w:szCs w:val="21"/>
                <w:vertAlign w:val="baseline"/>
              </w:rPr>
            </w:pPr>
          </w:p>
        </w:tc>
        <w:tc>
          <w:tcPr>
            <w:tcW w:w="1319" w:type="dxa"/>
            <w:vAlign w:val="center"/>
          </w:tcPr>
          <w:p w14:paraId="3EB0F148">
            <w:pPr>
              <w:spacing w:line="324" w:lineRule="auto"/>
              <w:jc w:val="center"/>
              <w:rPr>
                <w:rFonts w:hint="eastAsia" w:ascii="宋体" w:hAnsi="宋体" w:cs="宋体"/>
                <w:color w:val="auto"/>
                <w:szCs w:val="21"/>
                <w:vertAlign w:val="baseline"/>
              </w:rPr>
            </w:pPr>
          </w:p>
        </w:tc>
        <w:tc>
          <w:tcPr>
            <w:tcW w:w="1518" w:type="dxa"/>
            <w:vAlign w:val="center"/>
          </w:tcPr>
          <w:p w14:paraId="5778BEB8">
            <w:pPr>
              <w:spacing w:line="324" w:lineRule="auto"/>
              <w:jc w:val="center"/>
              <w:rPr>
                <w:rFonts w:hint="eastAsia" w:ascii="宋体" w:hAnsi="宋体" w:cs="宋体"/>
                <w:color w:val="auto"/>
                <w:szCs w:val="21"/>
                <w:vertAlign w:val="baseline"/>
              </w:rPr>
            </w:pPr>
          </w:p>
        </w:tc>
        <w:tc>
          <w:tcPr>
            <w:tcW w:w="1432" w:type="dxa"/>
            <w:vAlign w:val="center"/>
          </w:tcPr>
          <w:p w14:paraId="0B155821">
            <w:pPr>
              <w:spacing w:line="324" w:lineRule="auto"/>
              <w:jc w:val="center"/>
              <w:rPr>
                <w:rFonts w:hint="eastAsia" w:ascii="宋体" w:hAnsi="宋体" w:cs="宋体"/>
                <w:color w:val="auto"/>
                <w:szCs w:val="21"/>
                <w:vertAlign w:val="baseline"/>
              </w:rPr>
            </w:pPr>
          </w:p>
        </w:tc>
      </w:tr>
      <w:tr w14:paraId="6845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7E709752">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2</w:t>
            </w:r>
          </w:p>
        </w:tc>
        <w:tc>
          <w:tcPr>
            <w:tcW w:w="2195" w:type="dxa"/>
            <w:vAlign w:val="center"/>
          </w:tcPr>
          <w:p w14:paraId="46C7DE1D">
            <w:pPr>
              <w:spacing w:line="324" w:lineRule="auto"/>
              <w:jc w:val="center"/>
              <w:rPr>
                <w:rFonts w:hint="eastAsia" w:ascii="宋体" w:hAnsi="宋体" w:cs="宋体"/>
                <w:color w:val="auto"/>
                <w:szCs w:val="21"/>
                <w:vertAlign w:val="baseline"/>
              </w:rPr>
            </w:pPr>
            <w:r>
              <w:rPr>
                <w:rFonts w:hint="eastAsia" w:ascii="宋体" w:hAnsi="宋体" w:eastAsia="宋体" w:cs="宋体"/>
                <w:sz w:val="24"/>
                <w:szCs w:val="24"/>
              </w:rPr>
              <w:t>围墙刀片滚笼</w:t>
            </w:r>
          </w:p>
        </w:tc>
        <w:tc>
          <w:tcPr>
            <w:tcW w:w="1346" w:type="dxa"/>
            <w:vAlign w:val="center"/>
          </w:tcPr>
          <w:p w14:paraId="26D56F80">
            <w:pPr>
              <w:spacing w:line="324" w:lineRule="auto"/>
              <w:jc w:val="center"/>
              <w:rPr>
                <w:rFonts w:hint="eastAsia" w:ascii="宋体" w:hAnsi="宋体" w:cs="宋体"/>
                <w:color w:val="auto"/>
                <w:szCs w:val="21"/>
                <w:vertAlign w:val="baseline"/>
              </w:rPr>
            </w:pPr>
          </w:p>
        </w:tc>
        <w:tc>
          <w:tcPr>
            <w:tcW w:w="1319" w:type="dxa"/>
            <w:vAlign w:val="center"/>
          </w:tcPr>
          <w:p w14:paraId="2C1B8864">
            <w:pPr>
              <w:spacing w:line="324" w:lineRule="auto"/>
              <w:jc w:val="center"/>
              <w:rPr>
                <w:rFonts w:hint="eastAsia" w:ascii="宋体" w:hAnsi="宋体" w:cs="宋体"/>
                <w:color w:val="auto"/>
                <w:szCs w:val="21"/>
                <w:vertAlign w:val="baseline"/>
              </w:rPr>
            </w:pPr>
          </w:p>
        </w:tc>
        <w:tc>
          <w:tcPr>
            <w:tcW w:w="1518" w:type="dxa"/>
            <w:vAlign w:val="center"/>
          </w:tcPr>
          <w:p w14:paraId="65224AB5">
            <w:pPr>
              <w:spacing w:line="324" w:lineRule="auto"/>
              <w:jc w:val="center"/>
              <w:rPr>
                <w:rFonts w:hint="eastAsia" w:ascii="宋体" w:hAnsi="宋体" w:cs="宋体"/>
                <w:color w:val="auto"/>
                <w:szCs w:val="21"/>
                <w:vertAlign w:val="baseline"/>
              </w:rPr>
            </w:pPr>
          </w:p>
        </w:tc>
        <w:tc>
          <w:tcPr>
            <w:tcW w:w="1432" w:type="dxa"/>
            <w:vAlign w:val="center"/>
          </w:tcPr>
          <w:p w14:paraId="326FFDB1">
            <w:pPr>
              <w:spacing w:line="324" w:lineRule="auto"/>
              <w:jc w:val="center"/>
              <w:rPr>
                <w:rFonts w:hint="eastAsia" w:ascii="宋体" w:hAnsi="宋体" w:cs="宋体"/>
                <w:color w:val="auto"/>
                <w:szCs w:val="21"/>
                <w:vertAlign w:val="baseline"/>
              </w:rPr>
            </w:pPr>
          </w:p>
        </w:tc>
      </w:tr>
      <w:tr w14:paraId="007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52739F06">
            <w:pPr>
              <w:spacing w:line="324" w:lineRule="auto"/>
              <w:jc w:val="center"/>
              <w:rPr>
                <w:rFonts w:hint="eastAsia" w:ascii="宋体" w:hAnsi="宋体" w:eastAsia="宋体" w:cs="宋体"/>
                <w:color w:val="auto"/>
                <w:szCs w:val="21"/>
                <w:vertAlign w:val="baseline"/>
                <w:lang w:val="en-US" w:eastAsia="zh-CN"/>
              </w:rPr>
            </w:pPr>
            <w:r>
              <w:rPr>
                <w:rFonts w:hint="eastAsia" w:ascii="宋体" w:hAnsi="宋体" w:cs="宋体"/>
                <w:color w:val="auto"/>
                <w:szCs w:val="21"/>
                <w:vertAlign w:val="baseline"/>
                <w:lang w:val="en-US" w:eastAsia="zh-CN"/>
              </w:rPr>
              <w:t>3</w:t>
            </w:r>
          </w:p>
        </w:tc>
        <w:tc>
          <w:tcPr>
            <w:tcW w:w="2195" w:type="dxa"/>
            <w:vAlign w:val="center"/>
          </w:tcPr>
          <w:p w14:paraId="593ACD41">
            <w:pPr>
              <w:spacing w:line="324" w:lineRule="auto"/>
              <w:jc w:val="center"/>
              <w:rPr>
                <w:rFonts w:hint="eastAsia" w:ascii="宋体" w:hAnsi="宋体" w:cs="宋体"/>
                <w:color w:val="auto"/>
                <w:szCs w:val="21"/>
                <w:vertAlign w:val="baseline"/>
              </w:rPr>
            </w:pPr>
            <w:r>
              <w:rPr>
                <w:rFonts w:hint="eastAsia" w:ascii="宋体" w:hAnsi="宋体" w:eastAsia="宋体" w:cs="宋体"/>
                <w:sz w:val="24"/>
                <w:szCs w:val="24"/>
              </w:rPr>
              <w:t>完善</w:t>
            </w:r>
            <w:r>
              <w:rPr>
                <w:rFonts w:hint="eastAsia" w:ascii="宋体" w:hAnsi="宋体" w:cs="宋体"/>
                <w:sz w:val="24"/>
                <w:szCs w:val="24"/>
                <w:lang w:eastAsia="zh-CN"/>
              </w:rPr>
              <w:t>周界围墙防护升级</w:t>
            </w:r>
          </w:p>
        </w:tc>
        <w:tc>
          <w:tcPr>
            <w:tcW w:w="1346" w:type="dxa"/>
            <w:vAlign w:val="center"/>
          </w:tcPr>
          <w:p w14:paraId="65C307B2">
            <w:pPr>
              <w:spacing w:line="324" w:lineRule="auto"/>
              <w:jc w:val="center"/>
              <w:rPr>
                <w:rFonts w:hint="eastAsia" w:ascii="宋体" w:hAnsi="宋体" w:cs="宋体"/>
                <w:color w:val="auto"/>
                <w:szCs w:val="21"/>
                <w:vertAlign w:val="baseline"/>
              </w:rPr>
            </w:pPr>
          </w:p>
        </w:tc>
        <w:tc>
          <w:tcPr>
            <w:tcW w:w="1319" w:type="dxa"/>
            <w:vAlign w:val="center"/>
          </w:tcPr>
          <w:p w14:paraId="499E1C01">
            <w:pPr>
              <w:spacing w:line="324" w:lineRule="auto"/>
              <w:jc w:val="center"/>
              <w:rPr>
                <w:rFonts w:hint="eastAsia" w:ascii="宋体" w:hAnsi="宋体" w:cs="宋体"/>
                <w:color w:val="auto"/>
                <w:szCs w:val="21"/>
                <w:vertAlign w:val="baseline"/>
              </w:rPr>
            </w:pPr>
          </w:p>
        </w:tc>
        <w:tc>
          <w:tcPr>
            <w:tcW w:w="1518" w:type="dxa"/>
            <w:vAlign w:val="center"/>
          </w:tcPr>
          <w:p w14:paraId="52D9DA6A">
            <w:pPr>
              <w:spacing w:line="324" w:lineRule="auto"/>
              <w:jc w:val="center"/>
              <w:rPr>
                <w:rFonts w:hint="eastAsia" w:ascii="宋体" w:hAnsi="宋体" w:cs="宋体"/>
                <w:color w:val="auto"/>
                <w:szCs w:val="21"/>
                <w:vertAlign w:val="baseline"/>
              </w:rPr>
            </w:pPr>
          </w:p>
        </w:tc>
        <w:tc>
          <w:tcPr>
            <w:tcW w:w="1432" w:type="dxa"/>
            <w:vAlign w:val="center"/>
          </w:tcPr>
          <w:p w14:paraId="32732AAC">
            <w:pPr>
              <w:spacing w:line="324" w:lineRule="auto"/>
              <w:jc w:val="center"/>
              <w:rPr>
                <w:rFonts w:hint="eastAsia" w:ascii="宋体" w:hAnsi="宋体" w:cs="宋体"/>
                <w:color w:val="auto"/>
                <w:szCs w:val="21"/>
                <w:vertAlign w:val="baseline"/>
              </w:rPr>
            </w:pPr>
          </w:p>
        </w:tc>
      </w:tr>
      <w:tr w14:paraId="6051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75EDA3BC">
            <w:pPr>
              <w:spacing w:line="324" w:lineRule="auto"/>
              <w:jc w:val="center"/>
              <w:rPr>
                <w:rFonts w:hint="eastAsia" w:ascii="宋体" w:hAnsi="宋体" w:eastAsia="宋体" w:cs="宋体"/>
                <w:color w:val="auto"/>
                <w:szCs w:val="21"/>
                <w:vertAlign w:val="baseline"/>
              </w:rPr>
            </w:pPr>
            <w:r>
              <w:rPr>
                <w:rFonts w:hint="eastAsia" w:ascii="宋体" w:hAnsi="宋体" w:eastAsia="宋体" w:cs="宋体"/>
                <w:color w:val="auto"/>
                <w:szCs w:val="21"/>
                <w:vertAlign w:val="baseline"/>
              </w:rPr>
              <w:t>…</w:t>
            </w:r>
          </w:p>
        </w:tc>
        <w:tc>
          <w:tcPr>
            <w:tcW w:w="2195" w:type="dxa"/>
            <w:vAlign w:val="center"/>
          </w:tcPr>
          <w:p w14:paraId="743151FE">
            <w:pPr>
              <w:spacing w:line="324" w:lineRule="auto"/>
              <w:jc w:val="center"/>
              <w:rPr>
                <w:rFonts w:hint="eastAsia" w:ascii="宋体" w:hAnsi="宋体" w:cs="宋体"/>
                <w:color w:val="auto"/>
                <w:szCs w:val="21"/>
                <w:vertAlign w:val="baseline"/>
              </w:rPr>
            </w:pPr>
            <w:r>
              <w:rPr>
                <w:rFonts w:hint="eastAsia" w:ascii="宋体" w:hAnsi="宋体" w:eastAsia="宋体" w:cs="宋体"/>
                <w:color w:val="auto"/>
                <w:szCs w:val="21"/>
                <w:vertAlign w:val="baseline"/>
              </w:rPr>
              <w:t>…</w:t>
            </w:r>
          </w:p>
        </w:tc>
        <w:tc>
          <w:tcPr>
            <w:tcW w:w="1346" w:type="dxa"/>
            <w:vAlign w:val="center"/>
          </w:tcPr>
          <w:p w14:paraId="02B171B5">
            <w:pPr>
              <w:spacing w:line="324" w:lineRule="auto"/>
              <w:jc w:val="center"/>
              <w:rPr>
                <w:rFonts w:hint="eastAsia" w:ascii="宋体" w:hAnsi="宋体" w:cs="宋体"/>
                <w:color w:val="auto"/>
                <w:szCs w:val="21"/>
                <w:vertAlign w:val="baseline"/>
              </w:rPr>
            </w:pPr>
          </w:p>
        </w:tc>
        <w:tc>
          <w:tcPr>
            <w:tcW w:w="1319" w:type="dxa"/>
            <w:vAlign w:val="center"/>
          </w:tcPr>
          <w:p w14:paraId="26B1C88F">
            <w:pPr>
              <w:spacing w:line="324" w:lineRule="auto"/>
              <w:jc w:val="center"/>
              <w:rPr>
                <w:rFonts w:hint="eastAsia" w:ascii="宋体" w:hAnsi="宋体" w:cs="宋体"/>
                <w:color w:val="auto"/>
                <w:szCs w:val="21"/>
                <w:vertAlign w:val="baseline"/>
              </w:rPr>
            </w:pPr>
          </w:p>
        </w:tc>
        <w:tc>
          <w:tcPr>
            <w:tcW w:w="1518" w:type="dxa"/>
            <w:vAlign w:val="center"/>
          </w:tcPr>
          <w:p w14:paraId="38E86F19">
            <w:pPr>
              <w:spacing w:line="324" w:lineRule="auto"/>
              <w:jc w:val="center"/>
              <w:rPr>
                <w:rFonts w:hint="eastAsia" w:ascii="宋体" w:hAnsi="宋体" w:cs="宋体"/>
                <w:color w:val="auto"/>
                <w:szCs w:val="21"/>
                <w:vertAlign w:val="baseline"/>
              </w:rPr>
            </w:pPr>
          </w:p>
        </w:tc>
        <w:tc>
          <w:tcPr>
            <w:tcW w:w="1432" w:type="dxa"/>
            <w:vAlign w:val="center"/>
          </w:tcPr>
          <w:p w14:paraId="548D2225">
            <w:pPr>
              <w:spacing w:line="324" w:lineRule="auto"/>
              <w:jc w:val="center"/>
              <w:rPr>
                <w:rFonts w:hint="eastAsia" w:ascii="宋体" w:hAnsi="宋体" w:cs="宋体"/>
                <w:color w:val="auto"/>
                <w:szCs w:val="21"/>
                <w:vertAlign w:val="baseline"/>
              </w:rPr>
            </w:pPr>
          </w:p>
        </w:tc>
      </w:tr>
      <w:tr w14:paraId="68B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61" w:type="dxa"/>
            <w:vAlign w:val="center"/>
          </w:tcPr>
          <w:p w14:paraId="0113650A">
            <w:pPr>
              <w:spacing w:line="324" w:lineRule="auto"/>
              <w:jc w:val="center"/>
              <w:rPr>
                <w:rFonts w:hint="eastAsia" w:ascii="宋体" w:hAnsi="宋体" w:cs="宋体"/>
                <w:color w:val="auto"/>
                <w:szCs w:val="21"/>
                <w:vertAlign w:val="baseline"/>
              </w:rPr>
            </w:pPr>
            <w:r>
              <w:rPr>
                <w:rFonts w:hint="eastAsia" w:ascii="宋体" w:hAnsi="宋体" w:eastAsia="宋体" w:cs="宋体"/>
                <w:color w:val="auto"/>
                <w:szCs w:val="21"/>
                <w:vertAlign w:val="baseline"/>
              </w:rPr>
              <w:t>…</w:t>
            </w:r>
          </w:p>
        </w:tc>
        <w:tc>
          <w:tcPr>
            <w:tcW w:w="2195" w:type="dxa"/>
            <w:vAlign w:val="center"/>
          </w:tcPr>
          <w:p w14:paraId="214F1C7B">
            <w:pPr>
              <w:spacing w:line="324" w:lineRule="auto"/>
              <w:jc w:val="center"/>
              <w:rPr>
                <w:rFonts w:hint="eastAsia" w:ascii="宋体" w:hAnsi="宋体" w:cs="宋体"/>
                <w:color w:val="auto"/>
                <w:szCs w:val="21"/>
                <w:vertAlign w:val="baseline"/>
              </w:rPr>
            </w:pPr>
            <w:r>
              <w:rPr>
                <w:rFonts w:hint="eastAsia" w:ascii="宋体" w:hAnsi="宋体" w:eastAsia="宋体" w:cs="宋体"/>
                <w:color w:val="auto"/>
                <w:szCs w:val="21"/>
                <w:vertAlign w:val="baseline"/>
              </w:rPr>
              <w:t>…</w:t>
            </w:r>
          </w:p>
        </w:tc>
        <w:tc>
          <w:tcPr>
            <w:tcW w:w="1346" w:type="dxa"/>
            <w:vAlign w:val="center"/>
          </w:tcPr>
          <w:p w14:paraId="7255D57B">
            <w:pPr>
              <w:spacing w:line="324" w:lineRule="auto"/>
              <w:jc w:val="center"/>
              <w:rPr>
                <w:rFonts w:hint="eastAsia" w:ascii="宋体" w:hAnsi="宋体" w:cs="宋体"/>
                <w:color w:val="auto"/>
                <w:szCs w:val="21"/>
                <w:vertAlign w:val="baseline"/>
              </w:rPr>
            </w:pPr>
          </w:p>
        </w:tc>
        <w:tc>
          <w:tcPr>
            <w:tcW w:w="1319" w:type="dxa"/>
            <w:vAlign w:val="center"/>
          </w:tcPr>
          <w:p w14:paraId="13351D34">
            <w:pPr>
              <w:spacing w:line="324" w:lineRule="auto"/>
              <w:jc w:val="center"/>
              <w:rPr>
                <w:rFonts w:hint="eastAsia" w:ascii="宋体" w:hAnsi="宋体" w:cs="宋体"/>
                <w:color w:val="auto"/>
                <w:szCs w:val="21"/>
                <w:vertAlign w:val="baseline"/>
              </w:rPr>
            </w:pPr>
          </w:p>
        </w:tc>
        <w:tc>
          <w:tcPr>
            <w:tcW w:w="1518" w:type="dxa"/>
            <w:vAlign w:val="center"/>
          </w:tcPr>
          <w:p w14:paraId="77666A66">
            <w:pPr>
              <w:spacing w:line="324" w:lineRule="auto"/>
              <w:jc w:val="center"/>
              <w:rPr>
                <w:rFonts w:hint="eastAsia" w:ascii="宋体" w:hAnsi="宋体" w:cs="宋体"/>
                <w:color w:val="auto"/>
                <w:szCs w:val="21"/>
                <w:vertAlign w:val="baseline"/>
              </w:rPr>
            </w:pPr>
          </w:p>
        </w:tc>
        <w:tc>
          <w:tcPr>
            <w:tcW w:w="1432" w:type="dxa"/>
            <w:vAlign w:val="center"/>
          </w:tcPr>
          <w:p w14:paraId="0F89F25B">
            <w:pPr>
              <w:spacing w:line="324" w:lineRule="auto"/>
              <w:jc w:val="center"/>
              <w:rPr>
                <w:rFonts w:hint="eastAsia" w:ascii="宋体" w:hAnsi="宋体" w:cs="宋体"/>
                <w:color w:val="auto"/>
                <w:szCs w:val="21"/>
                <w:vertAlign w:val="baseline"/>
              </w:rPr>
            </w:pPr>
          </w:p>
        </w:tc>
      </w:tr>
      <w:tr w14:paraId="6924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56" w:type="dxa"/>
            <w:gridSpan w:val="2"/>
            <w:vAlign w:val="center"/>
          </w:tcPr>
          <w:p w14:paraId="13E5CE05">
            <w:pPr>
              <w:spacing w:line="324" w:lineRule="auto"/>
              <w:jc w:val="center"/>
              <w:rPr>
                <w:rFonts w:hint="default" w:ascii="宋体" w:hAnsi="宋体" w:eastAsia="宋体" w:cs="宋体"/>
                <w:color w:val="auto"/>
                <w:szCs w:val="21"/>
                <w:vertAlign w:val="baseline"/>
                <w:lang w:val="en-US" w:eastAsia="zh-CN"/>
              </w:rPr>
            </w:pPr>
            <w:r>
              <w:rPr>
                <w:rFonts w:hint="eastAsia" w:ascii="宋体" w:hAnsi="宋体" w:cs="宋体"/>
                <w:b/>
                <w:bCs/>
                <w:color w:val="auto"/>
                <w:szCs w:val="21"/>
                <w:vertAlign w:val="baseline"/>
                <w:lang w:val="en-US" w:eastAsia="zh-CN"/>
              </w:rPr>
              <w:t>合计总价</w:t>
            </w:r>
          </w:p>
        </w:tc>
        <w:tc>
          <w:tcPr>
            <w:tcW w:w="5615" w:type="dxa"/>
            <w:gridSpan w:val="4"/>
            <w:vAlign w:val="center"/>
          </w:tcPr>
          <w:p w14:paraId="1E26FE31">
            <w:pPr>
              <w:spacing w:line="324" w:lineRule="auto"/>
              <w:jc w:val="center"/>
              <w:rPr>
                <w:rFonts w:hint="eastAsia" w:ascii="宋体" w:hAnsi="宋体" w:cs="宋体"/>
                <w:color w:val="auto"/>
                <w:szCs w:val="21"/>
                <w:vertAlign w:val="baseline"/>
              </w:rPr>
            </w:pPr>
          </w:p>
        </w:tc>
      </w:tr>
    </w:tbl>
    <w:p w14:paraId="6522411B">
      <w:pPr>
        <w:spacing w:line="324" w:lineRule="auto"/>
        <w:ind w:firstLine="480" w:firstLineChars="200"/>
        <w:rPr>
          <w:rFonts w:hint="eastAsia" w:ascii="宋体" w:hAnsi="宋体" w:cs="宋体"/>
          <w:color w:val="auto"/>
          <w:szCs w:val="21"/>
        </w:rPr>
      </w:pPr>
    </w:p>
    <w:p w14:paraId="1EE7DFB0">
      <w:pPr>
        <w:spacing w:line="324" w:lineRule="auto"/>
        <w:ind w:firstLine="480" w:firstLineChars="200"/>
        <w:rPr>
          <w:rFonts w:hint="eastAsia" w:ascii="宋体" w:hAnsi="宋体" w:cs="宋体"/>
          <w:color w:val="auto"/>
          <w:szCs w:val="21"/>
        </w:rPr>
      </w:pPr>
      <w:r>
        <w:rPr>
          <w:rFonts w:hint="eastAsia" w:ascii="宋体" w:hAnsi="宋体" w:cs="宋体"/>
          <w:color w:val="auto"/>
          <w:szCs w:val="21"/>
        </w:rPr>
        <w:t>注：</w:t>
      </w:r>
      <w:r>
        <w:rPr>
          <w:rFonts w:hint="eastAsia" w:ascii="宋体" w:hAnsi="宋体" w:cs="宋体"/>
          <w:color w:val="auto"/>
          <w:szCs w:val="21"/>
          <w:lang w:val="en-US" w:eastAsia="zh-CN"/>
        </w:rPr>
        <w:t>1、</w:t>
      </w:r>
      <w:r>
        <w:rPr>
          <w:rFonts w:hint="eastAsia" w:ascii="宋体" w:hAnsi="宋体" w:cs="宋体"/>
          <w:color w:val="auto"/>
          <w:szCs w:val="21"/>
        </w:rPr>
        <w:t>本表的</w:t>
      </w:r>
      <w:r>
        <w:rPr>
          <w:rFonts w:hint="eastAsia" w:ascii="宋体" w:hAnsi="宋体" w:cs="宋体"/>
          <w:color w:val="auto"/>
          <w:szCs w:val="21"/>
          <w:lang w:val="en-US" w:eastAsia="zh-CN"/>
        </w:rPr>
        <w:t>合计</w:t>
      </w:r>
      <w:r>
        <w:rPr>
          <w:rFonts w:hint="eastAsia" w:ascii="宋体" w:hAnsi="宋体" w:cs="宋体"/>
          <w:color w:val="auto"/>
          <w:szCs w:val="21"/>
        </w:rPr>
        <w:t>金额应与“第一次磋商报价表”磋商总报价保持一致，如不一致，以“第一次磋商报价表”磋商总报价为准。</w:t>
      </w:r>
    </w:p>
    <w:p w14:paraId="72F968CB">
      <w:pPr>
        <w:spacing w:line="324" w:lineRule="auto"/>
        <w:ind w:firstLine="48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2、若单价与合计总价不一致，以单价修正总价。</w:t>
      </w:r>
    </w:p>
    <w:p w14:paraId="291F613B">
      <w:pPr>
        <w:spacing w:line="324"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3、此报价含税，包含完成项目服务要求所有内容。</w:t>
      </w:r>
    </w:p>
    <w:p w14:paraId="78571FC3">
      <w:pPr>
        <w:pStyle w:val="10"/>
        <w:rPr>
          <w:rFonts w:hint="default"/>
          <w:lang w:val="en-US"/>
        </w:rPr>
      </w:pPr>
      <w:r>
        <w:rPr>
          <w:rFonts w:hint="eastAsia" w:ascii="宋体" w:hAnsi="宋体" w:cs="宋体"/>
          <w:color w:val="auto"/>
          <w:highlight w:val="none"/>
          <w:lang w:val="en-US" w:eastAsia="zh-CN"/>
        </w:rPr>
        <w:t xml:space="preserve">   </w:t>
      </w:r>
    </w:p>
    <w:p w14:paraId="65E002AC">
      <w:pPr>
        <w:spacing w:line="360" w:lineRule="auto"/>
        <w:ind w:firstLine="2640" w:firstLineChars="1100"/>
        <w:jc w:val="left"/>
        <w:rPr>
          <w:rFonts w:hint="eastAsia" w:ascii="宋体" w:hAnsi="宋体" w:eastAsia="宋体" w:cs="宋体"/>
          <w:color w:val="auto"/>
          <w:sz w:val="24"/>
          <w:szCs w:val="24"/>
          <w:highlight w:val="none"/>
        </w:rPr>
      </w:pPr>
    </w:p>
    <w:p w14:paraId="656F5562">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00E0FD12">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37412927">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AFED2BA">
      <w:pPr>
        <w:pStyle w:val="44"/>
        <w:rPr>
          <w:color w:val="auto"/>
        </w:rPr>
      </w:pPr>
    </w:p>
    <w:p w14:paraId="5476A2AF">
      <w:pPr>
        <w:overflowPunct w:val="0"/>
        <w:spacing w:line="360" w:lineRule="auto"/>
        <w:ind w:firstLine="2249" w:firstLineChars="700"/>
        <w:rPr>
          <w:rFonts w:hint="eastAsia" w:ascii="宋体" w:hAnsi="宋体" w:eastAsia="宋体" w:cs="宋体"/>
          <w:b/>
          <w:bCs/>
          <w:color w:val="auto"/>
          <w:sz w:val="32"/>
          <w:szCs w:val="32"/>
          <w:highlight w:val="none"/>
        </w:rPr>
        <w:sectPr>
          <w:pgSz w:w="11906" w:h="16838"/>
          <w:pgMar w:top="1440" w:right="1800" w:bottom="1440" w:left="1800" w:header="850" w:footer="992" w:gutter="0"/>
          <w:pgNumType w:fmt="decimal"/>
          <w:cols w:space="0" w:num="1"/>
          <w:rtlGutter w:val="0"/>
          <w:docGrid w:type="lines" w:linePitch="326" w:charSpace="0"/>
        </w:sectPr>
      </w:pPr>
    </w:p>
    <w:p w14:paraId="138D8AF3">
      <w:pPr>
        <w:autoSpaceDE w:val="0"/>
        <w:autoSpaceDN w:val="0"/>
        <w:spacing w:line="480" w:lineRule="auto"/>
        <w:jc w:val="center"/>
        <w:rPr>
          <w:b/>
          <w:bCs/>
          <w:sz w:val="44"/>
          <w:szCs w:val="44"/>
        </w:rPr>
      </w:pPr>
      <w:bookmarkStart w:id="106" w:name="_Toc16911"/>
      <w:r>
        <w:rPr>
          <w:b/>
          <w:bCs/>
          <w:sz w:val="32"/>
          <w:szCs w:val="32"/>
          <w:lang w:val="zh-CN"/>
        </w:rPr>
        <w:t>节能产品、环境标志产品明细表</w:t>
      </w:r>
    </w:p>
    <w:tbl>
      <w:tblPr>
        <w:tblStyle w:val="28"/>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8C3F403">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5EEDF128">
            <w:pPr>
              <w:autoSpaceDE w:val="0"/>
              <w:autoSpaceDN w:val="0"/>
              <w:adjustRightInd w:val="0"/>
              <w:snapToGrid w:val="0"/>
              <w:jc w:val="center"/>
              <w:rPr>
                <w:sz w:val="24"/>
                <w:szCs w:val="24"/>
                <w:lang w:val="zh-CN"/>
              </w:rPr>
            </w:pPr>
            <w:r>
              <w:rPr>
                <w:sz w:val="24"/>
                <w:szCs w:val="24"/>
                <w:lang w:val="zh-CN"/>
              </w:rPr>
              <w:t>序</w:t>
            </w:r>
          </w:p>
          <w:p w14:paraId="3271054C">
            <w:pPr>
              <w:autoSpaceDE w:val="0"/>
              <w:autoSpaceDN w:val="0"/>
              <w:adjustRightInd w:val="0"/>
              <w:snapToGrid w:val="0"/>
              <w:jc w:val="center"/>
              <w:rPr>
                <w:sz w:val="24"/>
                <w:szCs w:val="24"/>
              </w:rPr>
            </w:pPr>
            <w:r>
              <w:rPr>
                <w:sz w:val="24"/>
                <w:szCs w:val="24"/>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035B5B4">
            <w:pPr>
              <w:autoSpaceDE w:val="0"/>
              <w:autoSpaceDN w:val="0"/>
              <w:adjustRightInd w:val="0"/>
              <w:snapToGrid w:val="0"/>
              <w:jc w:val="center"/>
              <w:rPr>
                <w:sz w:val="24"/>
                <w:szCs w:val="24"/>
                <w:lang w:val="zh-CN"/>
              </w:rPr>
            </w:pPr>
            <w:r>
              <w:rPr>
                <w:sz w:val="24"/>
                <w:szCs w:val="24"/>
                <w:lang w:val="zh-CN"/>
              </w:rPr>
              <w:t>产品</w:t>
            </w:r>
          </w:p>
          <w:p w14:paraId="305CAC13">
            <w:pPr>
              <w:autoSpaceDE w:val="0"/>
              <w:autoSpaceDN w:val="0"/>
              <w:adjustRightInd w:val="0"/>
              <w:snapToGrid w:val="0"/>
              <w:jc w:val="center"/>
              <w:rPr>
                <w:sz w:val="24"/>
                <w:szCs w:val="24"/>
              </w:rPr>
            </w:pPr>
            <w:r>
              <w:rPr>
                <w:sz w:val="24"/>
                <w:szCs w:val="24"/>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55B344E3">
            <w:pPr>
              <w:autoSpaceDE w:val="0"/>
              <w:autoSpaceDN w:val="0"/>
              <w:adjustRightInd w:val="0"/>
              <w:snapToGrid w:val="0"/>
              <w:jc w:val="center"/>
              <w:rPr>
                <w:sz w:val="24"/>
                <w:szCs w:val="24"/>
              </w:rPr>
            </w:pPr>
            <w:r>
              <w:rPr>
                <w:sz w:val="24"/>
                <w:szCs w:val="24"/>
              </w:rPr>
              <w:t>制造</w:t>
            </w:r>
          </w:p>
          <w:p w14:paraId="7872F87F">
            <w:pPr>
              <w:autoSpaceDE w:val="0"/>
              <w:autoSpaceDN w:val="0"/>
              <w:adjustRightInd w:val="0"/>
              <w:snapToGrid w:val="0"/>
              <w:jc w:val="center"/>
              <w:rPr>
                <w:sz w:val="24"/>
                <w:szCs w:val="24"/>
              </w:rPr>
            </w:pPr>
            <w:r>
              <w:rPr>
                <w:sz w:val="24"/>
                <w:szCs w:val="24"/>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795691BE">
            <w:pPr>
              <w:autoSpaceDE w:val="0"/>
              <w:autoSpaceDN w:val="0"/>
              <w:adjustRightInd w:val="0"/>
              <w:snapToGrid w:val="0"/>
              <w:jc w:val="center"/>
              <w:rPr>
                <w:sz w:val="24"/>
                <w:szCs w:val="24"/>
                <w:lang w:val="zh-CN"/>
              </w:rPr>
            </w:pPr>
            <w:r>
              <w:rPr>
                <w:sz w:val="24"/>
                <w:szCs w:val="24"/>
                <w:lang w:val="zh-CN"/>
              </w:rPr>
              <w:t>规格</w:t>
            </w:r>
          </w:p>
          <w:p w14:paraId="1D7B44DA">
            <w:pPr>
              <w:autoSpaceDE w:val="0"/>
              <w:autoSpaceDN w:val="0"/>
              <w:adjustRightInd w:val="0"/>
              <w:snapToGrid w:val="0"/>
              <w:jc w:val="center"/>
              <w:rPr>
                <w:sz w:val="24"/>
                <w:szCs w:val="24"/>
              </w:rPr>
            </w:pPr>
            <w:r>
              <w:rPr>
                <w:sz w:val="24"/>
                <w:szCs w:val="24"/>
                <w:lang w:val="zh-CN"/>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14:paraId="0E6B3FC9">
            <w:pPr>
              <w:autoSpaceDE w:val="0"/>
              <w:autoSpaceDN w:val="0"/>
              <w:adjustRightInd w:val="0"/>
              <w:snapToGrid w:val="0"/>
              <w:jc w:val="center"/>
              <w:rPr>
                <w:sz w:val="24"/>
                <w:szCs w:val="24"/>
                <w:lang w:val="zh-CN"/>
              </w:rPr>
            </w:pPr>
            <w:r>
              <w:rPr>
                <w:sz w:val="24"/>
                <w:szCs w:val="24"/>
                <w:lang w:val="zh-CN"/>
              </w:rPr>
              <w:t>类</w:t>
            </w:r>
          </w:p>
          <w:p w14:paraId="1F30251A">
            <w:pPr>
              <w:autoSpaceDE w:val="0"/>
              <w:autoSpaceDN w:val="0"/>
              <w:adjustRightInd w:val="0"/>
              <w:snapToGrid w:val="0"/>
              <w:jc w:val="center"/>
              <w:rPr>
                <w:sz w:val="24"/>
                <w:szCs w:val="24"/>
                <w:lang w:val="zh-CN"/>
              </w:rPr>
            </w:pPr>
            <w:r>
              <w:rPr>
                <w:sz w:val="24"/>
                <w:szCs w:val="24"/>
                <w:lang w:val="zh-CN"/>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14:paraId="32B3FEC2">
            <w:pPr>
              <w:autoSpaceDE w:val="0"/>
              <w:autoSpaceDN w:val="0"/>
              <w:adjustRightInd w:val="0"/>
              <w:snapToGrid w:val="0"/>
              <w:jc w:val="center"/>
              <w:rPr>
                <w:sz w:val="24"/>
                <w:szCs w:val="24"/>
                <w:lang w:val="zh-CN"/>
              </w:rPr>
            </w:pPr>
            <w:r>
              <w:rPr>
                <w:sz w:val="24"/>
                <w:szCs w:val="24"/>
                <w:lang w:val="zh-CN"/>
              </w:rPr>
              <w:t>认证证书</w:t>
            </w:r>
          </w:p>
          <w:p w14:paraId="431842A3">
            <w:pPr>
              <w:autoSpaceDE w:val="0"/>
              <w:autoSpaceDN w:val="0"/>
              <w:adjustRightInd w:val="0"/>
              <w:snapToGrid w:val="0"/>
              <w:jc w:val="center"/>
              <w:rPr>
                <w:sz w:val="24"/>
                <w:szCs w:val="24"/>
              </w:rPr>
            </w:pPr>
            <w:r>
              <w:rPr>
                <w:sz w:val="24"/>
                <w:szCs w:val="24"/>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1160C46E">
            <w:pPr>
              <w:autoSpaceDE w:val="0"/>
              <w:autoSpaceDN w:val="0"/>
              <w:adjustRightInd w:val="0"/>
              <w:snapToGrid w:val="0"/>
              <w:jc w:val="center"/>
              <w:rPr>
                <w:sz w:val="24"/>
                <w:szCs w:val="24"/>
                <w:lang w:val="zh-CN"/>
              </w:rPr>
            </w:pPr>
            <w:r>
              <w:rPr>
                <w:sz w:val="24"/>
                <w:szCs w:val="24"/>
                <w:lang w:val="zh-CN"/>
              </w:rPr>
              <w:t>数</w:t>
            </w:r>
          </w:p>
          <w:p w14:paraId="221FABC5">
            <w:pPr>
              <w:autoSpaceDE w:val="0"/>
              <w:autoSpaceDN w:val="0"/>
              <w:adjustRightInd w:val="0"/>
              <w:snapToGrid w:val="0"/>
              <w:jc w:val="center"/>
              <w:rPr>
                <w:sz w:val="24"/>
                <w:szCs w:val="24"/>
              </w:rPr>
            </w:pPr>
            <w:r>
              <w:rPr>
                <w:sz w:val="24"/>
                <w:szCs w:val="24"/>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14A85110">
            <w:pPr>
              <w:autoSpaceDE w:val="0"/>
              <w:autoSpaceDN w:val="0"/>
              <w:adjustRightInd w:val="0"/>
              <w:snapToGrid w:val="0"/>
              <w:jc w:val="center"/>
              <w:rPr>
                <w:sz w:val="24"/>
                <w:szCs w:val="24"/>
                <w:lang w:val="zh-CN"/>
              </w:rPr>
            </w:pPr>
            <w:r>
              <w:rPr>
                <w:sz w:val="24"/>
                <w:szCs w:val="24"/>
                <w:lang w:val="zh-CN"/>
              </w:rPr>
              <w:t>单</w:t>
            </w:r>
          </w:p>
          <w:p w14:paraId="1F3387C9">
            <w:pPr>
              <w:autoSpaceDE w:val="0"/>
              <w:autoSpaceDN w:val="0"/>
              <w:adjustRightInd w:val="0"/>
              <w:snapToGrid w:val="0"/>
              <w:jc w:val="center"/>
              <w:rPr>
                <w:sz w:val="24"/>
                <w:szCs w:val="24"/>
              </w:rPr>
            </w:pPr>
            <w:r>
              <w:rPr>
                <w:sz w:val="24"/>
                <w:szCs w:val="24"/>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17E8CF2F">
            <w:pPr>
              <w:autoSpaceDE w:val="0"/>
              <w:autoSpaceDN w:val="0"/>
              <w:adjustRightInd w:val="0"/>
              <w:snapToGrid w:val="0"/>
              <w:jc w:val="center"/>
              <w:rPr>
                <w:sz w:val="24"/>
                <w:szCs w:val="24"/>
                <w:lang w:val="zh-CN"/>
              </w:rPr>
            </w:pPr>
            <w:r>
              <w:rPr>
                <w:sz w:val="24"/>
                <w:szCs w:val="24"/>
                <w:lang w:val="zh-CN"/>
              </w:rPr>
              <w:t>总</w:t>
            </w:r>
          </w:p>
          <w:p w14:paraId="32C8B9B1">
            <w:pPr>
              <w:autoSpaceDE w:val="0"/>
              <w:autoSpaceDN w:val="0"/>
              <w:adjustRightInd w:val="0"/>
              <w:snapToGrid w:val="0"/>
              <w:jc w:val="center"/>
              <w:rPr>
                <w:sz w:val="24"/>
                <w:szCs w:val="24"/>
              </w:rPr>
            </w:pPr>
            <w:r>
              <w:rPr>
                <w:sz w:val="24"/>
                <w:szCs w:val="24"/>
                <w:lang w:val="zh-CN"/>
              </w:rPr>
              <w:t>价</w:t>
            </w:r>
          </w:p>
        </w:tc>
      </w:tr>
      <w:tr w14:paraId="39319FC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5BB0C3F4">
            <w:pPr>
              <w:autoSpaceDE w:val="0"/>
              <w:autoSpaceDN w:val="0"/>
              <w:adjustRightInd w:val="0"/>
              <w:snapToGrid w:val="0"/>
              <w:spacing w:line="360" w:lineRule="auto"/>
              <w:rPr>
                <w:sz w:val="24"/>
                <w:szCs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03E24330">
            <w:pPr>
              <w:autoSpaceDE w:val="0"/>
              <w:autoSpaceDN w:val="0"/>
              <w:adjustRightInd w:val="0"/>
              <w:snapToGrid w:val="0"/>
              <w:spacing w:line="360" w:lineRule="auto"/>
              <w:rPr>
                <w:sz w:val="24"/>
                <w:szCs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3275B20">
            <w:pPr>
              <w:autoSpaceDE w:val="0"/>
              <w:autoSpaceDN w:val="0"/>
              <w:adjustRightInd w:val="0"/>
              <w:snapToGrid w:val="0"/>
              <w:spacing w:line="360" w:lineRule="auto"/>
              <w:rPr>
                <w:sz w:val="24"/>
                <w:szCs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1E7E045A">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8DF29AA">
            <w:pPr>
              <w:autoSpaceDE w:val="0"/>
              <w:autoSpaceDN w:val="0"/>
              <w:adjustRightInd w:val="0"/>
              <w:snapToGrid w:val="0"/>
              <w:spacing w:line="360" w:lineRule="auto"/>
              <w:rPr>
                <w:sz w:val="24"/>
                <w:szCs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7D36CD36">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99793F1">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6BD68ED">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1461A2B5">
            <w:pPr>
              <w:autoSpaceDE w:val="0"/>
              <w:autoSpaceDN w:val="0"/>
              <w:adjustRightInd w:val="0"/>
              <w:snapToGrid w:val="0"/>
              <w:spacing w:line="360" w:lineRule="auto"/>
              <w:rPr>
                <w:sz w:val="24"/>
                <w:szCs w:val="24"/>
              </w:rPr>
            </w:pPr>
          </w:p>
        </w:tc>
      </w:tr>
      <w:tr w14:paraId="2A45648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40864618">
            <w:pPr>
              <w:autoSpaceDE w:val="0"/>
              <w:autoSpaceDN w:val="0"/>
              <w:adjustRightInd w:val="0"/>
              <w:snapToGrid w:val="0"/>
              <w:spacing w:line="360" w:lineRule="auto"/>
              <w:rPr>
                <w:sz w:val="24"/>
                <w:szCs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6AE320FA">
            <w:pPr>
              <w:autoSpaceDE w:val="0"/>
              <w:autoSpaceDN w:val="0"/>
              <w:adjustRightInd w:val="0"/>
              <w:snapToGrid w:val="0"/>
              <w:spacing w:line="360" w:lineRule="auto"/>
              <w:rPr>
                <w:sz w:val="24"/>
                <w:szCs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155AAF9E">
            <w:pPr>
              <w:autoSpaceDE w:val="0"/>
              <w:autoSpaceDN w:val="0"/>
              <w:adjustRightInd w:val="0"/>
              <w:snapToGrid w:val="0"/>
              <w:spacing w:line="360" w:lineRule="auto"/>
              <w:rPr>
                <w:sz w:val="24"/>
                <w:szCs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0B81E647">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EA2EEFC">
            <w:pPr>
              <w:autoSpaceDE w:val="0"/>
              <w:autoSpaceDN w:val="0"/>
              <w:adjustRightInd w:val="0"/>
              <w:snapToGrid w:val="0"/>
              <w:spacing w:line="360" w:lineRule="auto"/>
              <w:rPr>
                <w:sz w:val="24"/>
                <w:szCs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0EE798E0">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2078AEBB">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B12050C">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1B25249">
            <w:pPr>
              <w:autoSpaceDE w:val="0"/>
              <w:autoSpaceDN w:val="0"/>
              <w:adjustRightInd w:val="0"/>
              <w:snapToGrid w:val="0"/>
              <w:spacing w:line="360" w:lineRule="auto"/>
              <w:rPr>
                <w:sz w:val="24"/>
                <w:szCs w:val="24"/>
              </w:rPr>
            </w:pPr>
          </w:p>
        </w:tc>
      </w:tr>
      <w:tr w14:paraId="3C6A2CE7">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5B0CD8E8">
            <w:pPr>
              <w:autoSpaceDE w:val="0"/>
              <w:autoSpaceDN w:val="0"/>
              <w:adjustRightInd w:val="0"/>
              <w:snapToGrid w:val="0"/>
              <w:spacing w:line="360" w:lineRule="auto"/>
              <w:rPr>
                <w:sz w:val="24"/>
                <w:szCs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55B8A81">
            <w:pPr>
              <w:autoSpaceDE w:val="0"/>
              <w:autoSpaceDN w:val="0"/>
              <w:adjustRightInd w:val="0"/>
              <w:snapToGrid w:val="0"/>
              <w:spacing w:line="360" w:lineRule="auto"/>
              <w:rPr>
                <w:sz w:val="24"/>
                <w:szCs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1EEEF2BA">
            <w:pPr>
              <w:autoSpaceDE w:val="0"/>
              <w:autoSpaceDN w:val="0"/>
              <w:adjustRightInd w:val="0"/>
              <w:snapToGrid w:val="0"/>
              <w:spacing w:line="360" w:lineRule="auto"/>
              <w:rPr>
                <w:sz w:val="24"/>
                <w:szCs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4DE801F8">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657C7D0">
            <w:pPr>
              <w:autoSpaceDE w:val="0"/>
              <w:autoSpaceDN w:val="0"/>
              <w:adjustRightInd w:val="0"/>
              <w:snapToGrid w:val="0"/>
              <w:spacing w:line="360" w:lineRule="auto"/>
              <w:rPr>
                <w:sz w:val="24"/>
                <w:szCs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78AC8674">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31C2D7B">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AE3501D">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DD0A2E5">
            <w:pPr>
              <w:autoSpaceDE w:val="0"/>
              <w:autoSpaceDN w:val="0"/>
              <w:adjustRightInd w:val="0"/>
              <w:snapToGrid w:val="0"/>
              <w:spacing w:line="360" w:lineRule="auto"/>
              <w:rPr>
                <w:sz w:val="24"/>
                <w:szCs w:val="24"/>
              </w:rPr>
            </w:pPr>
          </w:p>
        </w:tc>
      </w:tr>
      <w:tr w14:paraId="4ECCD55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1096CA55">
            <w:pPr>
              <w:autoSpaceDE w:val="0"/>
              <w:autoSpaceDN w:val="0"/>
              <w:adjustRightInd w:val="0"/>
              <w:snapToGrid w:val="0"/>
              <w:spacing w:line="360" w:lineRule="auto"/>
              <w:rPr>
                <w:sz w:val="24"/>
                <w:szCs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1B288D8A">
            <w:pPr>
              <w:autoSpaceDE w:val="0"/>
              <w:autoSpaceDN w:val="0"/>
              <w:adjustRightInd w:val="0"/>
              <w:snapToGrid w:val="0"/>
              <w:spacing w:line="360" w:lineRule="auto"/>
              <w:rPr>
                <w:sz w:val="24"/>
                <w:szCs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3383C19D">
            <w:pPr>
              <w:autoSpaceDE w:val="0"/>
              <w:autoSpaceDN w:val="0"/>
              <w:adjustRightInd w:val="0"/>
              <w:snapToGrid w:val="0"/>
              <w:spacing w:line="360" w:lineRule="auto"/>
              <w:rPr>
                <w:sz w:val="24"/>
                <w:szCs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0B3451B5">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92279B7">
            <w:pPr>
              <w:autoSpaceDE w:val="0"/>
              <w:autoSpaceDN w:val="0"/>
              <w:adjustRightInd w:val="0"/>
              <w:snapToGrid w:val="0"/>
              <w:spacing w:line="360" w:lineRule="auto"/>
              <w:rPr>
                <w:sz w:val="24"/>
                <w:szCs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745EA50A">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140CDAE8">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9811F41">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2972332">
            <w:pPr>
              <w:autoSpaceDE w:val="0"/>
              <w:autoSpaceDN w:val="0"/>
              <w:adjustRightInd w:val="0"/>
              <w:snapToGrid w:val="0"/>
              <w:spacing w:line="360" w:lineRule="auto"/>
              <w:rPr>
                <w:sz w:val="24"/>
                <w:szCs w:val="24"/>
              </w:rPr>
            </w:pPr>
          </w:p>
        </w:tc>
      </w:tr>
      <w:tr w14:paraId="662501B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21F5DEDF">
            <w:pPr>
              <w:autoSpaceDE w:val="0"/>
              <w:autoSpaceDN w:val="0"/>
              <w:adjustRightInd w:val="0"/>
              <w:snapToGrid w:val="0"/>
              <w:spacing w:line="360" w:lineRule="auto"/>
              <w:rPr>
                <w:sz w:val="24"/>
                <w:szCs w:val="24"/>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0921F256">
            <w:pPr>
              <w:autoSpaceDE w:val="0"/>
              <w:autoSpaceDN w:val="0"/>
              <w:adjustRightInd w:val="0"/>
              <w:snapToGrid w:val="0"/>
              <w:spacing w:line="360" w:lineRule="auto"/>
              <w:rPr>
                <w:sz w:val="24"/>
                <w:szCs w:val="24"/>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06A4B2AB">
            <w:pPr>
              <w:autoSpaceDE w:val="0"/>
              <w:autoSpaceDN w:val="0"/>
              <w:adjustRightInd w:val="0"/>
              <w:snapToGrid w:val="0"/>
              <w:spacing w:line="360" w:lineRule="auto"/>
              <w:rPr>
                <w:sz w:val="24"/>
                <w:szCs w:val="24"/>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42A69798">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B27DC7D">
            <w:pPr>
              <w:autoSpaceDE w:val="0"/>
              <w:autoSpaceDN w:val="0"/>
              <w:adjustRightInd w:val="0"/>
              <w:snapToGrid w:val="0"/>
              <w:spacing w:line="360" w:lineRule="auto"/>
              <w:rPr>
                <w:sz w:val="24"/>
                <w:szCs w:val="24"/>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0CBC8F3D">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29450B3D">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1059E4E">
            <w:pPr>
              <w:autoSpaceDE w:val="0"/>
              <w:autoSpaceDN w:val="0"/>
              <w:adjustRightInd w:val="0"/>
              <w:snapToGrid w:val="0"/>
              <w:spacing w:line="360" w:lineRule="auto"/>
              <w:rPr>
                <w:sz w:val="24"/>
                <w:szCs w:val="24"/>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9A1F5D3">
            <w:pPr>
              <w:autoSpaceDE w:val="0"/>
              <w:autoSpaceDN w:val="0"/>
              <w:adjustRightInd w:val="0"/>
              <w:snapToGrid w:val="0"/>
              <w:spacing w:line="360" w:lineRule="auto"/>
              <w:rPr>
                <w:sz w:val="24"/>
                <w:szCs w:val="24"/>
              </w:rPr>
            </w:pPr>
          </w:p>
        </w:tc>
      </w:tr>
    </w:tbl>
    <w:p w14:paraId="1E8C139B">
      <w:pPr>
        <w:spacing w:line="360" w:lineRule="auto"/>
        <w:ind w:firstLine="480" w:firstLineChars="200"/>
        <w:rPr>
          <w:sz w:val="24"/>
          <w:szCs w:val="24"/>
          <w:lang w:val="zh-CN"/>
        </w:rPr>
      </w:pPr>
      <w:r>
        <w:rPr>
          <w:sz w:val="24"/>
          <w:szCs w:val="24"/>
          <w:lang w:val="zh-CN"/>
        </w:rPr>
        <w:t>注：</w:t>
      </w:r>
    </w:p>
    <w:p w14:paraId="050F3E39">
      <w:pPr>
        <w:spacing w:line="360" w:lineRule="auto"/>
        <w:ind w:firstLine="480" w:firstLineChars="200"/>
        <w:rPr>
          <w:sz w:val="24"/>
          <w:szCs w:val="24"/>
          <w:lang w:val="zh-CN"/>
        </w:rPr>
      </w:pPr>
      <w:r>
        <w:rPr>
          <w:sz w:val="24"/>
          <w:szCs w:val="24"/>
        </w:rPr>
        <w:t>1.</w:t>
      </w:r>
      <w:r>
        <w:rPr>
          <w:sz w:val="24"/>
          <w:szCs w:val="24"/>
          <w:lang w:val="zh-CN"/>
        </w:rPr>
        <w:t>如磋商产品为节能产品、环境标志产品，须按格式逐项填写，并附相关证明，否则评审时不予计分。</w:t>
      </w:r>
    </w:p>
    <w:p w14:paraId="48BD1EDE">
      <w:pPr>
        <w:spacing w:line="360" w:lineRule="auto"/>
        <w:ind w:firstLine="480" w:firstLineChars="200"/>
        <w:rPr>
          <w:sz w:val="24"/>
          <w:szCs w:val="24"/>
          <w:lang w:val="zh-CN"/>
        </w:rPr>
      </w:pPr>
      <w:r>
        <w:rPr>
          <w:sz w:val="24"/>
          <w:szCs w:val="24"/>
        </w:rPr>
        <w:t>2.</w:t>
      </w:r>
      <w:r>
        <w:rPr>
          <w:sz w:val="24"/>
          <w:szCs w:val="24"/>
          <w:lang w:val="zh-CN"/>
        </w:rPr>
        <w:t>类别填写：节能产品或环境标志产品。</w:t>
      </w:r>
    </w:p>
    <w:p w14:paraId="4EA0F175">
      <w:pPr>
        <w:spacing w:line="360" w:lineRule="auto"/>
        <w:ind w:firstLine="640" w:firstLineChars="200"/>
        <w:rPr>
          <w:rFonts w:eastAsia="仿宋_GB2312"/>
          <w:sz w:val="32"/>
          <w:szCs w:val="32"/>
        </w:rPr>
      </w:pPr>
    </w:p>
    <w:p w14:paraId="0B2E39FE">
      <w:pPr>
        <w:spacing w:line="360" w:lineRule="auto"/>
        <w:ind w:firstLine="3840" w:firstLineChars="1600"/>
        <w:rPr>
          <w:sz w:val="24"/>
          <w:szCs w:val="24"/>
        </w:rPr>
      </w:pPr>
      <w:r>
        <w:rPr>
          <w:sz w:val="24"/>
          <w:szCs w:val="24"/>
        </w:rPr>
        <w:t>供应商：</w:t>
      </w:r>
      <w:r>
        <w:rPr>
          <w:sz w:val="24"/>
          <w:szCs w:val="24"/>
          <w:u w:val="single"/>
        </w:rPr>
        <w:t xml:space="preserve">                    </w:t>
      </w:r>
      <w:r>
        <w:rPr>
          <w:sz w:val="24"/>
          <w:szCs w:val="24"/>
        </w:rPr>
        <w:t>（公章）</w:t>
      </w:r>
    </w:p>
    <w:p w14:paraId="49835BDC">
      <w:pPr>
        <w:spacing w:line="360" w:lineRule="auto"/>
        <w:ind w:firstLine="3840" w:firstLineChars="1600"/>
        <w:rPr>
          <w:sz w:val="24"/>
          <w:szCs w:val="24"/>
        </w:rPr>
      </w:pPr>
      <w:r>
        <w:rPr>
          <w:sz w:val="24"/>
          <w:szCs w:val="24"/>
        </w:rPr>
        <w:t>法定代表人或授权代表：</w:t>
      </w:r>
      <w:r>
        <w:rPr>
          <w:sz w:val="24"/>
          <w:szCs w:val="24"/>
          <w:u w:val="single"/>
        </w:rPr>
        <w:t xml:space="preserve">    </w:t>
      </w:r>
      <w:r>
        <w:rPr>
          <w:sz w:val="24"/>
          <w:szCs w:val="24"/>
        </w:rPr>
        <w:t>（</w:t>
      </w:r>
      <w:r>
        <w:rPr>
          <w:rFonts w:hint="eastAsia" w:ascii="宋体" w:hAnsi="宋体" w:eastAsia="宋体" w:cs="宋体"/>
          <w:color w:val="auto"/>
          <w:kern w:val="0"/>
          <w:sz w:val="24"/>
          <w:szCs w:val="24"/>
          <w:highlight w:val="none"/>
        </w:rPr>
        <w:t>签字或盖章</w:t>
      </w:r>
      <w:r>
        <w:rPr>
          <w:sz w:val="24"/>
          <w:szCs w:val="24"/>
        </w:rPr>
        <w:t>）</w:t>
      </w:r>
    </w:p>
    <w:p w14:paraId="0276D1C3">
      <w:pPr>
        <w:ind w:firstLine="4320" w:firstLineChars="1800"/>
        <w:rPr>
          <w:rFonts w:hint="eastAsia" w:ascii="宋体" w:hAnsi="宋体" w:eastAsia="宋体" w:cs="宋体"/>
          <w:b/>
          <w:bCs/>
          <w:color w:val="auto"/>
          <w:sz w:val="32"/>
          <w:szCs w:val="32"/>
          <w:highlight w:val="none"/>
        </w:rPr>
      </w:pPr>
      <w:r>
        <w:rPr>
          <w:sz w:val="24"/>
          <w:szCs w:val="24"/>
        </w:rPr>
        <w:t>日    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76B2583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ED02138">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近年承接的类似项目情况表</w:t>
      </w:r>
      <w:bookmarkEnd w:id="106"/>
    </w:p>
    <w:p w14:paraId="7F8C22CF">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rPr>
      </w:pPr>
      <w:bookmarkStart w:id="107" w:name="_Toc6236"/>
      <w:bookmarkStart w:id="108" w:name="_Toc711"/>
      <w:bookmarkStart w:id="109" w:name="_Toc9895"/>
      <w:bookmarkStart w:id="110" w:name="_Toc12299"/>
      <w:r>
        <w:rPr>
          <w:rFonts w:hint="eastAsia" w:ascii="宋体" w:hAnsi="宋体" w:eastAsia="宋体" w:cs="宋体"/>
          <w:b/>
          <w:bCs/>
          <w:color w:val="auto"/>
          <w:sz w:val="28"/>
          <w:szCs w:val="28"/>
          <w:highlight w:val="none"/>
        </w:rPr>
        <w:t>1、业绩统计表</w:t>
      </w:r>
      <w:bookmarkEnd w:id="107"/>
      <w:bookmarkEnd w:id="108"/>
      <w:bookmarkEnd w:id="109"/>
      <w:bookmarkEnd w:id="110"/>
    </w:p>
    <w:tbl>
      <w:tblPr>
        <w:tblStyle w:val="2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14:paraId="542F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4092C84E">
            <w:pPr>
              <w:keepNext/>
              <w:keepLines/>
              <w:ind w:firstLine="240" w:firstLineChars="100"/>
              <w:rPr>
                <w:rFonts w:hint="eastAsia" w:ascii="宋体" w:hAnsi="宋体" w:eastAsia="宋体" w:cs="宋体"/>
                <w:color w:val="auto"/>
                <w:sz w:val="24"/>
                <w:szCs w:val="24"/>
                <w:highlight w:val="none"/>
              </w:rPr>
            </w:pPr>
            <w:bookmarkStart w:id="111" w:name="_Toc17531"/>
            <w:bookmarkStart w:id="112" w:name="_Toc32041"/>
            <w:bookmarkStart w:id="113" w:name="_Toc11643"/>
            <w:bookmarkStart w:id="114" w:name="_Toc18459"/>
            <w:r>
              <w:rPr>
                <w:rFonts w:hint="eastAsia" w:ascii="宋体" w:hAnsi="宋体" w:eastAsia="宋体" w:cs="宋体"/>
                <w:color w:val="auto"/>
                <w:sz w:val="24"/>
                <w:szCs w:val="24"/>
                <w:highlight w:val="none"/>
              </w:rPr>
              <w:t>序号</w:t>
            </w:r>
            <w:bookmarkEnd w:id="111"/>
            <w:bookmarkEnd w:id="112"/>
            <w:bookmarkEnd w:id="113"/>
            <w:bookmarkEnd w:id="114"/>
          </w:p>
        </w:tc>
        <w:tc>
          <w:tcPr>
            <w:tcW w:w="3316" w:type="dxa"/>
            <w:vAlign w:val="center"/>
          </w:tcPr>
          <w:p w14:paraId="1C792ECD">
            <w:pPr>
              <w:keepNext/>
              <w:keepLines/>
              <w:ind w:firstLine="720" w:firstLineChars="300"/>
              <w:rPr>
                <w:rFonts w:hint="eastAsia" w:ascii="宋体" w:hAnsi="宋体" w:eastAsia="宋体" w:cs="宋体"/>
                <w:color w:val="auto"/>
                <w:sz w:val="24"/>
                <w:szCs w:val="24"/>
                <w:highlight w:val="none"/>
              </w:rPr>
            </w:pPr>
            <w:bookmarkStart w:id="115" w:name="_Toc15125"/>
            <w:bookmarkStart w:id="116" w:name="_Toc7655"/>
            <w:bookmarkStart w:id="117" w:name="_Toc8421"/>
            <w:bookmarkStart w:id="118" w:name="_Toc21399"/>
            <w:r>
              <w:rPr>
                <w:rFonts w:hint="eastAsia" w:ascii="宋体" w:hAnsi="宋体" w:eastAsia="宋体" w:cs="宋体"/>
                <w:color w:val="auto"/>
                <w:sz w:val="24"/>
                <w:szCs w:val="24"/>
                <w:highlight w:val="none"/>
              </w:rPr>
              <w:t>业绩名称</w:t>
            </w:r>
            <w:bookmarkEnd w:id="115"/>
            <w:bookmarkEnd w:id="116"/>
            <w:bookmarkEnd w:id="117"/>
            <w:bookmarkEnd w:id="118"/>
          </w:p>
        </w:tc>
        <w:tc>
          <w:tcPr>
            <w:tcW w:w="2280" w:type="dxa"/>
            <w:vAlign w:val="center"/>
          </w:tcPr>
          <w:p w14:paraId="7BAFC9EC">
            <w:pPr>
              <w:keepNext/>
              <w:keepLines/>
              <w:ind w:firstLine="480" w:firstLineChars="200"/>
              <w:rPr>
                <w:rFonts w:hint="eastAsia" w:ascii="宋体" w:hAnsi="宋体" w:eastAsia="宋体" w:cs="宋体"/>
                <w:color w:val="auto"/>
                <w:sz w:val="24"/>
                <w:szCs w:val="24"/>
                <w:highlight w:val="none"/>
              </w:rPr>
            </w:pPr>
            <w:bookmarkStart w:id="119" w:name="_Toc10940"/>
            <w:bookmarkStart w:id="120" w:name="_Toc24868"/>
            <w:bookmarkStart w:id="121" w:name="_Toc27463"/>
            <w:bookmarkStart w:id="122" w:name="_Toc21582"/>
            <w:r>
              <w:rPr>
                <w:rFonts w:hint="eastAsia" w:ascii="宋体" w:hAnsi="宋体" w:eastAsia="宋体" w:cs="宋体"/>
                <w:color w:val="auto"/>
                <w:sz w:val="24"/>
                <w:szCs w:val="24"/>
                <w:highlight w:val="none"/>
              </w:rPr>
              <w:t>执行时间</w:t>
            </w:r>
            <w:bookmarkEnd w:id="119"/>
            <w:bookmarkEnd w:id="120"/>
            <w:bookmarkEnd w:id="121"/>
            <w:bookmarkEnd w:id="122"/>
          </w:p>
        </w:tc>
        <w:tc>
          <w:tcPr>
            <w:tcW w:w="2281" w:type="dxa"/>
            <w:vAlign w:val="center"/>
          </w:tcPr>
          <w:p w14:paraId="709DD557">
            <w:pPr>
              <w:keepNext/>
              <w:keepLines/>
              <w:ind w:firstLine="720" w:firstLineChars="300"/>
              <w:rPr>
                <w:rFonts w:hint="eastAsia" w:ascii="宋体" w:hAnsi="宋体" w:eastAsia="宋体" w:cs="宋体"/>
                <w:color w:val="auto"/>
                <w:sz w:val="24"/>
                <w:szCs w:val="24"/>
                <w:highlight w:val="none"/>
              </w:rPr>
            </w:pPr>
            <w:bookmarkStart w:id="123" w:name="_Toc25473"/>
            <w:bookmarkStart w:id="124" w:name="_Toc16665"/>
            <w:bookmarkStart w:id="125" w:name="_Toc5850"/>
            <w:bookmarkStart w:id="126" w:name="_Toc30689"/>
            <w:r>
              <w:rPr>
                <w:rFonts w:hint="eastAsia" w:ascii="宋体" w:hAnsi="宋体" w:eastAsia="宋体" w:cs="宋体"/>
                <w:color w:val="auto"/>
                <w:sz w:val="24"/>
                <w:szCs w:val="24"/>
                <w:highlight w:val="none"/>
              </w:rPr>
              <w:t>备注</w:t>
            </w:r>
            <w:bookmarkEnd w:id="123"/>
            <w:bookmarkEnd w:id="124"/>
            <w:bookmarkEnd w:id="125"/>
            <w:bookmarkEnd w:id="126"/>
          </w:p>
        </w:tc>
      </w:tr>
      <w:tr w14:paraId="0B46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476AD5E2">
            <w:pPr>
              <w:keepNext/>
              <w:keepLines/>
              <w:rPr>
                <w:rFonts w:hint="eastAsia" w:ascii="宋体" w:hAnsi="宋体" w:eastAsia="宋体" w:cs="宋体"/>
                <w:color w:val="auto"/>
                <w:sz w:val="24"/>
                <w:szCs w:val="24"/>
                <w:highlight w:val="none"/>
              </w:rPr>
            </w:pPr>
          </w:p>
        </w:tc>
        <w:tc>
          <w:tcPr>
            <w:tcW w:w="3316" w:type="dxa"/>
            <w:vAlign w:val="center"/>
          </w:tcPr>
          <w:p w14:paraId="51F0D074">
            <w:pPr>
              <w:keepNext/>
              <w:keepLines/>
              <w:rPr>
                <w:rFonts w:hint="eastAsia" w:ascii="宋体" w:hAnsi="宋体" w:eastAsia="宋体" w:cs="宋体"/>
                <w:color w:val="auto"/>
                <w:sz w:val="24"/>
                <w:szCs w:val="24"/>
                <w:highlight w:val="none"/>
              </w:rPr>
            </w:pPr>
          </w:p>
        </w:tc>
        <w:tc>
          <w:tcPr>
            <w:tcW w:w="2280" w:type="dxa"/>
            <w:vAlign w:val="center"/>
          </w:tcPr>
          <w:p w14:paraId="2BEB6CEA">
            <w:pPr>
              <w:keepNext/>
              <w:keepLines/>
              <w:rPr>
                <w:rFonts w:hint="eastAsia" w:ascii="宋体" w:hAnsi="宋体" w:eastAsia="宋体" w:cs="宋体"/>
                <w:color w:val="auto"/>
                <w:sz w:val="24"/>
                <w:szCs w:val="24"/>
                <w:highlight w:val="none"/>
              </w:rPr>
            </w:pPr>
          </w:p>
        </w:tc>
        <w:tc>
          <w:tcPr>
            <w:tcW w:w="2281" w:type="dxa"/>
            <w:vAlign w:val="center"/>
          </w:tcPr>
          <w:p w14:paraId="7F36D758">
            <w:pPr>
              <w:keepNext/>
              <w:keepLines/>
              <w:rPr>
                <w:rFonts w:hint="eastAsia" w:ascii="宋体" w:hAnsi="宋体" w:eastAsia="宋体" w:cs="宋体"/>
                <w:color w:val="auto"/>
                <w:sz w:val="24"/>
                <w:szCs w:val="24"/>
                <w:highlight w:val="none"/>
              </w:rPr>
            </w:pPr>
          </w:p>
        </w:tc>
      </w:tr>
      <w:tr w14:paraId="4318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737E0C31">
            <w:pPr>
              <w:keepNext/>
              <w:keepLines/>
              <w:rPr>
                <w:rFonts w:hint="eastAsia" w:ascii="宋体" w:hAnsi="宋体" w:eastAsia="宋体" w:cs="宋体"/>
                <w:color w:val="auto"/>
                <w:sz w:val="24"/>
                <w:szCs w:val="24"/>
                <w:highlight w:val="none"/>
              </w:rPr>
            </w:pPr>
          </w:p>
        </w:tc>
        <w:tc>
          <w:tcPr>
            <w:tcW w:w="3316" w:type="dxa"/>
            <w:vAlign w:val="center"/>
          </w:tcPr>
          <w:p w14:paraId="18B86CCF">
            <w:pPr>
              <w:keepNext/>
              <w:keepLines/>
              <w:rPr>
                <w:rFonts w:hint="eastAsia" w:ascii="宋体" w:hAnsi="宋体" w:eastAsia="宋体" w:cs="宋体"/>
                <w:color w:val="auto"/>
                <w:sz w:val="24"/>
                <w:szCs w:val="24"/>
                <w:highlight w:val="none"/>
              </w:rPr>
            </w:pPr>
          </w:p>
        </w:tc>
        <w:tc>
          <w:tcPr>
            <w:tcW w:w="2280" w:type="dxa"/>
            <w:vAlign w:val="center"/>
          </w:tcPr>
          <w:p w14:paraId="3AD041DB">
            <w:pPr>
              <w:keepNext/>
              <w:keepLines/>
              <w:rPr>
                <w:rFonts w:hint="eastAsia" w:ascii="宋体" w:hAnsi="宋体" w:eastAsia="宋体" w:cs="宋体"/>
                <w:color w:val="auto"/>
                <w:sz w:val="24"/>
                <w:szCs w:val="24"/>
                <w:highlight w:val="none"/>
              </w:rPr>
            </w:pPr>
          </w:p>
        </w:tc>
        <w:tc>
          <w:tcPr>
            <w:tcW w:w="2281" w:type="dxa"/>
            <w:vAlign w:val="center"/>
          </w:tcPr>
          <w:p w14:paraId="46C903D5">
            <w:pPr>
              <w:keepNext/>
              <w:keepLines/>
              <w:rPr>
                <w:rFonts w:hint="eastAsia" w:ascii="宋体" w:hAnsi="宋体" w:eastAsia="宋体" w:cs="宋体"/>
                <w:color w:val="auto"/>
                <w:sz w:val="24"/>
                <w:szCs w:val="24"/>
                <w:highlight w:val="none"/>
              </w:rPr>
            </w:pPr>
          </w:p>
        </w:tc>
      </w:tr>
      <w:tr w14:paraId="393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2BBBEE31">
            <w:pPr>
              <w:keepNext/>
              <w:keepLines/>
              <w:rPr>
                <w:rFonts w:hint="eastAsia" w:ascii="宋体" w:hAnsi="宋体" w:eastAsia="宋体" w:cs="宋体"/>
                <w:color w:val="auto"/>
                <w:sz w:val="24"/>
                <w:szCs w:val="24"/>
                <w:highlight w:val="none"/>
              </w:rPr>
            </w:pPr>
          </w:p>
        </w:tc>
        <w:tc>
          <w:tcPr>
            <w:tcW w:w="3316" w:type="dxa"/>
            <w:vAlign w:val="center"/>
          </w:tcPr>
          <w:p w14:paraId="41D4DE4C">
            <w:pPr>
              <w:keepNext/>
              <w:keepLines/>
              <w:rPr>
                <w:rFonts w:hint="eastAsia" w:ascii="宋体" w:hAnsi="宋体" w:eastAsia="宋体" w:cs="宋体"/>
                <w:color w:val="auto"/>
                <w:sz w:val="24"/>
                <w:szCs w:val="24"/>
                <w:highlight w:val="none"/>
              </w:rPr>
            </w:pPr>
          </w:p>
        </w:tc>
        <w:tc>
          <w:tcPr>
            <w:tcW w:w="2280" w:type="dxa"/>
            <w:vAlign w:val="center"/>
          </w:tcPr>
          <w:p w14:paraId="399AF139">
            <w:pPr>
              <w:keepNext/>
              <w:keepLines/>
              <w:rPr>
                <w:rFonts w:hint="eastAsia" w:ascii="宋体" w:hAnsi="宋体" w:eastAsia="宋体" w:cs="宋体"/>
                <w:color w:val="auto"/>
                <w:sz w:val="24"/>
                <w:szCs w:val="24"/>
                <w:highlight w:val="none"/>
              </w:rPr>
            </w:pPr>
          </w:p>
        </w:tc>
        <w:tc>
          <w:tcPr>
            <w:tcW w:w="2281" w:type="dxa"/>
            <w:vAlign w:val="center"/>
          </w:tcPr>
          <w:p w14:paraId="5899B4F0">
            <w:pPr>
              <w:keepNext/>
              <w:keepLines/>
              <w:rPr>
                <w:rFonts w:hint="eastAsia" w:ascii="宋体" w:hAnsi="宋体" w:eastAsia="宋体" w:cs="宋体"/>
                <w:color w:val="auto"/>
                <w:sz w:val="24"/>
                <w:szCs w:val="24"/>
                <w:highlight w:val="none"/>
              </w:rPr>
            </w:pPr>
          </w:p>
        </w:tc>
      </w:tr>
      <w:tr w14:paraId="362A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26990D68">
            <w:pPr>
              <w:keepNext/>
              <w:keepLines/>
              <w:rPr>
                <w:rFonts w:hint="eastAsia" w:ascii="宋体" w:hAnsi="宋体" w:eastAsia="宋体" w:cs="宋体"/>
                <w:color w:val="auto"/>
                <w:sz w:val="24"/>
                <w:szCs w:val="24"/>
                <w:highlight w:val="none"/>
              </w:rPr>
            </w:pPr>
          </w:p>
        </w:tc>
        <w:tc>
          <w:tcPr>
            <w:tcW w:w="3316" w:type="dxa"/>
            <w:vAlign w:val="center"/>
          </w:tcPr>
          <w:p w14:paraId="671B4EB2">
            <w:pPr>
              <w:keepNext/>
              <w:keepLines/>
              <w:rPr>
                <w:rFonts w:hint="eastAsia" w:ascii="宋体" w:hAnsi="宋体" w:eastAsia="宋体" w:cs="宋体"/>
                <w:color w:val="auto"/>
                <w:sz w:val="24"/>
                <w:szCs w:val="24"/>
                <w:highlight w:val="none"/>
              </w:rPr>
            </w:pPr>
          </w:p>
        </w:tc>
        <w:tc>
          <w:tcPr>
            <w:tcW w:w="2280" w:type="dxa"/>
            <w:vAlign w:val="center"/>
          </w:tcPr>
          <w:p w14:paraId="181B466D">
            <w:pPr>
              <w:keepNext/>
              <w:keepLines/>
              <w:rPr>
                <w:rFonts w:hint="eastAsia" w:ascii="宋体" w:hAnsi="宋体" w:eastAsia="宋体" w:cs="宋体"/>
                <w:color w:val="auto"/>
                <w:sz w:val="24"/>
                <w:szCs w:val="24"/>
                <w:highlight w:val="none"/>
              </w:rPr>
            </w:pPr>
          </w:p>
        </w:tc>
        <w:tc>
          <w:tcPr>
            <w:tcW w:w="2281" w:type="dxa"/>
            <w:vAlign w:val="center"/>
          </w:tcPr>
          <w:p w14:paraId="30F6FBA1">
            <w:pPr>
              <w:keepNext/>
              <w:keepLines/>
              <w:rPr>
                <w:rFonts w:hint="eastAsia" w:ascii="宋体" w:hAnsi="宋体" w:eastAsia="宋体" w:cs="宋体"/>
                <w:color w:val="auto"/>
                <w:sz w:val="24"/>
                <w:szCs w:val="24"/>
                <w:highlight w:val="none"/>
              </w:rPr>
            </w:pPr>
          </w:p>
        </w:tc>
      </w:tr>
      <w:tr w14:paraId="4CEF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32568DC3">
            <w:pPr>
              <w:keepNext/>
              <w:keepLines/>
              <w:rPr>
                <w:rFonts w:hint="eastAsia" w:ascii="宋体" w:hAnsi="宋体" w:eastAsia="宋体" w:cs="宋体"/>
                <w:color w:val="auto"/>
                <w:sz w:val="24"/>
                <w:szCs w:val="24"/>
                <w:highlight w:val="none"/>
              </w:rPr>
            </w:pPr>
          </w:p>
        </w:tc>
        <w:tc>
          <w:tcPr>
            <w:tcW w:w="3316" w:type="dxa"/>
            <w:vAlign w:val="center"/>
          </w:tcPr>
          <w:p w14:paraId="725FB728">
            <w:pPr>
              <w:keepNext/>
              <w:keepLines/>
              <w:rPr>
                <w:rFonts w:hint="eastAsia" w:ascii="宋体" w:hAnsi="宋体" w:eastAsia="宋体" w:cs="宋体"/>
                <w:color w:val="auto"/>
                <w:sz w:val="24"/>
                <w:szCs w:val="24"/>
                <w:highlight w:val="none"/>
              </w:rPr>
            </w:pPr>
          </w:p>
        </w:tc>
        <w:tc>
          <w:tcPr>
            <w:tcW w:w="2280" w:type="dxa"/>
            <w:vAlign w:val="center"/>
          </w:tcPr>
          <w:p w14:paraId="4FB0C742">
            <w:pPr>
              <w:keepNext/>
              <w:keepLines/>
              <w:rPr>
                <w:rFonts w:hint="eastAsia" w:ascii="宋体" w:hAnsi="宋体" w:eastAsia="宋体" w:cs="宋体"/>
                <w:color w:val="auto"/>
                <w:sz w:val="24"/>
                <w:szCs w:val="24"/>
                <w:highlight w:val="none"/>
              </w:rPr>
            </w:pPr>
          </w:p>
        </w:tc>
        <w:tc>
          <w:tcPr>
            <w:tcW w:w="2281" w:type="dxa"/>
            <w:vAlign w:val="center"/>
          </w:tcPr>
          <w:p w14:paraId="5232D0C3">
            <w:pPr>
              <w:keepNext/>
              <w:keepLines/>
              <w:rPr>
                <w:rFonts w:hint="eastAsia" w:ascii="宋体" w:hAnsi="宋体" w:eastAsia="宋体" w:cs="宋体"/>
                <w:color w:val="auto"/>
                <w:sz w:val="24"/>
                <w:szCs w:val="24"/>
                <w:highlight w:val="none"/>
              </w:rPr>
            </w:pPr>
          </w:p>
        </w:tc>
      </w:tr>
      <w:tr w14:paraId="36B1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42F5E8C4">
            <w:pPr>
              <w:keepNext/>
              <w:keepLines/>
              <w:rPr>
                <w:rFonts w:hint="eastAsia" w:ascii="宋体" w:hAnsi="宋体" w:eastAsia="宋体" w:cs="宋体"/>
                <w:color w:val="auto"/>
                <w:sz w:val="24"/>
                <w:szCs w:val="24"/>
                <w:highlight w:val="none"/>
              </w:rPr>
            </w:pPr>
          </w:p>
        </w:tc>
        <w:tc>
          <w:tcPr>
            <w:tcW w:w="3316" w:type="dxa"/>
            <w:vAlign w:val="center"/>
          </w:tcPr>
          <w:p w14:paraId="6E7A46D8">
            <w:pPr>
              <w:keepNext/>
              <w:keepLines/>
              <w:rPr>
                <w:rFonts w:hint="eastAsia" w:ascii="宋体" w:hAnsi="宋体" w:eastAsia="宋体" w:cs="宋体"/>
                <w:color w:val="auto"/>
                <w:sz w:val="24"/>
                <w:szCs w:val="24"/>
                <w:highlight w:val="none"/>
              </w:rPr>
            </w:pPr>
          </w:p>
        </w:tc>
        <w:tc>
          <w:tcPr>
            <w:tcW w:w="2280" w:type="dxa"/>
            <w:vAlign w:val="center"/>
          </w:tcPr>
          <w:p w14:paraId="0BD2CDEA">
            <w:pPr>
              <w:keepNext/>
              <w:keepLines/>
              <w:rPr>
                <w:rFonts w:hint="eastAsia" w:ascii="宋体" w:hAnsi="宋体" w:eastAsia="宋体" w:cs="宋体"/>
                <w:color w:val="auto"/>
                <w:sz w:val="24"/>
                <w:szCs w:val="24"/>
                <w:highlight w:val="none"/>
              </w:rPr>
            </w:pPr>
          </w:p>
        </w:tc>
        <w:tc>
          <w:tcPr>
            <w:tcW w:w="2281" w:type="dxa"/>
            <w:vAlign w:val="center"/>
          </w:tcPr>
          <w:p w14:paraId="5933B860">
            <w:pPr>
              <w:keepNext/>
              <w:keepLines/>
              <w:rPr>
                <w:rFonts w:hint="eastAsia" w:ascii="宋体" w:hAnsi="宋体" w:eastAsia="宋体" w:cs="宋体"/>
                <w:color w:val="auto"/>
                <w:sz w:val="24"/>
                <w:szCs w:val="24"/>
                <w:highlight w:val="none"/>
              </w:rPr>
            </w:pPr>
          </w:p>
        </w:tc>
      </w:tr>
      <w:tr w14:paraId="5529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43" w:type="dxa"/>
            <w:vAlign w:val="center"/>
          </w:tcPr>
          <w:p w14:paraId="658D4A39">
            <w:pPr>
              <w:keepNext/>
              <w:keepLines/>
              <w:rPr>
                <w:rFonts w:hint="eastAsia" w:ascii="宋体" w:hAnsi="宋体" w:eastAsia="宋体" w:cs="宋体"/>
                <w:color w:val="auto"/>
                <w:sz w:val="24"/>
                <w:szCs w:val="24"/>
                <w:highlight w:val="none"/>
              </w:rPr>
            </w:pPr>
          </w:p>
        </w:tc>
        <w:tc>
          <w:tcPr>
            <w:tcW w:w="3316" w:type="dxa"/>
            <w:vAlign w:val="center"/>
          </w:tcPr>
          <w:p w14:paraId="1C34A9BF">
            <w:pPr>
              <w:keepNext/>
              <w:keepLines/>
              <w:rPr>
                <w:rFonts w:hint="eastAsia" w:ascii="宋体" w:hAnsi="宋体" w:eastAsia="宋体" w:cs="宋体"/>
                <w:color w:val="auto"/>
                <w:sz w:val="24"/>
                <w:szCs w:val="24"/>
                <w:highlight w:val="none"/>
              </w:rPr>
            </w:pPr>
          </w:p>
        </w:tc>
        <w:tc>
          <w:tcPr>
            <w:tcW w:w="2280" w:type="dxa"/>
            <w:vAlign w:val="center"/>
          </w:tcPr>
          <w:p w14:paraId="2089057A">
            <w:pPr>
              <w:keepNext/>
              <w:keepLines/>
              <w:rPr>
                <w:rFonts w:hint="eastAsia" w:ascii="宋体" w:hAnsi="宋体" w:eastAsia="宋体" w:cs="宋体"/>
                <w:color w:val="auto"/>
                <w:sz w:val="24"/>
                <w:szCs w:val="24"/>
                <w:highlight w:val="none"/>
              </w:rPr>
            </w:pPr>
          </w:p>
        </w:tc>
        <w:tc>
          <w:tcPr>
            <w:tcW w:w="2281" w:type="dxa"/>
            <w:vAlign w:val="center"/>
          </w:tcPr>
          <w:p w14:paraId="29ECF6B0">
            <w:pPr>
              <w:keepNext/>
              <w:keepLines/>
              <w:rPr>
                <w:rFonts w:hint="eastAsia" w:ascii="宋体" w:hAnsi="宋体" w:eastAsia="宋体" w:cs="宋体"/>
                <w:color w:val="auto"/>
                <w:sz w:val="24"/>
                <w:szCs w:val="24"/>
                <w:highlight w:val="none"/>
              </w:rPr>
            </w:pPr>
          </w:p>
        </w:tc>
      </w:tr>
      <w:tr w14:paraId="52E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vAlign w:val="center"/>
          </w:tcPr>
          <w:p w14:paraId="09656967">
            <w:pPr>
              <w:keepNext/>
              <w:keepLines/>
              <w:rPr>
                <w:rFonts w:hint="eastAsia" w:ascii="宋体" w:hAnsi="宋体" w:eastAsia="宋体" w:cs="宋体"/>
                <w:color w:val="auto"/>
                <w:sz w:val="24"/>
                <w:szCs w:val="24"/>
                <w:highlight w:val="none"/>
              </w:rPr>
            </w:pPr>
          </w:p>
        </w:tc>
        <w:tc>
          <w:tcPr>
            <w:tcW w:w="3316" w:type="dxa"/>
            <w:vAlign w:val="center"/>
          </w:tcPr>
          <w:p w14:paraId="32C69491">
            <w:pPr>
              <w:keepNext/>
              <w:keepLines/>
              <w:rPr>
                <w:rFonts w:hint="eastAsia" w:ascii="宋体" w:hAnsi="宋体" w:eastAsia="宋体" w:cs="宋体"/>
                <w:color w:val="auto"/>
                <w:sz w:val="24"/>
                <w:szCs w:val="24"/>
                <w:highlight w:val="none"/>
              </w:rPr>
            </w:pPr>
          </w:p>
        </w:tc>
        <w:tc>
          <w:tcPr>
            <w:tcW w:w="2280" w:type="dxa"/>
            <w:vAlign w:val="center"/>
          </w:tcPr>
          <w:p w14:paraId="35DD6502">
            <w:pPr>
              <w:keepNext/>
              <w:keepLines/>
              <w:rPr>
                <w:rFonts w:hint="eastAsia" w:ascii="宋体" w:hAnsi="宋体" w:eastAsia="宋体" w:cs="宋体"/>
                <w:color w:val="auto"/>
                <w:sz w:val="24"/>
                <w:szCs w:val="24"/>
                <w:highlight w:val="none"/>
              </w:rPr>
            </w:pPr>
          </w:p>
        </w:tc>
        <w:tc>
          <w:tcPr>
            <w:tcW w:w="2281" w:type="dxa"/>
            <w:vAlign w:val="center"/>
          </w:tcPr>
          <w:p w14:paraId="5C366A16">
            <w:pPr>
              <w:keepNext/>
              <w:keepLines/>
              <w:rPr>
                <w:rFonts w:hint="eastAsia" w:ascii="宋体" w:hAnsi="宋体" w:eastAsia="宋体" w:cs="宋体"/>
                <w:color w:val="auto"/>
                <w:sz w:val="24"/>
                <w:szCs w:val="24"/>
                <w:highlight w:val="none"/>
              </w:rPr>
            </w:pPr>
          </w:p>
        </w:tc>
      </w:tr>
    </w:tbl>
    <w:p w14:paraId="46242FD2">
      <w:pPr>
        <w:outlineLvl w:val="9"/>
        <w:rPr>
          <w:rFonts w:hint="eastAsia" w:ascii="宋体" w:hAnsi="宋体" w:eastAsia="宋体" w:cs="宋体"/>
          <w:color w:val="auto"/>
          <w:sz w:val="28"/>
          <w:szCs w:val="28"/>
          <w:highlight w:val="none"/>
        </w:rPr>
      </w:pPr>
    </w:p>
    <w:p w14:paraId="13681604">
      <w:pPr>
        <w:rPr>
          <w:rFonts w:hint="eastAsia" w:ascii="宋体" w:hAnsi="宋体" w:eastAsia="宋体" w:cs="宋体"/>
          <w:color w:val="auto"/>
          <w:sz w:val="28"/>
          <w:szCs w:val="28"/>
          <w:highlight w:val="none"/>
        </w:rPr>
      </w:pPr>
    </w:p>
    <w:p w14:paraId="6C402B17">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314BA3D3">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51081197">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A7643F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27DA9B5">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2、附表</w:t>
      </w:r>
    </w:p>
    <w:tbl>
      <w:tblPr>
        <w:tblStyle w:val="2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147"/>
      </w:tblGrid>
      <w:tr w14:paraId="63B3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388CD5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47" w:type="dxa"/>
            <w:vAlign w:val="center"/>
          </w:tcPr>
          <w:p w14:paraId="4F9741DA">
            <w:pPr>
              <w:jc w:val="left"/>
              <w:rPr>
                <w:rFonts w:hint="eastAsia" w:ascii="宋体" w:hAnsi="宋体" w:eastAsia="宋体" w:cs="宋体"/>
                <w:color w:val="auto"/>
                <w:sz w:val="24"/>
                <w:szCs w:val="24"/>
                <w:highlight w:val="none"/>
              </w:rPr>
            </w:pPr>
          </w:p>
        </w:tc>
      </w:tr>
      <w:tr w14:paraId="2CDD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685064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147" w:type="dxa"/>
            <w:vAlign w:val="center"/>
          </w:tcPr>
          <w:p w14:paraId="7D3CAFEF">
            <w:pPr>
              <w:jc w:val="left"/>
              <w:rPr>
                <w:rFonts w:hint="eastAsia" w:ascii="宋体" w:hAnsi="宋体" w:eastAsia="宋体" w:cs="宋体"/>
                <w:color w:val="auto"/>
                <w:sz w:val="24"/>
                <w:szCs w:val="24"/>
                <w:highlight w:val="none"/>
              </w:rPr>
            </w:pPr>
          </w:p>
        </w:tc>
      </w:tr>
      <w:tr w14:paraId="1C7E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1C183D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名称</w:t>
            </w:r>
          </w:p>
        </w:tc>
        <w:tc>
          <w:tcPr>
            <w:tcW w:w="6147" w:type="dxa"/>
            <w:vAlign w:val="center"/>
          </w:tcPr>
          <w:p w14:paraId="738E2BD3">
            <w:pPr>
              <w:jc w:val="left"/>
              <w:rPr>
                <w:rFonts w:hint="eastAsia" w:ascii="宋体" w:hAnsi="宋体" w:eastAsia="宋体" w:cs="宋体"/>
                <w:color w:val="auto"/>
                <w:sz w:val="24"/>
                <w:szCs w:val="24"/>
                <w:highlight w:val="none"/>
              </w:rPr>
            </w:pPr>
          </w:p>
        </w:tc>
      </w:tr>
      <w:tr w14:paraId="0107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0D0805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地址</w:t>
            </w:r>
          </w:p>
        </w:tc>
        <w:tc>
          <w:tcPr>
            <w:tcW w:w="6147" w:type="dxa"/>
            <w:vAlign w:val="center"/>
          </w:tcPr>
          <w:p w14:paraId="45102F7E">
            <w:pPr>
              <w:jc w:val="left"/>
              <w:rPr>
                <w:rFonts w:hint="eastAsia" w:ascii="宋体" w:hAnsi="宋体" w:eastAsia="宋体" w:cs="宋体"/>
                <w:color w:val="auto"/>
                <w:sz w:val="24"/>
                <w:szCs w:val="24"/>
                <w:highlight w:val="none"/>
              </w:rPr>
            </w:pPr>
          </w:p>
        </w:tc>
      </w:tr>
      <w:tr w14:paraId="5CA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009E3B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联系电话</w:t>
            </w:r>
          </w:p>
        </w:tc>
        <w:tc>
          <w:tcPr>
            <w:tcW w:w="6147" w:type="dxa"/>
            <w:vAlign w:val="center"/>
          </w:tcPr>
          <w:p w14:paraId="7008A023">
            <w:pPr>
              <w:jc w:val="left"/>
              <w:rPr>
                <w:rFonts w:hint="eastAsia" w:ascii="宋体" w:hAnsi="宋体" w:eastAsia="宋体" w:cs="宋体"/>
                <w:color w:val="auto"/>
                <w:sz w:val="24"/>
                <w:szCs w:val="24"/>
                <w:highlight w:val="none"/>
              </w:rPr>
            </w:pPr>
          </w:p>
        </w:tc>
      </w:tr>
      <w:tr w14:paraId="6FE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3D475E3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金额</w:t>
            </w:r>
          </w:p>
        </w:tc>
        <w:tc>
          <w:tcPr>
            <w:tcW w:w="6147" w:type="dxa"/>
            <w:vAlign w:val="center"/>
          </w:tcPr>
          <w:p w14:paraId="1EE06F2D">
            <w:pPr>
              <w:jc w:val="left"/>
              <w:rPr>
                <w:rFonts w:hint="eastAsia" w:ascii="宋体" w:hAnsi="宋体" w:eastAsia="宋体" w:cs="宋体"/>
                <w:color w:val="auto"/>
                <w:sz w:val="24"/>
                <w:szCs w:val="24"/>
                <w:highlight w:val="none"/>
              </w:rPr>
            </w:pPr>
          </w:p>
        </w:tc>
      </w:tr>
      <w:tr w14:paraId="1EAE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33BF90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项目完成时间</w:t>
            </w:r>
          </w:p>
        </w:tc>
        <w:tc>
          <w:tcPr>
            <w:tcW w:w="6147" w:type="dxa"/>
            <w:vAlign w:val="center"/>
          </w:tcPr>
          <w:p w14:paraId="48AE5DE5">
            <w:pPr>
              <w:jc w:val="left"/>
              <w:rPr>
                <w:rFonts w:hint="eastAsia" w:ascii="宋体" w:hAnsi="宋体" w:eastAsia="宋体" w:cs="宋体"/>
                <w:color w:val="auto"/>
                <w:sz w:val="24"/>
                <w:szCs w:val="24"/>
                <w:highlight w:val="none"/>
              </w:rPr>
            </w:pPr>
          </w:p>
        </w:tc>
      </w:tr>
      <w:tr w14:paraId="7076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2" w:type="dxa"/>
            <w:vAlign w:val="center"/>
          </w:tcPr>
          <w:p w14:paraId="0748C0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147" w:type="dxa"/>
            <w:vAlign w:val="center"/>
          </w:tcPr>
          <w:p w14:paraId="228FA1B0">
            <w:pPr>
              <w:jc w:val="left"/>
              <w:rPr>
                <w:rFonts w:hint="eastAsia" w:ascii="宋体" w:hAnsi="宋体" w:eastAsia="宋体" w:cs="宋体"/>
                <w:color w:val="auto"/>
                <w:sz w:val="24"/>
                <w:szCs w:val="24"/>
                <w:highlight w:val="none"/>
              </w:rPr>
            </w:pPr>
          </w:p>
        </w:tc>
      </w:tr>
      <w:tr w14:paraId="7A90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2432" w:type="dxa"/>
            <w:vAlign w:val="center"/>
          </w:tcPr>
          <w:p w14:paraId="4DE5E77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147" w:type="dxa"/>
            <w:vAlign w:val="center"/>
          </w:tcPr>
          <w:p w14:paraId="04E4BB58">
            <w:pPr>
              <w:jc w:val="left"/>
              <w:rPr>
                <w:rFonts w:hint="eastAsia" w:ascii="宋体" w:hAnsi="宋体" w:eastAsia="宋体" w:cs="宋体"/>
                <w:color w:val="auto"/>
                <w:sz w:val="24"/>
                <w:szCs w:val="24"/>
                <w:highlight w:val="none"/>
              </w:rPr>
            </w:pPr>
          </w:p>
        </w:tc>
      </w:tr>
      <w:tr w14:paraId="0D3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32" w:type="dxa"/>
            <w:vAlign w:val="center"/>
          </w:tcPr>
          <w:p w14:paraId="4F28F5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147" w:type="dxa"/>
            <w:vAlign w:val="center"/>
          </w:tcPr>
          <w:p w14:paraId="0CD8192F">
            <w:pPr>
              <w:jc w:val="left"/>
              <w:rPr>
                <w:rFonts w:hint="eastAsia" w:ascii="宋体" w:hAnsi="宋体" w:eastAsia="宋体" w:cs="宋体"/>
                <w:color w:val="auto"/>
                <w:sz w:val="24"/>
                <w:szCs w:val="24"/>
                <w:highlight w:val="none"/>
              </w:rPr>
            </w:pPr>
          </w:p>
        </w:tc>
      </w:tr>
    </w:tbl>
    <w:p w14:paraId="563BD233">
      <w:pPr>
        <w:jc w:val="left"/>
        <w:rPr>
          <w:rFonts w:hint="eastAsia" w:ascii="宋体" w:hAnsi="宋体" w:eastAsia="宋体" w:cs="宋体"/>
          <w:color w:val="auto"/>
          <w:sz w:val="22"/>
          <w:szCs w:val="22"/>
          <w:highlight w:val="none"/>
        </w:rPr>
      </w:pPr>
    </w:p>
    <w:p w14:paraId="79A3EB6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注：1、本表可复制，一个业绩附一张表。</w:t>
      </w:r>
    </w:p>
    <w:p w14:paraId="3D4F5EF9">
      <w:pPr>
        <w:ind w:firstLine="480" w:firstLineChars="200"/>
        <w:jc w:val="left"/>
        <w:rPr>
          <w:rFonts w:hint="eastAsia" w:ascii="宋体" w:hAnsi="宋体" w:eastAsia="宋体" w:cs="宋体"/>
          <w:color w:val="auto"/>
          <w:sz w:val="24"/>
          <w:szCs w:val="24"/>
          <w:highlight w:val="none"/>
        </w:rPr>
        <w:sectPr>
          <w:pgSz w:w="11906" w:h="16838"/>
          <w:pgMar w:top="1440" w:right="1800" w:bottom="1440" w:left="1800" w:header="850" w:footer="992" w:gutter="0"/>
          <w:pgNumType w:fmt="decimal"/>
          <w:cols w:space="0" w:num="1"/>
          <w:rtlGutter w:val="0"/>
          <w:docGrid w:type="lines" w:linePitch="326" w:charSpace="0"/>
        </w:sectPr>
      </w:pPr>
      <w:r>
        <w:rPr>
          <w:rFonts w:hint="eastAsia" w:ascii="宋体" w:hAnsi="宋体" w:eastAsia="宋体" w:cs="宋体"/>
          <w:color w:val="auto"/>
          <w:sz w:val="24"/>
          <w:szCs w:val="24"/>
          <w:highlight w:val="none"/>
        </w:rPr>
        <w:t>2、附合同复印件。</w:t>
      </w:r>
    </w:p>
    <w:p w14:paraId="65D7A594">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bookmarkStart w:id="127" w:name="_Toc11482"/>
      <w:r>
        <w:rPr>
          <w:rFonts w:hint="eastAsia" w:ascii="宋体" w:hAnsi="宋体" w:eastAsia="宋体" w:cs="宋体"/>
          <w:b/>
          <w:bCs/>
          <w:color w:val="auto"/>
          <w:sz w:val="32"/>
          <w:szCs w:val="32"/>
          <w:highlight w:val="none"/>
          <w:lang w:val="en-US" w:eastAsia="zh-CN"/>
        </w:rPr>
        <w:t>项目实施</w:t>
      </w:r>
      <w:r>
        <w:rPr>
          <w:rFonts w:hint="eastAsia" w:ascii="宋体" w:hAnsi="宋体" w:eastAsia="宋体" w:cs="宋体"/>
          <w:b/>
          <w:bCs/>
          <w:color w:val="auto"/>
          <w:sz w:val="32"/>
          <w:szCs w:val="32"/>
          <w:highlight w:val="none"/>
        </w:rPr>
        <w:t>方案</w:t>
      </w:r>
      <w:bookmarkEnd w:id="127"/>
    </w:p>
    <w:p w14:paraId="1389DD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AE4A9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E0DF5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6681A2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200025</wp:posOffset>
                </wp:positionV>
                <wp:extent cx="526161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616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5pt;margin-top:15.75pt;height:0.05pt;width:414.3pt;z-index:251659264;mso-width-relative:page;mso-height-relative:page;" filled="f" stroked="t" coordsize="21600,21600" o:gfxdata="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gPMEjXAAAACAEAAA8AAAAAAAAAAQAgAAAAIgAAAGRycy9kb3ducmV2LnhtbFBLAQIUABQA&#10;AAAIAIdO4kDgb7F28QEAAOgDAAAOAAAAAAAAAAEAIAAAACYBAABkcnMvZTJvRG9jLnhtbFBLBQYA&#10;AAAABgAGAFkBAACJBQAAAAA=&#10;">
                <v:fill on="f" focussize="0,0"/>
                <v:stroke color="#000000" joinstyle="round"/>
                <v:imagedata o:title=""/>
                <o:lock v:ext="edit" aspectratio="f"/>
              </v:line>
            </w:pict>
          </mc:Fallback>
        </mc:AlternateContent>
      </w:r>
    </w:p>
    <w:p w14:paraId="116EA0E5">
      <w:pP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格式自拟。供应商可结合第三章《磋商要求及说明》相关要求及第五章《评审指标分值构成》中各评审要素编制方案。</w:t>
      </w:r>
    </w:p>
    <w:p w14:paraId="6EB7C85C">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1"/>
          <w:szCs w:val="21"/>
          <w:highlight w:val="none"/>
        </w:rPr>
        <w:sectPr>
          <w:pgSz w:w="11906" w:h="16838"/>
          <w:pgMar w:top="1440" w:right="1800" w:bottom="1440" w:left="1800" w:header="850" w:footer="992" w:gutter="0"/>
          <w:pgNumType w:fmt="decimal"/>
          <w:cols w:space="0" w:num="1"/>
          <w:rtlGutter w:val="0"/>
          <w:docGrid w:type="lines" w:linePitch="326" w:charSpace="0"/>
        </w:sectPr>
      </w:pPr>
    </w:p>
    <w:p w14:paraId="59077574">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1.拟派项目负责人简历表</w:t>
      </w:r>
    </w:p>
    <w:tbl>
      <w:tblPr>
        <w:tblStyle w:val="28"/>
        <w:tblW w:w="9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547DB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1746" w:type="dxa"/>
            <w:noWrap w:val="0"/>
            <w:vAlign w:val="center"/>
          </w:tcPr>
          <w:p w14:paraId="339E216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姓  名</w:t>
            </w:r>
          </w:p>
        </w:tc>
        <w:tc>
          <w:tcPr>
            <w:tcW w:w="1703" w:type="dxa"/>
            <w:noWrap w:val="0"/>
            <w:vAlign w:val="center"/>
          </w:tcPr>
          <w:p w14:paraId="5826BF4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c>
          <w:tcPr>
            <w:tcW w:w="970" w:type="dxa"/>
            <w:noWrap w:val="0"/>
            <w:vAlign w:val="center"/>
          </w:tcPr>
          <w:p w14:paraId="663C400B">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性别</w:t>
            </w:r>
          </w:p>
        </w:tc>
        <w:tc>
          <w:tcPr>
            <w:tcW w:w="2156" w:type="dxa"/>
            <w:gridSpan w:val="2"/>
            <w:tcBorders>
              <w:bottom w:val="single" w:color="auto" w:sz="4" w:space="0"/>
            </w:tcBorders>
            <w:noWrap w:val="0"/>
            <w:vAlign w:val="center"/>
          </w:tcPr>
          <w:p w14:paraId="58B6911B">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c>
          <w:tcPr>
            <w:tcW w:w="1293" w:type="dxa"/>
            <w:tcBorders>
              <w:bottom w:val="single" w:color="auto" w:sz="4" w:space="0"/>
            </w:tcBorders>
            <w:noWrap w:val="0"/>
            <w:vAlign w:val="center"/>
          </w:tcPr>
          <w:p w14:paraId="01998EF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年龄</w:t>
            </w:r>
          </w:p>
        </w:tc>
        <w:tc>
          <w:tcPr>
            <w:tcW w:w="1370" w:type="dxa"/>
            <w:tcBorders>
              <w:bottom w:val="single" w:color="auto" w:sz="4" w:space="0"/>
            </w:tcBorders>
            <w:noWrap w:val="0"/>
            <w:vAlign w:val="center"/>
          </w:tcPr>
          <w:p w14:paraId="403972AB">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75616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1746" w:type="dxa"/>
            <w:noWrap w:val="0"/>
            <w:vAlign w:val="center"/>
          </w:tcPr>
          <w:p w14:paraId="08D20A3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职 称</w:t>
            </w:r>
          </w:p>
        </w:tc>
        <w:tc>
          <w:tcPr>
            <w:tcW w:w="1703" w:type="dxa"/>
            <w:noWrap w:val="0"/>
            <w:vAlign w:val="center"/>
          </w:tcPr>
          <w:p w14:paraId="68945E33">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c>
          <w:tcPr>
            <w:tcW w:w="970" w:type="dxa"/>
            <w:noWrap w:val="0"/>
            <w:vAlign w:val="center"/>
          </w:tcPr>
          <w:p w14:paraId="286C7919">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学历</w:t>
            </w:r>
          </w:p>
        </w:tc>
        <w:tc>
          <w:tcPr>
            <w:tcW w:w="2156" w:type="dxa"/>
            <w:gridSpan w:val="2"/>
            <w:tcBorders>
              <w:bottom w:val="single" w:color="auto" w:sz="4" w:space="0"/>
            </w:tcBorders>
            <w:noWrap w:val="0"/>
            <w:vAlign w:val="center"/>
          </w:tcPr>
          <w:p w14:paraId="65061CA5">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c>
          <w:tcPr>
            <w:tcW w:w="1293" w:type="dxa"/>
            <w:tcBorders>
              <w:bottom w:val="single" w:color="auto" w:sz="4" w:space="0"/>
            </w:tcBorders>
            <w:noWrap w:val="0"/>
            <w:vAlign w:val="center"/>
          </w:tcPr>
          <w:p w14:paraId="671A133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毕业时间</w:t>
            </w:r>
          </w:p>
        </w:tc>
        <w:tc>
          <w:tcPr>
            <w:tcW w:w="1370" w:type="dxa"/>
            <w:tcBorders>
              <w:bottom w:val="single" w:color="auto" w:sz="4" w:space="0"/>
            </w:tcBorders>
            <w:noWrap w:val="0"/>
            <w:vAlign w:val="center"/>
          </w:tcPr>
          <w:p w14:paraId="3A33178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41C08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1746" w:type="dxa"/>
            <w:noWrap w:val="0"/>
            <w:vAlign w:val="center"/>
          </w:tcPr>
          <w:p w14:paraId="1BA6838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毕业院校</w:t>
            </w:r>
          </w:p>
        </w:tc>
        <w:tc>
          <w:tcPr>
            <w:tcW w:w="2673" w:type="dxa"/>
            <w:gridSpan w:val="2"/>
            <w:noWrap w:val="0"/>
            <w:vAlign w:val="center"/>
          </w:tcPr>
          <w:p w14:paraId="70F6478A">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spacing w:val="-3"/>
                <w:kern w:val="0"/>
                <w:sz w:val="24"/>
                <w:szCs w:val="24"/>
                <w:highlight w:val="none"/>
              </w:rPr>
            </w:pPr>
          </w:p>
        </w:tc>
        <w:tc>
          <w:tcPr>
            <w:tcW w:w="2156" w:type="dxa"/>
            <w:gridSpan w:val="2"/>
            <w:noWrap w:val="0"/>
            <w:vAlign w:val="center"/>
          </w:tcPr>
          <w:p w14:paraId="55E2B0A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所学专业</w:t>
            </w:r>
          </w:p>
        </w:tc>
        <w:tc>
          <w:tcPr>
            <w:tcW w:w="2663" w:type="dxa"/>
            <w:gridSpan w:val="2"/>
            <w:noWrap w:val="0"/>
            <w:vAlign w:val="center"/>
          </w:tcPr>
          <w:p w14:paraId="65B8676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7335C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746" w:type="dxa"/>
            <w:noWrap w:val="0"/>
            <w:vAlign w:val="center"/>
          </w:tcPr>
          <w:p w14:paraId="7CB5E9D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专业工作年限</w:t>
            </w:r>
          </w:p>
        </w:tc>
        <w:tc>
          <w:tcPr>
            <w:tcW w:w="2673" w:type="dxa"/>
            <w:gridSpan w:val="2"/>
            <w:noWrap w:val="0"/>
            <w:vAlign w:val="center"/>
          </w:tcPr>
          <w:p w14:paraId="025E2A5D">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c>
          <w:tcPr>
            <w:tcW w:w="2156" w:type="dxa"/>
            <w:gridSpan w:val="2"/>
            <w:noWrap w:val="0"/>
            <w:vAlign w:val="center"/>
          </w:tcPr>
          <w:p w14:paraId="01CD228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从事项目经理年限</w:t>
            </w:r>
          </w:p>
        </w:tc>
        <w:tc>
          <w:tcPr>
            <w:tcW w:w="2663" w:type="dxa"/>
            <w:gridSpan w:val="2"/>
            <w:noWrap w:val="0"/>
            <w:vAlign w:val="center"/>
          </w:tcPr>
          <w:p w14:paraId="28F79DB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4FF30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69868D5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z w:val="24"/>
                <w:szCs w:val="24"/>
                <w:highlight w:val="none"/>
              </w:rPr>
              <w:t>注册执业资格</w:t>
            </w:r>
          </w:p>
        </w:tc>
        <w:tc>
          <w:tcPr>
            <w:tcW w:w="4819" w:type="dxa"/>
            <w:gridSpan w:val="4"/>
            <w:noWrap w:val="0"/>
            <w:vAlign w:val="center"/>
          </w:tcPr>
          <w:p w14:paraId="37E60CD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7CE01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23255DA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担任的职务及责任</w:t>
            </w:r>
          </w:p>
        </w:tc>
        <w:tc>
          <w:tcPr>
            <w:tcW w:w="4819" w:type="dxa"/>
            <w:gridSpan w:val="4"/>
            <w:noWrap w:val="0"/>
            <w:vAlign w:val="center"/>
          </w:tcPr>
          <w:p w14:paraId="388D85F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p>
        </w:tc>
      </w:tr>
      <w:tr w14:paraId="29568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9238" w:type="dxa"/>
            <w:gridSpan w:val="7"/>
            <w:noWrap w:val="0"/>
            <w:vAlign w:val="center"/>
          </w:tcPr>
          <w:p w14:paraId="76E3227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主要工作经历及业绩：</w:t>
            </w:r>
          </w:p>
        </w:tc>
      </w:tr>
      <w:tr w14:paraId="4D54B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4A402FB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参加过的类似项目名称</w:t>
            </w:r>
          </w:p>
        </w:tc>
        <w:tc>
          <w:tcPr>
            <w:tcW w:w="1692" w:type="dxa"/>
            <w:noWrap w:val="0"/>
            <w:vAlign w:val="center"/>
          </w:tcPr>
          <w:p w14:paraId="75B3256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担任职务</w:t>
            </w:r>
          </w:p>
        </w:tc>
        <w:tc>
          <w:tcPr>
            <w:tcW w:w="3127" w:type="dxa"/>
            <w:gridSpan w:val="3"/>
            <w:noWrap w:val="0"/>
            <w:vAlign w:val="center"/>
          </w:tcPr>
          <w:p w14:paraId="510D6AA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3"/>
                <w:kern w:val="0"/>
                <w:sz w:val="24"/>
                <w:szCs w:val="24"/>
                <w:highlight w:val="none"/>
              </w:rPr>
            </w:pPr>
            <w:r>
              <w:rPr>
                <w:rFonts w:hint="eastAsia" w:ascii="宋体" w:hAnsi="宋体" w:eastAsia="宋体" w:cs="宋体"/>
                <w:color w:val="auto"/>
                <w:spacing w:val="-3"/>
                <w:kern w:val="0"/>
                <w:sz w:val="24"/>
                <w:szCs w:val="24"/>
                <w:highlight w:val="none"/>
              </w:rPr>
              <w:t>联系电话</w:t>
            </w:r>
          </w:p>
        </w:tc>
      </w:tr>
      <w:tr w14:paraId="2AED0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1E7E1F5F">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6E7215C8">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1CBC9532">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3FDF6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2EF6567F">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4154F68E">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0FEF3993">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7FAC7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00C1EBC1">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2273AF66">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28DFE1FD">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1A406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577C87E4">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77CE3657">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7983CEF5">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2E630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0356E67A">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62847B8D">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202EA5FB">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4F591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19" w:type="dxa"/>
            <w:gridSpan w:val="3"/>
            <w:noWrap w:val="0"/>
            <w:vAlign w:val="center"/>
          </w:tcPr>
          <w:p w14:paraId="3BE0F0FB">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561F2A7C">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0176EDFD">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r w14:paraId="54E79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4419" w:type="dxa"/>
            <w:gridSpan w:val="3"/>
            <w:noWrap w:val="0"/>
            <w:vAlign w:val="center"/>
          </w:tcPr>
          <w:p w14:paraId="537510E7">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1692" w:type="dxa"/>
            <w:noWrap w:val="0"/>
            <w:vAlign w:val="center"/>
          </w:tcPr>
          <w:p w14:paraId="49BDDCC2">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c>
          <w:tcPr>
            <w:tcW w:w="3127" w:type="dxa"/>
            <w:gridSpan w:val="3"/>
            <w:noWrap w:val="0"/>
            <w:vAlign w:val="center"/>
          </w:tcPr>
          <w:p w14:paraId="6D41A579">
            <w:pPr>
              <w:autoSpaceDE w:val="0"/>
              <w:autoSpaceDN w:val="0"/>
              <w:adjustRightInd w:val="0"/>
              <w:snapToGrid w:val="0"/>
              <w:spacing w:line="360" w:lineRule="auto"/>
              <w:jc w:val="center"/>
              <w:rPr>
                <w:rFonts w:hint="eastAsia" w:ascii="宋体" w:hAnsi="宋体" w:eastAsia="宋体" w:cs="宋体"/>
                <w:color w:val="auto"/>
                <w:spacing w:val="-3"/>
                <w:kern w:val="0"/>
                <w:sz w:val="24"/>
                <w:szCs w:val="24"/>
                <w:highlight w:val="none"/>
              </w:rPr>
            </w:pPr>
          </w:p>
        </w:tc>
      </w:tr>
    </w:tbl>
    <w:p w14:paraId="7ED0E1B6">
      <w:pPr>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注：本表</w:t>
      </w:r>
      <w:r>
        <w:rPr>
          <w:rFonts w:hint="eastAsia" w:ascii="宋体" w:hAnsi="宋体" w:eastAsia="宋体" w:cs="宋体"/>
          <w:b/>
          <w:bCs/>
          <w:color w:val="auto"/>
          <w:sz w:val="24"/>
          <w:szCs w:val="24"/>
          <w:highlight w:val="none"/>
          <w:lang w:val="en-US" w:eastAsia="zh-CN"/>
        </w:rPr>
        <w:t>后附</w:t>
      </w:r>
      <w:r>
        <w:rPr>
          <w:rFonts w:hint="eastAsia" w:ascii="宋体" w:hAnsi="宋体" w:eastAsia="宋体" w:cs="宋体"/>
          <w:b/>
          <w:bCs/>
          <w:color w:val="auto"/>
          <w:sz w:val="24"/>
          <w:szCs w:val="24"/>
          <w:highlight w:val="none"/>
        </w:rPr>
        <w:t>身份证、学历证、</w:t>
      </w:r>
      <w:r>
        <w:rPr>
          <w:rFonts w:hint="eastAsia" w:ascii="宋体" w:hAnsi="宋体" w:cs="宋体"/>
          <w:b/>
          <w:color w:val="auto"/>
          <w:sz w:val="24"/>
          <w:szCs w:val="24"/>
          <w:highlight w:val="none"/>
          <w:lang w:val="en-US" w:eastAsia="zh-CN"/>
        </w:rPr>
        <w:t>相关</w:t>
      </w:r>
      <w:r>
        <w:rPr>
          <w:rFonts w:hint="eastAsia" w:ascii="宋体" w:hAnsi="宋体" w:eastAsia="宋体" w:cs="宋体"/>
          <w:b/>
          <w:bCs/>
          <w:color w:val="auto"/>
          <w:sz w:val="24"/>
          <w:szCs w:val="24"/>
          <w:highlight w:val="none"/>
        </w:rPr>
        <w:t>证书复印件并加盖公章。</w:t>
      </w:r>
    </w:p>
    <w:p w14:paraId="4830A0F2">
      <w:pPr>
        <w:spacing w:line="480" w:lineRule="auto"/>
        <w:ind w:firstLine="3360" w:firstLineChars="1400"/>
        <w:rPr>
          <w:rFonts w:hint="eastAsia" w:ascii="宋体" w:hAnsi="宋体" w:eastAsia="宋体" w:cs="宋体"/>
          <w:color w:val="auto"/>
          <w:sz w:val="24"/>
          <w:szCs w:val="24"/>
          <w:highlight w:val="none"/>
        </w:rPr>
      </w:pPr>
    </w:p>
    <w:p w14:paraId="0824BA79">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303D2CF8">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30FBC5A9">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5518B2">
      <w:pP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br w:type="page"/>
      </w:r>
    </w:p>
    <w:p w14:paraId="6027D3B4">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2.拟派项目组人员一览表</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30"/>
        <w:gridCol w:w="918"/>
        <w:gridCol w:w="1317"/>
        <w:gridCol w:w="1050"/>
        <w:gridCol w:w="1575"/>
        <w:gridCol w:w="2193"/>
      </w:tblGrid>
      <w:tr w14:paraId="32BD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noWrap w:val="0"/>
            <w:vAlign w:val="center"/>
          </w:tcPr>
          <w:p w14:paraId="491223EA">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0" w:type="dxa"/>
            <w:noWrap w:val="0"/>
            <w:vAlign w:val="center"/>
          </w:tcPr>
          <w:p w14:paraId="2FE01791">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18" w:type="dxa"/>
            <w:noWrap w:val="0"/>
            <w:vAlign w:val="center"/>
          </w:tcPr>
          <w:p w14:paraId="4ED9574A">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317" w:type="dxa"/>
            <w:noWrap w:val="0"/>
            <w:vAlign w:val="center"/>
          </w:tcPr>
          <w:p w14:paraId="1E72DA4F">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050" w:type="dxa"/>
            <w:noWrap w:val="0"/>
            <w:vAlign w:val="center"/>
          </w:tcPr>
          <w:p w14:paraId="7FD8A224">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575" w:type="dxa"/>
            <w:noWrap w:val="0"/>
            <w:vAlign w:val="center"/>
          </w:tcPr>
          <w:p w14:paraId="4C046571">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职称或资格证书</w:t>
            </w:r>
          </w:p>
        </w:tc>
        <w:tc>
          <w:tcPr>
            <w:tcW w:w="2193" w:type="dxa"/>
            <w:noWrap w:val="0"/>
            <w:vAlign w:val="center"/>
          </w:tcPr>
          <w:p w14:paraId="71B29F0B">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拟在本项目中担任的工作</w:t>
            </w:r>
          </w:p>
        </w:tc>
      </w:tr>
      <w:tr w14:paraId="67FC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168A31B2">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68488367">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44646133">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2042D665">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782E238E">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753E25CA">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16BD793F">
            <w:pPr>
              <w:tabs>
                <w:tab w:val="left" w:pos="0"/>
              </w:tabs>
              <w:spacing w:line="360" w:lineRule="auto"/>
              <w:rPr>
                <w:rFonts w:hint="eastAsia" w:ascii="宋体" w:hAnsi="宋体" w:eastAsia="宋体" w:cs="宋体"/>
                <w:color w:val="auto"/>
                <w:sz w:val="24"/>
                <w:szCs w:val="24"/>
                <w:highlight w:val="none"/>
              </w:rPr>
            </w:pPr>
          </w:p>
        </w:tc>
      </w:tr>
      <w:tr w14:paraId="6060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55792405">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08274A7C">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0577E77E">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29E63065">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75F9B204">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756298E5">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4B62F639">
            <w:pPr>
              <w:tabs>
                <w:tab w:val="left" w:pos="0"/>
              </w:tabs>
              <w:spacing w:line="360" w:lineRule="auto"/>
              <w:rPr>
                <w:rFonts w:hint="eastAsia" w:ascii="宋体" w:hAnsi="宋体" w:eastAsia="宋体" w:cs="宋体"/>
                <w:color w:val="auto"/>
                <w:sz w:val="24"/>
                <w:szCs w:val="24"/>
                <w:highlight w:val="none"/>
              </w:rPr>
            </w:pPr>
          </w:p>
        </w:tc>
      </w:tr>
      <w:tr w14:paraId="0CD2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4B9C2E2F">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0FFEA26C">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624EA302">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50CFE01C">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770D6562">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1FF4578B">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1BBC0CAB">
            <w:pPr>
              <w:tabs>
                <w:tab w:val="left" w:pos="0"/>
              </w:tabs>
              <w:spacing w:line="360" w:lineRule="auto"/>
              <w:rPr>
                <w:rFonts w:hint="eastAsia" w:ascii="宋体" w:hAnsi="宋体" w:eastAsia="宋体" w:cs="宋体"/>
                <w:color w:val="auto"/>
                <w:sz w:val="24"/>
                <w:szCs w:val="24"/>
                <w:highlight w:val="none"/>
              </w:rPr>
            </w:pPr>
          </w:p>
        </w:tc>
      </w:tr>
      <w:tr w14:paraId="171B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7409DF3D">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6069D1B1">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05FB6E75">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124743F5">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2A5D7D99">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118111C5">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60E30C7D">
            <w:pPr>
              <w:tabs>
                <w:tab w:val="left" w:pos="0"/>
              </w:tabs>
              <w:spacing w:line="360" w:lineRule="auto"/>
              <w:rPr>
                <w:rFonts w:hint="eastAsia" w:ascii="宋体" w:hAnsi="宋体" w:eastAsia="宋体" w:cs="宋体"/>
                <w:color w:val="auto"/>
                <w:sz w:val="24"/>
                <w:szCs w:val="24"/>
                <w:highlight w:val="none"/>
              </w:rPr>
            </w:pPr>
          </w:p>
        </w:tc>
      </w:tr>
      <w:tr w14:paraId="0C9D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19876693">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7324F9E6">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74039E3C">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4ED10B3B">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56F204C8">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07B0118B">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714E838F">
            <w:pPr>
              <w:tabs>
                <w:tab w:val="left" w:pos="0"/>
              </w:tabs>
              <w:spacing w:line="360" w:lineRule="auto"/>
              <w:rPr>
                <w:rFonts w:hint="eastAsia" w:ascii="宋体" w:hAnsi="宋体" w:eastAsia="宋体" w:cs="宋体"/>
                <w:color w:val="auto"/>
                <w:sz w:val="24"/>
                <w:szCs w:val="24"/>
                <w:highlight w:val="none"/>
              </w:rPr>
            </w:pPr>
          </w:p>
        </w:tc>
      </w:tr>
      <w:tr w14:paraId="3C82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4F6DCBF5">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2E2AA58C">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1FC742D1">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48FF7498">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11857E2A">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1D676EED">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03125FFA">
            <w:pPr>
              <w:tabs>
                <w:tab w:val="left" w:pos="0"/>
              </w:tabs>
              <w:spacing w:line="360" w:lineRule="auto"/>
              <w:rPr>
                <w:rFonts w:hint="eastAsia" w:ascii="宋体" w:hAnsi="宋体" w:eastAsia="宋体" w:cs="宋体"/>
                <w:color w:val="auto"/>
                <w:sz w:val="24"/>
                <w:szCs w:val="24"/>
                <w:highlight w:val="none"/>
              </w:rPr>
            </w:pPr>
          </w:p>
        </w:tc>
      </w:tr>
      <w:tr w14:paraId="294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01D2FE06">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0DEDDDA6">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02361334">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0427F10F">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0C3AC129">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77F0241D">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7F245A6D">
            <w:pPr>
              <w:tabs>
                <w:tab w:val="left" w:pos="0"/>
              </w:tabs>
              <w:spacing w:line="360" w:lineRule="auto"/>
              <w:rPr>
                <w:rFonts w:hint="eastAsia" w:ascii="宋体" w:hAnsi="宋体" w:eastAsia="宋体" w:cs="宋体"/>
                <w:color w:val="auto"/>
                <w:sz w:val="24"/>
                <w:szCs w:val="24"/>
                <w:highlight w:val="none"/>
              </w:rPr>
            </w:pPr>
          </w:p>
        </w:tc>
      </w:tr>
      <w:tr w14:paraId="20B5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405B17B2">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798B1C05">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44A8EF90">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0B6FBC12">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4B6C91CB">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6C140064">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0B010358">
            <w:pPr>
              <w:tabs>
                <w:tab w:val="left" w:pos="0"/>
              </w:tabs>
              <w:spacing w:line="360" w:lineRule="auto"/>
              <w:rPr>
                <w:rFonts w:hint="eastAsia" w:ascii="宋体" w:hAnsi="宋体" w:eastAsia="宋体" w:cs="宋体"/>
                <w:color w:val="auto"/>
                <w:sz w:val="24"/>
                <w:szCs w:val="24"/>
                <w:highlight w:val="none"/>
              </w:rPr>
            </w:pPr>
          </w:p>
        </w:tc>
      </w:tr>
      <w:tr w14:paraId="1753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77CEE8C9">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401DF5A1">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2A32B0CF">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1C048188">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432F3FFA">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655A1D0E">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67B0585C">
            <w:pPr>
              <w:tabs>
                <w:tab w:val="left" w:pos="0"/>
              </w:tabs>
              <w:spacing w:line="360" w:lineRule="auto"/>
              <w:rPr>
                <w:rFonts w:hint="eastAsia" w:ascii="宋体" w:hAnsi="宋体" w:eastAsia="宋体" w:cs="宋体"/>
                <w:color w:val="auto"/>
                <w:sz w:val="24"/>
                <w:szCs w:val="24"/>
                <w:highlight w:val="none"/>
              </w:rPr>
            </w:pPr>
          </w:p>
        </w:tc>
      </w:tr>
      <w:tr w14:paraId="62EF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noWrap w:val="0"/>
            <w:vAlign w:val="top"/>
          </w:tcPr>
          <w:p w14:paraId="5E3CAD0C">
            <w:pPr>
              <w:tabs>
                <w:tab w:val="left" w:pos="0"/>
              </w:tabs>
              <w:spacing w:line="360" w:lineRule="auto"/>
              <w:rPr>
                <w:rFonts w:hint="eastAsia" w:ascii="宋体" w:hAnsi="宋体" w:eastAsia="宋体" w:cs="宋体"/>
                <w:color w:val="auto"/>
                <w:sz w:val="24"/>
                <w:szCs w:val="24"/>
                <w:highlight w:val="none"/>
              </w:rPr>
            </w:pPr>
          </w:p>
        </w:tc>
        <w:tc>
          <w:tcPr>
            <w:tcW w:w="1230" w:type="dxa"/>
            <w:noWrap w:val="0"/>
            <w:vAlign w:val="top"/>
          </w:tcPr>
          <w:p w14:paraId="6D1ED9AA">
            <w:pPr>
              <w:tabs>
                <w:tab w:val="left" w:pos="0"/>
              </w:tabs>
              <w:spacing w:line="360" w:lineRule="auto"/>
              <w:rPr>
                <w:rFonts w:hint="eastAsia" w:ascii="宋体" w:hAnsi="宋体" w:eastAsia="宋体" w:cs="宋体"/>
                <w:color w:val="auto"/>
                <w:sz w:val="24"/>
                <w:szCs w:val="24"/>
                <w:highlight w:val="none"/>
              </w:rPr>
            </w:pPr>
          </w:p>
        </w:tc>
        <w:tc>
          <w:tcPr>
            <w:tcW w:w="918" w:type="dxa"/>
            <w:noWrap w:val="0"/>
            <w:vAlign w:val="top"/>
          </w:tcPr>
          <w:p w14:paraId="1A878789">
            <w:pPr>
              <w:tabs>
                <w:tab w:val="left" w:pos="0"/>
              </w:tabs>
              <w:spacing w:line="360" w:lineRule="auto"/>
              <w:rPr>
                <w:rFonts w:hint="eastAsia" w:ascii="宋体" w:hAnsi="宋体" w:eastAsia="宋体" w:cs="宋体"/>
                <w:color w:val="auto"/>
                <w:sz w:val="24"/>
                <w:szCs w:val="24"/>
                <w:highlight w:val="none"/>
              </w:rPr>
            </w:pPr>
          </w:p>
        </w:tc>
        <w:tc>
          <w:tcPr>
            <w:tcW w:w="1317" w:type="dxa"/>
            <w:noWrap w:val="0"/>
            <w:vAlign w:val="top"/>
          </w:tcPr>
          <w:p w14:paraId="31630392">
            <w:pPr>
              <w:tabs>
                <w:tab w:val="left" w:pos="0"/>
              </w:tabs>
              <w:spacing w:line="360" w:lineRule="auto"/>
              <w:rPr>
                <w:rFonts w:hint="eastAsia" w:ascii="宋体" w:hAnsi="宋体" w:eastAsia="宋体" w:cs="宋体"/>
                <w:color w:val="auto"/>
                <w:sz w:val="24"/>
                <w:szCs w:val="24"/>
                <w:highlight w:val="none"/>
              </w:rPr>
            </w:pPr>
          </w:p>
        </w:tc>
        <w:tc>
          <w:tcPr>
            <w:tcW w:w="1050" w:type="dxa"/>
            <w:noWrap w:val="0"/>
            <w:vAlign w:val="top"/>
          </w:tcPr>
          <w:p w14:paraId="44CF0DF0">
            <w:pPr>
              <w:tabs>
                <w:tab w:val="left" w:pos="0"/>
              </w:tabs>
              <w:spacing w:line="360" w:lineRule="auto"/>
              <w:rPr>
                <w:rFonts w:hint="eastAsia" w:ascii="宋体" w:hAnsi="宋体" w:eastAsia="宋体" w:cs="宋体"/>
                <w:color w:val="auto"/>
                <w:sz w:val="24"/>
                <w:szCs w:val="24"/>
                <w:highlight w:val="none"/>
              </w:rPr>
            </w:pPr>
          </w:p>
        </w:tc>
        <w:tc>
          <w:tcPr>
            <w:tcW w:w="1575" w:type="dxa"/>
            <w:noWrap w:val="0"/>
            <w:vAlign w:val="top"/>
          </w:tcPr>
          <w:p w14:paraId="08029B66">
            <w:pPr>
              <w:tabs>
                <w:tab w:val="left" w:pos="0"/>
              </w:tabs>
              <w:spacing w:line="360" w:lineRule="auto"/>
              <w:rPr>
                <w:rFonts w:hint="eastAsia" w:ascii="宋体" w:hAnsi="宋体" w:eastAsia="宋体" w:cs="宋体"/>
                <w:color w:val="auto"/>
                <w:sz w:val="24"/>
                <w:szCs w:val="24"/>
                <w:highlight w:val="none"/>
              </w:rPr>
            </w:pPr>
          </w:p>
        </w:tc>
        <w:tc>
          <w:tcPr>
            <w:tcW w:w="2193" w:type="dxa"/>
            <w:noWrap w:val="0"/>
            <w:vAlign w:val="top"/>
          </w:tcPr>
          <w:p w14:paraId="211807A7">
            <w:pPr>
              <w:tabs>
                <w:tab w:val="left" w:pos="0"/>
              </w:tabs>
              <w:spacing w:line="360" w:lineRule="auto"/>
              <w:rPr>
                <w:rFonts w:hint="eastAsia" w:ascii="宋体" w:hAnsi="宋体" w:eastAsia="宋体" w:cs="宋体"/>
                <w:color w:val="auto"/>
                <w:sz w:val="24"/>
                <w:szCs w:val="24"/>
                <w:highlight w:val="none"/>
              </w:rPr>
            </w:pPr>
          </w:p>
        </w:tc>
      </w:tr>
    </w:tbl>
    <w:p w14:paraId="77D7DF2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本表</w:t>
      </w:r>
      <w:r>
        <w:rPr>
          <w:rFonts w:hint="eastAsia" w:ascii="宋体" w:hAnsi="宋体" w:eastAsia="宋体" w:cs="宋体"/>
          <w:b/>
          <w:color w:val="auto"/>
          <w:sz w:val="24"/>
          <w:szCs w:val="24"/>
          <w:highlight w:val="none"/>
        </w:rPr>
        <w:t>后附</w:t>
      </w:r>
      <w:r>
        <w:rPr>
          <w:rFonts w:hint="eastAsia" w:ascii="宋体" w:hAnsi="宋体" w:eastAsia="宋体" w:cs="宋体"/>
          <w:b/>
          <w:color w:val="auto"/>
          <w:sz w:val="24"/>
          <w:szCs w:val="24"/>
          <w:highlight w:val="none"/>
          <w:lang w:val="en-US" w:eastAsia="zh-CN"/>
        </w:rPr>
        <w:t>人员名单、</w:t>
      </w:r>
      <w:r>
        <w:rPr>
          <w:rFonts w:hint="eastAsia" w:ascii="宋体" w:hAnsi="宋体" w:eastAsia="宋体" w:cs="宋体"/>
          <w:b/>
          <w:color w:val="auto"/>
          <w:sz w:val="24"/>
          <w:szCs w:val="24"/>
          <w:highlight w:val="none"/>
        </w:rPr>
        <w:t>身份证、学历证、</w:t>
      </w:r>
      <w:r>
        <w:rPr>
          <w:rFonts w:hint="eastAsia" w:ascii="宋体" w:hAnsi="宋体" w:cs="宋体"/>
          <w:b/>
          <w:color w:val="auto"/>
          <w:sz w:val="24"/>
          <w:szCs w:val="24"/>
          <w:highlight w:val="none"/>
          <w:lang w:val="en-US" w:eastAsia="zh-CN"/>
        </w:rPr>
        <w:t>相关</w:t>
      </w:r>
      <w:r>
        <w:rPr>
          <w:rFonts w:hint="eastAsia" w:ascii="宋体" w:hAnsi="宋体" w:eastAsia="宋体" w:cs="宋体"/>
          <w:b/>
          <w:color w:val="auto"/>
          <w:sz w:val="24"/>
          <w:szCs w:val="24"/>
          <w:highlight w:val="none"/>
        </w:rPr>
        <w:t>证书复印件并加盖公章。</w:t>
      </w:r>
    </w:p>
    <w:p w14:paraId="17B0353F">
      <w:pPr>
        <w:spacing w:line="360" w:lineRule="auto"/>
        <w:ind w:firstLine="2834" w:firstLineChars="1181"/>
        <w:rPr>
          <w:rFonts w:hint="eastAsia" w:ascii="宋体" w:hAnsi="宋体" w:eastAsia="宋体" w:cs="宋体"/>
          <w:color w:val="auto"/>
          <w:sz w:val="24"/>
          <w:szCs w:val="24"/>
          <w:highlight w:val="none"/>
        </w:rPr>
      </w:pPr>
    </w:p>
    <w:p w14:paraId="477C26A3">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0848B2BC">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22EF986E">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79801FB">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br w:type="page"/>
      </w:r>
    </w:p>
    <w:p w14:paraId="73173093">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bookmarkStart w:id="128" w:name="_Toc11888"/>
      <w:r>
        <w:rPr>
          <w:rFonts w:hint="eastAsia" w:ascii="宋体" w:hAnsi="宋体" w:eastAsia="宋体" w:cs="宋体"/>
          <w:b/>
          <w:bCs/>
          <w:color w:val="auto"/>
          <w:sz w:val="32"/>
          <w:szCs w:val="32"/>
          <w:highlight w:val="none"/>
        </w:rPr>
        <w:t>商务</w:t>
      </w:r>
      <w:r>
        <w:rPr>
          <w:rFonts w:hint="eastAsia" w:ascii="宋体" w:hAnsi="宋体" w:eastAsia="宋体" w:cs="宋体"/>
          <w:b/>
          <w:bCs/>
          <w:color w:val="auto"/>
          <w:sz w:val="32"/>
          <w:szCs w:val="32"/>
          <w:highlight w:val="none"/>
          <w:lang w:val="en-US" w:eastAsia="zh-CN"/>
        </w:rPr>
        <w:t>和技术</w:t>
      </w:r>
      <w:r>
        <w:rPr>
          <w:rFonts w:hint="eastAsia" w:ascii="宋体" w:hAnsi="宋体" w:eastAsia="宋体" w:cs="宋体"/>
          <w:b/>
          <w:bCs/>
          <w:color w:val="auto"/>
          <w:sz w:val="32"/>
          <w:szCs w:val="32"/>
          <w:highlight w:val="none"/>
        </w:rPr>
        <w:t>偏离说明</w:t>
      </w:r>
      <w:bookmarkEnd w:id="128"/>
    </w:p>
    <w:p w14:paraId="2F1D1170">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1、商务偏离表</w:t>
      </w:r>
    </w:p>
    <w:tbl>
      <w:tblPr>
        <w:tblStyle w:val="2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887"/>
        <w:gridCol w:w="1888"/>
        <w:gridCol w:w="1888"/>
        <w:gridCol w:w="1888"/>
      </w:tblGrid>
      <w:tr w14:paraId="4A83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vAlign w:val="center"/>
          </w:tcPr>
          <w:p w14:paraId="7A1EAECC">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887" w:type="dxa"/>
            <w:vAlign w:val="center"/>
          </w:tcPr>
          <w:p w14:paraId="614C463F">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磋商要求</w:t>
            </w:r>
          </w:p>
        </w:tc>
        <w:tc>
          <w:tcPr>
            <w:tcW w:w="1888" w:type="dxa"/>
            <w:vAlign w:val="center"/>
          </w:tcPr>
          <w:p w14:paraId="41186C38">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磋商响应内容</w:t>
            </w:r>
          </w:p>
        </w:tc>
        <w:tc>
          <w:tcPr>
            <w:tcW w:w="1888" w:type="dxa"/>
            <w:vAlign w:val="center"/>
          </w:tcPr>
          <w:p w14:paraId="3B1B56E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w:t>
            </w:r>
          </w:p>
        </w:tc>
        <w:tc>
          <w:tcPr>
            <w:tcW w:w="1888" w:type="dxa"/>
            <w:vAlign w:val="center"/>
          </w:tcPr>
          <w:p w14:paraId="0B20CA3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14:paraId="4DAA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vAlign w:val="center"/>
          </w:tcPr>
          <w:p w14:paraId="17FC7577">
            <w:pPr>
              <w:jc w:val="center"/>
              <w:rPr>
                <w:rFonts w:hint="eastAsia" w:ascii="宋体" w:hAnsi="宋体" w:eastAsia="宋体" w:cs="宋体"/>
                <w:color w:val="auto"/>
                <w:highlight w:val="none"/>
              </w:rPr>
            </w:pPr>
          </w:p>
        </w:tc>
        <w:tc>
          <w:tcPr>
            <w:tcW w:w="1887" w:type="dxa"/>
            <w:vAlign w:val="center"/>
          </w:tcPr>
          <w:p w14:paraId="03810823">
            <w:pPr>
              <w:jc w:val="center"/>
              <w:rPr>
                <w:rFonts w:hint="eastAsia" w:ascii="宋体" w:hAnsi="宋体" w:eastAsia="宋体" w:cs="宋体"/>
                <w:color w:val="auto"/>
                <w:highlight w:val="none"/>
              </w:rPr>
            </w:pPr>
          </w:p>
        </w:tc>
        <w:tc>
          <w:tcPr>
            <w:tcW w:w="1888" w:type="dxa"/>
            <w:vAlign w:val="center"/>
          </w:tcPr>
          <w:p w14:paraId="2FD4AADE">
            <w:pPr>
              <w:jc w:val="center"/>
              <w:rPr>
                <w:rFonts w:hint="eastAsia" w:ascii="宋体" w:hAnsi="宋体" w:eastAsia="宋体" w:cs="宋体"/>
                <w:color w:val="auto"/>
                <w:highlight w:val="none"/>
              </w:rPr>
            </w:pPr>
          </w:p>
        </w:tc>
        <w:tc>
          <w:tcPr>
            <w:tcW w:w="1888" w:type="dxa"/>
            <w:vAlign w:val="center"/>
          </w:tcPr>
          <w:p w14:paraId="7D9E36AF">
            <w:pPr>
              <w:jc w:val="center"/>
              <w:rPr>
                <w:rFonts w:hint="eastAsia" w:ascii="宋体" w:hAnsi="宋体" w:eastAsia="宋体" w:cs="宋体"/>
                <w:color w:val="auto"/>
                <w:highlight w:val="none"/>
              </w:rPr>
            </w:pPr>
          </w:p>
        </w:tc>
        <w:tc>
          <w:tcPr>
            <w:tcW w:w="1888" w:type="dxa"/>
            <w:vAlign w:val="center"/>
          </w:tcPr>
          <w:p w14:paraId="408A57CB">
            <w:pPr>
              <w:jc w:val="center"/>
              <w:rPr>
                <w:rFonts w:hint="eastAsia" w:ascii="宋体" w:hAnsi="宋体" w:eastAsia="宋体" w:cs="宋体"/>
                <w:color w:val="auto"/>
                <w:highlight w:val="none"/>
              </w:rPr>
            </w:pPr>
          </w:p>
        </w:tc>
      </w:tr>
      <w:tr w14:paraId="69D9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vAlign w:val="center"/>
          </w:tcPr>
          <w:p w14:paraId="6B589B29">
            <w:pPr>
              <w:jc w:val="center"/>
              <w:rPr>
                <w:rFonts w:hint="eastAsia" w:ascii="宋体" w:hAnsi="宋体" w:eastAsia="宋体" w:cs="宋体"/>
                <w:color w:val="auto"/>
                <w:highlight w:val="none"/>
              </w:rPr>
            </w:pPr>
          </w:p>
        </w:tc>
        <w:tc>
          <w:tcPr>
            <w:tcW w:w="1887" w:type="dxa"/>
            <w:vAlign w:val="center"/>
          </w:tcPr>
          <w:p w14:paraId="552BFBBC">
            <w:pPr>
              <w:jc w:val="center"/>
              <w:rPr>
                <w:rFonts w:hint="eastAsia" w:ascii="宋体" w:hAnsi="宋体" w:eastAsia="宋体" w:cs="宋体"/>
                <w:color w:val="auto"/>
                <w:highlight w:val="none"/>
              </w:rPr>
            </w:pPr>
          </w:p>
        </w:tc>
        <w:tc>
          <w:tcPr>
            <w:tcW w:w="1888" w:type="dxa"/>
            <w:vAlign w:val="center"/>
          </w:tcPr>
          <w:p w14:paraId="21F069C0">
            <w:pPr>
              <w:jc w:val="center"/>
              <w:rPr>
                <w:rFonts w:hint="eastAsia" w:ascii="宋体" w:hAnsi="宋体" w:eastAsia="宋体" w:cs="宋体"/>
                <w:color w:val="auto"/>
                <w:highlight w:val="none"/>
              </w:rPr>
            </w:pPr>
          </w:p>
        </w:tc>
        <w:tc>
          <w:tcPr>
            <w:tcW w:w="1888" w:type="dxa"/>
            <w:vAlign w:val="center"/>
          </w:tcPr>
          <w:p w14:paraId="5562CA05">
            <w:pPr>
              <w:jc w:val="center"/>
              <w:rPr>
                <w:rFonts w:hint="eastAsia" w:ascii="宋体" w:hAnsi="宋体" w:eastAsia="宋体" w:cs="宋体"/>
                <w:color w:val="auto"/>
                <w:highlight w:val="none"/>
              </w:rPr>
            </w:pPr>
          </w:p>
        </w:tc>
        <w:tc>
          <w:tcPr>
            <w:tcW w:w="1888" w:type="dxa"/>
            <w:vAlign w:val="center"/>
          </w:tcPr>
          <w:p w14:paraId="778B0801">
            <w:pPr>
              <w:jc w:val="center"/>
              <w:rPr>
                <w:rFonts w:hint="eastAsia" w:ascii="宋体" w:hAnsi="宋体" w:eastAsia="宋体" w:cs="宋体"/>
                <w:color w:val="auto"/>
                <w:highlight w:val="none"/>
              </w:rPr>
            </w:pPr>
          </w:p>
        </w:tc>
      </w:tr>
      <w:tr w14:paraId="76A1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tcBorders>
              <w:left w:val="single" w:color="auto" w:sz="4" w:space="0"/>
              <w:bottom w:val="single" w:color="auto" w:sz="4" w:space="0"/>
              <w:right w:val="single" w:color="auto" w:sz="4" w:space="0"/>
            </w:tcBorders>
            <w:vAlign w:val="center"/>
          </w:tcPr>
          <w:p w14:paraId="207AB4AF">
            <w:pPr>
              <w:jc w:val="center"/>
              <w:rPr>
                <w:rFonts w:hint="eastAsia" w:ascii="宋体" w:hAnsi="宋体" w:eastAsia="宋体" w:cs="宋体"/>
                <w:color w:val="auto"/>
                <w:highlight w:val="none"/>
              </w:rPr>
            </w:pPr>
          </w:p>
        </w:tc>
        <w:tc>
          <w:tcPr>
            <w:tcW w:w="1887" w:type="dxa"/>
            <w:tcBorders>
              <w:left w:val="single" w:color="auto" w:sz="4" w:space="0"/>
              <w:bottom w:val="single" w:color="auto" w:sz="4" w:space="0"/>
              <w:right w:val="single" w:color="auto" w:sz="4" w:space="0"/>
            </w:tcBorders>
            <w:vAlign w:val="center"/>
          </w:tcPr>
          <w:p w14:paraId="27B93370">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3585D202">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101F6C40">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77C694BA">
            <w:pPr>
              <w:jc w:val="center"/>
              <w:rPr>
                <w:rFonts w:hint="eastAsia" w:ascii="宋体" w:hAnsi="宋体" w:eastAsia="宋体" w:cs="宋体"/>
                <w:color w:val="auto"/>
                <w:highlight w:val="none"/>
              </w:rPr>
            </w:pPr>
          </w:p>
        </w:tc>
      </w:tr>
      <w:tr w14:paraId="300F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14:paraId="5CDA5D85">
            <w:pPr>
              <w:jc w:val="center"/>
              <w:rPr>
                <w:rFonts w:hint="eastAsia" w:ascii="宋体" w:hAnsi="宋体" w:eastAsia="宋体" w:cs="宋体"/>
                <w:color w:val="auto"/>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767C9252">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15915FB5">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1681894D">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57B8CA00">
            <w:pPr>
              <w:jc w:val="center"/>
              <w:rPr>
                <w:rFonts w:hint="eastAsia" w:ascii="宋体" w:hAnsi="宋体" w:eastAsia="宋体" w:cs="宋体"/>
                <w:color w:val="auto"/>
                <w:highlight w:val="none"/>
              </w:rPr>
            </w:pPr>
          </w:p>
        </w:tc>
      </w:tr>
      <w:tr w14:paraId="364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14:paraId="555315D9">
            <w:pPr>
              <w:jc w:val="center"/>
              <w:rPr>
                <w:rFonts w:hint="eastAsia" w:ascii="宋体" w:hAnsi="宋体" w:eastAsia="宋体" w:cs="宋体"/>
                <w:color w:val="auto"/>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25997810">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28F0C205">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60C841D8">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59ADA47">
            <w:pPr>
              <w:jc w:val="center"/>
              <w:rPr>
                <w:rFonts w:hint="eastAsia" w:ascii="宋体" w:hAnsi="宋体" w:eastAsia="宋体" w:cs="宋体"/>
                <w:color w:val="auto"/>
                <w:highlight w:val="none"/>
              </w:rPr>
            </w:pPr>
          </w:p>
        </w:tc>
      </w:tr>
      <w:tr w14:paraId="6621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14:paraId="204ABD69">
            <w:pPr>
              <w:jc w:val="center"/>
              <w:rPr>
                <w:rFonts w:hint="eastAsia" w:ascii="宋体" w:hAnsi="宋体" w:eastAsia="宋体" w:cs="宋体"/>
                <w:color w:val="auto"/>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10FB6AEB">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7DDA8AD">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325911ED">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2351EC66">
            <w:pPr>
              <w:jc w:val="center"/>
              <w:rPr>
                <w:rFonts w:hint="eastAsia" w:ascii="宋体" w:hAnsi="宋体" w:eastAsia="宋体" w:cs="宋体"/>
                <w:color w:val="auto"/>
                <w:highlight w:val="none"/>
              </w:rPr>
            </w:pPr>
          </w:p>
        </w:tc>
      </w:tr>
      <w:tr w14:paraId="013D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87" w:type="dxa"/>
            <w:tcBorders>
              <w:left w:val="single" w:color="auto" w:sz="4" w:space="0"/>
              <w:bottom w:val="single" w:color="auto" w:sz="4" w:space="0"/>
              <w:right w:val="single" w:color="auto" w:sz="4" w:space="0"/>
            </w:tcBorders>
            <w:vAlign w:val="center"/>
          </w:tcPr>
          <w:p w14:paraId="72BBE989">
            <w:pPr>
              <w:jc w:val="center"/>
              <w:rPr>
                <w:rFonts w:hint="eastAsia" w:ascii="宋体" w:hAnsi="宋体" w:eastAsia="宋体" w:cs="宋体"/>
                <w:color w:val="auto"/>
                <w:highlight w:val="none"/>
              </w:rPr>
            </w:pPr>
          </w:p>
        </w:tc>
        <w:tc>
          <w:tcPr>
            <w:tcW w:w="1887" w:type="dxa"/>
            <w:tcBorders>
              <w:left w:val="single" w:color="auto" w:sz="4" w:space="0"/>
              <w:bottom w:val="single" w:color="auto" w:sz="4" w:space="0"/>
              <w:right w:val="single" w:color="auto" w:sz="4" w:space="0"/>
            </w:tcBorders>
            <w:vAlign w:val="center"/>
          </w:tcPr>
          <w:p w14:paraId="78CC4B3E">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093AC0FB">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059B0CE1">
            <w:pPr>
              <w:jc w:val="center"/>
              <w:rPr>
                <w:rFonts w:hint="eastAsia" w:ascii="宋体" w:hAnsi="宋体" w:eastAsia="宋体" w:cs="宋体"/>
                <w:color w:val="auto"/>
                <w:highlight w:val="none"/>
              </w:rPr>
            </w:pPr>
          </w:p>
        </w:tc>
        <w:tc>
          <w:tcPr>
            <w:tcW w:w="1888" w:type="dxa"/>
            <w:tcBorders>
              <w:left w:val="single" w:color="auto" w:sz="4" w:space="0"/>
              <w:bottom w:val="single" w:color="auto" w:sz="4" w:space="0"/>
              <w:right w:val="single" w:color="auto" w:sz="4" w:space="0"/>
            </w:tcBorders>
            <w:vAlign w:val="center"/>
          </w:tcPr>
          <w:p w14:paraId="2525FFFB">
            <w:pPr>
              <w:jc w:val="center"/>
              <w:rPr>
                <w:rFonts w:hint="eastAsia" w:ascii="宋体" w:hAnsi="宋体" w:eastAsia="宋体" w:cs="宋体"/>
                <w:color w:val="auto"/>
                <w:highlight w:val="none"/>
              </w:rPr>
            </w:pPr>
          </w:p>
        </w:tc>
      </w:tr>
      <w:tr w14:paraId="25FE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87" w:type="dxa"/>
            <w:tcBorders>
              <w:top w:val="single" w:color="auto" w:sz="4" w:space="0"/>
              <w:left w:val="single" w:color="auto" w:sz="4" w:space="0"/>
              <w:bottom w:val="single" w:color="auto" w:sz="4" w:space="0"/>
              <w:right w:val="single" w:color="auto" w:sz="4" w:space="0"/>
            </w:tcBorders>
            <w:vAlign w:val="center"/>
          </w:tcPr>
          <w:p w14:paraId="2A619412">
            <w:pPr>
              <w:jc w:val="center"/>
              <w:rPr>
                <w:rFonts w:hint="eastAsia" w:ascii="宋体" w:hAnsi="宋体" w:eastAsia="宋体" w:cs="宋体"/>
                <w:color w:val="auto"/>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2500DE4D">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6EF836AE">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27CC93F4">
            <w:pPr>
              <w:jc w:val="center"/>
              <w:rPr>
                <w:rFonts w:hint="eastAsia" w:ascii="宋体" w:hAnsi="宋体" w:eastAsia="宋体" w:cs="宋体"/>
                <w:color w:val="auto"/>
                <w:highlight w:val="none"/>
              </w:rPr>
            </w:pPr>
          </w:p>
        </w:tc>
        <w:tc>
          <w:tcPr>
            <w:tcW w:w="1888" w:type="dxa"/>
            <w:tcBorders>
              <w:top w:val="single" w:color="auto" w:sz="4" w:space="0"/>
              <w:left w:val="single" w:color="auto" w:sz="4" w:space="0"/>
              <w:bottom w:val="single" w:color="auto" w:sz="4" w:space="0"/>
              <w:right w:val="single" w:color="auto" w:sz="4" w:space="0"/>
            </w:tcBorders>
            <w:vAlign w:val="center"/>
          </w:tcPr>
          <w:p w14:paraId="03F18DED">
            <w:pPr>
              <w:jc w:val="center"/>
              <w:rPr>
                <w:rFonts w:hint="eastAsia" w:ascii="宋体" w:hAnsi="宋体" w:eastAsia="宋体" w:cs="宋体"/>
                <w:color w:val="auto"/>
                <w:highlight w:val="none"/>
              </w:rPr>
            </w:pPr>
          </w:p>
        </w:tc>
      </w:tr>
    </w:tbl>
    <w:p w14:paraId="7BB757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1、本表只填写磋商响应文件中与磋商文件有偏离（包括负偏离和正偏离）的内容，在磋商响应文件中须一一列出，无偏离可直接提供空白表。</w:t>
      </w:r>
    </w:p>
    <w:p w14:paraId="20851F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2、供应商必须据实填写，不得虚假响应，否则将取消其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资格，并按有关规定进处罚。</w:t>
      </w:r>
    </w:p>
    <w:p w14:paraId="2306B668">
      <w:pPr>
        <w:pStyle w:val="13"/>
        <w:spacing w:before="120"/>
        <w:ind w:left="0" w:right="34"/>
        <w:jc w:val="both"/>
        <w:rPr>
          <w:rFonts w:hint="eastAsia" w:ascii="宋体" w:hAnsi="宋体" w:eastAsia="宋体" w:cs="宋体"/>
          <w:bCs/>
          <w:color w:val="auto"/>
          <w:sz w:val="24"/>
          <w:szCs w:val="24"/>
          <w:highlight w:val="none"/>
        </w:rPr>
      </w:pPr>
    </w:p>
    <w:p w14:paraId="196A0EA4">
      <w:pPr>
        <w:pStyle w:val="17"/>
        <w:rPr>
          <w:rFonts w:hint="eastAsia" w:ascii="宋体" w:hAnsi="宋体" w:eastAsia="宋体" w:cs="宋体"/>
          <w:color w:val="auto"/>
          <w:sz w:val="24"/>
          <w:szCs w:val="24"/>
          <w:highlight w:val="none"/>
        </w:rPr>
      </w:pPr>
    </w:p>
    <w:p w14:paraId="69DC8519">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2B161AB8">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7F5EAB71">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568B590">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B4F9A6F">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技术</w:t>
      </w:r>
      <w:r>
        <w:rPr>
          <w:rFonts w:hint="eastAsia" w:ascii="宋体" w:hAnsi="宋体" w:eastAsia="宋体" w:cs="宋体"/>
          <w:b/>
          <w:bCs/>
          <w:color w:val="auto"/>
          <w:sz w:val="28"/>
          <w:szCs w:val="28"/>
          <w:highlight w:val="none"/>
          <w:lang w:val="en-US" w:eastAsia="zh-CN"/>
        </w:rPr>
        <w:t>偏离表</w:t>
      </w:r>
    </w:p>
    <w:tbl>
      <w:tblPr>
        <w:tblStyle w:val="28"/>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60"/>
        <w:gridCol w:w="2792"/>
        <w:gridCol w:w="2658"/>
        <w:gridCol w:w="2628"/>
      </w:tblGrid>
      <w:tr w14:paraId="5688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jc w:val="center"/>
        </w:trPr>
        <w:tc>
          <w:tcPr>
            <w:tcW w:w="960" w:type="dxa"/>
            <w:vAlign w:val="center"/>
          </w:tcPr>
          <w:p w14:paraId="46CF289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92" w:type="dxa"/>
            <w:vAlign w:val="center"/>
          </w:tcPr>
          <w:p w14:paraId="17E653B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要求</w:t>
            </w:r>
          </w:p>
        </w:tc>
        <w:tc>
          <w:tcPr>
            <w:tcW w:w="2658" w:type="dxa"/>
            <w:vAlign w:val="center"/>
          </w:tcPr>
          <w:p w14:paraId="202B9CB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响应</w:t>
            </w:r>
          </w:p>
        </w:tc>
        <w:tc>
          <w:tcPr>
            <w:tcW w:w="2628" w:type="dxa"/>
            <w:vAlign w:val="center"/>
          </w:tcPr>
          <w:p w14:paraId="581BD3B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r>
      <w:tr w14:paraId="73BE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353855AA">
            <w:pPr>
              <w:spacing w:line="360" w:lineRule="auto"/>
              <w:jc w:val="center"/>
              <w:rPr>
                <w:rFonts w:hint="eastAsia" w:ascii="宋体" w:hAnsi="宋体" w:eastAsia="宋体" w:cs="宋体"/>
                <w:color w:val="auto"/>
                <w:sz w:val="24"/>
                <w:szCs w:val="24"/>
                <w:highlight w:val="none"/>
              </w:rPr>
            </w:pPr>
          </w:p>
        </w:tc>
        <w:tc>
          <w:tcPr>
            <w:tcW w:w="2792" w:type="dxa"/>
          </w:tcPr>
          <w:p w14:paraId="0C2BD137">
            <w:pPr>
              <w:spacing w:line="360" w:lineRule="auto"/>
              <w:jc w:val="center"/>
              <w:rPr>
                <w:rFonts w:hint="eastAsia" w:ascii="宋体" w:hAnsi="宋体" w:eastAsia="宋体" w:cs="宋体"/>
                <w:color w:val="auto"/>
                <w:sz w:val="24"/>
                <w:szCs w:val="24"/>
                <w:highlight w:val="none"/>
              </w:rPr>
            </w:pPr>
          </w:p>
        </w:tc>
        <w:tc>
          <w:tcPr>
            <w:tcW w:w="2658" w:type="dxa"/>
          </w:tcPr>
          <w:p w14:paraId="655C293A">
            <w:pPr>
              <w:spacing w:line="360" w:lineRule="auto"/>
              <w:jc w:val="center"/>
              <w:rPr>
                <w:rFonts w:hint="eastAsia" w:ascii="宋体" w:hAnsi="宋体" w:eastAsia="宋体" w:cs="宋体"/>
                <w:color w:val="auto"/>
                <w:sz w:val="24"/>
                <w:szCs w:val="24"/>
                <w:highlight w:val="none"/>
              </w:rPr>
            </w:pPr>
          </w:p>
        </w:tc>
        <w:tc>
          <w:tcPr>
            <w:tcW w:w="2628" w:type="dxa"/>
          </w:tcPr>
          <w:p w14:paraId="39FE7144">
            <w:pPr>
              <w:spacing w:line="360" w:lineRule="auto"/>
              <w:jc w:val="center"/>
              <w:rPr>
                <w:rFonts w:hint="eastAsia" w:ascii="宋体" w:hAnsi="宋体" w:eastAsia="宋体" w:cs="宋体"/>
                <w:color w:val="auto"/>
                <w:sz w:val="24"/>
                <w:szCs w:val="24"/>
                <w:highlight w:val="none"/>
              </w:rPr>
            </w:pPr>
          </w:p>
        </w:tc>
      </w:tr>
      <w:tr w14:paraId="69F3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18201479">
            <w:pPr>
              <w:spacing w:line="360" w:lineRule="auto"/>
              <w:jc w:val="center"/>
              <w:rPr>
                <w:rFonts w:hint="eastAsia" w:ascii="宋体" w:hAnsi="宋体" w:eastAsia="宋体" w:cs="宋体"/>
                <w:color w:val="auto"/>
                <w:sz w:val="24"/>
                <w:szCs w:val="24"/>
                <w:highlight w:val="none"/>
              </w:rPr>
            </w:pPr>
          </w:p>
        </w:tc>
        <w:tc>
          <w:tcPr>
            <w:tcW w:w="2792" w:type="dxa"/>
          </w:tcPr>
          <w:p w14:paraId="6B223221">
            <w:pPr>
              <w:spacing w:line="360" w:lineRule="auto"/>
              <w:jc w:val="center"/>
              <w:rPr>
                <w:rFonts w:hint="eastAsia" w:ascii="宋体" w:hAnsi="宋体" w:eastAsia="宋体" w:cs="宋体"/>
                <w:color w:val="auto"/>
                <w:sz w:val="24"/>
                <w:szCs w:val="24"/>
                <w:highlight w:val="none"/>
              </w:rPr>
            </w:pPr>
          </w:p>
        </w:tc>
        <w:tc>
          <w:tcPr>
            <w:tcW w:w="2658" w:type="dxa"/>
          </w:tcPr>
          <w:p w14:paraId="1C208B5D">
            <w:pPr>
              <w:spacing w:line="360" w:lineRule="auto"/>
              <w:jc w:val="center"/>
              <w:rPr>
                <w:rFonts w:hint="eastAsia" w:ascii="宋体" w:hAnsi="宋体" w:eastAsia="宋体" w:cs="宋体"/>
                <w:color w:val="auto"/>
                <w:sz w:val="24"/>
                <w:szCs w:val="24"/>
                <w:highlight w:val="none"/>
              </w:rPr>
            </w:pPr>
          </w:p>
        </w:tc>
        <w:tc>
          <w:tcPr>
            <w:tcW w:w="2628" w:type="dxa"/>
          </w:tcPr>
          <w:p w14:paraId="04903E15">
            <w:pPr>
              <w:spacing w:line="360" w:lineRule="auto"/>
              <w:jc w:val="center"/>
              <w:rPr>
                <w:rFonts w:hint="eastAsia" w:ascii="宋体" w:hAnsi="宋体" w:eastAsia="宋体" w:cs="宋体"/>
                <w:color w:val="auto"/>
                <w:sz w:val="24"/>
                <w:szCs w:val="24"/>
                <w:highlight w:val="none"/>
              </w:rPr>
            </w:pPr>
          </w:p>
        </w:tc>
      </w:tr>
      <w:tr w14:paraId="23A0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6BAFE67B">
            <w:pPr>
              <w:spacing w:line="360" w:lineRule="auto"/>
              <w:jc w:val="center"/>
              <w:rPr>
                <w:rFonts w:hint="eastAsia" w:ascii="宋体" w:hAnsi="宋体" w:eastAsia="宋体" w:cs="宋体"/>
                <w:color w:val="auto"/>
                <w:sz w:val="24"/>
                <w:szCs w:val="24"/>
                <w:highlight w:val="none"/>
              </w:rPr>
            </w:pPr>
          </w:p>
        </w:tc>
        <w:tc>
          <w:tcPr>
            <w:tcW w:w="2792" w:type="dxa"/>
          </w:tcPr>
          <w:p w14:paraId="7924261E">
            <w:pPr>
              <w:spacing w:line="360" w:lineRule="auto"/>
              <w:jc w:val="center"/>
              <w:rPr>
                <w:rFonts w:hint="eastAsia" w:ascii="宋体" w:hAnsi="宋体" w:eastAsia="宋体" w:cs="宋体"/>
                <w:color w:val="auto"/>
                <w:sz w:val="24"/>
                <w:szCs w:val="24"/>
                <w:highlight w:val="none"/>
              </w:rPr>
            </w:pPr>
          </w:p>
        </w:tc>
        <w:tc>
          <w:tcPr>
            <w:tcW w:w="2658" w:type="dxa"/>
          </w:tcPr>
          <w:p w14:paraId="0A1A58AE">
            <w:pPr>
              <w:spacing w:line="360" w:lineRule="auto"/>
              <w:jc w:val="center"/>
              <w:rPr>
                <w:rFonts w:hint="eastAsia" w:ascii="宋体" w:hAnsi="宋体" w:eastAsia="宋体" w:cs="宋体"/>
                <w:color w:val="auto"/>
                <w:sz w:val="24"/>
                <w:szCs w:val="24"/>
                <w:highlight w:val="none"/>
              </w:rPr>
            </w:pPr>
          </w:p>
        </w:tc>
        <w:tc>
          <w:tcPr>
            <w:tcW w:w="2628" w:type="dxa"/>
          </w:tcPr>
          <w:p w14:paraId="0B5B9AE6">
            <w:pPr>
              <w:spacing w:line="360" w:lineRule="auto"/>
              <w:jc w:val="center"/>
              <w:rPr>
                <w:rFonts w:hint="eastAsia" w:ascii="宋体" w:hAnsi="宋体" w:eastAsia="宋体" w:cs="宋体"/>
                <w:color w:val="auto"/>
                <w:sz w:val="24"/>
                <w:szCs w:val="24"/>
                <w:highlight w:val="none"/>
              </w:rPr>
            </w:pPr>
          </w:p>
        </w:tc>
      </w:tr>
      <w:tr w14:paraId="3DFF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2632C924">
            <w:pPr>
              <w:spacing w:line="360" w:lineRule="auto"/>
              <w:jc w:val="center"/>
              <w:rPr>
                <w:rFonts w:hint="eastAsia" w:ascii="宋体" w:hAnsi="宋体" w:eastAsia="宋体" w:cs="宋体"/>
                <w:color w:val="auto"/>
                <w:sz w:val="24"/>
                <w:szCs w:val="24"/>
                <w:highlight w:val="none"/>
              </w:rPr>
            </w:pPr>
          </w:p>
        </w:tc>
        <w:tc>
          <w:tcPr>
            <w:tcW w:w="2792" w:type="dxa"/>
          </w:tcPr>
          <w:p w14:paraId="46D7A954">
            <w:pPr>
              <w:spacing w:line="360" w:lineRule="auto"/>
              <w:jc w:val="center"/>
              <w:rPr>
                <w:rFonts w:hint="eastAsia" w:ascii="宋体" w:hAnsi="宋体" w:eastAsia="宋体" w:cs="宋体"/>
                <w:color w:val="auto"/>
                <w:sz w:val="24"/>
                <w:szCs w:val="24"/>
                <w:highlight w:val="none"/>
              </w:rPr>
            </w:pPr>
          </w:p>
        </w:tc>
        <w:tc>
          <w:tcPr>
            <w:tcW w:w="2658" w:type="dxa"/>
          </w:tcPr>
          <w:p w14:paraId="7BED56FC">
            <w:pPr>
              <w:spacing w:line="360" w:lineRule="auto"/>
              <w:jc w:val="center"/>
              <w:rPr>
                <w:rFonts w:hint="eastAsia" w:ascii="宋体" w:hAnsi="宋体" w:eastAsia="宋体" w:cs="宋体"/>
                <w:color w:val="auto"/>
                <w:sz w:val="24"/>
                <w:szCs w:val="24"/>
                <w:highlight w:val="none"/>
              </w:rPr>
            </w:pPr>
          </w:p>
        </w:tc>
        <w:tc>
          <w:tcPr>
            <w:tcW w:w="2628" w:type="dxa"/>
          </w:tcPr>
          <w:p w14:paraId="04800906">
            <w:pPr>
              <w:spacing w:line="360" w:lineRule="auto"/>
              <w:jc w:val="center"/>
              <w:rPr>
                <w:rFonts w:hint="eastAsia" w:ascii="宋体" w:hAnsi="宋体" w:eastAsia="宋体" w:cs="宋体"/>
                <w:color w:val="auto"/>
                <w:sz w:val="24"/>
                <w:szCs w:val="24"/>
                <w:highlight w:val="none"/>
              </w:rPr>
            </w:pPr>
          </w:p>
        </w:tc>
      </w:tr>
      <w:tr w14:paraId="0CD9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409B836F">
            <w:pPr>
              <w:spacing w:line="360" w:lineRule="auto"/>
              <w:jc w:val="center"/>
              <w:rPr>
                <w:rFonts w:hint="eastAsia" w:ascii="宋体" w:hAnsi="宋体" w:eastAsia="宋体" w:cs="宋体"/>
                <w:color w:val="auto"/>
                <w:sz w:val="24"/>
                <w:szCs w:val="24"/>
                <w:highlight w:val="none"/>
              </w:rPr>
            </w:pPr>
          </w:p>
        </w:tc>
        <w:tc>
          <w:tcPr>
            <w:tcW w:w="2792" w:type="dxa"/>
          </w:tcPr>
          <w:p w14:paraId="16F865DC">
            <w:pPr>
              <w:spacing w:line="360" w:lineRule="auto"/>
              <w:jc w:val="center"/>
              <w:rPr>
                <w:rFonts w:hint="eastAsia" w:ascii="宋体" w:hAnsi="宋体" w:eastAsia="宋体" w:cs="宋体"/>
                <w:color w:val="auto"/>
                <w:sz w:val="24"/>
                <w:szCs w:val="24"/>
                <w:highlight w:val="none"/>
              </w:rPr>
            </w:pPr>
          </w:p>
        </w:tc>
        <w:tc>
          <w:tcPr>
            <w:tcW w:w="2658" w:type="dxa"/>
          </w:tcPr>
          <w:p w14:paraId="2A8CFB10">
            <w:pPr>
              <w:spacing w:line="360" w:lineRule="auto"/>
              <w:jc w:val="center"/>
              <w:rPr>
                <w:rFonts w:hint="eastAsia" w:ascii="宋体" w:hAnsi="宋体" w:eastAsia="宋体" w:cs="宋体"/>
                <w:color w:val="auto"/>
                <w:sz w:val="24"/>
                <w:szCs w:val="24"/>
                <w:highlight w:val="none"/>
              </w:rPr>
            </w:pPr>
          </w:p>
        </w:tc>
        <w:tc>
          <w:tcPr>
            <w:tcW w:w="2628" w:type="dxa"/>
          </w:tcPr>
          <w:p w14:paraId="0161C7F9">
            <w:pPr>
              <w:spacing w:line="360" w:lineRule="auto"/>
              <w:jc w:val="center"/>
              <w:rPr>
                <w:rFonts w:hint="eastAsia" w:ascii="宋体" w:hAnsi="宋体" w:eastAsia="宋体" w:cs="宋体"/>
                <w:color w:val="auto"/>
                <w:sz w:val="24"/>
                <w:szCs w:val="24"/>
                <w:highlight w:val="none"/>
              </w:rPr>
            </w:pPr>
          </w:p>
        </w:tc>
      </w:tr>
      <w:tr w14:paraId="545D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1A27F958">
            <w:pPr>
              <w:spacing w:line="360" w:lineRule="auto"/>
              <w:jc w:val="center"/>
              <w:rPr>
                <w:rFonts w:hint="eastAsia" w:ascii="宋体" w:hAnsi="宋体" w:eastAsia="宋体" w:cs="宋体"/>
                <w:color w:val="auto"/>
                <w:sz w:val="24"/>
                <w:szCs w:val="24"/>
                <w:highlight w:val="none"/>
              </w:rPr>
            </w:pPr>
          </w:p>
        </w:tc>
        <w:tc>
          <w:tcPr>
            <w:tcW w:w="2792" w:type="dxa"/>
          </w:tcPr>
          <w:p w14:paraId="61B8189E">
            <w:pPr>
              <w:spacing w:line="360" w:lineRule="auto"/>
              <w:jc w:val="center"/>
              <w:rPr>
                <w:rFonts w:hint="eastAsia" w:ascii="宋体" w:hAnsi="宋体" w:eastAsia="宋体" w:cs="宋体"/>
                <w:color w:val="auto"/>
                <w:sz w:val="24"/>
                <w:szCs w:val="24"/>
                <w:highlight w:val="none"/>
              </w:rPr>
            </w:pPr>
          </w:p>
        </w:tc>
        <w:tc>
          <w:tcPr>
            <w:tcW w:w="2658" w:type="dxa"/>
          </w:tcPr>
          <w:p w14:paraId="6A3BC065">
            <w:pPr>
              <w:spacing w:line="360" w:lineRule="auto"/>
              <w:jc w:val="center"/>
              <w:rPr>
                <w:rFonts w:hint="eastAsia" w:ascii="宋体" w:hAnsi="宋体" w:eastAsia="宋体" w:cs="宋体"/>
                <w:color w:val="auto"/>
                <w:sz w:val="24"/>
                <w:szCs w:val="24"/>
                <w:highlight w:val="none"/>
              </w:rPr>
            </w:pPr>
          </w:p>
        </w:tc>
        <w:tc>
          <w:tcPr>
            <w:tcW w:w="2628" w:type="dxa"/>
          </w:tcPr>
          <w:p w14:paraId="41D0A611">
            <w:pPr>
              <w:spacing w:line="360" w:lineRule="auto"/>
              <w:jc w:val="center"/>
              <w:rPr>
                <w:rFonts w:hint="eastAsia" w:ascii="宋体" w:hAnsi="宋体" w:eastAsia="宋体" w:cs="宋体"/>
                <w:color w:val="auto"/>
                <w:sz w:val="24"/>
                <w:szCs w:val="24"/>
                <w:highlight w:val="none"/>
              </w:rPr>
            </w:pPr>
          </w:p>
        </w:tc>
      </w:tr>
      <w:tr w14:paraId="3C355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9" w:hRule="atLeast"/>
          <w:jc w:val="center"/>
        </w:trPr>
        <w:tc>
          <w:tcPr>
            <w:tcW w:w="960" w:type="dxa"/>
          </w:tcPr>
          <w:p w14:paraId="374726E5">
            <w:pPr>
              <w:spacing w:line="360" w:lineRule="auto"/>
              <w:jc w:val="center"/>
              <w:rPr>
                <w:rFonts w:hint="eastAsia" w:ascii="宋体" w:hAnsi="宋体" w:eastAsia="宋体" w:cs="宋体"/>
                <w:color w:val="auto"/>
                <w:sz w:val="24"/>
                <w:szCs w:val="24"/>
                <w:highlight w:val="none"/>
              </w:rPr>
            </w:pPr>
          </w:p>
        </w:tc>
        <w:tc>
          <w:tcPr>
            <w:tcW w:w="2792" w:type="dxa"/>
          </w:tcPr>
          <w:p w14:paraId="431E2CD1">
            <w:pPr>
              <w:spacing w:line="360" w:lineRule="auto"/>
              <w:jc w:val="center"/>
              <w:rPr>
                <w:rFonts w:hint="eastAsia" w:ascii="宋体" w:hAnsi="宋体" w:eastAsia="宋体" w:cs="宋体"/>
                <w:color w:val="auto"/>
                <w:sz w:val="24"/>
                <w:szCs w:val="24"/>
                <w:highlight w:val="none"/>
              </w:rPr>
            </w:pPr>
          </w:p>
        </w:tc>
        <w:tc>
          <w:tcPr>
            <w:tcW w:w="2658" w:type="dxa"/>
          </w:tcPr>
          <w:p w14:paraId="7378196B">
            <w:pPr>
              <w:spacing w:line="360" w:lineRule="auto"/>
              <w:jc w:val="center"/>
              <w:rPr>
                <w:rFonts w:hint="eastAsia" w:ascii="宋体" w:hAnsi="宋体" w:eastAsia="宋体" w:cs="宋体"/>
                <w:color w:val="auto"/>
                <w:sz w:val="24"/>
                <w:szCs w:val="24"/>
                <w:highlight w:val="none"/>
              </w:rPr>
            </w:pPr>
          </w:p>
        </w:tc>
        <w:tc>
          <w:tcPr>
            <w:tcW w:w="2628" w:type="dxa"/>
          </w:tcPr>
          <w:p w14:paraId="330583AD">
            <w:pPr>
              <w:spacing w:line="360" w:lineRule="auto"/>
              <w:jc w:val="center"/>
              <w:rPr>
                <w:rFonts w:hint="eastAsia" w:ascii="宋体" w:hAnsi="宋体" w:eastAsia="宋体" w:cs="宋体"/>
                <w:color w:val="auto"/>
                <w:sz w:val="24"/>
                <w:szCs w:val="24"/>
                <w:highlight w:val="none"/>
              </w:rPr>
            </w:pPr>
          </w:p>
        </w:tc>
      </w:tr>
      <w:tr w14:paraId="7F65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0" w:hRule="atLeast"/>
          <w:jc w:val="center"/>
        </w:trPr>
        <w:tc>
          <w:tcPr>
            <w:tcW w:w="960" w:type="dxa"/>
          </w:tcPr>
          <w:p w14:paraId="16687861">
            <w:pPr>
              <w:spacing w:line="360" w:lineRule="auto"/>
              <w:jc w:val="center"/>
              <w:rPr>
                <w:rFonts w:hint="eastAsia" w:ascii="宋体" w:hAnsi="宋体" w:eastAsia="宋体" w:cs="宋体"/>
                <w:color w:val="auto"/>
                <w:sz w:val="24"/>
                <w:szCs w:val="24"/>
                <w:highlight w:val="none"/>
              </w:rPr>
            </w:pPr>
          </w:p>
        </w:tc>
        <w:tc>
          <w:tcPr>
            <w:tcW w:w="2792" w:type="dxa"/>
          </w:tcPr>
          <w:p w14:paraId="72CED865">
            <w:pPr>
              <w:spacing w:line="360" w:lineRule="auto"/>
              <w:jc w:val="center"/>
              <w:rPr>
                <w:rFonts w:hint="eastAsia" w:ascii="宋体" w:hAnsi="宋体" w:eastAsia="宋体" w:cs="宋体"/>
                <w:color w:val="auto"/>
                <w:sz w:val="24"/>
                <w:szCs w:val="24"/>
                <w:highlight w:val="none"/>
              </w:rPr>
            </w:pPr>
          </w:p>
        </w:tc>
        <w:tc>
          <w:tcPr>
            <w:tcW w:w="2658" w:type="dxa"/>
          </w:tcPr>
          <w:p w14:paraId="44FCA2F5">
            <w:pPr>
              <w:spacing w:line="360" w:lineRule="auto"/>
              <w:jc w:val="center"/>
              <w:rPr>
                <w:rFonts w:hint="eastAsia" w:ascii="宋体" w:hAnsi="宋体" w:eastAsia="宋体" w:cs="宋体"/>
                <w:color w:val="auto"/>
                <w:sz w:val="24"/>
                <w:szCs w:val="24"/>
                <w:highlight w:val="none"/>
              </w:rPr>
            </w:pPr>
          </w:p>
        </w:tc>
        <w:tc>
          <w:tcPr>
            <w:tcW w:w="2628" w:type="dxa"/>
          </w:tcPr>
          <w:p w14:paraId="66498384">
            <w:pPr>
              <w:spacing w:line="360" w:lineRule="auto"/>
              <w:jc w:val="center"/>
              <w:rPr>
                <w:rFonts w:hint="eastAsia" w:ascii="宋体" w:hAnsi="宋体" w:eastAsia="宋体" w:cs="宋体"/>
                <w:color w:val="auto"/>
                <w:sz w:val="24"/>
                <w:szCs w:val="24"/>
                <w:highlight w:val="none"/>
              </w:rPr>
            </w:pPr>
          </w:p>
        </w:tc>
      </w:tr>
    </w:tbl>
    <w:p w14:paraId="4A81C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1、本表只填写磋商响应文件中与磋商文件有偏离（包括负偏离和正偏离）的内容，在磋商响应文件中须一一列出，无偏离可直接提供空白表。</w:t>
      </w:r>
    </w:p>
    <w:p w14:paraId="02D97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143" w:name="_GoBack"/>
      <w:bookmarkEnd w:id="143"/>
      <w:r>
        <w:rPr>
          <w:rFonts w:hint="eastAsia" w:ascii="宋体" w:hAnsi="宋体" w:eastAsia="宋体" w:cs="宋体"/>
          <w:color w:val="auto"/>
          <w:sz w:val="24"/>
          <w:szCs w:val="24"/>
          <w:highlight w:val="none"/>
        </w:rPr>
        <w:t>2、供应商必须据实填写，不得虚假响应，否则将取消其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资格，并按有关规定进处罚。</w:t>
      </w:r>
    </w:p>
    <w:p w14:paraId="740B7E19">
      <w:pPr>
        <w:spacing w:line="480" w:lineRule="auto"/>
        <w:ind w:firstLine="3360" w:firstLineChars="1400"/>
        <w:rPr>
          <w:rFonts w:hint="eastAsia" w:ascii="宋体" w:hAnsi="宋体" w:eastAsia="宋体" w:cs="宋体"/>
          <w:color w:val="auto"/>
          <w:sz w:val="24"/>
          <w:szCs w:val="24"/>
          <w:highlight w:val="none"/>
        </w:rPr>
      </w:pPr>
    </w:p>
    <w:p w14:paraId="5A85E6CE">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7BC32086">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79982ADD">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01C80C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1AD20BB">
      <w:pPr>
        <w:keepNext w:val="0"/>
        <w:keepLines w:val="0"/>
        <w:pageBreakBefore w:val="0"/>
        <w:widowControl w:val="0"/>
        <w:numPr>
          <w:ilvl w:val="0"/>
          <w:numId w:val="8"/>
        </w:numPr>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2"/>
          <w:szCs w:val="32"/>
          <w:highlight w:val="none"/>
        </w:rPr>
      </w:pPr>
      <w:bookmarkStart w:id="129" w:name="_Toc14716"/>
      <w:r>
        <w:rPr>
          <w:rFonts w:hint="eastAsia" w:ascii="宋体" w:hAnsi="宋体" w:eastAsia="宋体" w:cs="宋体"/>
          <w:b/>
          <w:bCs/>
          <w:color w:val="auto"/>
          <w:sz w:val="32"/>
          <w:szCs w:val="32"/>
          <w:highlight w:val="none"/>
        </w:rPr>
        <w:t>资格证明文件</w:t>
      </w:r>
      <w:bookmarkEnd w:id="129"/>
    </w:p>
    <w:p w14:paraId="4EACD3B3">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磋商供应商情况表</w:t>
      </w:r>
    </w:p>
    <w:tbl>
      <w:tblPr>
        <w:tblStyle w:val="2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5AF8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52D4A27F">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6877" w:type="dxa"/>
            <w:gridSpan w:val="3"/>
          </w:tcPr>
          <w:p w14:paraId="33513557">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E9B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960A5B4">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统一社会信用代码</w:t>
            </w:r>
          </w:p>
        </w:tc>
        <w:tc>
          <w:tcPr>
            <w:tcW w:w="2764" w:type="dxa"/>
          </w:tcPr>
          <w:p w14:paraId="5E8013EE">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265" w:type="dxa"/>
          </w:tcPr>
          <w:p w14:paraId="596739B9">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注册日期</w:t>
            </w:r>
          </w:p>
        </w:tc>
        <w:tc>
          <w:tcPr>
            <w:tcW w:w="1848" w:type="dxa"/>
          </w:tcPr>
          <w:p w14:paraId="10DDF437">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11C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07B5AB1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营业地址</w:t>
            </w:r>
          </w:p>
        </w:tc>
        <w:tc>
          <w:tcPr>
            <w:tcW w:w="2764" w:type="dxa"/>
          </w:tcPr>
          <w:p w14:paraId="38F1DEC4">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265" w:type="dxa"/>
          </w:tcPr>
          <w:p w14:paraId="3CE4BD84">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48" w:type="dxa"/>
          </w:tcPr>
          <w:p w14:paraId="522AF77E">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83B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859990F">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764" w:type="dxa"/>
          </w:tcPr>
          <w:p w14:paraId="5BD28A7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265" w:type="dxa"/>
            <w:vAlign w:val="top"/>
          </w:tcPr>
          <w:p w14:paraId="594BCCC6">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联系方式</w:t>
            </w:r>
          </w:p>
        </w:tc>
        <w:tc>
          <w:tcPr>
            <w:tcW w:w="1848" w:type="dxa"/>
          </w:tcPr>
          <w:p w14:paraId="6655DFFC">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345A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CDEB0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w:t>
            </w:r>
          </w:p>
        </w:tc>
        <w:tc>
          <w:tcPr>
            <w:tcW w:w="2764" w:type="dxa"/>
          </w:tcPr>
          <w:p w14:paraId="792847F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265" w:type="dxa"/>
            <w:vAlign w:val="top"/>
          </w:tcPr>
          <w:p w14:paraId="7CBE7CA3">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p>
        </w:tc>
        <w:tc>
          <w:tcPr>
            <w:tcW w:w="1848" w:type="dxa"/>
          </w:tcPr>
          <w:p w14:paraId="30AFD1BF">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F4A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CAB56B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企业基本户开户行</w:t>
            </w:r>
          </w:p>
        </w:tc>
        <w:tc>
          <w:tcPr>
            <w:tcW w:w="6877" w:type="dxa"/>
            <w:gridSpan w:val="3"/>
          </w:tcPr>
          <w:p w14:paraId="780FF4DD">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1229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6908DFB5">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6877" w:type="dxa"/>
            <w:gridSpan w:val="3"/>
          </w:tcPr>
          <w:p w14:paraId="7BA63AAC">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486B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7461FD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主要营业范围</w:t>
            </w:r>
          </w:p>
        </w:tc>
        <w:tc>
          <w:tcPr>
            <w:tcW w:w="6877" w:type="dxa"/>
            <w:gridSpan w:val="3"/>
          </w:tcPr>
          <w:p w14:paraId="00EAC52A">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1A69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7C60CD12">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企业概况</w:t>
            </w:r>
          </w:p>
        </w:tc>
        <w:tc>
          <w:tcPr>
            <w:tcW w:w="6877" w:type="dxa"/>
            <w:gridSpan w:val="3"/>
            <w:vAlign w:val="center"/>
          </w:tcPr>
          <w:p w14:paraId="709E92B5">
            <w:pPr>
              <w:keepNext w:val="0"/>
              <w:keepLines w:val="0"/>
              <w:pageBreakBefore w:val="0"/>
              <w:widowControl w:val="0"/>
              <w:kinsoku/>
              <w:wordWrap/>
              <w:overflowPunct w:val="0"/>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r>
      <w:tr w14:paraId="5578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1454010B">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企业概况</w:t>
            </w:r>
          </w:p>
        </w:tc>
        <w:tc>
          <w:tcPr>
            <w:tcW w:w="6877" w:type="dxa"/>
            <w:gridSpan w:val="3"/>
          </w:tcPr>
          <w:p w14:paraId="7A68ED8E">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AF2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6A7B30C2">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77" w:type="dxa"/>
            <w:gridSpan w:val="3"/>
          </w:tcPr>
          <w:p w14:paraId="1E143E34">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5E23AF3E">
      <w:pP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br w:type="page"/>
      </w:r>
    </w:p>
    <w:p w14:paraId="3BD9C134">
      <w:pPr>
        <w:pStyle w:val="24"/>
        <w:pageBreakBefore w:val="0"/>
        <w:shd w:val="clear" w:color="auto"/>
        <w:kinsoku/>
        <w:wordWrap/>
        <w:overflowPunct/>
        <w:topLinePunct w:val="0"/>
        <w:bidi w:val="0"/>
        <w:snapToGrid/>
        <w:spacing w:beforeAutospacing="0" w:afterAutospacing="0" w:line="5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营业执照：</w:t>
      </w:r>
      <w:r>
        <w:rPr>
          <w:rFonts w:hint="eastAsia" w:ascii="宋体" w:hAnsi="宋体" w:eastAsia="宋体" w:cs="宋体"/>
          <w:color w:val="auto"/>
          <w:highlight w:val="none"/>
        </w:rPr>
        <w:t xml:space="preserve">具有独立承担民事责任能力的法人、其他组织或自然人，提供合法有效的统一社会信用代码营业执照（事业单位提供法人证书，自然人提供身份证，其他组织应提供合法登记证明文件）； </w:t>
      </w:r>
    </w:p>
    <w:p w14:paraId="6351D702">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2、财务状况报告：提供</w:t>
      </w:r>
      <w:r>
        <w:rPr>
          <w:rFonts w:hint="eastAsia" w:cs="宋体"/>
          <w:color w:val="auto"/>
          <w:highlight w:val="none"/>
          <w:lang w:val="en-US" w:eastAsia="zh-CN"/>
        </w:rPr>
        <w:t>经审计</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3</w:t>
      </w:r>
      <w:r>
        <w:rPr>
          <w:rFonts w:hint="eastAsia" w:ascii="宋体" w:hAnsi="宋体" w:eastAsia="宋体" w:cs="宋体"/>
          <w:color w:val="auto"/>
          <w:highlight w:val="none"/>
          <w:lang w:eastAsia="zh-CN"/>
        </w:rPr>
        <w:t>年或 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lang w:eastAsia="zh-CN"/>
        </w:rPr>
        <w:t>年）</w:t>
      </w:r>
      <w:r>
        <w:rPr>
          <w:rFonts w:hint="eastAsia" w:ascii="宋体" w:hAnsi="宋体" w:eastAsia="宋体" w:cs="宋体"/>
          <w:color w:val="auto"/>
          <w:highlight w:val="none"/>
        </w:rPr>
        <w:t>年度财务报告或</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lang w:val="en-US" w:eastAsia="zh-CN"/>
        </w:rPr>
        <w:t>截止时间</w:t>
      </w:r>
      <w:r>
        <w:rPr>
          <w:rFonts w:hint="eastAsia" w:ascii="宋体" w:hAnsi="宋体" w:eastAsia="宋体" w:cs="宋体"/>
          <w:color w:val="auto"/>
          <w:highlight w:val="none"/>
          <w:lang w:eastAsia="zh-CN"/>
        </w:rPr>
        <w:t>前</w:t>
      </w:r>
      <w:r>
        <w:rPr>
          <w:rFonts w:hint="eastAsia" w:ascii="宋体" w:hAnsi="宋体" w:eastAsia="宋体" w:cs="宋体"/>
          <w:color w:val="auto"/>
          <w:highlight w:val="none"/>
        </w:rPr>
        <w:t>六个月内其基本账户银行出具的资信证明</w:t>
      </w:r>
      <w:r>
        <w:rPr>
          <w:rFonts w:hint="eastAsia" w:cs="宋体"/>
          <w:color w:val="auto"/>
          <w:highlight w:val="none"/>
          <w:lang w:val="en-US" w:eastAsia="zh-CN"/>
        </w:rPr>
        <w:t>及</w:t>
      </w:r>
      <w:r>
        <w:rPr>
          <w:rFonts w:hint="eastAsia" w:ascii="宋体" w:hAnsi="宋体" w:eastAsia="宋体" w:cs="宋体"/>
          <w:i w:val="0"/>
          <w:iCs w:val="0"/>
          <w:caps w:val="0"/>
          <w:color w:val="auto"/>
          <w:spacing w:val="0"/>
          <w:kern w:val="2"/>
          <w:sz w:val="24"/>
          <w:szCs w:val="24"/>
          <w:lang w:val="en-US" w:eastAsia="zh-CN" w:bidi="ar-SA"/>
        </w:rPr>
        <w:t>基本户开户证明</w:t>
      </w:r>
      <w:r>
        <w:rPr>
          <w:rFonts w:hint="eastAsia" w:cs="宋体"/>
          <w:color w:val="auto"/>
          <w:highlight w:val="none"/>
          <w:lang w:eastAsia="zh-CN"/>
        </w:rPr>
        <w:t>；</w:t>
      </w:r>
      <w:r>
        <w:rPr>
          <w:rFonts w:hint="eastAsia" w:ascii="宋体" w:hAnsi="宋体" w:cs="宋体"/>
          <w:color w:val="auto"/>
          <w:sz w:val="24"/>
          <w:szCs w:val="24"/>
        </w:rPr>
        <w:t>2025年以后新成立企业提供成立之日至开标前</w:t>
      </w:r>
      <w:r>
        <w:rPr>
          <w:rFonts w:hint="eastAsia" w:ascii="宋体" w:hAnsi="宋体" w:cs="宋体"/>
          <w:color w:val="auto"/>
          <w:sz w:val="24"/>
          <w:szCs w:val="24"/>
          <w:lang w:val="en-US" w:eastAsia="zh-CN"/>
        </w:rPr>
        <w:t>任意</w:t>
      </w:r>
      <w:r>
        <w:rPr>
          <w:rFonts w:hint="eastAsia" w:ascii="宋体" w:hAnsi="宋体" w:cs="宋体"/>
          <w:color w:val="auto"/>
          <w:sz w:val="24"/>
          <w:szCs w:val="24"/>
        </w:rPr>
        <w:t>一</w:t>
      </w:r>
      <w:r>
        <w:rPr>
          <w:rFonts w:hint="eastAsia" w:ascii="宋体" w:hAnsi="宋体" w:cs="宋体"/>
          <w:color w:val="auto"/>
          <w:sz w:val="24"/>
          <w:szCs w:val="24"/>
          <w:lang w:eastAsia="zh-CN"/>
        </w:rPr>
        <w:t>个</w:t>
      </w:r>
      <w:r>
        <w:rPr>
          <w:rFonts w:hint="eastAsia" w:ascii="宋体" w:hAnsi="宋体" w:cs="宋体"/>
          <w:color w:val="auto"/>
          <w:sz w:val="24"/>
          <w:szCs w:val="24"/>
        </w:rPr>
        <w:t>月的财务报表（至少包括资产负债表、现金流量表和利润表）</w:t>
      </w:r>
      <w:r>
        <w:rPr>
          <w:rFonts w:hint="eastAsia" w:ascii="宋体" w:hAnsi="宋体" w:eastAsia="宋体" w:cs="宋体"/>
          <w:color w:val="auto"/>
          <w:highlight w:val="none"/>
        </w:rPr>
        <w:t xml:space="preserve">其他组织和自然人提供银行出具的资信证明或财务报表； </w:t>
      </w:r>
    </w:p>
    <w:p w14:paraId="559B1AED">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3、社会保障资金缴纳证明：提供</w:t>
      </w:r>
      <w:r>
        <w:rPr>
          <w:rFonts w:hint="eastAsia" w:ascii="宋体" w:hAnsi="宋体" w:eastAsia="宋体" w:cs="宋体"/>
          <w:i w:val="0"/>
          <w:iCs w:val="0"/>
          <w:caps w:val="0"/>
          <w:color w:val="auto"/>
          <w:spacing w:val="0"/>
          <w:sz w:val="24"/>
          <w:szCs w:val="24"/>
          <w:shd w:val="clear" w:color="auto" w:fill="FFFFFF"/>
        </w:rPr>
        <w:t>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月1日至今</w:t>
      </w:r>
      <w:r>
        <w:rPr>
          <w:rFonts w:hint="eastAsia" w:ascii="宋体" w:hAnsi="宋体" w:eastAsia="宋体" w:cs="宋体"/>
          <w:color w:val="auto"/>
          <w:highlight w:val="none"/>
        </w:rPr>
        <w:t>已缴存的任意</w:t>
      </w:r>
      <w:r>
        <w:rPr>
          <w:rFonts w:hint="eastAsia" w:ascii="宋体" w:hAnsi="宋体" w:eastAsia="宋体" w:cs="宋体"/>
          <w:color w:val="auto"/>
          <w:highlight w:val="none"/>
          <w:lang w:val="en-US" w:eastAsia="zh-CN"/>
        </w:rPr>
        <w:t>一个月</w:t>
      </w:r>
      <w:r>
        <w:rPr>
          <w:rFonts w:hint="eastAsia" w:ascii="宋体" w:hAnsi="宋体" w:eastAsia="宋体" w:cs="宋体"/>
          <w:color w:val="auto"/>
          <w:highlight w:val="none"/>
        </w:rPr>
        <w:t xml:space="preserve">的社会保障资金缴存单据或社保机构开具的社会保险参保缴费情况证明；依法不需要缴纳社会保障资金的应提供相关文件证明； </w:t>
      </w:r>
    </w:p>
    <w:p w14:paraId="671ED58E">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4、税收缴纳证明：提供</w:t>
      </w:r>
      <w:r>
        <w:rPr>
          <w:rFonts w:hint="eastAsia" w:ascii="宋体" w:hAnsi="宋体" w:eastAsia="宋体" w:cs="宋体"/>
          <w:i w:val="0"/>
          <w:iCs w:val="0"/>
          <w:caps w:val="0"/>
          <w:color w:val="auto"/>
          <w:spacing w:val="0"/>
          <w:sz w:val="24"/>
          <w:szCs w:val="24"/>
          <w:shd w:val="clear" w:color="auto" w:fill="FFFFFF"/>
        </w:rPr>
        <w:t>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月1日至今</w:t>
      </w:r>
      <w:r>
        <w:rPr>
          <w:rFonts w:hint="eastAsia" w:ascii="宋体" w:hAnsi="宋体" w:eastAsia="宋体" w:cs="宋体"/>
          <w:color w:val="auto"/>
          <w:highlight w:val="none"/>
        </w:rPr>
        <w:t>已缴纳任意</w:t>
      </w:r>
      <w:r>
        <w:rPr>
          <w:rFonts w:hint="eastAsia" w:ascii="宋体" w:hAnsi="宋体" w:eastAsia="宋体" w:cs="宋体"/>
          <w:color w:val="auto"/>
          <w:highlight w:val="none"/>
          <w:lang w:val="en-US" w:eastAsia="zh-CN"/>
        </w:rPr>
        <w:t>一个月</w:t>
      </w:r>
      <w:r>
        <w:rPr>
          <w:rFonts w:hint="eastAsia" w:ascii="宋体" w:hAnsi="宋体" w:eastAsia="宋体" w:cs="宋体"/>
          <w:color w:val="auto"/>
          <w:highlight w:val="none"/>
        </w:rPr>
        <w:t>完税凭证或税务机关开具的完税证明（任意税种）；其他组织提供</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 xml:space="preserve">截止时间前六个月内缴纳税收的凭据；依法免税的应提供相关文件证明； </w:t>
      </w:r>
    </w:p>
    <w:p w14:paraId="5ACC8525">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5、提供具有履行本合同所必需的专业技术能力的声明；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原件</w:t>
      </w:r>
      <w:r>
        <w:rPr>
          <w:rFonts w:hint="eastAsia" w:ascii="宋体" w:hAnsi="宋体" w:eastAsia="宋体" w:cs="宋体"/>
          <w:color w:val="auto"/>
          <w:highlight w:val="none"/>
          <w:lang w:eastAsia="zh-CN"/>
        </w:rPr>
        <w:t>）</w:t>
      </w:r>
    </w:p>
    <w:p w14:paraId="5DDC23B0">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6、参加本次政府采购活动前3年内在经营活动中没有重大违纪，以及未被列入失信被执行人、重大税收违法案件当事人名单、政府采购严重违法失信行为记录名单的书面声明；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原件</w:t>
      </w:r>
      <w:r>
        <w:rPr>
          <w:rFonts w:hint="eastAsia" w:ascii="宋体" w:hAnsi="宋体" w:eastAsia="宋体" w:cs="宋体"/>
          <w:color w:val="auto"/>
          <w:highlight w:val="none"/>
          <w:lang w:eastAsia="zh-CN"/>
        </w:rPr>
        <w:t>）</w:t>
      </w:r>
    </w:p>
    <w:p w14:paraId="2C67B6C4">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、法定代表人直接参加</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的，须出具法人身份证,并与营业执照上信息一致；法定代表人授权代表参加</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 xml:space="preserve">的，须出具法定代表人授权书及授权代表身份证； </w:t>
      </w:r>
    </w:p>
    <w:p w14:paraId="0910DCAC">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lang w:eastAsia="zh-CN"/>
        </w:rPr>
      </w:pPr>
      <w:r>
        <w:rPr>
          <w:rFonts w:hint="eastAsia" w:cs="宋体"/>
          <w:color w:val="auto"/>
          <w:highlight w:val="none"/>
          <w:lang w:val="en-US" w:eastAsia="zh-CN"/>
        </w:rPr>
        <w:t>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color w:val="auto"/>
          <w:highlight w:val="none"/>
          <w:lang w:eastAsia="zh-CN"/>
        </w:rPr>
        <w:t>（</w:t>
      </w:r>
      <w:r>
        <w:rPr>
          <w:rFonts w:hint="eastAsia" w:ascii="宋体" w:hAnsi="宋体"/>
          <w:color w:val="auto"/>
          <w:sz w:val="24"/>
          <w:szCs w:val="24"/>
        </w:rPr>
        <w:t>以</w:t>
      </w:r>
      <w:r>
        <w:rPr>
          <w:rFonts w:hint="eastAsia" w:ascii="宋体" w:hAnsi="宋体"/>
          <w:color w:val="auto"/>
          <w:sz w:val="24"/>
          <w:szCs w:val="24"/>
          <w:lang w:val="en-US" w:eastAsia="zh-CN"/>
        </w:rPr>
        <w:t>响应</w:t>
      </w:r>
      <w:r>
        <w:rPr>
          <w:rFonts w:hint="eastAsia" w:ascii="宋体" w:hAnsi="宋体"/>
          <w:color w:val="auto"/>
          <w:sz w:val="24"/>
          <w:szCs w:val="24"/>
        </w:rPr>
        <w:t>文件中附网站截图为准，如未附截图或截图不清楚，则以</w:t>
      </w:r>
      <w:r>
        <w:rPr>
          <w:rFonts w:hint="eastAsia" w:ascii="宋体" w:hAnsi="宋体"/>
          <w:color w:val="auto"/>
          <w:sz w:val="24"/>
          <w:szCs w:val="24"/>
          <w:lang w:val="en-US" w:eastAsia="zh-CN"/>
        </w:rPr>
        <w:t>磋商</w:t>
      </w:r>
      <w:r>
        <w:rPr>
          <w:rFonts w:hint="eastAsia" w:ascii="宋体" w:hAnsi="宋体"/>
          <w:color w:val="auto"/>
          <w:sz w:val="24"/>
          <w:szCs w:val="24"/>
        </w:rPr>
        <w:t>会议</w:t>
      </w:r>
      <w:r>
        <w:rPr>
          <w:rFonts w:hint="eastAsia" w:ascii="宋体" w:hAnsi="宋体"/>
          <w:color w:val="auto"/>
          <w:sz w:val="24"/>
          <w:szCs w:val="24"/>
          <w:lang w:val="zh-CN"/>
        </w:rPr>
        <w:t>后的网站查询记录为准，并以截图形式留存</w:t>
      </w:r>
      <w:r>
        <w:rPr>
          <w:rFonts w:hint="eastAsia" w:ascii="宋体" w:hAnsi="宋体" w:eastAsia="宋体" w:cs="宋体"/>
          <w:color w:val="auto"/>
          <w:highlight w:val="none"/>
          <w:lang w:eastAsia="zh-CN"/>
        </w:rPr>
        <w:t>）</w:t>
      </w:r>
    </w:p>
    <w:p w14:paraId="1C53C06B">
      <w:pPr>
        <w:pStyle w:val="24"/>
        <w:pageBreakBefore w:val="0"/>
        <w:shd w:val="clear" w:color="auto"/>
        <w:kinsoku/>
        <w:wordWrap/>
        <w:overflowPunct/>
        <w:topLinePunct w:val="0"/>
        <w:bidi w:val="0"/>
        <w:snapToGrid/>
        <w:spacing w:beforeAutospacing="0" w:afterAutospacing="0" w:line="500" w:lineRule="exact"/>
        <w:ind w:firstLine="420"/>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9</w:t>
      </w:r>
      <w:r>
        <w:rPr>
          <w:rFonts w:hint="eastAsia" w:ascii="宋体" w:hAnsi="宋体" w:eastAsia="宋体" w:cs="宋体"/>
          <w:color w:val="auto"/>
          <w:highlight w:val="none"/>
          <w:lang w:val="en-US" w:eastAsia="zh-CN"/>
        </w:rPr>
        <w:t>、本项目专门面向中小企业采购，非中小企业单位（监狱企业、残疾人福利单位除外）不得参与磋商。（中小企业声明函）</w:t>
      </w:r>
    </w:p>
    <w:p w14:paraId="21688D97">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lang w:eastAsia="zh-CN"/>
        </w:rPr>
      </w:pPr>
      <w:r>
        <w:rPr>
          <w:rFonts w:hint="eastAsia" w:cs="宋体"/>
          <w:color w:val="auto"/>
          <w:highlight w:val="none"/>
          <w:lang w:val="en-US" w:eastAsia="zh-CN"/>
        </w:rPr>
        <w:t>10、</w:t>
      </w:r>
      <w:r>
        <w:rPr>
          <w:rFonts w:hint="eastAsia" w:ascii="宋体" w:hAnsi="宋体" w:eastAsia="宋体" w:cs="宋体"/>
          <w:i w:val="0"/>
          <w:iCs w:val="0"/>
          <w:caps w:val="0"/>
          <w:color w:val="auto"/>
          <w:spacing w:val="0"/>
          <w:sz w:val="24"/>
          <w:szCs w:val="24"/>
        </w:rPr>
        <w:t>单位负责人为同一人或者存在直接控股、管理关系的不同供应商，不得参加同一合同项下的政府采购活动</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声明</w:t>
      </w:r>
      <w:r>
        <w:rPr>
          <w:rFonts w:hint="eastAsia" w:ascii="宋体" w:hAnsi="宋体" w:eastAsia="宋体" w:cs="宋体"/>
          <w:i w:val="0"/>
          <w:iCs w:val="0"/>
          <w:caps w:val="0"/>
          <w:color w:val="auto"/>
          <w:spacing w:val="0"/>
          <w:sz w:val="24"/>
          <w:szCs w:val="24"/>
          <w:lang w:eastAsia="zh-CN"/>
        </w:rPr>
        <w:t>）</w:t>
      </w:r>
    </w:p>
    <w:p w14:paraId="02A736D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val="en-US" w:eastAsia="zh-CN"/>
        </w:rPr>
        <w:t>1</w:t>
      </w:r>
      <w:r>
        <w:rPr>
          <w:rFonts w:hint="eastAsia"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本项目不接受联合体磋商。</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声明</w:t>
      </w:r>
      <w:r>
        <w:rPr>
          <w:rFonts w:hint="eastAsia" w:ascii="宋体" w:hAnsi="宋体" w:eastAsia="宋体" w:cs="宋体"/>
          <w:i w:val="0"/>
          <w:iCs w:val="0"/>
          <w:caps w:val="0"/>
          <w:color w:val="auto"/>
          <w:spacing w:val="0"/>
          <w:sz w:val="24"/>
          <w:szCs w:val="24"/>
          <w:lang w:eastAsia="zh-CN"/>
        </w:rPr>
        <w:t>）</w:t>
      </w:r>
    </w:p>
    <w:p w14:paraId="3C83F972">
      <w:pPr>
        <w:spacing w:line="4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p w14:paraId="1C5CBF19">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1、所有资质证件的复印件必须加盖单位公章附在磋商响应文件中。</w:t>
      </w:r>
    </w:p>
    <w:p w14:paraId="51C8825B">
      <w:pPr>
        <w:spacing w:line="480" w:lineRule="auto"/>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2、上述资格证明文件为必备资格，缺项按无效</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处理。</w:t>
      </w:r>
      <w:r>
        <w:rPr>
          <w:rFonts w:hint="eastAsia" w:ascii="宋体" w:hAnsi="宋体" w:eastAsia="宋体" w:cs="宋体"/>
          <w:color w:val="auto"/>
          <w:kern w:val="0"/>
          <w:sz w:val="24"/>
          <w:szCs w:val="24"/>
          <w:highlight w:val="none"/>
        </w:rPr>
        <w:t>　　　　　</w:t>
      </w:r>
      <w:r>
        <w:rPr>
          <w:rFonts w:hint="eastAsia" w:ascii="宋体" w:hAnsi="宋体" w:eastAsia="宋体" w:cs="宋体"/>
          <w:b/>
          <w:bCs/>
          <w:color w:val="auto"/>
          <w:sz w:val="24"/>
          <w:szCs w:val="24"/>
          <w:highlight w:val="none"/>
        </w:rPr>
        <w:br w:type="page"/>
      </w:r>
      <w:bookmarkEnd w:id="96"/>
      <w:bookmarkEnd w:id="97"/>
      <w:bookmarkEnd w:id="98"/>
      <w:bookmarkEnd w:id="99"/>
      <w:r>
        <w:rPr>
          <w:rFonts w:hint="eastAsia" w:ascii="宋体" w:hAnsi="宋体" w:eastAsia="宋体" w:cs="宋体"/>
          <w:b/>
          <w:bCs/>
          <w:color w:val="auto"/>
          <w:sz w:val="32"/>
          <w:szCs w:val="32"/>
          <w:highlight w:val="none"/>
        </w:rPr>
        <w:t>附件1：</w:t>
      </w:r>
    </w:p>
    <w:p w14:paraId="33053CCC">
      <w:pPr>
        <w:widowControl/>
        <w:spacing w:line="360" w:lineRule="auto"/>
        <w:ind w:left="1"/>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参加政府采购活动前3年内在经营活动中没有重大违法纪录的书面声明</w:t>
      </w:r>
    </w:p>
    <w:p w14:paraId="1B62402F">
      <w:pPr>
        <w:widowControl/>
        <w:spacing w:line="360" w:lineRule="auto"/>
        <w:ind w:left="1"/>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（格式）</w:t>
      </w:r>
    </w:p>
    <w:p w14:paraId="0B0CFB47">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 xml:space="preserve">      （采购人）           ：</w:t>
      </w:r>
    </w:p>
    <w:p w14:paraId="670082B2">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我方作为项目名称</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（项目编号：</w:t>
      </w:r>
      <w:r>
        <w:rPr>
          <w:rFonts w:hint="eastAsia" w:ascii="宋体" w:hAnsi="宋体" w:eastAsia="宋体" w:cs="宋体"/>
          <w:i/>
          <w:iCs/>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）的投标人，在此郑重声明：</w:t>
      </w:r>
    </w:p>
    <w:p w14:paraId="1826E1FE">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1、在参加本次政府采购活动前3年内的经营活动中</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（填“没有”或“有”）重大违法记录。投标人在参加政府采购活动前3年内因违法经营被禁止在一定期限内参加政府采购活动，期限届满的，可以参加政府采购活动，但应提供期限届满的证明材料。 </w:t>
      </w:r>
    </w:p>
    <w:p w14:paraId="311F91D1">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（填“未被列入”或“被列入”）失信被执行人名单。</w:t>
      </w:r>
    </w:p>
    <w:p w14:paraId="5687F58D">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（填“未被列入”或“被列入”）重大税收违法案件当事人名单。 </w:t>
      </w:r>
    </w:p>
    <w:p w14:paraId="3C63551D">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（填“未被列入”或“被列入”）政府采购严重违法失信行为记录名单。 </w:t>
      </w:r>
    </w:p>
    <w:p w14:paraId="433EFA24">
      <w:pPr>
        <w:pStyle w:val="24"/>
        <w:keepNext w:val="0"/>
        <w:keepLines w:val="0"/>
        <w:pageBreakBefore w:val="0"/>
        <w:kinsoku/>
        <w:wordWrap w:val="0"/>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xml:space="preserve">如有不实，我方将无条件地退出本项目的采购活动，并遵照《政府采购法》有关“提供虚假材料的规定”接受处罚。 </w:t>
      </w:r>
    </w:p>
    <w:p w14:paraId="21F4B53F">
      <w:pPr>
        <w:keepNext w:val="0"/>
        <w:keepLines w:val="0"/>
        <w:pageBreakBefore w:val="0"/>
        <w:widowControl w:val="0"/>
        <w:kinsoku/>
        <w:wordWrap/>
        <w:overflowPunct w:val="0"/>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特此声明</w:t>
      </w:r>
    </w:p>
    <w:p w14:paraId="1246D75E">
      <w:pPr>
        <w:pStyle w:val="10"/>
        <w:rPr>
          <w:rFonts w:hint="eastAsia" w:ascii="宋体" w:hAnsi="宋体" w:eastAsia="宋体" w:cs="宋体"/>
          <w:color w:val="auto"/>
          <w:sz w:val="24"/>
          <w:szCs w:val="24"/>
          <w:highlight w:val="none"/>
          <w:lang w:val="en-US" w:eastAsia="zh-CN"/>
        </w:rPr>
      </w:pPr>
    </w:p>
    <w:p w14:paraId="6EC79C0E">
      <w:pPr>
        <w:keepNext w:val="0"/>
        <w:keepLines w:val="0"/>
        <w:pageBreakBefore w:val="0"/>
        <w:widowControl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auto"/>
          <w:sz w:val="24"/>
          <w:szCs w:val="24"/>
          <w:highlight w:val="none"/>
        </w:rPr>
      </w:pPr>
    </w:p>
    <w:p w14:paraId="660E896D">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5602D3FE">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3BA5ECC0">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CB4D05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3C851A0">
      <w:pPr>
        <w:spacing w:line="360" w:lineRule="auto"/>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附件2：</w:t>
      </w:r>
    </w:p>
    <w:p w14:paraId="6ED79E4A">
      <w:pPr>
        <w:spacing w:line="48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拒绝商业贿赂承诺书</w:t>
      </w:r>
    </w:p>
    <w:p w14:paraId="377CFB46">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为响应党中央、国务院关于治理政府采购领域商业贿赂行为的号召，我公司在此庄严承诺：</w:t>
      </w:r>
    </w:p>
    <w:p w14:paraId="4BE56A18">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1、在参与政府采购活动中遵纪守法、诚信经营、公平竞标。</w:t>
      </w:r>
    </w:p>
    <w:p w14:paraId="6BFB873E">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2、不向政府采购人、采购代理机构和政府采购评审专家进行任何形式的商业贿赂以谋取交易机会。</w:t>
      </w:r>
    </w:p>
    <w:p w14:paraId="4D457E84">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3、不向政府采购代理机构和采购人提供虚假资质证明文件或采用虚假应标方式参与政府采购市场竞争并谋取中标、成交。</w:t>
      </w:r>
    </w:p>
    <w:p w14:paraId="55BA8734">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4、不采取“围标、陪标”等商业欺诈手段获得政府采购订单。</w:t>
      </w:r>
    </w:p>
    <w:p w14:paraId="7AF920BD">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5、不采取不正当手段诋毁、排挤其他供应商。</w:t>
      </w:r>
    </w:p>
    <w:p w14:paraId="2110FB04">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6、不在提供商品和服务时“偷梁换柱、以次充好”损害采购人的合法权益。</w:t>
      </w:r>
    </w:p>
    <w:p w14:paraId="7EAA4CCA">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7、不与采购人、采购代理机构、政府采购评审专家或其它供应商恶意串通，进行质疑和投诉，维护政府采购市场秩序。</w:t>
      </w:r>
    </w:p>
    <w:p w14:paraId="07AF2FA5">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8、尊重和接受政府采购监督管理部门的监督和政府采购代理机构招标采购要求，承担因违约行为给采购人造成的损失。</w:t>
      </w:r>
    </w:p>
    <w:p w14:paraId="3BE52AF7">
      <w:pPr>
        <w:keepNext w:val="0"/>
        <w:keepLines w:val="0"/>
        <w:pageBreakBefore w:val="0"/>
        <w:widowControl w:val="0"/>
        <w:kinsoku/>
        <w:wordWrap/>
        <w:overflowPunct w:val="0"/>
        <w:topLinePunct w:val="0"/>
        <w:autoSpaceDE/>
        <w:autoSpaceDN/>
        <w:bidi w:val="0"/>
        <w:adjustRightInd/>
        <w:snapToGrid/>
        <w:spacing w:line="360" w:lineRule="auto"/>
        <w:ind w:firstLine="49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pacing w:val="4"/>
          <w:sz w:val="24"/>
          <w:szCs w:val="24"/>
          <w:highlight w:val="none"/>
        </w:rPr>
        <w:t>9、不发生其他有悖于政府采购公开、公平、公正和诚信原则的行为。</w:t>
      </w:r>
    </w:p>
    <w:p w14:paraId="166AA030">
      <w:pPr>
        <w:keepNext w:val="0"/>
        <w:keepLines w:val="0"/>
        <w:pageBreakBefore w:val="0"/>
        <w:widowControl w:val="0"/>
        <w:kinsoku/>
        <w:wordWrap/>
        <w:overflowPunct/>
        <w:topLinePunct w:val="0"/>
        <w:autoSpaceDE/>
        <w:autoSpaceDN/>
        <w:bidi w:val="0"/>
        <w:adjustRightInd/>
        <w:snapToGrid/>
        <w:spacing w:line="500" w:lineRule="exact"/>
        <w:ind w:left="0" w:leftChars="0" w:firstLine="2707" w:firstLineChars="1128"/>
        <w:textAlignment w:val="auto"/>
        <w:rPr>
          <w:rFonts w:hint="eastAsia" w:ascii="宋体" w:hAnsi="宋体" w:eastAsia="宋体" w:cs="宋体"/>
          <w:color w:val="auto"/>
          <w:sz w:val="24"/>
          <w:szCs w:val="24"/>
          <w:highlight w:val="none"/>
        </w:rPr>
      </w:pPr>
    </w:p>
    <w:p w14:paraId="73BB0D22">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3D60962D">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4744385C">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E6C474">
      <w:pPr>
        <w:tabs>
          <w:tab w:val="left" w:pos="-180"/>
        </w:tabs>
        <w:ind w:right="204" w:rightChars="85"/>
        <w:rPr>
          <w:rFonts w:hint="eastAsia" w:ascii="宋体" w:hAnsi="宋体" w:eastAsia="宋体" w:cs="宋体"/>
          <w:color w:val="auto"/>
          <w:sz w:val="24"/>
          <w:szCs w:val="24"/>
          <w:highlight w:val="none"/>
        </w:rPr>
      </w:pPr>
    </w:p>
    <w:p w14:paraId="679EC2B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782DABE">
      <w:pPr>
        <w:spacing w:line="360" w:lineRule="auto"/>
        <w:jc w:val="both"/>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eastAsia="zh-CN"/>
        </w:rPr>
        <w:t>：</w:t>
      </w:r>
    </w:p>
    <w:p w14:paraId="35E37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rPr>
      </w:pPr>
      <w:bookmarkStart w:id="130" w:name="_Toc28871_WPSOffice_Level3"/>
      <w:bookmarkStart w:id="131" w:name="_Toc29320_WPSOffice_Level2"/>
      <w:bookmarkStart w:id="132" w:name="_Toc18229_WPSOffice_Level2"/>
      <w:r>
        <w:rPr>
          <w:rFonts w:hint="eastAsia" w:ascii="宋体" w:hAnsi="宋体" w:eastAsia="宋体" w:cs="宋体"/>
          <w:b/>
          <w:color w:val="auto"/>
          <w:sz w:val="28"/>
          <w:szCs w:val="28"/>
          <w:highlight w:val="none"/>
        </w:rPr>
        <w:t>履行合同所必需的设备和专业技术能力的说明及承诺</w:t>
      </w:r>
      <w:bookmarkEnd w:id="130"/>
      <w:bookmarkEnd w:id="131"/>
      <w:bookmarkEnd w:id="132"/>
    </w:p>
    <w:p w14:paraId="183C98BA">
      <w:pPr>
        <w:pStyle w:val="14"/>
        <w:adjustRightInd w:val="0"/>
        <w:snapToGrid w:val="0"/>
        <w:spacing w:line="720" w:lineRule="exact"/>
        <w:jc w:val="center"/>
        <w:rPr>
          <w:rFonts w:hint="eastAsia" w:ascii="宋体" w:hAnsi="宋体" w:eastAsia="宋体" w:cs="宋体"/>
          <w:b/>
          <w:color w:val="auto"/>
          <w:sz w:val="44"/>
          <w:szCs w:val="44"/>
          <w:highlight w:val="none"/>
        </w:rPr>
      </w:pPr>
    </w:p>
    <w:p w14:paraId="58D7BD6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（采购人名称）    ：</w:t>
      </w:r>
    </w:p>
    <w:p w14:paraId="1FC9E2AD">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，其中与履行本合同相关的专业技术人员有（</w:t>
      </w:r>
      <w:r>
        <w:rPr>
          <w:rFonts w:hint="eastAsia" w:ascii="宋体" w:hAnsi="宋体" w:eastAsia="宋体" w:cs="宋体"/>
          <w:color w:val="auto"/>
          <w:spacing w:val="4"/>
          <w:sz w:val="24"/>
          <w:szCs w:val="24"/>
          <w:highlight w:val="none"/>
          <w:u w:val="single"/>
        </w:rPr>
        <w:t xml:space="preserve">             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5452FE1D">
      <w:pPr>
        <w:pStyle w:val="14"/>
        <w:adjustRightInd w:val="0"/>
        <w:snapToGrid w:val="0"/>
        <w:spacing w:line="720" w:lineRule="exact"/>
        <w:rPr>
          <w:rFonts w:hint="eastAsia" w:ascii="宋体" w:hAnsi="宋体" w:eastAsia="宋体" w:cs="宋体"/>
          <w:color w:val="auto"/>
          <w:spacing w:val="4"/>
          <w:sz w:val="24"/>
          <w:szCs w:val="24"/>
          <w:highlight w:val="none"/>
        </w:rPr>
      </w:pPr>
    </w:p>
    <w:p w14:paraId="6C1F38CD">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2FB5EDF4">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1322B8C3">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7DCF7D9">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p>
    <w:p w14:paraId="7CC4505A">
      <w:pPr>
        <w:pStyle w:val="4"/>
        <w:jc w:val="center"/>
        <w:rPr>
          <w:rFonts w:hint="eastAsia" w:ascii="宋体" w:hAnsi="宋体" w:eastAsia="宋体" w:cs="宋体"/>
          <w:color w:val="auto"/>
          <w:sz w:val="28"/>
          <w:szCs w:val="28"/>
          <w:highlight w:val="none"/>
        </w:rPr>
      </w:pPr>
      <w:bookmarkStart w:id="133" w:name="OLE_LINK13"/>
      <w:bookmarkStart w:id="134" w:name="OLE_LINK14"/>
      <w:r>
        <w:rPr>
          <w:rFonts w:hint="eastAsia" w:ascii="宋体" w:hAnsi="宋体" w:eastAsia="宋体" w:cs="宋体"/>
          <w:color w:val="auto"/>
          <w:sz w:val="28"/>
          <w:szCs w:val="28"/>
          <w:highlight w:val="none"/>
          <w:lang w:val="en-US" w:eastAsia="zh-CN"/>
        </w:rPr>
        <w:t>中小企业声明函（工程、服务）</w:t>
      </w:r>
    </w:p>
    <w:p w14:paraId="13E7B5F5">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1"/>
          <w:szCs w:val="21"/>
          <w:highlight w:val="none"/>
        </w:rPr>
        <w:t>（注：符合中小企业划型标准的企业请提供本函，不符合的不提供本函）</w:t>
      </w:r>
    </w:p>
    <w:p w14:paraId="2B23754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 xml:space="preserve"> 的</w:t>
      </w:r>
      <w:r>
        <w:rPr>
          <w:rFonts w:hint="eastAsia" w:ascii="宋体" w:hAnsi="宋体" w:eastAsia="宋体" w:cs="宋体"/>
          <w:color w:val="auto"/>
          <w:kern w:val="0"/>
          <w:sz w:val="24"/>
          <w:szCs w:val="24"/>
          <w:highlight w:val="none"/>
          <w:u w:val="single"/>
        </w:rPr>
        <w:t xml:space="preserve"> (项目名称) 采购</w:t>
      </w:r>
      <w:r>
        <w:rPr>
          <w:rFonts w:hint="eastAsia" w:ascii="宋体" w:hAnsi="宋体" w:eastAsia="宋体" w:cs="宋体"/>
          <w:color w:val="auto"/>
          <w:kern w:val="0"/>
          <w:sz w:val="24"/>
          <w:szCs w:val="24"/>
          <w:highlight w:val="none"/>
        </w:rPr>
        <w:t>活动，</w:t>
      </w:r>
      <w:r>
        <w:rPr>
          <w:rFonts w:hint="eastAsia" w:ascii="宋体" w:hAnsi="宋体" w:eastAsia="宋体" w:cs="宋体"/>
          <w:color w:val="auto"/>
          <w:kern w:val="0"/>
          <w:sz w:val="24"/>
          <w:szCs w:val="24"/>
          <w:highlight w:val="none"/>
          <w:lang w:val="en-US" w:eastAsia="zh-CN"/>
        </w:rPr>
        <w:t>工程的施工单位全部为符合政策要求的中小企业（或者：服务全部由符合政策要求的中小企业承接）。</w:t>
      </w:r>
      <w:r>
        <w:rPr>
          <w:rFonts w:hint="eastAsia" w:ascii="宋体" w:hAnsi="宋体" w:eastAsia="宋体" w:cs="宋体"/>
          <w:color w:val="auto"/>
          <w:kern w:val="0"/>
          <w:sz w:val="24"/>
          <w:szCs w:val="24"/>
          <w:highlight w:val="none"/>
        </w:rPr>
        <w:t>相关企业(含联合体中的中小企业、签订分包意向协议的中小企业)的具体情况如下：</w:t>
      </w:r>
    </w:p>
    <w:p w14:paraId="4C2327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(采购文件中明的所属行业)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承建（承接）企业为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(中型企必、小型企业、微型企业) </w:t>
      </w:r>
      <w:r>
        <w:rPr>
          <w:rFonts w:hint="eastAsia" w:ascii="宋体" w:hAnsi="宋体" w:eastAsia="宋体" w:cs="宋体"/>
          <w:color w:val="auto"/>
          <w:kern w:val="0"/>
          <w:sz w:val="24"/>
          <w:szCs w:val="24"/>
          <w:highlight w:val="none"/>
        </w:rPr>
        <w:t>；</w:t>
      </w:r>
    </w:p>
    <w:p w14:paraId="61A0C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(采购文件中明的所属行业)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承建（承接）企业为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(中型企必、小型企业、微型企业) </w:t>
      </w:r>
      <w:r>
        <w:rPr>
          <w:rFonts w:hint="eastAsia" w:ascii="宋体" w:hAnsi="宋体" w:eastAsia="宋体" w:cs="宋体"/>
          <w:color w:val="auto"/>
          <w:kern w:val="0"/>
          <w:sz w:val="24"/>
          <w:szCs w:val="24"/>
          <w:highlight w:val="none"/>
        </w:rPr>
        <w:t>；</w:t>
      </w:r>
    </w:p>
    <w:p w14:paraId="72539AB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BFEEC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3290DA9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34E72D0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7BA61D26">
      <w:pPr>
        <w:spacing w:line="560" w:lineRule="exact"/>
        <w:ind w:firstLine="4200" w:firstLineChars="17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14:paraId="79A57403">
      <w:pPr>
        <w:spacing w:line="560" w:lineRule="exact"/>
        <w:ind w:firstLine="4320" w:firstLineChars="18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094481DA">
      <w:pPr>
        <w:spacing w:line="560" w:lineRule="exact"/>
        <w:ind w:firstLine="5040" w:firstLineChars="1800"/>
        <w:rPr>
          <w:rFonts w:hint="eastAsia" w:ascii="宋体" w:hAnsi="宋体" w:eastAsia="宋体" w:cs="宋体"/>
          <w:color w:val="auto"/>
          <w:kern w:val="0"/>
          <w:sz w:val="28"/>
          <w:szCs w:val="28"/>
          <w:highlight w:val="none"/>
        </w:rPr>
      </w:pPr>
    </w:p>
    <w:p w14:paraId="7342AC40">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p>
    <w:p w14:paraId="107AF6FD">
      <w:pPr>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kern w:val="0"/>
          <w:sz w:val="22"/>
          <w:szCs w:val="22"/>
          <w:highlight w:val="none"/>
        </w:rPr>
        <w:t xml:space="preserve">（从业人员、营业收入、资产总额填报上一年度数据，无上一年度数据的新成立企业可不填报） </w:t>
      </w:r>
    </w:p>
    <w:p w14:paraId="304FCCFA">
      <w:pPr>
        <w:rPr>
          <w:rFonts w:hint="eastAsia" w:ascii="宋体" w:hAnsi="宋体" w:eastAsia="宋体" w:cs="宋体"/>
          <w:color w:val="auto"/>
          <w:sz w:val="28"/>
          <w:szCs w:val="28"/>
          <w:highlight w:val="none"/>
        </w:rPr>
      </w:pPr>
    </w:p>
    <w:p w14:paraId="015A246B">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p>
    <w:p w14:paraId="2167B642">
      <w:pPr>
        <w:pStyle w:val="4"/>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残疾人福利性单位声明函</w:t>
      </w:r>
    </w:p>
    <w:p w14:paraId="071907BF">
      <w:pPr>
        <w:pStyle w:val="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（注：符合</w:t>
      </w:r>
      <w:r>
        <w:rPr>
          <w:rFonts w:hint="eastAsia" w:ascii="宋体" w:hAnsi="宋体" w:eastAsia="宋体" w:cs="宋体"/>
          <w:color w:val="auto"/>
          <w:sz w:val="21"/>
          <w:szCs w:val="21"/>
          <w:highlight w:val="none"/>
          <w:lang w:val="en-US" w:eastAsia="zh-CN"/>
        </w:rPr>
        <w:t>残疾人福利性</w:t>
      </w:r>
      <w:r>
        <w:rPr>
          <w:rFonts w:hint="eastAsia" w:ascii="宋体" w:hAnsi="宋体" w:eastAsia="宋体" w:cs="宋体"/>
          <w:color w:val="auto"/>
          <w:sz w:val="21"/>
          <w:szCs w:val="21"/>
          <w:highlight w:val="none"/>
        </w:rPr>
        <w:t>的企业请提供本函，不符合的不提供本函）</w:t>
      </w:r>
    </w:p>
    <w:bookmarkEnd w:id="133"/>
    <w:bookmarkEnd w:id="134"/>
    <w:p w14:paraId="45C9F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3AF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0A12CC27">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 xml:space="preserve">              </w:t>
      </w:r>
    </w:p>
    <w:p w14:paraId="7FB4FB44">
      <w:pPr>
        <w:keepNext w:val="0"/>
        <w:keepLines w:val="0"/>
        <w:pageBreakBefore w:val="0"/>
        <w:widowControl w:val="0"/>
        <w:kinsoku/>
        <w:wordWrap/>
        <w:overflowPunct/>
        <w:topLinePunct w:val="0"/>
        <w:autoSpaceDE/>
        <w:autoSpaceDN/>
        <w:bidi w:val="0"/>
        <w:adjustRightInd/>
        <w:snapToGrid/>
        <w:spacing w:line="500" w:lineRule="exact"/>
        <w:ind w:left="1438" w:leftChars="599" w:firstLine="2740" w:firstLineChars="1142"/>
        <w:textAlignment w:val="auto"/>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残疾人福利性单位（盖公章）：</w:t>
      </w:r>
      <w:r>
        <w:rPr>
          <w:rFonts w:hint="eastAsia" w:ascii="宋体" w:hAnsi="宋体" w:eastAsia="宋体" w:cs="宋体"/>
          <w:color w:val="auto"/>
          <w:kern w:val="0"/>
          <w:sz w:val="24"/>
          <w:szCs w:val="20"/>
          <w:highlight w:val="none"/>
          <w:u w:val="single"/>
        </w:rPr>
        <w:t xml:space="preserve">                  </w:t>
      </w:r>
    </w:p>
    <w:p w14:paraId="6BC1D75F">
      <w:pPr>
        <w:keepNext w:val="0"/>
        <w:keepLines w:val="0"/>
        <w:pageBreakBefore w:val="0"/>
        <w:widowControl w:val="0"/>
        <w:kinsoku/>
        <w:wordWrap/>
        <w:overflowPunct/>
        <w:topLinePunct w:val="0"/>
        <w:autoSpaceDE/>
        <w:autoSpaceDN/>
        <w:bidi w:val="0"/>
        <w:adjustRightInd/>
        <w:snapToGrid/>
        <w:spacing w:line="500" w:lineRule="exact"/>
        <w:ind w:left="1438" w:leftChars="599" w:firstLine="2740" w:firstLineChars="1142"/>
        <w:textAlignment w:val="auto"/>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4"/>
          <w:highlight w:val="none"/>
        </w:rPr>
        <w:t xml:space="preserve">法定代表人或授权代表（签字）: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4"/>
          <w:highlight w:val="none"/>
        </w:rPr>
        <w:t xml:space="preserve">         </w:t>
      </w:r>
    </w:p>
    <w:p w14:paraId="67FD1E91">
      <w:pPr>
        <w:keepNext w:val="0"/>
        <w:keepLines w:val="0"/>
        <w:pageBreakBefore w:val="0"/>
        <w:widowControl w:val="0"/>
        <w:kinsoku/>
        <w:wordWrap/>
        <w:overflowPunct/>
        <w:topLinePunct w:val="0"/>
        <w:autoSpaceDE/>
        <w:autoSpaceDN/>
        <w:bidi w:val="0"/>
        <w:adjustRightInd/>
        <w:snapToGrid/>
        <w:spacing w:line="500" w:lineRule="exact"/>
        <w:ind w:firstLine="4080" w:firstLineChars="1700"/>
        <w:textAlignment w:val="auto"/>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日</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 w:val="24"/>
          <w:szCs w:val="20"/>
          <w:highlight w:val="none"/>
        </w:rPr>
        <w:t xml:space="preserve">  期：</w:t>
      </w:r>
      <w:r>
        <w:rPr>
          <w:rFonts w:hint="eastAsia" w:ascii="宋体" w:hAnsi="宋体" w:eastAsia="宋体" w:cs="宋体"/>
          <w:color w:val="auto"/>
          <w:kern w:val="0"/>
          <w:sz w:val="24"/>
          <w:szCs w:val="20"/>
          <w:highlight w:val="none"/>
          <w:u w:val="single"/>
        </w:rPr>
        <w:t xml:space="preserve">                             </w:t>
      </w:r>
    </w:p>
    <w:p w14:paraId="086A598D">
      <w:pPr>
        <w:spacing w:line="336" w:lineRule="auto"/>
        <w:ind w:firstLine="640" w:firstLineChars="200"/>
        <w:rPr>
          <w:rFonts w:hint="eastAsia" w:ascii="宋体" w:hAnsi="宋体" w:eastAsia="宋体" w:cs="宋体"/>
          <w:color w:val="auto"/>
          <w:sz w:val="32"/>
          <w:szCs w:val="32"/>
          <w:highlight w:val="none"/>
        </w:rPr>
      </w:pPr>
    </w:p>
    <w:p w14:paraId="4ACE62B7">
      <w:pPr>
        <w:pStyle w:val="5"/>
        <w:rPr>
          <w:rFonts w:hint="eastAsia" w:ascii="宋体" w:hAnsi="宋体" w:eastAsia="宋体" w:cs="宋体"/>
          <w:color w:val="auto"/>
          <w:sz w:val="32"/>
          <w:szCs w:val="32"/>
          <w:highlight w:val="none"/>
        </w:rPr>
      </w:pPr>
    </w:p>
    <w:p w14:paraId="3DF39B89">
      <w:pPr>
        <w:pStyle w:val="5"/>
        <w:rPr>
          <w:rFonts w:hint="eastAsia" w:ascii="宋体" w:hAnsi="宋体" w:eastAsia="宋体" w:cs="宋体"/>
          <w:color w:val="auto"/>
          <w:sz w:val="32"/>
          <w:szCs w:val="32"/>
          <w:highlight w:val="none"/>
        </w:rPr>
      </w:pPr>
    </w:p>
    <w:p w14:paraId="4C659446">
      <w:pPr>
        <w:pStyle w:val="5"/>
        <w:rPr>
          <w:rFonts w:hint="eastAsia" w:ascii="宋体" w:hAnsi="宋体" w:eastAsia="宋体" w:cs="宋体"/>
          <w:color w:val="auto"/>
          <w:sz w:val="32"/>
          <w:szCs w:val="32"/>
          <w:highlight w:val="none"/>
        </w:rPr>
      </w:pPr>
    </w:p>
    <w:p w14:paraId="4CBED311">
      <w:pPr>
        <w:spacing w:line="336" w:lineRule="auto"/>
        <w:ind w:firstLine="480" w:firstLineChars="20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t>备注：1.填写前请认真阅读《财政部 民政部 中国残疾人联合会关于促进残疾人就业政府采购政采的通知》(财库〔2017〕141号)相关规定。</w:t>
      </w:r>
    </w:p>
    <w:p w14:paraId="5414738B">
      <w:pPr>
        <w:pStyle w:val="10"/>
        <w:rPr>
          <w:rFonts w:hint="eastAsia" w:ascii="宋体" w:hAnsi="宋体" w:eastAsia="宋体" w:cs="宋体"/>
          <w:color w:val="auto"/>
          <w:sz w:val="24"/>
          <w:szCs w:val="24"/>
          <w:highlight w:val="none"/>
        </w:rPr>
        <w:sectPr>
          <w:headerReference r:id="rId10" w:type="default"/>
          <w:pgSz w:w="11906" w:h="16838"/>
          <w:pgMar w:top="1440" w:right="1800" w:bottom="1440" w:left="1800" w:header="850" w:footer="992" w:gutter="0"/>
          <w:pgNumType w:fmt="decimal"/>
          <w:cols w:space="0" w:num="1"/>
          <w:rtlGutter w:val="0"/>
          <w:docGrid w:type="lines" w:linePitch="326" w:charSpace="0"/>
        </w:sectPr>
      </w:pPr>
    </w:p>
    <w:p w14:paraId="1E16D8EC">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32"/>
          <w:szCs w:val="32"/>
          <w:highlight w:val="none"/>
        </w:rPr>
      </w:pPr>
      <w:bookmarkStart w:id="135" w:name="_Toc510525357"/>
      <w:bookmarkStart w:id="136" w:name="_Toc510524990"/>
      <w:bookmarkStart w:id="137" w:name="_Toc510526974"/>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rPr>
        <w:t>：</w:t>
      </w:r>
    </w:p>
    <w:p w14:paraId="7C1E894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28"/>
          <w:szCs w:val="28"/>
          <w:highlight w:val="none"/>
          <w:lang w:val="zh-CN"/>
        </w:rPr>
      </w:pPr>
      <w:bookmarkStart w:id="138" w:name="_Toc27459"/>
      <w:bookmarkStart w:id="139" w:name="_Toc2328"/>
      <w:r>
        <w:rPr>
          <w:rStyle w:val="88"/>
          <w:rFonts w:hint="eastAsia" w:ascii="宋体" w:hAnsi="宋体" w:eastAsia="宋体" w:cs="宋体"/>
          <w:color w:val="auto"/>
          <w:sz w:val="28"/>
          <w:szCs w:val="28"/>
          <w:highlight w:val="none"/>
          <w:lang w:val="zh-CN"/>
        </w:rPr>
        <w:t>供应商企业关联关系承诺书</w:t>
      </w:r>
      <w:bookmarkEnd w:id="135"/>
      <w:bookmarkEnd w:id="136"/>
      <w:bookmarkEnd w:id="137"/>
      <w:bookmarkEnd w:id="138"/>
      <w:bookmarkEnd w:id="139"/>
    </w:p>
    <w:p w14:paraId="7CEE3C0A">
      <w:pPr>
        <w:rPr>
          <w:rFonts w:hint="eastAsia" w:ascii="宋体" w:hAnsi="宋体" w:eastAsia="宋体" w:cs="宋体"/>
          <w:b/>
          <w:bCs/>
          <w:color w:val="auto"/>
          <w:szCs w:val="21"/>
          <w:highlight w:val="none"/>
          <w:lang w:val="zh-CN"/>
        </w:rPr>
      </w:pPr>
    </w:p>
    <w:p w14:paraId="513BB3B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1、供应商在本项目投标中，不存在</w:t>
      </w:r>
      <w:r>
        <w:rPr>
          <w:rFonts w:hint="eastAsia" w:ascii="宋体" w:hAnsi="宋体" w:eastAsia="宋体" w:cs="宋体"/>
          <w:i w:val="0"/>
          <w:iCs w:val="0"/>
          <w:caps w:val="0"/>
          <w:color w:val="auto"/>
          <w:spacing w:val="0"/>
          <w:sz w:val="24"/>
          <w:szCs w:val="24"/>
        </w:rPr>
        <w:t>单位负责人为同一人或者存在直接控股、管理关系的不同供应商，参加同一合同项下的政府采购活动</w:t>
      </w:r>
      <w:r>
        <w:rPr>
          <w:rFonts w:hint="eastAsia" w:ascii="宋体" w:hAnsi="宋体" w:eastAsia="宋体" w:cs="宋体"/>
          <w:color w:val="auto"/>
          <w:sz w:val="24"/>
          <w:szCs w:val="24"/>
          <w:highlight w:val="none"/>
        </w:rPr>
        <w:t>。</w:t>
      </w:r>
    </w:p>
    <w:p w14:paraId="7627B0FC">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-1、管理关系说明：</w:t>
      </w:r>
    </w:p>
    <w:p w14:paraId="5404FB5F">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7112A4">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B664C0">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-2、股权关系说明：</w:t>
      </w:r>
    </w:p>
    <w:p w14:paraId="4D1A46AE">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A3EB46">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413D19D">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-3、单位负责人：</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0875D6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、其他与本项目有关的利害关系说明：</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w:t>
      </w:r>
    </w:p>
    <w:p w14:paraId="1AF64A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、我单位未为本次采购项目提供整体设计、规范编制或者项目管理、监理、检测等服务。</w:t>
      </w:r>
    </w:p>
    <w:p w14:paraId="3F18D591">
      <w:pPr>
        <w:autoSpaceDE w:val="0"/>
        <w:autoSpaceDN w:val="0"/>
        <w:adjustRightInd w:val="0"/>
        <w:spacing w:line="360" w:lineRule="auto"/>
        <w:rPr>
          <w:rFonts w:hint="eastAsia" w:ascii="宋体" w:hAnsi="宋体" w:eastAsia="宋体" w:cs="宋体"/>
          <w:color w:val="auto"/>
          <w:sz w:val="24"/>
          <w:szCs w:val="24"/>
          <w:highlight w:val="none"/>
        </w:rPr>
      </w:pPr>
    </w:p>
    <w:p w14:paraId="2A0F3E9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426DF3E0">
      <w:pPr>
        <w:autoSpaceDE w:val="0"/>
        <w:autoSpaceDN w:val="0"/>
        <w:adjustRightInd w:val="0"/>
        <w:snapToGrid w:val="0"/>
        <w:spacing w:line="360" w:lineRule="auto"/>
        <w:ind w:firstLine="480" w:firstLineChars="200"/>
        <w:rPr>
          <w:rFonts w:hint="eastAsia" w:ascii="宋体" w:hAnsi="宋体" w:eastAsia="宋体" w:cs="宋体"/>
          <w:color w:val="auto"/>
          <w:szCs w:val="21"/>
          <w:highlight w:val="none"/>
        </w:rPr>
      </w:pPr>
    </w:p>
    <w:p w14:paraId="38047E9C">
      <w:pPr>
        <w:autoSpaceDE w:val="0"/>
        <w:autoSpaceDN w:val="0"/>
        <w:adjustRightInd w:val="0"/>
        <w:snapToGrid w:val="0"/>
        <w:spacing w:line="360" w:lineRule="auto"/>
        <w:ind w:firstLine="480" w:firstLineChars="200"/>
        <w:rPr>
          <w:rFonts w:hint="eastAsia" w:ascii="宋体" w:hAnsi="宋体" w:eastAsia="宋体" w:cs="宋体"/>
          <w:color w:val="auto"/>
          <w:szCs w:val="21"/>
          <w:highlight w:val="none"/>
        </w:rPr>
      </w:pPr>
    </w:p>
    <w:p w14:paraId="579E641C">
      <w:pPr>
        <w:autoSpaceDE w:val="0"/>
        <w:autoSpaceDN w:val="0"/>
        <w:adjustRightInd w:val="0"/>
        <w:snapToGrid w:val="0"/>
        <w:spacing w:line="360" w:lineRule="auto"/>
        <w:ind w:firstLine="482" w:firstLineChars="200"/>
        <w:jc w:val="center"/>
        <w:rPr>
          <w:rFonts w:hint="eastAsia" w:ascii="宋体" w:hAnsi="宋体" w:eastAsia="宋体" w:cs="宋体"/>
          <w:b/>
          <w:color w:val="auto"/>
          <w:szCs w:val="21"/>
          <w:highlight w:val="none"/>
        </w:rPr>
      </w:pPr>
    </w:p>
    <w:p w14:paraId="74BB9D82">
      <w:pPr>
        <w:spacing w:line="360" w:lineRule="auto"/>
        <w:ind w:firstLine="2640" w:firstLineChars="1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4E87D6ED">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15C943DC">
      <w:pPr>
        <w:pStyle w:val="46"/>
        <w:ind w:left="0" w:leftChars="0" w:firstLine="2640" w:firstLineChars="1100"/>
        <w:jc w:val="left"/>
        <w:rPr>
          <w:rFonts w:hint="eastAsia" w:ascii="宋体" w:hAnsi="宋体" w:cs="宋体"/>
          <w:color w:val="auto"/>
          <w:lang w:val="zh-CN"/>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40416A">
      <w:pPr>
        <w:rPr>
          <w:rFonts w:hint="eastAsia" w:ascii="宋体" w:hAnsi="宋体" w:eastAsia="宋体" w:cs="宋体"/>
          <w:color w:val="auto"/>
          <w:szCs w:val="21"/>
          <w:highlight w:val="none"/>
        </w:rPr>
        <w:sectPr>
          <w:pgSz w:w="11906" w:h="16838"/>
          <w:pgMar w:top="1440" w:right="1800" w:bottom="1440" w:left="1800" w:header="850" w:footer="992" w:gutter="0"/>
          <w:pgNumType w:fmt="decimal"/>
          <w:cols w:space="0" w:num="1"/>
          <w:rtlGutter w:val="0"/>
          <w:docGrid w:type="lines" w:linePitch="326" w:charSpace="0"/>
        </w:sectPr>
      </w:pPr>
      <w:r>
        <w:rPr>
          <w:rFonts w:hint="eastAsia" w:ascii="宋体" w:hAnsi="宋体" w:eastAsia="宋体" w:cs="宋体"/>
          <w:color w:val="auto"/>
          <w:szCs w:val="21"/>
          <w:highlight w:val="none"/>
        </w:rPr>
        <w:t xml:space="preserve">       </w:t>
      </w:r>
    </w:p>
    <w:p w14:paraId="15ACCCC3">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w:t>
      </w:r>
    </w:p>
    <w:p w14:paraId="0B5580D7">
      <w:pPr>
        <w:spacing w:line="560" w:lineRule="exact"/>
        <w:ind w:firstLine="643" w:firstLineChars="200"/>
        <w:jc w:val="center"/>
        <w:rPr>
          <w:rFonts w:hint="eastAsia" w:ascii="宋体" w:hAnsi="宋体" w:eastAsia="宋体" w:cs="宋体"/>
          <w:b/>
          <w:bCs/>
          <w:color w:val="auto"/>
          <w:sz w:val="32"/>
          <w:szCs w:val="32"/>
          <w:lang w:val="en-US" w:eastAsia="zh-CN"/>
        </w:rPr>
      </w:pPr>
    </w:p>
    <w:p w14:paraId="189A193A">
      <w:pPr>
        <w:spacing w:line="560" w:lineRule="exact"/>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非联合体投标</w:t>
      </w:r>
      <w:r>
        <w:rPr>
          <w:rFonts w:hint="eastAsia" w:ascii="宋体" w:hAnsi="宋体" w:eastAsia="宋体" w:cs="宋体"/>
          <w:b/>
          <w:bCs/>
          <w:color w:val="auto"/>
          <w:sz w:val="24"/>
          <w:szCs w:val="24"/>
        </w:rPr>
        <w:t>声明</w:t>
      </w:r>
    </w:p>
    <w:p w14:paraId="77B449B5">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4"/>
          <w:sz w:val="24"/>
          <w:szCs w:val="24"/>
          <w:u w:val="single"/>
        </w:rPr>
        <w:t>（采购人名称）</w:t>
      </w:r>
      <w:r>
        <w:rPr>
          <w:rFonts w:hint="eastAsia" w:ascii="宋体" w:hAnsi="宋体" w:eastAsia="宋体" w:cs="宋体"/>
          <w:color w:val="auto"/>
          <w:sz w:val="24"/>
          <w:szCs w:val="24"/>
        </w:rPr>
        <w:t>：</w:t>
      </w:r>
    </w:p>
    <w:p w14:paraId="33F50F1B">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我方作为</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rPr>
        <w:t>）的投标供应商，在此郑重声明：</w:t>
      </w:r>
    </w:p>
    <w:p w14:paraId="1D3C7EDB">
      <w:pPr>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我单位非联合体参加本项目投标。</w:t>
      </w:r>
    </w:p>
    <w:p w14:paraId="5E85BAEB">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2294978">
      <w:pPr>
        <w:spacing w:line="560" w:lineRule="exact"/>
        <w:ind w:firstLine="560" w:firstLineChars="200"/>
        <w:jc w:val="both"/>
        <w:rPr>
          <w:rFonts w:hint="eastAsia" w:ascii="宋体" w:hAnsi="宋体" w:eastAsia="宋体" w:cs="宋体"/>
          <w:color w:val="auto"/>
          <w:sz w:val="28"/>
          <w:szCs w:val="28"/>
        </w:rPr>
      </w:pPr>
    </w:p>
    <w:p w14:paraId="7256194B">
      <w:pPr>
        <w:spacing w:line="360" w:lineRule="auto"/>
        <w:ind w:firstLine="2640" w:firstLineChars="1100"/>
        <w:jc w:val="left"/>
        <w:rPr>
          <w:rFonts w:hint="eastAsia" w:ascii="宋体" w:hAnsi="宋体" w:eastAsia="宋体" w:cs="宋体"/>
          <w:color w:val="auto"/>
          <w:sz w:val="24"/>
          <w:szCs w:val="24"/>
          <w:highlight w:val="none"/>
          <w:u w:val="single"/>
        </w:rPr>
      </w:pPr>
      <w:bookmarkStart w:id="140" w:name="_Toc27421"/>
      <w:bookmarkStart w:id="141" w:name="_Toc5397"/>
      <w:bookmarkStart w:id="142" w:name="_Toc21488"/>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lang w:eastAsia="zh-CN"/>
        </w:rPr>
        <w:t>公章</w:t>
      </w:r>
      <w:r>
        <w:rPr>
          <w:rFonts w:hint="eastAsia" w:ascii="宋体" w:hAnsi="宋体" w:eastAsia="宋体" w:cs="宋体"/>
          <w:color w:val="auto"/>
          <w:sz w:val="24"/>
          <w:szCs w:val="24"/>
          <w:highlight w:val="none"/>
        </w:rPr>
        <w:t>）</w:t>
      </w:r>
    </w:p>
    <w:p w14:paraId="4E4C78B9">
      <w:pPr>
        <w:spacing w:line="360" w:lineRule="auto"/>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(签字或盖章)</w:t>
      </w:r>
    </w:p>
    <w:p w14:paraId="7F18863F">
      <w:pPr>
        <w:pStyle w:val="46"/>
        <w:ind w:left="0" w:leftChars="0" w:firstLine="2640" w:firstLineChars="1100"/>
        <w:jc w:val="left"/>
        <w:rPr>
          <w:rFonts w:hint="eastAsia" w:ascii="宋体" w:hAnsi="宋体" w:cs="宋体"/>
          <w:color w:val="auto"/>
          <w:sz w:val="24"/>
        </w:rPr>
      </w:pPr>
      <w:r>
        <w:rPr>
          <w:rFonts w:hint="eastAsia" w:ascii="宋体" w:hAnsi="宋体" w:eastAsia="宋体" w:cs="宋体"/>
          <w:color w:val="auto"/>
          <w:sz w:val="24"/>
          <w:szCs w:val="24"/>
          <w:highlight w:val="none"/>
        </w:rPr>
        <w:t>日      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4B91074">
      <w:pPr>
        <w:pStyle w:val="46"/>
        <w:ind w:left="0" w:leftChars="0" w:firstLine="2640" w:firstLineChars="1100"/>
        <w:jc w:val="left"/>
        <w:rPr>
          <w:rFonts w:hint="eastAsia" w:ascii="宋体" w:hAnsi="宋体" w:cs="宋体"/>
          <w:color w:val="auto"/>
          <w:sz w:val="24"/>
        </w:rPr>
      </w:pPr>
    </w:p>
    <w:p w14:paraId="3213DF20">
      <w:pPr>
        <w:rPr>
          <w:rFonts w:hint="eastAsia" w:ascii="宋体" w:hAnsi="宋体" w:cs="宋体"/>
          <w:color w:val="auto"/>
          <w:sz w:val="24"/>
          <w:lang w:val="zh-CN"/>
        </w:rPr>
      </w:pPr>
      <w:r>
        <w:rPr>
          <w:rFonts w:hint="eastAsia" w:ascii="宋体" w:hAnsi="宋体" w:cs="宋体"/>
          <w:color w:val="auto"/>
          <w:sz w:val="24"/>
          <w:lang w:val="zh-CN"/>
        </w:rPr>
        <w:br w:type="page"/>
      </w:r>
    </w:p>
    <w:p w14:paraId="6FA00B19">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其他资料</w:t>
      </w:r>
      <w:bookmarkEnd w:id="140"/>
      <w:bookmarkEnd w:id="141"/>
      <w:bookmarkEnd w:id="142"/>
    </w:p>
    <w:p w14:paraId="42FB0D35">
      <w:pPr>
        <w:pStyle w:val="13"/>
        <w:numPr>
          <w:ilvl w:val="0"/>
          <w:numId w:val="0"/>
        </w:numPr>
        <w:ind w:leftChars="0" w:right="33" w:rightChars="0"/>
        <w:rPr>
          <w:rFonts w:hint="default" w:eastAsia="宋体"/>
          <w:color w:val="auto"/>
          <w:lang w:val="en-US" w:eastAsia="zh-CN"/>
        </w:rPr>
      </w:pPr>
      <w:r>
        <w:rPr>
          <w:rFonts w:hint="eastAsia"/>
          <w:color w:val="auto"/>
          <w:lang w:val="en-US" w:eastAsia="zh-CN"/>
        </w:rPr>
        <w:t>供应商认为需要提供的其他资料</w:t>
      </w:r>
    </w:p>
    <w:p w14:paraId="2FBDFA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p>
    <w:sectPr>
      <w:pgSz w:w="11906" w:h="16838"/>
      <w:pgMar w:top="1440" w:right="1800" w:bottom="1440" w:left="1800" w:header="85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5DB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68E5">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CC0A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8CC0A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3EB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E519E">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1E519E">
                    <w:pPr>
                      <w:pStyle w:val="1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092F">
    <w:pPr>
      <w:pStyle w:val="18"/>
      <w:pBdr>
        <w:bottom w:val="none" w:color="auto" w:sz="0" w:space="1"/>
      </w:pBdr>
      <w:spacing w:before="100" w:beforeAutospacing="1" w:after="100" w:afterAutospacing="1"/>
      <w:jc w:val="left"/>
      <w:rPr>
        <w:rFonts w:hint="default" w:ascii="仿宋" w:hAnsi="仿宋" w:eastAsia="仿宋" w:cs="仿宋"/>
        <w:i w:val="0"/>
        <w:caps w:val="0"/>
        <w:color w:val="auto"/>
        <w:spacing w:val="0"/>
        <w:sz w:val="21"/>
        <w:szCs w:val="21"/>
        <w:highlight w:val="none"/>
        <w:shd w:val="clear" w:fill="FFFFFF"/>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C59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CFD35">
    <w:pPr>
      <w:pStyle w:val="18"/>
      <w:pBdr>
        <w:bottom w:val="none" w:color="auto" w:sz="0" w:space="1"/>
      </w:pBdr>
      <w:spacing w:before="100" w:beforeAutospacing="1" w:after="100" w:afterAutospacing="1"/>
      <w:jc w:val="left"/>
      <w:rPr>
        <w:rFonts w:hint="default" w:ascii="仿宋" w:hAnsi="仿宋" w:eastAsia="仿宋" w:cs="仿宋"/>
        <w:i w:val="0"/>
        <w:caps w:val="0"/>
        <w:color w:val="auto"/>
        <w:spacing w:val="0"/>
        <w:sz w:val="21"/>
        <w:szCs w:val="21"/>
        <w:highlight w:val="none"/>
        <w:shd w:val="clear" w:fill="FFFFFF"/>
        <w:lang w:val="en-US" w:eastAsia="zh-CN"/>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A1E1B"/>
    <w:multiLevelType w:val="singleLevel"/>
    <w:tmpl w:val="A12A1E1B"/>
    <w:lvl w:ilvl="0" w:tentative="0">
      <w:start w:val="1"/>
      <w:numFmt w:val="chineseCounting"/>
      <w:suff w:val="nothing"/>
      <w:lvlText w:val="%1、"/>
      <w:lvlJc w:val="left"/>
      <w:rPr>
        <w:rFonts w:hint="eastAsia"/>
      </w:rPr>
    </w:lvl>
  </w:abstractNum>
  <w:abstractNum w:abstractNumId="1">
    <w:nsid w:val="E5F76844"/>
    <w:multiLevelType w:val="singleLevel"/>
    <w:tmpl w:val="E5F76844"/>
    <w:lvl w:ilvl="0" w:tentative="0">
      <w:start w:val="1"/>
      <w:numFmt w:val="decimal"/>
      <w:lvlText w:val="%1)"/>
      <w:lvlJc w:val="left"/>
      <w:pPr>
        <w:ind w:left="425" w:hanging="425"/>
      </w:pPr>
      <w:rPr>
        <w:rFonts w:hint="default"/>
      </w:rPr>
    </w:lvl>
  </w:abstractNum>
  <w:abstractNum w:abstractNumId="2">
    <w:nsid w:val="F73E3CB0"/>
    <w:multiLevelType w:val="singleLevel"/>
    <w:tmpl w:val="F73E3CB0"/>
    <w:lvl w:ilvl="0" w:tentative="0">
      <w:start w:val="1"/>
      <w:numFmt w:val="decimal"/>
      <w:suff w:val="nothing"/>
      <w:lvlText w:val="（%1）"/>
      <w:lvlJc w:val="left"/>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2F1853BA"/>
    <w:multiLevelType w:val="singleLevel"/>
    <w:tmpl w:val="2F1853BA"/>
    <w:lvl w:ilvl="0" w:tentative="0">
      <w:start w:val="3"/>
      <w:numFmt w:val="chineseCounting"/>
      <w:suff w:val="space"/>
      <w:lvlText w:val="第%1章"/>
      <w:lvlJc w:val="left"/>
      <w:rPr>
        <w:rFonts w:hint="eastAsia"/>
      </w:rPr>
    </w:lvl>
  </w:abstractNum>
  <w:abstractNum w:abstractNumId="5">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85"/>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7">
    <w:nsid w:val="67DE2896"/>
    <w:multiLevelType w:val="singleLevel"/>
    <w:tmpl w:val="67DE2896"/>
    <w:lvl w:ilvl="0" w:tentative="0">
      <w:start w:val="1"/>
      <w:numFmt w:val="decimal"/>
      <w:suff w:val="nothing"/>
      <w:lvlText w:val="%1、"/>
      <w:lvlJc w:val="left"/>
    </w:lvl>
  </w:abstractNum>
  <w:num w:numId="1">
    <w:abstractNumId w:val="6"/>
  </w:num>
  <w:num w:numId="2">
    <w:abstractNumId w:val="2"/>
  </w:num>
  <w:num w:numId="3">
    <w:abstractNumId w:val="5"/>
  </w:num>
  <w:num w:numId="4">
    <w:abstractNumId w:val="1"/>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ZDc5NmQzM2Q3NjczNjQzMjg2YjRkZWQzNThmY2IifQ=="/>
  </w:docVars>
  <w:rsids>
    <w:rsidRoot w:val="00BE678D"/>
    <w:rsid w:val="00043A0D"/>
    <w:rsid w:val="00045B6E"/>
    <w:rsid w:val="000603FA"/>
    <w:rsid w:val="000638A2"/>
    <w:rsid w:val="00065903"/>
    <w:rsid w:val="00081C0A"/>
    <w:rsid w:val="00097497"/>
    <w:rsid w:val="000A1623"/>
    <w:rsid w:val="000A3DD3"/>
    <w:rsid w:val="000C5BA5"/>
    <w:rsid w:val="00116A4C"/>
    <w:rsid w:val="001332DA"/>
    <w:rsid w:val="0013754F"/>
    <w:rsid w:val="0017228C"/>
    <w:rsid w:val="001869C2"/>
    <w:rsid w:val="001957A3"/>
    <w:rsid w:val="001B077F"/>
    <w:rsid w:val="001C1793"/>
    <w:rsid w:val="001C537A"/>
    <w:rsid w:val="001C5604"/>
    <w:rsid w:val="001C6B15"/>
    <w:rsid w:val="001E2635"/>
    <w:rsid w:val="001E7A82"/>
    <w:rsid w:val="001F0C83"/>
    <w:rsid w:val="001F1D2C"/>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62517"/>
    <w:rsid w:val="00380DE0"/>
    <w:rsid w:val="003B6127"/>
    <w:rsid w:val="00406165"/>
    <w:rsid w:val="004135EA"/>
    <w:rsid w:val="00417FCE"/>
    <w:rsid w:val="004432F6"/>
    <w:rsid w:val="00445A69"/>
    <w:rsid w:val="004477EC"/>
    <w:rsid w:val="00453A4D"/>
    <w:rsid w:val="00461338"/>
    <w:rsid w:val="00463C9F"/>
    <w:rsid w:val="0047751D"/>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94149"/>
    <w:rsid w:val="006B7F3A"/>
    <w:rsid w:val="006E2448"/>
    <w:rsid w:val="00723B28"/>
    <w:rsid w:val="00735671"/>
    <w:rsid w:val="0076040A"/>
    <w:rsid w:val="00777C69"/>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95466"/>
    <w:rsid w:val="009A144B"/>
    <w:rsid w:val="009F2933"/>
    <w:rsid w:val="009F70E2"/>
    <w:rsid w:val="00A002E6"/>
    <w:rsid w:val="00A10043"/>
    <w:rsid w:val="00A66BCB"/>
    <w:rsid w:val="00A764EE"/>
    <w:rsid w:val="00AB124C"/>
    <w:rsid w:val="00AB4FC8"/>
    <w:rsid w:val="00B6188F"/>
    <w:rsid w:val="00B719B3"/>
    <w:rsid w:val="00BA025B"/>
    <w:rsid w:val="00BA514C"/>
    <w:rsid w:val="00BA7350"/>
    <w:rsid w:val="00BB142F"/>
    <w:rsid w:val="00BB6F64"/>
    <w:rsid w:val="00BD5B2C"/>
    <w:rsid w:val="00BE0CF2"/>
    <w:rsid w:val="00BE678D"/>
    <w:rsid w:val="00BF552B"/>
    <w:rsid w:val="00BF779E"/>
    <w:rsid w:val="00C0521C"/>
    <w:rsid w:val="00CD6D09"/>
    <w:rsid w:val="00CD7136"/>
    <w:rsid w:val="00D0131F"/>
    <w:rsid w:val="00D2725C"/>
    <w:rsid w:val="00D44584"/>
    <w:rsid w:val="00D83D23"/>
    <w:rsid w:val="00DD2551"/>
    <w:rsid w:val="00DE2005"/>
    <w:rsid w:val="00DE66FD"/>
    <w:rsid w:val="00DF5EF5"/>
    <w:rsid w:val="00E0176B"/>
    <w:rsid w:val="00E35798"/>
    <w:rsid w:val="00E465C0"/>
    <w:rsid w:val="00E6049B"/>
    <w:rsid w:val="00E84589"/>
    <w:rsid w:val="00E935CE"/>
    <w:rsid w:val="00E96FDA"/>
    <w:rsid w:val="00EC1593"/>
    <w:rsid w:val="00EC75E0"/>
    <w:rsid w:val="00F305B0"/>
    <w:rsid w:val="00F43F53"/>
    <w:rsid w:val="00F6122D"/>
    <w:rsid w:val="00F83CE9"/>
    <w:rsid w:val="00F876E7"/>
    <w:rsid w:val="00FC5E29"/>
    <w:rsid w:val="00FE6836"/>
    <w:rsid w:val="01B46F2C"/>
    <w:rsid w:val="02066D67"/>
    <w:rsid w:val="023365BF"/>
    <w:rsid w:val="029C5DD0"/>
    <w:rsid w:val="02BD5294"/>
    <w:rsid w:val="02C66169"/>
    <w:rsid w:val="03195EB8"/>
    <w:rsid w:val="036D40FE"/>
    <w:rsid w:val="039E22F4"/>
    <w:rsid w:val="04D22ADA"/>
    <w:rsid w:val="051E6132"/>
    <w:rsid w:val="056D58A2"/>
    <w:rsid w:val="05932C6E"/>
    <w:rsid w:val="05B6269C"/>
    <w:rsid w:val="06583168"/>
    <w:rsid w:val="065F1A39"/>
    <w:rsid w:val="066A74E3"/>
    <w:rsid w:val="071B5892"/>
    <w:rsid w:val="074E34C4"/>
    <w:rsid w:val="077243D1"/>
    <w:rsid w:val="07A237BB"/>
    <w:rsid w:val="07CA07CF"/>
    <w:rsid w:val="07F84193"/>
    <w:rsid w:val="087C7181"/>
    <w:rsid w:val="08D315F8"/>
    <w:rsid w:val="09B32C87"/>
    <w:rsid w:val="09D70F07"/>
    <w:rsid w:val="09E02E6F"/>
    <w:rsid w:val="0A03249E"/>
    <w:rsid w:val="0A03574F"/>
    <w:rsid w:val="0A0B19A8"/>
    <w:rsid w:val="0A2637BC"/>
    <w:rsid w:val="0A494260"/>
    <w:rsid w:val="0A4A0067"/>
    <w:rsid w:val="0A4B74A5"/>
    <w:rsid w:val="0A803381"/>
    <w:rsid w:val="0A825B11"/>
    <w:rsid w:val="0B9D7606"/>
    <w:rsid w:val="0BB137ED"/>
    <w:rsid w:val="0C443F60"/>
    <w:rsid w:val="0CC32696"/>
    <w:rsid w:val="0CDB5F8D"/>
    <w:rsid w:val="0D1F2030"/>
    <w:rsid w:val="0D1F3617"/>
    <w:rsid w:val="0DAB2E51"/>
    <w:rsid w:val="0E464928"/>
    <w:rsid w:val="0E4D215A"/>
    <w:rsid w:val="0E9C375D"/>
    <w:rsid w:val="0EA00BF8"/>
    <w:rsid w:val="0EC71F0D"/>
    <w:rsid w:val="0F6016B2"/>
    <w:rsid w:val="0F692FC4"/>
    <w:rsid w:val="0FC715D8"/>
    <w:rsid w:val="10025A51"/>
    <w:rsid w:val="10755AE8"/>
    <w:rsid w:val="10783E6C"/>
    <w:rsid w:val="10862995"/>
    <w:rsid w:val="10CB4116"/>
    <w:rsid w:val="10D4477D"/>
    <w:rsid w:val="10F437D3"/>
    <w:rsid w:val="111E7A3F"/>
    <w:rsid w:val="117D028D"/>
    <w:rsid w:val="117F6C7E"/>
    <w:rsid w:val="11BA3381"/>
    <w:rsid w:val="11BF02AB"/>
    <w:rsid w:val="126F44AE"/>
    <w:rsid w:val="12AF63E3"/>
    <w:rsid w:val="12BD2907"/>
    <w:rsid w:val="13370B86"/>
    <w:rsid w:val="136B4277"/>
    <w:rsid w:val="13BA418A"/>
    <w:rsid w:val="144E7D68"/>
    <w:rsid w:val="14814BAE"/>
    <w:rsid w:val="14AE4E9E"/>
    <w:rsid w:val="14EB6091"/>
    <w:rsid w:val="15364DB8"/>
    <w:rsid w:val="155213EE"/>
    <w:rsid w:val="1570612F"/>
    <w:rsid w:val="15C37496"/>
    <w:rsid w:val="168C321A"/>
    <w:rsid w:val="16C04AD8"/>
    <w:rsid w:val="17031836"/>
    <w:rsid w:val="173575C8"/>
    <w:rsid w:val="175D3C6E"/>
    <w:rsid w:val="17E36735"/>
    <w:rsid w:val="17EB056B"/>
    <w:rsid w:val="18237858"/>
    <w:rsid w:val="18DB38B2"/>
    <w:rsid w:val="19035052"/>
    <w:rsid w:val="19162632"/>
    <w:rsid w:val="195B3A93"/>
    <w:rsid w:val="19A93B5C"/>
    <w:rsid w:val="19C74997"/>
    <w:rsid w:val="1A126885"/>
    <w:rsid w:val="1ADD366B"/>
    <w:rsid w:val="1B1F6520"/>
    <w:rsid w:val="1B387CCD"/>
    <w:rsid w:val="1B457073"/>
    <w:rsid w:val="1B8A052A"/>
    <w:rsid w:val="1BCA1590"/>
    <w:rsid w:val="1C956CC3"/>
    <w:rsid w:val="1CA67C4D"/>
    <w:rsid w:val="1CA85E46"/>
    <w:rsid w:val="1CB752FE"/>
    <w:rsid w:val="1CDE025F"/>
    <w:rsid w:val="1DF519D4"/>
    <w:rsid w:val="1E9B87B4"/>
    <w:rsid w:val="1EB773B0"/>
    <w:rsid w:val="1EC6252F"/>
    <w:rsid w:val="1ED33FFC"/>
    <w:rsid w:val="1EFF6B48"/>
    <w:rsid w:val="1F025B67"/>
    <w:rsid w:val="1F6307C0"/>
    <w:rsid w:val="1F7D1730"/>
    <w:rsid w:val="1F975C85"/>
    <w:rsid w:val="1FB12E34"/>
    <w:rsid w:val="205310CF"/>
    <w:rsid w:val="205552D0"/>
    <w:rsid w:val="20FA2E75"/>
    <w:rsid w:val="21204F2B"/>
    <w:rsid w:val="2122066A"/>
    <w:rsid w:val="21670190"/>
    <w:rsid w:val="217371E9"/>
    <w:rsid w:val="21F2679F"/>
    <w:rsid w:val="227E692E"/>
    <w:rsid w:val="22934AD2"/>
    <w:rsid w:val="22AF0D33"/>
    <w:rsid w:val="23637330"/>
    <w:rsid w:val="23B33533"/>
    <w:rsid w:val="23D0369C"/>
    <w:rsid w:val="24415E66"/>
    <w:rsid w:val="24EB0296"/>
    <w:rsid w:val="25406FE4"/>
    <w:rsid w:val="25A10C0E"/>
    <w:rsid w:val="26624DDF"/>
    <w:rsid w:val="269310DE"/>
    <w:rsid w:val="26C51C72"/>
    <w:rsid w:val="26CB1A16"/>
    <w:rsid w:val="26DF6C4D"/>
    <w:rsid w:val="270F224B"/>
    <w:rsid w:val="27CA50AA"/>
    <w:rsid w:val="27FD3E19"/>
    <w:rsid w:val="289B4D50"/>
    <w:rsid w:val="28C373E1"/>
    <w:rsid w:val="28DB6270"/>
    <w:rsid w:val="2926733A"/>
    <w:rsid w:val="29490736"/>
    <w:rsid w:val="29743B7F"/>
    <w:rsid w:val="29CC4423"/>
    <w:rsid w:val="29FE7327"/>
    <w:rsid w:val="2A3B0D29"/>
    <w:rsid w:val="2AE94167"/>
    <w:rsid w:val="2B6155BE"/>
    <w:rsid w:val="2BC34250"/>
    <w:rsid w:val="2BC370D8"/>
    <w:rsid w:val="2BCE7FDF"/>
    <w:rsid w:val="2D154097"/>
    <w:rsid w:val="2D7B7B06"/>
    <w:rsid w:val="2DD5395E"/>
    <w:rsid w:val="2DDF4554"/>
    <w:rsid w:val="2DFF5C18"/>
    <w:rsid w:val="2E1B4FEC"/>
    <w:rsid w:val="2E3E638D"/>
    <w:rsid w:val="2E766669"/>
    <w:rsid w:val="2EB75DE0"/>
    <w:rsid w:val="2EC00056"/>
    <w:rsid w:val="2EFDA227"/>
    <w:rsid w:val="2FA15DE1"/>
    <w:rsid w:val="2FB90FDC"/>
    <w:rsid w:val="2FDEE2C7"/>
    <w:rsid w:val="303A2D32"/>
    <w:rsid w:val="306A72EA"/>
    <w:rsid w:val="30FB252D"/>
    <w:rsid w:val="31B3122F"/>
    <w:rsid w:val="320A6127"/>
    <w:rsid w:val="32C2710D"/>
    <w:rsid w:val="32F61C22"/>
    <w:rsid w:val="33347A0A"/>
    <w:rsid w:val="33400A6D"/>
    <w:rsid w:val="334360CE"/>
    <w:rsid w:val="3390106E"/>
    <w:rsid w:val="33B5389C"/>
    <w:rsid w:val="343B6932"/>
    <w:rsid w:val="344D7405"/>
    <w:rsid w:val="34CD0436"/>
    <w:rsid w:val="3529097C"/>
    <w:rsid w:val="352F0DCA"/>
    <w:rsid w:val="35531DB4"/>
    <w:rsid w:val="355BB90B"/>
    <w:rsid w:val="35747DC3"/>
    <w:rsid w:val="35A6254C"/>
    <w:rsid w:val="373A6E70"/>
    <w:rsid w:val="373E7104"/>
    <w:rsid w:val="37AA72FA"/>
    <w:rsid w:val="37C337CD"/>
    <w:rsid w:val="37EB4243"/>
    <w:rsid w:val="381147D8"/>
    <w:rsid w:val="38621C2D"/>
    <w:rsid w:val="386237C7"/>
    <w:rsid w:val="387845C4"/>
    <w:rsid w:val="38D51E80"/>
    <w:rsid w:val="38E16B12"/>
    <w:rsid w:val="394813E6"/>
    <w:rsid w:val="39F560EC"/>
    <w:rsid w:val="3A5C05D3"/>
    <w:rsid w:val="3A5FC578"/>
    <w:rsid w:val="3ABE69A4"/>
    <w:rsid w:val="3AC04519"/>
    <w:rsid w:val="3BAA1A79"/>
    <w:rsid w:val="3BAE6679"/>
    <w:rsid w:val="3BC31D40"/>
    <w:rsid w:val="3BC46D08"/>
    <w:rsid w:val="3C395EF0"/>
    <w:rsid w:val="3C83772A"/>
    <w:rsid w:val="3D3F727B"/>
    <w:rsid w:val="3D4E0F7F"/>
    <w:rsid w:val="3D626168"/>
    <w:rsid w:val="3DB7EE01"/>
    <w:rsid w:val="3DC7164A"/>
    <w:rsid w:val="3E8B4D5B"/>
    <w:rsid w:val="3E8C2F03"/>
    <w:rsid w:val="3E9042A5"/>
    <w:rsid w:val="3EBE53BD"/>
    <w:rsid w:val="3F402AD0"/>
    <w:rsid w:val="40320C63"/>
    <w:rsid w:val="40C727F3"/>
    <w:rsid w:val="40E67048"/>
    <w:rsid w:val="41237074"/>
    <w:rsid w:val="416A07BB"/>
    <w:rsid w:val="41807C8E"/>
    <w:rsid w:val="41A31E73"/>
    <w:rsid w:val="41BF13DE"/>
    <w:rsid w:val="41CE5A5E"/>
    <w:rsid w:val="42214965"/>
    <w:rsid w:val="425F0891"/>
    <w:rsid w:val="426D634C"/>
    <w:rsid w:val="42795A04"/>
    <w:rsid w:val="438235F5"/>
    <w:rsid w:val="43AA1D1C"/>
    <w:rsid w:val="43E85EA9"/>
    <w:rsid w:val="450E3C7D"/>
    <w:rsid w:val="451156D2"/>
    <w:rsid w:val="454D4B6C"/>
    <w:rsid w:val="458C5803"/>
    <w:rsid w:val="46616E48"/>
    <w:rsid w:val="466A1778"/>
    <w:rsid w:val="46F1491E"/>
    <w:rsid w:val="471741A2"/>
    <w:rsid w:val="471A5A3F"/>
    <w:rsid w:val="473F6AAA"/>
    <w:rsid w:val="47982EBF"/>
    <w:rsid w:val="479B32AB"/>
    <w:rsid w:val="47E86474"/>
    <w:rsid w:val="490C3F55"/>
    <w:rsid w:val="490C74F2"/>
    <w:rsid w:val="49513C1C"/>
    <w:rsid w:val="4951766D"/>
    <w:rsid w:val="495C21C8"/>
    <w:rsid w:val="49CA2650"/>
    <w:rsid w:val="49CE0084"/>
    <w:rsid w:val="4A5072FE"/>
    <w:rsid w:val="4A51301D"/>
    <w:rsid w:val="4A641D7C"/>
    <w:rsid w:val="4A9A74D9"/>
    <w:rsid w:val="4AE20B8A"/>
    <w:rsid w:val="4B0227AD"/>
    <w:rsid w:val="4B0C5871"/>
    <w:rsid w:val="4B4B4031"/>
    <w:rsid w:val="4B660F61"/>
    <w:rsid w:val="4B9A4BBC"/>
    <w:rsid w:val="4BAB2A37"/>
    <w:rsid w:val="4BE72CF3"/>
    <w:rsid w:val="4BFF47E7"/>
    <w:rsid w:val="4CCD784F"/>
    <w:rsid w:val="4D00037B"/>
    <w:rsid w:val="4D1C5778"/>
    <w:rsid w:val="4D6421A1"/>
    <w:rsid w:val="4DE73FAF"/>
    <w:rsid w:val="4DF96402"/>
    <w:rsid w:val="4E607083"/>
    <w:rsid w:val="4E755319"/>
    <w:rsid w:val="4E8F4547"/>
    <w:rsid w:val="4EBE3A8B"/>
    <w:rsid w:val="4EDB5B27"/>
    <w:rsid w:val="4EDD6607"/>
    <w:rsid w:val="4EE25A25"/>
    <w:rsid w:val="4F631A95"/>
    <w:rsid w:val="4F9CB9D4"/>
    <w:rsid w:val="4FFD75CA"/>
    <w:rsid w:val="50056632"/>
    <w:rsid w:val="501B25C1"/>
    <w:rsid w:val="50800E1E"/>
    <w:rsid w:val="51384EF6"/>
    <w:rsid w:val="515B45AE"/>
    <w:rsid w:val="515E041A"/>
    <w:rsid w:val="51897B82"/>
    <w:rsid w:val="51BB5A4E"/>
    <w:rsid w:val="51E74F62"/>
    <w:rsid w:val="523C1C3D"/>
    <w:rsid w:val="52477FB9"/>
    <w:rsid w:val="5270749E"/>
    <w:rsid w:val="52813798"/>
    <w:rsid w:val="52980DD8"/>
    <w:rsid w:val="52E7213A"/>
    <w:rsid w:val="533C7C39"/>
    <w:rsid w:val="53421DE6"/>
    <w:rsid w:val="53453E2E"/>
    <w:rsid w:val="53B03A7A"/>
    <w:rsid w:val="53E0645B"/>
    <w:rsid w:val="53FB5528"/>
    <w:rsid w:val="54437915"/>
    <w:rsid w:val="548633EE"/>
    <w:rsid w:val="548F06A5"/>
    <w:rsid w:val="54F26070"/>
    <w:rsid w:val="551306D9"/>
    <w:rsid w:val="55660EE5"/>
    <w:rsid w:val="5579BBE4"/>
    <w:rsid w:val="558477DD"/>
    <w:rsid w:val="55A0224B"/>
    <w:rsid w:val="55D24547"/>
    <w:rsid w:val="562C5FD5"/>
    <w:rsid w:val="566221A5"/>
    <w:rsid w:val="567930DF"/>
    <w:rsid w:val="567E55E0"/>
    <w:rsid w:val="56923BF1"/>
    <w:rsid w:val="569542CC"/>
    <w:rsid w:val="56D31D63"/>
    <w:rsid w:val="56E524FD"/>
    <w:rsid w:val="570C40F4"/>
    <w:rsid w:val="575F2509"/>
    <w:rsid w:val="57662601"/>
    <w:rsid w:val="57DF5BFD"/>
    <w:rsid w:val="580B1036"/>
    <w:rsid w:val="58825B29"/>
    <w:rsid w:val="58B67DDB"/>
    <w:rsid w:val="58B76B79"/>
    <w:rsid w:val="58E41529"/>
    <w:rsid w:val="59161131"/>
    <w:rsid w:val="59E074F3"/>
    <w:rsid w:val="5A1A42FD"/>
    <w:rsid w:val="5AB8771B"/>
    <w:rsid w:val="5B160A43"/>
    <w:rsid w:val="5B2A24B5"/>
    <w:rsid w:val="5B5A57CC"/>
    <w:rsid w:val="5B913620"/>
    <w:rsid w:val="5BDD60BE"/>
    <w:rsid w:val="5BFF76F8"/>
    <w:rsid w:val="5BFF784C"/>
    <w:rsid w:val="5BFFFAEC"/>
    <w:rsid w:val="5C0B6550"/>
    <w:rsid w:val="5CD821BC"/>
    <w:rsid w:val="5D9958D6"/>
    <w:rsid w:val="5DAE23A7"/>
    <w:rsid w:val="5DCF1F19"/>
    <w:rsid w:val="5E096B8B"/>
    <w:rsid w:val="5E333473"/>
    <w:rsid w:val="5E4710BE"/>
    <w:rsid w:val="5E683F93"/>
    <w:rsid w:val="5E7F1DF2"/>
    <w:rsid w:val="5E885D0C"/>
    <w:rsid w:val="5EFF1CDE"/>
    <w:rsid w:val="5F17B13C"/>
    <w:rsid w:val="5F7D4C95"/>
    <w:rsid w:val="5F92022D"/>
    <w:rsid w:val="5FF97AA5"/>
    <w:rsid w:val="60096A5F"/>
    <w:rsid w:val="602867D3"/>
    <w:rsid w:val="60C56AE9"/>
    <w:rsid w:val="60CA1CA6"/>
    <w:rsid w:val="60EC10DB"/>
    <w:rsid w:val="62127AB7"/>
    <w:rsid w:val="623854C9"/>
    <w:rsid w:val="628337CD"/>
    <w:rsid w:val="62864468"/>
    <w:rsid w:val="62EA512E"/>
    <w:rsid w:val="62EB5F44"/>
    <w:rsid w:val="631D04A8"/>
    <w:rsid w:val="633E139F"/>
    <w:rsid w:val="63C9234B"/>
    <w:rsid w:val="63DC5FEA"/>
    <w:rsid w:val="63FA65DA"/>
    <w:rsid w:val="64403B07"/>
    <w:rsid w:val="644D10C3"/>
    <w:rsid w:val="6467543E"/>
    <w:rsid w:val="64943DD8"/>
    <w:rsid w:val="64B85521"/>
    <w:rsid w:val="6528077E"/>
    <w:rsid w:val="656C1129"/>
    <w:rsid w:val="658C7807"/>
    <w:rsid w:val="6598349C"/>
    <w:rsid w:val="65FF3EB1"/>
    <w:rsid w:val="65FF5F3B"/>
    <w:rsid w:val="66437A17"/>
    <w:rsid w:val="66CF63DE"/>
    <w:rsid w:val="66E551E9"/>
    <w:rsid w:val="66F207E8"/>
    <w:rsid w:val="66FB58F6"/>
    <w:rsid w:val="67A3598E"/>
    <w:rsid w:val="67AA29A7"/>
    <w:rsid w:val="67BB6955"/>
    <w:rsid w:val="67C30A8C"/>
    <w:rsid w:val="67D9E9C4"/>
    <w:rsid w:val="67DDD805"/>
    <w:rsid w:val="67F93FF4"/>
    <w:rsid w:val="6825519A"/>
    <w:rsid w:val="6871773A"/>
    <w:rsid w:val="68C22203"/>
    <w:rsid w:val="68F20A7E"/>
    <w:rsid w:val="6906520C"/>
    <w:rsid w:val="6A473329"/>
    <w:rsid w:val="6A935E99"/>
    <w:rsid w:val="6AC360AA"/>
    <w:rsid w:val="6B979B7E"/>
    <w:rsid w:val="6BDE533F"/>
    <w:rsid w:val="6C69561B"/>
    <w:rsid w:val="6C714066"/>
    <w:rsid w:val="6C8B4963"/>
    <w:rsid w:val="6CB73081"/>
    <w:rsid w:val="6D0443EC"/>
    <w:rsid w:val="6D2E7AC3"/>
    <w:rsid w:val="6D3B1643"/>
    <w:rsid w:val="6D4F6931"/>
    <w:rsid w:val="6D643657"/>
    <w:rsid w:val="6D70157F"/>
    <w:rsid w:val="6D9C7164"/>
    <w:rsid w:val="6DB33C06"/>
    <w:rsid w:val="6DEE0D89"/>
    <w:rsid w:val="6DFBCFF6"/>
    <w:rsid w:val="6DFFBAE4"/>
    <w:rsid w:val="6E392E75"/>
    <w:rsid w:val="6E734168"/>
    <w:rsid w:val="6E9A03A3"/>
    <w:rsid w:val="6F0C4592"/>
    <w:rsid w:val="6F616041"/>
    <w:rsid w:val="6F995010"/>
    <w:rsid w:val="6FA86524"/>
    <w:rsid w:val="6FA933DC"/>
    <w:rsid w:val="6FAF8AEC"/>
    <w:rsid w:val="6FCA1EA2"/>
    <w:rsid w:val="6FD622B9"/>
    <w:rsid w:val="6FD87E72"/>
    <w:rsid w:val="70720FFE"/>
    <w:rsid w:val="70995A07"/>
    <w:rsid w:val="7193764F"/>
    <w:rsid w:val="721E2892"/>
    <w:rsid w:val="722D46F3"/>
    <w:rsid w:val="72694F09"/>
    <w:rsid w:val="72A02886"/>
    <w:rsid w:val="73681127"/>
    <w:rsid w:val="738E58F8"/>
    <w:rsid w:val="73AB3572"/>
    <w:rsid w:val="73CD0678"/>
    <w:rsid w:val="743F4EE2"/>
    <w:rsid w:val="751211BF"/>
    <w:rsid w:val="757308C5"/>
    <w:rsid w:val="7581526D"/>
    <w:rsid w:val="76271592"/>
    <w:rsid w:val="76303784"/>
    <w:rsid w:val="7639D298"/>
    <w:rsid w:val="76B50721"/>
    <w:rsid w:val="76C174E4"/>
    <w:rsid w:val="777F70C2"/>
    <w:rsid w:val="77F60A8C"/>
    <w:rsid w:val="77FD4885"/>
    <w:rsid w:val="78033ECB"/>
    <w:rsid w:val="785F7751"/>
    <w:rsid w:val="78CB1AC5"/>
    <w:rsid w:val="78E77689"/>
    <w:rsid w:val="78FF2EBC"/>
    <w:rsid w:val="79241EBC"/>
    <w:rsid w:val="793D0A2C"/>
    <w:rsid w:val="79436DD9"/>
    <w:rsid w:val="79AD92F8"/>
    <w:rsid w:val="79BA1EB4"/>
    <w:rsid w:val="79BF63C4"/>
    <w:rsid w:val="79F322CA"/>
    <w:rsid w:val="79FD0ED6"/>
    <w:rsid w:val="7A2C14AD"/>
    <w:rsid w:val="7A8772A3"/>
    <w:rsid w:val="7ABB7E4F"/>
    <w:rsid w:val="7AF43536"/>
    <w:rsid w:val="7B1B73AF"/>
    <w:rsid w:val="7B4944C2"/>
    <w:rsid w:val="7B6968FC"/>
    <w:rsid w:val="7B77CE65"/>
    <w:rsid w:val="7BA022B3"/>
    <w:rsid w:val="7BBDD5BF"/>
    <w:rsid w:val="7BC97A9E"/>
    <w:rsid w:val="7CDD2CBE"/>
    <w:rsid w:val="7D0C1497"/>
    <w:rsid w:val="7D77CBCC"/>
    <w:rsid w:val="7D871784"/>
    <w:rsid w:val="7D9964B3"/>
    <w:rsid w:val="7DAE2123"/>
    <w:rsid w:val="7DD5318F"/>
    <w:rsid w:val="7DFE83A4"/>
    <w:rsid w:val="7E272D5F"/>
    <w:rsid w:val="7E370F97"/>
    <w:rsid w:val="7EB44517"/>
    <w:rsid w:val="7EBEA1A4"/>
    <w:rsid w:val="7ED437E6"/>
    <w:rsid w:val="7EDCACBC"/>
    <w:rsid w:val="7EDFAA12"/>
    <w:rsid w:val="7EF76879"/>
    <w:rsid w:val="7F2FF4AC"/>
    <w:rsid w:val="7F6D028A"/>
    <w:rsid w:val="7FAFDC29"/>
    <w:rsid w:val="7FBC5E0B"/>
    <w:rsid w:val="7FDF37F8"/>
    <w:rsid w:val="7FE4F364"/>
    <w:rsid w:val="87DF37AE"/>
    <w:rsid w:val="8FFD37E1"/>
    <w:rsid w:val="97270869"/>
    <w:rsid w:val="9773A3CF"/>
    <w:rsid w:val="999F1C2C"/>
    <w:rsid w:val="A5F31796"/>
    <w:rsid w:val="A7FF19D1"/>
    <w:rsid w:val="AB7DE2D2"/>
    <w:rsid w:val="ABF953FC"/>
    <w:rsid w:val="AFFFE678"/>
    <w:rsid w:val="BC9AEDE9"/>
    <w:rsid w:val="BEFF2348"/>
    <w:rsid w:val="BF97E24D"/>
    <w:rsid w:val="BFB92039"/>
    <w:rsid w:val="BFDEB8DF"/>
    <w:rsid w:val="BFEE2E65"/>
    <w:rsid w:val="BFFEA43B"/>
    <w:rsid w:val="CFE75856"/>
    <w:rsid w:val="D3FF00F7"/>
    <w:rsid w:val="D96F37E7"/>
    <w:rsid w:val="D9DE3E4A"/>
    <w:rsid w:val="DBFD1F7E"/>
    <w:rsid w:val="DCD04481"/>
    <w:rsid w:val="DEB7976B"/>
    <w:rsid w:val="DFD73F13"/>
    <w:rsid w:val="DFE7EE9E"/>
    <w:rsid w:val="E3CF56D4"/>
    <w:rsid w:val="E6EF9561"/>
    <w:rsid w:val="E94605A0"/>
    <w:rsid w:val="EA9F0DE0"/>
    <w:rsid w:val="EB7ED9FF"/>
    <w:rsid w:val="EBBD4A01"/>
    <w:rsid w:val="ECB7C6F8"/>
    <w:rsid w:val="EDBBAF13"/>
    <w:rsid w:val="EF2D5CC2"/>
    <w:rsid w:val="EF33A709"/>
    <w:rsid w:val="EF7FF376"/>
    <w:rsid w:val="F5DE8516"/>
    <w:rsid w:val="F5F76900"/>
    <w:rsid w:val="F61D2971"/>
    <w:rsid w:val="F77B93BF"/>
    <w:rsid w:val="F7C97A7C"/>
    <w:rsid w:val="F7F7A200"/>
    <w:rsid w:val="F8FF6AB0"/>
    <w:rsid w:val="F9DD57D7"/>
    <w:rsid w:val="F9DF7C3D"/>
    <w:rsid w:val="FA1DEB64"/>
    <w:rsid w:val="FB3C60AB"/>
    <w:rsid w:val="FB7F1C2F"/>
    <w:rsid w:val="FBD7A66F"/>
    <w:rsid w:val="FD4B2CE6"/>
    <w:rsid w:val="FD9F548B"/>
    <w:rsid w:val="FDB70077"/>
    <w:rsid w:val="FDEBD710"/>
    <w:rsid w:val="FDFDEB42"/>
    <w:rsid w:val="FEAC8500"/>
    <w:rsid w:val="FEB78BEA"/>
    <w:rsid w:val="FF3F8398"/>
    <w:rsid w:val="FF6F0ED1"/>
    <w:rsid w:val="FFADBEEF"/>
    <w:rsid w:val="FFBF231C"/>
    <w:rsid w:val="FFCE69CF"/>
    <w:rsid w:val="FFF27DF7"/>
    <w:rsid w:val="FFFB5274"/>
    <w:rsid w:val="FFFD5391"/>
    <w:rsid w:val="FFFDCF8A"/>
    <w:rsid w:val="FFFE2D25"/>
    <w:rsid w:val="FFFF3109"/>
    <w:rsid w:val="FFFF7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2"/>
    <w:qFormat/>
    <w:uiPriority w:val="0"/>
    <w:pPr>
      <w:keepNext/>
      <w:keepLines/>
      <w:spacing w:line="360" w:lineRule="auto"/>
      <w:jc w:val="center"/>
      <w:outlineLvl w:val="0"/>
    </w:pPr>
    <w:rPr>
      <w:b/>
      <w:bCs/>
      <w:kern w:val="44"/>
      <w:sz w:val="30"/>
      <w:szCs w:val="44"/>
    </w:rPr>
  </w:style>
  <w:style w:type="paragraph" w:styleId="3">
    <w:name w:val="heading 2"/>
    <w:basedOn w:val="1"/>
    <w:next w:val="1"/>
    <w:link w:val="88"/>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0"/>
    <w:qFormat/>
    <w:uiPriority w:val="99"/>
    <w:pPr>
      <w:keepNext/>
      <w:keepLines/>
      <w:spacing w:before="240" w:after="64" w:line="320" w:lineRule="auto"/>
      <w:outlineLvl w:val="5"/>
    </w:pPr>
    <w:rPr>
      <w:rFonts w:ascii="Calibri Light" w:hAnsi="Calibri Light"/>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9"/>
    <w:pPr>
      <w:ind w:left="1260" w:leftChars="600"/>
    </w:pPr>
  </w:style>
  <w:style w:type="paragraph" w:styleId="9">
    <w:name w:val="annotation text"/>
    <w:basedOn w:val="1"/>
    <w:link w:val="64"/>
    <w:qFormat/>
    <w:uiPriority w:val="0"/>
    <w:pPr>
      <w:jc w:val="left"/>
    </w:pPr>
  </w:style>
  <w:style w:type="paragraph" w:styleId="10">
    <w:name w:val="Body Text"/>
    <w:basedOn w:val="1"/>
    <w:next w:val="1"/>
    <w:qFormat/>
    <w:uiPriority w:val="0"/>
    <w:rPr>
      <w:color w:val="993300"/>
      <w:sz w:val="24"/>
    </w:rPr>
  </w:style>
  <w:style w:type="paragraph" w:styleId="11">
    <w:name w:val="Body Text Indent"/>
    <w:basedOn w:val="1"/>
    <w:next w:val="12"/>
    <w:qFormat/>
    <w:uiPriority w:val="0"/>
    <w:pPr>
      <w:tabs>
        <w:tab w:val="left" w:pos="8640"/>
      </w:tabs>
      <w:ind w:firstLine="420"/>
    </w:pPr>
    <w:rPr>
      <w:rFonts w:ascii="楷体_GB2312" w:eastAsia="楷体_GB2312"/>
      <w:color w:val="000000"/>
      <w:sz w:val="28"/>
    </w:rPr>
  </w:style>
  <w:style w:type="paragraph" w:styleId="12">
    <w:name w:val="envelope return"/>
    <w:basedOn w:val="1"/>
    <w:qFormat/>
    <w:uiPriority w:val="99"/>
    <w:pPr>
      <w:snapToGrid w:val="0"/>
    </w:pPr>
    <w:rPr>
      <w:rFonts w:ascii="Arial" w:hAnsi="Arial" w:cs="Arial"/>
    </w:rPr>
  </w:style>
  <w:style w:type="paragraph" w:styleId="13">
    <w:name w:val="Block Text"/>
    <w:basedOn w:val="1"/>
    <w:next w:val="14"/>
    <w:qFormat/>
    <w:uiPriority w:val="0"/>
    <w:pPr>
      <w:adjustRightInd w:val="0"/>
      <w:ind w:left="420" w:right="33"/>
      <w:jc w:val="left"/>
      <w:textAlignment w:val="baseline"/>
    </w:pPr>
    <w:rPr>
      <w:kern w:val="0"/>
      <w:sz w:val="24"/>
    </w:rPr>
  </w:style>
  <w:style w:type="paragraph" w:styleId="14">
    <w:name w:val="Plain Text"/>
    <w:basedOn w:val="1"/>
    <w:link w:val="48"/>
    <w:qFormat/>
    <w:uiPriority w:val="99"/>
    <w:rPr>
      <w:rFonts w:ascii="宋体" w:hAnsi="Courier New" w:cs="Courier New"/>
      <w:szCs w:val="21"/>
    </w:rPr>
  </w:style>
  <w:style w:type="paragraph" w:styleId="15">
    <w:name w:val="Date"/>
    <w:basedOn w:val="1"/>
    <w:next w:val="1"/>
    <w:qFormat/>
    <w:uiPriority w:val="0"/>
    <w:rPr>
      <w:rFonts w:ascii="宋体"/>
      <w:sz w:val="24"/>
    </w:rPr>
  </w:style>
  <w:style w:type="paragraph" w:styleId="16">
    <w:name w:val="Balloon Text"/>
    <w:basedOn w:val="1"/>
    <w:link w:val="66"/>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2">
    <w:name w:val="toc 2"/>
    <w:basedOn w:val="1"/>
    <w:next w:val="1"/>
    <w:qFormat/>
    <w:uiPriority w:val="39"/>
    <w:pPr>
      <w:ind w:left="420" w:leftChars="200"/>
    </w:pPr>
  </w:style>
  <w:style w:type="paragraph" w:styleId="23">
    <w:name w:val="Body Text 2"/>
    <w:basedOn w:val="1"/>
    <w:qFormat/>
    <w:uiPriority w:val="0"/>
    <w:pPr>
      <w:spacing w:line="360" w:lineRule="auto"/>
    </w:pPr>
    <w:rPr>
      <w:rFonts w:ascii="等线" w:eastAsia="等线"/>
      <w:sz w:val="24"/>
      <w:u w:val="single"/>
    </w:rPr>
  </w:style>
  <w:style w:type="paragraph" w:styleId="24">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5">
    <w:name w:val="annotation subject"/>
    <w:basedOn w:val="9"/>
    <w:next w:val="9"/>
    <w:link w:val="65"/>
    <w:qFormat/>
    <w:uiPriority w:val="0"/>
    <w:rPr>
      <w:b/>
      <w:bCs/>
    </w:rPr>
  </w:style>
  <w:style w:type="paragraph" w:styleId="26">
    <w:name w:val="Body Text First Indent"/>
    <w:basedOn w:val="10"/>
    <w:next w:val="27"/>
    <w:qFormat/>
    <w:uiPriority w:val="99"/>
    <w:pPr>
      <w:ind w:firstLine="420" w:firstLineChars="100"/>
    </w:pPr>
  </w:style>
  <w:style w:type="paragraph" w:styleId="27">
    <w:name w:val="Body Text First Indent 2"/>
    <w:basedOn w:val="11"/>
    <w:next w:val="26"/>
    <w:qFormat/>
    <w:uiPriority w:val="0"/>
    <w:pPr>
      <w:ind w:firstLine="20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555555"/>
      <w:u w:val="none"/>
    </w:rPr>
  </w:style>
  <w:style w:type="character" w:styleId="34">
    <w:name w:val="Emphasis"/>
    <w:basedOn w:val="30"/>
    <w:qFormat/>
    <w:uiPriority w:val="0"/>
  </w:style>
  <w:style w:type="character" w:styleId="35">
    <w:name w:val="HTML Definition"/>
    <w:basedOn w:val="30"/>
    <w:qFormat/>
    <w:uiPriority w:val="0"/>
    <w:rPr>
      <w:i/>
      <w:iCs/>
    </w:rPr>
  </w:style>
  <w:style w:type="character" w:styleId="36">
    <w:name w:val="Hyperlink"/>
    <w:basedOn w:val="30"/>
    <w:qFormat/>
    <w:uiPriority w:val="99"/>
    <w:rPr>
      <w:rFonts w:hint="eastAsia" w:ascii="宋体" w:hAnsi="宋体" w:eastAsia="宋体" w:cs="宋体"/>
      <w:color w:val="000000"/>
      <w:sz w:val="18"/>
      <w:szCs w:val="18"/>
      <w:u w:val="none"/>
    </w:rPr>
  </w:style>
  <w:style w:type="character" w:styleId="37">
    <w:name w:val="HTML Code"/>
    <w:basedOn w:val="30"/>
    <w:qFormat/>
    <w:uiPriority w:val="0"/>
    <w:rPr>
      <w:rFonts w:hint="default" w:ascii="Menlo" w:hAnsi="Menlo" w:eastAsia="Menlo" w:cs="Menlo"/>
      <w:color w:val="C7254E"/>
      <w:sz w:val="21"/>
      <w:szCs w:val="21"/>
      <w:shd w:val="clear" w:color="auto" w:fill="F9F2F4"/>
    </w:rPr>
  </w:style>
  <w:style w:type="character" w:styleId="38">
    <w:name w:val="annotation reference"/>
    <w:basedOn w:val="30"/>
    <w:qFormat/>
    <w:uiPriority w:val="0"/>
    <w:rPr>
      <w:sz w:val="21"/>
      <w:szCs w:val="21"/>
    </w:rPr>
  </w:style>
  <w:style w:type="character" w:styleId="39">
    <w:name w:val="footnote reference"/>
    <w:basedOn w:val="30"/>
    <w:qFormat/>
    <w:uiPriority w:val="0"/>
    <w:rPr>
      <w:vertAlign w:val="superscript"/>
    </w:rPr>
  </w:style>
  <w:style w:type="character" w:styleId="40">
    <w:name w:val="HTML Keyboard"/>
    <w:basedOn w:val="30"/>
    <w:qFormat/>
    <w:uiPriority w:val="0"/>
    <w:rPr>
      <w:rFonts w:ascii="Menlo" w:hAnsi="Menlo" w:eastAsia="Menlo" w:cs="Menlo"/>
      <w:color w:val="FFFFFF"/>
      <w:sz w:val="21"/>
      <w:szCs w:val="21"/>
      <w:shd w:val="clear" w:color="auto" w:fill="333333"/>
    </w:rPr>
  </w:style>
  <w:style w:type="character" w:styleId="41">
    <w:name w:val="HTML Sample"/>
    <w:basedOn w:val="30"/>
    <w:qFormat/>
    <w:uiPriority w:val="0"/>
    <w:rPr>
      <w:rFonts w:hint="default" w:ascii="Menlo" w:hAnsi="Menlo" w:eastAsia="Menlo" w:cs="Menlo"/>
      <w:sz w:val="21"/>
      <w:szCs w:val="21"/>
    </w:rPr>
  </w:style>
  <w:style w:type="character" w:customStyle="1" w:styleId="42">
    <w:name w:val="标题 1 Char"/>
    <w:link w:val="2"/>
    <w:qFormat/>
    <w:uiPriority w:val="0"/>
    <w:rPr>
      <w:b/>
      <w:bCs/>
      <w:kern w:val="44"/>
      <w:sz w:val="30"/>
      <w:szCs w:val="44"/>
    </w:rPr>
  </w:style>
  <w:style w:type="paragraph" w:customStyle="1" w:styleId="4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方案正文"/>
    <w:basedOn w:val="1"/>
    <w:qFormat/>
    <w:uiPriority w:val="0"/>
    <w:pPr>
      <w:widowControl/>
      <w:spacing w:line="360" w:lineRule="auto"/>
      <w:ind w:firstLine="504"/>
      <w:jc w:val="left"/>
    </w:pPr>
    <w:rPr>
      <w:rFonts w:ascii="宋体" w:hAnsi="宋体"/>
      <w:kern w:val="0"/>
      <w:sz w:val="24"/>
      <w:szCs w:val="28"/>
    </w:rPr>
  </w:style>
  <w:style w:type="paragraph" w:customStyle="1" w:styleId="4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47">
    <w:name w:val="List Paragraph"/>
    <w:basedOn w:val="1"/>
    <w:qFormat/>
    <w:uiPriority w:val="34"/>
    <w:pPr>
      <w:ind w:firstLine="420" w:firstLineChars="200"/>
    </w:pPr>
  </w:style>
  <w:style w:type="character" w:customStyle="1" w:styleId="48">
    <w:name w:val="纯文本 Char"/>
    <w:link w:val="14"/>
    <w:qFormat/>
    <w:uiPriority w:val="99"/>
    <w:rPr>
      <w:rFonts w:ascii="宋体" w:hAnsi="Courier New" w:cs="Courier New"/>
      <w:kern w:val="2"/>
      <w:sz w:val="21"/>
      <w:szCs w:val="21"/>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hour_am"/>
    <w:basedOn w:val="30"/>
    <w:qFormat/>
    <w:uiPriority w:val="0"/>
  </w:style>
  <w:style w:type="character" w:customStyle="1" w:styleId="52">
    <w:name w:val="old"/>
    <w:basedOn w:val="30"/>
    <w:qFormat/>
    <w:uiPriority w:val="0"/>
    <w:rPr>
      <w:color w:val="999999"/>
    </w:rPr>
  </w:style>
  <w:style w:type="character" w:customStyle="1" w:styleId="53">
    <w:name w:val="tmpztreemove_arrow"/>
    <w:basedOn w:val="30"/>
    <w:qFormat/>
    <w:uiPriority w:val="0"/>
    <w:rPr>
      <w:shd w:val="clear" w:color="auto" w:fill="FFFFFF"/>
    </w:rPr>
  </w:style>
  <w:style w:type="character" w:customStyle="1" w:styleId="54">
    <w:name w:val="hover3"/>
    <w:basedOn w:val="30"/>
    <w:qFormat/>
    <w:uiPriority w:val="0"/>
    <w:rPr>
      <w:shd w:val="clear" w:color="auto" w:fill="EEEEEE"/>
    </w:rPr>
  </w:style>
  <w:style w:type="character" w:customStyle="1" w:styleId="55">
    <w:name w:val="glyphicon4"/>
    <w:basedOn w:val="30"/>
    <w:qFormat/>
    <w:uiPriority w:val="0"/>
  </w:style>
  <w:style w:type="character" w:customStyle="1" w:styleId="56">
    <w:name w:val="hour_pm"/>
    <w:basedOn w:val="30"/>
    <w:qFormat/>
    <w:uiPriority w:val="0"/>
  </w:style>
  <w:style w:type="character" w:customStyle="1" w:styleId="57">
    <w:name w:val="button"/>
    <w:basedOn w:val="30"/>
    <w:qFormat/>
    <w:uiPriority w:val="0"/>
  </w:style>
  <w:style w:type="paragraph" w:customStyle="1" w:styleId="58">
    <w:name w:val="样式1"/>
    <w:basedOn w:val="1"/>
    <w:qFormat/>
    <w:uiPriority w:val="0"/>
    <w:pPr>
      <w:adjustRightInd w:val="0"/>
      <w:textAlignment w:val="baseline"/>
    </w:pPr>
    <w:rPr>
      <w:rFonts w:ascii="宋体" w:hAnsi="宋体"/>
      <w:kern w:val="0"/>
      <w:szCs w:val="21"/>
    </w:rPr>
  </w:style>
  <w:style w:type="character" w:customStyle="1" w:styleId="59">
    <w:name w:val="indent"/>
    <w:basedOn w:val="30"/>
    <w:qFormat/>
    <w:uiPriority w:val="0"/>
  </w:style>
  <w:style w:type="character" w:customStyle="1" w:styleId="60">
    <w:name w:val="标题 6 Char"/>
    <w:basedOn w:val="30"/>
    <w:link w:val="8"/>
    <w:qFormat/>
    <w:uiPriority w:val="99"/>
    <w:rPr>
      <w:rFonts w:ascii="Calibri Light" w:hAnsi="Calibri Light"/>
      <w:b/>
      <w:bCs/>
      <w:kern w:val="2"/>
      <w:sz w:val="24"/>
      <w:szCs w:val="24"/>
    </w:rPr>
  </w:style>
  <w:style w:type="paragraph" w:customStyle="1" w:styleId="61">
    <w:name w:val="my-正文"/>
    <w:basedOn w:val="1"/>
    <w:qFormat/>
    <w:uiPriority w:val="0"/>
    <w:pPr>
      <w:spacing w:line="360" w:lineRule="auto"/>
    </w:pPr>
    <w:rPr>
      <w:rFonts w:ascii="宋体" w:hAnsi="宋体"/>
      <w:sz w:val="24"/>
      <w:lang w:val="zh-CN"/>
    </w:rPr>
  </w:style>
  <w:style w:type="paragraph" w:customStyle="1" w:styleId="62">
    <w:name w:val="样式 首行缩进:  2 字符"/>
    <w:basedOn w:val="1"/>
    <w:qFormat/>
    <w:uiPriority w:val="0"/>
    <w:pPr>
      <w:spacing w:line="400" w:lineRule="exact"/>
      <w:ind w:firstLine="200" w:firstLineChars="200"/>
    </w:pPr>
    <w:rPr>
      <w:rFonts w:cs="宋体"/>
    </w:rPr>
  </w:style>
  <w:style w:type="paragraph" w:customStyle="1" w:styleId="63">
    <w:name w:val="p1"/>
    <w:basedOn w:val="1"/>
    <w:qFormat/>
    <w:uiPriority w:val="0"/>
    <w:pPr>
      <w:widowControl/>
    </w:pPr>
    <w:rPr>
      <w:rFonts w:ascii="Lucida Grande" w:hAnsi="Lucida Grande" w:cs="Lucida Grande"/>
      <w:color w:val="323333"/>
      <w:kern w:val="0"/>
      <w:szCs w:val="21"/>
    </w:rPr>
  </w:style>
  <w:style w:type="character" w:customStyle="1" w:styleId="64">
    <w:name w:val="批注文字 Char"/>
    <w:basedOn w:val="30"/>
    <w:link w:val="9"/>
    <w:qFormat/>
    <w:uiPriority w:val="0"/>
    <w:rPr>
      <w:kern w:val="2"/>
      <w:sz w:val="21"/>
      <w:szCs w:val="24"/>
    </w:rPr>
  </w:style>
  <w:style w:type="character" w:customStyle="1" w:styleId="65">
    <w:name w:val="批注主题 Char"/>
    <w:basedOn w:val="64"/>
    <w:link w:val="25"/>
    <w:qFormat/>
    <w:uiPriority w:val="0"/>
    <w:rPr>
      <w:b/>
      <w:bCs/>
      <w:kern w:val="2"/>
      <w:sz w:val="21"/>
      <w:szCs w:val="24"/>
    </w:rPr>
  </w:style>
  <w:style w:type="character" w:customStyle="1" w:styleId="66">
    <w:name w:val="批注框文本 Char"/>
    <w:basedOn w:val="30"/>
    <w:link w:val="16"/>
    <w:qFormat/>
    <w:uiPriority w:val="0"/>
    <w:rPr>
      <w:kern w:val="2"/>
      <w:sz w:val="18"/>
      <w:szCs w:val="18"/>
    </w:rPr>
  </w:style>
  <w:style w:type="paragraph" w:customStyle="1" w:styleId="67">
    <w:name w:val="title1"/>
    <w:basedOn w:val="1"/>
    <w:qFormat/>
    <w:uiPriority w:val="0"/>
    <w:pPr>
      <w:spacing w:before="150"/>
      <w:jc w:val="left"/>
    </w:pPr>
    <w:rPr>
      <w:b/>
      <w:kern w:val="0"/>
      <w:sz w:val="22"/>
      <w:szCs w:val="22"/>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apple-converted-space"/>
    <w:basedOn w:val="30"/>
    <w:qFormat/>
    <w:uiPriority w:val="0"/>
  </w:style>
  <w:style w:type="character" w:customStyle="1" w:styleId="70">
    <w:name w:val="font71"/>
    <w:basedOn w:val="30"/>
    <w:qFormat/>
    <w:uiPriority w:val="0"/>
    <w:rPr>
      <w:rFonts w:hint="default" w:ascii="Times New Roman" w:hAnsi="Times New Roman" w:cs="Times New Roman"/>
      <w:b/>
      <w:color w:val="000000"/>
      <w:sz w:val="21"/>
      <w:szCs w:val="21"/>
      <w:u w:val="none"/>
    </w:rPr>
  </w:style>
  <w:style w:type="character" w:customStyle="1" w:styleId="71">
    <w:name w:val="font101"/>
    <w:basedOn w:val="30"/>
    <w:qFormat/>
    <w:uiPriority w:val="0"/>
    <w:rPr>
      <w:rFonts w:hint="default" w:ascii="Times New Roman" w:hAnsi="Times New Roman" w:cs="Times New Roman"/>
      <w:color w:val="333333"/>
      <w:sz w:val="21"/>
      <w:szCs w:val="21"/>
      <w:u w:val="none"/>
    </w:rPr>
  </w:style>
  <w:style w:type="paragraph" w:customStyle="1" w:styleId="72">
    <w:name w:val="y"/>
    <w:basedOn w:val="1"/>
    <w:qFormat/>
    <w:uiPriority w:val="0"/>
    <w:pPr>
      <w:spacing w:line="360" w:lineRule="auto"/>
      <w:ind w:firstLine="480" w:firstLineChars="200"/>
    </w:pPr>
    <w:rPr>
      <w:rFonts w:ascii="宋体" w:hAnsi="宋体"/>
      <w:sz w:val="24"/>
    </w:rPr>
  </w:style>
  <w:style w:type="paragraph" w:customStyle="1" w:styleId="73">
    <w:name w:val="p18"/>
    <w:basedOn w:val="1"/>
    <w:qFormat/>
    <w:uiPriority w:val="0"/>
    <w:pPr>
      <w:widowControl/>
      <w:spacing w:line="360" w:lineRule="auto"/>
      <w:ind w:firstLine="420"/>
    </w:pPr>
    <w:rPr>
      <w:rFonts w:ascii="Arial" w:hAnsi="Arial" w:eastAsia="Adobe 仿宋 Std R" w:cs="Arial"/>
      <w:kern w:val="0"/>
    </w:rPr>
  </w:style>
  <w:style w:type="paragraph" w:customStyle="1" w:styleId="74">
    <w:name w:val="p17"/>
    <w:basedOn w:val="1"/>
    <w:qFormat/>
    <w:uiPriority w:val="0"/>
    <w:pPr>
      <w:widowControl/>
      <w:ind w:firstLine="420"/>
    </w:pPr>
    <w:rPr>
      <w:kern w:val="0"/>
      <w:szCs w:val="21"/>
    </w:rPr>
  </w:style>
  <w:style w:type="paragraph" w:customStyle="1" w:styleId="75">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76">
    <w:name w:val="列出段落11"/>
    <w:basedOn w:val="1"/>
    <w:qFormat/>
    <w:uiPriority w:val="34"/>
    <w:pPr>
      <w:ind w:firstLine="420" w:firstLineChars="200"/>
    </w:pPr>
    <w:rPr>
      <w:rFonts w:ascii="Calibri" w:hAnsi="Calibri"/>
      <w:szCs w:val="22"/>
    </w:rPr>
  </w:style>
  <w:style w:type="paragraph" w:customStyle="1" w:styleId="77">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78">
    <w:name w:val="正文自定"/>
    <w:basedOn w:val="1"/>
    <w:qFormat/>
    <w:uiPriority w:val="0"/>
    <w:pPr>
      <w:tabs>
        <w:tab w:val="left" w:pos="7665"/>
      </w:tabs>
      <w:spacing w:line="360" w:lineRule="auto"/>
      <w:ind w:firstLine="480" w:firstLineChars="200"/>
    </w:pPr>
    <w:rPr>
      <w:rFonts w:ascii="宋体" w:hAnsi="宋体"/>
      <w:sz w:val="24"/>
    </w:rPr>
  </w:style>
  <w:style w:type="character" w:customStyle="1" w:styleId="79">
    <w:name w:val="font21"/>
    <w:basedOn w:val="30"/>
    <w:qFormat/>
    <w:uiPriority w:val="0"/>
    <w:rPr>
      <w:rFonts w:hint="eastAsia" w:ascii="宋体" w:hAnsi="宋体" w:eastAsia="宋体" w:cs="宋体"/>
      <w:color w:val="000000"/>
      <w:sz w:val="22"/>
      <w:szCs w:val="22"/>
      <w:u w:val="none"/>
    </w:rPr>
  </w:style>
  <w:style w:type="character" w:customStyle="1" w:styleId="80">
    <w:name w:val="font01"/>
    <w:basedOn w:val="30"/>
    <w:qFormat/>
    <w:uiPriority w:val="0"/>
    <w:rPr>
      <w:rFonts w:hint="eastAsia" w:ascii="宋体" w:hAnsi="宋体" w:eastAsia="宋体" w:cs="宋体"/>
      <w:color w:val="000000"/>
      <w:sz w:val="22"/>
      <w:szCs w:val="22"/>
      <w:u w:val="none"/>
    </w:rPr>
  </w:style>
  <w:style w:type="character" w:customStyle="1" w:styleId="81">
    <w:name w:val="font31"/>
    <w:basedOn w:val="30"/>
    <w:qFormat/>
    <w:uiPriority w:val="0"/>
    <w:rPr>
      <w:rFonts w:hint="eastAsia" w:ascii="宋体" w:hAnsi="宋体" w:eastAsia="宋体" w:cs="宋体"/>
      <w:color w:val="000000"/>
      <w:sz w:val="21"/>
      <w:szCs w:val="21"/>
      <w:u w:val="none"/>
    </w:rPr>
  </w:style>
  <w:style w:type="character" w:customStyle="1" w:styleId="82">
    <w:name w:val="font41"/>
    <w:basedOn w:val="30"/>
    <w:qFormat/>
    <w:uiPriority w:val="0"/>
    <w:rPr>
      <w:rFonts w:hint="eastAsia" w:ascii="宋体" w:hAnsi="宋体" w:eastAsia="宋体" w:cs="宋体"/>
      <w:color w:val="000000"/>
      <w:sz w:val="21"/>
      <w:szCs w:val="21"/>
      <w:u w:val="none"/>
    </w:rPr>
  </w:style>
  <w:style w:type="paragraph" w:customStyle="1" w:styleId="83">
    <w:name w:val="目录"/>
    <w:basedOn w:val="1"/>
    <w:qFormat/>
    <w:uiPriority w:val="0"/>
    <w:pPr>
      <w:widowControl/>
      <w:jc w:val="center"/>
    </w:pPr>
    <w:rPr>
      <w:rFonts w:ascii="宋体"/>
      <w:b/>
      <w:kern w:val="0"/>
      <w:sz w:val="36"/>
    </w:rPr>
  </w:style>
  <w:style w:type="paragraph" w:customStyle="1" w:styleId="84">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85">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86">
    <w:name w:val="title12"/>
    <w:basedOn w:val="1"/>
    <w:qFormat/>
    <w:uiPriority w:val="0"/>
    <w:pPr>
      <w:spacing w:before="120" w:beforeAutospacing="0" w:after="0" w:afterAutospacing="0"/>
      <w:ind w:left="0" w:right="0" w:firstLine="0"/>
      <w:jc w:val="left"/>
    </w:pPr>
    <w:rPr>
      <w:b/>
      <w:bCs/>
      <w:kern w:val="0"/>
      <w:sz w:val="18"/>
      <w:szCs w:val="18"/>
      <w:lang w:val="en-US" w:eastAsia="zh-CN" w:bidi="ar"/>
    </w:rPr>
  </w:style>
  <w:style w:type="paragraph" w:customStyle="1" w:styleId="87">
    <w:name w:val="HTML Preformatted"/>
    <w:basedOn w:val="1"/>
    <w:qFormat/>
    <w:uiPriority w:val="0"/>
    <w:rPr>
      <w:rFonts w:ascii="Courier New" w:hAnsi="Courier New"/>
      <w:sz w:val="20"/>
    </w:rPr>
  </w:style>
  <w:style w:type="character" w:customStyle="1" w:styleId="88">
    <w:name w:val="标题 2 Char"/>
    <w:link w:val="3"/>
    <w:qFormat/>
    <w:uiPriority w:val="0"/>
    <w:rPr>
      <w:rFonts w:ascii="Arial" w:hAnsi="Arial"/>
      <w:b/>
      <w:bCs/>
      <w:sz w:val="28"/>
      <w:szCs w:val="32"/>
    </w:rPr>
  </w:style>
  <w:style w:type="paragraph" w:customStyle="1" w:styleId="89">
    <w:name w:val="首行缩进"/>
    <w:next w:val="1"/>
    <w:autoRedefine/>
    <w:qFormat/>
    <w:uiPriority w:val="0"/>
    <w:pPr>
      <w:widowControl w:val="0"/>
      <w:spacing w:line="360" w:lineRule="auto"/>
      <w:ind w:firstLine="200" w:firstLineChars="200"/>
      <w:jc w:val="both"/>
    </w:pPr>
    <w:rPr>
      <w:rFonts w:ascii="Calibri" w:hAnsi="Calibri" w:eastAsia="宋体" w:cs="Times New Roman"/>
      <w:kern w:val="0"/>
      <w:sz w:val="24"/>
      <w:szCs w:val="24"/>
      <w:lang w:val="zh-CN" w:eastAsia="zh-CN" w:bidi="ar-SA"/>
    </w:rPr>
  </w:style>
  <w:style w:type="paragraph" w:customStyle="1" w:styleId="9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17514</Words>
  <Characters>18863</Characters>
  <Lines>328</Lines>
  <Paragraphs>92</Paragraphs>
  <TotalTime>3</TotalTime>
  <ScaleCrop>false</ScaleCrop>
  <LinksUpToDate>false</LinksUpToDate>
  <CharactersWithSpaces>19060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2021-03-18T20:11:00Z</dcterms:created>
  <dc:creator>不言、不语</dc:creator>
  <cp:lastModifiedBy>苦涩</cp:lastModifiedBy>
  <cp:lastPrinted>2021-06-26T18:30:00Z</cp:lastPrinted>
  <dcterms:modified xsi:type="dcterms:W3CDTF">2025-06-06T04:54:46Z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2CCA15A32D524989BA4C65F49A0C4571_13</vt:lpwstr>
  </property>
  <property fmtid="{D5CDD505-2E9C-101B-9397-08002B2CF9AE}" pid="4" name="KSOTemplateDocerSaveRecord">
    <vt:lpwstr>eyJoZGlkIjoiYjI1MmFiYjNiYWNiNjJmZjg4MjY4MTc0ZjE0ZGM1YWMiLCJ1c2VySWQiOiI2MDQ3MzI1NTUifQ==</vt:lpwstr>
  </property>
</Properties>
</file>