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317E2">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5A3CBA41">
      <w:pPr>
        <w:spacing w:line="480" w:lineRule="exact"/>
        <w:ind w:firstLine="723" w:firstLineChars="200"/>
        <w:rPr>
          <w:rFonts w:hint="eastAsia" w:ascii="仿宋" w:hAnsi="仿宋" w:eastAsia="仿宋" w:cs="仿宋"/>
          <w:b/>
          <w:color w:val="000000" w:themeColor="text1"/>
          <w:sz w:val="36"/>
          <w:szCs w:val="36"/>
          <w:highlight w:val="none"/>
          <w14:textFill>
            <w14:solidFill>
              <w14:schemeClr w14:val="tx1"/>
            </w14:solidFill>
          </w14:textFill>
        </w:rPr>
      </w:pPr>
    </w:p>
    <w:p w14:paraId="5171BD3C">
      <w:pPr>
        <w:rPr>
          <w:rFonts w:hint="eastAsia" w:ascii="仿宋" w:hAnsi="仿宋" w:eastAsia="仿宋" w:cs="仿宋"/>
          <w:color w:val="000000" w:themeColor="text1"/>
          <w:highlight w:val="none"/>
          <w14:textFill>
            <w14:solidFill>
              <w14:schemeClr w14:val="tx1"/>
            </w14:solidFill>
          </w14:textFill>
        </w:rPr>
      </w:pPr>
    </w:p>
    <w:p w14:paraId="57F0781E">
      <w:pPr>
        <w:spacing w:line="480" w:lineRule="exac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文件编号:ZZT2025-ZFCG-0530</w:t>
      </w:r>
    </w:p>
    <w:p w14:paraId="4A0920B6">
      <w:pPr>
        <w:pStyle w:val="10"/>
        <w:rPr>
          <w:rFonts w:hint="eastAsia"/>
          <w:highlight w:val="none"/>
        </w:rPr>
      </w:pPr>
    </w:p>
    <w:p w14:paraId="04E04629">
      <w:pPr>
        <w:jc w:val="both"/>
        <w:rPr>
          <w:rFonts w:hint="eastAsia" w:ascii="仿宋" w:hAnsi="仿宋" w:eastAsia="仿宋" w:cs="仿宋"/>
          <w:b/>
          <w:color w:val="000000" w:themeColor="text1"/>
          <w:sz w:val="48"/>
          <w:szCs w:val="48"/>
          <w:highlight w:val="none"/>
          <w:u w:val="wavyHeavy" w:color="FF0000"/>
          <w14:textFill>
            <w14:solidFill>
              <w14:schemeClr w14:val="tx1"/>
            </w14:solidFill>
          </w14:textFill>
        </w:rPr>
      </w:pPr>
    </w:p>
    <w:p w14:paraId="2EA36731">
      <w:pPr>
        <w:jc w:val="center"/>
        <w:rPr>
          <w:rFonts w:hint="eastAsia"/>
          <w:highlight w:val="none"/>
        </w:rPr>
      </w:pPr>
      <w:r>
        <w:rPr>
          <w:rFonts w:hint="eastAsia" w:ascii="仿宋" w:hAnsi="仿宋" w:eastAsia="仿宋" w:cs="仿宋"/>
          <w:b/>
          <w:bCs/>
          <w:color w:val="000000" w:themeColor="text1"/>
          <w:spacing w:val="20"/>
          <w:kern w:val="0"/>
          <w:sz w:val="52"/>
          <w:szCs w:val="52"/>
          <w:highlight w:val="none"/>
          <w:lang w:val="en-US" w:eastAsia="zh-CN" w:bidi="ar-SA"/>
          <w14:textFill>
            <w14:solidFill>
              <w14:schemeClr w14:val="tx1"/>
            </w14:solidFill>
          </w14:textFill>
        </w:rPr>
        <w:t>绿化养护服务项目</w:t>
      </w:r>
    </w:p>
    <w:p w14:paraId="384B13EC">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67B03707">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7B3C8B3B">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7168F78B">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r>
        <w:rPr>
          <w:rFonts w:hint="eastAsia" w:ascii="仿宋" w:hAnsi="仿宋" w:eastAsia="仿宋" w:cs="仿宋"/>
          <w:b/>
          <w:bCs/>
          <w:color w:val="000000" w:themeColor="text1"/>
          <w:spacing w:val="20"/>
          <w:kern w:val="0"/>
          <w:sz w:val="72"/>
          <w:szCs w:val="72"/>
          <w:highlight w:val="none"/>
          <w14:textFill>
            <w14:solidFill>
              <w14:schemeClr w14:val="tx1"/>
            </w14:solidFill>
          </w14:textFill>
        </w:rPr>
        <w:t>竞争性磋商文件</w:t>
      </w:r>
    </w:p>
    <w:p w14:paraId="6C81E54F">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43195106">
      <w:pPr>
        <w:pStyle w:val="20"/>
        <w:rPr>
          <w:rFonts w:hint="eastAsia" w:ascii="仿宋" w:hAnsi="仿宋" w:eastAsia="仿宋" w:cs="仿宋"/>
          <w:b/>
          <w:color w:val="000000" w:themeColor="text1"/>
          <w:sz w:val="36"/>
          <w:szCs w:val="36"/>
          <w:highlight w:val="none"/>
          <w14:textFill>
            <w14:solidFill>
              <w14:schemeClr w14:val="tx1"/>
            </w14:solidFill>
          </w14:textFill>
        </w:rPr>
      </w:pPr>
    </w:p>
    <w:p w14:paraId="7575D27A">
      <w:pPr>
        <w:rPr>
          <w:rFonts w:hint="eastAsia" w:ascii="仿宋" w:hAnsi="仿宋" w:eastAsia="仿宋" w:cs="仿宋"/>
          <w:b/>
          <w:color w:val="000000" w:themeColor="text1"/>
          <w:sz w:val="36"/>
          <w:szCs w:val="36"/>
          <w:highlight w:val="none"/>
          <w14:textFill>
            <w14:solidFill>
              <w14:schemeClr w14:val="tx1"/>
            </w14:solidFill>
          </w14:textFill>
        </w:rPr>
      </w:pPr>
    </w:p>
    <w:p w14:paraId="6EB83E2E">
      <w:pPr>
        <w:pStyle w:val="37"/>
        <w:rPr>
          <w:rFonts w:hint="eastAsia" w:ascii="仿宋" w:hAnsi="仿宋" w:eastAsia="仿宋" w:cs="仿宋"/>
          <w:b/>
          <w:color w:val="000000" w:themeColor="text1"/>
          <w:sz w:val="32"/>
          <w:szCs w:val="32"/>
          <w:highlight w:val="none"/>
          <w14:textFill>
            <w14:solidFill>
              <w14:schemeClr w14:val="tx1"/>
            </w14:solidFill>
          </w14:textFill>
        </w:rPr>
      </w:pPr>
    </w:p>
    <w:p w14:paraId="39269035">
      <w:pPr>
        <w:pStyle w:val="37"/>
        <w:rPr>
          <w:rFonts w:hint="eastAsia" w:ascii="仿宋" w:hAnsi="仿宋" w:eastAsia="仿宋" w:cs="仿宋"/>
          <w:b/>
          <w:color w:val="000000" w:themeColor="text1"/>
          <w:sz w:val="32"/>
          <w:szCs w:val="32"/>
          <w:highlight w:val="none"/>
          <w14:textFill>
            <w14:solidFill>
              <w14:schemeClr w14:val="tx1"/>
            </w14:solidFill>
          </w14:textFill>
        </w:rPr>
      </w:pPr>
    </w:p>
    <w:p w14:paraId="454BF854">
      <w:pPr>
        <w:spacing w:line="560" w:lineRule="exact"/>
        <w:ind w:firstLine="1606" w:firstLineChars="5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Fonts w:hint="eastAsia" w:ascii="仿宋" w:hAnsi="仿宋" w:eastAsia="仿宋" w:cs="仿宋"/>
          <w:b/>
          <w:color w:val="000000" w:themeColor="text1"/>
          <w:sz w:val="32"/>
          <w:szCs w:val="32"/>
          <w:highlight w:val="none"/>
          <w14:textFill>
            <w14:solidFill>
              <w14:schemeClr w14:val="tx1"/>
            </w14:solidFill>
          </w14:textFill>
        </w:rPr>
        <w:t>人：富平县殡葬管理所</w:t>
      </w:r>
    </w:p>
    <w:p w14:paraId="56E3D48C">
      <w:pPr>
        <w:spacing w:line="560" w:lineRule="exact"/>
        <w:ind w:firstLine="1606" w:firstLineChars="5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采购代理机构：中智投工程管理有限公司</w:t>
      </w:r>
    </w:p>
    <w:p w14:paraId="7DC6C629">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E9C2A0C">
      <w:pPr>
        <w:spacing w:line="560" w:lineRule="exact"/>
        <w:jc w:val="center"/>
        <w:rPr>
          <w:rFonts w:hint="eastAsia" w:ascii="仿宋" w:hAnsi="仿宋" w:eastAsia="仿宋" w:cs="仿宋"/>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 w:hAnsi="仿宋" w:eastAsia="仿宋" w:cs="仿宋"/>
          <w:b/>
          <w:bCs/>
          <w:color w:val="000000" w:themeColor="text1"/>
          <w:sz w:val="32"/>
          <w:szCs w:val="32"/>
          <w:highlight w:val="none"/>
          <w14:textFill>
            <w14:solidFill>
              <w14:schemeClr w14:val="tx1"/>
            </w14:solidFill>
          </w14:textFill>
        </w:rPr>
        <w:t>二零二</w:t>
      </w:r>
      <w:r>
        <w:rPr>
          <w:rFonts w:hint="eastAsia" w:ascii="仿宋" w:hAnsi="仿宋" w:eastAsia="仿宋" w:cs="仿宋"/>
          <w:b/>
          <w:bCs/>
          <w:color w:val="000000" w:themeColor="text1"/>
          <w:sz w:val="32"/>
          <w:szCs w:val="32"/>
          <w:highlight w:val="none"/>
          <w:lang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五月</w:t>
      </w:r>
    </w:p>
    <w:p w14:paraId="66D16807">
      <w:pPr>
        <w:spacing w:line="480" w:lineRule="exact"/>
        <w:jc w:val="center"/>
        <w:rPr>
          <w:rFonts w:hint="eastAsia" w:ascii="仿宋" w:hAnsi="仿宋" w:eastAsia="仿宋" w:cs="仿宋"/>
          <w:color w:val="000000" w:themeColor="text1"/>
          <w:sz w:val="48"/>
          <w:szCs w:val="48"/>
          <w:highlight w:val="none"/>
          <w:lang w:val="zh-CN"/>
          <w14:textFill>
            <w14:solidFill>
              <w14:schemeClr w14:val="tx1"/>
            </w14:solidFill>
          </w14:textFill>
        </w:rPr>
      </w:pPr>
      <w:r>
        <w:rPr>
          <w:rFonts w:hint="eastAsia" w:ascii="仿宋" w:hAnsi="仿宋" w:eastAsia="仿宋" w:cs="仿宋"/>
          <w:color w:val="000000" w:themeColor="text1"/>
          <w:sz w:val="48"/>
          <w:szCs w:val="48"/>
          <w:highlight w:val="none"/>
          <w:lang w:val="zh-CN"/>
          <w14:textFill>
            <w14:solidFill>
              <w14:schemeClr w14:val="tx1"/>
            </w14:solidFill>
          </w14:textFill>
        </w:rPr>
        <w:t>目  录</w:t>
      </w:r>
    </w:p>
    <w:p w14:paraId="3D873051">
      <w:pPr>
        <w:rPr>
          <w:rFonts w:hint="eastAsia" w:ascii="仿宋" w:hAnsi="仿宋" w:eastAsia="仿宋" w:cs="仿宋"/>
          <w:color w:val="000000" w:themeColor="text1"/>
          <w:highlight w:val="none"/>
          <w:lang w:val="zh-CN"/>
          <w14:textFill>
            <w14:solidFill>
              <w14:schemeClr w14:val="tx1"/>
            </w14:solidFill>
          </w14:textFill>
        </w:rPr>
      </w:pPr>
    </w:p>
    <w:p w14:paraId="7227D710">
      <w:pPr>
        <w:pStyle w:val="17"/>
        <w:tabs>
          <w:tab w:val="right" w:leader="dot" w:pos="9070"/>
        </w:tabs>
        <w:spacing w:line="480" w:lineRule="auto"/>
        <w:rPr>
          <w:sz w:val="22"/>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_Toc20848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52"/>
          <w:highlight w:val="none"/>
        </w:rPr>
        <w:t>第一章 竞争性磋商</w:t>
      </w:r>
      <w:r>
        <w:rPr>
          <w:rFonts w:hint="eastAsia" w:ascii="仿宋" w:hAnsi="仿宋" w:eastAsia="仿宋" w:cs="仿宋"/>
          <w:bCs/>
          <w:sz w:val="22"/>
          <w:szCs w:val="52"/>
          <w:highlight w:val="none"/>
          <w:lang w:eastAsia="zh-CN"/>
        </w:rPr>
        <w:t>公告</w:t>
      </w:r>
      <w:r>
        <w:rPr>
          <w:sz w:val="22"/>
          <w:szCs w:val="28"/>
          <w:highlight w:val="none"/>
        </w:rPr>
        <w:tab/>
      </w:r>
      <w:r>
        <w:rPr>
          <w:sz w:val="22"/>
          <w:szCs w:val="28"/>
          <w:highlight w:val="none"/>
        </w:rPr>
        <w:fldChar w:fldCharType="begin"/>
      </w:r>
      <w:r>
        <w:rPr>
          <w:sz w:val="22"/>
          <w:szCs w:val="28"/>
          <w:highlight w:val="none"/>
        </w:rPr>
        <w:instrText xml:space="preserve"> PAGEREF _Toc20848 \h </w:instrText>
      </w:r>
      <w:r>
        <w:rPr>
          <w:sz w:val="22"/>
          <w:szCs w:val="28"/>
          <w:highlight w:val="none"/>
        </w:rPr>
        <w:fldChar w:fldCharType="separate"/>
      </w:r>
      <w:r>
        <w:rPr>
          <w:sz w:val="22"/>
          <w:szCs w:val="28"/>
          <w:highlight w:val="none"/>
        </w:rPr>
        <w:t>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189B17D">
      <w:pPr>
        <w:pStyle w:val="17"/>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第二章 供应商须知</w:t>
      </w:r>
      <w:r>
        <w:rPr>
          <w:sz w:val="22"/>
          <w:szCs w:val="28"/>
          <w:highlight w:val="none"/>
        </w:rPr>
        <w:tab/>
      </w:r>
      <w:r>
        <w:rPr>
          <w:sz w:val="22"/>
          <w:szCs w:val="28"/>
          <w:highlight w:val="none"/>
        </w:rPr>
        <w:fldChar w:fldCharType="begin"/>
      </w:r>
      <w:r>
        <w:rPr>
          <w:sz w:val="22"/>
          <w:szCs w:val="28"/>
          <w:highlight w:val="none"/>
        </w:rPr>
        <w:instrText xml:space="preserve"> PAGEREF _Toc19749 \h </w:instrText>
      </w:r>
      <w:r>
        <w:rPr>
          <w:sz w:val="22"/>
          <w:szCs w:val="28"/>
          <w:highlight w:val="none"/>
        </w:rPr>
        <w:fldChar w:fldCharType="separate"/>
      </w:r>
      <w:r>
        <w:rPr>
          <w:sz w:val="22"/>
          <w:szCs w:val="28"/>
          <w:highlight w:val="none"/>
        </w:rPr>
        <w:t>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226664C">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_Toc1739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一、供应商须知前附表</w:t>
      </w:r>
      <w:r>
        <w:rPr>
          <w:sz w:val="22"/>
          <w:szCs w:val="28"/>
          <w:highlight w:val="none"/>
        </w:rPr>
        <w:tab/>
      </w:r>
      <w:r>
        <w:rPr>
          <w:sz w:val="22"/>
          <w:szCs w:val="28"/>
          <w:highlight w:val="none"/>
        </w:rPr>
        <w:fldChar w:fldCharType="begin"/>
      </w:r>
      <w:r>
        <w:rPr>
          <w:sz w:val="22"/>
          <w:szCs w:val="28"/>
          <w:highlight w:val="none"/>
        </w:rPr>
        <w:instrText xml:space="preserve"> PAGEREF _Toc1739 \h </w:instrText>
      </w:r>
      <w:r>
        <w:rPr>
          <w:sz w:val="22"/>
          <w:szCs w:val="28"/>
          <w:highlight w:val="none"/>
        </w:rPr>
        <w:fldChar w:fldCharType="separate"/>
      </w:r>
      <w:r>
        <w:rPr>
          <w:sz w:val="22"/>
          <w:szCs w:val="28"/>
          <w:highlight w:val="none"/>
        </w:rPr>
        <w:t>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8F08B2D">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_Toc12152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二、项目说明</w:t>
      </w:r>
      <w:r>
        <w:rPr>
          <w:sz w:val="22"/>
          <w:szCs w:val="28"/>
          <w:highlight w:val="none"/>
        </w:rPr>
        <w:tab/>
      </w:r>
      <w:r>
        <w:rPr>
          <w:sz w:val="22"/>
          <w:szCs w:val="28"/>
          <w:highlight w:val="none"/>
        </w:rPr>
        <w:fldChar w:fldCharType="begin"/>
      </w:r>
      <w:r>
        <w:rPr>
          <w:sz w:val="22"/>
          <w:szCs w:val="28"/>
          <w:highlight w:val="none"/>
        </w:rPr>
        <w:instrText xml:space="preserve"> PAGEREF _Toc12152 \h </w:instrText>
      </w:r>
      <w:r>
        <w:rPr>
          <w:sz w:val="22"/>
          <w:szCs w:val="28"/>
          <w:highlight w:val="none"/>
        </w:rPr>
        <w:fldChar w:fldCharType="separate"/>
      </w:r>
      <w:r>
        <w:rPr>
          <w:sz w:val="22"/>
          <w:szCs w:val="28"/>
          <w:highlight w:val="none"/>
        </w:rPr>
        <w:t>13</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FE43FAE">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_Toc24776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三、竞争性磋商文件</w:t>
      </w:r>
      <w:r>
        <w:rPr>
          <w:sz w:val="22"/>
          <w:szCs w:val="28"/>
          <w:highlight w:val="none"/>
        </w:rPr>
        <w:tab/>
      </w:r>
      <w:r>
        <w:rPr>
          <w:sz w:val="22"/>
          <w:szCs w:val="28"/>
          <w:highlight w:val="none"/>
        </w:rPr>
        <w:fldChar w:fldCharType="begin"/>
      </w:r>
      <w:r>
        <w:rPr>
          <w:sz w:val="22"/>
          <w:szCs w:val="28"/>
          <w:highlight w:val="none"/>
        </w:rPr>
        <w:instrText xml:space="preserve"> PAGEREF _Toc24776 \h </w:instrText>
      </w:r>
      <w:r>
        <w:rPr>
          <w:sz w:val="22"/>
          <w:szCs w:val="28"/>
          <w:highlight w:val="none"/>
        </w:rPr>
        <w:fldChar w:fldCharType="separate"/>
      </w:r>
      <w:r>
        <w:rPr>
          <w:sz w:val="22"/>
          <w:szCs w:val="28"/>
          <w:highlight w:val="none"/>
        </w:rPr>
        <w:t>13</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D4FBE9A">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_Toc1600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四、竞争性磋商响应文件</w:t>
      </w:r>
      <w:r>
        <w:rPr>
          <w:sz w:val="22"/>
          <w:szCs w:val="28"/>
          <w:highlight w:val="none"/>
        </w:rPr>
        <w:tab/>
      </w:r>
      <w:r>
        <w:rPr>
          <w:sz w:val="22"/>
          <w:szCs w:val="28"/>
          <w:highlight w:val="none"/>
        </w:rPr>
        <w:fldChar w:fldCharType="begin"/>
      </w:r>
      <w:r>
        <w:rPr>
          <w:sz w:val="22"/>
          <w:szCs w:val="28"/>
          <w:highlight w:val="none"/>
        </w:rPr>
        <w:instrText xml:space="preserve"> PAGEREF _Toc1600 \h </w:instrText>
      </w:r>
      <w:r>
        <w:rPr>
          <w:sz w:val="22"/>
          <w:szCs w:val="28"/>
          <w:highlight w:val="none"/>
        </w:rPr>
        <w:fldChar w:fldCharType="separate"/>
      </w:r>
      <w:r>
        <w:rPr>
          <w:sz w:val="22"/>
          <w:szCs w:val="28"/>
          <w:highlight w:val="none"/>
        </w:rPr>
        <w:t>14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ECAAD44">
      <w:pPr>
        <w:pStyle w:val="18"/>
        <w:tabs>
          <w:tab w:val="right" w:leader="dot" w:pos="9070"/>
        </w:tabs>
        <w:spacing w:line="480" w:lineRule="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color w:val="000000" w:themeColor="text1"/>
          <w:sz w:val="22"/>
          <w:szCs w:val="28"/>
          <w:highlight w:val="none"/>
          <w14:textFill>
            <w14:solidFill>
              <w14:schemeClr w14:val="tx1"/>
            </w14:solidFill>
          </w14:textFill>
        </w:rPr>
        <w:instrText xml:space="preserve"> HYPERLINK \l _Toc27461 </w:instrText>
      </w:r>
      <w:r>
        <w:rPr>
          <w:rFonts w:hint="eastAsia" w:ascii="仿宋" w:hAnsi="仿宋" w:eastAsia="仿宋" w:cs="仿宋"/>
          <w:color w:val="000000" w:themeColor="text1"/>
          <w:sz w:val="22"/>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t>五、磋商担保</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19</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A5A3AD1">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_Toc5793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lang w:val="en-US" w:eastAsia="zh-CN"/>
        </w:rPr>
        <w:t>六</w:t>
      </w:r>
      <w:r>
        <w:rPr>
          <w:rFonts w:hint="eastAsia" w:ascii="仿宋" w:hAnsi="仿宋" w:eastAsia="仿宋" w:cs="仿宋"/>
          <w:kern w:val="0"/>
          <w:sz w:val="22"/>
          <w:szCs w:val="32"/>
          <w:highlight w:val="none"/>
        </w:rPr>
        <w:t>、磋商响应</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19</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E002BE4">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_Toc23636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32"/>
          <w:highlight w:val="none"/>
          <w:lang w:val="en-US" w:eastAsia="zh-CN"/>
        </w:rPr>
        <w:t>七</w:t>
      </w:r>
      <w:r>
        <w:rPr>
          <w:rFonts w:hint="eastAsia" w:ascii="仿宋" w:hAnsi="仿宋" w:eastAsia="仿宋" w:cs="仿宋"/>
          <w:bCs/>
          <w:sz w:val="22"/>
          <w:szCs w:val="32"/>
          <w:highlight w:val="none"/>
        </w:rPr>
        <w:t>、磋商、评审及定标</w:t>
      </w:r>
      <w:r>
        <w:rPr>
          <w:sz w:val="22"/>
          <w:szCs w:val="28"/>
          <w:highlight w:val="none"/>
        </w:rPr>
        <w:tab/>
      </w:r>
      <w:r>
        <w:rPr>
          <w:sz w:val="22"/>
          <w:szCs w:val="28"/>
          <w:highlight w:val="none"/>
        </w:rPr>
        <w:fldChar w:fldCharType="begin"/>
      </w:r>
      <w:r>
        <w:rPr>
          <w:sz w:val="22"/>
          <w:szCs w:val="28"/>
          <w:highlight w:val="none"/>
        </w:rPr>
        <w:instrText xml:space="preserve"> PAGEREF _Toc23636 \h </w:instrText>
      </w:r>
      <w:r>
        <w:rPr>
          <w:sz w:val="22"/>
          <w:szCs w:val="28"/>
          <w:highlight w:val="none"/>
        </w:rPr>
        <w:fldChar w:fldCharType="separate"/>
      </w:r>
      <w:r>
        <w:rPr>
          <w:sz w:val="22"/>
          <w:szCs w:val="28"/>
          <w:highlight w:val="none"/>
        </w:rPr>
        <w:t>22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AD3ECEA">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_Toc28361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八</w:t>
      </w:r>
      <w:r>
        <w:rPr>
          <w:rFonts w:hint="eastAsia" w:ascii="仿宋" w:hAnsi="仿宋" w:eastAsia="仿宋" w:cs="仿宋"/>
          <w:sz w:val="22"/>
          <w:szCs w:val="32"/>
          <w:highlight w:val="none"/>
        </w:rPr>
        <w:t>、合同</w:t>
      </w:r>
      <w:r>
        <w:rPr>
          <w:sz w:val="22"/>
          <w:szCs w:val="28"/>
          <w:highlight w:val="none"/>
        </w:rPr>
        <w:tab/>
      </w:r>
      <w:r>
        <w:rPr>
          <w:sz w:val="22"/>
          <w:szCs w:val="28"/>
          <w:highlight w:val="none"/>
        </w:rPr>
        <w:fldChar w:fldCharType="begin"/>
      </w:r>
      <w:r>
        <w:rPr>
          <w:sz w:val="22"/>
          <w:szCs w:val="28"/>
          <w:highlight w:val="none"/>
        </w:rPr>
        <w:instrText xml:space="preserve"> PAGEREF _Toc28361 \h </w:instrText>
      </w:r>
      <w:r>
        <w:rPr>
          <w:sz w:val="22"/>
          <w:szCs w:val="28"/>
          <w:highlight w:val="none"/>
        </w:rPr>
        <w:fldChar w:fldCharType="separate"/>
      </w:r>
      <w:r>
        <w:rPr>
          <w:sz w:val="22"/>
          <w:szCs w:val="28"/>
          <w:highlight w:val="none"/>
        </w:rPr>
        <w:t>34</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8689855">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_Toc24945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九</w:t>
      </w:r>
      <w:r>
        <w:rPr>
          <w:rFonts w:hint="eastAsia" w:ascii="仿宋" w:hAnsi="仿宋" w:eastAsia="仿宋" w:cs="仿宋"/>
          <w:sz w:val="22"/>
          <w:szCs w:val="32"/>
          <w:highlight w:val="none"/>
        </w:rPr>
        <w:t>、合同的履约验收</w:t>
      </w:r>
      <w:r>
        <w:rPr>
          <w:sz w:val="22"/>
          <w:szCs w:val="28"/>
          <w:highlight w:val="none"/>
        </w:rPr>
        <w:tab/>
      </w:r>
      <w:r>
        <w:rPr>
          <w:sz w:val="22"/>
          <w:szCs w:val="28"/>
          <w:highlight w:val="none"/>
        </w:rPr>
        <w:fldChar w:fldCharType="begin"/>
      </w:r>
      <w:r>
        <w:rPr>
          <w:sz w:val="22"/>
          <w:szCs w:val="28"/>
          <w:highlight w:val="none"/>
        </w:rPr>
        <w:instrText xml:space="preserve"> PAGEREF _Toc24945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D443C30">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_Toc19792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十</w:t>
      </w:r>
      <w:r>
        <w:rPr>
          <w:rFonts w:hint="eastAsia" w:ascii="仿宋" w:hAnsi="仿宋" w:eastAsia="仿宋" w:cs="仿宋"/>
          <w:sz w:val="22"/>
          <w:szCs w:val="32"/>
          <w:highlight w:val="none"/>
        </w:rPr>
        <w:t>、招标服务费</w:t>
      </w:r>
      <w:r>
        <w:rPr>
          <w:sz w:val="22"/>
          <w:szCs w:val="28"/>
          <w:highlight w:val="none"/>
        </w:rPr>
        <w:tab/>
      </w:r>
      <w:r>
        <w:rPr>
          <w:sz w:val="22"/>
          <w:szCs w:val="28"/>
          <w:highlight w:val="none"/>
        </w:rPr>
        <w:fldChar w:fldCharType="begin"/>
      </w:r>
      <w:r>
        <w:rPr>
          <w:sz w:val="22"/>
          <w:szCs w:val="28"/>
          <w:highlight w:val="none"/>
        </w:rPr>
        <w:instrText xml:space="preserve"> PAGEREF _Toc19792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BA0B720">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_Toc14425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一</w:t>
      </w:r>
      <w:r>
        <w:rPr>
          <w:rFonts w:hint="eastAsia" w:ascii="仿宋" w:hAnsi="仿宋" w:eastAsia="仿宋" w:cs="仿宋"/>
          <w:sz w:val="22"/>
          <w:szCs w:val="32"/>
          <w:highlight w:val="none"/>
        </w:rPr>
        <w:t>、重新组织采购活动</w:t>
      </w:r>
      <w:r>
        <w:rPr>
          <w:sz w:val="22"/>
          <w:szCs w:val="28"/>
          <w:highlight w:val="none"/>
        </w:rPr>
        <w:tab/>
      </w:r>
      <w:r>
        <w:rPr>
          <w:sz w:val="22"/>
          <w:szCs w:val="28"/>
          <w:highlight w:val="none"/>
        </w:rPr>
        <w:fldChar w:fldCharType="begin"/>
      </w:r>
      <w:r>
        <w:rPr>
          <w:sz w:val="22"/>
          <w:szCs w:val="28"/>
          <w:highlight w:val="none"/>
        </w:rPr>
        <w:instrText xml:space="preserve"> PAGEREF _Toc14425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7D83848">
      <w:pPr>
        <w:pStyle w:val="18"/>
        <w:tabs>
          <w:tab w:val="right" w:leader="dot" w:pos="9070"/>
        </w:tabs>
        <w:spacing w:line="480" w:lineRule="auto"/>
        <w:rPr>
          <w:rFonts w:hint="eastAsia" w:ascii="仿宋" w:hAnsi="仿宋" w:eastAsia="仿宋" w:cs="仿宋"/>
          <w:color w:val="000000" w:themeColor="text1"/>
          <w:sz w:val="22"/>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8"/>
          <w:highlight w:val="none"/>
          <w:lang w:val="en-US" w:eastAsia="zh-CN"/>
          <w14:textFill>
            <w14:solidFill>
              <w14:schemeClr w14:val="tx1"/>
            </w14:solidFill>
          </w14:textFill>
        </w:rPr>
        <w:t>十二、特殊情形的处理</w:t>
      </w:r>
      <w:r>
        <w:rPr>
          <w:sz w:val="22"/>
          <w:szCs w:val="28"/>
          <w:highlight w:val="none"/>
        </w:rPr>
        <w:tab/>
      </w:r>
      <w:r>
        <w:rPr>
          <w:sz w:val="22"/>
          <w:szCs w:val="28"/>
          <w:highlight w:val="none"/>
        </w:rPr>
        <w:fldChar w:fldCharType="begin"/>
      </w:r>
      <w:r>
        <w:rPr>
          <w:sz w:val="22"/>
          <w:szCs w:val="28"/>
          <w:highlight w:val="none"/>
        </w:rPr>
        <w:instrText xml:space="preserve"> PAGEREF _Toc14425 \h </w:instrText>
      </w:r>
      <w:r>
        <w:rPr>
          <w:sz w:val="22"/>
          <w:szCs w:val="28"/>
          <w:highlight w:val="none"/>
        </w:rPr>
        <w:fldChar w:fldCharType="separate"/>
      </w:r>
      <w:r>
        <w:rPr>
          <w:sz w:val="22"/>
          <w:szCs w:val="28"/>
          <w:highlight w:val="none"/>
        </w:rPr>
        <w:t>35</w:t>
      </w:r>
      <w:r>
        <w:rPr>
          <w:sz w:val="22"/>
          <w:szCs w:val="28"/>
          <w:highlight w:val="none"/>
        </w:rPr>
        <w:fldChar w:fldCharType="end"/>
      </w:r>
    </w:p>
    <w:p w14:paraId="306BC68D">
      <w:pPr>
        <w:pStyle w:val="18"/>
        <w:tabs>
          <w:tab w:val="right" w:leader="dot" w:pos="9070"/>
        </w:tabs>
        <w:spacing w:line="480" w:lineRule="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_Toc15549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三</w:t>
      </w:r>
      <w:r>
        <w:rPr>
          <w:rFonts w:hint="eastAsia" w:ascii="仿宋" w:hAnsi="仿宋" w:eastAsia="仿宋" w:cs="仿宋"/>
          <w:sz w:val="22"/>
          <w:szCs w:val="32"/>
          <w:highlight w:val="none"/>
        </w:rPr>
        <w:t>、询问、质疑与投诉</w:t>
      </w:r>
      <w:r>
        <w:rPr>
          <w:sz w:val="22"/>
          <w:szCs w:val="28"/>
          <w:highlight w:val="none"/>
        </w:rPr>
        <w:tab/>
      </w:r>
      <w:r>
        <w:rPr>
          <w:sz w:val="22"/>
          <w:szCs w:val="28"/>
          <w:highlight w:val="none"/>
        </w:rPr>
        <w:fldChar w:fldCharType="begin"/>
      </w:r>
      <w:r>
        <w:rPr>
          <w:sz w:val="22"/>
          <w:szCs w:val="28"/>
          <w:highlight w:val="none"/>
        </w:rPr>
        <w:instrText xml:space="preserve"> PAGEREF _Toc15549 \h </w:instrText>
      </w:r>
      <w:r>
        <w:rPr>
          <w:sz w:val="22"/>
          <w:szCs w:val="28"/>
          <w:highlight w:val="none"/>
        </w:rPr>
        <w:fldChar w:fldCharType="separate"/>
      </w:r>
      <w:r>
        <w:rPr>
          <w:sz w:val="22"/>
          <w:szCs w:val="28"/>
          <w:highlight w:val="none"/>
        </w:rPr>
        <w:t>35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7CE1287">
      <w:pPr>
        <w:pStyle w:val="18"/>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_Toc19464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四</w:t>
      </w:r>
      <w:r>
        <w:rPr>
          <w:rFonts w:hint="eastAsia" w:ascii="仿宋" w:hAnsi="仿宋" w:eastAsia="仿宋" w:cs="仿宋"/>
          <w:sz w:val="22"/>
          <w:szCs w:val="32"/>
          <w:highlight w:val="none"/>
        </w:rPr>
        <w:t>、拒绝商业贿赂</w:t>
      </w:r>
      <w:r>
        <w:rPr>
          <w:sz w:val="22"/>
          <w:szCs w:val="28"/>
          <w:highlight w:val="none"/>
        </w:rPr>
        <w:tab/>
      </w:r>
      <w:r>
        <w:rPr>
          <w:sz w:val="22"/>
          <w:szCs w:val="28"/>
          <w:highlight w:val="none"/>
        </w:rPr>
        <w:fldChar w:fldCharType="begin"/>
      </w:r>
      <w:r>
        <w:rPr>
          <w:sz w:val="22"/>
          <w:szCs w:val="28"/>
          <w:highlight w:val="none"/>
        </w:rPr>
        <w:instrText xml:space="preserve"> PAGEREF _Toc19464 \h </w:instrText>
      </w:r>
      <w:r>
        <w:rPr>
          <w:sz w:val="22"/>
          <w:szCs w:val="28"/>
          <w:highlight w:val="none"/>
        </w:rPr>
        <w:fldChar w:fldCharType="separate"/>
      </w:r>
      <w:r>
        <w:rPr>
          <w:sz w:val="22"/>
          <w:szCs w:val="28"/>
          <w:highlight w:val="none"/>
        </w:rPr>
        <w:t>37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1C891E0">
      <w:pPr>
        <w:pStyle w:val="17"/>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_Toc20324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第三章  服务内容及要求</w:t>
      </w:r>
      <w:r>
        <w:rPr>
          <w:sz w:val="22"/>
          <w:szCs w:val="28"/>
          <w:highlight w:val="none"/>
        </w:rPr>
        <w:tab/>
      </w:r>
      <w:r>
        <w:rPr>
          <w:sz w:val="22"/>
          <w:szCs w:val="28"/>
          <w:highlight w:val="none"/>
        </w:rPr>
        <w:fldChar w:fldCharType="begin"/>
      </w:r>
      <w:r>
        <w:rPr>
          <w:sz w:val="22"/>
          <w:szCs w:val="28"/>
          <w:highlight w:val="none"/>
        </w:rPr>
        <w:instrText xml:space="preserve"> PAGEREF _Toc20324 \h </w:instrText>
      </w:r>
      <w:r>
        <w:rPr>
          <w:sz w:val="22"/>
          <w:szCs w:val="28"/>
          <w:highlight w:val="none"/>
        </w:rPr>
        <w:fldChar w:fldCharType="separate"/>
      </w:r>
      <w:r>
        <w:rPr>
          <w:sz w:val="22"/>
          <w:szCs w:val="28"/>
          <w:highlight w:val="none"/>
        </w:rPr>
        <w:t>38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298B5CB">
      <w:pPr>
        <w:pStyle w:val="17"/>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_Toc21581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第四章  商务要求</w:t>
      </w:r>
      <w:r>
        <w:rPr>
          <w:sz w:val="22"/>
          <w:szCs w:val="28"/>
          <w:highlight w:val="none"/>
        </w:rPr>
        <w:tab/>
      </w:r>
      <w:r>
        <w:rPr>
          <w:sz w:val="22"/>
          <w:szCs w:val="28"/>
          <w:highlight w:val="none"/>
        </w:rPr>
        <w:fldChar w:fldCharType="begin"/>
      </w:r>
      <w:r>
        <w:rPr>
          <w:sz w:val="22"/>
          <w:szCs w:val="28"/>
          <w:highlight w:val="none"/>
        </w:rPr>
        <w:instrText xml:space="preserve"> PAGEREF _Toc21581 \h </w:instrText>
      </w:r>
      <w:r>
        <w:rPr>
          <w:sz w:val="22"/>
          <w:szCs w:val="28"/>
          <w:highlight w:val="none"/>
        </w:rPr>
        <w:fldChar w:fldCharType="separate"/>
      </w:r>
      <w:r>
        <w:rPr>
          <w:sz w:val="22"/>
          <w:szCs w:val="28"/>
          <w:highlight w:val="none"/>
        </w:rPr>
        <w:t>38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FC3CD1F">
      <w:pPr>
        <w:pStyle w:val="17"/>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_Toc2890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第五章  合同条款</w:t>
      </w:r>
      <w:r>
        <w:rPr>
          <w:sz w:val="22"/>
          <w:szCs w:val="28"/>
          <w:highlight w:val="none"/>
        </w:rPr>
        <w:tab/>
      </w:r>
      <w:r>
        <w:rPr>
          <w:sz w:val="22"/>
          <w:szCs w:val="28"/>
          <w:highlight w:val="none"/>
        </w:rPr>
        <w:fldChar w:fldCharType="begin"/>
      </w:r>
      <w:r>
        <w:rPr>
          <w:sz w:val="22"/>
          <w:szCs w:val="28"/>
          <w:highlight w:val="none"/>
        </w:rPr>
        <w:instrText xml:space="preserve"> PAGEREF _Toc2890 \h </w:instrText>
      </w:r>
      <w:r>
        <w:rPr>
          <w:sz w:val="22"/>
          <w:szCs w:val="28"/>
          <w:highlight w:val="none"/>
        </w:rPr>
        <w:fldChar w:fldCharType="separate"/>
      </w:r>
      <w:r>
        <w:rPr>
          <w:sz w:val="22"/>
          <w:szCs w:val="28"/>
          <w:highlight w:val="none"/>
        </w:rPr>
        <w:t>43</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2EC12E19">
      <w:pPr>
        <w:pStyle w:val="17"/>
        <w:tabs>
          <w:tab w:val="right" w:leader="dot" w:pos="9070"/>
        </w:tabs>
        <w:spacing w:line="480" w:lineRule="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_Toc32022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第六章  竞争性磋商响应文件格式</w:t>
      </w:r>
      <w:r>
        <w:rPr>
          <w:sz w:val="22"/>
          <w:szCs w:val="28"/>
          <w:highlight w:val="none"/>
        </w:rPr>
        <w:tab/>
      </w:r>
      <w:r>
        <w:rPr>
          <w:sz w:val="22"/>
          <w:szCs w:val="28"/>
          <w:highlight w:val="none"/>
        </w:rPr>
        <w:fldChar w:fldCharType="begin"/>
      </w:r>
      <w:r>
        <w:rPr>
          <w:sz w:val="22"/>
          <w:szCs w:val="28"/>
          <w:highlight w:val="none"/>
        </w:rPr>
        <w:instrText xml:space="preserve"> PAGEREF _Toc32022 \h </w:instrText>
      </w:r>
      <w:r>
        <w:rPr>
          <w:sz w:val="22"/>
          <w:szCs w:val="28"/>
          <w:highlight w:val="none"/>
        </w:rPr>
        <w:fldChar w:fldCharType="separate"/>
      </w:r>
      <w:r>
        <w:rPr>
          <w:sz w:val="22"/>
          <w:szCs w:val="28"/>
          <w:highlight w:val="none"/>
        </w:rPr>
        <w:t>48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3EB81A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sectPr>
          <w:footerReference r:id="rId8" w:type="default"/>
          <w:pgSz w:w="11906" w:h="16838"/>
          <w:pgMar w:top="1418" w:right="1418" w:bottom="1418" w:left="1418" w:header="720" w:footer="7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6D67C161">
      <w:pPr>
        <w:spacing w:line="480" w:lineRule="exact"/>
        <w:jc w:val="center"/>
        <w:outlineLvl w:val="0"/>
        <w:rPr>
          <w:rFonts w:hint="eastAsia" w:ascii="仿宋" w:hAnsi="仿宋" w:eastAsia="仿宋" w:cs="仿宋"/>
          <w:b/>
          <w:bCs/>
          <w:color w:val="000000" w:themeColor="text1"/>
          <w:sz w:val="48"/>
          <w:szCs w:val="48"/>
          <w:highlight w:val="none"/>
          <w:lang w:val="en-US" w:eastAsia="zh-CN"/>
          <w14:textFill>
            <w14:solidFill>
              <w14:schemeClr w14:val="tx1"/>
            </w14:solidFill>
          </w14:textFill>
        </w:rPr>
      </w:pPr>
      <w:bookmarkStart w:id="0" w:name="_Toc20848"/>
      <w:r>
        <w:rPr>
          <w:rFonts w:hint="eastAsia" w:ascii="仿宋" w:hAnsi="仿宋" w:eastAsia="仿宋" w:cs="仿宋"/>
          <w:b/>
          <w:bCs/>
          <w:color w:val="000000" w:themeColor="text1"/>
          <w:sz w:val="48"/>
          <w:szCs w:val="48"/>
          <w:highlight w:val="none"/>
          <w14:textFill>
            <w14:solidFill>
              <w14:schemeClr w14:val="tx1"/>
            </w14:solidFill>
          </w14:textFill>
        </w:rPr>
        <w:t>第一章 竞争性磋商</w:t>
      </w:r>
      <w:bookmarkEnd w:id="0"/>
      <w:r>
        <w:rPr>
          <w:rFonts w:hint="eastAsia" w:ascii="仿宋" w:hAnsi="仿宋" w:eastAsia="仿宋" w:cs="仿宋"/>
          <w:b/>
          <w:bCs/>
          <w:color w:val="000000" w:themeColor="text1"/>
          <w:sz w:val="48"/>
          <w:szCs w:val="48"/>
          <w:highlight w:val="none"/>
          <w:lang w:eastAsia="zh-CN"/>
          <w14:textFill>
            <w14:solidFill>
              <w14:schemeClr w14:val="tx1"/>
            </w14:solidFill>
          </w14:textFill>
        </w:rPr>
        <w:t>公告</w:t>
      </w:r>
    </w:p>
    <w:p w14:paraId="1ED9A9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仿宋" w:hAnsi="仿宋" w:eastAsia="仿宋" w:cs="仿宋"/>
          <w:b w:val="0"/>
          <w:bCs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项目概况</w:t>
      </w:r>
    </w:p>
    <w:p w14:paraId="14EA30E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绿化养护服务项目采购项目的潜在供应商应在陕西省渭南市富平县高新区零工市场东办公4楼获取采购文件，并于 2025年06月13日 09时30分 （北京时间）前提交响应文件。</w:t>
      </w:r>
    </w:p>
    <w:p w14:paraId="4089A8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一、项目基本情况</w:t>
      </w:r>
    </w:p>
    <w:p w14:paraId="1FC6F83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项目编号：ZZT2025-ZFCG-0530</w:t>
      </w:r>
    </w:p>
    <w:p w14:paraId="3D11AA1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项目名称：绿化养护服务项目</w:t>
      </w:r>
    </w:p>
    <w:p w14:paraId="7EA8073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采购方式：竞争性磋商</w:t>
      </w:r>
    </w:p>
    <w:p w14:paraId="11355E4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预算金额：420,000.00元</w:t>
      </w:r>
    </w:p>
    <w:p w14:paraId="304F0B8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采购需求：</w:t>
      </w:r>
    </w:p>
    <w:p w14:paraId="58C4F0E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合同包1(绿化养护服务项目):</w:t>
      </w:r>
    </w:p>
    <w:p w14:paraId="15C7272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合同包预算金额：420,000.00元</w:t>
      </w:r>
    </w:p>
    <w:p w14:paraId="0C929C0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合同包最高限价：420,000.00元</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5"/>
        <w:gridCol w:w="952"/>
        <w:gridCol w:w="1614"/>
        <w:gridCol w:w="1330"/>
        <w:gridCol w:w="1998"/>
        <w:gridCol w:w="1461"/>
        <w:gridCol w:w="1461"/>
      </w:tblGrid>
      <w:tr w14:paraId="5969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3D2E6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87059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07B3A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498E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417E0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78AC5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DF22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最高限价(元)</w:t>
            </w:r>
          </w:p>
        </w:tc>
      </w:tr>
      <w:tr w14:paraId="655A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9236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3B96B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BC9CD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绿化养护服务项目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D0419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9CB7F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D07211">
            <w:pPr>
              <w:keepNext w:val="0"/>
              <w:keepLines w:val="0"/>
              <w:widowControl/>
              <w:suppressLineNumbers w:val="0"/>
              <w:wordWrap/>
              <w:spacing w:before="0" w:beforeAutospacing="0" w:after="0" w:afterAutospacing="0" w:line="360" w:lineRule="atLeast"/>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420,000.00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DB61D0">
            <w:pPr>
              <w:keepNext w:val="0"/>
              <w:keepLines w:val="0"/>
              <w:widowControl/>
              <w:suppressLineNumbers w:val="0"/>
              <w:wordWrap/>
              <w:spacing w:before="0" w:beforeAutospacing="0" w:after="0" w:afterAutospacing="0" w:line="360" w:lineRule="atLeast"/>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420,000.00</w:t>
            </w:r>
          </w:p>
        </w:tc>
      </w:tr>
    </w:tbl>
    <w:p w14:paraId="4AA27CC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本合同包不接受联合体投标</w:t>
      </w:r>
    </w:p>
    <w:p w14:paraId="54704D3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合同履行期限：一年</w:t>
      </w:r>
    </w:p>
    <w:p w14:paraId="3EF57A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二、申请人的资格要求：</w:t>
      </w:r>
    </w:p>
    <w:p w14:paraId="33FCFF2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1.满足《中华人民共和国政府采购法》第二十二条规定;</w:t>
      </w:r>
    </w:p>
    <w:p w14:paraId="0D2EEEA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2.落实政府采购政策需满足的资格要求：</w:t>
      </w:r>
    </w:p>
    <w:p w14:paraId="3F8D394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合同包1(绿化养护服务项目)落实政府采购政策需满足的资格要求如下:</w:t>
      </w:r>
    </w:p>
    <w:p w14:paraId="6908B3F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依据《中华人民共和国政府采购法》和《中华人民共和国政府采购法实施条例》的有关规定，落实政府采购政策，详见招标文件。</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①《政府采购促进中小企业发展暂行办法》（财库〔2011〕181号）；</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②《财政部司法部关于政府采购支持监狱企业发展有关问题的通知》（财库〔2014〕68号）；</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③《财政部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④《三部门联合发布关于促进残疾人就业政府采购政策的通知》（财库〔2017〕141号）；</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⑤ 如有最新颁布的政府采购政策，按最新的文件执行。</w:t>
      </w:r>
    </w:p>
    <w:p w14:paraId="15462EB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3.本项目的特定资格要求：</w:t>
      </w:r>
    </w:p>
    <w:p w14:paraId="2C75AA9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合同包1(绿化养护服务项目)特定资格要求如下:</w:t>
      </w:r>
    </w:p>
    <w:p w14:paraId="14665A6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1、具有独立承担民事责任能力的法人、其他组织或自然人，提供合法有效经年检合格的统一社会信用代码营业执照；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2、提供企业法定代表人授权委托书原件（附法定代表人、被授权委托人身份证复印件）及被授权委托人身份证原件（法定代表人参会或到场的仅提供法定代表人身份证原件）；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3、拟派项目负责人须具备园林相关专业中级及以上职称；</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4、须提供2023年或2024年经审计的财务报告（成立时间至提交投标文件截止时间不足一年的可提供成立后任意时段的财务报表）或投标文件递交截止之日前3个月内基本开户行银行出具的资信证明；</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5、须依法缴纳社会保障资金（养老保险）的良好记录（提供投标截止时间前六个月内任意一个月份的缴费凭据复印件并加盖投标单位公章）；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6、须提供依法缴纳税收资金的良好记录（提供投标截止时间前六个月内任意一个月份的缴费凭据复印件并加盖投标单位公章）；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7、供应商应在投标截止日前未被列入失信被执行人、重大税收违法失信主体、政府采购严重违法失信行为记录名单（处罚期限届满的除外）（以“信用中国”网站（www.creditchina.gov.cn）和中国政府采购网（www.ccgp.gov.cn）查询结果为准，提供网站截图并加盖供应商公章；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8、提供近三年内在经营活动中没有重大违法记录的书面声明；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9、提供投标保证金转账凭证及银行开户许可证复印件并加盖供应商单位公章； </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10、本项目不接受联合体投标。单位负责人为同一人或者存在控股、管理关系的不同单位不得同时投标。</w:t>
      </w:r>
    </w:p>
    <w:p w14:paraId="798BEF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三、获取采购文件</w:t>
      </w:r>
    </w:p>
    <w:p w14:paraId="1A38756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时间： 2025年05月30日 至 2025年06月09日 ，每天上午 08:00:00 至 12:00:00 ，下午 14:00:00 至 18:00:00 （北京时间）</w:t>
      </w:r>
    </w:p>
    <w:p w14:paraId="3CA8E28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途径：陕西省渭南市富平县高新区零工市场东办公4楼</w:t>
      </w:r>
    </w:p>
    <w:p w14:paraId="32357AB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方式：现场获取</w:t>
      </w:r>
    </w:p>
    <w:p w14:paraId="46EE83C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售价： 0元</w:t>
      </w:r>
    </w:p>
    <w:p w14:paraId="241E43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四、响应文件提交</w:t>
      </w:r>
    </w:p>
    <w:p w14:paraId="37389D9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截止时间： 2025年06月13日 09时30分00秒 （北京时间）</w:t>
      </w:r>
    </w:p>
    <w:p w14:paraId="1FE55D7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地点：富平县天成园生态酒店5楼2号会议室</w:t>
      </w:r>
    </w:p>
    <w:p w14:paraId="0DC3D9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五、开启</w:t>
      </w:r>
    </w:p>
    <w:p w14:paraId="0BD6A91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时间： 2025年06月13日 09时30分00秒 （北京时间）</w:t>
      </w:r>
    </w:p>
    <w:p w14:paraId="4C3D453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地点：富平县天成园生态酒店5楼2号会议室</w:t>
      </w:r>
    </w:p>
    <w:p w14:paraId="102BFE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六、公告期限</w:t>
      </w:r>
    </w:p>
    <w:p w14:paraId="4F68795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自本公告发布之日起3个工作日。</w:t>
      </w:r>
    </w:p>
    <w:p w14:paraId="00ED65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七、其他补充事宜</w:t>
      </w:r>
    </w:p>
    <w:p w14:paraId="3F92A96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480" w:lineRule="atLeast"/>
        <w:ind w:left="46" w:right="16" w:firstLine="472"/>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1.获取招标文件请携带单位介绍信原件,经办人身份证原件及加盖供应商公章的复印件。</w:t>
      </w:r>
    </w:p>
    <w:p w14:paraId="447F15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480" w:lineRule="atLeast"/>
        <w:ind w:left="30" w:right="16" w:firstLine="473"/>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2.请供应商按照陕西省财政厅关于政府采购供应商注册登记有关事项的通知中的要求，通过陕西省政府采购网（http://www.ccgp-shaanxi.gov.cn/）注册登记加入陕西省政府采购供应商库。</w:t>
      </w:r>
    </w:p>
    <w:p w14:paraId="0A74C3F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3、本项目响应文件递交截止时间及开标时间和地点如有变更另行公告。</w:t>
      </w:r>
    </w:p>
    <w:p w14:paraId="493DDD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80" w:lineRule="atLeast"/>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26"/>
          <w:rFonts w:hint="eastAsia" w:ascii="仿宋" w:hAnsi="仿宋" w:eastAsia="仿宋" w:cs="仿宋"/>
          <w:b/>
          <w:bCs/>
          <w:i w:val="0"/>
          <w:iCs w:val="0"/>
          <w:caps w:val="0"/>
          <w:color w:val="333333"/>
          <w:spacing w:val="0"/>
          <w:sz w:val="21"/>
          <w:szCs w:val="21"/>
          <w:shd w:val="clear" w:fill="FFFFFF"/>
          <w:vertAlign w:val="baseline"/>
        </w:rPr>
        <w:t>八、对本次招标提出询问，请按以下方式联系。</w:t>
      </w:r>
    </w:p>
    <w:p w14:paraId="4C384F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80" w:lineRule="atLeast"/>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1.采购人信息</w:t>
      </w:r>
    </w:p>
    <w:p w14:paraId="27A708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名称：富平县殡葬管理所</w:t>
      </w:r>
    </w:p>
    <w:p w14:paraId="3340E1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地址：城关街道办姚村</w:t>
      </w:r>
    </w:p>
    <w:p w14:paraId="196AAB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联系方式：19991665003</w:t>
      </w:r>
    </w:p>
    <w:p w14:paraId="639BCB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2.采购代理机构信息</w:t>
      </w:r>
    </w:p>
    <w:p w14:paraId="3C4386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名称：中智投工程管理有限公司</w:t>
      </w:r>
    </w:p>
    <w:p w14:paraId="3CD843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地址：陕西省西安市未央区陕西省西安市未央区渭滨路70号水晶卡芭拉11号楼1单元11301室</w:t>
      </w:r>
    </w:p>
    <w:p w14:paraId="005B5C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联系方式：13259098509</w:t>
      </w:r>
    </w:p>
    <w:p w14:paraId="4382F7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3.项目联系方式</w:t>
      </w:r>
    </w:p>
    <w:p w14:paraId="20B18AA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项目联系人：夏女士</w:t>
      </w:r>
    </w:p>
    <w:p w14:paraId="2E3782B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电话：13259098509</w:t>
      </w:r>
    </w:p>
    <w:p w14:paraId="00A99B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jc w:val="right"/>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中智投工程管理有限公司</w:t>
      </w:r>
    </w:p>
    <w:p w14:paraId="55E679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2025年05月30日</w:t>
      </w:r>
    </w:p>
    <w:p w14:paraId="03A5D9E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3FBD6B92">
      <w:pPr>
        <w:pStyle w:val="2"/>
        <w:spacing w:before="0" w:after="0" w:line="240" w:lineRule="auto"/>
        <w:jc w:val="center"/>
        <w:rPr>
          <w:rFonts w:hint="eastAsia" w:ascii="仿宋" w:hAnsi="仿宋" w:eastAsia="仿宋" w:cs="仿宋"/>
          <w:color w:val="000000" w:themeColor="text1"/>
          <w:highlight w:val="none"/>
          <w14:textFill>
            <w14:solidFill>
              <w14:schemeClr w14:val="tx1"/>
            </w14:solidFill>
          </w14:textFill>
        </w:rPr>
      </w:pPr>
      <w:bookmarkStart w:id="1" w:name="_Toc19749"/>
      <w:r>
        <w:rPr>
          <w:rFonts w:hint="eastAsia" w:ascii="仿宋" w:hAnsi="仿宋" w:eastAsia="仿宋" w:cs="仿宋"/>
          <w:color w:val="000000" w:themeColor="text1"/>
          <w:highlight w:val="none"/>
          <w14:textFill>
            <w14:solidFill>
              <w14:schemeClr w14:val="tx1"/>
            </w14:solidFill>
          </w14:textFill>
        </w:rPr>
        <w:t>第二章 供应商须知</w:t>
      </w:r>
      <w:bookmarkEnd w:id="1"/>
    </w:p>
    <w:p w14:paraId="4F737692">
      <w:pPr>
        <w:pStyle w:val="3"/>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bookmarkStart w:id="2" w:name="_Toc1739"/>
      <w:r>
        <w:rPr>
          <w:rFonts w:hint="eastAsia" w:ascii="仿宋" w:hAnsi="仿宋" w:eastAsia="仿宋" w:cs="仿宋"/>
          <w:color w:val="000000" w:themeColor="text1"/>
          <w:sz w:val="28"/>
          <w:szCs w:val="28"/>
          <w:highlight w:val="none"/>
          <w14:textFill>
            <w14:solidFill>
              <w14:schemeClr w14:val="tx1"/>
            </w14:solidFill>
          </w14:textFill>
        </w:rPr>
        <w:t>一、供应商须知前附表</w:t>
      </w:r>
      <w:bookmarkEnd w:id="2"/>
    </w:p>
    <w:tbl>
      <w:tblPr>
        <w:tblStyle w:val="23"/>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14:paraId="759E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14:paraId="7038CD0F">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92" w:type="dxa"/>
            <w:vAlign w:val="center"/>
          </w:tcPr>
          <w:p w14:paraId="7E37CB9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764" w:type="dxa"/>
            <w:vAlign w:val="center"/>
          </w:tcPr>
          <w:p w14:paraId="177573D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734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7D9F44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2" w:type="dxa"/>
            <w:vAlign w:val="center"/>
          </w:tcPr>
          <w:p w14:paraId="573A4B7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764" w:type="dxa"/>
          </w:tcPr>
          <w:p w14:paraId="7017CF0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称：富平县殡葬管理所</w:t>
            </w:r>
          </w:p>
          <w:p w14:paraId="0B94E88E">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址：城关街道办姚村</w:t>
            </w:r>
          </w:p>
          <w:p w14:paraId="7EECE1CA">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联系方式：19991665003</w:t>
            </w:r>
          </w:p>
        </w:tc>
      </w:tr>
      <w:tr w14:paraId="2B2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C9CEF5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92" w:type="dxa"/>
            <w:vAlign w:val="center"/>
          </w:tcPr>
          <w:p w14:paraId="07EEE0D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采购代理机构</w:t>
            </w:r>
          </w:p>
        </w:tc>
        <w:tc>
          <w:tcPr>
            <w:tcW w:w="6764" w:type="dxa"/>
          </w:tcPr>
          <w:p w14:paraId="5210AB55">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名称：中智投工程管理有限公司</w:t>
            </w:r>
          </w:p>
          <w:p w14:paraId="1225D17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地址：陕西省西安市未央区陕西省西安市未央区渭滨路70号水晶卡芭拉11号楼1单元11301室</w:t>
            </w:r>
          </w:p>
          <w:p w14:paraId="06D38520">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夏彤</w:t>
            </w:r>
          </w:p>
          <w:p w14:paraId="6A6A4D59">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13259098509</w:t>
            </w:r>
          </w:p>
        </w:tc>
      </w:tr>
      <w:tr w14:paraId="3590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1541EB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492" w:type="dxa"/>
            <w:vAlign w:val="center"/>
          </w:tcPr>
          <w:p w14:paraId="408AD6E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764" w:type="dxa"/>
          </w:tcPr>
          <w:p w14:paraId="538815D4">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绿化养护服务项目</w:t>
            </w:r>
          </w:p>
        </w:tc>
      </w:tr>
      <w:tr w14:paraId="1BCA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19" w:type="dxa"/>
            <w:vAlign w:val="center"/>
          </w:tcPr>
          <w:p w14:paraId="1826DD5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492" w:type="dxa"/>
            <w:vAlign w:val="center"/>
          </w:tcPr>
          <w:p w14:paraId="216C38E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764" w:type="dxa"/>
          </w:tcPr>
          <w:p w14:paraId="355A5D80">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ZZT2025-ZFCG-0530</w:t>
            </w:r>
          </w:p>
        </w:tc>
      </w:tr>
      <w:tr w14:paraId="2544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7415BF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492" w:type="dxa"/>
            <w:vAlign w:val="center"/>
          </w:tcPr>
          <w:p w14:paraId="1B5697F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项目性质</w:t>
            </w:r>
          </w:p>
        </w:tc>
        <w:tc>
          <w:tcPr>
            <w:tcW w:w="6764" w:type="dxa"/>
          </w:tcPr>
          <w:p w14:paraId="3507925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财政资金</w:t>
            </w:r>
          </w:p>
        </w:tc>
      </w:tr>
      <w:tr w14:paraId="1514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180095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492" w:type="dxa"/>
            <w:vAlign w:val="center"/>
          </w:tcPr>
          <w:p w14:paraId="73B533F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w:t>
            </w:r>
          </w:p>
        </w:tc>
        <w:tc>
          <w:tcPr>
            <w:tcW w:w="6764" w:type="dxa"/>
          </w:tcPr>
          <w:p w14:paraId="32EE44BC">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420000.00</w:t>
            </w:r>
          </w:p>
        </w:tc>
      </w:tr>
      <w:tr w14:paraId="245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4D780B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492" w:type="dxa"/>
            <w:vAlign w:val="center"/>
          </w:tcPr>
          <w:p w14:paraId="7955FCE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项目用途</w:t>
            </w:r>
          </w:p>
        </w:tc>
        <w:tc>
          <w:tcPr>
            <w:tcW w:w="6764" w:type="dxa"/>
          </w:tcPr>
          <w:p w14:paraId="71FB7AC8">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富平县殡葬管理所</w:t>
            </w:r>
            <w:r>
              <w:rPr>
                <w:rFonts w:hint="eastAsia" w:ascii="仿宋" w:hAnsi="仿宋" w:eastAsia="仿宋" w:cs="仿宋"/>
                <w:color w:val="auto"/>
                <w:sz w:val="24"/>
                <w:highlight w:val="none"/>
                <w:lang w:eastAsia="zh-CN"/>
              </w:rPr>
              <w:t>绿化养护服务</w:t>
            </w:r>
          </w:p>
        </w:tc>
      </w:tr>
      <w:tr w14:paraId="6062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28AF6D8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492" w:type="dxa"/>
            <w:vAlign w:val="center"/>
          </w:tcPr>
          <w:p w14:paraId="2CFD741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采购内容和要求</w:t>
            </w:r>
          </w:p>
        </w:tc>
        <w:tc>
          <w:tcPr>
            <w:tcW w:w="6764" w:type="dxa"/>
          </w:tcPr>
          <w:p w14:paraId="3696FDA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富平县殡葬管理所</w:t>
            </w:r>
            <w:r>
              <w:rPr>
                <w:rFonts w:hint="eastAsia" w:ascii="仿宋" w:hAnsi="仿宋" w:eastAsia="仿宋" w:cs="仿宋"/>
                <w:color w:val="auto"/>
                <w:sz w:val="24"/>
                <w:highlight w:val="none"/>
                <w:lang w:eastAsia="zh-CN"/>
              </w:rPr>
              <w:t>绿化养护服务</w:t>
            </w:r>
          </w:p>
        </w:tc>
      </w:tr>
      <w:tr w14:paraId="11C0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14:paraId="4075182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2492" w:type="dxa"/>
            <w:vAlign w:val="center"/>
          </w:tcPr>
          <w:p w14:paraId="76F937A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p>
        </w:tc>
        <w:tc>
          <w:tcPr>
            <w:tcW w:w="6764" w:type="dxa"/>
          </w:tcPr>
          <w:p w14:paraId="45D69DDD">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10F2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F06A4B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2492" w:type="dxa"/>
            <w:vAlign w:val="center"/>
          </w:tcPr>
          <w:p w14:paraId="4299869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供应商资格要求</w:t>
            </w:r>
          </w:p>
        </w:tc>
        <w:tc>
          <w:tcPr>
            <w:tcW w:w="6764" w:type="dxa"/>
          </w:tcPr>
          <w:p w14:paraId="62A6CFC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详见竞争性磋商公告</w:t>
            </w:r>
          </w:p>
        </w:tc>
      </w:tr>
      <w:tr w14:paraId="61C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4B4489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2492" w:type="dxa"/>
            <w:vAlign w:val="center"/>
          </w:tcPr>
          <w:p w14:paraId="6E6CBF3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服务期限、地点</w:t>
            </w:r>
          </w:p>
        </w:tc>
        <w:tc>
          <w:tcPr>
            <w:tcW w:w="6764" w:type="dxa"/>
          </w:tcPr>
          <w:p w14:paraId="665DC6E2">
            <w:pPr>
              <w:pStyle w:val="41"/>
              <w:spacing w:line="520" w:lineRule="exact"/>
              <w:ind w:left="0" w:leftChars="0"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1、服务期限：一年</w:t>
            </w:r>
          </w:p>
          <w:p w14:paraId="5E5A3D52">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2、服务地点：甲方指定地点。</w:t>
            </w:r>
          </w:p>
        </w:tc>
      </w:tr>
      <w:tr w14:paraId="26B1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DE223C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2492" w:type="dxa"/>
            <w:vAlign w:val="center"/>
          </w:tcPr>
          <w:p w14:paraId="526C3A4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竞争性磋商文件发售</w:t>
            </w:r>
          </w:p>
        </w:tc>
        <w:tc>
          <w:tcPr>
            <w:tcW w:w="6764" w:type="dxa"/>
          </w:tcPr>
          <w:p w14:paraId="4A0E0A69">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日上午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:00-12:00，下午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:00时止（节假日除外）。</w:t>
            </w:r>
          </w:p>
          <w:p w14:paraId="4B6378E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发售地点：陕西省渭南市富平县高新区零工市场东办公4楼</w:t>
            </w:r>
          </w:p>
        </w:tc>
      </w:tr>
      <w:tr w14:paraId="73F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22EA3B1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492" w:type="dxa"/>
            <w:vAlign w:val="center"/>
          </w:tcPr>
          <w:p w14:paraId="7D9C951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联合体磋商</w:t>
            </w:r>
          </w:p>
        </w:tc>
        <w:tc>
          <w:tcPr>
            <w:tcW w:w="6764" w:type="dxa"/>
          </w:tcPr>
          <w:p w14:paraId="109ACF6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14:paraId="6803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0994B4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2492" w:type="dxa"/>
            <w:vAlign w:val="center"/>
          </w:tcPr>
          <w:p w14:paraId="38B30D0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现场勘查、标前答疑会</w:t>
            </w:r>
          </w:p>
        </w:tc>
        <w:tc>
          <w:tcPr>
            <w:tcW w:w="6764" w:type="dxa"/>
            <w:vAlign w:val="center"/>
          </w:tcPr>
          <w:p w14:paraId="06662FF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不统一组织。供应商认为有必要可自行勘查，并承担所有费用及风险。</w:t>
            </w:r>
          </w:p>
        </w:tc>
      </w:tr>
      <w:tr w14:paraId="6608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9" w:type="dxa"/>
            <w:vAlign w:val="center"/>
          </w:tcPr>
          <w:p w14:paraId="3EE5F1A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2492" w:type="dxa"/>
            <w:vAlign w:val="center"/>
          </w:tcPr>
          <w:p w14:paraId="1D80F84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供应商对竞争性磋商文件提出质疑的时间</w:t>
            </w:r>
          </w:p>
        </w:tc>
        <w:tc>
          <w:tcPr>
            <w:tcW w:w="6764" w:type="dxa"/>
          </w:tcPr>
          <w:p w14:paraId="73CB985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供应商若对竞争性磋商文件有质疑的，在收到竞争性磋商文件之日起七个工作日内，以书面形式向采购代理机构提出，在此之后提出的质疑无效。</w:t>
            </w:r>
          </w:p>
        </w:tc>
      </w:tr>
      <w:tr w14:paraId="00B6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2821FD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16</w:t>
            </w:r>
          </w:p>
        </w:tc>
        <w:tc>
          <w:tcPr>
            <w:tcW w:w="2492" w:type="dxa"/>
            <w:vAlign w:val="center"/>
          </w:tcPr>
          <w:p w14:paraId="53C1B6E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构成竞争性磋商文件的其他文件</w:t>
            </w:r>
          </w:p>
        </w:tc>
        <w:tc>
          <w:tcPr>
            <w:tcW w:w="6764" w:type="dxa"/>
          </w:tcPr>
          <w:p w14:paraId="5AECEAFB">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竞争性磋商文件的澄清、修改书及有关补充通知为竞争性磋商文件的有效组成部分。</w:t>
            </w:r>
          </w:p>
        </w:tc>
      </w:tr>
      <w:tr w14:paraId="388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14:paraId="4C7A818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2492" w:type="dxa"/>
            <w:vAlign w:val="center"/>
          </w:tcPr>
          <w:p w14:paraId="1BE9D9A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磋商响应文件截止时间及磋商时间和地点</w:t>
            </w:r>
          </w:p>
        </w:tc>
        <w:tc>
          <w:tcPr>
            <w:tcW w:w="6764" w:type="dxa"/>
          </w:tcPr>
          <w:p w14:paraId="42C2451D">
            <w:pPr>
              <w:pStyle w:val="43"/>
              <w:keepNext w:val="0"/>
              <w:keepLines w:val="0"/>
              <w:pageBreakBefore w:val="0"/>
              <w:numPr>
                <w:ilvl w:val="0"/>
                <w:numId w:val="1"/>
              </w:numPr>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磋商响应文件截止时间：2025年06月13日 09时30分</w:t>
            </w:r>
          </w:p>
          <w:p w14:paraId="5073CBA4">
            <w:pPr>
              <w:pStyle w:val="43"/>
              <w:keepNext w:val="0"/>
              <w:keepLines w:val="0"/>
              <w:pageBreakBefore w:val="0"/>
              <w:numPr>
                <w:ilvl w:val="0"/>
                <w:numId w:val="1"/>
              </w:numPr>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磋商时间：2025年06月13日 09时30分</w:t>
            </w:r>
          </w:p>
          <w:p w14:paraId="6FEA6A3D">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3、磋商地点：富平县天成园生态酒店5楼2号会议室</w:t>
            </w:r>
          </w:p>
        </w:tc>
      </w:tr>
      <w:tr w14:paraId="284D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5B2392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p>
        </w:tc>
        <w:tc>
          <w:tcPr>
            <w:tcW w:w="2492" w:type="dxa"/>
            <w:vAlign w:val="center"/>
          </w:tcPr>
          <w:p w14:paraId="262FBB9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764" w:type="dxa"/>
          </w:tcPr>
          <w:p w14:paraId="13FD29B2">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自提交磋商响应文件截止之日起90个日历日。</w:t>
            </w:r>
          </w:p>
        </w:tc>
      </w:tr>
      <w:tr w14:paraId="0DCE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FD8B8B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492" w:type="dxa"/>
            <w:vAlign w:val="center"/>
          </w:tcPr>
          <w:p w14:paraId="1EDE38A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764" w:type="dxa"/>
          </w:tcPr>
          <w:p w14:paraId="563295D2">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1、担保方式：(任选其一)</w:t>
            </w:r>
            <w:r>
              <w:rPr>
                <w:rFonts w:hint="eastAsia" w:ascii="仿宋" w:hAnsi="仿宋" w:eastAsia="仿宋" w:cs="仿宋"/>
                <w:color w:val="auto"/>
                <w:sz w:val="24"/>
                <w:highlight w:val="none"/>
              </w:rPr>
              <w:tab/>
            </w:r>
          </w:p>
          <w:p w14:paraId="3E60E5FB">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（1）投标保证金：人民币</w:t>
            </w:r>
            <w:r>
              <w:rPr>
                <w:rFonts w:hint="eastAsia" w:ascii="仿宋" w:hAnsi="仿宋" w:eastAsia="仿宋" w:cs="仿宋"/>
                <w:color w:val="auto"/>
                <w:sz w:val="24"/>
                <w:highlight w:val="none"/>
                <w:lang w:eastAsia="zh-CN"/>
              </w:rPr>
              <w:t>伍</w:t>
            </w:r>
            <w:r>
              <w:rPr>
                <w:rFonts w:hint="eastAsia" w:ascii="仿宋" w:hAnsi="仿宋" w:eastAsia="仿宋" w:cs="仿宋"/>
                <w:color w:val="auto"/>
                <w:sz w:val="24"/>
                <w:highlight w:val="none"/>
              </w:rPr>
              <w:t>仟元整</w:t>
            </w:r>
          </w:p>
          <w:p w14:paraId="364EBB26">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（2）担保函（专业担保机构开具的投标担保函）。</w:t>
            </w:r>
          </w:p>
          <w:p w14:paraId="2E44272E">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2、投标担保递交截止时间：同投标文件提交截止时间，若采购代理机构未在投标担保递交截止时间收到足额投标保证金或者有效投标担保函的，其投标将被拒绝。 </w:t>
            </w:r>
          </w:p>
          <w:p w14:paraId="05D618A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3、采用投标保证金方式的供应商，投标保证金仅限于通过对公账户以转账形式交纳，</w:t>
            </w:r>
            <w:r>
              <w:rPr>
                <w:rFonts w:hint="eastAsia" w:ascii="仿宋" w:hAnsi="仿宋" w:eastAsia="仿宋" w:cs="仿宋"/>
                <w:color w:val="auto"/>
                <w:sz w:val="24"/>
                <w:highlight w:val="none"/>
                <w:lang w:val="en-US" w:eastAsia="zh-CN"/>
              </w:rPr>
              <w:t>开</w:t>
            </w:r>
            <w:r>
              <w:rPr>
                <w:rFonts w:hint="eastAsia" w:ascii="仿宋" w:hAnsi="仿宋" w:eastAsia="仿宋" w:cs="仿宋"/>
                <w:color w:val="auto"/>
                <w:sz w:val="24"/>
                <w:highlight w:val="none"/>
              </w:rPr>
              <w:t>标结束后以转账形式退至供应商对公账户内。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转账时备注项目名称</w:t>
            </w:r>
            <w:r>
              <w:rPr>
                <w:rFonts w:hint="eastAsia" w:ascii="仿宋" w:hAnsi="仿宋" w:eastAsia="仿宋" w:cs="仿宋"/>
                <w:color w:val="auto"/>
                <w:sz w:val="24"/>
                <w:highlight w:val="none"/>
                <w:lang w:eastAsia="zh-CN"/>
              </w:rPr>
              <w:t>）</w:t>
            </w:r>
          </w:p>
        </w:tc>
      </w:tr>
      <w:tr w14:paraId="6271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14:paraId="69C0521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p>
          <w:p w14:paraId="0BF750B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2492" w:type="dxa"/>
            <w:vAlign w:val="center"/>
          </w:tcPr>
          <w:p w14:paraId="271CA40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汇款账户</w:t>
            </w:r>
          </w:p>
        </w:tc>
        <w:tc>
          <w:tcPr>
            <w:tcW w:w="6764" w:type="dxa"/>
          </w:tcPr>
          <w:p w14:paraId="46639A5C">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汇入单位名称：</w:t>
            </w:r>
            <w:r>
              <w:rPr>
                <w:rFonts w:hint="eastAsia" w:ascii="仿宋" w:hAnsi="仿宋" w:eastAsia="仿宋" w:cs="仿宋"/>
                <w:color w:val="auto"/>
                <w:sz w:val="24"/>
                <w:highlight w:val="none"/>
                <w:lang w:eastAsia="zh-CN"/>
              </w:rPr>
              <w:t>中智投工程管理有限公司</w:t>
            </w:r>
            <w:r>
              <w:rPr>
                <w:rFonts w:hint="eastAsia" w:ascii="仿宋" w:hAnsi="仿宋" w:eastAsia="仿宋" w:cs="仿宋"/>
                <w:color w:val="auto"/>
                <w:sz w:val="24"/>
                <w:highlight w:val="none"/>
                <w:lang w:val="en-US" w:eastAsia="zh-CN"/>
              </w:rPr>
              <w:t>富平县分公司</w:t>
            </w:r>
          </w:p>
          <w:p w14:paraId="16C453A2">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开户行名称：</w:t>
            </w:r>
            <w:r>
              <w:rPr>
                <w:rFonts w:hint="eastAsia" w:ascii="仿宋" w:hAnsi="仿宋" w:eastAsia="仿宋" w:cs="仿宋"/>
                <w:color w:val="auto"/>
                <w:sz w:val="24"/>
                <w:highlight w:val="none"/>
                <w:lang w:val="en-US" w:eastAsia="zh-CN"/>
              </w:rPr>
              <w:t>中国建设银行股份有限公司富平县支行</w:t>
            </w:r>
          </w:p>
          <w:p w14:paraId="1717F6A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 xml:space="preserve">账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val="en-US" w:eastAsia="zh-CN"/>
              </w:rPr>
              <w:t>61050164830800003047</w:t>
            </w:r>
          </w:p>
        </w:tc>
      </w:tr>
      <w:tr w14:paraId="7AC1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148B1B0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p>
        </w:tc>
        <w:tc>
          <w:tcPr>
            <w:tcW w:w="2492" w:type="dxa"/>
            <w:vAlign w:val="center"/>
          </w:tcPr>
          <w:p w14:paraId="73CB7E6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7A2ECFE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764" w:type="dxa"/>
            <w:vAlign w:val="center"/>
          </w:tcPr>
          <w:p w14:paraId="07652E2A">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不接受备选磋商方案和多个报价。</w:t>
            </w:r>
          </w:p>
        </w:tc>
      </w:tr>
      <w:tr w14:paraId="798D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F14747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p>
        </w:tc>
        <w:tc>
          <w:tcPr>
            <w:tcW w:w="2492" w:type="dxa"/>
            <w:vAlign w:val="center"/>
          </w:tcPr>
          <w:p w14:paraId="497BB8F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764" w:type="dxa"/>
            <w:vAlign w:val="center"/>
          </w:tcPr>
          <w:p w14:paraId="2E5BBF6E">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7C1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CB5F68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2492" w:type="dxa"/>
            <w:vAlign w:val="center"/>
          </w:tcPr>
          <w:p w14:paraId="70C015F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764" w:type="dxa"/>
            <w:vAlign w:val="center"/>
          </w:tcPr>
          <w:p w14:paraId="07DB89FB">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250BFC38">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2、装订要求：磋商响应文件一律采用书籍（胶装）方式装订。在磋商响应文件书脊处写明项目名称、项目编号及供应商名称。磋商响应文件正本一份，副本</w:t>
            </w:r>
            <w:r>
              <w:rPr>
                <w:rFonts w:hint="eastAsia" w:ascii="仿宋" w:hAnsi="仿宋" w:eastAsia="仿宋" w:cs="仿宋"/>
                <w:color w:val="auto"/>
                <w:sz w:val="24"/>
                <w:highlight w:val="none"/>
                <w:lang w:eastAsia="zh-CN"/>
              </w:rPr>
              <w:t>两</w:t>
            </w:r>
            <w:r>
              <w:rPr>
                <w:rFonts w:hint="eastAsia" w:ascii="仿宋" w:hAnsi="仿宋" w:eastAsia="仿宋" w:cs="仿宋"/>
                <w:color w:val="auto"/>
                <w:sz w:val="24"/>
                <w:highlight w:val="none"/>
              </w:rPr>
              <w:t>份，共</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份。电子文件</w:t>
            </w:r>
            <w:r>
              <w:rPr>
                <w:rFonts w:hint="eastAsia" w:ascii="仿宋" w:hAnsi="仿宋" w:eastAsia="仿宋" w:cs="仿宋"/>
                <w:color w:val="auto"/>
                <w:sz w:val="24"/>
                <w:highlight w:val="none"/>
                <w:lang w:eastAsia="zh-CN"/>
              </w:rPr>
              <w:t>两</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用</w:t>
            </w:r>
            <w:r>
              <w:rPr>
                <w:rFonts w:hint="eastAsia" w:ascii="仿宋" w:hAnsi="仿宋" w:eastAsia="仿宋" w:cs="仿宋"/>
                <w:color w:val="auto"/>
                <w:sz w:val="24"/>
                <w:highlight w:val="none"/>
              </w:rPr>
              <w:t>U盘或移动硬盘</w:t>
            </w:r>
            <w:r>
              <w:rPr>
                <w:rFonts w:hint="eastAsia" w:ascii="仿宋" w:hAnsi="仿宋" w:eastAsia="仿宋" w:cs="仿宋"/>
                <w:color w:val="auto"/>
                <w:sz w:val="24"/>
                <w:highlight w:val="none"/>
                <w:lang w:eastAsia="zh-CN"/>
              </w:rPr>
              <w:t>拷贝</w:t>
            </w:r>
            <w:r>
              <w:rPr>
                <w:rFonts w:hint="eastAsia" w:ascii="仿宋" w:hAnsi="仿宋" w:eastAsia="仿宋" w:cs="仿宋"/>
                <w:color w:val="auto"/>
                <w:sz w:val="24"/>
                <w:highlight w:val="none"/>
              </w:rPr>
              <w:t>），电子版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文件正本的word版本及PDF版本。纸质磋商响应文件均须A4纸打印（提倡双面打印），分别各自装订成册并编制目录和页码。电子版放置磋商响应文件正本标袋内。</w:t>
            </w:r>
          </w:p>
        </w:tc>
      </w:tr>
      <w:tr w14:paraId="72E9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14:paraId="526E1E9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p>
        </w:tc>
        <w:tc>
          <w:tcPr>
            <w:tcW w:w="2492" w:type="dxa"/>
            <w:vAlign w:val="center"/>
          </w:tcPr>
          <w:p w14:paraId="5EAF487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764" w:type="dxa"/>
            <w:vAlign w:val="center"/>
          </w:tcPr>
          <w:p w14:paraId="1F30097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本项目为交钥匙项目。</w:t>
            </w:r>
            <w:r>
              <w:rPr>
                <w:rFonts w:hint="eastAsia" w:ascii="仿宋" w:hAnsi="仿宋" w:eastAsia="仿宋" w:cs="仿宋"/>
                <w:color w:val="auto"/>
                <w:sz w:val="24"/>
                <w:szCs w:val="24"/>
                <w:highlight w:val="none"/>
              </w:rPr>
              <w:t>磋商报价=服务费+保险费+人员费+其他相关伴随费用。</w:t>
            </w:r>
          </w:p>
        </w:tc>
      </w:tr>
      <w:tr w14:paraId="5CE0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10DD141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p>
        </w:tc>
        <w:tc>
          <w:tcPr>
            <w:tcW w:w="2492" w:type="dxa"/>
            <w:vAlign w:val="center"/>
          </w:tcPr>
          <w:p w14:paraId="60847F6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764" w:type="dxa"/>
            <w:vAlign w:val="center"/>
          </w:tcPr>
          <w:p w14:paraId="793EE427">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详见竞争性磋商文件第二章。</w:t>
            </w:r>
          </w:p>
        </w:tc>
      </w:tr>
      <w:tr w14:paraId="405F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0D21E28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p>
        </w:tc>
        <w:tc>
          <w:tcPr>
            <w:tcW w:w="2492" w:type="dxa"/>
            <w:vAlign w:val="center"/>
          </w:tcPr>
          <w:p w14:paraId="7BB00BF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其它事项</w:t>
            </w:r>
          </w:p>
        </w:tc>
        <w:tc>
          <w:tcPr>
            <w:tcW w:w="6764" w:type="dxa"/>
            <w:vAlign w:val="center"/>
          </w:tcPr>
          <w:p w14:paraId="1E239E39">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30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招标活动。</w:t>
            </w:r>
          </w:p>
        </w:tc>
      </w:tr>
      <w:tr w14:paraId="539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2B93FEC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27</w:t>
            </w:r>
          </w:p>
        </w:tc>
        <w:tc>
          <w:tcPr>
            <w:tcW w:w="2492" w:type="dxa"/>
            <w:vAlign w:val="center"/>
          </w:tcPr>
          <w:p w14:paraId="2F439F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eastAsia="zh-CN"/>
              </w:rPr>
              <w:t>本项目是否专门面向中小企业</w:t>
            </w:r>
          </w:p>
        </w:tc>
        <w:tc>
          <w:tcPr>
            <w:tcW w:w="6764" w:type="dxa"/>
            <w:vAlign w:val="center"/>
          </w:tcPr>
          <w:p w14:paraId="19091B81">
            <w:pPr>
              <w:pStyle w:val="43"/>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000000"/>
                <w:kern w:val="2"/>
                <w:sz w:val="24"/>
                <w:szCs w:val="24"/>
                <w:highlight w:val="none"/>
                <w:lang w:eastAsia="zh-CN"/>
              </w:rPr>
              <w:t>☑是</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lang w:eastAsia="zh-CN"/>
              </w:rPr>
              <w:t>□否</w:t>
            </w:r>
          </w:p>
        </w:tc>
      </w:tr>
      <w:tr w14:paraId="5925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194D4050">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w:t>
            </w:r>
          </w:p>
        </w:tc>
        <w:tc>
          <w:tcPr>
            <w:tcW w:w="2492" w:type="dxa"/>
            <w:vAlign w:val="center"/>
          </w:tcPr>
          <w:p w14:paraId="0E08C6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本项目所属行业</w:t>
            </w:r>
          </w:p>
        </w:tc>
        <w:tc>
          <w:tcPr>
            <w:tcW w:w="6764" w:type="dxa"/>
            <w:vAlign w:val="center"/>
          </w:tcPr>
          <w:p w14:paraId="1FC9FE93">
            <w:pPr>
              <w:pStyle w:val="43"/>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rPr>
            </w:pPr>
            <w:r>
              <w:rPr>
                <w:rFonts w:hint="eastAsia" w:ascii="仿宋" w:hAnsi="仿宋" w:eastAsia="仿宋" w:cs="仿宋"/>
                <w:b w:val="0"/>
                <w:bCs w:val="0"/>
                <w:color w:val="auto"/>
                <w:kern w:val="2"/>
                <w:sz w:val="24"/>
                <w:szCs w:val="24"/>
                <w:highlight w:val="none"/>
                <w:lang w:val="en-US" w:eastAsia="zh-CN"/>
              </w:rPr>
              <w:t>其他未列明行业</w:t>
            </w:r>
          </w:p>
        </w:tc>
      </w:tr>
    </w:tbl>
    <w:p w14:paraId="7A547536">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bookmarkStart w:id="3" w:name="_Toc12152"/>
      <w:r>
        <w:rPr>
          <w:rFonts w:hint="eastAsia" w:ascii="仿宋" w:hAnsi="仿宋" w:eastAsia="仿宋" w:cs="仿宋"/>
          <w:color w:val="000000" w:themeColor="text1"/>
          <w:kern w:val="0"/>
          <w:sz w:val="28"/>
          <w:szCs w:val="28"/>
          <w:highlight w:val="none"/>
          <w14:textFill>
            <w14:solidFill>
              <w14:schemeClr w14:val="tx1"/>
            </w14:solidFill>
          </w14:textFill>
        </w:rPr>
        <w:t>二、项目说明</w:t>
      </w:r>
      <w:bookmarkEnd w:id="3"/>
    </w:p>
    <w:p w14:paraId="6AAC8416">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1、本项目说明详见供应商须知前附表。</w:t>
      </w:r>
    </w:p>
    <w:p w14:paraId="471528B9">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14:paraId="45D0A3FB">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4" w:name="_Toc24776"/>
      <w:bookmarkStart w:id="5" w:name="_Toc458848967"/>
      <w:bookmarkStart w:id="6" w:name="_Toc458848819"/>
      <w:bookmarkStart w:id="7" w:name="_Toc458848734"/>
      <w:r>
        <w:rPr>
          <w:rFonts w:hint="eastAsia" w:ascii="仿宋" w:hAnsi="仿宋" w:eastAsia="仿宋" w:cs="仿宋"/>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14:paraId="029646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1、竞争性磋商文件购买：供应商须经过正常渠道购买竞争性磋商文件，且供应商名称与登记领取竞争性磋商文件的单位名称一致，否则将作为无效响应处理。</w:t>
      </w:r>
    </w:p>
    <w:p w14:paraId="024D738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2、竞争性磋商文件由竞争性磋商文件目录前五章组成。</w:t>
      </w:r>
    </w:p>
    <w:p w14:paraId="3067A5F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3、供应商应详细阅读和充分理解竞争性磋商文件所有的事项、格式、条款和规范要求等，在竞争性磋商响应文件中对竞争性磋商文件的各方面都做出实质性的响应，按照竞争性磋商文件的要求提交全部资料。</w:t>
      </w:r>
    </w:p>
    <w:p w14:paraId="23145F5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4、竞争性磋商文件的澄清或修改：</w:t>
      </w:r>
    </w:p>
    <w:p w14:paraId="6FE37B8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265130A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10A2558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5、供应商若对磋商文件有任何疑问，可以以书面形式向采购代理机构提出询问。</w:t>
      </w:r>
    </w:p>
    <w:p w14:paraId="6E6235D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6、供应商认为竞争性磋商文件使自己的权益受到损害的，在收到竞争性磋商文件之日起七个工作日内，以书面形式向采购代理机构提出质疑，逾期提出的无效，因此带来的一切不利后果由供应商自负。</w:t>
      </w:r>
    </w:p>
    <w:p w14:paraId="4F6CEE7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499A63A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8、供应商必须从采购代理机构购买竞争性磋商文件，供应商自行转让或复制竞争性磋商文件视为无效。竞争性磋商文件售后不退，仅作为本次采购使用。</w:t>
      </w:r>
    </w:p>
    <w:p w14:paraId="2C56239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9、如发现竞争性磋商文件内容与现行法律法规不相符的情况，以现行法律法规为准。</w:t>
      </w:r>
    </w:p>
    <w:p w14:paraId="5AA2EE2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10、现场勘查、标前答疑会：见须知前附表。</w:t>
      </w:r>
    </w:p>
    <w:p w14:paraId="295DA250">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8" w:name="_Toc458848735"/>
      <w:bookmarkStart w:id="9" w:name="_Toc1600"/>
      <w:bookmarkStart w:id="10" w:name="_Toc458848820"/>
      <w:bookmarkStart w:id="11" w:name="_Toc458848968"/>
      <w:r>
        <w:rPr>
          <w:rFonts w:hint="eastAsia" w:ascii="仿宋" w:hAnsi="仿宋" w:eastAsia="仿宋" w:cs="仿宋"/>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14:paraId="60A904E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1、供应商资格要求</w:t>
      </w:r>
    </w:p>
    <w:p w14:paraId="24FE4A4A">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1、具有独立承担民事责任能力的法人、其他组织或自然人，提供合法有效经年检合格的统一社会信用代码营业执照；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2、提供企业法定代表人授权委托书原件（附法定代表人、被授权委托人身份证复印件）及被授权委托人身份证原件（法定代表人参会或到场的仅提供法定代表人身份证原件）；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3、拟派项目负责人须具备园林相关专业中级及以上职称；</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4、须提供2023年或2024年经审计的财务报告（成立时间至提交投标文件截止时间不足一年的可提供成立后任意时段的财务报表）或投标文件递交截止之日前3个月内基本开户行银行出具的资信证明；</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5、须依法缴纳社会保障资金（养老保险）的良好记录（提供投标截止时间前六个月内任意一个月份的缴费凭据复印件并加盖投标单位公章）；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6、须提供依法缴纳税收资金的良好记录（提供投标截止时间前六个月内任意一个月份的缴费凭据复印件并加盖投标单位公章）；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7、供应商应在投标截止日前未被列入失信被执行人、重大税收违法失信主体、政府采购严重违法失信行为记录名单（处罚期限届满的除外）（以“信用中国”网站（www.creditchina.gov.cn）和中国政府采购网（www.ccgp.gov.cn）查询结果为准，提供网站截图并加盖供应商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8、提供近三年内在经营活动中没有重大违法记录的书面声明；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9、提供投标保证金转账凭证及银行开户许可证复印件并加盖供应商单位公章；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10、本项目不接受联合体投标。单位负责人为同一人或者存在控股、管理关系的不同单位不得同时投标。</w:t>
      </w:r>
    </w:p>
    <w:p w14:paraId="58481BF2">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2、合格供应商</w:t>
      </w:r>
    </w:p>
    <w:p w14:paraId="53EFA9E8">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依照《中华人民共和国公司法》合法注册的法人或其他组织、符合《中华人民共和国政府采购法》</w:t>
      </w:r>
      <w:bookmarkStart w:id="12" w:name="OLE_LINK8"/>
      <w:r>
        <w:rPr>
          <w:rFonts w:hint="eastAsia" w:ascii="仿宋" w:hAnsi="仿宋" w:eastAsia="仿宋" w:cs="仿宋"/>
          <w:color w:val="000000" w:themeColor="text1"/>
          <w:sz w:val="24"/>
          <w:highlight w:val="none"/>
          <w14:textFill>
            <w14:solidFill>
              <w14:schemeClr w14:val="tx1"/>
            </w14:solidFill>
          </w14:textFill>
        </w:rPr>
        <w:t>及其实施条例等有关法律法规的规定</w:t>
      </w:r>
      <w:bookmarkEnd w:id="12"/>
      <w:r>
        <w:rPr>
          <w:rFonts w:hint="eastAsia" w:ascii="仿宋" w:hAnsi="仿宋" w:eastAsia="仿宋" w:cs="仿宋"/>
          <w:color w:val="000000" w:themeColor="text1"/>
          <w:sz w:val="24"/>
          <w:highlight w:val="none"/>
          <w14:textFill>
            <w14:solidFill>
              <w14:schemeClr w14:val="tx1"/>
            </w14:solidFill>
          </w14:textFill>
        </w:rPr>
        <w:t>并满足本项目资格条件。不符合上述规定的供应商，磋商响应无效。</w:t>
      </w:r>
    </w:p>
    <w:p w14:paraId="2F8EDA36">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3、供应商信用信息：</w:t>
      </w:r>
    </w:p>
    <w:p w14:paraId="3115FF23">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3-1、采购人或采购代理机构将于本项目磋商截止日在‘信用中国’网站、‘中国政府采购网’网站等渠道对供应商进行信用记录查询，</w:t>
      </w:r>
      <w:r>
        <w:rPr>
          <w:rFonts w:hint="eastAsia" w:ascii="仿宋" w:hAnsi="仿宋" w:eastAsia="仿宋" w:cs="仿宋"/>
          <w:color w:val="000000" w:themeColor="text1"/>
          <w:sz w:val="24"/>
          <w:highlight w:val="none"/>
          <w:lang w:eastAsia="zh-CN"/>
          <w14:textFill>
            <w14:solidFill>
              <w14:schemeClr w14:val="tx1"/>
            </w14:solidFill>
          </w14:textFill>
        </w:rPr>
        <w:t>查询的信用记录将进行打印存档，</w:t>
      </w:r>
      <w:r>
        <w:rPr>
          <w:rFonts w:hint="eastAsia" w:ascii="仿宋" w:hAnsi="仿宋" w:eastAsia="仿宋" w:cs="仿宋"/>
          <w:color w:val="000000" w:themeColor="text1"/>
          <w:sz w:val="24"/>
          <w:highlight w:val="none"/>
          <w14:textFill>
            <w14:solidFill>
              <w14:schemeClr w14:val="tx1"/>
            </w14:solidFill>
          </w14:textFill>
        </w:rPr>
        <w:t>凡被列入失信被执行人、重大税收违法案件当事人名单、政府采购严重违法失信行为记录名单的，视为存在不良信用记录，参与本项目的将被拒绝。</w:t>
      </w:r>
    </w:p>
    <w:p w14:paraId="31EBD476">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3-2、特别说明：</w:t>
      </w:r>
    </w:p>
    <w:p w14:paraId="151FF7C8">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（1）供应商如在成交通知书发出前出现违法失信行为，采购人仍有权利提请评审委员会取消其成交资格；</w:t>
      </w:r>
    </w:p>
    <w:p w14:paraId="3E9635F0">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（2）供应商在磋商响应文件中已出具的信用查询结果并不能取代采购人或采购代理机构在评审前进行复查。</w:t>
      </w:r>
    </w:p>
    <w:p w14:paraId="25BA0393">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4、竞争性磋商响应文件的组成</w:t>
      </w:r>
    </w:p>
    <w:p w14:paraId="59C595B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4-1、竞争性磋商函（格式）</w:t>
      </w:r>
    </w:p>
    <w:p w14:paraId="0BE1F9E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4-2、磋商报价一览表（格式）</w:t>
      </w:r>
    </w:p>
    <w:p w14:paraId="006AC1D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0DF2329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4-4、</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44FA88D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、资格证明文件</w:t>
      </w:r>
    </w:p>
    <w:p w14:paraId="01D99A6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w:t>
      </w:r>
      <w:r>
        <w:rPr>
          <w:rFonts w:hint="eastAsia" w:ascii="仿宋" w:hAnsi="仿宋" w:eastAsia="仿宋" w:cs="仿宋"/>
          <w:color w:val="000000" w:themeColor="text1"/>
          <w:sz w:val="24"/>
          <w:highlight w:val="none"/>
          <w:lang w:val="en-US" w:eastAsia="zh-CN"/>
          <w14:textFill>
            <w14:solidFill>
              <w14:schemeClr w14:val="tx1"/>
            </w14:solidFill>
          </w14:textFill>
        </w:rPr>
        <w:t>22</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w:t>
      </w:r>
      <w:r>
        <w:rPr>
          <w:rFonts w:hint="eastAsia" w:ascii="仿宋" w:hAnsi="仿宋" w:eastAsia="仿宋" w:cs="仿宋"/>
          <w:color w:val="000000" w:themeColor="text1"/>
          <w:sz w:val="24"/>
          <w:highlight w:val="none"/>
          <w14:textFill>
            <w14:solidFill>
              <w14:schemeClr w14:val="tx1"/>
            </w14:solidFill>
          </w14:textFill>
        </w:rPr>
        <w:t>项目业绩（提供合同复印件加盖公章）</w:t>
      </w:r>
    </w:p>
    <w:p w14:paraId="2A319E1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4-7</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项目实施方案</w:t>
      </w:r>
    </w:p>
    <w:p w14:paraId="597670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4-8、拟派项目人员与设备配备</w:t>
      </w:r>
    </w:p>
    <w:p w14:paraId="409D0F82">
      <w:pPr>
        <w:pageBreakBefore w:val="0"/>
        <w:kinsoku/>
        <w:wordWrap/>
        <w:topLinePunct w:val="0"/>
        <w:autoSpaceDE/>
        <w:autoSpaceDN/>
        <w:bidi w:val="0"/>
        <w:spacing w:line="64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4-9、售后服务承诺</w:t>
      </w:r>
    </w:p>
    <w:p w14:paraId="5E25EAD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磋商文件要求的其他资料及供应商认为需要提供的文件和资料。</w:t>
      </w:r>
    </w:p>
    <w:p w14:paraId="2A1C12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5、竞争性磋商响应文件编写说明</w:t>
      </w:r>
    </w:p>
    <w:p w14:paraId="3B403F9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5-1、竞争性磋商响应文件格式：竞争性磋商响应文件应当按照竞争性磋商文件给定的格式和要求编制，格式之外的可自行编写。</w:t>
      </w:r>
    </w:p>
    <w:p w14:paraId="43111CC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副本可以是正本的复印件。如果正本与副本不一致，以正本为准。</w:t>
      </w:r>
    </w:p>
    <w:p w14:paraId="6C992BB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5-3、除供应商对错误处需修改外，全套竞争性磋商响应文件应无涂改或行间插字或增删。如有修改，修改处应加盖供应商公章及法定代表人或被授权人签字（或盖章）确认。</w:t>
      </w:r>
    </w:p>
    <w:p w14:paraId="5A45661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5-4、竞争性磋商响应文件的正本和副本均需打印或用不褪色、不变质的墨水书写。因字迹潦草或表达不清所引起的后果由供应商自行负责。</w:t>
      </w:r>
    </w:p>
    <w:p w14:paraId="7E624F1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5-5、竞争性磋商响应文件电子版内容须与竞争性磋商响应文件纸质版正本中的内容一致。</w:t>
      </w:r>
    </w:p>
    <w:p w14:paraId="2104EDF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6、磋商文件的装订及密封</w:t>
      </w:r>
    </w:p>
    <w:p w14:paraId="020923E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14:paraId="321C765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6-2、装订要求：磋商响应文件一律采用书籍（胶装）方式装订。在磋商响应文件书脊处写明项目名称、项目编号及供应商名称。磋商响应文件正本一份，副本</w:t>
      </w:r>
      <w:r>
        <w:rPr>
          <w:rFonts w:hint="eastAsia" w:ascii="仿宋" w:hAnsi="仿宋" w:eastAsia="仿宋" w:cs="仿宋"/>
          <w:color w:val="000000" w:themeColor="text1"/>
          <w:sz w:val="24"/>
          <w:highlight w:val="none"/>
          <w:lang w:eastAsia="zh-CN"/>
          <w14:textFill>
            <w14:solidFill>
              <w14:schemeClr w14:val="tx1"/>
            </w14:solidFill>
          </w14:textFill>
        </w:rPr>
        <w:t>两</w:t>
      </w:r>
      <w:r>
        <w:rPr>
          <w:rFonts w:hint="eastAsia" w:ascii="仿宋" w:hAnsi="仿宋" w:eastAsia="仿宋" w:cs="仿宋"/>
          <w:color w:val="000000" w:themeColor="text1"/>
          <w:sz w:val="24"/>
          <w:highlight w:val="none"/>
          <w14:textFill>
            <w14:solidFill>
              <w14:schemeClr w14:val="tx1"/>
            </w14:solidFill>
          </w14:textFill>
        </w:rPr>
        <w:t>份，共</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份。电子文件</w:t>
      </w:r>
      <w:r>
        <w:rPr>
          <w:rFonts w:hint="eastAsia" w:ascii="仿宋" w:hAnsi="仿宋" w:eastAsia="仿宋" w:cs="仿宋"/>
          <w:color w:val="000000" w:themeColor="text1"/>
          <w:sz w:val="24"/>
          <w:highlight w:val="none"/>
          <w:lang w:eastAsia="zh-CN"/>
          <w14:textFill>
            <w14:solidFill>
              <w14:schemeClr w14:val="tx1"/>
            </w14:solidFill>
          </w14:textFill>
        </w:rPr>
        <w:t>两</w:t>
      </w:r>
      <w:r>
        <w:rPr>
          <w:rFonts w:hint="eastAsia" w:ascii="仿宋" w:hAnsi="仿宋" w:eastAsia="仿宋" w:cs="仿宋"/>
          <w:color w:val="000000" w:themeColor="text1"/>
          <w:sz w:val="24"/>
          <w:highlight w:val="none"/>
          <w14:textFill>
            <w14:solidFill>
              <w14:schemeClr w14:val="tx1"/>
            </w14:solidFill>
          </w14:textFill>
        </w:rPr>
        <w:t>份（</w:t>
      </w:r>
      <w:r>
        <w:rPr>
          <w:rFonts w:hint="eastAsia" w:ascii="仿宋" w:hAnsi="仿宋" w:eastAsia="仿宋" w:cs="仿宋"/>
          <w:color w:val="000000" w:themeColor="text1"/>
          <w:sz w:val="24"/>
          <w:highlight w:val="none"/>
          <w:lang w:eastAsia="zh-CN"/>
          <w14:textFill>
            <w14:solidFill>
              <w14:schemeClr w14:val="tx1"/>
            </w14:solidFill>
          </w14:textFill>
        </w:rPr>
        <w:t>用</w:t>
      </w:r>
      <w:r>
        <w:rPr>
          <w:rFonts w:hint="eastAsia" w:ascii="仿宋" w:hAnsi="仿宋" w:eastAsia="仿宋" w:cs="仿宋"/>
          <w:color w:val="000000" w:themeColor="text1"/>
          <w:sz w:val="24"/>
          <w:highlight w:val="none"/>
          <w14:textFill>
            <w14:solidFill>
              <w14:schemeClr w14:val="tx1"/>
            </w14:solidFill>
          </w14:textFill>
        </w:rPr>
        <w:t>U盘或移动硬盘</w:t>
      </w:r>
      <w:r>
        <w:rPr>
          <w:rFonts w:hint="eastAsia" w:ascii="仿宋" w:hAnsi="仿宋" w:eastAsia="仿宋" w:cs="仿宋"/>
          <w:color w:val="000000" w:themeColor="text1"/>
          <w:sz w:val="24"/>
          <w:highlight w:val="none"/>
          <w:lang w:eastAsia="zh-CN"/>
          <w14:textFill>
            <w14:solidFill>
              <w14:schemeClr w14:val="tx1"/>
            </w14:solidFill>
          </w14:textFill>
        </w:rPr>
        <w:t>拷贝</w:t>
      </w:r>
      <w:r>
        <w:rPr>
          <w:rFonts w:hint="eastAsia" w:ascii="仿宋" w:hAnsi="仿宋" w:eastAsia="仿宋" w:cs="仿宋"/>
          <w:color w:val="000000" w:themeColor="text1"/>
          <w:sz w:val="24"/>
          <w:highlight w:val="none"/>
          <w14:textFill>
            <w14:solidFill>
              <w14:schemeClr w14:val="tx1"/>
            </w14:solidFill>
          </w14:textFill>
        </w:rPr>
        <w:t>），电子版</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文件提供</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文件正本的word版本及PDF版本。纸质磋商响应文件均须A4纸打印（提倡双面打印），分别各自装订成册并编制目录和页码。电子版放置磋商响应文件正本标袋内。</w:t>
      </w:r>
    </w:p>
    <w:p w14:paraId="6F02593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7、竞争性磋商响应文件的计量单位</w:t>
      </w:r>
    </w:p>
    <w:p w14:paraId="7B8BF45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竞争性磋商响应文件中所使用的计量单位，除有特殊要求外，均采用国家法定计量单位。</w:t>
      </w:r>
    </w:p>
    <w:p w14:paraId="067CDD0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8、磋商报价</w:t>
      </w:r>
    </w:p>
    <w:p w14:paraId="6456B11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w:t>
      </w:r>
      <w:r>
        <w:rPr>
          <w:rFonts w:hint="eastAsia" w:ascii="仿宋" w:hAnsi="仿宋" w:eastAsia="仿宋" w:cs="仿宋"/>
          <w:color w:val="000000" w:themeColor="text1"/>
          <w:sz w:val="24"/>
          <w:highlight w:val="none"/>
          <w:lang w:val="en-US" w:eastAsia="zh-CN"/>
          <w14:textFill>
            <w14:solidFill>
              <w14:schemeClr w14:val="tx1"/>
            </w14:solidFill>
          </w14:textFill>
        </w:rPr>
        <w:t>本项目为交钥匙项目。</w:t>
      </w:r>
      <w:r>
        <w:rPr>
          <w:rFonts w:hint="eastAsia" w:ascii="仿宋" w:hAnsi="仿宋" w:eastAsia="仿宋" w:cs="仿宋"/>
          <w:color w:val="000000" w:themeColor="text1"/>
          <w:sz w:val="24"/>
          <w:highlight w:val="none"/>
          <w14:textFill>
            <w14:solidFill>
              <w14:schemeClr w14:val="tx1"/>
            </w14:solidFill>
          </w14:textFill>
        </w:rPr>
        <w:t>磋商报价=服务费+保险费+人员费+其他相关伴随费用</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0D61D5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8-2、供应商所报的磋商价在合同执行过程中是固定不变的，不得以任何理由予以变更。任何包含价格调整要求的磋商，将被认为是非响应性磋商而予以拒绝。</w:t>
      </w:r>
    </w:p>
    <w:p w14:paraId="7180B5C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8-3、</w:t>
      </w:r>
      <w:r>
        <w:rPr>
          <w:rFonts w:hint="eastAsia" w:ascii="仿宋" w:hAnsi="仿宋" w:eastAsia="仿宋" w:cs="仿宋"/>
          <w:color w:val="000000" w:themeColor="text1"/>
          <w:sz w:val="24"/>
          <w:highlight w:val="none"/>
          <w14:textFill>
            <w14:solidFill>
              <w14:schemeClr w14:val="tx1"/>
            </w14:solidFill>
          </w14:textFill>
        </w:rPr>
        <w:t>不接受超过</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中规定的预算金额或者最高限价的报价、可变动性报价、赠送及“零”报价，否则视为无效投标。</w:t>
      </w:r>
    </w:p>
    <w:p w14:paraId="4819BED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9、各供应商须对以下内容做出承诺：</w:t>
      </w:r>
    </w:p>
    <w:p w14:paraId="04A775E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9-1、供应商不得以他人名义磋商和串通磋商。</w:t>
      </w:r>
    </w:p>
    <w:p w14:paraId="199B37B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9-2、必须根据竞争性磋商文件要求进行服务；</w:t>
      </w:r>
    </w:p>
    <w:p w14:paraId="15D4CD98">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9-3、非经采购人同意，不得将本项目内容进行分包实施，一经发现，立即取消其成交资格，并承担由此引起的一切经济损失；经采购人同意，成交人可以依法采取分包方式履行合同。</w:t>
      </w:r>
    </w:p>
    <w:p w14:paraId="1C1C162D">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9-4、接受采购人委托的相关单位对服务内容、质量、进度、实施方案、价款支付与结算等的监督和管理。</w:t>
      </w:r>
    </w:p>
    <w:p w14:paraId="3567991C">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9-5、供应商应保证在本项目使用的任何服务的任何一部分，不会产生因第三方提出的侵犯其专利权、商标权、著作权或其它知识产权而引起的法律和经济纠纷，由此引起的纠纷，由供应商承担所有相关责任；</w:t>
      </w:r>
    </w:p>
    <w:p w14:paraId="14339A6B">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49FAC7B0">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9-7、供应商不能以“赠送”、“赠予”等任何名义提供货物和服务规避竞争性磋商文件的约束。否则，将作为无效响应文件处理。供应商的行为将作为以不正当手段排挤其他供应商认定。</w:t>
      </w:r>
    </w:p>
    <w:p w14:paraId="17880FD5">
      <w:pPr>
        <w:pStyle w:val="3"/>
        <w:pageBreakBefore w:val="0"/>
        <w:kinsoku/>
        <w:overflowPunct/>
        <w:autoSpaceDE/>
        <w:autoSpaceDN/>
        <w:bidi w:val="0"/>
        <w:adjustRightInd/>
        <w:snapToGrid/>
        <w:spacing w:before="0" w:after="0" w:line="560" w:lineRule="exact"/>
        <w:textAlignment w:val="auto"/>
        <w:rPr>
          <w:rFonts w:hint="eastAsia" w:ascii="仿宋" w:hAnsi="仿宋" w:eastAsia="仿宋" w:cs="仿宋"/>
          <w:color w:val="auto"/>
          <w:kern w:val="0"/>
          <w:sz w:val="28"/>
          <w:szCs w:val="28"/>
          <w:highlight w:val="none"/>
        </w:rPr>
      </w:pPr>
      <w:bookmarkStart w:id="13" w:name="_Toc458848736"/>
      <w:bookmarkStart w:id="14" w:name="_Toc458848821"/>
      <w:bookmarkStart w:id="15" w:name="_Toc3854"/>
      <w:bookmarkStart w:id="16" w:name="_Toc458848969"/>
      <w:bookmarkStart w:id="17" w:name="_Toc14492"/>
      <w:bookmarkStart w:id="18" w:name="_Toc5793"/>
      <w:bookmarkStart w:id="19" w:name="_Toc458848970"/>
      <w:bookmarkStart w:id="20" w:name="_Toc458848822"/>
      <w:bookmarkStart w:id="21" w:name="_Toc458848737"/>
      <w:r>
        <w:rPr>
          <w:rFonts w:hint="eastAsia" w:ascii="仿宋" w:hAnsi="仿宋" w:eastAsia="仿宋" w:cs="仿宋"/>
          <w:color w:val="auto"/>
          <w:kern w:val="0"/>
          <w:sz w:val="28"/>
          <w:szCs w:val="28"/>
          <w:highlight w:val="none"/>
        </w:rPr>
        <w:t>五、磋商担保</w:t>
      </w:r>
      <w:bookmarkEnd w:id="13"/>
      <w:bookmarkEnd w:id="14"/>
      <w:bookmarkEnd w:id="15"/>
      <w:bookmarkEnd w:id="16"/>
    </w:p>
    <w:p w14:paraId="6C137312">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1、担保方式：见供应商须知前附表。</w:t>
      </w:r>
    </w:p>
    <w:p w14:paraId="4CB48AFD">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2、磋商担保递交截止时间：见供应商须知前附表。</w:t>
      </w:r>
    </w:p>
    <w:p w14:paraId="200BB6F7">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3、供应商参加磋商时，必须以竞争性磋商文件规定的方式提交磋商担保，并作为其磋商响应的一部分。磋商现场不办理担保收取事宜。若</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未在磋商担保递交截止时间收到足额磋商保证金或有效磋商担保函的，或未在磋商响应文件中附磋商担保凭证的，其磋商响应文件无效。</w:t>
      </w:r>
    </w:p>
    <w:p w14:paraId="2BEB1120">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4、退还磋商保证金：</w:t>
      </w:r>
    </w:p>
    <w:p w14:paraId="0141293E">
      <w:pPr>
        <w:pageBreakBefore w:val="0"/>
        <w:tabs>
          <w:tab w:val="left" w:pos="2700"/>
        </w:tabs>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（1）在</w:t>
      </w:r>
      <w:r>
        <w:rPr>
          <w:rFonts w:hint="eastAsia" w:ascii="仿宋" w:hAnsi="仿宋" w:eastAsia="仿宋" w:cs="仿宋"/>
          <w:b/>
          <w:bCs/>
          <w:color w:val="auto"/>
          <w:sz w:val="24"/>
          <w:highlight w:val="none"/>
          <w:u w:val="single"/>
          <w:lang w:val="en-US" w:eastAsia="zh-CN"/>
        </w:rPr>
        <w:t>磋商</w:t>
      </w:r>
      <w:r>
        <w:rPr>
          <w:rFonts w:hint="eastAsia" w:ascii="仿宋" w:hAnsi="仿宋" w:eastAsia="仿宋" w:cs="仿宋"/>
          <w:b/>
          <w:bCs/>
          <w:color w:val="auto"/>
          <w:sz w:val="24"/>
          <w:highlight w:val="none"/>
          <w:u w:val="single"/>
        </w:rPr>
        <w:t>截止时间前撤回已提交</w:t>
      </w:r>
      <w:r>
        <w:rPr>
          <w:rFonts w:hint="eastAsia" w:ascii="仿宋" w:hAnsi="仿宋" w:eastAsia="仿宋" w:cs="仿宋"/>
          <w:b/>
          <w:bCs/>
          <w:color w:val="auto"/>
          <w:sz w:val="24"/>
          <w:highlight w:val="none"/>
          <w:u w:val="single"/>
          <w:lang w:val="en-US" w:eastAsia="zh-CN"/>
        </w:rPr>
        <w:t>磋商响应</w:t>
      </w:r>
      <w:r>
        <w:rPr>
          <w:rFonts w:hint="eastAsia" w:ascii="仿宋" w:hAnsi="仿宋" w:eastAsia="仿宋" w:cs="仿宋"/>
          <w:b/>
          <w:bCs/>
          <w:color w:val="auto"/>
          <w:sz w:val="24"/>
          <w:highlight w:val="none"/>
          <w:u w:val="single"/>
        </w:rPr>
        <w:t>文件的</w:t>
      </w:r>
      <w:r>
        <w:rPr>
          <w:rFonts w:hint="eastAsia" w:ascii="仿宋" w:hAnsi="仿宋" w:eastAsia="仿宋" w:cs="仿宋"/>
          <w:b/>
          <w:bCs/>
          <w:color w:val="auto"/>
          <w:sz w:val="24"/>
          <w:highlight w:val="none"/>
          <w:u w:val="single"/>
          <w:lang w:val="en-US" w:eastAsia="zh-CN"/>
        </w:rPr>
        <w:t>供应商</w:t>
      </w:r>
      <w:r>
        <w:rPr>
          <w:rFonts w:hint="eastAsia" w:ascii="仿宋" w:hAnsi="仿宋" w:eastAsia="仿宋" w:cs="仿宋"/>
          <w:b/>
          <w:bCs/>
          <w:color w:val="auto"/>
          <w:sz w:val="24"/>
          <w:highlight w:val="none"/>
          <w:u w:val="single"/>
        </w:rPr>
        <w:t>的</w:t>
      </w:r>
      <w:r>
        <w:rPr>
          <w:rFonts w:hint="eastAsia" w:ascii="仿宋" w:hAnsi="仿宋" w:eastAsia="仿宋" w:cs="仿宋"/>
          <w:b/>
          <w:bCs/>
          <w:color w:val="auto"/>
          <w:sz w:val="24"/>
          <w:highlight w:val="none"/>
          <w:u w:val="single"/>
          <w:lang w:val="en-US" w:eastAsia="zh-CN"/>
        </w:rPr>
        <w:t>磋商</w:t>
      </w:r>
      <w:r>
        <w:rPr>
          <w:rFonts w:hint="eastAsia" w:ascii="仿宋" w:hAnsi="仿宋" w:eastAsia="仿宋" w:cs="仿宋"/>
          <w:b/>
          <w:bCs/>
          <w:color w:val="auto"/>
          <w:sz w:val="24"/>
          <w:highlight w:val="none"/>
          <w:u w:val="single"/>
        </w:rPr>
        <w:t>保证金，将在采购代理机构收到</w:t>
      </w:r>
      <w:r>
        <w:rPr>
          <w:rFonts w:hint="eastAsia" w:ascii="仿宋" w:hAnsi="仿宋" w:eastAsia="仿宋" w:cs="仿宋"/>
          <w:b/>
          <w:bCs/>
          <w:color w:val="auto"/>
          <w:sz w:val="24"/>
          <w:highlight w:val="none"/>
          <w:u w:val="single"/>
          <w:lang w:val="en-US" w:eastAsia="zh-CN"/>
        </w:rPr>
        <w:t>供应商</w:t>
      </w:r>
      <w:r>
        <w:rPr>
          <w:rFonts w:hint="eastAsia" w:ascii="仿宋" w:hAnsi="仿宋" w:eastAsia="仿宋" w:cs="仿宋"/>
          <w:b/>
          <w:bCs/>
          <w:color w:val="auto"/>
          <w:sz w:val="24"/>
          <w:highlight w:val="none"/>
          <w:u w:val="single"/>
        </w:rPr>
        <w:t>书面撤回通知之日起5个工作日内退还（无息）。</w:t>
      </w:r>
    </w:p>
    <w:p w14:paraId="2EE67C83">
      <w:pPr>
        <w:pageBreakBefore w:val="0"/>
        <w:tabs>
          <w:tab w:val="left" w:pos="2700"/>
        </w:tabs>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（2）所有未</w:t>
      </w:r>
      <w:r>
        <w:rPr>
          <w:rFonts w:hint="eastAsia" w:ascii="仿宋" w:hAnsi="仿宋" w:eastAsia="仿宋" w:cs="仿宋"/>
          <w:b/>
          <w:bCs/>
          <w:color w:val="auto"/>
          <w:sz w:val="24"/>
          <w:highlight w:val="none"/>
          <w:u w:val="single"/>
          <w:lang w:val="en-US" w:eastAsia="zh-CN"/>
        </w:rPr>
        <w:t>成交</w:t>
      </w:r>
      <w:r>
        <w:rPr>
          <w:rFonts w:hint="eastAsia" w:ascii="仿宋" w:hAnsi="仿宋" w:eastAsia="仿宋" w:cs="仿宋"/>
          <w:b/>
          <w:bCs/>
          <w:color w:val="auto"/>
          <w:sz w:val="24"/>
          <w:highlight w:val="none"/>
          <w:u w:val="single"/>
        </w:rPr>
        <w:t>人的</w:t>
      </w:r>
      <w:r>
        <w:rPr>
          <w:rFonts w:hint="eastAsia" w:ascii="仿宋" w:hAnsi="仿宋" w:eastAsia="仿宋" w:cs="仿宋"/>
          <w:b/>
          <w:bCs/>
          <w:color w:val="auto"/>
          <w:sz w:val="24"/>
          <w:highlight w:val="none"/>
          <w:u w:val="single"/>
          <w:lang w:val="en-US" w:eastAsia="zh-CN"/>
        </w:rPr>
        <w:t>磋商</w:t>
      </w:r>
      <w:r>
        <w:rPr>
          <w:rFonts w:hint="eastAsia" w:ascii="仿宋" w:hAnsi="仿宋" w:eastAsia="仿宋" w:cs="仿宋"/>
          <w:b/>
          <w:bCs/>
          <w:color w:val="auto"/>
          <w:sz w:val="24"/>
          <w:highlight w:val="none"/>
          <w:u w:val="single"/>
        </w:rPr>
        <w:t>保证金，将在</w:t>
      </w:r>
      <w:r>
        <w:rPr>
          <w:rFonts w:hint="eastAsia" w:ascii="仿宋" w:hAnsi="仿宋" w:eastAsia="仿宋" w:cs="仿宋"/>
          <w:b/>
          <w:bCs/>
          <w:color w:val="auto"/>
          <w:sz w:val="24"/>
          <w:highlight w:val="none"/>
          <w:u w:val="single"/>
          <w:lang w:val="en-US" w:eastAsia="zh-CN"/>
        </w:rPr>
        <w:t>成交</w:t>
      </w:r>
      <w:r>
        <w:rPr>
          <w:rFonts w:hint="eastAsia" w:ascii="仿宋" w:hAnsi="仿宋" w:eastAsia="仿宋" w:cs="仿宋"/>
          <w:b/>
          <w:bCs/>
          <w:color w:val="auto"/>
          <w:sz w:val="24"/>
          <w:highlight w:val="none"/>
          <w:u w:val="single"/>
        </w:rPr>
        <w:t>通知书发出后5个工作日内退还（无息）。</w:t>
      </w:r>
    </w:p>
    <w:p w14:paraId="4FE7D7DD">
      <w:pPr>
        <w:pageBreakBefore w:val="0"/>
        <w:tabs>
          <w:tab w:val="left" w:pos="2700"/>
        </w:tabs>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w:t>
      </w:r>
      <w:r>
        <w:rPr>
          <w:rFonts w:hint="eastAsia" w:ascii="仿宋" w:hAnsi="仿宋" w:eastAsia="仿宋" w:cs="仿宋"/>
          <w:b/>
          <w:bCs/>
          <w:color w:val="auto"/>
          <w:sz w:val="24"/>
          <w:highlight w:val="none"/>
          <w:u w:val="single"/>
          <w:lang w:val="en-US" w:eastAsia="zh-CN"/>
        </w:rPr>
        <w:t>成交</w:t>
      </w:r>
      <w:r>
        <w:rPr>
          <w:rFonts w:hint="eastAsia" w:ascii="仿宋" w:hAnsi="仿宋" w:eastAsia="仿宋" w:cs="仿宋"/>
          <w:b/>
          <w:bCs/>
          <w:color w:val="auto"/>
          <w:sz w:val="24"/>
          <w:highlight w:val="none"/>
          <w:u w:val="single"/>
        </w:rPr>
        <w:t>人的</w:t>
      </w:r>
      <w:r>
        <w:rPr>
          <w:rFonts w:hint="eastAsia" w:ascii="仿宋" w:hAnsi="仿宋" w:eastAsia="仿宋" w:cs="仿宋"/>
          <w:b/>
          <w:bCs/>
          <w:color w:val="auto"/>
          <w:sz w:val="24"/>
          <w:highlight w:val="none"/>
          <w:u w:val="single"/>
          <w:lang w:val="en-US" w:eastAsia="zh-CN"/>
        </w:rPr>
        <w:t>磋商</w:t>
      </w:r>
      <w:r>
        <w:rPr>
          <w:rFonts w:hint="eastAsia" w:ascii="仿宋" w:hAnsi="仿宋" w:eastAsia="仿宋" w:cs="仿宋"/>
          <w:b/>
          <w:bCs/>
          <w:color w:val="auto"/>
          <w:sz w:val="24"/>
          <w:highlight w:val="none"/>
          <w:u w:val="single"/>
        </w:rPr>
        <w:t>保证金，将在签订合同后5个工作日内执合同予以退还（无息）。（</w:t>
      </w:r>
      <w:r>
        <w:rPr>
          <w:rFonts w:hint="eastAsia" w:ascii="仿宋" w:hAnsi="仿宋" w:eastAsia="仿宋" w:cs="仿宋"/>
          <w:b/>
          <w:bCs/>
          <w:color w:val="auto"/>
          <w:sz w:val="24"/>
          <w:highlight w:val="none"/>
          <w:u w:val="single"/>
          <w:lang w:val="en-US" w:eastAsia="zh-CN"/>
        </w:rPr>
        <w:t>成交</w:t>
      </w:r>
      <w:r>
        <w:rPr>
          <w:rFonts w:hint="eastAsia" w:ascii="仿宋" w:hAnsi="仿宋" w:eastAsia="仿宋" w:cs="仿宋"/>
          <w:b/>
          <w:bCs/>
          <w:color w:val="auto"/>
          <w:sz w:val="24"/>
          <w:highlight w:val="none"/>
          <w:u w:val="single"/>
        </w:rPr>
        <w:t>人须携带合同原件、合同复印件（加盖单位鲜章）各一份），但因</w:t>
      </w:r>
      <w:r>
        <w:rPr>
          <w:rFonts w:hint="eastAsia" w:ascii="仿宋" w:hAnsi="仿宋" w:eastAsia="仿宋" w:cs="仿宋"/>
          <w:b/>
          <w:bCs/>
          <w:color w:val="auto"/>
          <w:sz w:val="24"/>
          <w:highlight w:val="none"/>
          <w:u w:val="single"/>
          <w:lang w:val="en-US" w:eastAsia="zh-CN"/>
        </w:rPr>
        <w:t>成交</w:t>
      </w:r>
      <w:r>
        <w:rPr>
          <w:rFonts w:hint="eastAsia" w:ascii="仿宋" w:hAnsi="仿宋" w:eastAsia="仿宋" w:cs="仿宋"/>
          <w:b/>
          <w:bCs/>
          <w:color w:val="auto"/>
          <w:sz w:val="24"/>
          <w:highlight w:val="none"/>
          <w:u w:val="single"/>
        </w:rPr>
        <w:t>人自身原因导致无法及时退还的除外。</w:t>
      </w:r>
    </w:p>
    <w:p w14:paraId="6E7A0B37">
      <w:pPr>
        <w:pageBreakBefore w:val="0"/>
        <w:tabs>
          <w:tab w:val="left" w:pos="2700"/>
        </w:tabs>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）若招标终止，采购代理机构将在发布招标终止公告后5个工作日内退还</w:t>
      </w:r>
      <w:r>
        <w:rPr>
          <w:rFonts w:hint="eastAsia" w:ascii="仿宋" w:hAnsi="仿宋" w:eastAsia="仿宋" w:cs="仿宋"/>
          <w:b/>
          <w:bCs/>
          <w:color w:val="auto"/>
          <w:sz w:val="24"/>
          <w:highlight w:val="none"/>
          <w:u w:val="single"/>
          <w:lang w:val="en-US" w:eastAsia="zh-CN"/>
        </w:rPr>
        <w:t>磋商</w:t>
      </w:r>
      <w:r>
        <w:rPr>
          <w:rFonts w:hint="eastAsia" w:ascii="仿宋" w:hAnsi="仿宋" w:eastAsia="仿宋" w:cs="仿宋"/>
          <w:b/>
          <w:bCs/>
          <w:color w:val="auto"/>
          <w:sz w:val="24"/>
          <w:highlight w:val="none"/>
          <w:u w:val="single"/>
        </w:rPr>
        <w:t>保证金（无息）。</w:t>
      </w:r>
    </w:p>
    <w:p w14:paraId="6A35EF72">
      <w:pPr>
        <w:pageBreakBefore w:val="0"/>
        <w:tabs>
          <w:tab w:val="left" w:pos="2700"/>
        </w:tabs>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5、如磋商发生下列情况之一时，磋商保证金将不予退还，提供担保函的供应商将由专业担保机构先行偿付采购人损失：</w:t>
      </w:r>
    </w:p>
    <w:p w14:paraId="4F847518">
      <w:pPr>
        <w:pageBreakBefore w:val="0"/>
        <w:tabs>
          <w:tab w:val="left" w:pos="2700"/>
        </w:tabs>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u w:val="single"/>
        </w:rPr>
        <w:t>供应商提供虚假资质谋取成交的；</w:t>
      </w:r>
    </w:p>
    <w:p w14:paraId="07019200">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u w:val="single"/>
        </w:rPr>
        <w:t>供应商有围标、串标现象，经查证属实的；</w:t>
      </w:r>
    </w:p>
    <w:p w14:paraId="713574E3">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u w:val="single"/>
        </w:rPr>
        <w:t>供应商在竞争性磋商文件规定的磋商响应有效期内撤回磋商响应文件的；</w:t>
      </w:r>
    </w:p>
    <w:p w14:paraId="3AC19238">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5-4、</w:t>
      </w:r>
      <w:r>
        <w:rPr>
          <w:rFonts w:hint="eastAsia" w:ascii="仿宋" w:hAnsi="仿宋" w:eastAsia="仿宋" w:cs="仿宋"/>
          <w:color w:val="auto"/>
          <w:sz w:val="24"/>
          <w:highlight w:val="none"/>
          <w:u w:val="single"/>
        </w:rPr>
        <w:t>供应商自行放弃磋商资格而未在磋商会议前一天以书面形式告知采购代理机构的；</w:t>
      </w:r>
    </w:p>
    <w:p w14:paraId="090E78F1">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5-5、</w:t>
      </w:r>
      <w:r>
        <w:rPr>
          <w:rFonts w:hint="eastAsia" w:ascii="仿宋" w:hAnsi="仿宋" w:eastAsia="仿宋" w:cs="仿宋"/>
          <w:color w:val="auto"/>
          <w:sz w:val="24"/>
          <w:highlight w:val="none"/>
          <w:u w:val="single"/>
        </w:rPr>
        <w:t>供应商自行放弃成交资格的；</w:t>
      </w:r>
    </w:p>
    <w:p w14:paraId="6367534F">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5-6、</w:t>
      </w:r>
      <w:r>
        <w:rPr>
          <w:rFonts w:hint="eastAsia" w:ascii="仿宋" w:hAnsi="仿宋" w:eastAsia="仿宋" w:cs="仿宋"/>
          <w:color w:val="auto"/>
          <w:sz w:val="24"/>
          <w:highlight w:val="none"/>
          <w:u w:val="single"/>
        </w:rPr>
        <w:t>成交供应商不在规定的时效内领取《成交通知书》的；</w:t>
      </w:r>
    </w:p>
    <w:p w14:paraId="49E9DB24">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5-7、</w:t>
      </w:r>
      <w:r>
        <w:rPr>
          <w:rFonts w:hint="eastAsia" w:ascii="仿宋" w:hAnsi="仿宋" w:eastAsia="仿宋" w:cs="仿宋"/>
          <w:color w:val="auto"/>
          <w:sz w:val="24"/>
          <w:highlight w:val="none"/>
          <w:u w:val="single"/>
        </w:rPr>
        <w:t>成交供应商不按规定支付招标服务费的；</w:t>
      </w:r>
    </w:p>
    <w:p w14:paraId="5A06DB78">
      <w:pPr>
        <w:pageBreakBefore w:val="0"/>
        <w:kinsoku/>
        <w:overflowPunct/>
        <w:autoSpaceDE/>
        <w:autoSpaceDN/>
        <w:bidi w:val="0"/>
        <w:adjustRightInd/>
        <w:snapToGrid/>
        <w:spacing w:line="560" w:lineRule="exact"/>
        <w:ind w:firstLine="48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auto"/>
          <w:sz w:val="24"/>
          <w:highlight w:val="none"/>
        </w:rPr>
        <w:t>5-8、</w:t>
      </w:r>
      <w:r>
        <w:rPr>
          <w:rFonts w:hint="eastAsia" w:ascii="仿宋" w:hAnsi="仿宋" w:eastAsia="仿宋" w:cs="仿宋"/>
          <w:color w:val="auto"/>
          <w:sz w:val="24"/>
          <w:highlight w:val="none"/>
          <w:u w:val="single"/>
        </w:rPr>
        <w:t>成交供应商因自身原因未能在规定期限内与采购人签订合同的；</w:t>
      </w:r>
      <w:bookmarkEnd w:id="17"/>
    </w:p>
    <w:p w14:paraId="56CD1C85">
      <w:pPr>
        <w:pStyle w:val="3"/>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kern w:val="0"/>
          <w:sz w:val="28"/>
          <w:szCs w:val="28"/>
          <w:highlight w:val="none"/>
          <w14:textFill>
            <w14:solidFill>
              <w14:schemeClr w14:val="tx1"/>
            </w14:solidFill>
          </w14:textFill>
        </w:rPr>
        <w:t>、磋商响应</w:t>
      </w:r>
      <w:bookmarkEnd w:id="18"/>
      <w:bookmarkEnd w:id="19"/>
      <w:bookmarkEnd w:id="20"/>
      <w:bookmarkEnd w:id="21"/>
    </w:p>
    <w:p w14:paraId="1FEEA0B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文件、必备资质文件的递交：</w:t>
      </w:r>
    </w:p>
    <w:p w14:paraId="362916F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1-1、供应商应按规定的时间、地点，于磋商截止时间前递交竞争性磋商响应文件、必备资质文件；</w:t>
      </w:r>
    </w:p>
    <w:p w14:paraId="31C9D89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1-2、逾</w:t>
      </w:r>
      <w:r>
        <w:rPr>
          <w:rFonts w:hint="eastAsia" w:ascii="仿宋" w:hAnsi="仿宋" w:eastAsia="仿宋" w:cs="仿宋"/>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仿宋" w:hAnsi="仿宋" w:eastAsia="仿宋" w:cs="仿宋"/>
          <w:color w:val="000000" w:themeColor="text1"/>
          <w:sz w:val="24"/>
          <w:highlight w:val="none"/>
          <w:lang w:eastAsia="zh-CN"/>
          <w14:textFill>
            <w14:solidFill>
              <w14:schemeClr w14:val="tx1"/>
            </w14:solidFill>
          </w14:textFill>
        </w:rPr>
        <w:t>；</w:t>
      </w:r>
    </w:p>
    <w:p w14:paraId="470C78C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、供应商在规定的磋商截止时间后递交磋商响应文件、必备资质文件，将被拒收。</w:t>
      </w:r>
    </w:p>
    <w:p w14:paraId="6FB9B17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、本次磋商不接受邮寄的磋商响应文件、必备资质文件。</w:t>
      </w:r>
    </w:p>
    <w:p w14:paraId="40E2ABD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响应文件的补充、修改与撤回：</w:t>
      </w:r>
    </w:p>
    <w:p w14:paraId="6B38081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46B2B53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14:paraId="07C6B8D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14:paraId="11BB603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2-4、磋商截止时间之后，供应商不得补充、修改竞争性磋商响应文件；</w:t>
      </w:r>
    </w:p>
    <w:p w14:paraId="358FA9B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2-5、在磋商截止时间至磋商响应有效期满之前，供应商不得撤回其竞争性磋商响应文件，否则其磋商保证金将不予退还。提供磋商担保的供应商将由专业担保机构先行偿付采购人损失。</w:t>
      </w:r>
    </w:p>
    <w:p w14:paraId="7E9D021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、竞争性磋商响应有效期：</w:t>
      </w:r>
    </w:p>
    <w:p w14:paraId="13F41AF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14:paraId="27A91902">
      <w:pPr>
        <w:pStyle w:val="41"/>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拒绝延长有效期的供应商有权收回磋商保证金，但不得参与该项目后续采购活动。同意延长有效期的供应商应相应延长磋商担保的有效期，但不得修改竞争性磋商响应文件的实质性内容。</w:t>
      </w:r>
    </w:p>
    <w:p w14:paraId="0F0CDD9B">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w:t>
      </w:r>
      <w:r>
        <w:rPr>
          <w:rFonts w:hint="eastAsia" w:ascii="仿宋" w:hAnsi="仿宋" w:eastAsia="仿宋" w:cs="仿宋"/>
          <w:color w:val="000000" w:themeColor="text1"/>
          <w:kern w:val="2"/>
          <w:sz w:val="24"/>
          <w:szCs w:val="24"/>
          <w:highlight w:val="none"/>
          <w14:textFill>
            <w14:solidFill>
              <w14:schemeClr w14:val="tx1"/>
            </w14:solidFill>
          </w14:textFill>
        </w:rPr>
        <w:t>有下列情形之一的，属于恶意串通，对其依照《中华人民共和国政府采购法》</w:t>
      </w:r>
    </w:p>
    <w:p w14:paraId="35325AB6">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第七十七条第一款的规定追究法律责任，响应无效：</w:t>
      </w:r>
    </w:p>
    <w:p w14:paraId="26980F23">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14:paraId="647A9D9A">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4-2、供应商按照采购人或采购代理机构的授意撤换、修改磋商响应文件；</w:t>
      </w:r>
    </w:p>
    <w:p w14:paraId="5AF030B2">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4-3、供应商之间协商报价、技术方案等磋商响应文件的实质性内容；</w:t>
      </w:r>
    </w:p>
    <w:p w14:paraId="71728BB9">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14:paraId="57A4B194">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4-5、供应商之间事先约定由某一特定供应商成交；</w:t>
      </w:r>
    </w:p>
    <w:p w14:paraId="1596B581">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4-6、供应商之间商定部分供应商放弃参加政府采购活动或放弃成交；</w:t>
      </w:r>
    </w:p>
    <w:p w14:paraId="31A4C6B2">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14:paraId="3FD454C3">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5、有下列情形之一的，视为供应商串通磋商，其响应无效：</w:t>
      </w:r>
    </w:p>
    <w:p w14:paraId="4BD77082">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5-1、不同供应商的磋商响应文件由同一单位或者个人编制；</w:t>
      </w:r>
    </w:p>
    <w:p w14:paraId="778696AA">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5-2、不同供应商委托同一单位或者个人办理磋商事宜；</w:t>
      </w:r>
    </w:p>
    <w:p w14:paraId="79054AB4">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5-3、不同供应商的磋商响应文件载明的项目管理成员或者联系人为同一人；</w:t>
      </w:r>
    </w:p>
    <w:p w14:paraId="7AEDF13E">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5-4、不同供应商的磋商响应文件异常一致或者磋商报价呈现规律性差异；</w:t>
      </w:r>
    </w:p>
    <w:p w14:paraId="74C75F9C">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5-5、不同供应商的磋商响应文件相互混装；</w:t>
      </w:r>
    </w:p>
    <w:p w14:paraId="2A52A038">
      <w:pPr>
        <w:pStyle w:val="41"/>
        <w:spacing w:line="560" w:lineRule="exact"/>
        <w:ind w:firstLine="48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kern w:val="2"/>
          <w:sz w:val="24"/>
          <w:szCs w:val="24"/>
          <w:highlight w:val="none"/>
        </w:rPr>
        <w:t>5-6、不同供应商的磋商保证金从同一单位或者个人的账户转出。</w:t>
      </w:r>
    </w:p>
    <w:p w14:paraId="2708EF2A">
      <w:pPr>
        <w:pStyle w:val="41"/>
        <w:pageBreakBefore w:val="0"/>
        <w:kinsoku/>
        <w:wordWrap/>
        <w:topLinePunct w:val="0"/>
        <w:autoSpaceDE/>
        <w:autoSpaceDN/>
        <w:bidi w:val="0"/>
        <w:spacing w:line="640" w:lineRule="exact"/>
        <w:ind w:firstLine="0" w:firstLineChars="0"/>
        <w:textAlignment w:val="auto"/>
        <w:outlineLvl w:val="1"/>
        <w:rPr>
          <w:rFonts w:hint="eastAsia" w:ascii="仿宋" w:hAnsi="仿宋" w:eastAsia="仿宋" w:cs="仿宋"/>
          <w:b/>
          <w:bCs/>
          <w:color w:val="000000" w:themeColor="text1"/>
          <w:szCs w:val="28"/>
          <w:highlight w:val="none"/>
          <w14:textFill>
            <w14:solidFill>
              <w14:schemeClr w14:val="tx1"/>
            </w14:solidFill>
          </w14:textFill>
        </w:rPr>
      </w:pPr>
      <w:bookmarkStart w:id="22" w:name="_Toc458848738"/>
      <w:bookmarkStart w:id="23" w:name="_Toc23636"/>
      <w:bookmarkStart w:id="24" w:name="_Toc10685"/>
      <w:bookmarkStart w:id="25" w:name="_Toc458848823"/>
      <w:r>
        <w:rPr>
          <w:rFonts w:hint="eastAsia" w:ascii="仿宋" w:hAnsi="仿宋" w:eastAsia="仿宋" w:cs="仿宋"/>
          <w:b/>
          <w:bCs/>
          <w:color w:val="000000" w:themeColor="text1"/>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Cs w:val="28"/>
          <w:highlight w:val="none"/>
          <w14:textFill>
            <w14:solidFill>
              <w14:schemeClr w14:val="tx1"/>
            </w14:solidFill>
          </w14:textFill>
        </w:rPr>
        <w:t>、磋商、评审及定标</w:t>
      </w:r>
      <w:bookmarkEnd w:id="22"/>
      <w:bookmarkEnd w:id="23"/>
      <w:bookmarkEnd w:id="24"/>
      <w:bookmarkEnd w:id="25"/>
    </w:p>
    <w:p w14:paraId="55032D0F">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w:t>
      </w:r>
    </w:p>
    <w:p w14:paraId="574516D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1-1、采购代理机构按竞争性磋商文件规定的时间、地点组织磋商。</w:t>
      </w:r>
    </w:p>
    <w:p w14:paraId="79A346B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1-2、所有参会人员应签名报到，以证明其出席。供应商未参加磋商的，视同认可磋商结果。</w:t>
      </w:r>
    </w:p>
    <w:p w14:paraId="06A91F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14:paraId="6402A1B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仿宋" w:hAnsi="仿宋" w:eastAsia="仿宋" w:cs="仿宋"/>
          <w:color w:val="000000" w:themeColor="text1"/>
          <w:sz w:val="24"/>
          <w:highlight w:val="none"/>
          <w:lang w:eastAsia="zh-CN"/>
          <w14:textFill>
            <w14:solidFill>
              <w14:schemeClr w14:val="tx1"/>
            </w14:solidFill>
          </w14:textFill>
        </w:rPr>
        <w:t>。</w:t>
      </w:r>
    </w:p>
    <w:p w14:paraId="656E1D2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、主持人宣布磋商会议结束，所有供应商离场。</w:t>
      </w:r>
    </w:p>
    <w:p w14:paraId="20C1B21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、采购代理机构对磋商过程进行摄像、文字记录，并存档备查。</w:t>
      </w:r>
    </w:p>
    <w:p w14:paraId="6604E53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14:paraId="065A432F">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2、评审</w:t>
      </w:r>
    </w:p>
    <w:p w14:paraId="30B029E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2-1、磋商小组</w:t>
      </w:r>
    </w:p>
    <w:p w14:paraId="05A99F5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Start w:id="26" w:name="OLE_LINK4"/>
      <w:bookmarkStart w:id="27" w:name="OLE_LINK14"/>
      <w:r>
        <w:rPr>
          <w:rFonts w:hint="eastAsia" w:ascii="仿宋" w:hAnsi="仿宋" w:eastAsia="仿宋" w:cs="仿宋"/>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14:paraId="2B0982E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（2）采购人可派代表进入磋商小组，并向采购代理机构出具授权函。</w:t>
      </w:r>
      <w:bookmarkEnd w:id="26"/>
    </w:p>
    <w:p w14:paraId="318302D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7"/>
    <w:p w14:paraId="12F18A7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（4）磋商小组成员应当遵守并履行下列职责义务：</w:t>
      </w:r>
    </w:p>
    <w:p w14:paraId="3AAE4A6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14:paraId="4D8D761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b、资格审查、符合性审查、评价磋商响应文件是否符合磋商文件的商务、技术等实质性要求；</w:t>
      </w:r>
    </w:p>
    <w:p w14:paraId="260AE95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c、要求供应商对磋商响应文件有关事项作出澄清或者说明；</w:t>
      </w:r>
    </w:p>
    <w:p w14:paraId="55738C9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d、对磋商响应文件进行比较和评价；</w:t>
      </w:r>
    </w:p>
    <w:p w14:paraId="7C55FAC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e、推荐成交候选单位名单，对磋商意见承担个人责任；</w:t>
      </w:r>
    </w:p>
    <w:p w14:paraId="74A9357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f、拟定磋商结果；</w:t>
      </w:r>
    </w:p>
    <w:p w14:paraId="3AB6E1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g、对磋商过程及各供应商的商业机密予以保密；</w:t>
      </w:r>
    </w:p>
    <w:p w14:paraId="73A85E2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h、向财政部门报告在评审过程中发现的供应商的违法违规行为；</w:t>
      </w:r>
    </w:p>
    <w:p w14:paraId="52A14F1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i、配合采购人、采购代理机构答复各供应商提出的质疑；</w:t>
      </w:r>
    </w:p>
    <w:p w14:paraId="1B21285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j、配合各部门的投诉处理和监督检查工作。</w:t>
      </w:r>
    </w:p>
    <w:p w14:paraId="6A8048E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2-2、在政府采购活动中，采购人员及相关人员（包括评审委员会）与供应商有下列利害关系之一的，应当回避：</w:t>
      </w:r>
    </w:p>
    <w:p w14:paraId="11A8E86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（1）参加采购活动前3年内与供应商存在劳动关系；</w:t>
      </w:r>
    </w:p>
    <w:p w14:paraId="046D88D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（2）参加采购活动前3年内担任供应商的董事、监事；</w:t>
      </w:r>
    </w:p>
    <w:p w14:paraId="6452601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（3）参加采购活动前3年内是供应商的控股股东或者实际控制人；</w:t>
      </w:r>
    </w:p>
    <w:p w14:paraId="221BEB7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（4）与供应商的法定代表人或者负责人有夫妻、直系血亲、三代以内旁系血亲或者近姻亲关系；</w:t>
      </w:r>
    </w:p>
    <w:p w14:paraId="39687DB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（5）与供应商有其他可能影响政府采购活动公平、公正进行的关系。</w:t>
      </w:r>
    </w:p>
    <w:p w14:paraId="41C0157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、磋商原则：坚持公平、公正、科学、择优原则，禁止不正当竞争。</w:t>
      </w:r>
    </w:p>
    <w:p w14:paraId="35F6BB9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、评审办法：本次磋商采用综合评分法（详见本节评分标准）。</w:t>
      </w:r>
    </w:p>
    <w:p w14:paraId="75C92AAE">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、磋商工作程序</w:t>
      </w:r>
      <w:r>
        <w:rPr>
          <w:rFonts w:hint="eastAsia" w:ascii="仿宋" w:hAnsi="仿宋" w:eastAsia="仿宋" w:cs="仿宋"/>
          <w:color w:val="000000" w:themeColor="text1"/>
          <w:sz w:val="24"/>
          <w:highlight w:val="none"/>
          <w14:textFill>
            <w14:solidFill>
              <w14:schemeClr w14:val="tx1"/>
            </w14:solidFill>
          </w14:textFill>
        </w:rPr>
        <w:t>:资格性审查、符合性审查、澄清、评价、推荐成交候选人的工作程序进行评审。</w:t>
      </w:r>
    </w:p>
    <w:p w14:paraId="6BA1D33D">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-1、资格性审查</w:t>
      </w:r>
    </w:p>
    <w:p w14:paraId="0AE858EC">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磋商会议</w:t>
      </w:r>
      <w:r>
        <w:rPr>
          <w:rFonts w:hint="eastAsia" w:ascii="仿宋" w:hAnsi="仿宋" w:eastAsia="仿宋" w:cs="仿宋"/>
          <w:b/>
          <w:bCs/>
          <w:color w:val="000000" w:themeColor="text1"/>
          <w:sz w:val="24"/>
          <w:highlight w:val="none"/>
          <w14:textFill>
            <w14:solidFill>
              <w14:schemeClr w14:val="tx1"/>
            </w14:solidFill>
          </w14:textFill>
        </w:rPr>
        <w:t>结束后，由采购人依法对</w:t>
      </w:r>
      <w:r>
        <w:rPr>
          <w:rFonts w:hint="eastAsia" w:ascii="仿宋" w:hAnsi="仿宋" w:eastAsia="仿宋" w:cs="仿宋"/>
          <w:b/>
          <w:bCs/>
          <w:color w:val="000000" w:themeColor="text1"/>
          <w:sz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highlight w:val="none"/>
          <w14:textFill>
            <w14:solidFill>
              <w14:schemeClr w14:val="tx1"/>
            </w14:solidFill>
          </w14:textFill>
        </w:rPr>
        <w:t>的资格进行审查，审查合格的</w:t>
      </w:r>
      <w:r>
        <w:rPr>
          <w:rFonts w:hint="eastAsia" w:ascii="仿宋" w:hAnsi="仿宋" w:eastAsia="仿宋" w:cs="仿宋"/>
          <w:b/>
          <w:bCs/>
          <w:color w:val="000000" w:themeColor="text1"/>
          <w:sz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highlight w:val="none"/>
          <w14:textFill>
            <w14:solidFill>
              <w14:schemeClr w14:val="tx1"/>
            </w14:solidFill>
          </w14:textFill>
        </w:rPr>
        <w:t>方可进入评标阶段，缺项或一项不符合要求即不合格，不合格的</w:t>
      </w:r>
      <w:r>
        <w:rPr>
          <w:rFonts w:hint="eastAsia" w:ascii="仿宋" w:hAnsi="仿宋" w:eastAsia="仿宋" w:cs="仿宋"/>
          <w:b/>
          <w:bCs/>
          <w:color w:val="000000" w:themeColor="text1"/>
          <w:sz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highlight w:val="none"/>
          <w14:textFill>
            <w14:solidFill>
              <w14:schemeClr w14:val="tx1"/>
            </w14:solidFill>
          </w14:textFill>
        </w:rPr>
        <w:t>其</w:t>
      </w:r>
      <w:r>
        <w:rPr>
          <w:rFonts w:hint="eastAsia" w:ascii="仿宋" w:hAnsi="仿宋" w:eastAsia="仿宋" w:cs="仿宋"/>
          <w:b/>
          <w:bCs/>
          <w:color w:val="000000" w:themeColor="text1"/>
          <w:sz w:val="24"/>
          <w:highlight w:val="none"/>
          <w:lang w:eastAsia="zh-CN"/>
          <w14:textFill>
            <w14:solidFill>
              <w14:schemeClr w14:val="tx1"/>
            </w14:solidFill>
          </w14:textFill>
        </w:rPr>
        <w:t>响应</w:t>
      </w:r>
      <w:r>
        <w:rPr>
          <w:rFonts w:hint="eastAsia" w:ascii="仿宋" w:hAnsi="仿宋" w:eastAsia="仿宋" w:cs="仿宋"/>
          <w:b/>
          <w:bCs/>
          <w:color w:val="000000" w:themeColor="text1"/>
          <w:sz w:val="24"/>
          <w:highlight w:val="none"/>
          <w14:textFill>
            <w14:solidFill>
              <w14:schemeClr w14:val="tx1"/>
            </w14:solidFill>
          </w14:textFill>
        </w:rPr>
        <w:t>无效。资格证明文件须装订在每份</w:t>
      </w:r>
      <w:r>
        <w:rPr>
          <w:rFonts w:hint="eastAsia" w:ascii="仿宋" w:hAnsi="仿宋" w:eastAsia="仿宋" w:cs="仿宋"/>
          <w:b/>
          <w:bCs/>
          <w:color w:val="000000" w:themeColor="text1"/>
          <w:sz w:val="24"/>
          <w:highlight w:val="none"/>
          <w:lang w:eastAsia="zh-CN"/>
          <w14:textFill>
            <w14:solidFill>
              <w14:schemeClr w14:val="tx1"/>
            </w14:solidFill>
          </w14:textFill>
        </w:rPr>
        <w:t>竞争性磋商</w:t>
      </w:r>
      <w:r>
        <w:rPr>
          <w:rFonts w:hint="eastAsia" w:ascii="仿宋" w:hAnsi="仿宋" w:eastAsia="仿宋" w:cs="仿宋"/>
          <w:b/>
          <w:bCs/>
          <w:color w:val="000000" w:themeColor="text1"/>
          <w:sz w:val="24"/>
          <w:highlight w:val="none"/>
          <w14:textFill>
            <w14:solidFill>
              <w14:schemeClr w14:val="tx1"/>
            </w14:solidFill>
          </w14:textFill>
        </w:rPr>
        <w:t>文件中。资格审查以</w:t>
      </w:r>
      <w:r>
        <w:rPr>
          <w:rFonts w:hint="eastAsia" w:ascii="仿宋" w:hAnsi="仿宋" w:eastAsia="仿宋" w:cs="仿宋"/>
          <w:b/>
          <w:bCs/>
          <w:color w:val="000000" w:themeColor="text1"/>
          <w:sz w:val="24"/>
          <w:highlight w:val="none"/>
          <w:lang w:eastAsia="zh-CN"/>
          <w14:textFill>
            <w14:solidFill>
              <w14:schemeClr w14:val="tx1"/>
            </w14:solidFill>
          </w14:textFill>
        </w:rPr>
        <w:t>竞争性磋商</w:t>
      </w:r>
      <w:r>
        <w:rPr>
          <w:rFonts w:hint="eastAsia" w:ascii="仿宋" w:hAnsi="仿宋" w:eastAsia="仿宋" w:cs="仿宋"/>
          <w:b/>
          <w:bCs/>
          <w:color w:val="000000" w:themeColor="text1"/>
          <w:sz w:val="24"/>
          <w:highlight w:val="none"/>
          <w14:textFill>
            <w14:solidFill>
              <w14:schemeClr w14:val="tx1"/>
            </w14:solidFill>
          </w14:textFill>
        </w:rPr>
        <w:t>文件“正本”为准</w:t>
      </w:r>
      <w:r>
        <w:rPr>
          <w:rFonts w:hint="eastAsia" w:ascii="仿宋" w:hAnsi="仿宋" w:eastAsia="仿宋" w:cs="仿宋"/>
          <w:b/>
          <w:bCs/>
          <w:color w:val="000000" w:themeColor="text1"/>
          <w:sz w:val="24"/>
          <w:highlight w:val="none"/>
          <w:lang w:eastAsia="zh-CN"/>
          <w14:textFill>
            <w14:solidFill>
              <w14:schemeClr w14:val="tx1"/>
            </w14:solidFill>
          </w14:textFill>
        </w:rPr>
        <w:t>。</w:t>
      </w:r>
    </w:p>
    <w:p w14:paraId="38C0420F">
      <w:pPr>
        <w:pageBreakBefore w:val="0"/>
        <w:numPr>
          <w:ilvl w:val="0"/>
          <w:numId w:val="2"/>
        </w:numPr>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具有独立承担民事责任能力的法人、其他组织或自然人，提供合法有效经年检合格的统一社会信用代码营业执照；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2、提供企业法定代表人授权委托书原件（附法定代表人、被授权委托人身份证复印件）及被授权委托人身份证原件（法定代表人参会或到场的仅提供法定代表人身份证原件）；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3、拟派项目负责人须具备园林相关专业中级及以上职称；</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4、须提供2023年或2024年经审计的财务报告（成立时间至提交投标文件截止时间不足一年的可提供成立后任意时段的财务报表）或投标文件递交截止之日前3个月内基本开户行银行出具的资信证明；</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5、须依法缴纳社会保障资金（养老保险）的良好记录（提供投标截止时间前六个月内任意一个月份的缴费凭据复印件并加盖投标单位公章）；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6、须提供依法缴纳税收资金的良好记录（提供投标截止时间前六个月内任意一个月份的缴费凭据复印件并加盖投标单位公章）；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7、供应商应在投标截止日前未被列入失信被执行人、重大税收违法失信主体、政府采购严重违法失信行为记录名单（处罚期限届满的除外）（以“信用中国”网站（www.creditchina.gov.cn）和中国政府采购网（www.ccgp.gov.cn）查询结果为准，提供网站截图并加盖供应商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8、提供近三年内在经营活动中没有重大违法记录的书面声明；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9、提供投标保证金转账凭证及银行开户许可证复印件并加盖供应商单位公章； </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10、本项目不接受联合体投标。单位负责人为同一人或者存在控股、管理关系的不同单位不得同时投标。</w:t>
      </w:r>
    </w:p>
    <w:p w14:paraId="56260706">
      <w:pPr>
        <w:pageBreakBefore w:val="0"/>
        <w:numPr>
          <w:ilvl w:val="0"/>
          <w:numId w:val="2"/>
        </w:numPr>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-2、磋商响应文件符合性审查</w:t>
      </w:r>
    </w:p>
    <w:p w14:paraId="6F0B78F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3388E5C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（1）供应商名称与登记领取磋商文件的单位名称</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一致；</w:t>
      </w:r>
    </w:p>
    <w:p w14:paraId="4622A2B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）磋商响应文件</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按照磋商文件的要求盖章签字；</w:t>
      </w:r>
    </w:p>
    <w:p w14:paraId="24DB484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）磋商响应文件</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符合磋商文件要求的数量；</w:t>
      </w:r>
    </w:p>
    <w:p w14:paraId="12CFC9D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）针对同一项目提交两份或多份内容不同的磋商响应文件，</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书面声明哪一份是有效的或出现选择性报价的；</w:t>
      </w:r>
    </w:p>
    <w:p w14:paraId="2F36AE9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）磋商报价</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 xml:space="preserve">超过采购预算； </w:t>
      </w:r>
    </w:p>
    <w:p w14:paraId="4C90662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）磋商有效期</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符合磋商文件的要求；</w:t>
      </w:r>
    </w:p>
    <w:p w14:paraId="3866B92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）对磋商文件商务要求</w:t>
      </w:r>
      <w:r>
        <w:rPr>
          <w:rFonts w:hint="eastAsia" w:ascii="仿宋" w:hAnsi="仿宋" w:eastAsia="仿宋" w:cs="仿宋"/>
          <w:color w:val="000000" w:themeColor="text1"/>
          <w:sz w:val="24"/>
          <w:highlight w:val="none"/>
          <w:lang w:eastAsia="zh-CN"/>
          <w14:textFill>
            <w14:solidFill>
              <w14:schemeClr w14:val="tx1"/>
            </w14:solidFill>
          </w14:textFill>
        </w:rPr>
        <w:t>是否</w:t>
      </w:r>
      <w:r>
        <w:rPr>
          <w:rFonts w:hint="eastAsia" w:ascii="仿宋" w:hAnsi="仿宋" w:eastAsia="仿宋" w:cs="仿宋"/>
          <w:color w:val="000000" w:themeColor="text1"/>
          <w:sz w:val="24"/>
          <w:highlight w:val="none"/>
          <w14:textFill>
            <w14:solidFill>
              <w14:schemeClr w14:val="tx1"/>
            </w14:solidFill>
          </w14:textFill>
        </w:rPr>
        <w:t>作出明确且实质性响应；</w:t>
      </w:r>
    </w:p>
    <w:p w14:paraId="6F8D211C">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-3、竞争性磋商响应文</w:t>
      </w:r>
      <w:bookmarkStart w:id="102" w:name="_GoBack"/>
      <w:bookmarkEnd w:id="102"/>
      <w:r>
        <w:rPr>
          <w:rFonts w:hint="eastAsia" w:ascii="仿宋" w:hAnsi="仿宋" w:eastAsia="仿宋" w:cs="仿宋"/>
          <w:color w:val="000000" w:themeColor="text1"/>
          <w:sz w:val="24"/>
          <w:highlight w:val="none"/>
          <w14:textFill>
            <w14:solidFill>
              <w14:schemeClr w14:val="tx1"/>
            </w14:solidFill>
          </w14:textFill>
        </w:rPr>
        <w:t>件的澄清：</w:t>
      </w:r>
    </w:p>
    <w:p w14:paraId="25C2FFEE">
      <w:pPr>
        <w:pageBreakBefore w:val="0"/>
        <w:kinsoku/>
        <w:wordWrap/>
        <w:overflowPunct w:val="0"/>
        <w:topLinePunct w:val="0"/>
        <w:autoSpaceDE/>
        <w:autoSpaceDN/>
        <w:bidi w:val="0"/>
        <w:adjustRightInd w:val="0"/>
        <w:snapToGrid w:val="0"/>
        <w:spacing w:line="640" w:lineRule="exact"/>
        <w:ind w:firstLine="360" w:firstLineChars="1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BA25D5">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13FB3D39">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（2）书写错误的评审标准：</w:t>
      </w:r>
    </w:p>
    <w:p w14:paraId="70EDF9AD">
      <w:pPr>
        <w:pageBreakBefore w:val="0"/>
        <w:kinsoku/>
        <w:wordWrap/>
        <w:overflowPunct w:val="0"/>
        <w:topLinePunct w:val="0"/>
        <w:autoSpaceDE/>
        <w:autoSpaceDN/>
        <w:bidi w:val="0"/>
        <w:adjustRightInd w:val="0"/>
        <w:snapToGrid w:val="0"/>
        <w:spacing w:line="640" w:lineRule="exact"/>
        <w:ind w:firstLine="720" w:firstLineChars="3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磋商小组在评审过程中，发现竞争性磋商响应文件出现下列情况之一者，按以下原则修正：</w:t>
      </w:r>
    </w:p>
    <w:p w14:paraId="5A079C4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a、磋商响应文件有关内容与“磋商报价一览表”不一致的，以“磋商报价一览表”为准；</w:t>
      </w:r>
    </w:p>
    <w:p w14:paraId="16E0B6C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b、大写金额与小写金额不一致的，以大写金额为准；</w:t>
      </w:r>
    </w:p>
    <w:p w14:paraId="482B274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c、单价金额小数点或者百分比有明显错位的，以“磋商报价一览表”的总价为准，并修改单价；</w:t>
      </w:r>
    </w:p>
    <w:p w14:paraId="2830D1D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d、总价金额与按单价汇总金额不一致的，以单价乘以数量的计算结果为准；</w:t>
      </w:r>
    </w:p>
    <w:p w14:paraId="3BB61F8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e、磋商响应文件图表与文字不符时，以文字为准；</w:t>
      </w:r>
    </w:p>
    <w:p w14:paraId="41BFE17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f、磋商响应文件正本与副本不符时，以正本为准；</w:t>
      </w:r>
    </w:p>
    <w:p w14:paraId="0A7DCAB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g、对不同文字文本磋商响应文件的解释发生异议的，以中文文本为准；</w:t>
      </w:r>
    </w:p>
    <w:p w14:paraId="51DBE6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h、多处内容交叉不符时，以磋商小组评审结果为准。</w:t>
      </w:r>
    </w:p>
    <w:p w14:paraId="2E167DC4">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14:paraId="3D62231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14:paraId="3F58C237">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-4、评议：</w:t>
      </w:r>
    </w:p>
    <w:p w14:paraId="04383867">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14:paraId="14AEC95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14:paraId="7C6E83A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68BA4C7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（4）磋商结束后，磋商小组应当要求所有实质性响应的供应商在规定时间内提交最后报价。</w:t>
      </w:r>
    </w:p>
    <w:p w14:paraId="27D11AAE">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14:paraId="2FFD2E0A">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（6）其他需说明的情况：</w:t>
      </w:r>
    </w:p>
    <w:p w14:paraId="187EACEC">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14:paraId="48AC312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b、最低报价不是成交的唯一条件；</w:t>
      </w:r>
    </w:p>
    <w:p w14:paraId="769F5A62">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14:paraId="6BCBE3B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d、无论磋商的结果如何，磋商期间一切费用自理。</w:t>
      </w:r>
    </w:p>
    <w:p w14:paraId="71149FDB">
      <w:pPr>
        <w:spacing w:line="480" w:lineRule="exact"/>
        <w:ind w:firstLine="600" w:firstLineChars="24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 xml:space="preserve">、评分标准 </w:t>
      </w:r>
    </w:p>
    <w:tbl>
      <w:tblPr>
        <w:tblStyle w:val="23"/>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843"/>
        <w:gridCol w:w="7554"/>
      </w:tblGrid>
      <w:tr w14:paraId="23DA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85" w:type="dxa"/>
            <w:noWrap w:val="0"/>
            <w:vAlign w:val="center"/>
          </w:tcPr>
          <w:p w14:paraId="2AC91B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磋商</w:t>
            </w:r>
          </w:p>
          <w:p w14:paraId="437D8D0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843" w:type="dxa"/>
            <w:noWrap w:val="0"/>
            <w:vAlign w:val="center"/>
          </w:tcPr>
          <w:p w14:paraId="0462DD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554" w:type="dxa"/>
            <w:noWrap w:val="0"/>
            <w:vAlign w:val="center"/>
          </w:tcPr>
          <w:p w14:paraId="42A3AD4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14:paraId="294BCA2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14:paraId="51B9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7E8B7B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项目实施方案</w:t>
            </w:r>
          </w:p>
        </w:tc>
        <w:tc>
          <w:tcPr>
            <w:tcW w:w="843" w:type="dxa"/>
            <w:noWrap w:val="0"/>
            <w:vAlign w:val="center"/>
          </w:tcPr>
          <w:p w14:paraId="74686C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w:t>
            </w:r>
          </w:p>
        </w:tc>
        <w:tc>
          <w:tcPr>
            <w:tcW w:w="7554" w:type="dxa"/>
            <w:noWrap w:val="0"/>
            <w:vAlign w:val="center"/>
          </w:tcPr>
          <w:p w14:paraId="38BFC11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针对本项目制定详细、完善的服务方案，（包括服务策划与设想；绿地养护、管理专项方案；环境管理服务方案等。）(方案详细完整、可操作性强、细节考虑到位计6～9分；方案基本完整，有相对的可操作性计3～6分；内容一般计0～3分。)本项满分9分；</w:t>
            </w:r>
          </w:p>
          <w:p w14:paraId="6CB1654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2、针对采购内容制定管理措施及考核制度(内容完整、细节考虑到位计6～9分；内容基本完整，较为全面计3～6分；内容一般计0～3分。)本项满分9分。</w:t>
            </w:r>
          </w:p>
          <w:p w14:paraId="31CF7CC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3、针对本项目定制应急管理方案(内容完整、细节考虑到位计6～9分；内容基本完整，较为全面计3～6分；内容一般计0～3分。)本项满分9分。</w:t>
            </w:r>
          </w:p>
          <w:p w14:paraId="4F251A9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4、根据投入项目组成人员构成数量、人员专业，根据响应程度计0～7分；</w:t>
            </w:r>
          </w:p>
          <w:p w14:paraId="727537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5、机械设备投入情况，是否合理高效，根据响应程度计0～7分；</w:t>
            </w:r>
          </w:p>
          <w:p w14:paraId="1923A5A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6、确保服务内容质量的保证措施，根据响应程度计0～7分；</w:t>
            </w:r>
          </w:p>
          <w:p w14:paraId="74FC433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7、确保项目实施进度计划的组织措施，根据响应程度计0～7分；</w:t>
            </w:r>
          </w:p>
          <w:p w14:paraId="02D39E4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8、有针对本项目合理化建议，根据响应程度计0～5分；</w:t>
            </w:r>
          </w:p>
        </w:tc>
      </w:tr>
      <w:tr w14:paraId="28F6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1EAD05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eastAsia="zh-CN"/>
              </w:rPr>
              <w:t>与设备配备</w:t>
            </w:r>
          </w:p>
        </w:tc>
        <w:tc>
          <w:tcPr>
            <w:tcW w:w="843" w:type="dxa"/>
            <w:noWrap w:val="0"/>
            <w:vAlign w:val="center"/>
          </w:tcPr>
          <w:p w14:paraId="678254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7554" w:type="dxa"/>
            <w:noWrap w:val="0"/>
            <w:vAlign w:val="center"/>
          </w:tcPr>
          <w:p w14:paraId="670E62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全承诺招标文件和合同条款的要求，对服务期限内质量、人员到位情况、不能完全履行承诺时接受处罚等情况做出实质性承诺（服务承诺可操作性强、细节描述详细、完整优越计6～9分；有相对的操作性、承诺内容良好计3～6分；描述内容一般的计0～3分；)本项满分9分。</w:t>
            </w:r>
          </w:p>
          <w:p w14:paraId="0D8639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2、根据项目情况拟定人员培训计划和承诺，根据响应程度计0～4分。分，配置较为合理得（2-3]分，配置一般得[1-2]分，未提供不得分。</w:t>
            </w:r>
          </w:p>
        </w:tc>
      </w:tr>
      <w:tr w14:paraId="16D0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023B56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843" w:type="dxa"/>
            <w:noWrap w:val="0"/>
            <w:vAlign w:val="center"/>
          </w:tcPr>
          <w:p w14:paraId="4310DF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554" w:type="dxa"/>
            <w:noWrap w:val="0"/>
            <w:vAlign w:val="center"/>
          </w:tcPr>
          <w:p w14:paraId="556F78B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以合同</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形式提供</w:t>
            </w:r>
            <w:r>
              <w:rPr>
                <w:rFonts w:hint="eastAsia" w:ascii="仿宋" w:hAnsi="仿宋" w:eastAsia="仿宋" w:cs="仿宋"/>
                <w:color w:val="auto"/>
                <w:sz w:val="24"/>
                <w:szCs w:val="24"/>
                <w:highlight w:val="none"/>
                <w:lang w:val="en-US" w:eastAsia="zh-CN"/>
              </w:rPr>
              <w:t>2022年1月1日至今同类</w:t>
            </w:r>
            <w:r>
              <w:rPr>
                <w:rFonts w:hint="eastAsia" w:ascii="仿宋" w:hAnsi="仿宋" w:eastAsia="仿宋" w:cs="仿宋"/>
                <w:color w:val="auto"/>
                <w:sz w:val="24"/>
                <w:szCs w:val="24"/>
                <w:highlight w:val="none"/>
              </w:rPr>
              <w:t>项目业绩，每份计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分，计满</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分为止</w:t>
            </w:r>
            <w:r>
              <w:rPr>
                <w:rFonts w:hint="eastAsia" w:ascii="仿宋" w:hAnsi="仿宋" w:eastAsia="仿宋" w:cs="仿宋"/>
                <w:color w:val="auto"/>
                <w:sz w:val="24"/>
                <w:szCs w:val="24"/>
                <w:highlight w:val="none"/>
                <w:lang w:eastAsia="zh-CN"/>
              </w:rPr>
              <w:t>。</w:t>
            </w:r>
          </w:p>
          <w:p w14:paraId="12AD874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需提供采购合同（含首页、服务内容、签字盖章页）复印件，否则业绩不予认可。</w:t>
            </w:r>
          </w:p>
        </w:tc>
      </w:tr>
      <w:tr w14:paraId="78B5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098859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w:t>
            </w:r>
          </w:p>
          <w:p w14:paraId="24D02D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w:t>
            </w:r>
          </w:p>
          <w:p w14:paraId="4851D1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承诺</w:t>
            </w:r>
          </w:p>
        </w:tc>
        <w:tc>
          <w:tcPr>
            <w:tcW w:w="843" w:type="dxa"/>
            <w:noWrap w:val="0"/>
            <w:vAlign w:val="center"/>
          </w:tcPr>
          <w:p w14:paraId="6ABC22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13分</w:t>
            </w:r>
          </w:p>
        </w:tc>
        <w:tc>
          <w:tcPr>
            <w:tcW w:w="7554" w:type="dxa"/>
            <w:noWrap w:val="0"/>
            <w:vAlign w:val="center"/>
          </w:tcPr>
          <w:p w14:paraId="1BF6279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1、有具体可行的服务承诺，出现问题有可行性方案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全面得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p w14:paraId="7096E76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highlight w:val="none"/>
              </w:rPr>
            </w:pPr>
            <w:r>
              <w:rPr>
                <w:rFonts w:hint="eastAsia" w:ascii="仿宋" w:hAnsi="仿宋" w:eastAsia="仿宋" w:cs="仿宋"/>
                <w:color w:val="auto"/>
                <w:sz w:val="24"/>
                <w:szCs w:val="24"/>
                <w:highlight w:val="none"/>
              </w:rPr>
              <w:t>2、有其他实质性承诺和合理化建议，评委认为有利于提高项目管理水平或降低项目实施成本的，根据其可行性和可信程度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r>
    </w:tbl>
    <w:p w14:paraId="4ECF455C">
      <w:pPr>
        <w:widowControl/>
        <w:autoSpaceDE w:val="0"/>
        <w:autoSpaceDN w:val="0"/>
        <w:spacing w:line="560" w:lineRule="exact"/>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注：1）评委打分超过得分界限或未按本方法赋分时，该评委的打分按废票处理。</w:t>
      </w:r>
    </w:p>
    <w:p w14:paraId="51B233CE">
      <w:pPr>
        <w:widowControl/>
        <w:autoSpaceDE w:val="0"/>
        <w:autoSpaceDN w:val="0"/>
        <w:spacing w:line="560" w:lineRule="exact"/>
        <w:ind w:firstLine="480"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2）各种计算数字均保 留两位小数，第三位“四舍五入”。</w:t>
      </w:r>
    </w:p>
    <w:p w14:paraId="63EB2A8E">
      <w:pPr>
        <w:spacing w:line="56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3）特殊情况处理：</w:t>
      </w:r>
    </w:p>
    <w:p w14:paraId="61ABCE7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a、若出现综合得分相同的，最后磋商报价得分高者为第一成交候选供应商，若综合评分和最后磋商报价的得分均相同的，服务</w:t>
      </w:r>
      <w:r>
        <w:rPr>
          <w:rFonts w:hint="eastAsia" w:ascii="仿宋" w:hAnsi="仿宋" w:eastAsia="仿宋" w:cs="仿宋"/>
          <w:color w:val="000000" w:themeColor="text1"/>
          <w:sz w:val="24"/>
          <w:highlight w:val="none"/>
          <w:lang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14:paraId="547D281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b、当供应商某评分项出现未报、漏报或零报价时，该分项得零分，并不参与磋商报价分的计算。</w:t>
      </w:r>
    </w:p>
    <w:p w14:paraId="102EA38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c、评议过程中，若出现本评分方法以外的特殊情况时，将暂停评审，待磋商小组商榷后再进行复会。</w:t>
      </w:r>
    </w:p>
    <w:p w14:paraId="4C8407E7">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、政府采购政策评分标准</w:t>
      </w:r>
    </w:p>
    <w:p w14:paraId="59CFB8F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-1、小微企业的价格评分标准</w:t>
      </w:r>
    </w:p>
    <w:p w14:paraId="1AFE9F11">
      <w:pPr>
        <w:spacing w:line="560" w:lineRule="exact"/>
        <w:ind w:firstLine="522"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000000" w:themeColor="text1"/>
          <w:sz w:val="24"/>
          <w:highlight w:val="none"/>
          <w14:textFill>
            <w14:solidFill>
              <w14:schemeClr w14:val="tx1"/>
            </w14:solidFill>
          </w14:textFill>
        </w:rPr>
        <w:t>1）根据《政府采购促进中小企业发展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号）的办法</w:t>
      </w:r>
      <w:r>
        <w:rPr>
          <w:rFonts w:hint="eastAsia" w:ascii="仿宋" w:hAnsi="仿宋" w:eastAsia="仿宋" w:cs="仿宋"/>
          <w:color w:val="000000" w:themeColor="text1"/>
          <w:sz w:val="24"/>
          <w:highlight w:val="none"/>
          <w:lang w:eastAsia="zh-CN"/>
          <w14:textFill>
            <w14:solidFill>
              <w14:schemeClr w14:val="tx1"/>
            </w14:solidFill>
          </w14:textFill>
        </w:rPr>
        <w:t>及</w:t>
      </w:r>
      <w:bookmarkStart w:id="28" w:name="_Toc1463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（财库</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19号）</w:t>
      </w:r>
      <w:bookmarkEnd w:id="28"/>
      <w:r>
        <w:rPr>
          <w:rFonts w:hint="eastAsia" w:ascii="仿宋" w:hAnsi="仿宋" w:eastAsia="仿宋" w:cs="仿宋"/>
          <w:color w:val="000000" w:themeColor="text1"/>
          <w:sz w:val="24"/>
          <w:highlight w:val="none"/>
          <w:lang w:val="en-US" w:eastAsia="zh-CN"/>
          <w14:textFill>
            <w14:solidFill>
              <w14:schemeClr w14:val="tx1"/>
            </w14:solidFill>
          </w14:textFill>
        </w:rPr>
        <w:t>的通知</w:t>
      </w:r>
      <w:r>
        <w:rPr>
          <w:rFonts w:hint="eastAsia" w:ascii="仿宋" w:hAnsi="仿宋" w:eastAsia="仿宋" w:cs="仿宋"/>
          <w:color w:val="000000" w:themeColor="text1"/>
          <w:sz w:val="24"/>
          <w:highlight w:val="none"/>
          <w14:textFill>
            <w14:solidFill>
              <w14:schemeClr w14:val="tx1"/>
            </w14:solidFill>
          </w14:textFill>
        </w:rPr>
        <w:t>，对于专门面向中小企业采购的项目或者采购包,不再执行价格评审优惠的扶持政策。</w:t>
      </w:r>
    </w:p>
    <w:p w14:paraId="7364B92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68D76708">
      <w:pPr>
        <w:spacing w:line="560" w:lineRule="exact"/>
        <w:ind w:firstLine="480" w:firstLineChars="200"/>
        <w:rPr>
          <w:rFonts w:hint="eastAsia" w:ascii="仿宋" w:hAnsi="仿宋" w:eastAsia="仿宋" w:cs="仿宋"/>
          <w:strike/>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14:paraId="335F8546">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）小微企业按《政府采购促进中小企业发展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color w:val="000000" w:themeColor="text1"/>
          <w:sz w:val="24"/>
          <w:highlight w:val="none"/>
          <w:lang w:eastAsia="zh-CN"/>
          <w14:textFill>
            <w14:solidFill>
              <w14:schemeClr w14:val="tx1"/>
            </w14:solidFill>
          </w14:textFill>
        </w:rPr>
        <w:t>。</w:t>
      </w:r>
    </w:p>
    <w:p w14:paraId="207F5FB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-2、监狱企业的价格评分标准</w:t>
      </w:r>
    </w:p>
    <w:p w14:paraId="6FFE3A7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p>
    <w:p w14:paraId="7361FBA8">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（2）监狱企业属于小型、微型企业的，不重复享受政策。 </w:t>
      </w:r>
    </w:p>
    <w:p w14:paraId="6FAA8BC1">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14:paraId="18074CF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14:paraId="1D2A5C1B">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-3、残疾人福利性单位的价格评分标准</w:t>
      </w:r>
    </w:p>
    <w:p w14:paraId="155F344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14:paraId="75FD368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（2）残疾人福利性单位属于小型、微型企业的，不重复享受政策。</w:t>
      </w:r>
    </w:p>
    <w:p w14:paraId="33F0040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14:paraId="5287A64E">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-4、节能产品、环境标志产品政策</w:t>
      </w:r>
    </w:p>
    <w:p w14:paraId="0769E068">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（1）根据《财政部、国家发展改革委、生态环境部、市场监管总局&lt;关于调整优化节能产品、环境标志产品政府采购执行机制&gt;的通知》的</w:t>
      </w:r>
      <w:r>
        <w:rPr>
          <w:rFonts w:hint="eastAsia" w:ascii="仿宋" w:hAnsi="仿宋" w:eastAsia="仿宋" w:cs="仿宋"/>
          <w:color w:val="000000" w:themeColor="text1"/>
          <w:sz w:val="24"/>
          <w:highlight w:val="none"/>
          <w14:textFill>
            <w14:solidFill>
              <w14:schemeClr w14:val="tx1"/>
            </w14:solidFill>
          </w14:textFill>
        </w:rPr>
        <w:t>有关规定</w:t>
      </w:r>
      <w:r>
        <w:rPr>
          <w:rFonts w:hint="eastAsia" w:ascii="仿宋" w:hAnsi="仿宋" w:eastAsia="仿宋" w:cs="仿宋"/>
          <w:bCs/>
          <w:color w:val="000000" w:themeColor="text1"/>
          <w:sz w:val="24"/>
          <w:highlight w:val="none"/>
          <w14:textFill>
            <w14:solidFill>
              <w14:schemeClr w14:val="tx1"/>
            </w14:solidFill>
          </w14:textFill>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BA05713">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eastAsia="zh-CN"/>
          <w14:textFill>
            <w14:solidFill>
              <w14:schemeClr w14:val="tx1"/>
            </w14:solidFill>
          </w14:textFill>
        </w:rPr>
        <w:t>供应商</w:t>
      </w:r>
      <w:r>
        <w:rPr>
          <w:rFonts w:hint="eastAsia" w:ascii="仿宋" w:hAnsi="仿宋" w:eastAsia="仿宋" w:cs="仿宋"/>
          <w:bCs/>
          <w:color w:val="000000" w:themeColor="text1"/>
          <w:sz w:val="24"/>
          <w:highlight w:val="none"/>
          <w14:textFill>
            <w14:solidFill>
              <w14:schemeClr w14:val="tx1"/>
            </w14:solidFill>
          </w14:textFill>
        </w:rPr>
        <w:t>在</w:t>
      </w:r>
      <w:r>
        <w:rPr>
          <w:rFonts w:hint="eastAsia" w:ascii="仿宋" w:hAnsi="仿宋" w:eastAsia="仿宋" w:cs="仿宋"/>
          <w:bCs/>
          <w:color w:val="000000" w:themeColor="text1"/>
          <w:sz w:val="24"/>
          <w:highlight w:val="none"/>
          <w:lang w:eastAsia="zh-CN"/>
          <w14:textFill>
            <w14:solidFill>
              <w14:schemeClr w14:val="tx1"/>
            </w14:solidFill>
          </w14:textFill>
        </w:rPr>
        <w:t>竞争性磋商响应</w:t>
      </w:r>
      <w:r>
        <w:rPr>
          <w:rFonts w:hint="eastAsia" w:ascii="仿宋" w:hAnsi="仿宋" w:eastAsia="仿宋" w:cs="仿宋"/>
          <w:bCs/>
          <w:color w:val="000000" w:themeColor="text1"/>
          <w:sz w:val="24"/>
          <w:highlight w:val="none"/>
          <w14:textFill>
            <w14:solidFill>
              <w14:schemeClr w14:val="tx1"/>
            </w14:solidFill>
          </w14:textFill>
        </w:rPr>
        <w:t>文件中对所投产品为节能、环境标志产品清单中的产品，在</w:t>
      </w:r>
      <w:r>
        <w:rPr>
          <w:rFonts w:hint="eastAsia" w:ascii="仿宋" w:hAnsi="仿宋" w:eastAsia="仿宋" w:cs="仿宋"/>
          <w:bCs/>
          <w:color w:val="000000" w:themeColor="text1"/>
          <w:sz w:val="24"/>
          <w:highlight w:val="none"/>
          <w:lang w:eastAsia="zh-CN"/>
          <w14:textFill>
            <w14:solidFill>
              <w14:schemeClr w14:val="tx1"/>
            </w14:solidFill>
          </w14:textFill>
        </w:rPr>
        <w:t>磋商</w:t>
      </w:r>
      <w:r>
        <w:rPr>
          <w:rFonts w:hint="eastAsia" w:ascii="仿宋" w:hAnsi="仿宋" w:eastAsia="仿宋" w:cs="仿宋"/>
          <w:bCs/>
          <w:color w:val="000000" w:themeColor="text1"/>
          <w:sz w:val="24"/>
          <w:highlight w:val="none"/>
          <w14:textFill>
            <w14:solidFill>
              <w14:schemeClr w14:val="tx1"/>
            </w14:solidFill>
          </w14:textFill>
        </w:rPr>
        <w:t>报价时必须对此类产品单独分项报价，并提供属于清单内产品的证明资料，否则评审时不给予计分。</w:t>
      </w:r>
    </w:p>
    <w:p w14:paraId="642764D4">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（3）产品同时属于“非强制采购节能产品”、环境标志产品的，评审时可同时享受优先待遇。</w:t>
      </w:r>
    </w:p>
    <w:p w14:paraId="569CE2D3">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（4）若节能、环境标志品目清单内的产品仅是构成投标产品的部件、组件或零件 </w:t>
      </w:r>
    </w:p>
    <w:p w14:paraId="272A5A51">
      <w:pPr>
        <w:autoSpaceDE w:val="0"/>
        <w:autoSpaceDN w:val="0"/>
        <w:adjustRightInd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的，则该投标产品不享受鼓励优惠政策。 </w:t>
      </w:r>
    </w:p>
    <w:p w14:paraId="474AF861">
      <w:pPr>
        <w:autoSpaceDE w:val="0"/>
        <w:autoSpaceDN w:val="0"/>
        <w:adjustRightInd w:val="0"/>
        <w:spacing w:line="56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（5）节能、环境标志产品部分计分只对属于品目清单内的非强制类产品进行计分， </w:t>
      </w:r>
    </w:p>
    <w:p w14:paraId="72AFC82D">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强制类产品不给予计分。 </w:t>
      </w:r>
    </w:p>
    <w:p w14:paraId="485E4FA2">
      <w:pPr>
        <w:spacing w:line="560" w:lineRule="exact"/>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w:t>
      </w:r>
      <w:bookmarkStart w:id="29" w:name="_Toc22138"/>
      <w:bookmarkStart w:id="30" w:name="_Toc14886425"/>
      <w:r>
        <w:rPr>
          <w:rFonts w:hint="eastAsia" w:ascii="仿宋" w:hAnsi="仿宋" w:eastAsia="仿宋" w:cs="仿宋"/>
          <w:b/>
          <w:bCs/>
          <w:color w:val="000000" w:themeColor="text1"/>
          <w:sz w:val="24"/>
          <w:highlight w:val="none"/>
          <w:lang w:val="zh-CN"/>
          <w14:textFill>
            <w14:solidFill>
              <w14:schemeClr w14:val="tx1"/>
            </w14:solidFill>
          </w14:textFill>
        </w:rPr>
        <w:t>信用担保</w:t>
      </w:r>
      <w:bookmarkEnd w:id="29"/>
      <w:bookmarkEnd w:id="30"/>
      <w:r>
        <w:rPr>
          <w:rFonts w:hint="eastAsia" w:ascii="仿宋" w:hAnsi="仿宋" w:eastAsia="仿宋" w:cs="仿宋"/>
          <w:b/>
          <w:bCs/>
          <w:color w:val="000000" w:themeColor="text1"/>
          <w:sz w:val="24"/>
          <w:highlight w:val="none"/>
          <w:lang w:val="zh-CN"/>
          <w14:textFill>
            <w14:solidFill>
              <w14:schemeClr w14:val="tx1"/>
            </w14:solidFill>
          </w14:textFill>
        </w:rPr>
        <w:t>及融资</w:t>
      </w:r>
    </w:p>
    <w:p w14:paraId="7D99C9B2">
      <w:pPr>
        <w:adjustRightInd w:val="0"/>
        <w:snapToGrid w:val="0"/>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61B2908C">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auto"/>
          <w:sz w:val="24"/>
          <w:szCs w:val="24"/>
          <w:highlight w:val="none"/>
          <w:lang w:val="zh-CN"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14:paraId="42F3D2B1">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3、定标</w:t>
      </w:r>
    </w:p>
    <w:p w14:paraId="4818027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3-1、定标程序</w:t>
      </w:r>
    </w:p>
    <w:p w14:paraId="379417A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14:paraId="46475167">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14:paraId="4F0E17B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14:paraId="0AAD12F1">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（4）采购代理机构接到采购人的《成交复函》后，在2个工作日内，将成交结果在</w:t>
      </w:r>
      <w:r>
        <w:rPr>
          <w:rFonts w:hint="eastAsia" w:ascii="仿宋" w:hAnsi="仿宋" w:eastAsia="仿宋" w:cs="仿宋"/>
          <w:color w:val="000000" w:themeColor="text1"/>
          <w:sz w:val="24"/>
          <w:highlight w:val="none"/>
          <w:lang w:val="en-US" w:eastAsia="zh-CN"/>
          <w14:textFill>
            <w14:solidFill>
              <w14:schemeClr w14:val="tx1"/>
            </w14:solidFill>
          </w14:textFill>
        </w:rPr>
        <w:t>陕西省</w:t>
      </w:r>
      <w:r>
        <w:rPr>
          <w:rFonts w:hint="eastAsia" w:ascii="仿宋" w:hAnsi="仿宋" w:eastAsia="仿宋" w:cs="仿宋"/>
          <w:color w:val="000000" w:themeColor="text1"/>
          <w:sz w:val="24"/>
          <w:highlight w:val="none"/>
          <w:lang w:eastAsia="zh-CN"/>
          <w14:textFill>
            <w14:solidFill>
              <w14:schemeClr w14:val="tx1"/>
            </w14:solidFill>
          </w14:textFill>
        </w:rPr>
        <w:t>政府采购</w:t>
      </w:r>
      <w:r>
        <w:rPr>
          <w:rFonts w:hint="eastAsia" w:ascii="仿宋" w:hAnsi="仿宋" w:eastAsia="仿宋" w:cs="仿宋"/>
          <w:color w:val="000000" w:themeColor="text1"/>
          <w:sz w:val="24"/>
          <w:highlight w:val="none"/>
          <w14:textFill>
            <w14:solidFill>
              <w14:schemeClr w14:val="tx1"/>
            </w14:solidFill>
          </w14:textFill>
        </w:rPr>
        <w:t>网上发布公告。公告发布1个工作日，其他供应商若有异议，按《政府采购法》第52条执行。</w:t>
      </w:r>
    </w:p>
    <w:p w14:paraId="5B1F42A5">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3-2、成交供应商确定后，采购人和采购代理机构对未成交原因不作任何解释，竞争性磋商响应文件不予退还（含纸质及电子版文件）。</w:t>
      </w:r>
    </w:p>
    <w:p w14:paraId="4B8764D5">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4、磋商无效的情形：</w:t>
      </w:r>
    </w:p>
    <w:p w14:paraId="6F2EDDCB">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4-1、未按照磋商文件的规定提交磋商保证金的；</w:t>
      </w:r>
    </w:p>
    <w:p w14:paraId="44EA0474">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、磋商响应文件未按磋商文件要求签署、盖章的；</w:t>
      </w:r>
    </w:p>
    <w:p w14:paraId="7674B1EA">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、不具备磋商文件中规定的资格要求的；</w:t>
      </w:r>
    </w:p>
    <w:p w14:paraId="593E26F0">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、报价超过磋商文件中规定的预算金额或者最高限价的；</w:t>
      </w:r>
    </w:p>
    <w:p w14:paraId="365A3BA4">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、磋商响应文件含有采购人不能接受的附加条件的；</w:t>
      </w:r>
    </w:p>
    <w:p w14:paraId="05C78540">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、提供虚假材料谋取成交的；</w:t>
      </w:r>
    </w:p>
    <w:p w14:paraId="2B951E20">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、采取不正当手段诋毁、排挤其他供应商的；</w:t>
      </w:r>
    </w:p>
    <w:p w14:paraId="0A1838C8">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、法律、法规和磋商文件规定的其他无效情形。</w:t>
      </w:r>
    </w:p>
    <w:p w14:paraId="1794F5B4">
      <w:pPr>
        <w:adjustRightInd w:val="0"/>
        <w:snapToGrid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5、成交通知书</w:t>
      </w:r>
    </w:p>
    <w:p w14:paraId="0753695F">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成交通知书将在成交公告发布的同时由采购代理机构向成交人发出，成交供应商应在接到采购代理机构通知之日起七日内领取成交通知书。未在规定时间内领取成交通知书的，磋商保证金不予退还。提供磋商担保的供应商将由专业担保机构先行偿付采购人损失。</w:t>
      </w:r>
    </w:p>
    <w:p w14:paraId="65C69238">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5-2、成交通知书发出后，采购人不得违法改变成交结果，成交人无正当理由不得弃成交。</w:t>
      </w:r>
    </w:p>
    <w:p w14:paraId="2CB50FF9">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1" w:name="_Toc28361"/>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、合同</w:t>
      </w:r>
      <w:bookmarkEnd w:id="31"/>
    </w:p>
    <w:p w14:paraId="1ADFA824">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三十（30）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14:paraId="21C27C73">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0A09EBD1">
      <w:pPr>
        <w:adjustRightInd w:val="0"/>
        <w:snapToGrid w:val="0"/>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14:paraId="2046C54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14:paraId="09C74D6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5、所签订的合同不得对磋商文件确定的事项和成交人磋商响应文件作实质性修改。</w:t>
      </w:r>
    </w:p>
    <w:p w14:paraId="583BA67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6、采购人需追加与合同标的相同的货物、工程或服务的，在不改变合同其他条款的前提下，可以与供应商协商签订补充合同，但所有补充合同的采购金额不得超过原合同采购金额的百分之十。</w:t>
      </w:r>
    </w:p>
    <w:p w14:paraId="7F8CAA12">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2" w:name="_Toc493074178"/>
      <w:bookmarkStart w:id="33" w:name="_Toc24945"/>
      <w:bookmarkStart w:id="34" w:name="_Toc494556650"/>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、合同的履约验收</w:t>
      </w:r>
      <w:bookmarkEnd w:id="32"/>
      <w:bookmarkEnd w:id="33"/>
      <w:bookmarkEnd w:id="34"/>
    </w:p>
    <w:p w14:paraId="2F9510DE">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14:paraId="562BEF7E">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5" w:name="_Toc19792"/>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、招标服务费</w:t>
      </w:r>
      <w:bookmarkEnd w:id="35"/>
    </w:p>
    <w:p w14:paraId="03A49B89">
      <w:pPr>
        <w:tabs>
          <w:tab w:val="left" w:pos="2700"/>
        </w:tabs>
        <w:spacing w:line="560" w:lineRule="exact"/>
        <w:ind w:firstLine="480" w:firstLineChars="200"/>
        <w:rPr>
          <w:rFonts w:hint="eastAsia" w:ascii="仿宋" w:hAnsi="仿宋" w:eastAsia="仿宋" w:cs="仿宋"/>
          <w:sz w:val="24"/>
          <w:highlight w:val="none"/>
        </w:rPr>
      </w:pPr>
      <w:bookmarkStart w:id="36" w:name="_Toc458848826"/>
      <w:bookmarkStart w:id="37" w:name="_Toc458848741"/>
      <w:bookmarkStart w:id="38" w:name="_Toc458848974"/>
      <w:r>
        <w:rPr>
          <w:rFonts w:hint="eastAsia" w:ascii="仿宋" w:hAnsi="仿宋" w:eastAsia="仿宋" w:cs="仿宋"/>
          <w:sz w:val="24"/>
          <w:highlight w:val="none"/>
        </w:rPr>
        <w:t>1、</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在领取中标通知书时，依据《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向华招广和项目管理有限公司交纳招标服务费。</w:t>
      </w:r>
    </w:p>
    <w:p w14:paraId="41403340">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2、招标服务费应采用转账形式交纳。</w:t>
      </w:r>
    </w:p>
    <w:p w14:paraId="10BFFF66">
      <w:pPr>
        <w:tabs>
          <w:tab w:val="left" w:pos="2700"/>
        </w:tabs>
        <w:spacing w:line="560" w:lineRule="exact"/>
        <w:ind w:firstLine="480" w:firstLineChars="200"/>
        <w:rPr>
          <w:rFonts w:hint="eastAsia"/>
          <w:highlight w:val="none"/>
        </w:rPr>
      </w:pPr>
      <w:r>
        <w:rPr>
          <w:rFonts w:hint="eastAsia" w:ascii="仿宋" w:hAnsi="仿宋" w:eastAsia="仿宋" w:cs="仿宋"/>
          <w:sz w:val="24"/>
          <w:highlight w:val="none"/>
        </w:rPr>
        <w:t>3、成交供应商如未按上述第1条规定办理，采购代理机构将没收其磋商保证金。提供</w:t>
      </w:r>
      <w:r>
        <w:rPr>
          <w:rFonts w:hint="eastAsia" w:ascii="仿宋" w:hAnsi="仿宋" w:eastAsia="仿宋" w:cs="仿宋"/>
          <w:sz w:val="24"/>
          <w:highlight w:val="none"/>
          <w:lang w:eastAsia="zh-CN"/>
        </w:rPr>
        <w:t>磋商</w:t>
      </w:r>
      <w:r>
        <w:rPr>
          <w:rFonts w:hint="eastAsia" w:ascii="仿宋" w:hAnsi="仿宋" w:eastAsia="仿宋" w:cs="仿宋"/>
          <w:sz w:val="24"/>
          <w:highlight w:val="none"/>
        </w:rPr>
        <w:t>担保的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将由专业担保机构先行偿付采购代理机构损失。</w:t>
      </w:r>
    </w:p>
    <w:p w14:paraId="1E80172B">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9" w:name="_Toc14425"/>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bookmarkEnd w:id="36"/>
      <w:bookmarkEnd w:id="37"/>
      <w:bookmarkEnd w:id="38"/>
      <w:r>
        <w:rPr>
          <w:rFonts w:hint="eastAsia" w:ascii="仿宋" w:hAnsi="仿宋" w:eastAsia="仿宋" w:cs="仿宋"/>
          <w:color w:val="000000" w:themeColor="text1"/>
          <w:sz w:val="28"/>
          <w:szCs w:val="28"/>
          <w:highlight w:val="none"/>
          <w14:textFill>
            <w14:solidFill>
              <w14:schemeClr w14:val="tx1"/>
            </w14:solidFill>
          </w14:textFill>
        </w:rPr>
        <w:t>重新组织采购活动</w:t>
      </w:r>
      <w:bookmarkEnd w:id="39"/>
    </w:p>
    <w:p w14:paraId="5271B313">
      <w:pPr>
        <w:spacing w:line="5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14:paraId="20B167EA">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（1）、因情况变化，不再符合规定的竞争性磋商采购方式适用情形的；</w:t>
      </w:r>
    </w:p>
    <w:p w14:paraId="65A4BA1F">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14:paraId="0C7E82EC">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（3）、磋商小组三分之二以上的专家认定所有磋商报价存在价格不实的现象；</w:t>
      </w:r>
    </w:p>
    <w:p w14:paraId="351D008A">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bookmarkStart w:id="40" w:name="_Toc458848742"/>
      <w:bookmarkStart w:id="41" w:name="_Toc458848975"/>
      <w:bookmarkStart w:id="42" w:name="_Toc458848827"/>
      <w:r>
        <w:rPr>
          <w:rFonts w:hint="eastAsia" w:ascii="仿宋" w:hAnsi="仿宋" w:eastAsia="仿宋" w:cs="仿宋"/>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2307DC86">
      <w:pPr>
        <w:pStyle w:val="3"/>
        <w:pageBreakBefore w:val="0"/>
        <w:wordWrap/>
        <w:topLinePunct w:val="0"/>
        <w:bidi w:val="0"/>
        <w:spacing w:before="0" w:after="0" w:line="560" w:lineRule="exact"/>
        <w:rPr>
          <w:rFonts w:hint="eastAsia" w:ascii="仿宋" w:hAnsi="仿宋" w:eastAsia="仿宋" w:cs="仿宋"/>
          <w:b/>
          <w:bCs/>
          <w:sz w:val="28"/>
          <w:szCs w:val="28"/>
          <w:highlight w:val="none"/>
          <w:lang w:val="en-US" w:eastAsia="zh-CN"/>
        </w:rPr>
      </w:pPr>
      <w:bookmarkStart w:id="43" w:name="_Toc4301"/>
      <w:bookmarkStart w:id="44" w:name="_Toc15549"/>
      <w:r>
        <w:rPr>
          <w:rFonts w:hint="eastAsia" w:ascii="仿宋" w:hAnsi="仿宋" w:eastAsia="仿宋" w:cs="仿宋"/>
          <w:b/>
          <w:bCs/>
          <w:sz w:val="28"/>
          <w:szCs w:val="28"/>
          <w:highlight w:val="none"/>
          <w:lang w:val="en-US" w:eastAsia="zh-CN"/>
        </w:rPr>
        <w:t>十二、特殊情形的处理</w:t>
      </w:r>
      <w:bookmarkEnd w:id="43"/>
    </w:p>
    <w:p w14:paraId="2D9EA2F5">
      <w:pPr>
        <w:pageBreakBefore w:val="0"/>
        <w:wordWrap/>
        <w:topLinePunct w:val="0"/>
        <w:bidi w:val="0"/>
        <w:spacing w:line="560" w:lineRule="exac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根据陕西省财政厅关于政府采购信息公告有关事项的通知（陕财办采资〔2018〕26号），参加采购活动或符合采购需求的供应商只有一家，经评审专家审核认为采购文件没有倾向性、歧视性条款，采购人不改变采购需求，拟采用单一来源方式采购的，可以现场自行决定采用，不再进行公示。</w:t>
      </w:r>
    </w:p>
    <w:p w14:paraId="08254DE2">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w:t>
      </w:r>
      <w:bookmarkEnd w:id="40"/>
      <w:bookmarkEnd w:id="41"/>
      <w:bookmarkEnd w:id="42"/>
      <w:r>
        <w:rPr>
          <w:rFonts w:hint="eastAsia" w:ascii="仿宋" w:hAnsi="仿宋" w:eastAsia="仿宋" w:cs="仿宋"/>
          <w:color w:val="000000" w:themeColor="text1"/>
          <w:sz w:val="28"/>
          <w:szCs w:val="28"/>
          <w:highlight w:val="none"/>
          <w14:textFill>
            <w14:solidFill>
              <w14:schemeClr w14:val="tx1"/>
            </w14:solidFill>
          </w14:textFill>
        </w:rPr>
        <w:t>询问、质疑与投诉</w:t>
      </w:r>
      <w:bookmarkEnd w:id="44"/>
    </w:p>
    <w:p w14:paraId="1409FB2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5" w:name="_Toc458848743"/>
      <w:bookmarkStart w:id="46" w:name="_Toc458848828"/>
      <w:bookmarkStart w:id="47" w:name="_Toc458848976"/>
      <w:r>
        <w:rPr>
          <w:rFonts w:hint="eastAsia" w:ascii="仿宋" w:hAnsi="仿宋" w:eastAsia="仿宋" w:cs="仿宋"/>
          <w:color w:val="000000" w:themeColor="text1"/>
          <w:sz w:val="24"/>
          <w:highlight w:val="none"/>
          <w14:textFill>
            <w14:solidFill>
              <w14:schemeClr w14:val="tx1"/>
            </w14:solidFill>
          </w14:textFill>
        </w:rPr>
        <w:t>1、询问</w:t>
      </w:r>
    </w:p>
    <w:p w14:paraId="261AFC3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供应商对政府采购活动事项有疑问的，可以向采购人、采购代理机构提出询问。</w:t>
      </w:r>
    </w:p>
    <w:p w14:paraId="3F2031B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w:t>
      </w:r>
    </w:p>
    <w:p w14:paraId="14C0A31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2-1、供应商认为磋商文件、磋商过程和成交结果使自己的权益受到损害的，可以采购人、采购代理机构提出质疑，具体时限为：</w:t>
      </w:r>
    </w:p>
    <w:p w14:paraId="2291ABDA">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（一）对可以质疑的采购文件提出质疑的，为收到采购文件之日起七个工作日内；</w:t>
      </w:r>
    </w:p>
    <w:p w14:paraId="222F88B2">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（二）对采购过程提出质疑的，为各采购程序环节结束之日起七个工作日内；</w:t>
      </w:r>
    </w:p>
    <w:p w14:paraId="6267F5E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（三）对成交结果提出质疑的，为成交结果公告期限届满之日起七个工作日内。</w:t>
      </w:r>
    </w:p>
    <w:p w14:paraId="3F08D0AE">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2-2、供应商须在法定质疑期内一次性提出针对同一采购程序环节的质疑。</w:t>
      </w:r>
    </w:p>
    <w:p w14:paraId="769842F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14:paraId="17F8833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C6B16E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23E37BA2">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2-6、供应商应在法定期限内以书面形式提出质疑，联系人： </w:t>
      </w:r>
      <w:r>
        <w:rPr>
          <w:rFonts w:hint="eastAsia" w:ascii="仿宋" w:hAnsi="仿宋" w:eastAsia="仿宋" w:cs="仿宋"/>
          <w:color w:val="000000" w:themeColor="text1"/>
          <w:sz w:val="24"/>
          <w:highlight w:val="none"/>
          <w:lang w:eastAsia="zh-CN"/>
          <w14:textFill>
            <w14:solidFill>
              <w14:schemeClr w14:val="tx1"/>
            </w14:solidFill>
          </w14:textFill>
        </w:rPr>
        <w:t>秦工</w:t>
      </w:r>
      <w:r>
        <w:rPr>
          <w:rFonts w:hint="eastAsia" w:ascii="仿宋" w:hAnsi="仿宋" w:eastAsia="仿宋" w:cs="仿宋"/>
          <w:color w:val="000000" w:themeColor="text1"/>
          <w:sz w:val="24"/>
          <w:highlight w:val="none"/>
          <w14:textFill>
            <w14:solidFill>
              <w14:schemeClr w14:val="tx1"/>
            </w14:solidFill>
          </w14:textFill>
        </w:rPr>
        <w:t>，联系方式：029-87592321，地址：华招广和项目管理有限公司（西安市朱雀大街南段1号汇成天玺C座18层1812室）。</w:t>
      </w:r>
    </w:p>
    <w:p w14:paraId="60D69CF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w:t>
      </w:r>
    </w:p>
    <w:p w14:paraId="4BEF4E3E">
      <w:pPr>
        <w:pStyle w:val="41"/>
        <w:spacing w:line="560" w:lineRule="exact"/>
        <w:ind w:firstLine="480"/>
        <w:rPr>
          <w:rFonts w:hint="eastAsia" w:ascii="仿宋" w:hAnsi="仿宋" w:eastAsia="仿宋" w:cs="仿宋"/>
          <w:color w:val="000000" w:themeColor="text1"/>
          <w:kern w:val="2"/>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仿宋" w:hAnsi="仿宋" w:eastAsia="仿宋" w:cs="仿宋"/>
          <w:color w:val="000000" w:themeColor="text1"/>
          <w:kern w:val="2"/>
          <w:sz w:val="24"/>
          <w:szCs w:val="20"/>
          <w:highlight w:val="none"/>
          <w14:textFill>
            <w14:solidFill>
              <w14:schemeClr w14:val="tx1"/>
            </w14:solidFill>
          </w14:textFill>
        </w:rPr>
        <w:t>和《政府采购质疑和投诉办法》（财政部令第94号）第17条等有关规定执行。</w:t>
      </w:r>
    </w:p>
    <w:p w14:paraId="11E122B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富平县财政局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提起投诉。</w:t>
      </w:r>
    </w:p>
    <w:p w14:paraId="2984F6E8">
      <w:pPr>
        <w:pStyle w:val="3"/>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8" w:name="_Toc19464"/>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、拒绝商业贿赂</w:t>
      </w:r>
      <w:bookmarkEnd w:id="45"/>
      <w:bookmarkEnd w:id="46"/>
      <w:bookmarkEnd w:id="47"/>
      <w:bookmarkEnd w:id="48"/>
    </w:p>
    <w:p w14:paraId="34AFD11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14:paraId="659CC6E9">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14:paraId="1A8E15C5">
      <w:pPr>
        <w:pStyle w:val="2"/>
        <w:spacing w:before="0" w:after="0" w:line="360" w:lineRule="auto"/>
        <w:jc w:val="center"/>
        <w:rPr>
          <w:rFonts w:hint="eastAsia"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49" w:name="_Toc20324"/>
      <w:r>
        <w:rPr>
          <w:rFonts w:hint="eastAsia" w:ascii="仿宋" w:hAnsi="仿宋" w:eastAsia="仿宋" w:cs="仿宋"/>
          <w:color w:val="000000" w:themeColor="text1"/>
          <w:kern w:val="0"/>
          <w:highlight w:val="none"/>
          <w14:textFill>
            <w14:solidFill>
              <w14:schemeClr w14:val="tx1"/>
            </w14:solidFill>
          </w14:textFill>
        </w:rPr>
        <w:t>第三章  服务内容及要求</w:t>
      </w:r>
      <w:bookmarkEnd w:id="49"/>
    </w:p>
    <w:p w14:paraId="5B84DECA">
      <w:pPr>
        <w:pStyle w:val="22"/>
        <w:numPr>
          <w:ilvl w:val="0"/>
          <w:numId w:val="0"/>
        </w:numP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一、项目概况</w:t>
      </w:r>
    </w:p>
    <w:p w14:paraId="12628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本项目绿化养护面积约为27500平方米，养护内容主要包括苗木、绿篱、草坪等绿化的补植、施肥、浇水、修剪、除草、打药等。</w:t>
      </w:r>
    </w:p>
    <w:p w14:paraId="3BED228B">
      <w:pPr>
        <w:spacing w:line="360" w:lineRule="auto"/>
        <w:rPr>
          <w:rFonts w:hint="eastAsia" w:ascii="仿宋" w:hAnsi="仿宋" w:eastAsia="仿宋" w:cs="仿宋"/>
          <w:b/>
          <w:bCs/>
          <w:kern w:val="2"/>
          <w:sz w:val="24"/>
          <w:szCs w:val="24"/>
          <w:highlight w:val="none"/>
          <w:lang w:val="en-US" w:eastAsia="zh-CN" w:bidi="ar-SA"/>
        </w:rPr>
      </w:pPr>
      <w:bookmarkStart w:id="50" w:name="_Toc29563"/>
      <w:bookmarkStart w:id="51" w:name="_Toc21581"/>
      <w:r>
        <w:rPr>
          <w:rFonts w:hint="eastAsia" w:ascii="仿宋" w:hAnsi="仿宋" w:eastAsia="仿宋" w:cs="仿宋"/>
          <w:b/>
          <w:bCs/>
          <w:kern w:val="2"/>
          <w:sz w:val="24"/>
          <w:szCs w:val="24"/>
          <w:highlight w:val="none"/>
          <w:lang w:val="en-US" w:eastAsia="zh-CN" w:bidi="ar-SA"/>
        </w:rPr>
        <w:t>二、技术要求养护管理标准</w:t>
      </w:r>
      <w:bookmarkEnd w:id="50"/>
    </w:p>
    <w:p w14:paraId="3596487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绿化养护技术措施完善，管理到位，达到黄土不裸露。</w:t>
      </w:r>
    </w:p>
    <w:p w14:paraId="38676DD3">
      <w:pPr>
        <w:spacing w:line="360" w:lineRule="auto"/>
        <w:rPr>
          <w:rFonts w:hint="eastAsia" w:ascii="仿宋" w:hAnsi="仿宋" w:eastAsia="仿宋" w:cs="仿宋"/>
          <w:kern w:val="2"/>
          <w:sz w:val="24"/>
          <w:szCs w:val="24"/>
          <w:highlight w:val="none"/>
          <w:lang w:val="en-US" w:eastAsia="zh-CN" w:bidi="ar-SA"/>
        </w:rPr>
      </w:pPr>
      <w:bookmarkStart w:id="52" w:name="_Toc4098"/>
      <w:r>
        <w:rPr>
          <w:rFonts w:hint="eastAsia" w:ascii="仿宋" w:hAnsi="仿宋" w:eastAsia="仿宋" w:cs="仿宋"/>
          <w:kern w:val="2"/>
          <w:sz w:val="24"/>
          <w:szCs w:val="24"/>
          <w:highlight w:val="none"/>
          <w:lang w:val="en-US" w:eastAsia="zh-CN" w:bidi="ar-SA"/>
        </w:rPr>
        <w:t>1、乔木</w:t>
      </w:r>
      <w:bookmarkEnd w:id="52"/>
      <w:r>
        <w:rPr>
          <w:rFonts w:hint="eastAsia" w:ascii="仿宋" w:hAnsi="仿宋" w:eastAsia="仿宋" w:cs="仿宋"/>
          <w:kern w:val="2"/>
          <w:sz w:val="24"/>
          <w:szCs w:val="24"/>
          <w:highlight w:val="none"/>
          <w:lang w:val="en-US" w:eastAsia="zh-CN" w:bidi="ar-SA"/>
        </w:rPr>
        <w:t xml:space="preserve"> </w:t>
      </w:r>
    </w:p>
    <w:p w14:paraId="211A85E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（1）生长健壮，树冠丰满，主侧枝分布均匀、数量适宜，整型树木造型美观。</w:t>
      </w:r>
    </w:p>
    <w:p w14:paraId="477B7FA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（2）落叶树树叶大而肥厚，针叶树针叶健壮，一般条件下无黄叶、焦叶、卷叶；叶上无虫粪、虫网；病斑及被啃食叶片每株低于5%。生长季节无枯黄叶株，落叶在10%以下。</w:t>
      </w:r>
    </w:p>
    <w:p w14:paraId="6E8CC2D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（3）枝干健壮，无明显枯枝死杈；枝条粗壮，无蛀干害虫的活卵、活虫；无明显的人为损坏。</w:t>
      </w:r>
    </w:p>
    <w:p w14:paraId="4AF7C27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（4）修剪合理，树形完整美观。</w:t>
      </w:r>
    </w:p>
    <w:p w14:paraId="64CEF0D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（5）根据季节和生长情况适时灌溉排水，保持适当水分。</w:t>
      </w:r>
    </w:p>
    <w:p w14:paraId="3F9B2DA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（6）树木保存率99%以上，及时补栽成活率95%以上。</w:t>
      </w:r>
    </w:p>
    <w:p w14:paraId="7FD3381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（7）行道树无缺株；新补植树同原有树种、规格、定干高度一致，有支撑措施；行道树及林荫广场树池保持覆盖植物生长良好和硬质覆盖材料完整。</w:t>
      </w:r>
    </w:p>
    <w:p w14:paraId="511128BB">
      <w:pPr>
        <w:spacing w:line="360" w:lineRule="auto"/>
        <w:rPr>
          <w:rFonts w:hint="eastAsia" w:ascii="仿宋" w:hAnsi="仿宋" w:eastAsia="仿宋" w:cs="仿宋"/>
          <w:kern w:val="2"/>
          <w:sz w:val="24"/>
          <w:szCs w:val="24"/>
          <w:highlight w:val="none"/>
          <w:lang w:val="en-US" w:eastAsia="zh-CN" w:bidi="ar-SA"/>
        </w:rPr>
      </w:pPr>
      <w:bookmarkStart w:id="53" w:name="_Toc26566"/>
      <w:r>
        <w:rPr>
          <w:rFonts w:hint="eastAsia" w:ascii="仿宋" w:hAnsi="仿宋" w:eastAsia="仿宋" w:cs="仿宋"/>
          <w:kern w:val="2"/>
          <w:sz w:val="24"/>
          <w:szCs w:val="24"/>
          <w:highlight w:val="none"/>
          <w:lang w:val="en-US" w:eastAsia="zh-CN" w:bidi="ar-SA"/>
        </w:rPr>
        <w:t>2、灌木和花卉</w:t>
      </w:r>
      <w:bookmarkEnd w:id="53"/>
    </w:p>
    <w:p w14:paraId="0968A713">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（1）灌木长势良好，枝多叶茂，下部不光秃，无枯枝残叶，植株整齐一致。</w:t>
      </w:r>
    </w:p>
    <w:p w14:paraId="12B710D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花卉适时开花，花多色艳。花坛轮廓清晰，无残缺，灌木丛中无垃圾、无病枝枯枝和落叶堆积。</w:t>
      </w:r>
    </w:p>
    <w:p w14:paraId="7B9AA2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灌木和花卉的修剪做到既造型美观又能适时开花；花灌木和草本花卉在花芽分化前进行修剪，避免把花芽剪掉；花谢后及时将残花残枝剪去，常年开花植物要有目的地培养花枝，延长花期。灌木和花坛整形效果要与周围环境协调，增强园林美化效果。</w:t>
      </w:r>
    </w:p>
    <w:p w14:paraId="5CF19E0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（3）灌溉</w:t>
      </w:r>
    </w:p>
    <w:p w14:paraId="556B9EC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要根据植物的生长及开花特性进行合理灌溉。在雨水缺少的季节，适时灌溉。</w:t>
      </w:r>
    </w:p>
    <w:p w14:paraId="302D362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（4）施肥</w:t>
      </w:r>
    </w:p>
    <w:p w14:paraId="620A363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般在每年春、秋季结合除草松土重点施肥2--3次。花灌木要适当控水，促进花芽分化，花芽分化后要适当追施磷、钾肥，使花多色艳花期长。肥料不能裸露，可采用埋施或水施等不同方法。埋施可先挖穴或开沟，施肥后要回填土、踏实、淋足水，不能裸露。</w:t>
      </w:r>
    </w:p>
    <w:p w14:paraId="746B1F44">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（5）除杂草、松土</w:t>
      </w:r>
    </w:p>
    <w:p w14:paraId="7D166153">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要经常除杂草和松土。灌木丛周边松土深度不小于20厘米，并低于周围表土5厘米。除杂松土时要保护根系，不能伤根及造成根系裸露，更不能造成黄土裸露。</w:t>
      </w:r>
    </w:p>
    <w:p w14:paraId="0B0A522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（6）补植、更换</w:t>
      </w:r>
    </w:p>
    <w:p w14:paraId="480FA72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出现死苗，要在清理当天及时补植，补植回原来的种类并力求规格与原来植株接近，以保证优良的景观效果。补植按照种植规范进行，施足基肥并加强浇水等保养措施，保证成活率达98％以上。对已呈老化或明显与周围环境不协调的灌木和花卉应及时进行更换，更换品种要事先征得绿化主管部门的批准。</w:t>
      </w:r>
    </w:p>
    <w:p w14:paraId="0740A2F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（7）病虫害防治</w:t>
      </w:r>
    </w:p>
    <w:p w14:paraId="1EFE192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精心养护，增强植物抗病虫害能力。要及时做好病虫害的防治工作，以防为主，早发现早处理。采取综合防治、化学防治、物理人工防治和生物防治等方法防止病虫害蔓延和影响植物生长。尽量采用生物防治的办法，以减少对环境的污染。用化学方法防治时，喷药一般要在晚上进行；药物、用量及对环境的影响，要符合环保的要求和标准。病虫害率控制在5％以下。</w:t>
      </w:r>
    </w:p>
    <w:p w14:paraId="3BE9CEA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 绿篱、色块</w:t>
      </w:r>
    </w:p>
    <w:p w14:paraId="75949D8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生长健壮，枝叶繁茂；修剪及时，整齐一致，轮廓清晰，线条流畅，层次分明，无死株断垄现象。</w:t>
      </w:r>
    </w:p>
    <w:p w14:paraId="42ED406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（9）露地花卉</w:t>
      </w:r>
    </w:p>
    <w:p w14:paraId="22A7C38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生长健壮，整齐一致，无病虫害，无残花败叶。适时开花，适时更换，保证景观效果。</w:t>
      </w:r>
    </w:p>
    <w:p w14:paraId="44EF4E8B">
      <w:pPr>
        <w:spacing w:line="360" w:lineRule="auto"/>
        <w:rPr>
          <w:rFonts w:hint="eastAsia" w:ascii="仿宋" w:hAnsi="仿宋" w:eastAsia="仿宋" w:cs="仿宋"/>
          <w:kern w:val="2"/>
          <w:sz w:val="24"/>
          <w:szCs w:val="24"/>
          <w:highlight w:val="none"/>
          <w:lang w:val="en-US" w:eastAsia="zh-CN" w:bidi="ar-SA"/>
        </w:rPr>
      </w:pPr>
      <w:bookmarkStart w:id="54" w:name="_Toc25125"/>
      <w:r>
        <w:rPr>
          <w:rFonts w:hint="eastAsia" w:ascii="仿宋" w:hAnsi="仿宋" w:eastAsia="仿宋" w:cs="仿宋"/>
          <w:kern w:val="2"/>
          <w:sz w:val="24"/>
          <w:szCs w:val="24"/>
          <w:highlight w:val="none"/>
          <w:lang w:val="en-US" w:eastAsia="zh-CN" w:bidi="ar-SA"/>
        </w:rPr>
        <w:t>3、草坪与地被植物</w:t>
      </w:r>
      <w:bookmarkEnd w:id="54"/>
    </w:p>
    <w:p w14:paraId="61B6A4A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（1）长势旺盛，叶片健壮，叶色浓绿，无枯黄叶。修剪及时，高度适宜。无病虫害。覆盖率不低于99%，无明显杂草。草坪绿色期：冷季型草不少于320天，暖季型草不少于260天。坪地平整，无坑洼积水。</w:t>
      </w:r>
    </w:p>
    <w:p w14:paraId="2BF3E5D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(2)修剪</w:t>
      </w:r>
    </w:p>
    <w:p w14:paraId="30DE06B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观花地被植物，须在开花后适当压低，或者结合种子采收，适当修剪。草坪要考虑季节特点和草种的生长发育特性，使草的高度一致，边缘整齐，枯黄叶片要及时清理。草地与路(花)基、色块的分界宽度不超过8厘米；分车绿化带的草坪植物不得超出路基外缘。</w:t>
      </w:r>
    </w:p>
    <w:p w14:paraId="08C331A4">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 灌溉</w:t>
      </w:r>
    </w:p>
    <w:p w14:paraId="0141F03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要根据草坪植物的生长需要加强淋水和施肥，保证水肥充足，施用肥料的方法和用量要科学，防止过量或不均匀引起肥伤。在雨水缺少的季节，适时灌溉。</w:t>
      </w:r>
    </w:p>
    <w:p w14:paraId="07B9674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（4）施肥</w:t>
      </w:r>
    </w:p>
    <w:p w14:paraId="43A1FAD2">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特别在10--2月份要勤淋水多施肥，适当进行根外追肥，使草坪保持优良的长势度过干旱冬季。</w:t>
      </w:r>
    </w:p>
    <w:p w14:paraId="10A74670">
      <w:pPr>
        <w:spacing w:line="360" w:lineRule="auto"/>
        <w:ind w:firstLine="120" w:firstLineChars="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 除草、松土</w:t>
      </w:r>
    </w:p>
    <w:p w14:paraId="1F4F5E52">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要及时清除杂草，方法合理彻底。草坪纯度标准为每平方米不超过10株非目的草种。由于植物生长、受践踏、土壤板结等需要松土的，要采用打孔疏松、覆沙等措施，利于草坪生长。</w:t>
      </w:r>
    </w:p>
    <w:p w14:paraId="4A5672A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（6）补植</w:t>
      </w:r>
    </w:p>
    <w:p w14:paraId="769CFA7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对被破坏或其它原因引起死亡的草坪植物应及时补植，使草坪保持完整，无裸露地。补植要补与原草坪相同的草种，适当密植，补植后加强保养，保证一个月内覆盖率达98％以上。</w:t>
      </w:r>
    </w:p>
    <w:p w14:paraId="1C02249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(7)病虫害防治</w:t>
      </w:r>
    </w:p>
    <w:p w14:paraId="4875EC0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要及时做好病虫害的防治工作，以防为主，早发现早处理，精心养护，增强植物抗病虫害能力。采取综合防治、化学防治、物理人工防治和生物防治等方法防止病虫害蔓延和影响植物生长。尽量采用生物防治的办法，以减少对环境的污染。用化学方法防治时，一般在晚上进行喷药；药物、用量及对环境的影响，要符合环保的要求和标准。病虫害率控制在5％以下。</w:t>
      </w:r>
    </w:p>
    <w:p w14:paraId="6D9D1A1A">
      <w:pPr>
        <w:spacing w:line="360" w:lineRule="auto"/>
        <w:rPr>
          <w:rFonts w:hint="eastAsia" w:ascii="仿宋" w:hAnsi="仿宋" w:eastAsia="仿宋" w:cs="仿宋"/>
          <w:kern w:val="2"/>
          <w:sz w:val="24"/>
          <w:szCs w:val="24"/>
          <w:highlight w:val="none"/>
          <w:lang w:val="en-US" w:eastAsia="zh-CN" w:bidi="ar-SA"/>
        </w:rPr>
      </w:pPr>
      <w:bookmarkStart w:id="55" w:name="_Toc4339"/>
      <w:r>
        <w:rPr>
          <w:rFonts w:hint="eastAsia" w:ascii="仿宋" w:hAnsi="仿宋" w:eastAsia="仿宋" w:cs="仿宋"/>
          <w:kern w:val="2"/>
          <w:sz w:val="24"/>
          <w:szCs w:val="24"/>
          <w:highlight w:val="none"/>
          <w:lang w:val="en-US" w:eastAsia="zh-CN" w:bidi="ar-SA"/>
        </w:rPr>
        <w:t>4、水生植物</w:t>
      </w:r>
      <w:bookmarkEnd w:id="55"/>
    </w:p>
    <w:p w14:paraId="69C6185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（1）在水生植物群落营造前期和幼苗期，应加强人工维护，去除该群落中生长的其他品种的水生植物和杂草。</w:t>
      </w:r>
    </w:p>
    <w:p w14:paraId="35A536F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（2）水面上水生植物的覆盖度应小于水面积的30％，漂浮植物或浮水植物应进行围合，固定其位置和范围。因繁殖而密度过大时，应剔除部分老植株。</w:t>
      </w:r>
    </w:p>
    <w:p w14:paraId="64254563">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（3）水生植物应随着立叶或浮叶的生长调节水位。为避免蚊虫孳生或水质恶化，当用水发生混浊时，即必须换水，夏季则须增加换水次数。</w:t>
      </w:r>
    </w:p>
    <w:p w14:paraId="6650184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（4）观花的沿岸或挺水植物，每年至少应施肥1次。施肥应以腐熟的有机肥为主，应用可分解的纸做袋装肥或用泥做成团施入泥中。 </w:t>
      </w:r>
    </w:p>
    <w:p w14:paraId="6BF2058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（5）重视病虫害防治，以防为主，早发现早处理。</w:t>
      </w:r>
    </w:p>
    <w:p w14:paraId="366013AA">
      <w:pPr>
        <w:spacing w:line="360" w:lineRule="auto"/>
        <w:rPr>
          <w:rFonts w:hint="eastAsia" w:ascii="仿宋" w:hAnsi="仿宋" w:eastAsia="仿宋" w:cs="仿宋"/>
          <w:kern w:val="2"/>
          <w:sz w:val="24"/>
          <w:szCs w:val="24"/>
          <w:highlight w:val="none"/>
          <w:lang w:val="en-US" w:eastAsia="zh-CN" w:bidi="ar-SA"/>
        </w:rPr>
      </w:pPr>
      <w:bookmarkStart w:id="56" w:name="_Toc503"/>
      <w:r>
        <w:rPr>
          <w:rFonts w:hint="eastAsia" w:ascii="仿宋" w:hAnsi="仿宋" w:eastAsia="仿宋" w:cs="仿宋"/>
          <w:kern w:val="2"/>
          <w:sz w:val="24"/>
          <w:szCs w:val="24"/>
          <w:highlight w:val="none"/>
          <w:lang w:val="en-US" w:eastAsia="zh-CN" w:bidi="ar-SA"/>
        </w:rPr>
        <w:t>5、 藤本和攀缘植物</w:t>
      </w:r>
      <w:bookmarkEnd w:id="56"/>
      <w:r>
        <w:rPr>
          <w:rFonts w:hint="eastAsia" w:ascii="仿宋" w:hAnsi="仿宋" w:eastAsia="仿宋" w:cs="仿宋"/>
          <w:kern w:val="2"/>
          <w:sz w:val="24"/>
          <w:szCs w:val="24"/>
          <w:highlight w:val="none"/>
          <w:lang w:val="en-US" w:eastAsia="zh-CN" w:bidi="ar-SA"/>
        </w:rPr>
        <w:t xml:space="preserve">  </w:t>
      </w:r>
    </w:p>
    <w:p w14:paraId="3588B70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（1）生长健壮；适时采取相应的牵引、设置网架等技术措施；视攀缘植物生长习性，覆盖率不低于90%；观花的攀缘植物适时开花，花繁色艳。</w:t>
      </w:r>
    </w:p>
    <w:p w14:paraId="79F4C6F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（2）藤本植物的修剪应以促进分枝为主，并剪除徒长枝和下垂枝。多年生的藤本植物应定期翻蔓，清除枯枝，疏删老弱藤蔓。 每年常规修剪1次，每隔2～3年应理藤1次，理顺分布方向，使叶蔓分布均匀、厚度相等，并应依不同类型及生长状况及时牵引。 </w:t>
      </w:r>
    </w:p>
    <w:p w14:paraId="638BB95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（3）雨季应做好排水，秋季停止施肥、灌水，冬季及时清除藤蔓、棚架上的积雪。</w:t>
      </w:r>
    </w:p>
    <w:p w14:paraId="518B5132">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（4）在墙体、桥体等处的植株，应加强水肥管理和固定措施，确保美化效果。</w:t>
      </w:r>
    </w:p>
    <w:p w14:paraId="73854576">
      <w:pPr>
        <w:spacing w:line="360" w:lineRule="auto"/>
        <w:rPr>
          <w:rFonts w:hint="eastAsia" w:ascii="仿宋" w:hAnsi="仿宋" w:eastAsia="仿宋" w:cs="仿宋"/>
          <w:kern w:val="2"/>
          <w:sz w:val="24"/>
          <w:szCs w:val="24"/>
          <w:highlight w:val="none"/>
          <w:lang w:val="en-US" w:eastAsia="zh-CN" w:bidi="ar-SA"/>
        </w:rPr>
      </w:pPr>
      <w:bookmarkStart w:id="57" w:name="_Toc28951"/>
      <w:r>
        <w:rPr>
          <w:rFonts w:hint="eastAsia" w:ascii="仿宋" w:hAnsi="仿宋" w:eastAsia="仿宋" w:cs="仿宋"/>
          <w:kern w:val="2"/>
          <w:sz w:val="24"/>
          <w:szCs w:val="24"/>
          <w:highlight w:val="none"/>
          <w:lang w:val="en-US" w:eastAsia="zh-CN" w:bidi="ar-SA"/>
        </w:rPr>
        <w:t>6、 竹类</w:t>
      </w:r>
      <w:bookmarkEnd w:id="57"/>
      <w:r>
        <w:rPr>
          <w:rFonts w:hint="eastAsia" w:ascii="仿宋" w:hAnsi="仿宋" w:eastAsia="仿宋" w:cs="仿宋"/>
          <w:kern w:val="2"/>
          <w:sz w:val="24"/>
          <w:szCs w:val="24"/>
          <w:highlight w:val="none"/>
          <w:lang w:val="en-US" w:eastAsia="zh-CN" w:bidi="ar-SA"/>
        </w:rPr>
        <w:t xml:space="preserve">  </w:t>
      </w:r>
    </w:p>
    <w:p w14:paraId="222D557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（1）生长健壮，枝叶繁茂，竹干疏密有间，无病虫害。</w:t>
      </w:r>
    </w:p>
    <w:p w14:paraId="2283954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（2）灌溉、施肥</w:t>
      </w:r>
    </w:p>
    <w:p w14:paraId="7528F93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竹类浇水要抓住关键季节，春季出笋前要浇足催笋水，5、6月要浇拔节水，夏季雨水充沛可不浇或少浇，秋季浇孕笋水，冬季过于干旱的可适当喷水。</w:t>
      </w:r>
    </w:p>
    <w:p w14:paraId="7CA32D3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施肥以有机肥为主，时间以11－12月为宜。</w:t>
      </w:r>
    </w:p>
    <w:p w14:paraId="3222F84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（3）培土</w:t>
      </w:r>
    </w:p>
    <w:p w14:paraId="5B32DA5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竹林要每年培土，厚度以5厘米为宜，时间利用冬季。</w:t>
      </w:r>
    </w:p>
    <w:p w14:paraId="082CB94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（4）病虫害防治    </w:t>
      </w:r>
    </w:p>
    <w:p w14:paraId="064D15C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要及时做好病虫害的防治工作，加强抚育管理，合理砍伐，使林内通风透光，及早砍除病竹烧毁。</w:t>
      </w:r>
    </w:p>
    <w:p w14:paraId="7BF4085B">
      <w:pPr>
        <w:numPr>
          <w:ilvl w:val="0"/>
          <w:numId w:val="0"/>
        </w:numPr>
        <w:adjustRightInd w:val="0"/>
        <w:snapToGrid w:val="0"/>
        <w:spacing w:line="56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三、主要工作职责</w:t>
      </w:r>
    </w:p>
    <w:p w14:paraId="2356A06D">
      <w:pPr>
        <w:numPr>
          <w:ilvl w:val="0"/>
          <w:numId w:val="3"/>
        </w:numPr>
        <w:adjustRightInd w:val="0"/>
        <w:snapToGrid w:val="0"/>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负责对养护工人进行安全教育，岗前培训，提供安全作业的一切措施。</w:t>
      </w:r>
    </w:p>
    <w:p w14:paraId="01CCBFC3">
      <w:pPr>
        <w:numPr>
          <w:ilvl w:val="0"/>
          <w:numId w:val="3"/>
        </w:numPr>
        <w:adjustRightInd w:val="0"/>
        <w:snapToGrid w:val="0"/>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根据季节、气候、土壤、植物的生长习性和生长阶段及养护场地的具体情况合理安排、开展养护工作，及时做好养护区域的局部调整，保证绿化观赏的整体性。</w:t>
      </w:r>
    </w:p>
    <w:p w14:paraId="11C84E19">
      <w:pPr>
        <w:numPr>
          <w:ilvl w:val="0"/>
          <w:numId w:val="3"/>
        </w:numPr>
        <w:adjustRightInd w:val="0"/>
        <w:snapToGrid w:val="0"/>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接受甲方的管理、监督、检查和考核，对甲方发出的整改通知，应及时按甲方要求进行整改。</w:t>
      </w:r>
    </w:p>
    <w:p w14:paraId="525E9CAB">
      <w:pPr>
        <w:numPr>
          <w:ilvl w:val="0"/>
          <w:numId w:val="3"/>
        </w:numPr>
        <w:adjustRightInd w:val="0"/>
        <w:snapToGrid w:val="0"/>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负责养护工作人员的劳动保护和人身安全。除双方另有约定外，养护工作人员的餐饮、住宿由乙方自行承担。</w:t>
      </w:r>
    </w:p>
    <w:p w14:paraId="76878B5E">
      <w:pPr>
        <w:numPr>
          <w:ilvl w:val="0"/>
          <w:numId w:val="3"/>
        </w:numPr>
        <w:adjustRightInd w:val="0"/>
        <w:snapToGrid w:val="0"/>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乙方进行日常养护时，应在满足养护要求的同时做到节约用水、用电。乙方绿化养护用水高峰期，若甲方供水存在缺口，乙方有义务对缺口用水予以补充，缺口用水不另计费用。</w:t>
      </w:r>
    </w:p>
    <w:bookmarkEnd w:id="51"/>
    <w:p w14:paraId="72958305">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p>
    <w:p w14:paraId="747074FE">
      <w:pP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p>
    <w:p w14:paraId="42DF310A">
      <w:pPr>
        <w:pStyle w:val="2"/>
        <w:spacing w:before="0" w:after="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第四章   商务要求</w:t>
      </w:r>
    </w:p>
    <w:p w14:paraId="6B2E4BB2">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一、服务期限及地点：</w:t>
      </w:r>
      <w:bookmarkStart w:id="58" w:name="_Toc167715234"/>
      <w:bookmarkStart w:id="59" w:name="_Toc167712839"/>
      <w:bookmarkStart w:id="60" w:name="_Toc167714037"/>
    </w:p>
    <w:bookmarkEnd w:id="58"/>
    <w:bookmarkEnd w:id="59"/>
    <w:bookmarkEnd w:id="60"/>
    <w:p w14:paraId="2A2E18E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i w:val="0"/>
          <w:iCs w:val="0"/>
          <w:color w:val="000000"/>
          <w:sz w:val="24"/>
          <w:highlight w:val="none"/>
          <w:lang w:val="en-US" w:eastAsia="zh-CN"/>
        </w:rPr>
        <w:t>期限：一年。</w:t>
      </w:r>
    </w:p>
    <w:p w14:paraId="4A5785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2、交付地点：甲方指定地点。</w:t>
      </w:r>
    </w:p>
    <w:p w14:paraId="691A048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二、付款方式：</w:t>
      </w:r>
    </w:p>
    <w:p w14:paraId="5423154F">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bookmarkStart w:id="61" w:name="_Toc167712843"/>
      <w:bookmarkStart w:id="62" w:name="_Toc167715238"/>
      <w:bookmarkStart w:id="63" w:name="_Toc167714041"/>
      <w:r>
        <w:rPr>
          <w:rFonts w:hint="eastAsia" w:ascii="仿宋" w:hAnsi="仿宋" w:eastAsia="仿宋" w:cs="仿宋"/>
          <w:b w:val="0"/>
          <w:bCs/>
          <w:color w:val="000000" w:themeColor="text1"/>
          <w:sz w:val="24"/>
          <w:highlight w:val="none"/>
          <w:lang w:val="en-US" w:eastAsia="zh-CN"/>
          <w14:textFill>
            <w14:solidFill>
              <w14:schemeClr w14:val="tx1"/>
            </w14:solidFill>
          </w14:textFill>
        </w:rPr>
        <w:t>甲方按半年度向乙方支付养护费用，第一半年度支付本年度合同价款的百分之五十（50%），年终支付剩余合同价款的百分之五十（50%）。</w:t>
      </w:r>
    </w:p>
    <w:p w14:paraId="089756A5">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、质量保证：</w:t>
      </w:r>
    </w:p>
    <w:p w14:paraId="072A2D10">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单位所提供的项目成果必须经采购人审核验收，符合采购人要求，并达到技术指标先进、质量可靠、配置合理，满足</w:t>
      </w:r>
      <w:r>
        <w:rPr>
          <w:rFonts w:hint="eastAsia" w:ascii="仿宋" w:hAnsi="仿宋" w:eastAsia="仿宋" w:cs="仿宋"/>
          <w:color w:val="000000" w:themeColor="text1"/>
          <w:kern w:val="0"/>
          <w:sz w:val="24"/>
          <w:highlight w:val="none"/>
          <w:lang w:eastAsia="zh-CN"/>
          <w14:textFill>
            <w14:solidFill>
              <w14:schemeClr w14:val="tx1"/>
            </w14:solidFill>
          </w14:textFill>
        </w:rPr>
        <w:t>采购</w:t>
      </w:r>
      <w:r>
        <w:rPr>
          <w:rFonts w:hint="eastAsia" w:ascii="仿宋" w:hAnsi="仿宋" w:eastAsia="仿宋" w:cs="仿宋"/>
          <w:color w:val="000000" w:themeColor="text1"/>
          <w:kern w:val="0"/>
          <w:sz w:val="24"/>
          <w:highlight w:val="none"/>
          <w14:textFill>
            <w14:solidFill>
              <w14:schemeClr w14:val="tx1"/>
            </w14:solidFill>
          </w14:textFill>
        </w:rPr>
        <w:t>文件要求。</w:t>
      </w:r>
    </w:p>
    <w:p w14:paraId="2F4164B5">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2、服务的质量必须符合国家标准和有关规范，确保服务达到最佳使用要求。</w:t>
      </w:r>
    </w:p>
    <w:p w14:paraId="1FC3E7F1">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合同实施：</w:t>
      </w:r>
      <w:bookmarkStart w:id="64" w:name="_Toc167715264"/>
      <w:bookmarkStart w:id="65" w:name="_Toc167714067"/>
      <w:bookmarkStart w:id="66" w:name="_Toc167712869"/>
    </w:p>
    <w:bookmarkEnd w:id="64"/>
    <w:bookmarkEnd w:id="65"/>
    <w:bookmarkEnd w:id="66"/>
    <w:p w14:paraId="2727396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成交单位应在合同签订后七（7）个日历日内安排人员与使用单位就</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等工作进行安排、部署。</w:t>
      </w:r>
    </w:p>
    <w:p w14:paraId="72D5A9A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2、若未能在项目周期内完成合同规定的义务，由此对采购人造成的延误和一切损失，由成交单位承担和赔偿。</w:t>
      </w:r>
      <w:bookmarkEnd w:id="61"/>
      <w:bookmarkEnd w:id="62"/>
      <w:bookmarkEnd w:id="63"/>
    </w:p>
    <w:p w14:paraId="2ECAE6BA">
      <w:pPr>
        <w:spacing w:line="5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、违约责任</w:t>
      </w:r>
    </w:p>
    <w:p w14:paraId="3BDE4AB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w:t>
      </w:r>
      <w:r>
        <w:rPr>
          <w:rFonts w:hint="eastAsia" w:ascii="仿宋" w:hAnsi="仿宋" w:eastAsia="仿宋" w:cs="仿宋"/>
          <w:color w:val="000000" w:themeColor="text1"/>
          <w:sz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4EF9166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2、按合同要求提供服务或服务质量不能满足技术要求，采购人有权终止合同，并对供</w:t>
      </w:r>
    </w:p>
    <w:p w14:paraId="06DF0404">
      <w:pPr>
        <w:spacing w:line="360" w:lineRule="auto"/>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344805</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4434E8">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8.2pt;margin-top:27.15pt;height:38.85pt;width:432.1pt;mso-wrap-distance-bottom:0pt;mso-wrap-distance-left:9pt;mso-wrap-distance-right:9pt;mso-wrap-distance-top:0pt;z-index:251659264;mso-width-relative:page;mso-height-relative:page;" fillcolor="#FFFFFF" filled="t" stroked="t" coordsize="21600,21600" o:gfxdata="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ogTk1wAAAAkBAAAPAAAAAAAAAAEAIAAAACIAAABkcnMvZG93bnJldi54&#10;bWxQSwECFAAUAAAACACHTuJAcoVH5DQCAAB6BAAADgAAAAAAAAABACAAAAAmAQAAZHJzL2Uyb0Rv&#10;Yy54bWxQSwUGAAAAAAYABgBZAQAAzAUAAAAA&#10;">
                <v:fill on="t" focussize="0,0"/>
                <v:stroke color="#000000" joinstyle="miter"/>
                <v:imagedata o:title=""/>
                <o:lock v:ext="edit" aspectratio="f"/>
                <v:textbox>
                  <w:txbxContent>
                    <w:p w14:paraId="294434E8">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方违约行为进行追究，同时按《政府采购法》的有关规定进行处罚。</w:t>
      </w:r>
      <w:r>
        <w:rPr>
          <w:rFonts w:hint="eastAsia" w:ascii="仿宋" w:hAnsi="仿宋" w:eastAsia="仿宋" w:cs="仿宋"/>
          <w:color w:val="000000" w:themeColor="text1"/>
          <w:kern w:val="0"/>
          <w:highlight w:val="none"/>
          <w14:textFill>
            <w14:solidFill>
              <w14:schemeClr w14:val="tx1"/>
            </w14:solidFill>
          </w14:textFill>
        </w:rPr>
        <w:br w:type="page"/>
      </w:r>
    </w:p>
    <w:p w14:paraId="122B5509">
      <w:pPr>
        <w:spacing w:line="560" w:lineRule="exact"/>
        <w:jc w:val="center"/>
        <w:rPr>
          <w:rFonts w:hint="eastAsia" w:ascii="仿宋" w:hAnsi="仿宋" w:eastAsia="仿宋" w:cs="仿宋"/>
          <w:color w:val="000000" w:themeColor="text1"/>
          <w:kern w:val="0"/>
          <w:highlight w:val="none"/>
          <w:lang w:eastAsia="zh-CN"/>
          <w14:textFill>
            <w14:solidFill>
              <w14:schemeClr w14:val="tx1"/>
            </w14:solidFill>
          </w14:textFill>
        </w:rPr>
      </w:pPr>
      <w:bookmarkStart w:id="67" w:name="_Toc2890"/>
      <w:r>
        <w:rPr>
          <w:rStyle w:val="57"/>
          <w:rFonts w:hint="eastAsia" w:ascii="仿宋" w:hAnsi="仿宋" w:eastAsia="仿宋" w:cs="仿宋"/>
          <w:color w:val="000000" w:themeColor="text1"/>
          <w:highlight w:val="none"/>
          <w14:textFill>
            <w14:solidFill>
              <w14:schemeClr w14:val="tx1"/>
            </w14:solidFill>
          </w14:textFill>
        </w:rPr>
        <w:t>第五章  合同条款</w:t>
      </w:r>
      <w:bookmarkEnd w:id="67"/>
      <w:r>
        <w:rPr>
          <w:rStyle w:val="57"/>
          <w:rFonts w:hint="eastAsia" w:ascii="仿宋" w:hAnsi="仿宋" w:eastAsia="仿宋" w:cs="仿宋"/>
          <w:color w:val="000000" w:themeColor="text1"/>
          <w:highlight w:val="none"/>
          <w:lang w:eastAsia="zh-CN"/>
          <w14:textFill>
            <w14:solidFill>
              <w14:schemeClr w14:val="tx1"/>
            </w14:solidFill>
          </w14:textFill>
        </w:rPr>
        <w:t>（</w:t>
      </w:r>
      <w:r>
        <w:rPr>
          <w:rStyle w:val="57"/>
          <w:rFonts w:hint="eastAsia" w:ascii="仿宋" w:hAnsi="仿宋" w:eastAsia="仿宋" w:cs="仿宋"/>
          <w:color w:val="000000" w:themeColor="text1"/>
          <w:highlight w:val="none"/>
          <w:lang w:val="en-US" w:eastAsia="zh-CN"/>
          <w14:textFill>
            <w14:solidFill>
              <w14:schemeClr w14:val="tx1"/>
            </w14:solidFill>
          </w14:textFill>
        </w:rPr>
        <w:t>参考格式</w:t>
      </w:r>
      <w:r>
        <w:rPr>
          <w:rStyle w:val="57"/>
          <w:rFonts w:hint="eastAsia" w:ascii="仿宋" w:hAnsi="仿宋" w:eastAsia="仿宋" w:cs="仿宋"/>
          <w:color w:val="000000" w:themeColor="text1"/>
          <w:highlight w:val="none"/>
          <w:lang w:eastAsia="zh-CN"/>
          <w14:textFill>
            <w14:solidFill>
              <w14:schemeClr w14:val="tx1"/>
            </w14:solidFill>
          </w14:textFill>
        </w:rPr>
        <w:t>）</w:t>
      </w:r>
    </w:p>
    <w:p w14:paraId="548B54B4">
      <w:pPr>
        <w:ind w:firstLine="5520" w:firstLineChars="2300"/>
        <w:jc w:val="both"/>
        <w:rPr>
          <w:rFonts w:hint="eastAsia" w:ascii="仿宋" w:hAnsi="仿宋" w:eastAsia="仿宋" w:cs="仿宋"/>
          <w:b w:val="0"/>
          <w:bCs/>
          <w:color w:val="000000" w:themeColor="text1"/>
          <w:sz w:val="24"/>
          <w:szCs w:val="24"/>
          <w:highlight w:val="none"/>
          <w14:textFill>
            <w14:solidFill>
              <w14:schemeClr w14:val="tx1"/>
            </w14:solidFill>
          </w14:textFill>
        </w:rPr>
      </w:pPr>
    </w:p>
    <w:p w14:paraId="24D24845">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68" w:name="_Toc188808831"/>
      <w:bookmarkStart w:id="69" w:name="_Toc193187095"/>
      <w:bookmarkStart w:id="70" w:name="_Toc193126879"/>
      <w:bookmarkStart w:id="71" w:name="_Toc194663916"/>
      <w:r>
        <w:rPr>
          <w:rFonts w:hint="eastAsia" w:ascii="仿宋" w:hAnsi="仿宋" w:eastAsia="仿宋" w:cs="仿宋"/>
          <w:color w:val="000000" w:themeColor="text1"/>
          <w:sz w:val="24"/>
          <w:highlight w:val="none"/>
          <w14:textFill>
            <w14:solidFill>
              <w14:schemeClr w14:val="tx1"/>
            </w14:solidFill>
          </w14:textFill>
        </w:rPr>
        <w:t xml:space="preserve">甲方（采购人）： </w:t>
      </w:r>
    </w:p>
    <w:p w14:paraId="001CC4D8">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乙方（中标人）： </w:t>
      </w:r>
    </w:p>
    <w:p w14:paraId="4C43369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绿化养护服务项目 (项目编号：ZZT2025-ZFCG-0530)</w:t>
      </w:r>
      <w:r>
        <w:rPr>
          <w:rFonts w:hint="eastAsia" w:ascii="仿宋" w:hAnsi="仿宋" w:eastAsia="仿宋" w:cs="仿宋"/>
          <w:color w:val="000000" w:themeColor="text1"/>
          <w:sz w:val="24"/>
          <w:highlight w:val="none"/>
          <w14:textFill>
            <w14:solidFill>
              <w14:schemeClr w14:val="tx1"/>
            </w14:solidFill>
          </w14:textFill>
        </w:rPr>
        <w:t>，由中智投工程管理有限公司组织</w:t>
      </w:r>
      <w:r>
        <w:rPr>
          <w:rFonts w:hint="eastAsia" w:ascii="仿宋" w:hAnsi="仿宋" w:eastAsia="仿宋" w:cs="仿宋"/>
          <w:color w:val="000000" w:themeColor="text1"/>
          <w:sz w:val="24"/>
          <w:highlight w:val="none"/>
          <w:lang w:eastAsia="zh-CN"/>
          <w14:textFill>
            <w14:solidFill>
              <w14:schemeClr w14:val="tx1"/>
            </w14:solidFill>
          </w14:textFill>
        </w:rPr>
        <w:t>竞争性磋商会议，</w:t>
      </w:r>
      <w:r>
        <w:rPr>
          <w:rFonts w:hint="eastAsia" w:ascii="仿宋_GB2312" w:eastAsia="仿宋_GB2312"/>
          <w:bCs/>
          <w:sz w:val="32"/>
          <w:szCs w:val="32"/>
          <w:u w:val="single"/>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(以下简称“甲方”)确定</w:t>
      </w:r>
      <w:r>
        <w:rPr>
          <w:rFonts w:hint="eastAsia" w:ascii="仿宋_GB2312" w:eastAsia="仿宋_GB2312"/>
          <w:bCs/>
          <w:sz w:val="32"/>
          <w:szCs w:val="32"/>
          <w:u w:val="single"/>
        </w:rPr>
        <w:t xml:space="preserve">            </w:t>
      </w:r>
      <w:r>
        <w:rPr>
          <w:rFonts w:hint="eastAsia" w:ascii="仿宋" w:hAnsi="仿宋" w:eastAsia="仿宋" w:cs="仿宋"/>
          <w:color w:val="000000" w:themeColor="text1"/>
          <w:sz w:val="24"/>
          <w:highlight w:val="none"/>
          <w14:textFill>
            <w14:solidFill>
              <w14:schemeClr w14:val="tx1"/>
            </w14:solidFill>
          </w14:textFill>
        </w:rPr>
        <w:t>（以下简称“乙方”）为该项目的中标人。</w:t>
      </w:r>
    </w:p>
    <w:p w14:paraId="30247B0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w:t>
      </w:r>
      <w:r>
        <w:rPr>
          <w:rFonts w:hint="eastAsia" w:ascii="仿宋" w:hAnsi="仿宋" w:eastAsia="仿宋" w:cs="仿宋"/>
          <w:color w:val="000000" w:themeColor="text1"/>
          <w:sz w:val="24"/>
          <w:highlight w:val="none"/>
          <w:lang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》和《中华人民共和国政府采购法》之规定，经双方在平等、自愿、互利的基础上，签订本合同，共同信守。</w:t>
      </w:r>
    </w:p>
    <w:p w14:paraId="4829419A">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一、合同价款</w:t>
      </w:r>
    </w:p>
    <w:p w14:paraId="4AB2986C">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（一）合同价款为人民币（大写）</w:t>
      </w:r>
      <w:r>
        <w:rPr>
          <w:rFonts w:hint="eastAsia" w:ascii="仿宋_GB2312" w:eastAsia="仿宋_GB2312"/>
          <w:bCs/>
          <w:sz w:val="32"/>
          <w:szCs w:val="32"/>
          <w:u w:val="single"/>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_GB2312" w:eastAsia="仿宋_GB2312"/>
          <w:bCs/>
          <w:sz w:val="32"/>
          <w:szCs w:val="32"/>
          <w:u w:val="single"/>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DF84916">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（二）合同价款是指本次</w:t>
      </w:r>
      <w:r>
        <w:rPr>
          <w:rFonts w:hint="eastAsia" w:ascii="仿宋" w:hAnsi="仿宋" w:eastAsia="仿宋" w:cs="仿宋"/>
          <w:color w:val="000000" w:themeColor="text1"/>
          <w:sz w:val="24"/>
          <w:highlight w:val="none"/>
          <w:lang w:val="zh-CN"/>
          <w14:textFill>
            <w14:solidFill>
              <w14:schemeClr w14:val="tx1"/>
            </w14:solidFill>
          </w14:textFill>
        </w:rPr>
        <w:t>服务内容所需的全部费用,</w:t>
      </w:r>
      <w:r>
        <w:rPr>
          <w:rFonts w:hint="eastAsia" w:ascii="仿宋" w:hAnsi="仿宋" w:eastAsia="仿宋" w:cs="仿宋"/>
          <w:color w:val="000000" w:themeColor="text1"/>
          <w:sz w:val="24"/>
          <w:highlight w:val="none"/>
          <w14:textFill>
            <w14:solidFill>
              <w14:schemeClr w14:val="tx1"/>
            </w14:solidFill>
          </w14:textFill>
        </w:rPr>
        <w:t xml:space="preserve"> 包括但不限于人工费、</w:t>
      </w:r>
      <w:r>
        <w:rPr>
          <w:rFonts w:hint="eastAsia" w:ascii="仿宋" w:hAnsi="仿宋" w:eastAsia="仿宋" w:cs="仿宋"/>
          <w:color w:val="000000" w:themeColor="text1"/>
          <w:sz w:val="24"/>
          <w:highlight w:val="none"/>
          <w:lang w:val="en-US" w:eastAsia="zh-CN"/>
          <w14:textFill>
            <w14:solidFill>
              <w14:schemeClr w14:val="tx1"/>
            </w14:solidFill>
          </w14:textFill>
        </w:rPr>
        <w:t>养护材料费、</w:t>
      </w:r>
      <w:r>
        <w:rPr>
          <w:rFonts w:hint="eastAsia" w:ascii="仿宋" w:hAnsi="仿宋" w:eastAsia="仿宋" w:cs="仿宋"/>
          <w:color w:val="000000" w:themeColor="text1"/>
          <w:sz w:val="24"/>
          <w:highlight w:val="none"/>
          <w14:textFill>
            <w14:solidFill>
              <w14:schemeClr w14:val="tx1"/>
            </w14:solidFill>
          </w14:textFill>
        </w:rPr>
        <w:t>保险费、机具使用费、管理费、利润、税金、风险费</w:t>
      </w:r>
      <w:r>
        <w:rPr>
          <w:rFonts w:hint="eastAsia" w:ascii="仿宋" w:hAnsi="仿宋" w:eastAsia="仿宋" w:cs="仿宋"/>
          <w:color w:val="000000" w:themeColor="text1"/>
          <w:sz w:val="24"/>
          <w:highlight w:val="none"/>
          <w:lang w:val="zh-CN"/>
          <w14:textFill>
            <w14:solidFill>
              <w14:schemeClr w14:val="tx1"/>
            </w14:solidFill>
          </w14:textFill>
        </w:rPr>
        <w:t>等所有成本</w:t>
      </w:r>
      <w:r>
        <w:rPr>
          <w:rFonts w:hint="eastAsia" w:ascii="仿宋" w:hAnsi="仿宋" w:eastAsia="仿宋" w:cs="仿宋"/>
          <w:color w:val="000000" w:themeColor="text1"/>
          <w:sz w:val="24"/>
          <w:highlight w:val="none"/>
          <w14:textFill>
            <w14:solidFill>
              <w14:schemeClr w14:val="tx1"/>
            </w14:solidFill>
          </w14:textFill>
        </w:rPr>
        <w:t>。</w:t>
      </w:r>
    </w:p>
    <w:p w14:paraId="2DBDCD4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（三）合同价款一次性包死，不受市场价格变化因素的影响。</w:t>
      </w:r>
    </w:p>
    <w:p w14:paraId="7A51DB99">
      <w:pPr>
        <w:spacing w:line="560" w:lineRule="exact"/>
        <w:ind w:firstLine="482"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二、委托工作内容</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_GB2312" w:eastAsia="仿宋_GB2312"/>
          <w:bCs/>
          <w:sz w:val="32"/>
          <w:szCs w:val="32"/>
          <w:u w:val="single"/>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3772F264">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三、款项结算</w:t>
      </w:r>
    </w:p>
    <w:p w14:paraId="773E5BC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（一）付款方式：</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甲方按半年度向乙方支付养护费用，第一半年度支付本年度合同价款的百分之五十（50%），年终支付剩余合同价款的百分之五十（50%）。</w:t>
      </w:r>
    </w:p>
    <w:p w14:paraId="3DFC76AC">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（二）结算方式：银行转账。</w:t>
      </w:r>
    </w:p>
    <w:p w14:paraId="649E49E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（三）结算单位：由甲方负责结算，乙方开具合同价款的全额发票给甲方。</w:t>
      </w:r>
    </w:p>
    <w:p w14:paraId="1D185C1C">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四、服务地点及服务期</w:t>
      </w:r>
    </w:p>
    <w:p w14:paraId="424A7C34">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（一）服务地点：甲方指定地点。</w:t>
      </w:r>
    </w:p>
    <w:p w14:paraId="6840D6B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）服务期：</w:t>
      </w:r>
      <w:r>
        <w:rPr>
          <w:rFonts w:hint="eastAsia" w:ascii="仿宋" w:hAnsi="仿宋" w:eastAsia="仿宋" w:cs="仿宋"/>
          <w:i w:val="0"/>
          <w:iCs w:val="0"/>
          <w:color w:val="000000"/>
          <w:sz w:val="24"/>
          <w:highlight w:val="none"/>
          <w:lang w:val="en-US" w:eastAsia="zh-CN"/>
        </w:rPr>
        <w:t>一年。</w:t>
      </w:r>
    </w:p>
    <w:p w14:paraId="5C054628">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五、双方的权利和义务</w:t>
      </w:r>
    </w:p>
    <w:p w14:paraId="55EF3C0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（一）甲方的权利与义务</w:t>
      </w:r>
    </w:p>
    <w:p w14:paraId="434C980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1、甲方负责配合本次项目服务工作；</w:t>
      </w:r>
    </w:p>
    <w:p w14:paraId="4C0635B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2、甲方应按本合同的约定向乙方支付合同价款；</w:t>
      </w:r>
    </w:p>
    <w:p w14:paraId="1A0A10C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为乙方提供绿化机械、工具等物品的存放场所。</w:t>
      </w:r>
    </w:p>
    <w:p w14:paraId="54D2BBD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、如遇特殊工作需求时，甲方有权调动乙方的工作人员，并提前通知乙方安排人员进行修剪等绿化养护工作。</w:t>
      </w:r>
    </w:p>
    <w:p w14:paraId="3DD1346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、有权制定相应之管理措施、监督检查标准等，以保证乙方按照合同及其他双方议定之要求进行作业。 </w:t>
      </w:r>
    </w:p>
    <w:p w14:paraId="4E4B6028">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、在检查时如发现有不合格之处，应以“质量整改通知书”的形式书面通知乙方。</w:t>
      </w:r>
    </w:p>
    <w:p w14:paraId="78409102">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（二）乙方的权利与义务</w:t>
      </w:r>
    </w:p>
    <w:p w14:paraId="78183804">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1、乙方的工作人员必须严格按合同标准养护管理，遵守甲方的规章制度</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以良好的形象和积极的工作态度，按甲方要求开展工作；</w:t>
      </w:r>
    </w:p>
    <w:p w14:paraId="42F0AA06">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2、乙方应服从甲方统筹管理并按流程开展工作；</w:t>
      </w:r>
    </w:p>
    <w:p w14:paraId="7C69EB1A">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、对甲方验收不合格之处，乙方应及时进行适当的整改；由于乙方养护管理原因造成的花卉、树木死亡的，由乙方按同规格、同数量予以补栽，费用由乙方承担，并视情节进行处罚</w:t>
      </w:r>
      <w:r>
        <w:rPr>
          <w:rFonts w:hint="eastAsia" w:ascii="仿宋" w:hAnsi="仿宋" w:eastAsia="仿宋" w:cs="仿宋"/>
          <w:color w:val="000000" w:themeColor="text1"/>
          <w:sz w:val="24"/>
          <w:highlight w:val="none"/>
          <w:lang w:eastAsia="zh-CN"/>
          <w14:textFill>
            <w14:solidFill>
              <w14:schemeClr w14:val="tx1"/>
            </w14:solidFill>
          </w14:textFill>
        </w:rPr>
        <w:t>；</w:t>
      </w:r>
    </w:p>
    <w:p w14:paraId="464DDD72">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、养护人员每次养护完工后，应做到工完场清，文明作业</w:t>
      </w:r>
      <w:r>
        <w:rPr>
          <w:rFonts w:hint="eastAsia" w:ascii="仿宋" w:hAnsi="仿宋" w:eastAsia="仿宋" w:cs="仿宋"/>
          <w:color w:val="000000" w:themeColor="text1"/>
          <w:sz w:val="24"/>
          <w:highlight w:val="none"/>
          <w:lang w:eastAsia="zh-CN"/>
          <w14:textFill>
            <w14:solidFill>
              <w14:schemeClr w14:val="tx1"/>
            </w14:solidFill>
          </w14:textFill>
        </w:rPr>
        <w:t>；</w:t>
      </w:r>
    </w:p>
    <w:p w14:paraId="542099AD">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、为保证管理到位，乙方应配备专职管理人员，做好日常养护记录，建立绿化养护技术档案。有紧急情况随叫随到</w:t>
      </w:r>
      <w:r>
        <w:rPr>
          <w:rFonts w:hint="eastAsia" w:ascii="仿宋" w:hAnsi="仿宋" w:eastAsia="仿宋" w:cs="仿宋"/>
          <w:color w:val="000000" w:themeColor="text1"/>
          <w:sz w:val="24"/>
          <w:highlight w:val="none"/>
          <w:lang w:eastAsia="zh-CN"/>
          <w14:textFill>
            <w14:solidFill>
              <w14:schemeClr w14:val="tx1"/>
            </w14:solidFill>
          </w14:textFill>
        </w:rPr>
        <w:t>；</w:t>
      </w:r>
    </w:p>
    <w:p w14:paraId="43FC92D1">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、在绿化养护用水用电管理方面，乙方应采取措施以尽可能节约用水用电以维护甲方合法权益： </w:t>
      </w:r>
    </w:p>
    <w:p w14:paraId="76EB9483">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（1）不使用破损的水管；在浇水时尽量采用喷灌； </w:t>
      </w:r>
    </w:p>
    <w:p w14:paraId="6977837B">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（2）教育培养员工节水意识；制定其它节水措施。</w:t>
      </w:r>
    </w:p>
    <w:p w14:paraId="74299B32">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（3）在无用水、电接驳点，无用水、电条件下，乙方需自行解决管护用水、电，保证绿化养护。</w:t>
      </w:r>
    </w:p>
    <w:p w14:paraId="2C2C3395">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7、乙方承担其员工的工资、社会保险等费用。乙方应对员工进行劳动安全教育培训。如因乙方原因，导致乙方员工或第三人人身伤害及财产损失，由乙方承担责任。</w:t>
      </w:r>
    </w:p>
    <w:p w14:paraId="69680771">
      <w:pPr>
        <w:spacing w:line="56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、乙方在服务期间发布的任何涉及有关甲方的相关信息，需经甲方确认无误后方可发布</w:t>
      </w:r>
      <w:r>
        <w:rPr>
          <w:rFonts w:hint="eastAsia" w:ascii="仿宋" w:hAnsi="仿宋" w:eastAsia="仿宋" w:cs="仿宋"/>
          <w:color w:val="000000" w:themeColor="text1"/>
          <w:sz w:val="24"/>
          <w:highlight w:val="none"/>
          <w:lang w:eastAsia="zh-CN"/>
          <w14:textFill>
            <w14:solidFill>
              <w14:schemeClr w14:val="tx1"/>
            </w14:solidFill>
          </w14:textFill>
        </w:rPr>
        <w:t>。</w:t>
      </w:r>
    </w:p>
    <w:p w14:paraId="1A88FC16">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六、服务质量保证</w:t>
      </w:r>
    </w:p>
    <w:p w14:paraId="58976B9C">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（一）乙方需派一名项目经理，直接与甲方沟通，项目经理接收甲方提出的问题与要求，并及时反馈给工作组，解决在项目实施过程中遇到的问题。</w:t>
      </w:r>
    </w:p>
    <w:p w14:paraId="5E3A5A32">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（二）项目在实施过程中会出现不可预料的需求变更，乙方需积极配合甲方的需求变更，并按照变更后的需求继续进行方案实施。</w:t>
      </w:r>
    </w:p>
    <w:p w14:paraId="3D0038E4">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（三）乙方需提交所有实施方案流程及说明文档。</w:t>
      </w:r>
    </w:p>
    <w:p w14:paraId="34B9E802">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（四）乙方需建立高效的管理团队，项目团队组成合理。</w:t>
      </w:r>
    </w:p>
    <w:p w14:paraId="2E743ABD">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（五）乙方需设有详细的技术资料档案和服务档案，将保存项目的详细资料以便于更好地提供服务。</w:t>
      </w:r>
    </w:p>
    <w:p w14:paraId="37889052">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、保密规定</w:t>
      </w:r>
    </w:p>
    <w:p w14:paraId="1A216BE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应永久恪守因签署或履行本合同而获知的对方秘密信息及其它秘密资料。任何一方如将获知的对方秘密信息泄露给第三方，应赔偿因泄密而给对方造成的一切损失并承担相应的法律责任（包括刑事责任）。</w:t>
      </w:r>
    </w:p>
    <w:p w14:paraId="612EDAE1">
      <w:pPr>
        <w:spacing w:line="560" w:lineRule="exact"/>
        <w:ind w:firstLine="482" w:firstLineChars="200"/>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八、其他事项</w:t>
      </w:r>
    </w:p>
    <w:p w14:paraId="6789AA8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（一）乙方不得转让、分包给其它单位或个人。</w:t>
      </w:r>
    </w:p>
    <w:p w14:paraId="7856C76C">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（二）乙方的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文件和承诺等内容将列入合同。</w:t>
      </w:r>
    </w:p>
    <w:p w14:paraId="0191C92B">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、验收</w:t>
      </w:r>
    </w:p>
    <w:p w14:paraId="2BFFECC6">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（一）本项目验收费用，由乙方自行承担。</w:t>
      </w:r>
    </w:p>
    <w:p w14:paraId="78C14BD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（二）服务期满后，由乙方向甲方递交验收通知书，经甲方确认后，组织乙方进行验收。验收合格后，填写政府采购项目验收单作为对本次服务的最终认可。</w:t>
      </w:r>
    </w:p>
    <w:p w14:paraId="676995DD">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（三）验收依据：</w:t>
      </w:r>
    </w:p>
    <w:p w14:paraId="51DB962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1、本合同及附加文本；</w:t>
      </w:r>
    </w:p>
    <w:p w14:paraId="6376D545">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2、招标文件、中标人的投标文件及澄清（承诺）函；</w:t>
      </w:r>
    </w:p>
    <w:p w14:paraId="51868679">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3、国家相应的标准、规范。</w:t>
      </w:r>
    </w:p>
    <w:p w14:paraId="33FA2FB1">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十、违约责任</w:t>
      </w:r>
    </w:p>
    <w:p w14:paraId="151C0258">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（一）按《</w:t>
      </w:r>
      <w:r>
        <w:rPr>
          <w:rFonts w:hint="eastAsia" w:ascii="仿宋" w:hAnsi="仿宋" w:eastAsia="仿宋" w:cs="仿宋"/>
          <w:color w:val="000000" w:themeColor="text1"/>
          <w:sz w:val="24"/>
          <w:highlight w:val="none"/>
          <w:lang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0EDF9CF8">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（二）未按合同要求提供服务或服务质量不能满足本次招标要求，甲方会同监督机构、采购代理机构有权终止合同和对乙方违约行为进行追究，同时按政府采购法的有关规定进行相应的处罚。</w:t>
      </w:r>
    </w:p>
    <w:p w14:paraId="5DA773A8">
      <w:pPr>
        <w:spacing w:line="56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w:t>
      </w:r>
      <w:r>
        <w:rPr>
          <w:rFonts w:hint="eastAsia" w:ascii="仿宋" w:hAnsi="仿宋" w:eastAsia="仿宋" w:cs="仿宋"/>
          <w:b/>
          <w:bCs/>
          <w:color w:val="000000" w:themeColor="text1"/>
          <w:sz w:val="24"/>
          <w:highlight w:val="none"/>
          <w:lang w:val="en-US" w:eastAsia="zh-CN"/>
          <w14:textFill>
            <w14:solidFill>
              <w14:schemeClr w14:val="tx1"/>
            </w14:solidFill>
          </w14:textFill>
        </w:rPr>
        <w:t>一</w:t>
      </w:r>
      <w:r>
        <w:rPr>
          <w:rFonts w:hint="eastAsia" w:ascii="仿宋" w:hAnsi="仿宋" w:eastAsia="仿宋" w:cs="仿宋"/>
          <w:b/>
          <w:bCs/>
          <w:color w:val="000000" w:themeColor="text1"/>
          <w:sz w:val="24"/>
          <w:highlight w:val="none"/>
          <w14:textFill>
            <w14:solidFill>
              <w14:schemeClr w14:val="tx1"/>
            </w14:solidFill>
          </w14:textFill>
        </w:rPr>
        <w:t>、合同争议解决的方式</w:t>
      </w:r>
    </w:p>
    <w:p w14:paraId="46192FE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（一）本合同须经甲、乙双方的法定代表人（授权代表）在合同书上签字并加盖本单位公章后正式生效。</w:t>
      </w:r>
    </w:p>
    <w:p w14:paraId="4FF10273">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（二）合同生效后，甲、乙双方须严格执行本合同条款的规定，全面履行合同，违者按《中华人民共和国</w:t>
      </w:r>
      <w:r>
        <w:rPr>
          <w:rFonts w:hint="eastAsia" w:ascii="仿宋" w:hAnsi="仿宋" w:eastAsia="仿宋" w:cs="仿宋"/>
          <w:color w:val="000000" w:themeColor="text1"/>
          <w:sz w:val="24"/>
          <w:highlight w:val="none"/>
          <w:lang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》的有关规定承担相应责任。</w:t>
      </w:r>
    </w:p>
    <w:p w14:paraId="5F5CF36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（三）本合同一式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份，甲乙双方各执</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2FFBF921">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（四）本合同如有未尽事宜，甲、乙双方协商解决。</w:t>
      </w:r>
    </w:p>
    <w:p w14:paraId="2D9EDEA4">
      <w:pPr>
        <w:pStyle w:val="36"/>
        <w:rPr>
          <w:rFonts w:hint="eastAsia" w:ascii="仿宋" w:hAnsi="仿宋" w:eastAsia="仿宋" w:cs="仿宋"/>
          <w:color w:val="000000" w:themeColor="text1"/>
          <w:sz w:val="24"/>
          <w:highlight w:val="none"/>
          <w14:textFill>
            <w14:solidFill>
              <w14:schemeClr w14:val="tx1"/>
            </w14:solidFill>
          </w14:textFill>
        </w:rPr>
      </w:pPr>
    </w:p>
    <w:tbl>
      <w:tblPr>
        <w:tblStyle w:val="23"/>
        <w:tblpPr w:leftFromText="180" w:rightFromText="180" w:vertAnchor="text" w:horzAnchor="page" w:tblpX="1752" w:tblpY="118"/>
        <w:tblOverlap w:val="never"/>
        <w:tblW w:w="4999" w:type="pct"/>
        <w:tblInd w:w="0" w:type="dxa"/>
        <w:tblLayout w:type="autofit"/>
        <w:tblCellMar>
          <w:top w:w="0" w:type="dxa"/>
          <w:left w:w="108" w:type="dxa"/>
          <w:bottom w:w="0" w:type="dxa"/>
          <w:right w:w="108" w:type="dxa"/>
        </w:tblCellMar>
      </w:tblPr>
      <w:tblGrid>
        <w:gridCol w:w="5073"/>
        <w:gridCol w:w="4512"/>
      </w:tblGrid>
      <w:tr w14:paraId="586CFF55">
        <w:tblPrEx>
          <w:tblCellMar>
            <w:top w:w="0" w:type="dxa"/>
            <w:left w:w="108" w:type="dxa"/>
            <w:bottom w:w="0" w:type="dxa"/>
            <w:right w:w="108" w:type="dxa"/>
          </w:tblCellMar>
        </w:tblPrEx>
        <w:trPr>
          <w:trHeight w:val="3093" w:hRule="atLeast"/>
        </w:trPr>
        <w:tc>
          <w:tcPr>
            <w:tcW w:w="2646" w:type="pct"/>
            <w:tcMar>
              <w:top w:w="113" w:type="dxa"/>
              <w:left w:w="113" w:type="dxa"/>
              <w:bottom w:w="113" w:type="dxa"/>
              <w:right w:w="113" w:type="dxa"/>
            </w:tcMar>
          </w:tcPr>
          <w:p w14:paraId="126DAFF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甲方名称： </w:t>
            </w:r>
          </w:p>
          <w:p w14:paraId="70F0A4D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36A5B0E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w:t>
            </w:r>
          </w:p>
          <w:p w14:paraId="12AA13F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w:t>
            </w:r>
          </w:p>
          <w:p w14:paraId="3278DA0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27C58CC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5247029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44E8E63A">
            <w:pPr>
              <w:pStyle w:val="20"/>
              <w:rPr>
                <w:rFonts w:hint="eastAsia" w:ascii="仿宋" w:hAnsi="仿宋" w:eastAsia="仿宋" w:cs="仿宋"/>
                <w:color w:val="000000" w:themeColor="text1"/>
                <w:sz w:val="24"/>
                <w:highlight w:val="none"/>
                <w14:textFill>
                  <w14:solidFill>
                    <w14:schemeClr w14:val="tx1"/>
                  </w14:solidFill>
                </w14:textFill>
              </w:rPr>
            </w:pPr>
          </w:p>
          <w:p w14:paraId="796015ED">
            <w:pPr>
              <w:rPr>
                <w:rFonts w:hint="eastAsia"/>
              </w:rPr>
            </w:pPr>
          </w:p>
          <w:p w14:paraId="6D0B5E5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6EE8C82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1A83F61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tc>
        <w:tc>
          <w:tcPr>
            <w:tcW w:w="2353" w:type="pct"/>
            <w:tcMar>
              <w:top w:w="113" w:type="dxa"/>
              <w:left w:w="113" w:type="dxa"/>
              <w:bottom w:w="113" w:type="dxa"/>
              <w:right w:w="113" w:type="dxa"/>
            </w:tcMar>
          </w:tcPr>
          <w:p w14:paraId="7CE6E7A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乙方名称：</w:t>
            </w:r>
          </w:p>
          <w:p w14:paraId="219E071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1967940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    编： </w:t>
            </w:r>
          </w:p>
          <w:p w14:paraId="6BE3616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 </w:t>
            </w:r>
          </w:p>
          <w:p w14:paraId="4821738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329DAEE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p w14:paraId="4A82E61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p>
          <w:p w14:paraId="66149D7E">
            <w:pPr>
              <w:pStyle w:val="20"/>
              <w:rPr>
                <w:rFonts w:hint="eastAsia" w:ascii="仿宋" w:hAnsi="仿宋" w:eastAsia="仿宋" w:cs="仿宋"/>
                <w:color w:val="000000" w:themeColor="text1"/>
                <w:sz w:val="24"/>
                <w:highlight w:val="none"/>
                <w14:textFill>
                  <w14:solidFill>
                    <w14:schemeClr w14:val="tx1"/>
                  </w14:solidFill>
                </w14:textFill>
              </w:rPr>
            </w:pPr>
          </w:p>
          <w:p w14:paraId="4DBBADF7">
            <w:pPr>
              <w:rPr>
                <w:rFonts w:hint="eastAsia"/>
              </w:rPr>
            </w:pPr>
          </w:p>
          <w:p w14:paraId="30A4221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52AB1CA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6640B64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tc>
      </w:tr>
      <w:bookmarkEnd w:id="68"/>
      <w:bookmarkEnd w:id="69"/>
      <w:bookmarkEnd w:id="70"/>
      <w:bookmarkEnd w:id="71"/>
    </w:tbl>
    <w:p w14:paraId="41467E10">
      <w:pPr>
        <w:pStyle w:val="2"/>
        <w:bidi w:val="0"/>
        <w:jc w:val="center"/>
        <w:rPr>
          <w:rFonts w:hint="eastAsia" w:ascii="仿宋" w:hAnsi="仿宋" w:eastAsia="仿宋" w:cs="仿宋"/>
          <w:highlight w:val="none"/>
        </w:rPr>
      </w:pPr>
      <w:bookmarkStart w:id="72" w:name="_Toc32022"/>
      <w:r>
        <w:rPr>
          <w:rFonts w:hint="eastAsia" w:ascii="仿宋" w:hAnsi="仿宋" w:eastAsia="仿宋" w:cs="仿宋"/>
          <w:highlight w:val="none"/>
        </w:rPr>
        <w:t>第六章  竞争性磋商响应文件格式</w:t>
      </w:r>
      <w:bookmarkEnd w:id="72"/>
    </w:p>
    <w:p w14:paraId="13F84C10">
      <w:pPr>
        <w:spacing w:line="5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竞争性磋商响应文件编制说明</w:t>
      </w:r>
    </w:p>
    <w:p w14:paraId="22B07E2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14:paraId="13C72923">
      <w:pPr>
        <w:spacing w:line="56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3B6B6C4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3、纸质竞争性磋商响应文件均须A4纸打印（提倡双面打印），分别各自装订成册并编制目录和页码。</w:t>
      </w:r>
    </w:p>
    <w:p w14:paraId="50ACD8B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14:paraId="739E3991">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3929E32">
      <w:pPr>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6DAD138">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F69B817">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23F2E26">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1F0C7B3">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BFBA15E">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6BE4F0F">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673E01F">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D23C7ED">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E008877">
      <w:pPr>
        <w:spacing w:line="560" w:lineRule="exact"/>
        <w:jc w:val="both"/>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p>
    <w:p w14:paraId="75986A41">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p>
    <w:p w14:paraId="233EC5E8">
      <w:pP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br w:type="page"/>
      </w:r>
    </w:p>
    <w:p w14:paraId="2C85CCDA">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3EA3679D">
      <w:pPr>
        <w:spacing w:line="480" w:lineRule="exact"/>
        <w:ind w:right="140"/>
        <w:rPr>
          <w:rFonts w:hint="eastAsia" w:ascii="仿宋" w:hAnsi="仿宋" w:eastAsia="仿宋" w:cs="仿宋"/>
          <w:color w:val="000000" w:themeColor="text1"/>
          <w:sz w:val="36"/>
          <w:szCs w:val="36"/>
          <w:highlight w:val="none"/>
          <w14:textFill>
            <w14:solidFill>
              <w14:schemeClr w14:val="tx1"/>
            </w14:solidFill>
          </w14:textFill>
        </w:rPr>
      </w:pPr>
    </w:p>
    <w:p w14:paraId="52BB7EFD">
      <w:pPr>
        <w:rPr>
          <w:rFonts w:hint="eastAsia" w:ascii="仿宋" w:hAnsi="仿宋" w:eastAsia="仿宋" w:cs="仿宋"/>
          <w:b/>
          <w:color w:val="000000" w:themeColor="text1"/>
          <w:sz w:val="20"/>
          <w:szCs w:val="20"/>
          <w:highlight w:val="none"/>
          <w:u w:val="wavyHeavy" w:color="FF0000"/>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文件编号:ZZT2025-ZFCG-0530</w:t>
      </w:r>
    </w:p>
    <w:p w14:paraId="60EE74F1">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83ADDEB">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25FD3754">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2D64634A">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6D32DF6">
      <w:pPr>
        <w:pStyle w:val="10"/>
        <w:spacing w:line="360" w:lineRule="auto"/>
        <w:jc w:val="cente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20"/>
          <w:kern w:val="0"/>
          <w:sz w:val="44"/>
          <w:szCs w:val="44"/>
          <w:highlight w:val="none"/>
          <w:lang w:val="en-US" w:eastAsia="zh-CN" w:bidi="ar-SA"/>
          <w14:textFill>
            <w14:solidFill>
              <w14:schemeClr w14:val="tx1"/>
            </w14:solidFill>
          </w14:textFill>
        </w:rPr>
        <w:t>绿化养护服务项目</w:t>
      </w:r>
    </w:p>
    <w:p w14:paraId="284D1142">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281E6E41">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2ACF2295">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5AD5E558">
      <w:pPr>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52"/>
          <w:szCs w:val="52"/>
          <w:highlight w:val="none"/>
          <w14:textFill>
            <w14:solidFill>
              <w14:schemeClr w14:val="tx1"/>
            </w14:solidFill>
          </w14:textFill>
        </w:rPr>
        <w:t>竞争性磋商响应文件</w:t>
      </w:r>
    </w:p>
    <w:p w14:paraId="62CF110F">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6CA18D4E">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44028240">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2BE1E709">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492BB16C">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086D031C">
      <w:pPr>
        <w:pStyle w:val="10"/>
        <w:rPr>
          <w:rFonts w:hint="eastAsia"/>
          <w:highlight w:val="none"/>
        </w:rPr>
      </w:pPr>
    </w:p>
    <w:p w14:paraId="54C468AD">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5568736D">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   应   商：</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4F7A1E17">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采购代理机构：</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7579FABD">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color w:val="000000" w:themeColor="text1"/>
          <w:sz w:val="13"/>
          <w:szCs w:val="13"/>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时        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52ABE6D5">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仿宋" w:hAnsi="仿宋" w:eastAsia="仿宋" w:cs="仿宋"/>
          <w:b/>
          <w:color w:val="000000" w:themeColor="text1"/>
          <w:sz w:val="44"/>
          <w:szCs w:val="44"/>
          <w:highlight w:val="none"/>
          <w14:textFill>
            <w14:solidFill>
              <w14:schemeClr w14:val="tx1"/>
            </w14:solidFill>
          </w14:textFill>
        </w:rPr>
      </w:pPr>
    </w:p>
    <w:p w14:paraId="697F99BB">
      <w:pPr>
        <w:spacing w:line="480" w:lineRule="exact"/>
        <w:ind w:firstLine="3697" w:firstLineChars="837"/>
        <w:rPr>
          <w:rFonts w:hint="eastAsia" w:ascii="仿宋" w:hAnsi="仿宋" w:eastAsia="仿宋" w:cs="仿宋"/>
          <w:b/>
          <w:color w:val="000000" w:themeColor="text1"/>
          <w:sz w:val="44"/>
          <w:szCs w:val="44"/>
          <w:highlight w:val="none"/>
          <w14:textFill>
            <w14:solidFill>
              <w14:schemeClr w14:val="tx1"/>
            </w14:solidFill>
          </w14:textFill>
        </w:rPr>
      </w:pPr>
    </w:p>
    <w:p w14:paraId="14AE9405">
      <w:pPr>
        <w:spacing w:line="480" w:lineRule="exact"/>
        <w:rPr>
          <w:rFonts w:hint="eastAsia" w:ascii="仿宋" w:hAnsi="仿宋" w:eastAsia="仿宋" w:cs="仿宋"/>
          <w:b/>
          <w:color w:val="000000" w:themeColor="text1"/>
          <w:sz w:val="44"/>
          <w:szCs w:val="44"/>
          <w:highlight w:val="none"/>
          <w14:textFill>
            <w14:solidFill>
              <w14:schemeClr w14:val="tx1"/>
            </w14:solidFill>
          </w14:textFill>
        </w:rPr>
      </w:pPr>
    </w:p>
    <w:p w14:paraId="53480878">
      <w:pPr>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p>
    <w:p w14:paraId="07907990">
      <w:pPr>
        <w:pStyle w:val="20"/>
        <w:rPr>
          <w:rFonts w:hint="eastAsia"/>
        </w:rPr>
      </w:pPr>
    </w:p>
    <w:p w14:paraId="76C4E276">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p w14:paraId="14A64EFD">
      <w:pPr>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11B230CA">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30589669">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46EE54F4">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6588F2B1">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09B3C0AA">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01C0E35B">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.资格证明文件</w:t>
      </w:r>
    </w:p>
    <w:p w14:paraId="204D386C">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w:t>
      </w:r>
      <w:r>
        <w:rPr>
          <w:rFonts w:hint="eastAsia" w:ascii="仿宋" w:hAnsi="仿宋" w:eastAsia="仿宋" w:cs="仿宋"/>
          <w:color w:val="000000" w:themeColor="text1"/>
          <w:sz w:val="24"/>
          <w:highlight w:val="none"/>
          <w:lang w:val="en-US" w:eastAsia="zh-CN"/>
          <w14:textFill>
            <w14:solidFill>
              <w14:schemeClr w14:val="tx1"/>
            </w14:solidFill>
          </w14:textFill>
        </w:rPr>
        <w:t>22</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w:t>
      </w:r>
      <w:r>
        <w:rPr>
          <w:rFonts w:hint="eastAsia" w:ascii="仿宋" w:hAnsi="仿宋" w:eastAsia="仿宋" w:cs="仿宋"/>
          <w:color w:val="000000" w:themeColor="text1"/>
          <w:sz w:val="24"/>
          <w:highlight w:val="none"/>
          <w14:textFill>
            <w14:solidFill>
              <w14:schemeClr w14:val="tx1"/>
            </w14:solidFill>
          </w14:textFill>
        </w:rPr>
        <w:t>项目业绩（提供合同复印件加盖公章）</w:t>
      </w:r>
    </w:p>
    <w:p w14:paraId="65D3FA45">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方案</w:t>
      </w:r>
    </w:p>
    <w:p w14:paraId="62581C43">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8.拟派项目人员与设备配备</w:t>
      </w:r>
    </w:p>
    <w:p w14:paraId="3B33CE64">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售后</w:t>
      </w:r>
      <w:r>
        <w:rPr>
          <w:rFonts w:hint="eastAsia" w:ascii="仿宋" w:hAnsi="仿宋" w:eastAsia="仿宋" w:cs="仿宋"/>
          <w:color w:val="000000" w:themeColor="text1"/>
          <w:sz w:val="24"/>
          <w:highlight w:val="none"/>
          <w14:textFill>
            <w14:solidFill>
              <w14:schemeClr w14:val="tx1"/>
            </w14:solidFill>
          </w14:textFill>
        </w:rPr>
        <w:t>服务承诺</w:t>
      </w:r>
    </w:p>
    <w:p w14:paraId="72427B77">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.供应商认为有必要说明的事宜（若有）</w:t>
      </w:r>
    </w:p>
    <w:p w14:paraId="0B64B96A">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.供应商拒绝政府采购领域商业贿赂承诺书（格式）</w:t>
      </w:r>
    </w:p>
    <w:p w14:paraId="7457B96A">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.《中小企业声明函》</w:t>
      </w:r>
    </w:p>
    <w:p w14:paraId="144F25D7">
      <w:pPr>
        <w:spacing w:line="480" w:lineRule="auto"/>
        <w:ind w:firstLine="2551" w:firstLineChars="1063"/>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.《残疾人福利性单位声明函》</w:t>
      </w:r>
      <w:r>
        <w:rPr>
          <w:rFonts w:hint="eastAsia" w:ascii="仿宋" w:hAnsi="仿宋" w:eastAsia="仿宋" w:cs="仿宋"/>
          <w:color w:val="000000" w:themeColor="text1"/>
          <w:sz w:val="24"/>
          <w:highlight w:val="none"/>
          <w14:textFill>
            <w14:solidFill>
              <w14:schemeClr w14:val="tx1"/>
            </w14:solidFill>
          </w14:textFill>
        </w:rPr>
        <w:t>（格式，若有）</w:t>
      </w:r>
    </w:p>
    <w:p w14:paraId="1CD47D09">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14.《监狱、戒毒企业声明函》（格式，若有）</w:t>
      </w:r>
    </w:p>
    <w:p w14:paraId="6426DFC3">
      <w:pPr>
        <w:spacing w:line="600" w:lineRule="exact"/>
        <w:rPr>
          <w:rFonts w:hint="eastAsia" w:ascii="仿宋" w:hAnsi="仿宋" w:eastAsia="仿宋" w:cs="仿宋"/>
          <w:b/>
          <w:color w:val="000000" w:themeColor="text1"/>
          <w:sz w:val="28"/>
          <w:szCs w:val="28"/>
          <w:highlight w:val="none"/>
          <w14:textFill>
            <w14:solidFill>
              <w14:schemeClr w14:val="tx1"/>
            </w14:solidFill>
          </w14:textFill>
        </w:rPr>
      </w:pPr>
    </w:p>
    <w:p w14:paraId="5DF328BB">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2B372D23">
      <w:pPr>
        <w:spacing w:line="6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1.竞争性磋商函</w:t>
      </w:r>
      <w:r>
        <w:rPr>
          <w:rFonts w:hint="eastAsia" w:ascii="仿宋" w:hAnsi="仿宋" w:eastAsia="仿宋" w:cs="仿宋"/>
          <w:bCs/>
          <w:color w:val="000000" w:themeColor="text1"/>
          <w:sz w:val="22"/>
          <w:szCs w:val="22"/>
          <w:highlight w:val="none"/>
          <w14:textFill>
            <w14:solidFill>
              <w14:schemeClr w14:val="tx1"/>
            </w14:solidFill>
          </w14:textFill>
        </w:rPr>
        <w:t>（格式）</w:t>
      </w:r>
    </w:p>
    <w:p w14:paraId="01E9172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14:paraId="0816E96E">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致：中智投工程管理有限公司</w:t>
      </w:r>
    </w:p>
    <w:p w14:paraId="0A9484C1">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根据贵单位</w:t>
      </w:r>
      <w:r>
        <w:rPr>
          <w:rFonts w:hint="eastAsia" w:ascii="仿宋" w:hAnsi="仿宋" w:eastAsia="仿宋" w:cs="仿宋"/>
          <w:color w:val="000000" w:themeColor="text1"/>
          <w:sz w:val="24"/>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的磋商公告，我方代表</w:t>
      </w:r>
      <w:r>
        <w:rPr>
          <w:rFonts w:hint="eastAsia" w:ascii="仿宋" w:hAnsi="仿宋" w:eastAsia="仿宋" w:cs="仿宋"/>
          <w:color w:val="000000" w:themeColor="text1"/>
          <w:sz w:val="24"/>
          <w:highlight w:val="none"/>
          <w:u w:val="single"/>
          <w14:textFill>
            <w14:solidFill>
              <w14:schemeClr w14:val="tx1"/>
            </w14:solidFill>
          </w14:textFill>
        </w:rPr>
        <w:t xml:space="preserve">   （姓名、职务）   </w:t>
      </w:r>
      <w:r>
        <w:rPr>
          <w:rFonts w:hint="eastAsia" w:ascii="仿宋" w:hAnsi="仿宋" w:eastAsia="仿宋" w:cs="仿宋"/>
          <w:color w:val="000000" w:themeColor="text1"/>
          <w:sz w:val="24"/>
          <w:highlight w:val="none"/>
          <w14:textFill>
            <w14:solidFill>
              <w14:schemeClr w14:val="tx1"/>
            </w14:solidFill>
          </w14:textFill>
        </w:rPr>
        <w:t>经正式授权并代表</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4"/>
          <w:highlight w:val="none"/>
          <w14:textFill>
            <w14:solidFill>
              <w14:schemeClr w14:val="tx1"/>
            </w14:solidFill>
          </w14:textFill>
        </w:rPr>
        <w:t>就该项目进行磋商。</w:t>
      </w:r>
    </w:p>
    <w:p w14:paraId="59FE1A75">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在此，我方郑重声明以下诸点，并负法律责任：</w:t>
      </w:r>
    </w:p>
    <w:p w14:paraId="651E7E4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1、我方提交的竞争性磋商响应文件正本一份，副本</w:t>
      </w:r>
      <w:r>
        <w:rPr>
          <w:rFonts w:hint="eastAsia" w:ascii="仿宋" w:hAnsi="仿宋" w:eastAsia="仿宋" w:cs="仿宋"/>
          <w:color w:val="000000" w:themeColor="text1"/>
          <w:sz w:val="24"/>
          <w:highlight w:val="none"/>
          <w:lang w:eastAsia="zh-CN"/>
          <w14:textFill>
            <w14:solidFill>
              <w14:schemeClr w14:val="tx1"/>
            </w14:solidFill>
          </w14:textFill>
        </w:rPr>
        <w:t>两</w:t>
      </w:r>
      <w:r>
        <w:rPr>
          <w:rFonts w:hint="eastAsia" w:ascii="仿宋" w:hAnsi="仿宋" w:eastAsia="仿宋" w:cs="仿宋"/>
          <w:color w:val="000000" w:themeColor="text1"/>
          <w:sz w:val="24"/>
          <w:highlight w:val="none"/>
          <w14:textFill>
            <w14:solidFill>
              <w14:schemeClr w14:val="tx1"/>
            </w14:solidFill>
          </w14:textFill>
        </w:rPr>
        <w:t>份，电子文件</w:t>
      </w:r>
      <w:r>
        <w:rPr>
          <w:rFonts w:hint="eastAsia" w:ascii="仿宋" w:hAnsi="仿宋" w:eastAsia="仿宋" w:cs="仿宋"/>
          <w:color w:val="000000" w:themeColor="text1"/>
          <w:sz w:val="24"/>
          <w:highlight w:val="none"/>
          <w:lang w:eastAsia="zh-CN"/>
          <w14:textFill>
            <w14:solidFill>
              <w14:schemeClr w14:val="tx1"/>
            </w14:solidFill>
          </w14:textFill>
        </w:rPr>
        <w:t>两</w:t>
      </w:r>
      <w:r>
        <w:rPr>
          <w:rFonts w:hint="eastAsia" w:ascii="仿宋" w:hAnsi="仿宋" w:eastAsia="仿宋" w:cs="仿宋"/>
          <w:color w:val="000000" w:themeColor="text1"/>
          <w:sz w:val="24"/>
          <w:highlight w:val="none"/>
          <w14:textFill>
            <w14:solidFill>
              <w14:schemeClr w14:val="tx1"/>
            </w14:solidFill>
          </w14:textFill>
        </w:rPr>
        <w:t>份。</w:t>
      </w:r>
    </w:p>
    <w:p w14:paraId="6CD2902C">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2、我方所附磋商报价表中应提交和交付的货物/服务磋商总价为人民币：</w:t>
      </w:r>
      <w:r>
        <w:rPr>
          <w:rFonts w:hint="eastAsia" w:ascii="仿宋" w:hAnsi="仿宋" w:eastAsia="仿宋" w:cs="仿宋"/>
          <w:color w:val="000000" w:themeColor="text1"/>
          <w:sz w:val="24"/>
          <w:highlight w:val="none"/>
          <w:u w:val="single"/>
          <w14:textFill>
            <w14:solidFill>
              <w14:schemeClr w14:val="tx1"/>
            </w14:solidFill>
          </w14:textFill>
        </w:rPr>
        <w:t>（同时用汉字大写和数字表示的磋商总价）</w:t>
      </w:r>
      <w:r>
        <w:rPr>
          <w:rFonts w:hint="eastAsia" w:ascii="仿宋" w:hAnsi="仿宋" w:eastAsia="仿宋" w:cs="仿宋"/>
          <w:color w:val="000000" w:themeColor="text1"/>
          <w:sz w:val="24"/>
          <w:highlight w:val="none"/>
          <w14:textFill>
            <w14:solidFill>
              <w14:schemeClr w14:val="tx1"/>
            </w14:solidFill>
          </w14:textFill>
        </w:rPr>
        <w:t>。</w:t>
      </w:r>
    </w:p>
    <w:p w14:paraId="09B5848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14:paraId="4654D8D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4、我方完全理解并同意竞争性磋商</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中拒绝投标的条款。</w:t>
      </w:r>
    </w:p>
    <w:p w14:paraId="70096CFF">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5、我方同意按照要求提供磋商有关的一切数据或资料。</w:t>
      </w:r>
    </w:p>
    <w:p w14:paraId="21CAE6A4">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6、我方将按竞争性磋商文件的规定履行合同责任和义务。</w:t>
      </w:r>
    </w:p>
    <w:p w14:paraId="3825C63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7、我方完全理解最低报价不是成交的唯一条件，采购人权选择质优价廉的货物/服务。</w:t>
      </w:r>
    </w:p>
    <w:p w14:paraId="1E755ACE">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8、我方同意按竞争性磋商文件规定，遵守贵方有关采购的各项规定。</w:t>
      </w:r>
    </w:p>
    <w:p w14:paraId="6E338A62">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9、若我方被选为成交供应商，我方保证按有关规定向贵方支付招标服务费。</w:t>
      </w:r>
    </w:p>
    <w:p w14:paraId="6B5A8192">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10、磋商响应有效期为自提交磋商响应文件的截止之日起90个日历日。</w:t>
      </w:r>
    </w:p>
    <w:p w14:paraId="754A473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11、所有关于本项目的函电，请按下列地址联系：</w:t>
      </w:r>
    </w:p>
    <w:p w14:paraId="50ED1B69">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5EB6ADED">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781B0A1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2FAAFB6F">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9C5ACC">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 细 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2C8636B">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071E5A4">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       话：</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3746EC6C">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       真：</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0689FDC7">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子 邮 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A61B53B">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开 户 银 行：</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29353297">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帐       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5F57149D">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C064CC6">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2801A163">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13DE2F7F">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6935D616">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2EA5A0E6">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2990AB2B">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38D91681">
      <w:pPr>
        <w:autoSpaceDE w:val="0"/>
        <w:autoSpaceDN w:val="0"/>
        <w:adjustRightInd w:val="0"/>
        <w:spacing w:line="480" w:lineRule="exact"/>
        <w:rPr>
          <w:rFonts w:hint="eastAsia" w:ascii="仿宋" w:hAnsi="仿宋" w:eastAsia="仿宋" w:cs="仿宋"/>
          <w:color w:val="000000" w:themeColor="text1"/>
          <w:sz w:val="24"/>
          <w:highlight w:val="none"/>
          <w:lang w:val="zh-CN"/>
          <w14:textFill>
            <w14:solidFill>
              <w14:schemeClr w14:val="tx1"/>
            </w14:solidFill>
          </w14:textFill>
        </w:rPr>
      </w:pPr>
    </w:p>
    <w:p w14:paraId="0DB112C5">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lang w:val="zh-CN"/>
          <w14:textFill>
            <w14:solidFill>
              <w14:schemeClr w14:val="tx1"/>
            </w14:solidFill>
          </w14:textFill>
        </w:rPr>
        <w:t>代表签名：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0C91981">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联系电话/手机：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A142DF0">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4572574B">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8"/>
          <w:szCs w:val="28"/>
          <w:highlight w:val="none"/>
          <w14:textFill>
            <w14:solidFill>
              <w14:schemeClr w14:val="tx1"/>
            </w14:solidFill>
          </w14:textFill>
        </w:rPr>
        <w:sectPr>
          <w:headerReference r:id="rId10" w:type="first"/>
          <w:footerReference r:id="rId12" w:type="first"/>
          <w:headerReference r:id="rId9" w:type="default"/>
          <w:footerReference r:id="rId11" w:type="default"/>
          <w:pgSz w:w="11907" w:h="16840"/>
          <w:pgMar w:top="1418" w:right="1287" w:bottom="936" w:left="1259" w:header="907" w:footer="654" w:gutter="0"/>
          <w:pgBorders>
            <w:top w:val="none" w:sz="0" w:space="0"/>
            <w:left w:val="none" w:sz="0" w:space="0"/>
            <w:bottom w:val="none" w:sz="0" w:space="0"/>
            <w:right w:val="none" w:sz="0" w:space="0"/>
          </w:pgBorders>
          <w:cols w:space="720" w:num="1"/>
          <w:titlePg/>
          <w:docGrid w:linePitch="312" w:charSpace="0"/>
        </w:sectPr>
      </w:pPr>
    </w:p>
    <w:p w14:paraId="788E3EED">
      <w:pPr>
        <w:pStyle w:val="41"/>
        <w:ind w:firstLine="562"/>
        <w:rPr>
          <w:rFonts w:hint="eastAsia" w:ascii="仿宋" w:hAnsi="仿宋" w:eastAsia="仿宋" w:cs="仿宋"/>
          <w:b/>
          <w:color w:val="000000" w:themeColor="text1"/>
          <w:highlight w:val="none"/>
          <w14:textFill>
            <w14:solidFill>
              <w14:schemeClr w14:val="tx1"/>
            </w14:solidFill>
          </w14:textFill>
        </w:rPr>
      </w:pPr>
      <w:bookmarkStart w:id="73" w:name="_Toc193126882"/>
      <w:bookmarkStart w:id="74" w:name="_Toc193187098"/>
      <w:bookmarkStart w:id="75" w:name="_Toc188808834"/>
      <w:bookmarkStart w:id="76" w:name="_Toc194663919"/>
      <w:r>
        <w:rPr>
          <w:rFonts w:hint="eastAsia" w:ascii="仿宋" w:hAnsi="仿宋" w:eastAsia="仿宋" w:cs="仿宋"/>
          <w:b/>
          <w:color w:val="000000" w:themeColor="text1"/>
          <w:highlight w:val="none"/>
          <w14:textFill>
            <w14:solidFill>
              <w14:schemeClr w14:val="tx1"/>
            </w14:solidFill>
          </w14:textFill>
        </w:rPr>
        <w:t>2.磋商报价一览表</w:t>
      </w:r>
      <w:bookmarkEnd w:id="73"/>
      <w:bookmarkEnd w:id="74"/>
      <w:bookmarkEnd w:id="75"/>
      <w:bookmarkEnd w:id="76"/>
      <w:r>
        <w:rPr>
          <w:rFonts w:hint="eastAsia" w:ascii="仿宋" w:hAnsi="仿宋" w:eastAsia="仿宋" w:cs="仿宋"/>
          <w:bCs/>
          <w:color w:val="000000" w:themeColor="text1"/>
          <w:sz w:val="22"/>
          <w:highlight w:val="none"/>
          <w14:textFill>
            <w14:solidFill>
              <w14:schemeClr w14:val="tx1"/>
            </w14:solidFill>
          </w14:textFill>
        </w:rPr>
        <w:t>（格式）</w:t>
      </w:r>
    </w:p>
    <w:p w14:paraId="2F58A770">
      <w:pPr>
        <w:spacing w:line="480" w:lineRule="exact"/>
        <w:ind w:firstLine="723" w:firstLineChars="200"/>
        <w:jc w:val="center"/>
        <w:rPr>
          <w:rFonts w:hint="eastAsia" w:ascii="仿宋" w:hAnsi="仿宋" w:eastAsia="仿宋" w:cs="仿宋"/>
          <w:b/>
          <w:bCs/>
          <w:color w:val="000000" w:themeColor="text1"/>
          <w:sz w:val="36"/>
          <w:szCs w:val="21"/>
          <w:highlight w:val="none"/>
          <w14:textFill>
            <w14:solidFill>
              <w14:schemeClr w14:val="tx1"/>
            </w14:solidFill>
          </w14:textFill>
        </w:rPr>
      </w:pPr>
    </w:p>
    <w:p w14:paraId="79AE6206">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tbl>
      <w:tblPr>
        <w:tblStyle w:val="23"/>
        <w:tblW w:w="14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2"/>
        <w:gridCol w:w="5135"/>
        <w:gridCol w:w="6186"/>
      </w:tblGrid>
      <w:tr w14:paraId="62224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822" w:type="dxa"/>
            <w:vAlign w:val="center"/>
          </w:tcPr>
          <w:p w14:paraId="7095B46E">
            <w:pPr>
              <w:spacing w:line="480" w:lineRule="exact"/>
              <w:ind w:right="143" w:rightChars="68" w:firstLine="118" w:firstLineChars="49"/>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tc>
        <w:tc>
          <w:tcPr>
            <w:tcW w:w="5135" w:type="dxa"/>
            <w:vAlign w:val="center"/>
          </w:tcPr>
          <w:p w14:paraId="580720D4">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磋商报价（人民币:元）</w:t>
            </w:r>
          </w:p>
        </w:tc>
        <w:tc>
          <w:tcPr>
            <w:tcW w:w="6186" w:type="dxa"/>
            <w:tcMar>
              <w:top w:w="57" w:type="dxa"/>
              <w:left w:w="28" w:type="dxa"/>
              <w:bottom w:w="57" w:type="dxa"/>
              <w:right w:w="28" w:type="dxa"/>
            </w:tcMar>
            <w:vAlign w:val="center"/>
          </w:tcPr>
          <w:p w14:paraId="2A4319C1">
            <w:pPr>
              <w:spacing w:line="480" w:lineRule="exact"/>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r>
              <w:rPr>
                <w:rFonts w:hint="eastAsia" w:ascii="仿宋" w:hAnsi="仿宋" w:eastAsia="仿宋" w:cs="仿宋"/>
                <w:b/>
                <w:color w:val="000000" w:themeColor="text1"/>
                <w:sz w:val="24"/>
                <w:highlight w:val="none"/>
                <w:lang w:eastAsia="zh-CN"/>
                <w14:textFill>
                  <w14:solidFill>
                    <w14:schemeClr w14:val="tx1"/>
                  </w14:solidFill>
                </w14:textFill>
              </w:rPr>
              <w:t>（年）</w:t>
            </w:r>
          </w:p>
        </w:tc>
      </w:tr>
      <w:tr w14:paraId="68F9EE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2822" w:type="dxa"/>
            <w:vMerge w:val="restart"/>
            <w:vAlign w:val="center"/>
          </w:tcPr>
          <w:p w14:paraId="0F092FED">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5135" w:type="dxa"/>
            <w:vAlign w:val="center"/>
          </w:tcPr>
          <w:p w14:paraId="5942860E">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6186" w:type="dxa"/>
            <w:tcMar>
              <w:top w:w="57" w:type="dxa"/>
              <w:left w:w="28" w:type="dxa"/>
              <w:bottom w:w="57" w:type="dxa"/>
              <w:right w:w="28" w:type="dxa"/>
            </w:tcMar>
            <w:vAlign w:val="center"/>
          </w:tcPr>
          <w:p w14:paraId="2739FAAB">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r>
      <w:tr w14:paraId="1EF54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822" w:type="dxa"/>
            <w:vMerge w:val="continue"/>
            <w:tcMar>
              <w:top w:w="57" w:type="dxa"/>
              <w:left w:w="28" w:type="dxa"/>
              <w:bottom w:w="57" w:type="dxa"/>
              <w:right w:w="28" w:type="dxa"/>
            </w:tcMar>
            <w:vAlign w:val="center"/>
          </w:tcPr>
          <w:p w14:paraId="7ECD65A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321" w:type="dxa"/>
            <w:gridSpan w:val="2"/>
            <w:vAlign w:val="top"/>
          </w:tcPr>
          <w:p w14:paraId="1C2BCAEB">
            <w:pPr>
              <w:spacing w:line="480" w:lineRule="exact"/>
              <w:ind w:left="210" w:left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（大写）                                </w:t>
            </w:r>
          </w:p>
        </w:tc>
      </w:tr>
    </w:tbl>
    <w:p w14:paraId="619875C7">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2702E164">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（全称、签章）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CA7BAB1">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（盖章或签字）        </w:t>
      </w:r>
    </w:p>
    <w:p w14:paraId="54426526">
      <w:pPr>
        <w:keepNext w:val="0"/>
        <w:keepLines w:val="0"/>
        <w:pageBreakBefore w:val="0"/>
        <w:widowControl w:val="0"/>
        <w:kinsoku/>
        <w:wordWrap/>
        <w:overflowPunct/>
        <w:topLinePunct w:val="0"/>
        <w:autoSpaceDE/>
        <w:autoSpaceDN/>
        <w:bidi w:val="0"/>
        <w:adjustRightInd/>
        <w:snapToGrid/>
        <w:spacing w:after="100" w:afterAutospacing="1" w:line="640" w:lineRule="exact"/>
        <w:jc w:val="left"/>
        <w:textAlignment w:val="auto"/>
        <w:rPr>
          <w:rFonts w:hint="eastAsia" w:ascii="仿宋" w:hAnsi="仿宋" w:eastAsia="仿宋" w:cs="仿宋"/>
          <w:b/>
          <w:color w:val="000000" w:themeColor="text1"/>
          <w:sz w:val="28"/>
          <w:szCs w:val="28"/>
          <w:highlight w:val="none"/>
          <w14:textFill>
            <w14:solidFill>
              <w14:schemeClr w14:val="tx1"/>
            </w14:solidFill>
          </w14:textFill>
        </w:rPr>
      </w:pPr>
    </w:p>
    <w:p w14:paraId="35183C29">
      <w:pPr>
        <w:pStyle w:val="10"/>
        <w:rPr>
          <w:rFonts w:hint="eastAsia" w:ascii="仿宋" w:hAnsi="仿宋" w:eastAsia="仿宋" w:cs="仿宋"/>
          <w:b/>
          <w:color w:val="000000" w:themeColor="text1"/>
          <w:sz w:val="28"/>
          <w:szCs w:val="28"/>
          <w:highlight w:val="none"/>
          <w14:textFill>
            <w14:solidFill>
              <w14:schemeClr w14:val="tx1"/>
            </w14:solidFill>
          </w14:textFill>
        </w:rPr>
      </w:pPr>
    </w:p>
    <w:p w14:paraId="6847C4CB">
      <w:pPr>
        <w:rPr>
          <w:rFonts w:hint="eastAsia"/>
          <w:highlight w:val="none"/>
        </w:rPr>
      </w:pPr>
    </w:p>
    <w:p w14:paraId="6BC940F3">
      <w:pPr>
        <w:rPr>
          <w:rFonts w:hint="eastAsia" w:ascii="仿宋" w:hAnsi="仿宋" w:eastAsia="仿宋" w:cs="仿宋"/>
          <w:b/>
          <w:color w:val="000000" w:themeColor="text1"/>
          <w:sz w:val="28"/>
          <w:szCs w:val="28"/>
          <w:highlight w:val="none"/>
          <w14:textFill>
            <w14:solidFill>
              <w14:schemeClr w14:val="tx1"/>
            </w14:solidFill>
          </w14:textFill>
        </w:rPr>
      </w:pPr>
    </w:p>
    <w:p w14:paraId="41634998">
      <w:pPr>
        <w:spacing w:line="440" w:lineRule="exact"/>
        <w:rPr>
          <w:rFonts w:hint="eastAsia" w:ascii="仿宋" w:hAnsi="仿宋" w:eastAsia="仿宋" w:cs="仿宋"/>
          <w:color w:val="auto"/>
          <w:sz w:val="24"/>
          <w:highlight w:val="none"/>
        </w:rPr>
      </w:pPr>
    </w:p>
    <w:p w14:paraId="6C14C20D">
      <w:pPr>
        <w:pStyle w:val="10"/>
        <w:rPr>
          <w:rFonts w:hint="eastAsia" w:ascii="仿宋" w:hAnsi="仿宋" w:eastAsia="仿宋" w:cs="仿宋"/>
          <w:sz w:val="24"/>
          <w:szCs w:val="24"/>
          <w:highlight w:val="none"/>
          <w:lang w:val="en-US" w:eastAsia="zh-CN"/>
        </w:rPr>
        <w:sectPr>
          <w:headerReference r:id="rId14" w:type="first"/>
          <w:headerReference r:id="rId13" w:type="default"/>
          <w:footerReference r:id="rId15" w:type="default"/>
          <w:pgSz w:w="16840" w:h="11907" w:orient="landscape"/>
          <w:pgMar w:top="1259" w:right="1418" w:bottom="1287" w:left="936" w:header="851" w:footer="102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 xml:space="preserve">   </w:t>
      </w:r>
    </w:p>
    <w:p w14:paraId="029B021F">
      <w:pPr>
        <w:pStyle w:val="41"/>
        <w:ind w:firstLine="562"/>
        <w:rPr>
          <w:rFonts w:hint="eastAsia" w:ascii="仿宋" w:hAnsi="仿宋" w:eastAsia="仿宋" w:cs="仿宋"/>
          <w:b/>
          <w:color w:val="000000" w:themeColor="text1"/>
          <w:szCs w:val="28"/>
          <w:highlight w:val="none"/>
          <w14:textFill>
            <w14:solidFill>
              <w14:schemeClr w14:val="tx1"/>
            </w14:solidFill>
          </w14:textFill>
        </w:rPr>
      </w:pPr>
      <w:bookmarkStart w:id="77" w:name="_Toc193126888"/>
      <w:bookmarkStart w:id="78" w:name="_Toc49019236"/>
      <w:bookmarkStart w:id="79" w:name="_Toc47261690"/>
      <w:bookmarkStart w:id="80" w:name="_Toc237"/>
      <w:bookmarkStart w:id="81" w:name="_Toc13908"/>
      <w:bookmarkStart w:id="82" w:name="_Toc47261885"/>
      <w:bookmarkStart w:id="83" w:name="_Toc48791235"/>
      <w:bookmarkStart w:id="84" w:name="_Toc49019497"/>
      <w:bookmarkStart w:id="85" w:name="_Toc193187104"/>
      <w:bookmarkStart w:id="86" w:name="_Toc47418731"/>
      <w:bookmarkStart w:id="87" w:name="_Toc47262069"/>
      <w:bookmarkStart w:id="88" w:name="_Toc188808839"/>
      <w:bookmarkStart w:id="89" w:name="_Toc458617477"/>
      <w:bookmarkStart w:id="90" w:name="_Toc47418938"/>
      <w:bookmarkStart w:id="91" w:name="_Toc194663925"/>
      <w:bookmarkStart w:id="92" w:name="_Toc47418255"/>
      <w:bookmarkStart w:id="93" w:name="_Toc48995851"/>
      <w:r>
        <w:rPr>
          <w:rFonts w:hint="eastAsia" w:ascii="仿宋" w:hAnsi="仿宋" w:eastAsia="仿宋" w:cs="仿宋"/>
          <w:b/>
          <w:color w:val="000000" w:themeColor="text1"/>
          <w:szCs w:val="28"/>
          <w:highlight w:val="none"/>
          <w:lang w:val="en-US" w:eastAsia="zh-CN"/>
          <w14:textFill>
            <w14:solidFill>
              <w14:schemeClr w14:val="tx1"/>
            </w14:solidFill>
          </w14:textFill>
        </w:rPr>
        <w:t>3</w:t>
      </w:r>
      <w:r>
        <w:rPr>
          <w:rFonts w:hint="eastAsia" w:ascii="仿宋" w:hAnsi="仿宋" w:eastAsia="仿宋" w:cs="仿宋"/>
          <w:b/>
          <w:color w:val="000000" w:themeColor="text1"/>
          <w:szCs w:val="28"/>
          <w:highlight w:val="none"/>
          <w14:textFill>
            <w14:solidFill>
              <w14:schemeClr w14:val="tx1"/>
            </w14:solidFill>
          </w14:textFill>
        </w:rPr>
        <w:t>、商务条款响应偏离表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3C1831F6">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3"/>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14:paraId="36BA1F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FC1086F">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14:paraId="09A0C507">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14:paraId="05A6F525">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14:paraId="663A3718">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14:paraId="541F3772">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58BAD3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14:paraId="5A666F8A">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29A40A20">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1B8DDAF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7334D8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4FD2F0F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3F44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14:paraId="408152E9">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18EF05F1">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74C55A0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64A16DF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84406E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102AD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54FC5C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670153A2">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46EA39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EAF1D7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2A94E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F2D3D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4A0B33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6A4767CE">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607D15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1848B3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ECB102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F15DE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3E5DDA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634C6541">
            <w:pPr>
              <w:spacing w:line="48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0739346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C8F482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9164D7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25EEC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7442FA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BA8C586">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1715746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B8545F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89A18D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505BC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D482E9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83A55C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11B8F15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483FCF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F43C9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EDD07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61EE320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6197486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07C806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879A81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479D7C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68DD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46442E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8426E6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029AFE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CFA24D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C61C6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670F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0978B8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1754341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24E1B2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1313C5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7ECAED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02999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14D2DA2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621E14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28DCAD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12C4E0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AF51CA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BF2A2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AB5992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D63985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1220A49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61A3F2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0AD4D9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D465C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21C95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11AEA3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3156903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CE124E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0679F2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21BD9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6BC15A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8802F3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3357020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A2C25C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85D61F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59798BA4">
      <w:pPr>
        <w:spacing w:line="440" w:lineRule="exact"/>
        <w:rPr>
          <w:rFonts w:hint="eastAsia" w:ascii="仿宋" w:hAnsi="仿宋" w:eastAsia="仿宋" w:cs="仿宋"/>
          <w:b/>
          <w:bCs/>
          <w:color w:val="000000" w:themeColor="text1"/>
          <w:sz w:val="24"/>
          <w:highlight w:val="none"/>
          <w:lang w:val="zh-CN" w:eastAsia="zh-CN"/>
          <w14:textFill>
            <w14:solidFill>
              <w14:schemeClr w14:val="tx1"/>
            </w14:solidFill>
          </w14:textFill>
        </w:rPr>
      </w:pPr>
    </w:p>
    <w:p w14:paraId="059773DC">
      <w:pPr>
        <w:spacing w:line="440" w:lineRule="exact"/>
        <w:rPr>
          <w:rFonts w:hint="eastAsia" w:ascii="仿宋" w:hAnsi="仿宋" w:eastAsia="仿宋" w:cs="仿宋"/>
          <w:sz w:val="24"/>
          <w:highlight w:val="none"/>
          <w:lang w:val="zh-CN"/>
        </w:rPr>
      </w:pPr>
      <w:r>
        <w:rPr>
          <w:rFonts w:hint="eastAsia" w:ascii="仿宋" w:hAnsi="仿宋" w:eastAsia="仿宋" w:cs="仿宋"/>
          <w:b/>
          <w:bCs/>
          <w:color w:val="auto"/>
          <w:sz w:val="22"/>
          <w:szCs w:val="22"/>
          <w:highlight w:val="none"/>
          <w:lang w:eastAsia="zh-CN"/>
        </w:rPr>
        <w:t>注：本表按照磋商文件第四章《</w:t>
      </w:r>
      <w:r>
        <w:rPr>
          <w:rFonts w:hint="eastAsia" w:ascii="仿宋" w:hAnsi="仿宋" w:eastAsia="仿宋" w:cs="仿宋"/>
          <w:b/>
          <w:bCs/>
          <w:color w:val="auto"/>
          <w:sz w:val="22"/>
          <w:szCs w:val="22"/>
          <w:highlight w:val="none"/>
          <w:lang w:val="en-US" w:eastAsia="zh-CN"/>
        </w:rPr>
        <w:t>商务要求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逐条响应，否则按无效投标处理。</w:t>
      </w:r>
      <w:r>
        <w:rPr>
          <w:rFonts w:hint="eastAsia" w:ascii="仿宋" w:hAnsi="仿宋" w:eastAsia="仿宋" w:cs="仿宋"/>
          <w:b/>
          <w:bCs/>
          <w:color w:val="auto"/>
          <w:sz w:val="22"/>
          <w:szCs w:val="22"/>
          <w:highlight w:val="none"/>
          <w:u w:val="none"/>
          <w:lang w:val="en-US" w:eastAsia="zh-CN"/>
        </w:rPr>
        <w:t>偏离情况填写：优于、等于或者低于，偏离说明对偏离情况做出详细说明。</w:t>
      </w:r>
    </w:p>
    <w:p w14:paraId="017CF708">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7681D31B">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00354B6C">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61FDAEBF">
      <w:pPr>
        <w:rPr>
          <w:rFonts w:hint="eastAsia" w:ascii="仿宋" w:hAnsi="仿宋" w:eastAsia="仿宋" w:cs="仿宋"/>
          <w:color w:val="000000" w:themeColor="text1"/>
          <w:sz w:val="24"/>
          <w:highlight w:val="none"/>
          <w14:textFill>
            <w14:solidFill>
              <w14:schemeClr w14:val="tx1"/>
            </w14:solidFill>
          </w14:textFill>
        </w:rPr>
      </w:pPr>
    </w:p>
    <w:p w14:paraId="2BDD4157">
      <w:pPr>
        <w:rPr>
          <w:rFonts w:hint="eastAsia" w:ascii="仿宋" w:hAnsi="仿宋" w:eastAsia="仿宋" w:cs="仿宋"/>
          <w:color w:val="000000" w:themeColor="text1"/>
          <w:sz w:val="24"/>
          <w:highlight w:val="none"/>
          <w14:textFill>
            <w14:solidFill>
              <w14:schemeClr w14:val="tx1"/>
            </w14:solidFill>
          </w14:textFill>
        </w:rPr>
      </w:pPr>
    </w:p>
    <w:p w14:paraId="02032A32">
      <w:pPr>
        <w:rPr>
          <w:rFonts w:hint="eastAsia" w:ascii="仿宋" w:hAnsi="仿宋" w:eastAsia="仿宋" w:cs="仿宋"/>
          <w:color w:val="000000" w:themeColor="text1"/>
          <w:sz w:val="24"/>
          <w:highlight w:val="none"/>
          <w14:textFill>
            <w14:solidFill>
              <w14:schemeClr w14:val="tx1"/>
            </w14:solidFill>
          </w14:textFill>
        </w:rPr>
        <w:sectPr>
          <w:headerReference r:id="rId17" w:type="first"/>
          <w:footerReference r:id="rId19" w:type="first"/>
          <w:headerReference r:id="rId16" w:type="default"/>
          <w:footerReference r:id="rId18"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pPr>
    </w:p>
    <w:p w14:paraId="13F2FBF8">
      <w:pPr>
        <w:pStyle w:val="41"/>
        <w:ind w:firstLine="562"/>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lang w:val="en-US" w:eastAsia="zh-CN"/>
          <w14:textFill>
            <w14:solidFill>
              <w14:schemeClr w14:val="tx1"/>
            </w14:solidFill>
          </w14:textFill>
        </w:rPr>
        <w:t>4</w:t>
      </w:r>
      <w:r>
        <w:rPr>
          <w:rFonts w:hint="eastAsia" w:ascii="仿宋" w:hAnsi="仿宋" w:eastAsia="仿宋" w:cs="仿宋"/>
          <w:b/>
          <w:color w:val="000000" w:themeColor="text1"/>
          <w:szCs w:val="28"/>
          <w:highlight w:val="none"/>
          <w14:textFill>
            <w14:solidFill>
              <w14:schemeClr w14:val="tx1"/>
            </w14:solidFill>
          </w14:textFill>
        </w:rPr>
        <w:t>、服务条款响应偏离表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24D66D81">
      <w:pPr>
        <w:spacing w:line="240" w:lineRule="exact"/>
        <w:ind w:left="210" w:leftChars="100"/>
        <w:rPr>
          <w:rFonts w:hint="eastAsia" w:ascii="仿宋" w:hAnsi="仿宋" w:eastAsia="仿宋" w:cs="仿宋"/>
          <w:b/>
          <w:bCs/>
          <w:color w:val="000000" w:themeColor="text1"/>
          <w:sz w:val="24"/>
          <w:highlight w:val="none"/>
          <w14:textFill>
            <w14:solidFill>
              <w14:schemeClr w14:val="tx1"/>
            </w14:solidFill>
          </w14:textFill>
        </w:rPr>
      </w:pPr>
    </w:p>
    <w:p w14:paraId="26313E15">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3"/>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14:paraId="738F0C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48CF1CA">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14:paraId="5081559F">
            <w:pPr>
              <w:spacing w:line="320" w:lineRule="exact"/>
              <w:ind w:left="-97" w:leftChars="-46"/>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14:paraId="2EE6452C">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14:paraId="26BCBD69">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14:paraId="00585F84">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14:paraId="6BAC213E">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2BE089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14:paraId="7160609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46236CA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6AE0B00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5868874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7D518CB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68C5F38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2546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14:paraId="5558C0D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262857F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5A5F35C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1E1B2FE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3B8EA40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1118453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4AED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889A22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2F5AB3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4B72F23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1410AB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4AF0B7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2CD86E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B32E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88E123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3ED40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0D2EC60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7337E0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2CCFE3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6E46DD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2C94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06D917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2815146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16E6C4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6E4EA9A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D1F6B5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3FDB8B7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4FA6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46C84C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285531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3FB1573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6F3138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204D76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0F1CCC8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01642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486E41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53E5FD5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CDBB1B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49C6D9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27A549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CC159D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5B825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535360D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52DE53D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802728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86CD1A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D554F3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145E8D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6330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32CA59C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FFDD81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100EBF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36EB50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4E11AB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11C5D8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1F6C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E7F561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2EED7E2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0733192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B537F4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202C36F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2B8CB2D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56E0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0D9F14E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DAF365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063F15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C4928E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8146ED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33A990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0183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14:paraId="3367866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2C10489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29FF0CF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31C4B3B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7BD7D18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0750A7C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9CE57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32FE2B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576E09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A54295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A3B645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49BE8A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3E7DAE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0F7E1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FD3AD9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A72597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EABB1A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62098E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AD4B03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44E21F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D5D2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2A0429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24445F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4FEED4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1784CD8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1E2F19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ABA43F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79E6E4C0">
      <w:pPr>
        <w:spacing w:line="240" w:lineRule="auto"/>
        <w:ind w:left="210" w:leftChars="100"/>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服务内容及要求</w:t>
      </w: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14:paraId="47852990">
      <w:pPr>
        <w:spacing w:line="440" w:lineRule="exact"/>
        <w:rPr>
          <w:rFonts w:hint="eastAsia" w:ascii="仿宋" w:hAnsi="仿宋" w:eastAsia="仿宋" w:cs="仿宋"/>
          <w:color w:val="000000" w:themeColor="text1"/>
          <w:sz w:val="24"/>
          <w:highlight w:val="none"/>
          <w:lang w:val="zh-CN"/>
          <w14:textFill>
            <w14:solidFill>
              <w14:schemeClr w14:val="tx1"/>
            </w14:solidFill>
          </w14:textFill>
        </w:rPr>
      </w:pPr>
    </w:p>
    <w:p w14:paraId="44DEBDCA">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6784DB94">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018D2A82">
      <w:pPr>
        <w:pStyle w:val="41"/>
        <w:ind w:firstLineChars="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14:textFill>
            <w14:solidFill>
              <w14:schemeClr w14:val="tx1"/>
            </w14:solidFill>
          </w14:textFill>
        </w:rPr>
        <w:br w:type="page"/>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hint="eastAsia" w:ascii="仿宋" w:hAnsi="仿宋" w:eastAsia="仿宋" w:cs="仿宋"/>
          <w:b/>
          <w:color w:val="000000" w:themeColor="text1"/>
          <w:kern w:val="0"/>
          <w:sz w:val="28"/>
          <w:szCs w:val="22"/>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14:textFill>
            <w14:solidFill>
              <w14:schemeClr w14:val="tx1"/>
            </w14:solidFill>
          </w14:textFill>
        </w:rPr>
        <w:t>.资格证明文件</w:t>
      </w:r>
    </w:p>
    <w:p w14:paraId="45DEB017">
      <w:pPr>
        <w:keepNext w:val="0"/>
        <w:keepLines w:val="0"/>
        <w:pageBreakBefore w:val="0"/>
        <w:widowControl/>
        <w:kinsoku/>
        <w:wordWrap/>
        <w:overflowPunct/>
        <w:topLinePunct w:val="0"/>
        <w:autoSpaceDE/>
        <w:autoSpaceDN/>
        <w:bidi w:val="0"/>
        <w:adjustRightInd/>
        <w:snapToGrid/>
        <w:spacing w:line="560" w:lineRule="exact"/>
        <w:ind w:right="-197" w:rightChars="-94"/>
        <w:jc w:val="left"/>
        <w:textAlignment w:val="auto"/>
        <w:rPr>
          <w:rFonts w:hint="eastAsia" w:ascii="仿宋" w:hAnsi="仿宋" w:eastAsia="仿宋" w:cs="仿宋"/>
          <w:b/>
          <w:bCs/>
          <w:color w:val="000000"/>
          <w:sz w:val="24"/>
          <w:highlight w:val="none"/>
          <w:lang w:val="en-US" w:eastAsia="zh-CN"/>
        </w:rPr>
      </w:pPr>
      <w:bookmarkStart w:id="94" w:name="_Toc193126891"/>
      <w:bookmarkStart w:id="95" w:name="_Toc188808842"/>
      <w:r>
        <w:rPr>
          <w:rFonts w:hint="eastAsia" w:ascii="仿宋" w:hAnsi="仿宋" w:eastAsia="仿宋" w:cs="仿宋"/>
          <w:b w:val="0"/>
          <w:bCs w:val="0"/>
          <w:color w:val="000000"/>
          <w:sz w:val="24"/>
          <w:highlight w:val="none"/>
          <w:lang w:val="en-US" w:eastAsia="zh-CN"/>
        </w:rPr>
        <w:t>1、具有独立承担民事责任能力的法人、其他组织或自然人，提供合法有效经年检合格的统一社会信用代码营业执照；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2、提供企业法定代表人授权委托书原件（附法定代表人、被授权委托人身份证复印件）及被授权委托人身份证原件（法定代表人参会或到场的仅提供法定代表人身份证原件）；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3、拟派项目负责人须具备园林相关专业中级及以上职称；</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4、须提供2023年或2024年经审计的财务报告（成立时间至提交投标文件截止时间不足一年的可提供成立后任意时段的财务报表）或投标文件递交截止之日前3个月内基本开户行银行出具的资信证明；</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5、须依法缴纳社会保障资金（养老保险）的良好记录（提供投标截止时间前六个月内任意一个月份的缴费凭据复印件并加盖投标单位公章）；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6、须提供依法缴纳税收资金的良好记录（提供投标截止时间前六个月内任意一个月份的缴费凭据复印件并加盖投标单位公章）；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7、供应商应在投标截止日前未被列入失信被执行人、重大税收违法失信主体、政府采购严重违法失信行为记录名单（处罚期限届满的除外）（以“信用中国”网站（www.creditchina.gov.cn）和中国政府采购网（www.ccgp.gov.cn）查询结果为准，提供网站截图并加盖供应商公章；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8、提供近三年内在经营活动中没有重大违法记录的书面声明；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9、提供投标保证金转账凭证及银行开户许可证复印件并加盖供应商单位公章； </w:t>
      </w:r>
      <w:r>
        <w:rPr>
          <w:rFonts w:hint="eastAsia" w:ascii="仿宋" w:hAnsi="仿宋" w:eastAsia="仿宋" w:cs="仿宋"/>
          <w:b w:val="0"/>
          <w:bCs w:val="0"/>
          <w:color w:val="000000"/>
          <w:sz w:val="24"/>
          <w:highlight w:val="none"/>
          <w:lang w:val="en-US" w:eastAsia="zh-CN"/>
        </w:rPr>
        <w:br w:type="textWrapping"/>
      </w:r>
      <w:r>
        <w:rPr>
          <w:rFonts w:hint="eastAsia" w:ascii="仿宋" w:hAnsi="仿宋" w:eastAsia="仿宋" w:cs="仿宋"/>
          <w:b w:val="0"/>
          <w:bCs w:val="0"/>
          <w:color w:val="000000"/>
          <w:sz w:val="24"/>
          <w:highlight w:val="none"/>
          <w:lang w:val="en-US" w:eastAsia="zh-CN"/>
        </w:rPr>
        <w:t>10、本项目不接受联合体投标。单位负责人为同一人或者存在控股、管理关系的不同单位不得同时投标。</w:t>
      </w:r>
    </w:p>
    <w:p w14:paraId="34878C07">
      <w:pPr>
        <w:widowControl/>
        <w:spacing w:line="560" w:lineRule="exact"/>
        <w:ind w:right="-197" w:rightChars="-94" w:firstLine="482" w:firstLineChars="200"/>
        <w:jc w:val="left"/>
        <w:rPr>
          <w:rFonts w:hint="eastAsia" w:ascii="仿宋" w:hAnsi="仿宋" w:eastAsia="仿宋" w:cs="仿宋"/>
          <w:b/>
          <w:bCs/>
          <w:color w:val="000000"/>
          <w:sz w:val="24"/>
          <w:highlight w:val="none"/>
          <w:lang w:val="en-US" w:eastAsia="zh-CN"/>
        </w:rPr>
      </w:pPr>
    </w:p>
    <w:p w14:paraId="7F5AB74B">
      <w:pPr>
        <w:widowControl/>
        <w:spacing w:line="560" w:lineRule="exact"/>
        <w:ind w:right="-197" w:rightChars="-94"/>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sz w:val="24"/>
          <w:highlight w:val="none"/>
          <w:lang w:val="en-US" w:eastAsia="zh-CN"/>
        </w:rPr>
        <w:t>特别提醒：中标人提供的《中小企业声明函》将随中标结果公告一同公布，接受社会监督。</w:t>
      </w:r>
    </w:p>
    <w:p w14:paraId="2C404817">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16311F2E">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5ED287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b/>
          <w:color w:val="000000" w:themeColor="text1"/>
          <w:highlight w:val="none"/>
          <w14:textFill>
            <w14:solidFill>
              <w14:schemeClr w14:val="tx1"/>
            </w14:solidFill>
          </w14:textFill>
        </w:rPr>
        <w:br w:type="page"/>
      </w:r>
    </w:p>
    <w:p w14:paraId="60DF04F5">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法定代表人资格证明书</w:t>
      </w:r>
    </w:p>
    <w:tbl>
      <w:tblPr>
        <w:tblStyle w:val="23"/>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7FD6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13E8A8BE">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致：中智投工程管理有限公司</w:t>
            </w:r>
          </w:p>
        </w:tc>
      </w:tr>
      <w:tr w14:paraId="1781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A96BF8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8538" w:type="dxa"/>
            <w:gridSpan w:val="4"/>
          </w:tcPr>
          <w:p w14:paraId="5339C72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7B0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FD375B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8538" w:type="dxa"/>
            <w:gridSpan w:val="4"/>
          </w:tcPr>
          <w:p w14:paraId="7DC3268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DD3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4AE4D3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   限</w:t>
            </w:r>
          </w:p>
        </w:tc>
        <w:tc>
          <w:tcPr>
            <w:tcW w:w="8538" w:type="dxa"/>
            <w:gridSpan w:val="4"/>
            <w:vAlign w:val="center"/>
          </w:tcPr>
          <w:p w14:paraId="4685C275">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14:paraId="07C2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968273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有效期</w:t>
            </w:r>
          </w:p>
        </w:tc>
        <w:tc>
          <w:tcPr>
            <w:tcW w:w="8538" w:type="dxa"/>
            <w:gridSpan w:val="4"/>
            <w:vAlign w:val="center"/>
          </w:tcPr>
          <w:p w14:paraId="4BE098F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自提交磋商响应文件的截止之日起90个日历日</w:t>
            </w:r>
          </w:p>
        </w:tc>
      </w:tr>
      <w:tr w14:paraId="601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3852F80">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w:t>
            </w:r>
          </w:p>
          <w:p w14:paraId="42B030EE">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信息</w:t>
            </w:r>
          </w:p>
        </w:tc>
        <w:tc>
          <w:tcPr>
            <w:tcW w:w="2470" w:type="dxa"/>
          </w:tcPr>
          <w:p w14:paraId="594999A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68" w:type="dxa"/>
            <w:gridSpan w:val="3"/>
          </w:tcPr>
          <w:p w14:paraId="18EA872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07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88C727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22A23A9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68" w:type="dxa"/>
            <w:gridSpan w:val="3"/>
          </w:tcPr>
          <w:p w14:paraId="1B2F4CB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4B1B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EF397A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D631B4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68" w:type="dxa"/>
            <w:gridSpan w:val="3"/>
          </w:tcPr>
          <w:p w14:paraId="255706E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E4E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951E49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4C6CA120">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工商登记机关</w:t>
            </w:r>
          </w:p>
        </w:tc>
        <w:tc>
          <w:tcPr>
            <w:tcW w:w="6068" w:type="dxa"/>
            <w:gridSpan w:val="3"/>
          </w:tcPr>
          <w:p w14:paraId="1E38054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5DA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1CA2654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6ECDD3EC">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网        址</w:t>
            </w:r>
          </w:p>
        </w:tc>
        <w:tc>
          <w:tcPr>
            <w:tcW w:w="6068" w:type="dxa"/>
            <w:gridSpan w:val="3"/>
          </w:tcPr>
          <w:p w14:paraId="187B0216">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27DF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1273BA9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w:t>
            </w:r>
          </w:p>
          <w:p w14:paraId="3BC5BC9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表人</w:t>
            </w:r>
          </w:p>
        </w:tc>
        <w:tc>
          <w:tcPr>
            <w:tcW w:w="2470" w:type="dxa"/>
          </w:tcPr>
          <w:p w14:paraId="39CF8044">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    名</w:t>
            </w:r>
          </w:p>
        </w:tc>
        <w:tc>
          <w:tcPr>
            <w:tcW w:w="1965" w:type="dxa"/>
          </w:tcPr>
          <w:p w14:paraId="6DC6602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5E21F172">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767" w:type="dxa"/>
          </w:tcPr>
          <w:p w14:paraId="63F7FD4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952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6FDB34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CBEFC58">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    务</w:t>
            </w:r>
          </w:p>
        </w:tc>
        <w:tc>
          <w:tcPr>
            <w:tcW w:w="1965" w:type="dxa"/>
          </w:tcPr>
          <w:p w14:paraId="1B7E298E">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3B70D1C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联系电话</w:t>
            </w:r>
          </w:p>
        </w:tc>
        <w:tc>
          <w:tcPr>
            <w:tcW w:w="2767" w:type="dxa"/>
          </w:tcPr>
          <w:p w14:paraId="64F457F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887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1B669DF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4FB1CA3">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传    真</w:t>
            </w:r>
          </w:p>
        </w:tc>
        <w:tc>
          <w:tcPr>
            <w:tcW w:w="6068" w:type="dxa"/>
            <w:gridSpan w:val="3"/>
          </w:tcPr>
          <w:p w14:paraId="20CAEC52">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D3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627E69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7DF323B9">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6068" w:type="dxa"/>
            <w:gridSpan w:val="3"/>
          </w:tcPr>
          <w:p w14:paraId="23E3FD0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710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280856D4">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26B5F32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55190D20">
            <w:pPr>
              <w:tabs>
                <w:tab w:val="right" w:leader="dot" w:pos="9022"/>
              </w:tabs>
              <w:autoSpaceDE w:val="0"/>
              <w:autoSpaceDN w:val="0"/>
              <w:adjustRightInd w:val="0"/>
              <w:spacing w:line="500" w:lineRule="exact"/>
              <w:jc w:val="center"/>
              <w:rPr>
                <w:rFonts w:hint="eastAsia" w:ascii="仿宋" w:hAnsi="仿宋" w:eastAsia="仿宋" w:cs="仿宋"/>
                <w:color w:val="000000" w:themeColor="text1"/>
                <w:spacing w:val="-4"/>
                <w:sz w:val="24"/>
                <w:highlight w:val="none"/>
                <w14:textFill>
                  <w14:solidFill>
                    <w14:schemeClr w14:val="tx1"/>
                  </w14:solidFill>
                </w14:textFill>
              </w:rPr>
            </w:pPr>
          </w:p>
          <w:p w14:paraId="4D66B42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二代身份证正、反两面都需复印</w:t>
            </w:r>
          </w:p>
          <w:p w14:paraId="1D7941D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7F1F57C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p w14:paraId="68A6F18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7D02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3032C5A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r>
    </w:tbl>
    <w:p w14:paraId="33A2A8C2">
      <w:pPr>
        <w:pStyle w:val="41"/>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（供应商单位公章）   日 期：</w:t>
      </w:r>
    </w:p>
    <w:p w14:paraId="22FFA39A">
      <w:pPr>
        <w:rPr>
          <w:rFonts w:hint="eastAsia" w:ascii="仿宋" w:hAnsi="仿宋" w:eastAsia="仿宋" w:cs="仿宋"/>
          <w:color w:val="000000" w:themeColor="text1"/>
          <w:kern w:val="0"/>
          <w:sz w:val="24"/>
          <w:highlight w:val="none"/>
          <w:u w:val="none"/>
          <w14:textFill>
            <w14:solidFill>
              <w14:schemeClr w14:val="tx1"/>
            </w14:solidFill>
          </w14:textFill>
        </w:rPr>
      </w:pPr>
    </w:p>
    <w:p w14:paraId="468AA718">
      <w:pPr>
        <w:ind w:firstLine="723" w:firstLineChars="30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（法定代表人直接投标，只须提供法定代表人证明书及身份证原件）</w:t>
      </w:r>
    </w:p>
    <w:p w14:paraId="1B66B94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0A25605F">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1755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5CC1BCF6">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致：中智投工程管理有限公司</w:t>
            </w:r>
          </w:p>
        </w:tc>
      </w:tr>
      <w:tr w14:paraId="2FAD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90E254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w:t>
            </w:r>
          </w:p>
          <w:p w14:paraId="034CAFC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权项</w:t>
            </w:r>
          </w:p>
          <w:p w14:paraId="58531C0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目与</w:t>
            </w:r>
          </w:p>
          <w:p w14:paraId="7A4426E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内容</w:t>
            </w:r>
          </w:p>
        </w:tc>
        <w:tc>
          <w:tcPr>
            <w:tcW w:w="1355" w:type="dxa"/>
          </w:tcPr>
          <w:p w14:paraId="60D6E3A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7138" w:type="dxa"/>
            <w:gridSpan w:val="5"/>
          </w:tcPr>
          <w:p w14:paraId="1964FDA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1D83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A92F92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3A16655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7138" w:type="dxa"/>
            <w:gridSpan w:val="5"/>
          </w:tcPr>
          <w:p w14:paraId="7F11E5CD">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000000" w:themeColor="text1"/>
                <w:sz w:val="24"/>
                <w:highlight w:val="none"/>
                <w14:textFill>
                  <w14:solidFill>
                    <w14:schemeClr w14:val="tx1"/>
                  </w14:solidFill>
                </w14:textFill>
              </w:rPr>
            </w:pPr>
          </w:p>
        </w:tc>
      </w:tr>
      <w:tr w14:paraId="1712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DA3027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3A795A6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授权范围</w:t>
            </w:r>
          </w:p>
        </w:tc>
        <w:tc>
          <w:tcPr>
            <w:tcW w:w="7138" w:type="dxa"/>
            <w:gridSpan w:val="5"/>
          </w:tcPr>
          <w:p w14:paraId="10D8094E">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14:paraId="3C11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677E9E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7985684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法律责任</w:t>
            </w:r>
          </w:p>
        </w:tc>
        <w:tc>
          <w:tcPr>
            <w:tcW w:w="7138" w:type="dxa"/>
            <w:gridSpan w:val="5"/>
          </w:tcPr>
          <w:p w14:paraId="5C82AEF9">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本公司对被授权人在本项目中的签名承担全部法律责任。</w:t>
            </w:r>
          </w:p>
        </w:tc>
      </w:tr>
      <w:tr w14:paraId="3951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E144CE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119B4491">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授权期限</w:t>
            </w:r>
          </w:p>
        </w:tc>
        <w:tc>
          <w:tcPr>
            <w:tcW w:w="7138" w:type="dxa"/>
            <w:gridSpan w:val="5"/>
            <w:vAlign w:val="center"/>
          </w:tcPr>
          <w:p w14:paraId="2968B6BF">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本授权书自提交磋商响应文件的截止之日起90个日历日</w:t>
            </w:r>
          </w:p>
        </w:tc>
      </w:tr>
      <w:tr w14:paraId="5EF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0A3F12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企业信息</w:t>
            </w:r>
          </w:p>
        </w:tc>
        <w:tc>
          <w:tcPr>
            <w:tcW w:w="2489" w:type="dxa"/>
            <w:gridSpan w:val="2"/>
          </w:tcPr>
          <w:p w14:paraId="4B4DC56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14:paraId="1ED638A5">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4E63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D818E1E">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0BDDA974">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04" w:type="dxa"/>
            <w:gridSpan w:val="4"/>
            <w:vAlign w:val="center"/>
          </w:tcPr>
          <w:p w14:paraId="766FA2A6">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0B83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60208E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5C4B3C74">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04" w:type="dxa"/>
            <w:gridSpan w:val="4"/>
            <w:vAlign w:val="center"/>
          </w:tcPr>
          <w:p w14:paraId="5B817AC5">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23F6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A21FE90">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w:t>
            </w:r>
          </w:p>
        </w:tc>
        <w:tc>
          <w:tcPr>
            <w:tcW w:w="1355" w:type="dxa"/>
            <w:vAlign w:val="center"/>
          </w:tcPr>
          <w:p w14:paraId="27DB7A4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445ACED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1CBA3EA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74685ED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34CE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000A6E7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2A866D0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250BD43A">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51B0939A">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vAlign w:val="center"/>
          </w:tcPr>
          <w:p w14:paraId="3FC819E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680A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38131F0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w:t>
            </w:r>
          </w:p>
        </w:tc>
        <w:tc>
          <w:tcPr>
            <w:tcW w:w="1355" w:type="dxa"/>
            <w:vAlign w:val="center"/>
          </w:tcPr>
          <w:p w14:paraId="761C6B4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6FD0700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51320E6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4D73399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26E8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2B2CBF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21CFDE1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5457E8D3">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5D20A729">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tcPr>
          <w:p w14:paraId="2B8A5472">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2215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6ABF8CD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8493" w:type="dxa"/>
            <w:gridSpan w:val="6"/>
          </w:tcPr>
          <w:p w14:paraId="68DB934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4F4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34AA621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18917DB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65A8E01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15EE619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1EF7D17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5296" w:type="dxa"/>
            <w:gridSpan w:val="3"/>
            <w:vAlign w:val="center"/>
          </w:tcPr>
          <w:p w14:paraId="36A41F8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被授权人身份证复印件</w:t>
            </w:r>
          </w:p>
          <w:p w14:paraId="6C7F4A2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725594A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4331FF6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0746FB6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D41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14:paraId="522A1A16">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14:paraId="48F83AA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被授权人签字或盖章：</w:t>
            </w:r>
          </w:p>
        </w:tc>
      </w:tr>
    </w:tbl>
    <w:p w14:paraId="2ED29DAF">
      <w:pPr>
        <w:autoSpaceDE w:val="0"/>
        <w:autoSpaceDN w:val="0"/>
        <w:adjustRightInd w:val="0"/>
        <w:snapToGrid w:val="0"/>
        <w:spacing w:line="48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供应商名称：</w:t>
      </w:r>
      <w:r>
        <w:rPr>
          <w:rFonts w:hint="eastAsia" w:ascii="仿宋" w:hAnsi="仿宋" w:eastAsia="仿宋" w:cs="仿宋"/>
          <w:bCs/>
          <w:caps/>
          <w:color w:val="000000" w:themeColor="text1"/>
          <w:sz w:val="24"/>
          <w:highlight w:val="none"/>
          <w:u w:val="single"/>
          <w14:textFill>
            <w14:solidFill>
              <w14:schemeClr w14:val="tx1"/>
            </w14:solidFill>
          </w14:textFill>
        </w:rPr>
        <w:t xml:space="preserve">             </w:t>
      </w:r>
      <w:r>
        <w:rPr>
          <w:rFonts w:hint="eastAsia" w:ascii="仿宋" w:hAnsi="仿宋" w:eastAsia="仿宋" w:cs="仿宋"/>
          <w:bCs/>
          <w:caps/>
          <w:color w:val="000000" w:themeColor="text1"/>
          <w:sz w:val="24"/>
          <w:highlight w:val="none"/>
          <w14:textFill>
            <w14:solidFill>
              <w14:schemeClr w14:val="tx1"/>
            </w14:solidFill>
          </w14:textFill>
        </w:rPr>
        <w:t xml:space="preserve">（供应商单位公章）     日 期：  </w:t>
      </w:r>
    </w:p>
    <w:p w14:paraId="05DD49F2">
      <w:pPr>
        <w:pStyle w:val="41"/>
        <w:ind w:firstLine="0" w:firstLineChars="0"/>
        <w:rPr>
          <w:rFonts w:hint="eastAsia" w:ascii="仿宋" w:hAnsi="仿宋" w:eastAsia="仿宋" w:cs="仿宋"/>
          <w:color w:val="000000" w:themeColor="text1"/>
          <w:kern w:val="0"/>
          <w:sz w:val="24"/>
          <w:highlight w:val="none"/>
          <w:u w:val="none"/>
          <w14:textFill>
            <w14:solidFill>
              <w14:schemeClr w14:val="tx1"/>
            </w14:solidFill>
          </w14:textFill>
        </w:rPr>
      </w:pPr>
    </w:p>
    <w:p w14:paraId="07626D4A">
      <w:pPr>
        <w:pStyle w:val="41"/>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被授权人投标时</w:t>
      </w:r>
      <w:r>
        <w:rPr>
          <w:rFonts w:hint="eastAsia" w:ascii="仿宋" w:hAnsi="仿宋" w:eastAsia="仿宋" w:cs="仿宋"/>
          <w:b/>
          <w:bCs/>
          <w:color w:val="000000" w:themeColor="text1"/>
          <w:kern w:val="0"/>
          <w:sz w:val="24"/>
          <w:highlight w:val="none"/>
          <w:u w:val="none"/>
          <w14:textFill>
            <w14:solidFill>
              <w14:schemeClr w14:val="tx1"/>
            </w14:solidFill>
          </w14:textFill>
        </w:rPr>
        <w:t>，须提供</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法定代表人授权委托书</w:t>
      </w:r>
      <w:r>
        <w:rPr>
          <w:rFonts w:hint="eastAsia" w:ascii="仿宋" w:hAnsi="仿宋" w:eastAsia="仿宋" w:cs="仿宋"/>
          <w:b/>
          <w:bCs/>
          <w:color w:val="000000" w:themeColor="text1"/>
          <w:kern w:val="0"/>
          <w:sz w:val="24"/>
          <w:highlight w:val="none"/>
          <w:u w:val="none"/>
          <w14:textFill>
            <w14:solidFill>
              <w14:schemeClr w14:val="tx1"/>
            </w14:solidFill>
          </w14:textFill>
        </w:rPr>
        <w:t>及</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被授权人身份证</w:t>
      </w:r>
      <w:r>
        <w:rPr>
          <w:rFonts w:hint="eastAsia" w:ascii="仿宋" w:hAnsi="仿宋" w:eastAsia="仿宋" w:cs="仿宋"/>
          <w:b/>
          <w:bCs/>
          <w:color w:val="000000" w:themeColor="text1"/>
          <w:kern w:val="0"/>
          <w:sz w:val="24"/>
          <w:highlight w:val="none"/>
          <w:u w:val="none"/>
          <w14:textFill>
            <w14:solidFill>
              <w14:schemeClr w14:val="tx1"/>
            </w14:solidFill>
          </w14:textFill>
        </w:rPr>
        <w:t>原件）</w:t>
      </w:r>
    </w:p>
    <w:p w14:paraId="115835F6">
      <w:pPr>
        <w:pStyle w:val="41"/>
        <w:ind w:firstLine="562"/>
        <w:rPr>
          <w:rFonts w:hint="eastAsia" w:ascii="仿宋" w:hAnsi="仿宋" w:eastAsia="仿宋" w:cs="仿宋"/>
          <w:b/>
          <w:color w:val="000000" w:themeColor="text1"/>
          <w:highlight w:val="none"/>
          <w14:textFill>
            <w14:solidFill>
              <w14:schemeClr w14:val="tx1"/>
            </w14:solidFill>
          </w14:textFill>
        </w:rPr>
      </w:pPr>
    </w:p>
    <w:p w14:paraId="692690A8">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6</w:t>
      </w:r>
      <w:r>
        <w:rPr>
          <w:rFonts w:hint="eastAsia" w:ascii="仿宋" w:hAnsi="仿宋" w:eastAsia="仿宋" w:cs="仿宋"/>
          <w:b/>
          <w:color w:val="000000" w:themeColor="text1"/>
          <w:highlight w:val="none"/>
          <w:lang w:eastAsia="zh-CN"/>
          <w14:textFill>
            <w14:solidFill>
              <w14:schemeClr w14:val="tx1"/>
            </w14:solidFill>
          </w14:textFill>
        </w:rPr>
        <w:t>、20</w:t>
      </w:r>
      <w:r>
        <w:rPr>
          <w:rFonts w:hint="eastAsia" w:ascii="仿宋" w:hAnsi="仿宋" w:eastAsia="仿宋" w:cs="仿宋"/>
          <w:b/>
          <w:color w:val="000000" w:themeColor="text1"/>
          <w:highlight w:val="none"/>
          <w:lang w:val="en-US" w:eastAsia="zh-CN"/>
          <w14:textFill>
            <w14:solidFill>
              <w14:schemeClr w14:val="tx1"/>
            </w14:solidFill>
          </w14:textFill>
        </w:rPr>
        <w:t>22</w:t>
      </w:r>
      <w:r>
        <w:rPr>
          <w:rFonts w:hint="eastAsia" w:ascii="仿宋" w:hAnsi="仿宋" w:eastAsia="仿宋" w:cs="仿宋"/>
          <w:b/>
          <w:color w:val="000000" w:themeColor="text1"/>
          <w:highlight w:val="none"/>
          <w:lang w:eastAsia="zh-CN"/>
          <w14:textFill>
            <w14:solidFill>
              <w14:schemeClr w14:val="tx1"/>
            </w14:solidFill>
          </w14:textFill>
        </w:rPr>
        <w:t>年1月1日</w:t>
      </w:r>
      <w:r>
        <w:rPr>
          <w:rFonts w:hint="eastAsia" w:ascii="仿宋" w:hAnsi="仿宋" w:eastAsia="仿宋" w:cs="仿宋"/>
          <w:b/>
          <w:color w:val="000000" w:themeColor="text1"/>
          <w:highlight w:val="none"/>
          <w14:textFill>
            <w14:solidFill>
              <w14:schemeClr w14:val="tx1"/>
            </w14:solidFill>
          </w14:textFill>
        </w:rPr>
        <w:t>至今</w:t>
      </w:r>
      <w:r>
        <w:rPr>
          <w:rFonts w:hint="eastAsia" w:ascii="仿宋" w:hAnsi="仿宋" w:eastAsia="仿宋" w:cs="仿宋"/>
          <w:b/>
          <w:color w:val="000000" w:themeColor="text1"/>
          <w:highlight w:val="none"/>
          <w:lang w:val="en-US" w:eastAsia="zh-CN"/>
          <w14:textFill>
            <w14:solidFill>
              <w14:schemeClr w14:val="tx1"/>
            </w14:solidFill>
          </w14:textFill>
        </w:rPr>
        <w:t>同类</w:t>
      </w:r>
      <w:r>
        <w:rPr>
          <w:rFonts w:hint="eastAsia" w:ascii="仿宋" w:hAnsi="仿宋" w:eastAsia="仿宋" w:cs="仿宋"/>
          <w:b/>
          <w:color w:val="000000" w:themeColor="text1"/>
          <w:highlight w:val="none"/>
          <w14:textFill>
            <w14:solidFill>
              <w14:schemeClr w14:val="tx1"/>
            </w14:solidFill>
          </w14:textFill>
        </w:rPr>
        <w:t>项目业绩（提供合同复印件加盖公章）</w:t>
      </w:r>
    </w:p>
    <w:p w14:paraId="69932158">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43484B0B">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73DA317D">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51A4FBA4">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680CF015">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3B48E8A6">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项目实施</w:t>
      </w:r>
      <w:r>
        <w:rPr>
          <w:rFonts w:hint="eastAsia" w:ascii="仿宋" w:hAnsi="仿宋" w:eastAsia="仿宋" w:cs="仿宋"/>
          <w:b/>
          <w:color w:val="000000" w:themeColor="text1"/>
          <w:highlight w:val="none"/>
          <w14:textFill>
            <w14:solidFill>
              <w14:schemeClr w14:val="tx1"/>
            </w14:solidFill>
          </w14:textFill>
        </w:rPr>
        <w:t>方案</w:t>
      </w:r>
    </w:p>
    <w:p w14:paraId="144AF458">
      <w:pPr>
        <w:pStyle w:val="41"/>
        <w:ind w:firstLine="480"/>
        <w:rPr>
          <w:rFonts w:hint="eastAsia" w:ascii="仿宋" w:hAnsi="仿宋" w:eastAsia="仿宋" w:cs="仿宋"/>
          <w:b/>
          <w:color w:val="000000" w:themeColor="text1"/>
          <w:sz w:val="24"/>
          <w:szCs w:val="24"/>
          <w:highlight w:val="none"/>
          <w14:textFill>
            <w14:solidFill>
              <w14:schemeClr w14:val="tx1"/>
            </w14:solidFill>
          </w14:textFill>
        </w:rPr>
      </w:pPr>
      <w:bookmarkStart w:id="96" w:name="_Toc408785221"/>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F46BF60">
      <w:pPr>
        <w:pStyle w:val="41"/>
        <w:ind w:firstLine="482"/>
        <w:rPr>
          <w:rFonts w:hint="eastAsia" w:ascii="仿宋" w:hAnsi="仿宋" w:eastAsia="仿宋" w:cs="仿宋"/>
          <w:b/>
          <w:color w:val="000000" w:themeColor="text1"/>
          <w:sz w:val="24"/>
          <w:szCs w:val="24"/>
          <w:highlight w:val="none"/>
          <w14:textFill>
            <w14:solidFill>
              <w14:schemeClr w14:val="tx1"/>
            </w14:solidFill>
          </w14:textFill>
        </w:rPr>
      </w:pPr>
    </w:p>
    <w:bookmarkEnd w:id="96"/>
    <w:p w14:paraId="1AF0063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14:paraId="25461FD7">
      <w:pPr>
        <w:pStyle w:val="10"/>
        <w:rPr>
          <w:rFonts w:hint="eastAsia" w:ascii="仿宋" w:hAnsi="仿宋" w:eastAsia="仿宋" w:cs="仿宋"/>
          <w:color w:val="000000" w:themeColor="text1"/>
          <w:highlight w:val="none"/>
          <w14:textFill>
            <w14:solidFill>
              <w14:schemeClr w14:val="tx1"/>
            </w14:solidFill>
          </w14:textFill>
        </w:rPr>
      </w:pPr>
    </w:p>
    <w:p w14:paraId="5224321B">
      <w:pPr>
        <w:spacing w:line="480" w:lineRule="exact"/>
        <w:outlineLvl w:val="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p>
    <w:p w14:paraId="456DBAA9">
      <w:pPr>
        <w:bidi w:val="0"/>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t>8、拟派项目人员与设备配备</w:t>
      </w:r>
    </w:p>
    <w:p w14:paraId="55A08C29">
      <w:pPr>
        <w:autoSpaceDE w:val="0"/>
        <w:autoSpaceDN w:val="0"/>
        <w:adjustRightInd w:val="0"/>
        <w:snapToGrid w:val="0"/>
        <w:spacing w:after="100" w:afterAutospacing="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bookmarkStart w:id="97" w:name="_Toc194663942"/>
      <w:bookmarkStart w:id="98" w:name="_Toc193126905"/>
      <w:bookmarkStart w:id="99" w:name="_Toc188808855"/>
      <w:bookmarkStart w:id="100" w:name="_Toc193187111"/>
    </w:p>
    <w:p w14:paraId="4F3F5321">
      <w:pPr>
        <w:autoSpaceDE w:val="0"/>
        <w:autoSpaceDN w:val="0"/>
        <w:adjustRightInd w:val="0"/>
        <w:snapToGrid w:val="0"/>
        <w:spacing w:after="100" w:afterAutospacing="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p>
    <w:p w14:paraId="1EF147B1">
      <w:pPr>
        <w:autoSpaceDE w:val="0"/>
        <w:autoSpaceDN w:val="0"/>
        <w:adjustRightInd w:val="0"/>
        <w:snapToGrid w:val="0"/>
        <w:spacing w:after="100" w:afterAutospacing="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p>
    <w:p w14:paraId="32F30252">
      <w:pPr>
        <w:autoSpaceDE w:val="0"/>
        <w:autoSpaceDN w:val="0"/>
        <w:adjustRightInd w:val="0"/>
        <w:snapToGrid w:val="0"/>
        <w:spacing w:after="100" w:afterAutospacing="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t>9.售后服务承诺</w:t>
      </w:r>
    </w:p>
    <w:p w14:paraId="1FD1A700">
      <w:pPr>
        <w:autoSpaceDE w:val="0"/>
        <w:autoSpaceDN w:val="0"/>
        <w:adjustRightInd w:val="0"/>
        <w:snapToGrid w:val="0"/>
        <w:spacing w:after="100" w:afterAutospacing="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p>
    <w:p w14:paraId="3F99FA9D">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0D9926D5">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2E5EC0E4">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535D89D8">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10</w:t>
      </w:r>
      <w:r>
        <w:rPr>
          <w:rFonts w:hint="eastAsia" w:ascii="仿宋" w:hAnsi="仿宋" w:eastAsia="仿宋" w:cs="仿宋"/>
          <w:b/>
          <w:color w:val="000000" w:themeColor="text1"/>
          <w:highlight w:val="none"/>
          <w14:textFill>
            <w14:solidFill>
              <w14:schemeClr w14:val="tx1"/>
            </w14:solidFill>
          </w14:textFill>
        </w:rPr>
        <w:t>.供应商认为有必要说明的事宜</w:t>
      </w:r>
    </w:p>
    <w:p w14:paraId="018EB1D1">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0444B43E">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1700E7B0">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2B6B713D">
      <w:pPr>
        <w:pStyle w:val="10"/>
        <w:rPr>
          <w:rFonts w:hint="eastAsia" w:ascii="仿宋" w:hAnsi="仿宋" w:eastAsia="仿宋" w:cs="仿宋"/>
          <w:b/>
          <w:color w:val="000000" w:themeColor="text1"/>
          <w:sz w:val="28"/>
          <w:szCs w:val="28"/>
          <w:highlight w:val="none"/>
          <w14:textFill>
            <w14:solidFill>
              <w14:schemeClr w14:val="tx1"/>
            </w14:solidFill>
          </w14:textFill>
        </w:rPr>
      </w:pPr>
    </w:p>
    <w:p w14:paraId="6AA13F25">
      <w:pPr>
        <w:rPr>
          <w:rFonts w:hint="eastAsia" w:ascii="仿宋" w:hAnsi="仿宋" w:eastAsia="仿宋" w:cs="仿宋"/>
          <w:b/>
          <w:color w:val="000000" w:themeColor="text1"/>
          <w:sz w:val="28"/>
          <w:szCs w:val="28"/>
          <w:highlight w:val="none"/>
          <w14:textFill>
            <w14:solidFill>
              <w14:schemeClr w14:val="tx1"/>
            </w14:solidFill>
          </w14:textFill>
        </w:rPr>
      </w:pPr>
    </w:p>
    <w:p w14:paraId="071C43D3">
      <w:pPr>
        <w:pStyle w:val="10"/>
        <w:rPr>
          <w:rFonts w:hint="eastAsia" w:ascii="仿宋" w:hAnsi="仿宋" w:eastAsia="仿宋" w:cs="仿宋"/>
          <w:b/>
          <w:color w:val="000000" w:themeColor="text1"/>
          <w:sz w:val="28"/>
          <w:szCs w:val="28"/>
          <w:highlight w:val="none"/>
          <w14:textFill>
            <w14:solidFill>
              <w14:schemeClr w14:val="tx1"/>
            </w14:solidFill>
          </w14:textFill>
        </w:rPr>
      </w:pPr>
    </w:p>
    <w:p w14:paraId="0AE0DF6B">
      <w:pPr>
        <w:pStyle w:val="10"/>
        <w:rPr>
          <w:rFonts w:hint="eastAsia" w:ascii="仿宋" w:hAnsi="仿宋" w:eastAsia="仿宋" w:cs="仿宋"/>
          <w:color w:val="000000" w:themeColor="text1"/>
          <w:highlight w:val="none"/>
          <w14:textFill>
            <w14:solidFill>
              <w14:schemeClr w14:val="tx1"/>
            </w14:solidFill>
          </w14:textFill>
        </w:rPr>
      </w:pPr>
    </w:p>
    <w:p w14:paraId="3BE2933E">
      <w:pPr>
        <w:pStyle w:val="38"/>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123C67C">
      <w:pPr>
        <w:pStyle w:val="41"/>
        <w:ind w:firstLineChars="71"/>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1</w:t>
      </w:r>
      <w:r>
        <w:rPr>
          <w:rFonts w:hint="eastAsia" w:ascii="仿宋" w:hAnsi="仿宋" w:eastAsia="仿宋" w:cs="仿宋"/>
          <w:b/>
          <w:color w:val="000000" w:themeColor="text1"/>
          <w:szCs w:val="28"/>
          <w:highlight w:val="none"/>
          <w:lang w:val="en-US" w:eastAsia="zh-CN"/>
          <w14:textFill>
            <w14:solidFill>
              <w14:schemeClr w14:val="tx1"/>
            </w14:solidFill>
          </w14:textFill>
        </w:rPr>
        <w:t>1</w:t>
      </w:r>
      <w:r>
        <w:rPr>
          <w:rFonts w:hint="eastAsia" w:ascii="仿宋" w:hAnsi="仿宋" w:eastAsia="仿宋" w:cs="仿宋"/>
          <w:b/>
          <w:color w:val="000000" w:themeColor="text1"/>
          <w:szCs w:val="28"/>
          <w:highlight w:val="none"/>
          <w14:textFill>
            <w14:solidFill>
              <w14:schemeClr w14:val="tx1"/>
            </w14:solidFill>
          </w14:textFill>
        </w:rPr>
        <w:t>.</w:t>
      </w:r>
      <w:r>
        <w:rPr>
          <w:rFonts w:hint="eastAsia" w:ascii="仿宋" w:hAnsi="仿宋" w:eastAsia="仿宋" w:cs="仿宋"/>
          <w:b/>
          <w:color w:val="000000" w:themeColor="text1"/>
          <w:szCs w:val="28"/>
          <w:highlight w:val="none"/>
          <w:lang w:eastAsia="zh-CN"/>
          <w14:textFill>
            <w14:solidFill>
              <w14:schemeClr w14:val="tx1"/>
            </w14:solidFill>
          </w14:textFill>
        </w:rPr>
        <w:t>供应商</w:t>
      </w:r>
      <w:r>
        <w:rPr>
          <w:rFonts w:hint="eastAsia" w:ascii="仿宋" w:hAnsi="仿宋" w:eastAsia="仿宋" w:cs="仿宋"/>
          <w:b/>
          <w:color w:val="000000" w:themeColor="text1"/>
          <w:szCs w:val="28"/>
          <w:highlight w:val="none"/>
          <w14:textFill>
            <w14:solidFill>
              <w14:schemeClr w14:val="tx1"/>
            </w14:solidFill>
          </w14:textFill>
        </w:rPr>
        <w:t>承诺书</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w:t>
      </w:r>
      <w:r>
        <w:rPr>
          <w:rFonts w:hint="eastAsia" w:ascii="仿宋" w:hAnsi="仿宋" w:eastAsia="仿宋" w:cs="仿宋"/>
          <w:b w:val="0"/>
          <w:bCs/>
          <w:color w:val="000000" w:themeColor="text1"/>
          <w:sz w:val="24"/>
          <w:szCs w:val="24"/>
          <w:highlight w:val="none"/>
          <w14:textFill>
            <w14:solidFill>
              <w14:schemeClr w14:val="tx1"/>
            </w14:solidFill>
          </w14:textFill>
        </w:rPr>
        <w:t> </w:t>
      </w:r>
    </w:p>
    <w:p w14:paraId="0D633A6E">
      <w:pPr>
        <w:widowControl/>
        <w:spacing w:line="480" w:lineRule="exact"/>
        <w:jc w:val="left"/>
        <w:rPr>
          <w:rFonts w:hint="eastAsia" w:ascii="仿宋" w:hAnsi="仿宋" w:eastAsia="仿宋" w:cs="仿宋"/>
          <w:b/>
          <w:color w:val="000000" w:themeColor="text1"/>
          <w:kern w:val="0"/>
          <w:highlight w:val="none"/>
          <w14:textFill>
            <w14:solidFill>
              <w14:schemeClr w14:val="tx1"/>
            </w14:solidFill>
          </w14:textFill>
        </w:rPr>
      </w:pPr>
    </w:p>
    <w:p w14:paraId="2D57F5EC">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陕西省政府采购供应商</w:t>
      </w:r>
    </w:p>
    <w:p w14:paraId="6365814B">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拒绝政府采购领域商业贿赂承诺书Ⅰ</w:t>
      </w:r>
    </w:p>
    <w:p w14:paraId="280B5F23">
      <w:pPr>
        <w:widowControl/>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664D3838">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为响应党中央、国务院关于治理政府采购领域商业贿赂行为的号召</w:t>
      </w:r>
      <w:r>
        <w:rPr>
          <w:rFonts w:hint="eastAsia" w:ascii="仿宋" w:hAnsi="仿宋" w:eastAsia="仿宋" w:cs="仿宋"/>
          <w:color w:val="000000" w:themeColor="text1"/>
          <w:kern w:val="0"/>
          <w:sz w:val="24"/>
          <w:highlight w:val="none"/>
          <w14:textFill>
            <w14:solidFill>
              <w14:schemeClr w14:val="tx1"/>
            </w14:solidFill>
          </w14:textFill>
        </w:rPr>
        <w:t xml:space="preserve">，我单位作为     </w:t>
      </w:r>
      <w:r>
        <w:rPr>
          <w:rFonts w:hint="eastAsia" w:ascii="仿宋" w:hAnsi="仿宋" w:eastAsia="仿宋" w:cs="仿宋"/>
          <w:color w:val="000000" w:themeColor="text1"/>
          <w:kern w:val="0"/>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kern w:val="0"/>
          <w:sz w:val="24"/>
          <w:highlight w:val="none"/>
          <w14:textFill>
            <w14:solidFill>
              <w14:schemeClr w14:val="tx1"/>
            </w14:solidFill>
          </w14:textFill>
        </w:rPr>
        <w:t xml:space="preserve"> 的供应商，</w:t>
      </w:r>
      <w:r>
        <w:rPr>
          <w:rFonts w:hint="eastAsia" w:ascii="仿宋" w:hAnsi="仿宋" w:eastAsia="仿宋" w:cs="仿宋"/>
          <w:color w:val="000000" w:themeColor="text1"/>
          <w:sz w:val="24"/>
          <w:highlight w:val="none"/>
          <w14:textFill>
            <w14:solidFill>
              <w14:schemeClr w14:val="tx1"/>
            </w14:solidFill>
          </w14:textFill>
        </w:rPr>
        <w:t xml:space="preserve">在此庄严承诺： </w:t>
      </w:r>
    </w:p>
    <w:p w14:paraId="264632DF">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1、在参与政府采购活动中遵纪守法、诚信经营、公平竞标。 </w:t>
      </w:r>
    </w:p>
    <w:p w14:paraId="57A23D50">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14:paraId="729A5C9B">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14:paraId="4B81D389">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4、不采取“围标、陪标”等商业欺诈手段获得政府采购定单。 </w:t>
      </w:r>
    </w:p>
    <w:p w14:paraId="60CDDA6C">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5、不采取不正当手段低毁、排挤其他供应商。 </w:t>
      </w:r>
    </w:p>
    <w:p w14:paraId="69109A0C">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6、不在提供商品和服务时“偷梁换柱、以次充好”损害采购人的合法权益。 </w:t>
      </w:r>
    </w:p>
    <w:p w14:paraId="42863DB2">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14:paraId="0840352D">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14:paraId="01E9DC30">
      <w:pPr>
        <w:widowControl/>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9、不发生其他有悖于政府采购公开、公平、公正和诚信原则的行为。 </w:t>
      </w:r>
    </w:p>
    <w:p w14:paraId="287F683B">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p>
    <w:p w14:paraId="48B9ECCF">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承诺单位：</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（盖章） </w:t>
      </w:r>
    </w:p>
    <w:p w14:paraId="0F60B9AB">
      <w:pPr>
        <w:widowControl/>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全权代表：</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（签字） </w:t>
      </w:r>
    </w:p>
    <w:p w14:paraId="4F8B0F0D">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5E1662D1">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    编：</w:t>
      </w:r>
      <w:r>
        <w:rPr>
          <w:rFonts w:hint="eastAsia" w:ascii="仿宋" w:hAnsi="仿宋" w:eastAsia="仿宋" w:cs="仿宋"/>
          <w:color w:val="000000" w:themeColor="text1"/>
          <w:kern w:val="0"/>
          <w:sz w:val="24"/>
          <w:highlight w:val="none"/>
          <w:u w:val="single"/>
          <w14:textFill>
            <w14:solidFill>
              <w14:schemeClr w14:val="tx1"/>
            </w14:solidFill>
          </w14:textFill>
        </w:rPr>
        <w:t>　　                     　　</w:t>
      </w:r>
    </w:p>
    <w:p w14:paraId="5F62C5A8">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　　话：</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59650C8">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承诺书Ⅱ</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5BA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28B102F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致：中智投工程管理有限公司</w:t>
            </w:r>
          </w:p>
        </w:tc>
      </w:tr>
      <w:tr w14:paraId="577A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A8EFA5E">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，本公司承诺：在参加本项目</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14:paraId="1D71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CA85E8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66F180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34796AA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0FE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C420E0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716273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02DF2AD5">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34E26E3F">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0AE1C526">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承诺书Ⅲ</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39F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027D1898">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致：中智投工程管理有限公司</w:t>
            </w:r>
          </w:p>
        </w:tc>
      </w:tr>
      <w:tr w14:paraId="2942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83D284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tc>
      </w:tr>
      <w:tr w14:paraId="7615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F6708A6">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67A338FF">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1B72C6FE">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6763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AC5DC1C">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0627AA85">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2E768C00">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4EBA3AC5">
      <w:pPr>
        <w:spacing w:line="360" w:lineRule="atLeast"/>
        <w:rPr>
          <w:rFonts w:hint="eastAsia" w:ascii="仿宋" w:hAnsi="仿宋" w:eastAsia="仿宋" w:cs="仿宋"/>
          <w:b/>
          <w:color w:val="000000" w:themeColor="text1"/>
          <w:sz w:val="32"/>
          <w:szCs w:val="32"/>
          <w:highlight w:val="none"/>
          <w14:textFill>
            <w14:solidFill>
              <w14:schemeClr w14:val="tx1"/>
            </w14:solidFill>
          </w14:textFill>
        </w:rPr>
      </w:pPr>
    </w:p>
    <w:p w14:paraId="3C474E10">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承诺书Ⅳ</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A21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168CEE1">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致：中智投工程管理有限公司</w:t>
            </w:r>
          </w:p>
        </w:tc>
      </w:tr>
      <w:tr w14:paraId="4AAF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60E386C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，本公司郑重申告：近三年因</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问题的不法行为记录为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p w14:paraId="7918477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本公司承诺：本次</w:t>
            </w:r>
            <w:r>
              <w:rPr>
                <w:rFonts w:hint="eastAsia" w:ascii="仿宋" w:hAnsi="仿宋" w:eastAsia="仿宋" w:cs="仿宋"/>
                <w:color w:val="000000" w:themeColor="text1"/>
                <w:sz w:val="24"/>
                <w:highlight w:val="none"/>
                <w:lang w:val="en-US" w:eastAsia="zh-CN"/>
                <w14:textFill>
                  <w14:solidFill>
                    <w14:schemeClr w14:val="tx1"/>
                  </w14:solidFill>
                </w14:textFill>
              </w:rPr>
              <w:t>所投服务符合相关行业标准</w:t>
            </w:r>
            <w:r>
              <w:rPr>
                <w:rFonts w:hint="eastAsia" w:ascii="仿宋" w:hAnsi="仿宋" w:eastAsia="仿宋" w:cs="仿宋"/>
                <w:color w:val="000000" w:themeColor="text1"/>
                <w:sz w:val="24"/>
                <w:highlight w:val="none"/>
                <w14:textFill>
                  <w14:solidFill>
                    <w14:schemeClr w14:val="tx1"/>
                  </w14:solidFill>
                </w14:textFill>
              </w:rPr>
              <w:t>。</w:t>
            </w:r>
          </w:p>
        </w:tc>
      </w:tr>
      <w:tr w14:paraId="5127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53197267">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47683F9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6E3BB2C7">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6F2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FCD2877">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DF54112">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41FEAFC1">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635C8259">
      <w:pPr>
        <w:spacing w:line="360" w:lineRule="auto"/>
        <w:ind w:right="480"/>
        <w:rPr>
          <w:rFonts w:hint="eastAsia" w:ascii="仿宋" w:hAnsi="仿宋" w:eastAsia="仿宋" w:cs="仿宋"/>
          <w:color w:val="000000" w:themeColor="text1"/>
          <w:sz w:val="24"/>
          <w:szCs w:val="28"/>
          <w:highlight w:val="none"/>
          <w14:textFill>
            <w14:solidFill>
              <w14:schemeClr w14:val="tx1"/>
            </w14:solidFill>
          </w14:textFill>
        </w:rPr>
      </w:pPr>
    </w:p>
    <w:p w14:paraId="41075524">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w:t>
      </w:r>
      <w:r>
        <w:rPr>
          <w:rFonts w:hint="eastAsia" w:ascii="仿宋" w:hAnsi="仿宋" w:eastAsia="仿宋" w:cs="仿宋"/>
          <w:b/>
          <w:color w:val="000000" w:themeColor="text1"/>
          <w:sz w:val="36"/>
          <w:szCs w:val="36"/>
          <w:highlight w:val="none"/>
          <w14:textFill>
            <w14:solidFill>
              <w14:schemeClr w14:val="tx1"/>
            </w14:solidFill>
          </w14:textFill>
        </w:rPr>
        <w:fldChar w:fldCharType="begin"/>
      </w:r>
      <w:r>
        <w:rPr>
          <w:rFonts w:hint="eastAsia" w:ascii="仿宋" w:hAnsi="仿宋" w:eastAsia="仿宋" w:cs="仿宋"/>
          <w:b/>
          <w:color w:val="000000" w:themeColor="text1"/>
          <w:sz w:val="36"/>
          <w:szCs w:val="36"/>
          <w:highlight w:val="none"/>
          <w14:textFill>
            <w14:solidFill>
              <w14:schemeClr w14:val="tx1"/>
            </w14:solidFill>
          </w14:textFill>
        </w:rPr>
        <w:instrText xml:space="preserve"> = 5 \* ROMAN </w:instrText>
      </w:r>
      <w:r>
        <w:rPr>
          <w:rFonts w:hint="eastAsia" w:ascii="仿宋" w:hAnsi="仿宋" w:eastAsia="仿宋" w:cs="仿宋"/>
          <w:b/>
          <w:color w:val="000000" w:themeColor="text1"/>
          <w:sz w:val="36"/>
          <w:szCs w:val="36"/>
          <w:highlight w:val="none"/>
          <w14:textFill>
            <w14:solidFill>
              <w14:schemeClr w14:val="tx1"/>
            </w14:solidFill>
          </w14:textFill>
        </w:rPr>
        <w:fldChar w:fldCharType="separate"/>
      </w:r>
      <w:r>
        <w:rPr>
          <w:rFonts w:hint="eastAsia" w:ascii="仿宋" w:hAnsi="仿宋" w:eastAsia="仿宋" w:cs="仿宋"/>
          <w:b/>
          <w:color w:val="000000" w:themeColor="text1"/>
          <w:sz w:val="36"/>
          <w:szCs w:val="36"/>
          <w:highlight w:val="none"/>
          <w14:textFill>
            <w14:solidFill>
              <w14:schemeClr w14:val="tx1"/>
            </w14:solidFill>
          </w14:textFill>
        </w:rPr>
        <w:t>V</w:t>
      </w:r>
      <w:r>
        <w:rPr>
          <w:rFonts w:hint="eastAsia" w:ascii="仿宋" w:hAnsi="仿宋" w:eastAsia="仿宋" w:cs="仿宋"/>
          <w:b/>
          <w:color w:val="000000" w:themeColor="text1"/>
          <w:sz w:val="36"/>
          <w:szCs w:val="36"/>
          <w:highlight w:val="none"/>
          <w14:textFill>
            <w14:solidFill>
              <w14:schemeClr w14:val="tx1"/>
            </w14:solidFill>
          </w14:textFill>
        </w:rPr>
        <w:fldChar w:fldCharType="end"/>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F3A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E9DB487">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致：中智投工程管理有限公司</w:t>
            </w:r>
          </w:p>
        </w:tc>
      </w:tr>
      <w:tr w14:paraId="7D4A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1A27FF0">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，本公司承诺：参加本次</w:t>
            </w:r>
            <w:r>
              <w:rPr>
                <w:rFonts w:hint="eastAsia" w:ascii="仿宋" w:hAnsi="仿宋" w:eastAsia="仿宋" w:cs="仿宋"/>
                <w:color w:val="000000" w:themeColor="text1"/>
                <w:sz w:val="24"/>
                <w:highlight w:val="none"/>
                <w:lang w:eastAsia="zh-CN"/>
                <w14:textFill>
                  <w14:solidFill>
                    <w14:schemeClr w14:val="tx1"/>
                  </w14:solidFill>
                </w14:textFill>
              </w:rPr>
              <w:t>磋商活动</w:t>
            </w:r>
            <w:r>
              <w:rPr>
                <w:rFonts w:hint="eastAsia" w:ascii="仿宋" w:hAnsi="仿宋" w:eastAsia="仿宋" w:cs="仿宋"/>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14:paraId="031C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A411A9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68989D2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7A3CF804">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54F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82EE8E7">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58CCA0AC">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0E4119B2">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43D66F73">
      <w:pPr>
        <w:spacing w:line="500" w:lineRule="exact"/>
        <w:rPr>
          <w:rFonts w:hint="eastAsia" w:ascii="仿宋" w:hAnsi="仿宋" w:eastAsia="仿宋" w:cs="仿宋"/>
          <w:b/>
          <w:bCs/>
          <w:color w:val="000000" w:themeColor="text1"/>
          <w:sz w:val="32"/>
          <w:highlight w:val="none"/>
          <w14:textFill>
            <w14:solidFill>
              <w14:schemeClr w14:val="tx1"/>
            </w14:solidFill>
          </w14:textFill>
        </w:rPr>
      </w:pPr>
    </w:p>
    <w:p w14:paraId="38447DA4">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785C1018">
      <w:pPr>
        <w:spacing w:line="360" w:lineRule="atLeast"/>
        <w:jc w:val="center"/>
        <w:rPr>
          <w:rFonts w:hint="eastAsia" w:ascii="仿宋" w:hAnsi="仿宋" w:eastAsia="仿宋" w:cs="仿宋"/>
          <w:b/>
          <w:color w:val="000000" w:themeColor="text1"/>
          <w:sz w:val="32"/>
          <w:szCs w:val="32"/>
          <w:highlight w:val="none"/>
          <w:u w:val="none"/>
          <w14:textFill>
            <w14:solidFill>
              <w14:schemeClr w14:val="tx1"/>
            </w14:solidFill>
          </w14:textFill>
        </w:rPr>
      </w:pPr>
      <w:r>
        <w:rPr>
          <w:rFonts w:hint="eastAsia" w:ascii="仿宋" w:hAnsi="仿宋" w:eastAsia="仿宋" w:cs="仿宋"/>
          <w:b/>
          <w:color w:val="000000" w:themeColor="text1"/>
          <w:sz w:val="32"/>
          <w:szCs w:val="32"/>
          <w:highlight w:val="none"/>
          <w:u w:val="none"/>
          <w14:textFill>
            <w14:solidFill>
              <w14:schemeClr w14:val="tx1"/>
            </w14:solidFill>
          </w14:textFill>
        </w:rPr>
        <w:t>承诺书Ⅵ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27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92B5B76">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致：中智投工程管理有限公司</w:t>
            </w:r>
          </w:p>
        </w:tc>
      </w:tr>
      <w:tr w14:paraId="6D58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DE4938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w:t>
            </w:r>
            <w:r>
              <w:rPr>
                <w:rFonts w:hint="eastAsia" w:ascii="仿宋" w:hAnsi="仿宋" w:eastAsia="仿宋" w:cs="仿宋"/>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，我单位自愿放弃本次项目的磋商。</w:t>
            </w:r>
          </w:p>
        </w:tc>
      </w:tr>
      <w:tr w14:paraId="057C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F8F8BC4">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1A831F1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2E2B1CC6">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6F66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271C899">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7C9B2494">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0C08211E">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494D04A5">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p>
    <w:p w14:paraId="2C500DAE">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3337EF89">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5C55EA08">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2335B95E">
      <w:pPr>
        <w:pStyle w:val="41"/>
        <w:ind w:firstLine="174"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2</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中小</w:t>
      </w:r>
      <w:r>
        <w:rPr>
          <w:rFonts w:hint="eastAsia" w:ascii="仿宋" w:hAnsi="仿宋" w:eastAsia="仿宋" w:cs="仿宋"/>
          <w:b/>
          <w:bCs/>
          <w:color w:val="000000" w:themeColor="text1"/>
          <w:szCs w:val="28"/>
          <w:highlight w:val="none"/>
          <w14:textFill>
            <w14:solidFill>
              <w14:schemeClr w14:val="tx1"/>
            </w14:solidFill>
          </w14:textFill>
        </w:rPr>
        <w:t>企业声明函》</w:t>
      </w:r>
      <w:bookmarkStart w:id="101" w:name="OLE_LINK19"/>
    </w:p>
    <w:bookmarkEnd w:id="101"/>
    <w:p w14:paraId="7A783D54">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中小企业声明函（服务）</w:t>
      </w:r>
    </w:p>
    <w:p w14:paraId="72658066">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p>
    <w:p w14:paraId="4DBE2B5C">
      <w:pPr>
        <w:spacing w:line="4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highlight w:val="none"/>
          <w14:textFill>
            <w14:solidFill>
              <w14:schemeClr w14:val="tx1"/>
            </w14:solidFill>
          </w14:textFill>
        </w:rPr>
        <w:t>中智投工程管理有限公司</w:t>
      </w:r>
    </w:p>
    <w:p w14:paraId="6BE5A56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5989F2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6B831F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37A3BF5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2D01F00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5025C6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6EF401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18459C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11BCC64F">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p>
    <w:p w14:paraId="3BDA4272">
      <w:pPr>
        <w:spacing w:line="480" w:lineRule="exact"/>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p>
    <w:p w14:paraId="57075550">
      <w:pPr>
        <w:spacing w:line="480" w:lineRule="exact"/>
        <w:ind w:firstLine="480" w:firstLineChars="200"/>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14:paraId="1F99A3E8">
      <w:pPr>
        <w:pStyle w:val="41"/>
        <w:ind w:firstLine="149"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3</w:t>
      </w:r>
      <w:r>
        <w:rPr>
          <w:rFonts w:hint="eastAsia" w:ascii="仿宋" w:hAnsi="仿宋" w:eastAsia="仿宋" w:cs="仿宋"/>
          <w:b/>
          <w:bCs/>
          <w:color w:val="000000" w:themeColor="text1"/>
          <w:szCs w:val="28"/>
          <w:highlight w:val="none"/>
          <w14:textFill>
            <w14:solidFill>
              <w14:schemeClr w14:val="tx1"/>
            </w14:solidFill>
          </w14:textFill>
        </w:rPr>
        <w:t>.《残疾人福利性单位声明函》</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p>
    <w:p w14:paraId="028D1FA6">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55AD5DC3">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（非</w:t>
      </w:r>
      <w:r>
        <w:rPr>
          <w:rFonts w:hint="eastAsia" w:ascii="仿宋" w:hAnsi="仿宋" w:eastAsia="仿宋" w:cs="仿宋"/>
          <w:b/>
          <w:color w:val="000000" w:themeColor="text1"/>
          <w:spacing w:val="6"/>
          <w:sz w:val="18"/>
          <w:szCs w:val="18"/>
          <w:highlight w:val="none"/>
          <w14:textFill>
            <w14:solidFill>
              <w14:schemeClr w14:val="tx1"/>
            </w14:solidFill>
          </w14:textFill>
        </w:rPr>
        <w:t>残疾人福利企业</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不</w:t>
      </w:r>
      <w:r>
        <w:rPr>
          <w:rFonts w:hint="eastAsia" w:ascii="仿宋" w:hAnsi="仿宋" w:eastAsia="仿宋" w:cs="仿宋"/>
          <w:b/>
          <w:color w:val="000000" w:themeColor="text1"/>
          <w:spacing w:val="6"/>
          <w:sz w:val="18"/>
          <w:szCs w:val="18"/>
          <w:highlight w:val="none"/>
          <w14:textFill>
            <w14:solidFill>
              <w14:schemeClr w14:val="tx1"/>
            </w14:solidFill>
          </w14:textFill>
        </w:rPr>
        <w:t>填写</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w:t>
      </w:r>
    </w:p>
    <w:p w14:paraId="2E7A6C36">
      <w:pPr>
        <w:spacing w:line="588" w:lineRule="exact"/>
        <w:rPr>
          <w:rFonts w:hint="eastAsia" w:ascii="仿宋" w:hAnsi="仿宋" w:eastAsia="仿宋" w:cs="仿宋"/>
          <w:b/>
          <w:color w:val="000000" w:themeColor="text1"/>
          <w:spacing w:val="6"/>
          <w:sz w:val="24"/>
          <w:szCs w:val="24"/>
          <w:highlight w:val="none"/>
          <w14:textFill>
            <w14:solidFill>
              <w14:schemeClr w14:val="tx1"/>
            </w14:solidFill>
          </w14:textFill>
        </w:rPr>
      </w:pPr>
    </w:p>
    <w:p w14:paraId="69D4C292">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0FEB5D">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30DB86E1">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4A8DE6FB">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50AB232D">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单位名称（盖章）：</w:t>
      </w:r>
    </w:p>
    <w:p w14:paraId="714769B1">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431711AD">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3395F422">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1EC2DDD2">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11B250F7">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55F52677">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39ADA8FE">
      <w:pPr>
        <w:spacing w:line="360" w:lineRule="auto"/>
        <w:ind w:firstLine="422" w:firstLineChars="200"/>
        <w:rPr>
          <w:rFonts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w:t>
      </w:r>
      <w:r>
        <w:rPr>
          <w:rFonts w:hint="eastAsia" w:ascii="仿宋" w:hAnsi="仿宋" w:eastAsia="仿宋" w:cs="仿宋"/>
          <w:b/>
          <w:kern w:val="0"/>
          <w:sz w:val="21"/>
          <w:szCs w:val="20"/>
          <w:highlight w:val="none"/>
          <w:lang w:val="en-US" w:eastAsia="zh-CN"/>
        </w:rPr>
        <w:t>供应商</w:t>
      </w:r>
      <w:r>
        <w:rPr>
          <w:rFonts w:hint="eastAsia" w:ascii="仿宋" w:hAnsi="仿宋" w:eastAsia="仿宋" w:cs="仿宋"/>
          <w:b/>
          <w:kern w:val="0"/>
          <w:sz w:val="21"/>
          <w:szCs w:val="20"/>
          <w:highlight w:val="none"/>
          <w:lang w:val="zh-CN"/>
        </w:rPr>
        <w:t>提供的《残疾人福利性单位声明函》必须真实有效，如果被举报经查实出具虚假声明函的，将被取消投标资格，并按有关规定予以处理。</w:t>
      </w:r>
    </w:p>
    <w:p w14:paraId="08887DC6">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26EEA603">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580087A9">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127DC1EB">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5C29DD99">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6B6BF187">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4763E5C0">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70D779CE">
      <w:pPr>
        <w:pStyle w:val="15"/>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2013CC1F">
      <w:pPr>
        <w:pStyle w:val="41"/>
        <w:pageBreakBefore w:val="0"/>
        <w:bidi w:val="0"/>
        <w:spacing w:line="560" w:lineRule="exact"/>
        <w:ind w:left="0" w:leftChars="0" w:firstLine="0" w:firstLineChars="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14.</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监狱、戒毒企业</w:t>
      </w:r>
      <w:r>
        <w:rPr>
          <w:rFonts w:hint="eastAsia" w:ascii="仿宋" w:hAnsi="仿宋" w:eastAsia="仿宋" w:cs="仿宋"/>
          <w:b/>
          <w:bCs/>
          <w:color w:val="000000" w:themeColor="text1"/>
          <w:szCs w:val="28"/>
          <w:highlight w:val="none"/>
          <w14:textFill>
            <w14:solidFill>
              <w14:schemeClr w14:val="tx1"/>
            </w14:solidFill>
          </w14:textFill>
        </w:rPr>
        <w:t>声明函》</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5FF01ED1">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color w:val="000000" w:themeColor="text1"/>
          <w:kern w:val="0"/>
          <w:sz w:val="28"/>
          <w:szCs w:val="28"/>
          <w:highlight w:val="none"/>
          <w:lang w:val="zh-CN"/>
          <w14:textFill>
            <w14:solidFill>
              <w14:schemeClr w14:val="tx1"/>
            </w14:solidFill>
          </w14:textFill>
        </w:rPr>
      </w:pPr>
    </w:p>
    <w:p w14:paraId="2878C75E">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000000" w:themeColor="text1"/>
          <w:spacing w:val="6"/>
          <w:sz w:val="21"/>
          <w:szCs w:val="21"/>
          <w:highlight w:val="none"/>
          <w:u w:val="doubl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监狱、戒毒企业声明函</w:t>
      </w:r>
      <w:r>
        <w:rPr>
          <w:rFonts w:hint="eastAsia" w:ascii="仿宋" w:hAnsi="仿宋" w:eastAsia="仿宋" w:cs="仿宋"/>
          <w:b/>
          <w:strike w:val="0"/>
          <w:dstrike w:val="0"/>
          <w:color w:val="000000" w:themeColor="text1"/>
          <w:spacing w:val="6"/>
          <w:sz w:val="18"/>
          <w:szCs w:val="18"/>
          <w:highlight w:val="none"/>
          <w:u w:val="none"/>
          <w:lang w:val="zh-CN"/>
          <w14:textFill>
            <w14:solidFill>
              <w14:schemeClr w14:val="tx1"/>
            </w14:solidFill>
          </w14:textFill>
        </w:rPr>
        <w:t>（非监狱、戒毒企业不填写）</w:t>
      </w:r>
    </w:p>
    <w:p w14:paraId="3844F63B">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themeColor="text1"/>
          <w:spacing w:val="6"/>
          <w:szCs w:val="24"/>
          <w:highlight w:val="none"/>
          <w14:textFill>
            <w14:solidFill>
              <w14:schemeClr w14:val="tx1"/>
            </w14:solidFill>
          </w14:textFill>
        </w:rPr>
      </w:pPr>
      <w:r>
        <w:rPr>
          <w:rFonts w:hint="eastAsia" w:ascii="仿宋" w:hAnsi="仿宋" w:eastAsia="仿宋" w:cs="仿宋"/>
          <w:color w:val="000000" w:themeColor="text1"/>
          <w:spacing w:val="6"/>
          <w:szCs w:val="24"/>
          <w:highlight w:val="none"/>
          <w14:textFill>
            <w14:solidFill>
              <w14:schemeClr w14:val="tx1"/>
            </w14:solidFill>
          </w14:textFill>
        </w:rPr>
        <w:t xml:space="preserve"> </w:t>
      </w:r>
    </w:p>
    <w:p w14:paraId="4C199E65">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w:t>
      </w:r>
      <w:r>
        <w:rPr>
          <w:rFonts w:hint="eastAsia" w:ascii="仿宋" w:hAnsi="仿宋" w:eastAsia="仿宋" w:cs="仿宋"/>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仿宋" w:hAnsi="仿宋" w:eastAsia="仿宋" w:cs="仿宋"/>
          <w:color w:val="000000" w:themeColor="text1"/>
          <w:sz w:val="24"/>
          <w:highlight w:val="none"/>
          <w14:textFill>
            <w14:solidFill>
              <w14:schemeClr w14:val="tx1"/>
            </w14:solidFill>
          </w14:textFill>
        </w:rPr>
        <w:t>》（财库〔2014〕68号）的规定，本单位为符合条件的监狱、戒毒企业，且本单位参加的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14:paraId="62D2F885">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7BB2535A">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674FCC96">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163F5476">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全称（公章）：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2001988">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0DFBBE0C">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37D26AB6">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264C7D62">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00AF38F1">
      <w:pPr>
        <w:pStyle w:val="15"/>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备注：供应商提供的《</w:t>
      </w:r>
      <w:r>
        <w:rPr>
          <w:rFonts w:hint="eastAsia" w:ascii="仿宋" w:hAnsi="仿宋" w:eastAsia="仿宋" w:cs="仿宋"/>
          <w:b/>
          <w:bCs w:val="0"/>
          <w:color w:val="000000" w:themeColor="text1"/>
          <w:sz w:val="21"/>
          <w:szCs w:val="20"/>
          <w:highlight w:val="none"/>
          <w14:textFill>
            <w14:solidFill>
              <w14:schemeClr w14:val="tx1"/>
            </w14:solidFill>
          </w14:textFill>
        </w:rPr>
        <w:t>监狱、戒毒企业</w:t>
      </w: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声明函》必须真实有效，供应商</w:t>
      </w:r>
      <w:r>
        <w:rPr>
          <w:rFonts w:hint="eastAsia" w:ascii="仿宋" w:hAnsi="仿宋" w:eastAsia="仿宋" w:cs="仿宋"/>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14:paraId="14DAB6DA">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545660B0">
      <w:pPr>
        <w:pStyle w:val="15"/>
        <w:rPr>
          <w:rFonts w:hint="eastAsia" w:ascii="仿宋" w:hAnsi="仿宋" w:eastAsia="仿宋" w:cs="仿宋"/>
          <w:color w:val="000000" w:themeColor="text1"/>
          <w:kern w:val="0"/>
          <w:sz w:val="28"/>
          <w:szCs w:val="28"/>
          <w:highlight w:val="none"/>
          <w14:textFill>
            <w14:solidFill>
              <w14:schemeClr w14:val="tx1"/>
            </w14:solidFill>
          </w14:textFill>
        </w:rPr>
      </w:pPr>
    </w:p>
    <w:p w14:paraId="0B02E5FC">
      <w:pPr>
        <w:pStyle w:val="41"/>
        <w:spacing w:line="560" w:lineRule="exact"/>
        <w:ind w:firstLine="0" w:firstLineChars="0"/>
        <w:jc w:val="both"/>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437B63AA">
      <w:pPr>
        <w:rPr>
          <w:rFonts w:hint="eastAsia" w:ascii="仿宋" w:hAnsi="仿宋" w:eastAsia="仿宋" w:cs="仿宋"/>
          <w:color w:val="000000" w:themeColor="text1"/>
          <w:highlight w:val="none"/>
          <w14:textFill>
            <w14:solidFill>
              <w14:schemeClr w14:val="tx1"/>
            </w14:solidFill>
          </w14:textFill>
        </w:rPr>
      </w:pPr>
    </w:p>
    <w:p w14:paraId="6C405D64">
      <w:pPr>
        <w:spacing w:line="4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竞争性磋商响应</w:t>
      </w:r>
      <w:r>
        <w:rPr>
          <w:rFonts w:hint="eastAsia" w:ascii="仿宋" w:hAnsi="仿宋" w:eastAsia="仿宋" w:cs="仿宋"/>
          <w:b/>
          <w:color w:val="000000" w:themeColor="text1"/>
          <w:sz w:val="24"/>
          <w:highlight w:val="none"/>
          <w14:textFill>
            <w14:solidFill>
              <w14:schemeClr w14:val="tx1"/>
            </w14:solidFill>
          </w14:textFill>
        </w:rPr>
        <w:t>文件封袋正面标识式样</w:t>
      </w:r>
    </w:p>
    <w:p w14:paraId="19D7F2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144145</wp:posOffset>
                </wp:positionH>
                <wp:positionV relativeFrom="paragraph">
                  <wp:posOffset>157480</wp:posOffset>
                </wp:positionV>
                <wp:extent cx="5678805" cy="7706360"/>
                <wp:effectExtent l="5080" t="4445" r="12065" b="2349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7BF990">
                            <w:pPr>
                              <w:rPr>
                                <w:rFonts w:hint="eastAsia" w:ascii="仿宋" w:hAnsi="仿宋" w:eastAsia="仿宋" w:cs="仿宋"/>
                                <w:color w:val="00B0F0"/>
                                <w:sz w:val="28"/>
                                <w:szCs w:val="28"/>
                              </w:rPr>
                            </w:pPr>
                          </w:p>
                          <w:p w14:paraId="5616845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致：中智投工程管理有限公司</w:t>
                            </w:r>
                          </w:p>
                          <w:p w14:paraId="765208E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3FBCB1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4F4F596F">
                            <w:pPr>
                              <w:jc w:val="center"/>
                              <w:rPr>
                                <w:rFonts w:hint="eastAsia" w:ascii="仿宋" w:hAnsi="仿宋" w:eastAsia="仿宋" w:cs="仿宋"/>
                                <w:b/>
                                <w:sz w:val="44"/>
                                <w:szCs w:val="44"/>
                              </w:rPr>
                            </w:pPr>
                          </w:p>
                          <w:p w14:paraId="1C0516AD">
                            <w:pPr>
                              <w:jc w:val="center"/>
                              <w:rPr>
                                <w:rFonts w:hint="eastAsia" w:ascii="仿宋" w:hAnsi="仿宋" w:eastAsia="仿宋" w:cs="仿宋"/>
                                <w:b/>
                                <w:sz w:val="44"/>
                                <w:szCs w:val="44"/>
                              </w:rPr>
                            </w:pPr>
                          </w:p>
                          <w:p w14:paraId="79A2BF2D">
                            <w:pPr>
                              <w:jc w:val="center"/>
                              <w:rPr>
                                <w:rFonts w:hint="eastAsia" w:ascii="仿宋" w:hAnsi="仿宋" w:eastAsia="仿宋" w:cs="仿宋"/>
                                <w:b/>
                                <w:sz w:val="44"/>
                                <w:szCs w:val="44"/>
                              </w:rPr>
                            </w:pPr>
                          </w:p>
                          <w:p w14:paraId="391ACCDB">
                            <w:pPr>
                              <w:pStyle w:val="10"/>
                              <w:rPr>
                                <w:rFonts w:hint="eastAsia"/>
                              </w:rPr>
                            </w:pPr>
                          </w:p>
                          <w:p w14:paraId="1C418AFF">
                            <w:pPr>
                              <w:jc w:val="center"/>
                              <w:rPr>
                                <w:rFonts w:hint="eastAsia" w:ascii="仿宋" w:hAnsi="仿宋" w:eastAsia="仿宋" w:cs="仿宋"/>
                                <w:b/>
                                <w:sz w:val="44"/>
                                <w:szCs w:val="44"/>
                              </w:rPr>
                            </w:pPr>
                          </w:p>
                          <w:p w14:paraId="28729FE7">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4FFE87A1">
                            <w:pPr>
                              <w:rPr>
                                <w:rFonts w:hint="eastAsia" w:ascii="仿宋" w:hAnsi="仿宋" w:eastAsia="仿宋" w:cs="仿宋"/>
                                <w:sz w:val="28"/>
                                <w:szCs w:val="28"/>
                              </w:rPr>
                            </w:pPr>
                          </w:p>
                          <w:p w14:paraId="3474DBA0">
                            <w:pPr>
                              <w:rPr>
                                <w:rFonts w:hint="eastAsia" w:ascii="仿宋" w:hAnsi="仿宋" w:eastAsia="仿宋" w:cs="仿宋"/>
                                <w:sz w:val="28"/>
                                <w:szCs w:val="28"/>
                              </w:rPr>
                            </w:pPr>
                          </w:p>
                          <w:p w14:paraId="23C652D0">
                            <w:pPr>
                              <w:rPr>
                                <w:rFonts w:hint="eastAsia" w:ascii="仿宋" w:hAnsi="仿宋" w:eastAsia="仿宋" w:cs="仿宋"/>
                                <w:sz w:val="28"/>
                                <w:szCs w:val="28"/>
                              </w:rPr>
                            </w:pPr>
                          </w:p>
                          <w:p w14:paraId="41A2E13E">
                            <w:pPr>
                              <w:rPr>
                                <w:rFonts w:hint="eastAsia" w:ascii="仿宋" w:hAnsi="仿宋" w:eastAsia="仿宋" w:cs="仿宋"/>
                                <w:sz w:val="28"/>
                                <w:szCs w:val="28"/>
                              </w:rPr>
                            </w:pPr>
                          </w:p>
                          <w:p w14:paraId="1B0213A4">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379C7440">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E39DE0A">
                            <w:pPr>
                              <w:pStyle w:val="10"/>
                              <w:jc w:val="center"/>
                              <w:rPr>
                                <w:rFonts w:hint="eastAsia" w:ascii="仿宋" w:hAnsi="仿宋" w:eastAsia="仿宋" w:cs="仿宋"/>
                                <w:color w:val="auto"/>
                              </w:rPr>
                            </w:pPr>
                          </w:p>
                          <w:p w14:paraId="017FF76E">
                            <w:pPr>
                              <w:pStyle w:val="10"/>
                              <w:jc w:val="center"/>
                              <w:rPr>
                                <w:rFonts w:hint="eastAsia" w:ascii="仿宋" w:hAnsi="仿宋" w:eastAsia="仿宋" w:cs="仿宋"/>
                                <w:color w:val="auto"/>
                              </w:rPr>
                            </w:pPr>
                          </w:p>
                          <w:p w14:paraId="058BD68B">
                            <w:pPr>
                              <w:rPr>
                                <w:rFonts w:hint="eastAsia" w:ascii="仿宋" w:hAnsi="仿宋" w:eastAsia="仿宋" w:cs="仿宋"/>
                                <w:color w:val="auto"/>
                              </w:rPr>
                            </w:pPr>
                          </w:p>
                          <w:p w14:paraId="602FB307">
                            <w:pPr>
                              <w:pStyle w:val="10"/>
                              <w:rPr>
                                <w:rFonts w:hint="eastAsia"/>
                              </w:rPr>
                            </w:pPr>
                          </w:p>
                          <w:p w14:paraId="547A6DB7">
                            <w:pPr>
                              <w:pStyle w:val="10"/>
                              <w:jc w:val="center"/>
                              <w:rPr>
                                <w:rFonts w:hint="eastAsia" w:ascii="仿宋" w:hAnsi="仿宋" w:eastAsia="仿宋" w:cs="仿宋"/>
                                <w:color w:val="auto"/>
                              </w:rPr>
                            </w:pPr>
                          </w:p>
                          <w:p w14:paraId="0B2A089F">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71DE0E27">
                            <w:pPr>
                              <w:pStyle w:val="10"/>
                              <w:rPr>
                                <w:rFonts w:hint="eastAsia" w:ascii="仿宋" w:hAnsi="仿宋" w:eastAsia="仿宋" w:cs="仿宋"/>
                                <w:color w:val="00B0F0"/>
                              </w:rPr>
                            </w:pPr>
                          </w:p>
                          <w:p w14:paraId="0899E92A">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5408;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14:paraId="397BF990">
                      <w:pPr>
                        <w:rPr>
                          <w:rFonts w:hint="eastAsia" w:ascii="仿宋" w:hAnsi="仿宋" w:eastAsia="仿宋" w:cs="仿宋"/>
                          <w:color w:val="00B0F0"/>
                          <w:sz w:val="28"/>
                          <w:szCs w:val="28"/>
                        </w:rPr>
                      </w:pPr>
                    </w:p>
                    <w:p w14:paraId="5616845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致：中智投工程管理有限公司</w:t>
                      </w:r>
                    </w:p>
                    <w:p w14:paraId="765208E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3FBCB1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4F4F596F">
                      <w:pPr>
                        <w:jc w:val="center"/>
                        <w:rPr>
                          <w:rFonts w:hint="eastAsia" w:ascii="仿宋" w:hAnsi="仿宋" w:eastAsia="仿宋" w:cs="仿宋"/>
                          <w:b/>
                          <w:sz w:val="44"/>
                          <w:szCs w:val="44"/>
                        </w:rPr>
                      </w:pPr>
                    </w:p>
                    <w:p w14:paraId="1C0516AD">
                      <w:pPr>
                        <w:jc w:val="center"/>
                        <w:rPr>
                          <w:rFonts w:hint="eastAsia" w:ascii="仿宋" w:hAnsi="仿宋" w:eastAsia="仿宋" w:cs="仿宋"/>
                          <w:b/>
                          <w:sz w:val="44"/>
                          <w:szCs w:val="44"/>
                        </w:rPr>
                      </w:pPr>
                    </w:p>
                    <w:p w14:paraId="79A2BF2D">
                      <w:pPr>
                        <w:jc w:val="center"/>
                        <w:rPr>
                          <w:rFonts w:hint="eastAsia" w:ascii="仿宋" w:hAnsi="仿宋" w:eastAsia="仿宋" w:cs="仿宋"/>
                          <w:b/>
                          <w:sz w:val="44"/>
                          <w:szCs w:val="44"/>
                        </w:rPr>
                      </w:pPr>
                    </w:p>
                    <w:p w14:paraId="391ACCDB">
                      <w:pPr>
                        <w:pStyle w:val="10"/>
                        <w:rPr>
                          <w:rFonts w:hint="eastAsia"/>
                        </w:rPr>
                      </w:pPr>
                    </w:p>
                    <w:p w14:paraId="1C418AFF">
                      <w:pPr>
                        <w:jc w:val="center"/>
                        <w:rPr>
                          <w:rFonts w:hint="eastAsia" w:ascii="仿宋" w:hAnsi="仿宋" w:eastAsia="仿宋" w:cs="仿宋"/>
                          <w:b/>
                          <w:sz w:val="44"/>
                          <w:szCs w:val="44"/>
                        </w:rPr>
                      </w:pPr>
                    </w:p>
                    <w:p w14:paraId="28729FE7">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4FFE87A1">
                      <w:pPr>
                        <w:rPr>
                          <w:rFonts w:hint="eastAsia" w:ascii="仿宋" w:hAnsi="仿宋" w:eastAsia="仿宋" w:cs="仿宋"/>
                          <w:sz w:val="28"/>
                          <w:szCs w:val="28"/>
                        </w:rPr>
                      </w:pPr>
                    </w:p>
                    <w:p w14:paraId="3474DBA0">
                      <w:pPr>
                        <w:rPr>
                          <w:rFonts w:hint="eastAsia" w:ascii="仿宋" w:hAnsi="仿宋" w:eastAsia="仿宋" w:cs="仿宋"/>
                          <w:sz w:val="28"/>
                          <w:szCs w:val="28"/>
                        </w:rPr>
                      </w:pPr>
                    </w:p>
                    <w:p w14:paraId="23C652D0">
                      <w:pPr>
                        <w:rPr>
                          <w:rFonts w:hint="eastAsia" w:ascii="仿宋" w:hAnsi="仿宋" w:eastAsia="仿宋" w:cs="仿宋"/>
                          <w:sz w:val="28"/>
                          <w:szCs w:val="28"/>
                        </w:rPr>
                      </w:pPr>
                    </w:p>
                    <w:p w14:paraId="41A2E13E">
                      <w:pPr>
                        <w:rPr>
                          <w:rFonts w:hint="eastAsia" w:ascii="仿宋" w:hAnsi="仿宋" w:eastAsia="仿宋" w:cs="仿宋"/>
                          <w:sz w:val="28"/>
                          <w:szCs w:val="28"/>
                        </w:rPr>
                      </w:pPr>
                    </w:p>
                    <w:p w14:paraId="1B0213A4">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379C7440">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E39DE0A">
                      <w:pPr>
                        <w:pStyle w:val="10"/>
                        <w:jc w:val="center"/>
                        <w:rPr>
                          <w:rFonts w:hint="eastAsia" w:ascii="仿宋" w:hAnsi="仿宋" w:eastAsia="仿宋" w:cs="仿宋"/>
                          <w:color w:val="auto"/>
                        </w:rPr>
                      </w:pPr>
                    </w:p>
                    <w:p w14:paraId="017FF76E">
                      <w:pPr>
                        <w:pStyle w:val="10"/>
                        <w:jc w:val="center"/>
                        <w:rPr>
                          <w:rFonts w:hint="eastAsia" w:ascii="仿宋" w:hAnsi="仿宋" w:eastAsia="仿宋" w:cs="仿宋"/>
                          <w:color w:val="auto"/>
                        </w:rPr>
                      </w:pPr>
                    </w:p>
                    <w:p w14:paraId="058BD68B">
                      <w:pPr>
                        <w:rPr>
                          <w:rFonts w:hint="eastAsia" w:ascii="仿宋" w:hAnsi="仿宋" w:eastAsia="仿宋" w:cs="仿宋"/>
                          <w:color w:val="auto"/>
                        </w:rPr>
                      </w:pPr>
                    </w:p>
                    <w:p w14:paraId="602FB307">
                      <w:pPr>
                        <w:pStyle w:val="10"/>
                        <w:rPr>
                          <w:rFonts w:hint="eastAsia"/>
                        </w:rPr>
                      </w:pPr>
                    </w:p>
                    <w:p w14:paraId="547A6DB7">
                      <w:pPr>
                        <w:pStyle w:val="10"/>
                        <w:jc w:val="center"/>
                        <w:rPr>
                          <w:rFonts w:hint="eastAsia" w:ascii="仿宋" w:hAnsi="仿宋" w:eastAsia="仿宋" w:cs="仿宋"/>
                          <w:color w:val="auto"/>
                        </w:rPr>
                      </w:pPr>
                    </w:p>
                    <w:p w14:paraId="0B2A089F">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71DE0E27">
                      <w:pPr>
                        <w:pStyle w:val="10"/>
                        <w:rPr>
                          <w:rFonts w:hint="eastAsia" w:ascii="仿宋" w:hAnsi="仿宋" w:eastAsia="仿宋" w:cs="仿宋"/>
                          <w:color w:val="00B0F0"/>
                        </w:rPr>
                      </w:pPr>
                    </w:p>
                    <w:p w14:paraId="0899E92A">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14:paraId="76D77194">
      <w:pPr>
        <w:snapToGrid w:val="0"/>
        <w:spacing w:line="560" w:lineRule="exact"/>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528B20B9">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p>
    <w:p w14:paraId="426E623C">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w:t>
      </w:r>
    </w:p>
    <w:p w14:paraId="7E7A75E3">
      <w:pPr>
        <w:pStyle w:val="10"/>
        <w:rPr>
          <w:rFonts w:hint="eastAsia" w:ascii="仿宋" w:hAnsi="仿宋" w:eastAsia="仿宋" w:cs="仿宋"/>
          <w:color w:val="000000" w:themeColor="text1"/>
          <w:highlight w:val="none"/>
          <w14:textFill>
            <w14:solidFill>
              <w14:schemeClr w14:val="tx1"/>
            </w14:solidFill>
          </w14:textFill>
        </w:rPr>
      </w:pPr>
    </w:p>
    <w:p w14:paraId="7DB6C982">
      <w:pPr>
        <w:rPr>
          <w:rFonts w:hint="eastAsia" w:ascii="仿宋" w:hAnsi="仿宋" w:eastAsia="仿宋" w:cs="仿宋"/>
          <w:color w:val="000000" w:themeColor="text1"/>
          <w:highlight w:val="none"/>
          <w14:textFill>
            <w14:solidFill>
              <w14:schemeClr w14:val="tx1"/>
            </w14:solidFill>
          </w14:textFill>
        </w:rPr>
      </w:pPr>
    </w:p>
    <w:p w14:paraId="43B7FE7D">
      <w:pPr>
        <w:spacing w:line="560" w:lineRule="exact"/>
        <w:rPr>
          <w:rFonts w:hint="eastAsia" w:ascii="仿宋" w:hAnsi="仿宋" w:eastAsia="仿宋" w:cs="仿宋"/>
          <w:b/>
          <w:color w:val="000000" w:themeColor="text1"/>
          <w:sz w:val="44"/>
          <w:szCs w:val="44"/>
          <w:highlight w:val="none"/>
          <w14:textFill>
            <w14:solidFill>
              <w14:schemeClr w14:val="tx1"/>
            </w14:solidFill>
          </w14:textFill>
        </w:rPr>
      </w:pPr>
    </w:p>
    <w:p w14:paraId="794A988F">
      <w:pPr>
        <w:pStyle w:val="10"/>
        <w:rPr>
          <w:rFonts w:hint="eastAsia" w:ascii="仿宋" w:hAnsi="仿宋" w:eastAsia="仿宋" w:cs="仿宋"/>
          <w:color w:val="000000" w:themeColor="text1"/>
          <w:highlight w:val="none"/>
          <w14:textFill>
            <w14:solidFill>
              <w14:schemeClr w14:val="tx1"/>
            </w14:solidFill>
          </w14:textFill>
        </w:rPr>
      </w:pPr>
    </w:p>
    <w:bookmarkEnd w:id="94"/>
    <w:bookmarkEnd w:id="95"/>
    <w:bookmarkEnd w:id="97"/>
    <w:bookmarkEnd w:id="98"/>
    <w:bookmarkEnd w:id="99"/>
    <w:bookmarkEnd w:id="100"/>
    <w:p w14:paraId="1415F8F2">
      <w:pPr>
        <w:rPr>
          <w:rFonts w:hint="eastAsia" w:ascii="仿宋" w:hAnsi="仿宋" w:eastAsia="仿宋" w:cs="仿宋"/>
          <w:color w:val="000000" w:themeColor="text1"/>
          <w:highlight w:val="none"/>
          <w14:textFill>
            <w14:solidFill>
              <w14:schemeClr w14:val="tx1"/>
            </w14:solidFill>
          </w14:textFill>
        </w:rPr>
      </w:pPr>
    </w:p>
    <w:sectPr>
      <w:footerReference r:id="rId20"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59AB">
    <w:pPr>
      <w:spacing w:line="280" w:lineRule="exact"/>
      <w:jc w:val="center"/>
      <w:rPr>
        <w:rFonts w:ascii="楷体" w:hAnsi="楷体" w:eastAsia="楷体" w:cs="楷体"/>
        <w:b/>
        <w:sz w:val="18"/>
        <w:szCs w:val="18"/>
        <w:u w:val="single"/>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4C39">
    <w:pPr>
      <w:pStyle w:val="15"/>
      <w:framePr w:wrap="around" w:vAnchor="text" w:hAnchor="margin" w:xAlign="center" w:y="1"/>
      <w:rPr>
        <w:rStyle w:val="27"/>
      </w:rPr>
    </w:pPr>
    <w:r>
      <w:fldChar w:fldCharType="begin"/>
    </w:r>
    <w:r>
      <w:rPr>
        <w:rStyle w:val="27"/>
      </w:rPr>
      <w:instrText xml:space="preserve">PAGE  </w:instrText>
    </w:r>
    <w:r>
      <w:fldChar w:fldCharType="end"/>
    </w:r>
  </w:p>
  <w:p w14:paraId="598AF76D">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4061">
    <w:pPr>
      <w:pStyle w:val="10"/>
    </w:pPr>
  </w:p>
  <w:p w14:paraId="4F8FC847">
    <w:pPr>
      <w:spacing w:line="280" w:lineRule="exact"/>
      <w:rPr>
        <w:rFonts w:ascii="宋体" w:hAnsi="宋体"/>
        <w:b/>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A79C">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84E9F0">
                          <w:pPr>
                            <w:pStyle w:val="15"/>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0288;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CkqqGnLAQAAm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kpPLgb/YRW8idJdQRaiqGE8vcpu1KK/H0nrMe/6j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qxN7ZAAAACQEAAA8AAAAAAAAAAQAgAAAAIgAAAGRy&#10;cy9kb3ducmV2LnhtbFBLAQIUABQAAAAIAIdO4kApKqhpywEAAJkDAAAOAAAAAAAAAAEAIAAAACgB&#10;AABkcnMvZTJvRG9jLnhtbFBLBQYAAAAABgAGAFkBAABlBQAAAAA=&#10;">
              <v:fill on="f" focussize="0,0"/>
              <v:stroke on="f" weight="1.25pt"/>
              <v:imagedata o:title=""/>
              <o:lock v:ext="edit" aspectratio="f"/>
              <v:textbox inset="0mm,0mm,0mm,0mm" style="mso-fit-shape-to-text:t;">
                <w:txbxContent>
                  <w:p w14:paraId="4A84E9F0">
                    <w:pPr>
                      <w:pStyle w:val="15"/>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289A">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1312"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BD4BE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1312;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B/B7ZtywEAAJk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MlJ58B8OEVvInSXUEWoqhhPL3KbtSivx9J6zHv+o&#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Q3Ot2gAAAAkBAAAPAAAAAAAAAAEAIAAAACIAAABk&#10;cnMvZG93bnJldi54bWxQSwECFAAUAAAACACHTuJAfwe2bcsBAACZAwAADgAAAAAAAAABACAAAAAp&#10;AQAAZHJzL2Uyb0RvYy54bWxQSwUGAAAAAAYABgBZAQAAZgUAAAAA&#10;">
              <v:fill on="f" focussize="0,0"/>
              <v:stroke on="f" weight="1.25pt"/>
              <v:imagedata o:title=""/>
              <o:lock v:ext="edit" aspectratio="f"/>
              <v:textbox inset="0mm,0mm,0mm,0mm" style="mso-fit-shape-to-text:t;">
                <w:txbxContent>
                  <w:p w14:paraId="5FBD4BE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35E9">
    <w:pPr>
      <w:pStyle w:val="15"/>
      <w:ind w:firstLine="90" w:firstLineChars="50"/>
      <w:rPr>
        <w:rStyle w:val="27"/>
      </w:rPr>
    </w:pPr>
    <w:r>
      <w:rPr>
        <w:rStyle w:val="27"/>
        <w:rFonts w:hint="eastAsia"/>
      </w:rPr>
      <w:t xml:space="preserve">  </w:t>
    </w:r>
  </w:p>
  <w:p w14:paraId="01CFFBF2">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2336"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76D3AC">
                          <w:pPr>
                            <w:pStyle w:val="15"/>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2336;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CQzjdzMAQAAm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TkcqDv91HbCF3llBHqKkYTixzm7YrrcS/95z19E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UyCo2QAAAAkBAAAPAAAAAAAAAAEAIAAAACIAAABk&#10;cnMvZG93bnJldi54bWxQSwECFAAUAAAACACHTuJAJDON3MwBAACZAwAADgAAAAAAAAABACAAAAAo&#10;AQAAZHJzL2Uyb0RvYy54bWxQSwUGAAAAAAYABgBZAQAAZgUAAAAA&#10;">
              <v:fill on="f" focussize="0,0"/>
              <v:stroke on="f" weight="1.25pt"/>
              <v:imagedata o:title=""/>
              <o:lock v:ext="edit" aspectratio="f"/>
              <v:textbox inset="0mm,0mm,0mm,0mm" style="mso-fit-shape-to-text:t;">
                <w:txbxContent>
                  <w:p w14:paraId="5F76D3AC">
                    <w:pPr>
                      <w:pStyle w:val="15"/>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591C">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4384"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84013">
                          <w:pPr>
                            <w:pStyle w:val="15"/>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4384;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DTXYplywEAAJk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ZKTy4O/2EVvInSXUEWoqhhPL3KbtSivx9z1nvfx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6nxK1wAAAAoBAAAPAAAAAAAAAAEAIAAAACIAAABkcnMv&#10;ZG93bnJldi54bWxQSwECFAAUAAAACACHTuJA012KZcsBAACZAwAADgAAAAAAAAABACAAAAAmAQAA&#10;ZHJzL2Uyb0RvYy54bWxQSwUGAAAAAAYABgBZAQAAYwUAAAAA&#10;">
              <v:fill on="f" focussize="0,0"/>
              <v:stroke on="f" weight="1.25pt"/>
              <v:imagedata o:title=""/>
              <o:lock v:ext="edit" aspectratio="f"/>
              <v:textbox inset="0mm,0mm,0mm,0mm" style="mso-fit-shape-to-text:t;">
                <w:txbxContent>
                  <w:p w14:paraId="63C84013">
                    <w:pPr>
                      <w:pStyle w:val="15"/>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B3EF">
    <w:pPr>
      <w:spacing w:line="240" w:lineRule="exact"/>
      <w:ind w:firstLine="103" w:firstLineChars="49"/>
      <w:rPr>
        <w:b/>
        <w:szCs w:val="21"/>
      </w:rPr>
    </w:pPr>
    <w:r>
      <w:rPr>
        <w:rFonts w:hint="eastAsia"/>
        <w:b/>
        <w:szCs w:val="21"/>
      </w:rPr>
      <w:t>--------------</w:t>
    </w:r>
    <w:r>
      <w:rPr>
        <w:rFonts w:hint="eastAsia"/>
        <w:b/>
      </w:rPr>
      <w:t>-</w:t>
    </w:r>
    <w:r>
      <w:rPr>
        <w:rFonts w:hint="eastAsia"/>
        <w:b/>
        <w:szCs w:val="21"/>
      </w:rPr>
      <w:t>--------------------------------------------------</w:t>
    </w:r>
    <w:r>
      <w:rPr>
        <w:szCs w:val="21"/>
      </w:rPr>
      <w:fldChar w:fldCharType="begin"/>
    </w:r>
    <w:r>
      <w:rPr>
        <w:rStyle w:val="27"/>
        <w:szCs w:val="21"/>
      </w:rPr>
      <w:instrText xml:space="preserve"> PAGE </w:instrText>
    </w:r>
    <w:r>
      <w:rPr>
        <w:szCs w:val="21"/>
      </w:rPr>
      <w:fldChar w:fldCharType="separate"/>
    </w:r>
    <w:r>
      <w:rPr>
        <w:rStyle w:val="27"/>
        <w:szCs w:val="21"/>
      </w:rPr>
      <w:t>41</w:t>
    </w:r>
    <w:r>
      <w:rPr>
        <w:szCs w:val="21"/>
      </w:rPr>
      <w:fldChar w:fldCharType="end"/>
    </w:r>
    <w:r>
      <w:rPr>
        <w:rStyle w:val="27"/>
        <w:rFonts w:hint="eastAsia"/>
        <w:szCs w:val="21"/>
      </w:rPr>
      <w:t xml:space="preserve"> </w:t>
    </w:r>
    <w:r>
      <w:rPr>
        <w:rFonts w:hint="eastAsia"/>
        <w:b/>
        <w:szCs w:val="21"/>
      </w:rPr>
      <w:t>---------------------------------------------------------</w:t>
    </w:r>
  </w:p>
  <w:p w14:paraId="11A80003">
    <w:pPr>
      <w:spacing w:line="280" w:lineRule="exact"/>
      <w:jc w:val="center"/>
      <w:rPr>
        <w:b/>
        <w:szCs w:val="21"/>
      </w:rPr>
    </w:pPr>
    <w:r>
      <w:rPr>
        <w:rFonts w:hint="eastAsia"/>
        <w:b/>
        <w:szCs w:val="21"/>
      </w:rPr>
      <w:t>华招广和项目管理有限公司  SHAANXI SHANGDE TENDERING CO，LTD</w:t>
    </w:r>
  </w:p>
  <w:p w14:paraId="1C911046">
    <w:pPr>
      <w:spacing w:line="280" w:lineRule="exact"/>
      <w:jc w:val="center"/>
      <w:rPr>
        <w:rStyle w:val="27"/>
        <w:b/>
        <w:szCs w:val="21"/>
      </w:rPr>
    </w:pPr>
    <w:r>
      <w:rPr>
        <w:rFonts w:hint="eastAsia"/>
        <w:b/>
      </w:rPr>
      <w:t>地 址：西安市南二环西段华融国际A座25层D区   电 话：029-85350801/2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962B">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238125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E4E2C6">
                          <w:pPr>
                            <w:pStyle w:val="15"/>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18.75pt;height:144pt;width:144pt;mso-position-horizontal:center;mso-position-horizontal-relative:margin;mso-wrap-style:none;z-index:251663360;mso-width-relative:page;mso-height-relative:page;" filled="f" stroked="f" coordsize="21600,21600" o:gfxdata="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wHnbpnBiZ9+&#10;/zr9+Xf6+5OgDwXqPdSYd+8xMw6f3IDJsx/QmXgPMpj0RUYE4yjv8SyvGCLh6VG1rKoSQxxj8wXx&#10;i8fnPkD8LJwhyWhowPllWdnhK8QxdU5J1ay7VVrnGWpLekS9rK4u84tzCNG1xSKJxdhtsuKwHSZq&#10;W9cekVmPS9BQiztPif5iUeO0L7MRZmM7Gak8+Jt9xBZyZwl1hJqK4cQyt2m70ko8veesxz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zf/F1wAAAAcBAAAPAAAAAAAAAAEAIAAAACIAAABkcnMv&#10;ZG93bnJldi54bWxQSwECFAAUAAAACACHTuJA3cXsccsBAACZAwAADgAAAAAAAAABACAAAAAmAQAA&#10;ZHJzL2Uyb0RvYy54bWxQSwUGAAAAAAYABgBZAQAAYwUAAAAA&#10;">
              <v:fill on="f" focussize="0,0"/>
              <v:stroke on="f" weight="1.25pt"/>
              <v:imagedata o:title=""/>
              <o:lock v:ext="edit" aspectratio="f"/>
              <v:textbox inset="0mm,0mm,0mm,0mm" style="mso-fit-shape-to-text:t;">
                <w:txbxContent>
                  <w:p w14:paraId="38E4E2C6">
                    <w:pPr>
                      <w:pStyle w:val="15"/>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8EE7">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4EAA">
    <w:pPr>
      <w:pStyle w:val="16"/>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B6E9">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D2D7">
    <w:pPr>
      <w:pStyle w:val="16"/>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2559">
    <w:pPr>
      <w:pStyle w:val="16"/>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7A69">
    <w:pPr>
      <w:pStyle w:val="16"/>
      <w:pBdr>
        <w:bottom w:val="none" w:color="auto" w:sz="0" w:space="1"/>
      </w:pBdr>
      <w:jc w:val="both"/>
      <w:rPr>
        <w:rFonts w:ascii="楷体" w:hAnsi="楷体" w:eastAsia="楷体" w:cs="楷体"/>
        <w:b/>
        <w:u w:val="single"/>
        <w:shd w:val="pct10" w:color="auto" w:fill="FFFFFF"/>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F5AE">
    <w:pPr>
      <w:pStyle w:val="16"/>
      <w:rPr>
        <w:szCs w:val="21"/>
        <w:shd w:val="pct10" w:color="auto" w:fill="FFFFFF"/>
      </w:rPr>
    </w:pPr>
    <w:r>
      <w:rPr>
        <w:rFonts w:hint="eastAsia" w:ascii="宋体" w:hAnsi="宋体"/>
        <w:b/>
        <w:lang w:eastAsia="zh-CN"/>
      </w:rPr>
      <w:t>中国共产党富平县委党校关于武功县设施农业用地上图入库第二阶段采购项目</w:t>
    </w:r>
    <w:r>
      <w:rPr>
        <w:rFonts w:hint="eastAsia" w:ascii="宋体" w:hAnsi="宋体"/>
        <w:b/>
      </w:rPr>
      <w:t xml:space="preserve">                  文件编号: GDZB-2017-0000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92D4">
    <w:pPr>
      <w:pStyle w:val="16"/>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AE0B">
    <w:pPr>
      <w:pStyle w:val="16"/>
      <w:rPr>
        <w:rFonts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F5D51"/>
    <w:multiLevelType w:val="singleLevel"/>
    <w:tmpl w:val="9C9F5D51"/>
    <w:lvl w:ilvl="0" w:tentative="0">
      <w:start w:val="1"/>
      <w:numFmt w:val="decimal"/>
      <w:suff w:val="nothing"/>
      <w:lvlText w:val="%1、"/>
      <w:lvlJc w:val="left"/>
    </w:lvl>
  </w:abstractNum>
  <w:abstractNum w:abstractNumId="1">
    <w:nsid w:val="B21C707A"/>
    <w:multiLevelType w:val="singleLevel"/>
    <w:tmpl w:val="B21C707A"/>
    <w:lvl w:ilvl="0" w:tentative="0">
      <w:start w:val="1"/>
      <w:numFmt w:val="decimal"/>
      <w:suff w:val="nothing"/>
      <w:lvlText w:val="%1、"/>
      <w:lvlJc w:val="left"/>
    </w:lvl>
  </w:abstractNum>
  <w:abstractNum w:abstractNumId="2">
    <w:nsid w:val="53DAE612"/>
    <w:multiLevelType w:val="singleLevel"/>
    <w:tmpl w:val="53DAE61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NjllZTBmZjRkODQ4Yzg1ZWZjMzk1NDljZWE0OWQifQ=="/>
  </w:docVars>
  <w:rsids>
    <w:rsidRoot w:val="5CA52231"/>
    <w:rsid w:val="00295C4C"/>
    <w:rsid w:val="00314C9C"/>
    <w:rsid w:val="004006FE"/>
    <w:rsid w:val="004E284B"/>
    <w:rsid w:val="00574C91"/>
    <w:rsid w:val="00605C8A"/>
    <w:rsid w:val="00716A3F"/>
    <w:rsid w:val="0099218B"/>
    <w:rsid w:val="00AE2E12"/>
    <w:rsid w:val="00C56673"/>
    <w:rsid w:val="016D4D4A"/>
    <w:rsid w:val="018848B9"/>
    <w:rsid w:val="01AF53D2"/>
    <w:rsid w:val="01E01AFA"/>
    <w:rsid w:val="02625C3C"/>
    <w:rsid w:val="026F22F1"/>
    <w:rsid w:val="02A117CD"/>
    <w:rsid w:val="02AA1D26"/>
    <w:rsid w:val="02D33E38"/>
    <w:rsid w:val="030C1D6D"/>
    <w:rsid w:val="037759E0"/>
    <w:rsid w:val="03AC6219"/>
    <w:rsid w:val="04083177"/>
    <w:rsid w:val="046907DC"/>
    <w:rsid w:val="046B31A0"/>
    <w:rsid w:val="04740EAB"/>
    <w:rsid w:val="065027ED"/>
    <w:rsid w:val="06707460"/>
    <w:rsid w:val="067F0181"/>
    <w:rsid w:val="06AC3D9C"/>
    <w:rsid w:val="06E36671"/>
    <w:rsid w:val="06FD58FA"/>
    <w:rsid w:val="0708446E"/>
    <w:rsid w:val="071E7D6B"/>
    <w:rsid w:val="07463591"/>
    <w:rsid w:val="07826662"/>
    <w:rsid w:val="07F208D7"/>
    <w:rsid w:val="07FA3B8F"/>
    <w:rsid w:val="089F1C5C"/>
    <w:rsid w:val="094B7E72"/>
    <w:rsid w:val="09783466"/>
    <w:rsid w:val="09C126F0"/>
    <w:rsid w:val="09F0034F"/>
    <w:rsid w:val="0A40182F"/>
    <w:rsid w:val="0A441C29"/>
    <w:rsid w:val="0A462C8E"/>
    <w:rsid w:val="0A47098D"/>
    <w:rsid w:val="0A782F46"/>
    <w:rsid w:val="0AC611DC"/>
    <w:rsid w:val="0AD53972"/>
    <w:rsid w:val="0AE35538"/>
    <w:rsid w:val="0B5F7256"/>
    <w:rsid w:val="0B7432FA"/>
    <w:rsid w:val="0BCE259C"/>
    <w:rsid w:val="0C04209F"/>
    <w:rsid w:val="0C654222"/>
    <w:rsid w:val="0C993304"/>
    <w:rsid w:val="0CA26AF9"/>
    <w:rsid w:val="0CAD7162"/>
    <w:rsid w:val="0D035E0E"/>
    <w:rsid w:val="0D046532"/>
    <w:rsid w:val="0D1B42EE"/>
    <w:rsid w:val="0D235AC7"/>
    <w:rsid w:val="0D2378B7"/>
    <w:rsid w:val="0D38039C"/>
    <w:rsid w:val="0DC74ACF"/>
    <w:rsid w:val="0E2F54AF"/>
    <w:rsid w:val="0E535B99"/>
    <w:rsid w:val="0E653000"/>
    <w:rsid w:val="0E9852F9"/>
    <w:rsid w:val="0E9D2DA8"/>
    <w:rsid w:val="0EB36461"/>
    <w:rsid w:val="0EB9746D"/>
    <w:rsid w:val="0EF84A2E"/>
    <w:rsid w:val="0F160CF9"/>
    <w:rsid w:val="0FE65E5D"/>
    <w:rsid w:val="11C25421"/>
    <w:rsid w:val="12D77F2E"/>
    <w:rsid w:val="13134FCF"/>
    <w:rsid w:val="13532ADC"/>
    <w:rsid w:val="138A771E"/>
    <w:rsid w:val="13993410"/>
    <w:rsid w:val="13C705E7"/>
    <w:rsid w:val="13D50BD8"/>
    <w:rsid w:val="140426EB"/>
    <w:rsid w:val="142F3033"/>
    <w:rsid w:val="145D5190"/>
    <w:rsid w:val="14685C58"/>
    <w:rsid w:val="147C3400"/>
    <w:rsid w:val="14E622ED"/>
    <w:rsid w:val="14FE0622"/>
    <w:rsid w:val="150154C3"/>
    <w:rsid w:val="150729CC"/>
    <w:rsid w:val="150F0169"/>
    <w:rsid w:val="153B4ABB"/>
    <w:rsid w:val="1545594D"/>
    <w:rsid w:val="159E5B20"/>
    <w:rsid w:val="15E52C78"/>
    <w:rsid w:val="15EF74ED"/>
    <w:rsid w:val="163B5862"/>
    <w:rsid w:val="16666A8E"/>
    <w:rsid w:val="166925C4"/>
    <w:rsid w:val="167960C4"/>
    <w:rsid w:val="16A10FD1"/>
    <w:rsid w:val="18222669"/>
    <w:rsid w:val="188341B0"/>
    <w:rsid w:val="18CC227D"/>
    <w:rsid w:val="19521B57"/>
    <w:rsid w:val="1958524A"/>
    <w:rsid w:val="196873D3"/>
    <w:rsid w:val="19764F21"/>
    <w:rsid w:val="197D4F2E"/>
    <w:rsid w:val="19925274"/>
    <w:rsid w:val="19A3119E"/>
    <w:rsid w:val="1B2E333A"/>
    <w:rsid w:val="1B5D5967"/>
    <w:rsid w:val="1B762CE2"/>
    <w:rsid w:val="1B800E24"/>
    <w:rsid w:val="1B8018F0"/>
    <w:rsid w:val="1B8B6FB4"/>
    <w:rsid w:val="1C2C6107"/>
    <w:rsid w:val="1C3F3B57"/>
    <w:rsid w:val="1C704310"/>
    <w:rsid w:val="1C8A0D7E"/>
    <w:rsid w:val="1C9F1DD3"/>
    <w:rsid w:val="1CBD2782"/>
    <w:rsid w:val="1CC058E0"/>
    <w:rsid w:val="1CE9176D"/>
    <w:rsid w:val="1CEF3C8D"/>
    <w:rsid w:val="1DAD3A24"/>
    <w:rsid w:val="1DAE3C1B"/>
    <w:rsid w:val="1DBF1167"/>
    <w:rsid w:val="1DFA6949"/>
    <w:rsid w:val="1E0D2086"/>
    <w:rsid w:val="1E685343"/>
    <w:rsid w:val="1EC5245F"/>
    <w:rsid w:val="1EE018EF"/>
    <w:rsid w:val="1EF86EC7"/>
    <w:rsid w:val="1F193AD6"/>
    <w:rsid w:val="2090323C"/>
    <w:rsid w:val="20D13F45"/>
    <w:rsid w:val="20F52DBB"/>
    <w:rsid w:val="210851CD"/>
    <w:rsid w:val="218403EA"/>
    <w:rsid w:val="219D3ACF"/>
    <w:rsid w:val="224729DE"/>
    <w:rsid w:val="228D72CD"/>
    <w:rsid w:val="22AA45D0"/>
    <w:rsid w:val="22FB4A29"/>
    <w:rsid w:val="23214339"/>
    <w:rsid w:val="233B6B95"/>
    <w:rsid w:val="234C60E3"/>
    <w:rsid w:val="23667A8F"/>
    <w:rsid w:val="237972CB"/>
    <w:rsid w:val="238460C9"/>
    <w:rsid w:val="2387409E"/>
    <w:rsid w:val="23BD364C"/>
    <w:rsid w:val="23BD5C15"/>
    <w:rsid w:val="2407147B"/>
    <w:rsid w:val="243F7A48"/>
    <w:rsid w:val="2498323C"/>
    <w:rsid w:val="24AD6618"/>
    <w:rsid w:val="24B61425"/>
    <w:rsid w:val="24C8651F"/>
    <w:rsid w:val="24D24F1B"/>
    <w:rsid w:val="24EB35BF"/>
    <w:rsid w:val="25255D5C"/>
    <w:rsid w:val="253668B6"/>
    <w:rsid w:val="253C5361"/>
    <w:rsid w:val="254B7584"/>
    <w:rsid w:val="25D62632"/>
    <w:rsid w:val="25FA6A77"/>
    <w:rsid w:val="261C10D2"/>
    <w:rsid w:val="26B00013"/>
    <w:rsid w:val="26D23436"/>
    <w:rsid w:val="26E01831"/>
    <w:rsid w:val="270200AF"/>
    <w:rsid w:val="27222C9B"/>
    <w:rsid w:val="27323271"/>
    <w:rsid w:val="281A1E64"/>
    <w:rsid w:val="282B61D0"/>
    <w:rsid w:val="283930FA"/>
    <w:rsid w:val="284A0F2F"/>
    <w:rsid w:val="285F3C13"/>
    <w:rsid w:val="2884639A"/>
    <w:rsid w:val="289C18BC"/>
    <w:rsid w:val="28D322DB"/>
    <w:rsid w:val="28EB2A8B"/>
    <w:rsid w:val="2940493E"/>
    <w:rsid w:val="294962CA"/>
    <w:rsid w:val="296F5970"/>
    <w:rsid w:val="29C075C6"/>
    <w:rsid w:val="29C673A2"/>
    <w:rsid w:val="29F41216"/>
    <w:rsid w:val="29F51CDA"/>
    <w:rsid w:val="2A2031AC"/>
    <w:rsid w:val="2A4C49A4"/>
    <w:rsid w:val="2A51745D"/>
    <w:rsid w:val="2B6927F8"/>
    <w:rsid w:val="2BB9108D"/>
    <w:rsid w:val="2BCD3D86"/>
    <w:rsid w:val="2C4B7EAE"/>
    <w:rsid w:val="2D293C07"/>
    <w:rsid w:val="2E55254F"/>
    <w:rsid w:val="2E76670C"/>
    <w:rsid w:val="2E98219C"/>
    <w:rsid w:val="2EBA2A9C"/>
    <w:rsid w:val="2EC30FD3"/>
    <w:rsid w:val="2F3D365B"/>
    <w:rsid w:val="2FFD6A02"/>
    <w:rsid w:val="30442F65"/>
    <w:rsid w:val="307D1B7F"/>
    <w:rsid w:val="308121AA"/>
    <w:rsid w:val="30882EF9"/>
    <w:rsid w:val="30D6704C"/>
    <w:rsid w:val="30E42811"/>
    <w:rsid w:val="312D5C40"/>
    <w:rsid w:val="31785759"/>
    <w:rsid w:val="3179279B"/>
    <w:rsid w:val="318F07B1"/>
    <w:rsid w:val="321A765E"/>
    <w:rsid w:val="322F33E6"/>
    <w:rsid w:val="324A6E8E"/>
    <w:rsid w:val="324C4540"/>
    <w:rsid w:val="3285675A"/>
    <w:rsid w:val="3306189B"/>
    <w:rsid w:val="33441EEA"/>
    <w:rsid w:val="33C8035F"/>
    <w:rsid w:val="34285437"/>
    <w:rsid w:val="34B67359"/>
    <w:rsid w:val="34BD6422"/>
    <w:rsid w:val="35474D1B"/>
    <w:rsid w:val="354B6FBD"/>
    <w:rsid w:val="35635AE6"/>
    <w:rsid w:val="35FC0885"/>
    <w:rsid w:val="36607BFC"/>
    <w:rsid w:val="36647515"/>
    <w:rsid w:val="366B68D7"/>
    <w:rsid w:val="36754531"/>
    <w:rsid w:val="36960592"/>
    <w:rsid w:val="36A6383E"/>
    <w:rsid w:val="36C86E67"/>
    <w:rsid w:val="36CF2484"/>
    <w:rsid w:val="36D45F5B"/>
    <w:rsid w:val="36E765D4"/>
    <w:rsid w:val="36E81B47"/>
    <w:rsid w:val="37015A67"/>
    <w:rsid w:val="37696A12"/>
    <w:rsid w:val="37D672E5"/>
    <w:rsid w:val="37D82BA9"/>
    <w:rsid w:val="385B7D01"/>
    <w:rsid w:val="3A0C2363"/>
    <w:rsid w:val="3A612FFC"/>
    <w:rsid w:val="3A714FAE"/>
    <w:rsid w:val="3A991BBE"/>
    <w:rsid w:val="3AAA1667"/>
    <w:rsid w:val="3AAD0891"/>
    <w:rsid w:val="3B0648C2"/>
    <w:rsid w:val="3B2A69F2"/>
    <w:rsid w:val="3BF0451E"/>
    <w:rsid w:val="3C0C0C6E"/>
    <w:rsid w:val="3CF66938"/>
    <w:rsid w:val="3CFA113A"/>
    <w:rsid w:val="3D474C33"/>
    <w:rsid w:val="3D5F716B"/>
    <w:rsid w:val="3DAA35EA"/>
    <w:rsid w:val="3DAB59FE"/>
    <w:rsid w:val="3DBB3A26"/>
    <w:rsid w:val="3E072A46"/>
    <w:rsid w:val="3E1168FA"/>
    <w:rsid w:val="3E3D638D"/>
    <w:rsid w:val="3E59316B"/>
    <w:rsid w:val="3E7A5E78"/>
    <w:rsid w:val="3E8F35BB"/>
    <w:rsid w:val="3EA96557"/>
    <w:rsid w:val="3EB218A7"/>
    <w:rsid w:val="3EE06A33"/>
    <w:rsid w:val="3EFA6BAE"/>
    <w:rsid w:val="3F370BCB"/>
    <w:rsid w:val="3F7A43AD"/>
    <w:rsid w:val="3F8E5C59"/>
    <w:rsid w:val="3FF543F2"/>
    <w:rsid w:val="40287CFB"/>
    <w:rsid w:val="407C02A4"/>
    <w:rsid w:val="40AF73C0"/>
    <w:rsid w:val="41F07ECA"/>
    <w:rsid w:val="420B00B0"/>
    <w:rsid w:val="425D4330"/>
    <w:rsid w:val="4266099D"/>
    <w:rsid w:val="427101FB"/>
    <w:rsid w:val="427136EC"/>
    <w:rsid w:val="42B36D52"/>
    <w:rsid w:val="43211C22"/>
    <w:rsid w:val="4360708A"/>
    <w:rsid w:val="43BB7949"/>
    <w:rsid w:val="44AC070C"/>
    <w:rsid w:val="44AC45F6"/>
    <w:rsid w:val="44C0719C"/>
    <w:rsid w:val="44DB0AFB"/>
    <w:rsid w:val="45283340"/>
    <w:rsid w:val="455351E1"/>
    <w:rsid w:val="45612478"/>
    <w:rsid w:val="45BF1A3F"/>
    <w:rsid w:val="45D4091B"/>
    <w:rsid w:val="45E00128"/>
    <w:rsid w:val="45FC0156"/>
    <w:rsid w:val="46322C1D"/>
    <w:rsid w:val="46D2182F"/>
    <w:rsid w:val="474536FB"/>
    <w:rsid w:val="478B389E"/>
    <w:rsid w:val="48962D4B"/>
    <w:rsid w:val="48F3112A"/>
    <w:rsid w:val="493004E9"/>
    <w:rsid w:val="49350D52"/>
    <w:rsid w:val="49D768C0"/>
    <w:rsid w:val="49FE675C"/>
    <w:rsid w:val="4A03006A"/>
    <w:rsid w:val="4A8913ED"/>
    <w:rsid w:val="4AA519CD"/>
    <w:rsid w:val="4AF10388"/>
    <w:rsid w:val="4AF94070"/>
    <w:rsid w:val="4AFB5E63"/>
    <w:rsid w:val="4B965FB0"/>
    <w:rsid w:val="4C256914"/>
    <w:rsid w:val="4C5A1013"/>
    <w:rsid w:val="4C5B18A8"/>
    <w:rsid w:val="4C96549F"/>
    <w:rsid w:val="4CAD74C4"/>
    <w:rsid w:val="4CC674CA"/>
    <w:rsid w:val="4CCA0DF3"/>
    <w:rsid w:val="4D3944DB"/>
    <w:rsid w:val="4D3D1756"/>
    <w:rsid w:val="4D49565B"/>
    <w:rsid w:val="4D7762D0"/>
    <w:rsid w:val="4E0C743C"/>
    <w:rsid w:val="4E93715A"/>
    <w:rsid w:val="4E9F6F1B"/>
    <w:rsid w:val="4EC14B14"/>
    <w:rsid w:val="4F141B05"/>
    <w:rsid w:val="4F1B0161"/>
    <w:rsid w:val="4F7810D0"/>
    <w:rsid w:val="4F8A7B60"/>
    <w:rsid w:val="50CC1400"/>
    <w:rsid w:val="50FA6915"/>
    <w:rsid w:val="514345C9"/>
    <w:rsid w:val="518270C9"/>
    <w:rsid w:val="519266B2"/>
    <w:rsid w:val="519C1B26"/>
    <w:rsid w:val="51E27AE8"/>
    <w:rsid w:val="52242BD3"/>
    <w:rsid w:val="527821A3"/>
    <w:rsid w:val="527A4BCD"/>
    <w:rsid w:val="527E492B"/>
    <w:rsid w:val="52BD596D"/>
    <w:rsid w:val="52DE7D41"/>
    <w:rsid w:val="53195734"/>
    <w:rsid w:val="531D2DA5"/>
    <w:rsid w:val="533A6602"/>
    <w:rsid w:val="535A5075"/>
    <w:rsid w:val="53774E9B"/>
    <w:rsid w:val="53B94DB8"/>
    <w:rsid w:val="54075DCC"/>
    <w:rsid w:val="5447089E"/>
    <w:rsid w:val="548D5DC1"/>
    <w:rsid w:val="54A14884"/>
    <w:rsid w:val="54BA1808"/>
    <w:rsid w:val="54EB6E03"/>
    <w:rsid w:val="550601C8"/>
    <w:rsid w:val="55146E5E"/>
    <w:rsid w:val="553B5415"/>
    <w:rsid w:val="553C5232"/>
    <w:rsid w:val="554372DB"/>
    <w:rsid w:val="554B2CF1"/>
    <w:rsid w:val="55C43442"/>
    <w:rsid w:val="56666EE2"/>
    <w:rsid w:val="569B3AE2"/>
    <w:rsid w:val="57E15B41"/>
    <w:rsid w:val="5812279B"/>
    <w:rsid w:val="585554B6"/>
    <w:rsid w:val="58862037"/>
    <w:rsid w:val="58AF1A95"/>
    <w:rsid w:val="58E805C8"/>
    <w:rsid w:val="58F61C6D"/>
    <w:rsid w:val="59047ECD"/>
    <w:rsid w:val="592D49A0"/>
    <w:rsid w:val="59AC7E01"/>
    <w:rsid w:val="5A2F12C4"/>
    <w:rsid w:val="5A351EEE"/>
    <w:rsid w:val="5A521346"/>
    <w:rsid w:val="5B191112"/>
    <w:rsid w:val="5B8155F3"/>
    <w:rsid w:val="5BA31738"/>
    <w:rsid w:val="5BA6792C"/>
    <w:rsid w:val="5BD25514"/>
    <w:rsid w:val="5C0974B2"/>
    <w:rsid w:val="5C186F88"/>
    <w:rsid w:val="5C4E4817"/>
    <w:rsid w:val="5C73777D"/>
    <w:rsid w:val="5CA52231"/>
    <w:rsid w:val="5CAA3CE0"/>
    <w:rsid w:val="5CB315BE"/>
    <w:rsid w:val="5CD05EC4"/>
    <w:rsid w:val="5CEE67CC"/>
    <w:rsid w:val="5D9C44BA"/>
    <w:rsid w:val="5DD3719E"/>
    <w:rsid w:val="5DEC5D6F"/>
    <w:rsid w:val="5DF32237"/>
    <w:rsid w:val="5E1B365D"/>
    <w:rsid w:val="5E245395"/>
    <w:rsid w:val="5E370EEC"/>
    <w:rsid w:val="5E68355E"/>
    <w:rsid w:val="5E693E0B"/>
    <w:rsid w:val="5EF51B46"/>
    <w:rsid w:val="5F716DD1"/>
    <w:rsid w:val="5F9A1C0C"/>
    <w:rsid w:val="60EF7936"/>
    <w:rsid w:val="615D15B4"/>
    <w:rsid w:val="617C53D9"/>
    <w:rsid w:val="619C3FB1"/>
    <w:rsid w:val="61B77CE2"/>
    <w:rsid w:val="61BE4845"/>
    <w:rsid w:val="62014DE8"/>
    <w:rsid w:val="62954FBF"/>
    <w:rsid w:val="63245663"/>
    <w:rsid w:val="63420DA4"/>
    <w:rsid w:val="637D74E4"/>
    <w:rsid w:val="63DD2A68"/>
    <w:rsid w:val="64166B12"/>
    <w:rsid w:val="64725A90"/>
    <w:rsid w:val="64EC4D35"/>
    <w:rsid w:val="651265B7"/>
    <w:rsid w:val="6517248E"/>
    <w:rsid w:val="653918E3"/>
    <w:rsid w:val="656138EA"/>
    <w:rsid w:val="65EE67B8"/>
    <w:rsid w:val="66E43193"/>
    <w:rsid w:val="66FC25F4"/>
    <w:rsid w:val="67267CB5"/>
    <w:rsid w:val="67341171"/>
    <w:rsid w:val="674F3DFC"/>
    <w:rsid w:val="676C5425"/>
    <w:rsid w:val="677775CA"/>
    <w:rsid w:val="681F1432"/>
    <w:rsid w:val="68384664"/>
    <w:rsid w:val="683E40AC"/>
    <w:rsid w:val="6894063F"/>
    <w:rsid w:val="68AA0374"/>
    <w:rsid w:val="690C3C0F"/>
    <w:rsid w:val="698915CD"/>
    <w:rsid w:val="69C87321"/>
    <w:rsid w:val="69E7087D"/>
    <w:rsid w:val="69F92CBD"/>
    <w:rsid w:val="6A1A76FF"/>
    <w:rsid w:val="6A291816"/>
    <w:rsid w:val="6A6804B7"/>
    <w:rsid w:val="6A8F6A6C"/>
    <w:rsid w:val="6A9D515D"/>
    <w:rsid w:val="6AA03474"/>
    <w:rsid w:val="6AEE00B8"/>
    <w:rsid w:val="6B3468AC"/>
    <w:rsid w:val="6B587443"/>
    <w:rsid w:val="6B6B0DB4"/>
    <w:rsid w:val="6B894DA7"/>
    <w:rsid w:val="6B8B20B8"/>
    <w:rsid w:val="6B8B218D"/>
    <w:rsid w:val="6BAD3F62"/>
    <w:rsid w:val="6C3D0FAE"/>
    <w:rsid w:val="6C8E0AE9"/>
    <w:rsid w:val="6D165605"/>
    <w:rsid w:val="6D226F33"/>
    <w:rsid w:val="6DB31991"/>
    <w:rsid w:val="6DCE340F"/>
    <w:rsid w:val="6E8F55C7"/>
    <w:rsid w:val="6E910FE5"/>
    <w:rsid w:val="6E9B76DB"/>
    <w:rsid w:val="6EFD5329"/>
    <w:rsid w:val="6EFE55DA"/>
    <w:rsid w:val="6F5A0AAF"/>
    <w:rsid w:val="6F8932E6"/>
    <w:rsid w:val="701D3C4D"/>
    <w:rsid w:val="70200256"/>
    <w:rsid w:val="70501F38"/>
    <w:rsid w:val="705B5D23"/>
    <w:rsid w:val="70865CFA"/>
    <w:rsid w:val="70981F36"/>
    <w:rsid w:val="70E919C6"/>
    <w:rsid w:val="71427881"/>
    <w:rsid w:val="725A52FD"/>
    <w:rsid w:val="729E0707"/>
    <w:rsid w:val="72D33A44"/>
    <w:rsid w:val="72E8081E"/>
    <w:rsid w:val="736A2FD2"/>
    <w:rsid w:val="73B26F4B"/>
    <w:rsid w:val="73DF1469"/>
    <w:rsid w:val="74B17D02"/>
    <w:rsid w:val="74E06AEF"/>
    <w:rsid w:val="75384BC5"/>
    <w:rsid w:val="75661286"/>
    <w:rsid w:val="75B46528"/>
    <w:rsid w:val="75D648AF"/>
    <w:rsid w:val="75ED55FA"/>
    <w:rsid w:val="75FB2DFF"/>
    <w:rsid w:val="764B713D"/>
    <w:rsid w:val="76895E06"/>
    <w:rsid w:val="76D67314"/>
    <w:rsid w:val="77312EA9"/>
    <w:rsid w:val="77371E97"/>
    <w:rsid w:val="778C38DC"/>
    <w:rsid w:val="77B455D4"/>
    <w:rsid w:val="77B6365C"/>
    <w:rsid w:val="77C117B8"/>
    <w:rsid w:val="77D63E3F"/>
    <w:rsid w:val="7815335E"/>
    <w:rsid w:val="78361EBF"/>
    <w:rsid w:val="784349DE"/>
    <w:rsid w:val="78867CF8"/>
    <w:rsid w:val="79083935"/>
    <w:rsid w:val="790C3251"/>
    <w:rsid w:val="79616F10"/>
    <w:rsid w:val="799500C0"/>
    <w:rsid w:val="7A476702"/>
    <w:rsid w:val="7A5113F9"/>
    <w:rsid w:val="7A537FDD"/>
    <w:rsid w:val="7AD216C8"/>
    <w:rsid w:val="7B005BEC"/>
    <w:rsid w:val="7C15026F"/>
    <w:rsid w:val="7C5E091E"/>
    <w:rsid w:val="7D0D1638"/>
    <w:rsid w:val="7D144297"/>
    <w:rsid w:val="7D163F2E"/>
    <w:rsid w:val="7D43638A"/>
    <w:rsid w:val="7D636A70"/>
    <w:rsid w:val="7D891CD5"/>
    <w:rsid w:val="7DC35135"/>
    <w:rsid w:val="7E190276"/>
    <w:rsid w:val="7E532D12"/>
    <w:rsid w:val="7EB03176"/>
    <w:rsid w:val="7EC87E8B"/>
    <w:rsid w:val="7F0F6FFB"/>
    <w:rsid w:val="7F23573B"/>
    <w:rsid w:val="7F543DBA"/>
    <w:rsid w:val="7FAF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5">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style>
  <w:style w:type="paragraph" w:styleId="7">
    <w:name w:val="Normal Indent"/>
    <w:basedOn w:val="1"/>
    <w:next w:val="1"/>
    <w:qFormat/>
    <w:uiPriority w:val="99"/>
    <w:pPr>
      <w:ind w:firstLine="420"/>
    </w:p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link w:val="53"/>
    <w:qFormat/>
    <w:uiPriority w:val="0"/>
    <w:pPr>
      <w:jc w:val="left"/>
    </w:pPr>
  </w:style>
  <w:style w:type="paragraph" w:styleId="10">
    <w:name w:val="Body Text"/>
    <w:basedOn w:val="1"/>
    <w:next w:val="1"/>
    <w:unhideWhenUsed/>
    <w:qFormat/>
    <w:uiPriority w:val="99"/>
    <w:pPr>
      <w:spacing w:after="120"/>
    </w:pPr>
    <w:rPr>
      <w:rFonts w:eastAsia="Times New Roman"/>
    </w:rPr>
  </w:style>
  <w:style w:type="paragraph" w:styleId="11">
    <w:name w:val="Body Text Indent"/>
    <w:basedOn w:val="1"/>
    <w:qFormat/>
    <w:uiPriority w:val="0"/>
    <w:pPr>
      <w:spacing w:after="120" w:afterLines="0"/>
      <w:ind w:left="420" w:leftChars="200"/>
    </w:pPr>
  </w:style>
  <w:style w:type="paragraph" w:styleId="12">
    <w:name w:val="Block Text"/>
    <w:basedOn w:val="1"/>
    <w:qFormat/>
    <w:uiPriority w:val="99"/>
    <w:pPr>
      <w:spacing w:after="120" w:line="240" w:lineRule="auto"/>
      <w:ind w:left="1440" w:leftChars="700" w:right="1440" w:rightChars="700"/>
    </w:pPr>
    <w:rPr>
      <w:rFonts w:ascii="Calibri" w:hAnsi="Calibri"/>
      <w:szCs w:val="22"/>
    </w:rPr>
  </w:style>
  <w:style w:type="paragraph" w:styleId="13">
    <w:name w:val="Plain Text"/>
    <w:basedOn w:val="1"/>
    <w:qFormat/>
    <w:uiPriority w:val="0"/>
    <w:rPr>
      <w:rFonts w:ascii="宋体" w:hAnsi="Courier New"/>
      <w:szCs w:val="20"/>
    </w:rPr>
  </w:style>
  <w:style w:type="paragraph" w:styleId="14">
    <w:name w:val="Balloon Text"/>
    <w:basedOn w:val="1"/>
    <w:link w:val="55"/>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spacing w:before="120" w:beforeLines="0" w:beforeAutospacing="0" w:after="120" w:afterLines="0" w:afterAutospacing="0"/>
      <w:jc w:val="center"/>
    </w:pPr>
    <w:rPr>
      <w:rFonts w:eastAsia="黑体"/>
      <w:b/>
      <w:sz w:val="32"/>
    </w:rPr>
  </w:style>
  <w:style w:type="paragraph" w:styleId="21">
    <w:name w:val="annotation subject"/>
    <w:basedOn w:val="9"/>
    <w:next w:val="9"/>
    <w:link w:val="54"/>
    <w:qFormat/>
    <w:uiPriority w:val="0"/>
    <w:rPr>
      <w:b/>
      <w:bCs/>
    </w:rPr>
  </w:style>
  <w:style w:type="paragraph" w:styleId="22">
    <w:name w:val="Body Text First Indent 2"/>
    <w:basedOn w:val="11"/>
    <w:qFormat/>
    <w:uiPriority w:val="99"/>
    <w:pPr>
      <w:ind w:firstLine="420" w:firstLineChars="200"/>
    </w:pPr>
    <w:rPr>
      <w:szCs w:val="21"/>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style>
  <w:style w:type="character" w:styleId="30">
    <w:name w:val="HTML Definition"/>
    <w:basedOn w:val="25"/>
    <w:qFormat/>
    <w:uiPriority w:val="0"/>
    <w:rPr>
      <w:i/>
      <w:iCs/>
    </w:rPr>
  </w:style>
  <w:style w:type="character" w:styleId="31">
    <w:name w:val="Hyperlink"/>
    <w:basedOn w:val="25"/>
    <w:qFormat/>
    <w:uiPriority w:val="0"/>
    <w:rPr>
      <w:color w:val="0000FF"/>
      <w:u w:val="none"/>
    </w:rPr>
  </w:style>
  <w:style w:type="character" w:styleId="32">
    <w:name w:val="HTML Code"/>
    <w:basedOn w:val="25"/>
    <w:qFormat/>
    <w:uiPriority w:val="0"/>
    <w:rPr>
      <w:rFonts w:ascii="Consolas" w:hAnsi="Consolas" w:eastAsia="Consolas" w:cs="Consolas"/>
      <w:color w:val="C7254E"/>
      <w:sz w:val="21"/>
      <w:szCs w:val="21"/>
      <w:shd w:val="clear" w:fill="F9F2F4"/>
    </w:rPr>
  </w:style>
  <w:style w:type="character" w:styleId="33">
    <w:name w:val="annotation reference"/>
    <w:basedOn w:val="25"/>
    <w:qFormat/>
    <w:uiPriority w:val="0"/>
    <w:rPr>
      <w:sz w:val="21"/>
      <w:szCs w:val="21"/>
    </w:rPr>
  </w:style>
  <w:style w:type="character" w:styleId="34">
    <w:name w:val="HTML Keyboard"/>
    <w:basedOn w:val="25"/>
    <w:qFormat/>
    <w:uiPriority w:val="0"/>
    <w:rPr>
      <w:rFonts w:hint="default" w:ascii="Consolas" w:hAnsi="Consolas" w:eastAsia="Consolas" w:cs="Consolas"/>
      <w:color w:val="FFFFFF"/>
      <w:sz w:val="21"/>
      <w:szCs w:val="21"/>
      <w:shd w:val="clear" w:fill="333333"/>
    </w:rPr>
  </w:style>
  <w:style w:type="character" w:styleId="35">
    <w:name w:val="HTML Sample"/>
    <w:basedOn w:val="25"/>
    <w:qFormat/>
    <w:uiPriority w:val="0"/>
    <w:rPr>
      <w:rFonts w:hint="default" w:ascii="Consolas" w:hAnsi="Consolas" w:eastAsia="Consolas" w:cs="Consolas"/>
      <w:sz w:val="21"/>
      <w:szCs w:val="21"/>
    </w:rPr>
  </w:style>
  <w:style w:type="paragraph" w:customStyle="1" w:styleId="36">
    <w:name w:val="列出段落1"/>
    <w:basedOn w:val="1"/>
    <w:qFormat/>
    <w:uiPriority w:val="0"/>
    <w:pPr>
      <w:ind w:firstLine="420" w:firstLineChars="200"/>
    </w:pPr>
    <w:rPr>
      <w:rFonts w:ascii="Calibri" w:hAnsi="Calibri" w:cs="黑体"/>
      <w:szCs w:val="22"/>
    </w:rPr>
  </w:style>
  <w:style w:type="paragraph" w:customStyle="1" w:styleId="37">
    <w:name w:val="No Spacing1"/>
    <w:qFormat/>
    <w:uiPriority w:val="0"/>
    <w:rPr>
      <w:rFonts w:ascii="Calibri" w:hAnsi="Calibri" w:eastAsia="宋体" w:cs="Calibri"/>
      <w:sz w:val="22"/>
      <w:szCs w:val="22"/>
      <w:lang w:val="en-US" w:eastAsia="zh-CN" w:bidi="ar-SA"/>
    </w:rPr>
  </w:style>
  <w:style w:type="paragraph" w:customStyle="1" w:styleId="38">
    <w:name w:val="Normal Indent1"/>
    <w:basedOn w:val="1"/>
    <w:qFormat/>
    <w:uiPriority w:val="0"/>
    <w:pPr>
      <w:ind w:firstLine="420"/>
    </w:pPr>
    <w:rPr>
      <w:sz w:val="21"/>
    </w:rPr>
  </w:style>
  <w:style w:type="paragraph" w:customStyle="1" w:styleId="39">
    <w:name w:val="正文缩进1"/>
    <w:basedOn w:val="1"/>
    <w:qFormat/>
    <w:uiPriority w:val="0"/>
    <w:pPr>
      <w:autoSpaceDE w:val="0"/>
      <w:autoSpaceDN w:val="0"/>
      <w:adjustRightInd w:val="0"/>
      <w:ind w:firstLine="420"/>
      <w:jc w:val="left"/>
    </w:pPr>
    <w:rPr>
      <w:rFonts w:ascii="宋体"/>
      <w:kern w:val="0"/>
      <w:sz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2">
    <w:name w:val="title1"/>
    <w:basedOn w:val="1"/>
    <w:qFormat/>
    <w:uiPriority w:val="0"/>
    <w:pPr>
      <w:spacing w:before="150" w:line="450" w:lineRule="atLeast"/>
      <w:jc w:val="left"/>
    </w:pPr>
    <w:rPr>
      <w:b/>
      <w:kern w:val="0"/>
      <w:sz w:val="24"/>
    </w:rPr>
  </w:style>
  <w:style w:type="paragraph" w:customStyle="1" w:styleId="43">
    <w:name w:val="p15"/>
    <w:basedOn w:val="1"/>
    <w:qFormat/>
    <w:uiPriority w:val="99"/>
    <w:pPr>
      <w:widowControl/>
    </w:pPr>
    <w:rPr>
      <w:kern w:val="0"/>
      <w:szCs w:val="21"/>
    </w:rPr>
  </w:style>
  <w:style w:type="character" w:customStyle="1" w:styleId="44">
    <w:name w:val="font21"/>
    <w:basedOn w:val="25"/>
    <w:qFormat/>
    <w:uiPriority w:val="99"/>
    <w:rPr>
      <w:rFonts w:ascii="宋体" w:hAnsi="宋体" w:eastAsia="宋体"/>
      <w:color w:val="000000"/>
      <w:sz w:val="20"/>
      <w:u w:val="none"/>
    </w:rPr>
  </w:style>
  <w:style w:type="paragraph" w:customStyle="1" w:styleId="45">
    <w:name w:val="List Paragraph"/>
    <w:basedOn w:val="1"/>
    <w:qFormat/>
    <w:uiPriority w:val="34"/>
    <w:pPr>
      <w:ind w:firstLine="420" w:firstLineChars="200"/>
    </w:pPr>
    <w:rPr>
      <w:rFonts w:ascii="Calibri" w:hAnsi="Calibri"/>
      <w:szCs w:val="22"/>
    </w:rPr>
  </w:style>
  <w:style w:type="paragraph" w:customStyle="1" w:styleId="46">
    <w:name w:val="title11"/>
    <w:basedOn w:val="1"/>
    <w:qFormat/>
    <w:uiPriority w:val="0"/>
    <w:pPr>
      <w:spacing w:before="100"/>
      <w:jc w:val="left"/>
    </w:pPr>
    <w:rPr>
      <w:b/>
      <w:kern w:val="0"/>
      <w:sz w:val="15"/>
      <w:szCs w:val="15"/>
    </w:rPr>
  </w:style>
  <w:style w:type="paragraph" w:customStyle="1" w:styleId="47">
    <w:name w:val="title13"/>
    <w:basedOn w:val="1"/>
    <w:qFormat/>
    <w:uiPriority w:val="0"/>
    <w:pPr>
      <w:spacing w:before="100"/>
      <w:jc w:val="left"/>
    </w:pPr>
    <w:rPr>
      <w:b/>
      <w:kern w:val="0"/>
      <w:sz w:val="15"/>
      <w:szCs w:val="15"/>
    </w:rPr>
  </w:style>
  <w:style w:type="character" w:customStyle="1" w:styleId="48">
    <w:name w:val="phone"/>
    <w:basedOn w:val="25"/>
    <w:qFormat/>
    <w:uiPriority w:val="0"/>
    <w:rPr>
      <w:color w:val="FF8833"/>
      <w:sz w:val="12"/>
      <w:szCs w:val="12"/>
    </w:rPr>
  </w:style>
  <w:style w:type="character" w:customStyle="1" w:styleId="49">
    <w:name w:val="number"/>
    <w:basedOn w:val="25"/>
    <w:qFormat/>
    <w:uiPriority w:val="0"/>
    <w:rPr>
      <w:color w:val="FF8833"/>
      <w:sz w:val="12"/>
      <w:szCs w:val="12"/>
    </w:rPr>
  </w:style>
  <w:style w:type="character" w:customStyle="1" w:styleId="50">
    <w:name w:val="stclosebtn"/>
    <w:basedOn w:val="25"/>
    <w:qFormat/>
    <w:uiPriority w:val="0"/>
  </w:style>
  <w:style w:type="character" w:customStyle="1" w:styleId="51">
    <w:name w:val="proollist"/>
    <w:basedOn w:val="25"/>
    <w:qFormat/>
    <w:uiPriority w:val="0"/>
  </w:style>
  <w:style w:type="character" w:customStyle="1" w:styleId="52">
    <w:name w:val="beforeinfotext"/>
    <w:basedOn w:val="25"/>
    <w:qFormat/>
    <w:uiPriority w:val="0"/>
    <w:rPr>
      <w:color w:val="666666"/>
    </w:rPr>
  </w:style>
  <w:style w:type="character" w:customStyle="1" w:styleId="53">
    <w:name w:val="批注文字 Char"/>
    <w:basedOn w:val="25"/>
    <w:link w:val="9"/>
    <w:qFormat/>
    <w:uiPriority w:val="0"/>
    <w:rPr>
      <w:kern w:val="2"/>
      <w:sz w:val="21"/>
      <w:szCs w:val="24"/>
    </w:rPr>
  </w:style>
  <w:style w:type="character" w:customStyle="1" w:styleId="54">
    <w:name w:val="批注主题 Char"/>
    <w:basedOn w:val="53"/>
    <w:link w:val="21"/>
    <w:qFormat/>
    <w:uiPriority w:val="0"/>
    <w:rPr>
      <w:b/>
      <w:bCs/>
      <w:kern w:val="2"/>
      <w:sz w:val="21"/>
      <w:szCs w:val="24"/>
    </w:rPr>
  </w:style>
  <w:style w:type="character" w:customStyle="1" w:styleId="55">
    <w:name w:val="批注框文本 Char"/>
    <w:basedOn w:val="25"/>
    <w:link w:val="14"/>
    <w:qFormat/>
    <w:uiPriority w:val="0"/>
    <w:rPr>
      <w:kern w:val="2"/>
      <w:sz w:val="18"/>
      <w:szCs w:val="18"/>
    </w:rPr>
  </w:style>
  <w:style w:type="paragraph" w:customStyle="1" w:styleId="56">
    <w:name w:val="正文首行缩进两字符"/>
    <w:basedOn w:val="1"/>
    <w:qFormat/>
    <w:uiPriority w:val="0"/>
    <w:pPr>
      <w:spacing w:line="360" w:lineRule="auto"/>
      <w:ind w:firstLine="200" w:firstLineChars="200"/>
    </w:pPr>
    <w:rPr>
      <w:rFonts w:ascii="Times New Roman" w:hAnsi="Times New Roman"/>
    </w:rPr>
  </w:style>
  <w:style w:type="character" w:customStyle="1" w:styleId="57">
    <w:name w:val="标题 1 Char"/>
    <w:link w:val="2"/>
    <w:qFormat/>
    <w:uiPriority w:val="99"/>
    <w:rPr>
      <w:b/>
      <w:bCs/>
      <w:kern w:val="44"/>
      <w:sz w:val="44"/>
      <w:szCs w:val="44"/>
    </w:rPr>
  </w:style>
  <w:style w:type="paragraph" w:customStyle="1" w:styleId="58">
    <w:name w:val="正文 New"/>
    <w:qFormat/>
    <w:uiPriority w:val="99"/>
    <w:pPr>
      <w:widowControl w:val="0"/>
      <w:jc w:val="both"/>
    </w:pPr>
    <w:rPr>
      <w:rFonts w:ascii="Calibri" w:hAnsi="Calibri" w:eastAsiaTheme="minorEastAsia" w:cstheme="minorBidi"/>
      <w:sz w:val="21"/>
      <w:szCs w:val="22"/>
      <w:lang w:val="en-US" w:eastAsia="zh-CN" w:bidi="ar-SA"/>
    </w:rPr>
  </w:style>
  <w:style w:type="paragraph" w:customStyle="1" w:styleId="59">
    <w:name w:val="Table Paragraph"/>
    <w:basedOn w:val="1"/>
    <w:qFormat/>
    <w:uiPriority w:val="1"/>
    <w:pPr>
      <w:adjustRightInd/>
    </w:pPr>
    <w:rPr>
      <w:rFonts w:ascii="宋体" w:hAnsi="宋体" w:cs="宋体"/>
      <w:sz w:val="22"/>
      <w:szCs w:val="22"/>
      <w:lang w:val="zh-CN" w:bidi="zh-CN"/>
    </w:rPr>
  </w:style>
  <w:style w:type="table" w:customStyle="1" w:styleId="6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1">
    <w:name w:val="hover25"/>
    <w:basedOn w:val="25"/>
    <w:qFormat/>
    <w:uiPriority w:val="0"/>
    <w:rPr>
      <w:color w:val="167AE0"/>
    </w:rPr>
  </w:style>
  <w:style w:type="character" w:customStyle="1" w:styleId="62">
    <w:name w:val="nth-of-type(5)"/>
    <w:basedOn w:val="25"/>
    <w:qFormat/>
    <w:uiPriority w:val="0"/>
  </w:style>
  <w:style w:type="character" w:customStyle="1" w:styleId="63">
    <w:name w:val="nth-child(2)"/>
    <w:basedOn w:val="25"/>
    <w:qFormat/>
    <w:uiPriority w:val="0"/>
  </w:style>
  <w:style w:type="character" w:customStyle="1" w:styleId="64">
    <w:name w:val="layui-this"/>
    <w:basedOn w:val="25"/>
    <w:qFormat/>
    <w:uiPriority w:val="0"/>
    <w:rPr>
      <w:bdr w:val="single" w:color="EEEEEE" w:sz="6" w:space="0"/>
      <w:shd w:val="clear" w:fill="FFFFFF"/>
    </w:rPr>
  </w:style>
  <w:style w:type="character" w:customStyle="1" w:styleId="65">
    <w:name w:val="first-child"/>
    <w:basedOn w:val="25"/>
    <w:qFormat/>
    <w:uiPriority w:val="0"/>
  </w:style>
  <w:style w:type="character" w:customStyle="1" w:styleId="66">
    <w:name w:val="first-child1"/>
    <w:basedOn w:val="25"/>
    <w:qFormat/>
    <w:uiPriority w:val="0"/>
  </w:style>
  <w:style w:type="character" w:customStyle="1" w:styleId="67">
    <w:name w:val="first-child2"/>
    <w:basedOn w:val="25"/>
    <w:qFormat/>
    <w:uiPriority w:val="0"/>
  </w:style>
  <w:style w:type="character" w:customStyle="1" w:styleId="68">
    <w:name w:val="first-child3"/>
    <w:basedOn w:val="25"/>
    <w:qFormat/>
    <w:uiPriority w:val="0"/>
  </w:style>
  <w:style w:type="character" w:customStyle="1" w:styleId="69">
    <w:name w:val="nth-of-type(8)"/>
    <w:basedOn w:val="25"/>
    <w:qFormat/>
    <w:uiPriority w:val="0"/>
  </w:style>
  <w:style w:type="character" w:customStyle="1" w:styleId="70">
    <w:name w:val="layui-laypage-curr"/>
    <w:basedOn w:val="25"/>
    <w:qFormat/>
    <w:uiPriority w:val="0"/>
  </w:style>
  <w:style w:type="character" w:customStyle="1" w:styleId="71">
    <w:name w:val="nth-of-type(7)"/>
    <w:basedOn w:val="25"/>
    <w:qFormat/>
    <w:uiPriority w:val="0"/>
  </w:style>
  <w:style w:type="character" w:customStyle="1" w:styleId="72">
    <w:name w:val="nth-of-type(7)1"/>
    <w:basedOn w:val="25"/>
    <w:qFormat/>
    <w:uiPriority w:val="0"/>
  </w:style>
  <w:style w:type="character" w:customStyle="1" w:styleId="73">
    <w:name w:val="nth-of-type(7)2"/>
    <w:basedOn w:val="25"/>
    <w:qFormat/>
    <w:uiPriority w:val="0"/>
  </w:style>
  <w:style w:type="character" w:customStyle="1" w:styleId="74">
    <w:name w:val="nth-of-type(6)"/>
    <w:basedOn w:val="25"/>
    <w:qFormat/>
    <w:uiPriority w:val="0"/>
  </w:style>
  <w:style w:type="character" w:customStyle="1" w:styleId="75">
    <w:name w:val="lineshow"/>
    <w:basedOn w:val="25"/>
    <w:qFormat/>
    <w:uiPriority w:val="0"/>
  </w:style>
  <w:style w:type="character" w:customStyle="1" w:styleId="76">
    <w:name w:val="lineshow1"/>
    <w:basedOn w:val="25"/>
    <w:qFormat/>
    <w:uiPriority w:val="0"/>
  </w:style>
  <w:style w:type="character" w:customStyle="1" w:styleId="77">
    <w:name w:val="nth-of-type(9)"/>
    <w:basedOn w:val="25"/>
    <w:qFormat/>
    <w:uiPriority w:val="0"/>
  </w:style>
  <w:style w:type="character" w:customStyle="1" w:styleId="78">
    <w:name w:val="nth-of-type(3)"/>
    <w:basedOn w:val="25"/>
    <w:qFormat/>
    <w:uiPriority w:val="0"/>
  </w:style>
  <w:style w:type="character" w:customStyle="1" w:styleId="79">
    <w:name w:val="nth-of-type(4)"/>
    <w:basedOn w:val="25"/>
    <w:qFormat/>
    <w:uiPriority w:val="0"/>
  </w:style>
  <w:style w:type="character" w:customStyle="1" w:styleId="80">
    <w:name w:val="nth-of-type(1)"/>
    <w:basedOn w:val="25"/>
    <w:qFormat/>
    <w:uiPriority w:val="0"/>
  </w:style>
  <w:style w:type="character" w:customStyle="1" w:styleId="81">
    <w:name w:val="nth-of-type(1)1"/>
    <w:basedOn w:val="25"/>
    <w:qFormat/>
    <w:uiPriority w:val="0"/>
  </w:style>
  <w:style w:type="character" w:customStyle="1" w:styleId="82">
    <w:name w:val="nth-of-type(1)2"/>
    <w:basedOn w:val="25"/>
    <w:qFormat/>
    <w:uiPriority w:val="0"/>
  </w:style>
  <w:style w:type="character" w:customStyle="1" w:styleId="83">
    <w:name w:val="nth-of-type(1)3"/>
    <w:basedOn w:val="25"/>
    <w:qFormat/>
    <w:uiPriority w:val="0"/>
  </w:style>
  <w:style w:type="character" w:customStyle="1" w:styleId="84">
    <w:name w:val="nth-of-type(1)4"/>
    <w:basedOn w:val="25"/>
    <w:qFormat/>
    <w:uiPriority w:val="0"/>
  </w:style>
  <w:style w:type="character" w:customStyle="1" w:styleId="85">
    <w:name w:val="nth-of-type(1)5"/>
    <w:basedOn w:val="25"/>
    <w:qFormat/>
    <w:uiPriority w:val="0"/>
  </w:style>
  <w:style w:type="character" w:customStyle="1" w:styleId="86">
    <w:name w:val="nth-of-type(1)6"/>
    <w:basedOn w:val="25"/>
    <w:qFormat/>
    <w:uiPriority w:val="0"/>
  </w:style>
  <w:style w:type="character" w:customStyle="1" w:styleId="87">
    <w:name w:val="nth-of-type(1)7"/>
    <w:basedOn w:val="25"/>
    <w:qFormat/>
    <w:uiPriority w:val="0"/>
    <w:rPr>
      <w:rFonts w:ascii="SourceHanSansCN-Regular" w:hAnsi="SourceHanSansCN-Regular" w:eastAsia="SourceHanSansCN-Regular" w:cs="SourceHanSansCN-Regular"/>
      <w:color w:val="FB560A"/>
      <w:sz w:val="21"/>
      <w:szCs w:val="21"/>
    </w:rPr>
  </w:style>
  <w:style w:type="character" w:customStyle="1" w:styleId="88">
    <w:name w:val="nth-of-type(1)8"/>
    <w:basedOn w:val="25"/>
    <w:qFormat/>
    <w:uiPriority w:val="0"/>
  </w:style>
  <w:style w:type="character" w:customStyle="1" w:styleId="89">
    <w:name w:val="nth-of-type(1)9"/>
    <w:basedOn w:val="25"/>
    <w:qFormat/>
    <w:uiPriority w:val="0"/>
  </w:style>
  <w:style w:type="character" w:customStyle="1" w:styleId="90">
    <w:name w:val="nth-of-type(1)10"/>
    <w:basedOn w:val="25"/>
    <w:qFormat/>
    <w:uiPriority w:val="0"/>
  </w:style>
  <w:style w:type="character" w:customStyle="1" w:styleId="91">
    <w:name w:val="nth-of-type(1)11"/>
    <w:basedOn w:val="25"/>
    <w:qFormat/>
    <w:uiPriority w:val="0"/>
  </w:style>
  <w:style w:type="character" w:customStyle="1" w:styleId="92">
    <w:name w:val="nth-of-type(1)12"/>
    <w:basedOn w:val="25"/>
    <w:qFormat/>
    <w:uiPriority w:val="0"/>
  </w:style>
  <w:style w:type="character" w:customStyle="1" w:styleId="93">
    <w:name w:val="nth-of-type(1)13"/>
    <w:basedOn w:val="25"/>
    <w:qFormat/>
    <w:uiPriority w:val="0"/>
  </w:style>
  <w:style w:type="character" w:customStyle="1" w:styleId="94">
    <w:name w:val="nth-of-type(1)14"/>
    <w:basedOn w:val="25"/>
    <w:qFormat/>
    <w:uiPriority w:val="0"/>
  </w:style>
  <w:style w:type="character" w:customStyle="1" w:styleId="95">
    <w:name w:val="nth-of-type(1)15"/>
    <w:basedOn w:val="25"/>
    <w:qFormat/>
    <w:uiPriority w:val="0"/>
    <w:rPr>
      <w:color w:val="0082DF"/>
    </w:rPr>
  </w:style>
  <w:style w:type="character" w:customStyle="1" w:styleId="96">
    <w:name w:val="nth-of-type(1)16"/>
    <w:basedOn w:val="25"/>
    <w:qFormat/>
    <w:uiPriority w:val="0"/>
  </w:style>
  <w:style w:type="character" w:customStyle="1" w:styleId="97">
    <w:name w:val="nth-of-type(1)17"/>
    <w:basedOn w:val="25"/>
    <w:qFormat/>
    <w:uiPriority w:val="0"/>
    <w:rPr>
      <w:sz w:val="21"/>
      <w:szCs w:val="21"/>
    </w:rPr>
  </w:style>
  <w:style w:type="character" w:customStyle="1" w:styleId="98">
    <w:name w:val="last-child1"/>
    <w:basedOn w:val="25"/>
    <w:qFormat/>
    <w:uiPriority w:val="0"/>
    <w:rPr>
      <w:color w:val="FFFFFF"/>
    </w:rPr>
  </w:style>
  <w:style w:type="character" w:customStyle="1" w:styleId="99">
    <w:name w:val="last-child2"/>
    <w:basedOn w:val="25"/>
    <w:qFormat/>
    <w:uiPriority w:val="0"/>
  </w:style>
  <w:style w:type="character" w:customStyle="1" w:styleId="100">
    <w:name w:val="last-child3"/>
    <w:basedOn w:val="25"/>
    <w:qFormat/>
    <w:uiPriority w:val="0"/>
  </w:style>
  <w:style w:type="character" w:customStyle="1" w:styleId="101">
    <w:name w:val="nth-of-type(2)"/>
    <w:basedOn w:val="25"/>
    <w:qFormat/>
    <w:uiPriority w:val="0"/>
  </w:style>
  <w:style w:type="character" w:customStyle="1" w:styleId="102">
    <w:name w:val="nth-of-type(2)1"/>
    <w:basedOn w:val="25"/>
    <w:qFormat/>
    <w:uiPriority w:val="0"/>
  </w:style>
  <w:style w:type="character" w:customStyle="1" w:styleId="103">
    <w:name w:val="nth-of-type(2)2"/>
    <w:basedOn w:val="25"/>
    <w:qFormat/>
    <w:uiPriority w:val="0"/>
  </w:style>
  <w:style w:type="character" w:customStyle="1" w:styleId="104">
    <w:name w:val="nth-of-type(2)3"/>
    <w:basedOn w:val="25"/>
    <w:qFormat/>
    <w:uiPriority w:val="0"/>
  </w:style>
  <w:style w:type="character" w:customStyle="1" w:styleId="105">
    <w:name w:val="nth-of-type(2)4"/>
    <w:basedOn w:val="25"/>
    <w:qFormat/>
    <w:uiPriority w:val="0"/>
  </w:style>
  <w:style w:type="character" w:customStyle="1" w:styleId="106">
    <w:name w:val="nth-of-type(2)5"/>
    <w:basedOn w:val="25"/>
    <w:qFormat/>
    <w:uiPriority w:val="0"/>
  </w:style>
  <w:style w:type="character" w:customStyle="1" w:styleId="107">
    <w:name w:val="nth-of-type(2)6"/>
    <w:basedOn w:val="25"/>
    <w:qFormat/>
    <w:uiPriority w:val="0"/>
  </w:style>
  <w:style w:type="character" w:customStyle="1" w:styleId="108">
    <w:name w:val="nth-of-type(2)7"/>
    <w:basedOn w:val="25"/>
    <w:qFormat/>
    <w:uiPriority w:val="0"/>
  </w:style>
  <w:style w:type="character" w:customStyle="1" w:styleId="109">
    <w:name w:val="nth-of-type(2)8"/>
    <w:basedOn w:val="25"/>
    <w:qFormat/>
    <w:uiPriority w:val="0"/>
  </w:style>
  <w:style w:type="character" w:customStyle="1" w:styleId="110">
    <w:name w:val="nth-of-type(2)9"/>
    <w:basedOn w:val="25"/>
    <w:qFormat/>
    <w:uiPriority w:val="0"/>
  </w:style>
  <w:style w:type="character" w:customStyle="1" w:styleId="111">
    <w:name w:val="nth-of-type(2)10"/>
    <w:basedOn w:val="25"/>
    <w:qFormat/>
    <w:uiPriority w:val="0"/>
  </w:style>
  <w:style w:type="character" w:customStyle="1" w:styleId="112">
    <w:name w:val="nth-of-type(2)11"/>
    <w:basedOn w:val="25"/>
    <w:qFormat/>
    <w:uiPriority w:val="0"/>
  </w:style>
  <w:style w:type="character" w:customStyle="1" w:styleId="113">
    <w:name w:val="nth-of-type(2)12"/>
    <w:basedOn w:val="25"/>
    <w:qFormat/>
    <w:uiPriority w:val="0"/>
  </w:style>
  <w:style w:type="character" w:customStyle="1" w:styleId="114">
    <w:name w:val="nth-of-type(2)13"/>
    <w:basedOn w:val="25"/>
    <w:qFormat/>
    <w:uiPriority w:val="0"/>
    <w:rPr>
      <w:sz w:val="21"/>
      <w:szCs w:val="21"/>
    </w:rPr>
  </w:style>
  <w:style w:type="character" w:customStyle="1" w:styleId="115">
    <w:name w:val="nth-child(1)"/>
    <w:basedOn w:val="25"/>
    <w:qFormat/>
    <w:uiPriority w:val="0"/>
  </w:style>
  <w:style w:type="character" w:customStyle="1" w:styleId="116">
    <w:name w:val="nth-of-type(10)"/>
    <w:basedOn w:val="25"/>
    <w:qFormat/>
    <w:uiPriority w:val="0"/>
  </w:style>
  <w:style w:type="character" w:customStyle="1" w:styleId="117">
    <w:name w:val="nth-child(3)"/>
    <w:basedOn w:val="25"/>
    <w:qFormat/>
    <w:uiPriority w:val="0"/>
  </w:style>
  <w:style w:type="character" w:customStyle="1" w:styleId="118">
    <w:name w:val="titleshow"/>
    <w:basedOn w:val="25"/>
    <w:qFormat/>
    <w:uiPriority w:val="0"/>
    <w:rPr>
      <w:color w:val="3E464C"/>
    </w:rPr>
  </w:style>
  <w:style w:type="character" w:customStyle="1" w:styleId="119">
    <w:name w:val="before2"/>
    <w:basedOn w:val="25"/>
    <w:qFormat/>
    <w:uiPriority w:val="0"/>
    <w:rPr>
      <w:shd w:val="clear" w:fill="C20E0C"/>
    </w:rPr>
  </w:style>
  <w:style w:type="character" w:customStyle="1" w:styleId="120">
    <w:name w:val="nth-of-type(6)1"/>
    <w:basedOn w:val="25"/>
    <w:qFormat/>
    <w:uiPriority w:val="0"/>
  </w:style>
  <w:style w:type="character" w:customStyle="1" w:styleId="121">
    <w:name w:val="nth-of-type(6)2"/>
    <w:basedOn w:val="25"/>
    <w:qFormat/>
    <w:uiPriority w:val="0"/>
    <w:rPr>
      <w:color w:val="0082DF"/>
    </w:rPr>
  </w:style>
  <w:style w:type="character" w:customStyle="1" w:styleId="122">
    <w:name w:val="nth-of-type(6)3"/>
    <w:basedOn w:val="25"/>
    <w:qFormat/>
    <w:uiPriority w:val="0"/>
  </w:style>
  <w:style w:type="character" w:customStyle="1" w:styleId="123">
    <w:name w:val="nth-of-type(6)4"/>
    <w:basedOn w:val="25"/>
    <w:qFormat/>
    <w:uiPriority w:val="0"/>
  </w:style>
  <w:style w:type="character" w:customStyle="1" w:styleId="124">
    <w:name w:val="nth-of-type(6)5"/>
    <w:basedOn w:val="25"/>
    <w:qFormat/>
    <w:uiPriority w:val="0"/>
  </w:style>
  <w:style w:type="character" w:customStyle="1" w:styleId="125">
    <w:name w:val="nth-of-type(3)1"/>
    <w:basedOn w:val="25"/>
    <w:qFormat/>
    <w:uiPriority w:val="0"/>
  </w:style>
  <w:style w:type="character" w:customStyle="1" w:styleId="126">
    <w:name w:val="nth-of-type(3)2"/>
    <w:basedOn w:val="25"/>
    <w:qFormat/>
    <w:uiPriority w:val="0"/>
  </w:style>
  <w:style w:type="character" w:customStyle="1" w:styleId="127">
    <w:name w:val="nth-of-type(3)3"/>
    <w:basedOn w:val="25"/>
    <w:qFormat/>
    <w:uiPriority w:val="0"/>
  </w:style>
  <w:style w:type="character" w:customStyle="1" w:styleId="128">
    <w:name w:val="nth-of-type(3)4"/>
    <w:basedOn w:val="25"/>
    <w:qFormat/>
    <w:uiPriority w:val="0"/>
  </w:style>
  <w:style w:type="character" w:customStyle="1" w:styleId="129">
    <w:name w:val="nth-of-type(3)5"/>
    <w:basedOn w:val="25"/>
    <w:qFormat/>
    <w:uiPriority w:val="0"/>
  </w:style>
  <w:style w:type="character" w:customStyle="1" w:styleId="130">
    <w:name w:val="nth-of-type(3)6"/>
    <w:basedOn w:val="25"/>
    <w:qFormat/>
    <w:uiPriority w:val="0"/>
  </w:style>
  <w:style w:type="character" w:customStyle="1" w:styleId="131">
    <w:name w:val="nth-of-type(3)7"/>
    <w:basedOn w:val="25"/>
    <w:qFormat/>
    <w:uiPriority w:val="0"/>
    <w:rPr>
      <w:sz w:val="21"/>
      <w:szCs w:val="21"/>
    </w:rPr>
  </w:style>
  <w:style w:type="character" w:customStyle="1" w:styleId="132">
    <w:name w:val="nth-of-type(4)1"/>
    <w:basedOn w:val="25"/>
    <w:qFormat/>
    <w:uiPriority w:val="0"/>
  </w:style>
  <w:style w:type="character" w:customStyle="1" w:styleId="133">
    <w:name w:val="nth-of-type(4)2"/>
    <w:basedOn w:val="25"/>
    <w:qFormat/>
    <w:uiPriority w:val="0"/>
  </w:style>
  <w:style w:type="character" w:customStyle="1" w:styleId="134">
    <w:name w:val="nth-of-type(4)3"/>
    <w:basedOn w:val="25"/>
    <w:qFormat/>
    <w:uiPriority w:val="0"/>
  </w:style>
  <w:style w:type="character" w:customStyle="1" w:styleId="135">
    <w:name w:val="nth-of-type(4)4"/>
    <w:basedOn w:val="25"/>
    <w:qFormat/>
    <w:uiPriority w:val="0"/>
  </w:style>
  <w:style w:type="character" w:customStyle="1" w:styleId="136">
    <w:name w:val="nth-of-type(4)5"/>
    <w:basedOn w:val="25"/>
    <w:qFormat/>
    <w:uiPriority w:val="0"/>
  </w:style>
  <w:style w:type="character" w:customStyle="1" w:styleId="137">
    <w:name w:val="nth-of-type(4)6"/>
    <w:basedOn w:val="25"/>
    <w:qFormat/>
    <w:uiPriority w:val="0"/>
  </w:style>
  <w:style w:type="character" w:customStyle="1" w:styleId="138">
    <w:name w:val="nth-of-type(4)7"/>
    <w:basedOn w:val="25"/>
    <w:qFormat/>
    <w:uiPriority w:val="0"/>
  </w:style>
  <w:style w:type="character" w:customStyle="1" w:styleId="139">
    <w:name w:val="nth-of-type(4)8"/>
    <w:basedOn w:val="25"/>
    <w:qFormat/>
    <w:uiPriority w:val="0"/>
    <w:rPr>
      <w:sz w:val="21"/>
      <w:szCs w:val="21"/>
    </w:rPr>
  </w:style>
  <w:style w:type="character" w:customStyle="1" w:styleId="140">
    <w:name w:val="layui-this4"/>
    <w:basedOn w:val="25"/>
    <w:qFormat/>
    <w:uiPriority w:val="0"/>
    <w:rPr>
      <w:bdr w:val="single" w:color="EEEEEE" w:sz="6" w:space="0"/>
      <w:shd w:val="clear" w:fill="FFFFFF"/>
    </w:rPr>
  </w:style>
  <w:style w:type="character" w:customStyle="1" w:styleId="141">
    <w:name w:val="font01"/>
    <w:basedOn w:val="2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8164</Words>
  <Characters>8742</Characters>
  <Lines>289</Lines>
  <Paragraphs>81</Paragraphs>
  <TotalTime>2</TotalTime>
  <ScaleCrop>false</ScaleCrop>
  <LinksUpToDate>false</LinksUpToDate>
  <CharactersWithSpaces>8833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鑫源硕</cp:lastModifiedBy>
  <cp:lastPrinted>2022-05-10T07:51:00Z</cp:lastPrinted>
  <dcterms:modified xsi:type="dcterms:W3CDTF">2025-06-16T09:01:52Z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D2D16B882E4A40DF96511E49F7A19AF6</vt:lpwstr>
  </property>
  <property fmtid="{D5CDD505-2E9C-101B-9397-08002B2CF9AE}" pid="4" name="KSOTemplateDocerSaveRecord">
    <vt:lpwstr>eyJoZGlkIjoiNzI2NTYyYzAyNWFlODdkZTFmNjI0MjBiNDM0MDU3MWMiLCJ1c2VySWQiOiIxNDczODM3OTgwIn0=</vt:lpwstr>
  </property>
</Properties>
</file>