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110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开展传统广告宣传投放及代理项目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采购需求</w:t>
      </w:r>
    </w:p>
    <w:p w14:paraId="07B8834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</w:pPr>
      <w:r>
        <w:rPr>
          <w:rFonts w:ascii="仿宋_GB2312" w:hAnsi="仿宋_GB2312" w:eastAsia="仿宋_GB2312" w:cs="仿宋_GB2312"/>
        </w:rPr>
        <w:t xml:space="preserve">为加大对传统媒体的创新与利用，巩固宣传阵地、整合媒体资源、维系良好媒体关系、提升宣传成效，我们拟开展传统广告宣传投放及代理业务。      </w:t>
      </w:r>
    </w:p>
    <w:p w14:paraId="0BF9499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一、采购内容</w:t>
      </w:r>
    </w:p>
    <w:p w14:paraId="5233749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能够在陕西境内代理陕西日报、央广网PC端陕西频道、华商网、凤凰网陕西、新浪网陕西、搜狐网、华商报官方微信、华商报财经行业微信号头条、华商报财经行业今日头条号、华商二三里、三秦都市报官方微信、三秦都市报官方微博、三秦网、秦闻APP、三秦都市报今日头条号、西安发布APP、西安新闻网、西安晚报微信公众号、西部网、阳光网、阳光报新媒体等媒体，以及其他要求完成的广告业务。省福彩中心可根据实际需求选择部分媒体投放。</w:t>
      </w:r>
    </w:p>
    <w:p w14:paraId="3FC0C80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二、技术要求</w:t>
      </w:r>
      <w:bookmarkStart w:id="0" w:name="_GoBack"/>
      <w:bookmarkEnd w:id="0"/>
    </w:p>
    <w:p w14:paraId="3AB9BE6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1、能够与省内主要新闻媒体建立良好沟通协作关系，有专人负责文稿及广告内容设计、审核等工作。</w:t>
      </w:r>
    </w:p>
    <w:p w14:paraId="30E2EA3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2、能够为省福彩中心提供宣传工作调研分析、品牌推广策划方案及具体的策划。</w:t>
      </w:r>
    </w:p>
    <w:p w14:paraId="7B13FB2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3、能够代理以下媒体战略合作及稿件业务：陕西日报、央广网PC端陕西频道、华商网、凤凰网陕西、新浪网陕西、搜狐网、华商报官方微信、华商报财经行业微信号头条、华商报财经行业今日头条号、华商二三里、三秦都市报官方微信、三秦都市报官方微博、三秦网、秦闻APP、三秦都市报今日头条号、西安发布APP、西安新闻网、西安晚报微信公众号、西部网、阳光网、阳光报新媒体等媒体。以上媒体发布稿件总数量≥859篇。</w:t>
      </w:r>
    </w:p>
    <w:p w14:paraId="21639DD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4、舆论情况处理及其他要求完成的稿件发布业务。</w:t>
      </w:r>
    </w:p>
    <w:p w14:paraId="7DAEE33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</w:pPr>
      <w:r>
        <w:rPr>
          <w:rFonts w:ascii="仿宋_GB2312" w:hAnsi="仿宋_GB2312" w:eastAsia="仿宋_GB2312" w:cs="仿宋_GB2312"/>
        </w:rPr>
        <w:t>5、以上所列媒体根据省福彩中心工作需要可在同等价位进行调整。</w:t>
      </w:r>
    </w:p>
    <w:p w14:paraId="1FE97C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ascii="仿宋_GB2312" w:hAnsi="仿宋_GB2312" w:eastAsia="仿宋_GB2312" w:cs="仿宋_GB2312"/>
        </w:rPr>
        <w:t>6、代理费以发布代理的金额4%为上限，服务期间所有费用及代理费用总额在预算100万之内，项目最终结算金额以项目期内在各类媒体广告投放实际结算为准。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2025-06-16T09:34:13Z</dcterms:created>
  <dc:creator>DELL</dc:creator>
  <cp:lastModifiedBy>To  encounter</cp:lastModifiedBy>
  <dcterms:modified xsi:type="dcterms:W3CDTF">2025-06-16T09:35:11Z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eyJoZGlkIjoiZmY2MGE3NzI4MDUwMzliYjZjYmMzZmQ4N2QwMWY5ZmQiLCJ1c2VySWQiOiIxMTk3NzI3MDgzIn0=</vt:lpwstr>
  </property>
  <property fmtid="{D5CDD505-2E9C-101B-9397-08002B2CF9AE}" pid="4" name="ICV">
    <vt:lpwstr>6F7A96C74D28406385B4FF1F1FC02DFE_12</vt:lpwstr>
  </property>
</Properties>
</file>