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D21F5">
      <w:pPr>
        <w:pStyle w:val="3"/>
        <w:rPr>
          <w:rStyle w:val="12"/>
          <w:rFonts w:hint="eastAsia"/>
          <w:b/>
          <w:bCs/>
          <w:sz w:val="32"/>
          <w:szCs w:val="22"/>
        </w:rPr>
      </w:pPr>
      <w:r>
        <w:rPr>
          <w:rStyle w:val="12"/>
          <w:rFonts w:hint="eastAsia"/>
          <w:b/>
          <w:bCs/>
          <w:sz w:val="32"/>
          <w:szCs w:val="22"/>
          <w:lang w:val="en-US" w:eastAsia="zh-CN"/>
        </w:rPr>
        <w:t>第五章 采购</w:t>
      </w:r>
      <w:r>
        <w:rPr>
          <w:rStyle w:val="12"/>
          <w:rFonts w:hint="eastAsia"/>
          <w:b/>
          <w:bCs/>
          <w:sz w:val="32"/>
          <w:szCs w:val="22"/>
          <w:lang w:eastAsia="zh-CN"/>
        </w:rPr>
        <w:t>内容及技术</w:t>
      </w:r>
      <w:r>
        <w:rPr>
          <w:rStyle w:val="12"/>
          <w:rFonts w:hint="eastAsia"/>
          <w:b/>
          <w:bCs/>
          <w:sz w:val="32"/>
          <w:szCs w:val="22"/>
        </w:rPr>
        <w:t>要求</w:t>
      </w:r>
    </w:p>
    <w:p w14:paraId="6A8588E9">
      <w:pPr>
        <w:adjustRightInd w:val="0"/>
        <w:snapToGrid w:val="0"/>
        <w:spacing w:line="360" w:lineRule="auto"/>
        <w:ind w:firstLine="482"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一、项目概况</w:t>
      </w:r>
    </w:p>
    <w:p w14:paraId="11A287F9">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zh-CN"/>
        </w:rPr>
        <w:t>地下水水质超标：根据《兴平市工业园区地下水环境状况调查评估报告》，兴平市工业园区地下水中特征污染物总硬度、硝酸盐、氯化物、锰、镍、钴超过《地下水质量标准》（GB/T 14848-2017）第IV类标准限值，且上述特征污染物的污染羽均超出化工园区边界范围。</w:t>
      </w:r>
    </w:p>
    <w:p w14:paraId="0322AC4D">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zh-CN"/>
        </w:rPr>
        <w:t>周边敏感目标众多：兴平市工业园区边界四周1km范围内存在自然村8个，学校9个，社区4个，医疗机构6个，县级饮用水水源井3个（水位埋深35-50m，井深160-200m，埋藏条件为承压水，含水层介质为孔隙水，服务人口约5万人，已服务年限24年）以及密集农田，敏感目标众多。</w:t>
      </w:r>
    </w:p>
    <w:p w14:paraId="2D78C031">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咸阳市城区生活垃圾填埋场位于主城区（秦都区）内部，填埋场距离南侧的主城区仅不到3km，距离西北侧的渭河不到6km，填埋场北侧、西北侧及东北侧分别有互助村、南刘家及王家庄等自然村，南侧紧邻地表水北干渠，四周还分布有密集农田，人员较为集中，敏感目标众多。</w:t>
      </w:r>
    </w:p>
    <w:p w14:paraId="522263B9">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泾阳县垃圾处理填埋场位于桥底镇西北侧，距离集镇仅600m，距离南侧的地表水体泾惠渠总干渠仅700m，距离东南侧的泾河3.5km，垃圾填埋场四周紧邻密集农田，敏感目标众多。</w:t>
      </w:r>
    </w:p>
    <w:p w14:paraId="3321B15C">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zh-CN"/>
        </w:rPr>
        <w:t>落实国家、陕西省发布的多项地下水环境保护政策的具体举措。</w:t>
      </w:r>
    </w:p>
    <w:p w14:paraId="2E00C75D">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zh-CN"/>
        </w:rPr>
        <w:t>对黄河流域生态保护和高质量发展产生积极的环境效益。</w:t>
      </w:r>
    </w:p>
    <w:p w14:paraId="2408C10E">
      <w:pPr>
        <w:adjustRightInd w:val="0"/>
        <w:snapToGrid w:val="0"/>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en-US" w:eastAsia="zh-CN"/>
        </w:rPr>
        <w:t>二、采购要求</w:t>
      </w:r>
      <w:r>
        <w:rPr>
          <w:rFonts w:hint="eastAsia" w:ascii="宋体" w:hAnsi="宋体" w:eastAsia="宋体" w:cs="宋体"/>
          <w:b/>
          <w:bCs/>
          <w:sz w:val="24"/>
          <w:szCs w:val="24"/>
          <w:highlight w:val="none"/>
          <w:lang w:val="zh-CN"/>
        </w:rPr>
        <w:t>：</w:t>
      </w:r>
    </w:p>
    <w:p w14:paraId="60AEE159">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在兴平市工业园区及重点垃圾填埋场（咸阳市城区生活垃圾填埋场、泾阳县垃圾处理填埋场）地下水环境状况初步调查结果的基础上，结合已有工作基础，按照地下水环境状况调查相关技术要求：</w:t>
      </w:r>
    </w:p>
    <w:p w14:paraId="263021C5">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zh-CN"/>
        </w:rPr>
        <w:t>进一步查清兴平市工业园区及重点垃圾填埋场调查范围内的水文地质条件、地下水补径排条件及流场等信息；</w:t>
      </w:r>
    </w:p>
    <w:p w14:paraId="19508659">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zh-CN"/>
        </w:rPr>
        <w:t>查明兴平市工业园区及重点垃圾填埋场区域内地下水环境质量状况，进一步判断初查结果中造成各超标指标的原因，圈定调查范围内园区特征污染物的超标范围、空间分布；</w:t>
      </w:r>
    </w:p>
    <w:p w14:paraId="3DCDDA22">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zh-CN"/>
        </w:rPr>
        <w:t>在详细调查的工作基础上，开展兴平市工业园区及重点垃圾填埋场的风险评估工作，确定兴平市工业园区及重点垃圾填埋场周边敏感目标风险是否可接受，不可接受则计算地下水污染健康风险控制值，提出后续风险管控或治理修复的建议。</w:t>
      </w:r>
    </w:p>
    <w:p w14:paraId="50D327C7">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zh-CN"/>
        </w:rPr>
        <w:t>通过对兴平市工业园区及重点垃圾填埋场的地下水调查评估及风险评估，确定调查范围内园区特征污染物的超标范围、空间分布，</w:t>
      </w:r>
      <w:r>
        <w:rPr>
          <w:rFonts w:hint="eastAsia" w:ascii="宋体" w:hAnsi="宋体" w:eastAsia="宋体" w:cs="宋体"/>
          <w:b w:val="0"/>
          <w:bCs w:val="0"/>
          <w:sz w:val="24"/>
          <w:szCs w:val="24"/>
          <w:highlight w:val="none"/>
          <w:lang w:val="zh-CN" w:eastAsia="zh-CN"/>
        </w:rPr>
        <w:t>为</w:t>
      </w:r>
      <w:r>
        <w:rPr>
          <w:rFonts w:hint="eastAsia" w:ascii="宋体" w:hAnsi="宋体" w:eastAsia="宋体" w:cs="宋体"/>
          <w:b w:val="0"/>
          <w:bCs w:val="0"/>
          <w:sz w:val="24"/>
          <w:szCs w:val="24"/>
          <w:highlight w:val="none"/>
          <w:lang w:val="zh-CN"/>
        </w:rPr>
        <w:t>后续风险管控或治理修复的</w:t>
      </w:r>
      <w:r>
        <w:rPr>
          <w:rFonts w:hint="eastAsia" w:ascii="宋体" w:hAnsi="宋体" w:eastAsia="宋体" w:cs="宋体"/>
          <w:b w:val="0"/>
          <w:bCs w:val="0"/>
          <w:sz w:val="24"/>
          <w:szCs w:val="24"/>
          <w:highlight w:val="none"/>
          <w:lang w:val="zh-CN" w:eastAsia="zh-CN"/>
        </w:rPr>
        <w:t>提供</w:t>
      </w:r>
      <w:r>
        <w:rPr>
          <w:rFonts w:hint="eastAsia" w:ascii="宋体" w:hAnsi="宋体" w:eastAsia="宋体" w:cs="宋体"/>
          <w:b w:val="0"/>
          <w:bCs w:val="0"/>
          <w:sz w:val="24"/>
          <w:szCs w:val="24"/>
          <w:highlight w:val="none"/>
          <w:lang w:val="zh-CN"/>
        </w:rPr>
        <w:t xml:space="preserve">建议。 </w:t>
      </w:r>
    </w:p>
    <w:p w14:paraId="713D7D2D">
      <w:pPr>
        <w:adjustRightInd w:val="0"/>
        <w:snapToGrid w:val="0"/>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en-US" w:eastAsia="zh-CN"/>
        </w:rPr>
        <w:t>三、成果文件要求</w:t>
      </w:r>
      <w:r>
        <w:rPr>
          <w:rFonts w:hint="eastAsia" w:ascii="宋体" w:hAnsi="宋体" w:eastAsia="宋体" w:cs="宋体"/>
          <w:b/>
          <w:bCs/>
          <w:sz w:val="24"/>
          <w:szCs w:val="24"/>
          <w:highlight w:val="none"/>
          <w:lang w:val="zh-CN"/>
        </w:rPr>
        <w:t>：</w:t>
      </w:r>
    </w:p>
    <w:p w14:paraId="47360555">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zh-CN"/>
        </w:rPr>
        <w:t>《咸阳市兴平市工业园区地下水环境状况详细调查评估报告》1套；</w:t>
      </w:r>
    </w:p>
    <w:p w14:paraId="681E6E59">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zh-CN"/>
        </w:rPr>
        <w:t>《咸阳市兴平市工业园区地下水污染风险评估报告》1套；</w:t>
      </w:r>
    </w:p>
    <w:p w14:paraId="006019DC">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zh-CN"/>
        </w:rPr>
        <w:t>《咸阳市城区生活垃圾填埋场地下水环境状况详细调查评估报告》1套；</w:t>
      </w:r>
    </w:p>
    <w:p w14:paraId="2E90C9A7">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zh-CN"/>
        </w:rPr>
        <w:t>《咸阳市城区生活垃圾填埋场地下水污染风险评估报告》1套；</w:t>
      </w:r>
    </w:p>
    <w:p w14:paraId="63F8B937">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zh-CN"/>
        </w:rPr>
        <w:t>《泾阳县垃圾处理填埋场地下水环境状况详细调查评估报告》1套；</w:t>
      </w:r>
    </w:p>
    <w:p w14:paraId="500F2596">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rPr>
        <w:t>《泾阳县垃圾处理填埋场地下水环境污染风险评估报告》1套。</w:t>
      </w:r>
    </w:p>
    <w:p w14:paraId="1D0E1130">
      <w:pPr>
        <w:adjustRightInd w:val="0"/>
        <w:snapToGrid w:val="0"/>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val="zh-CN"/>
        </w:rPr>
        <w:t>技术要求：</w:t>
      </w:r>
      <w:bookmarkStart w:id="0" w:name="_Hlk150848976"/>
    </w:p>
    <w:p w14:paraId="3E0E1B12">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1、《地块土壤和地下水中挥发性有机物采样技术导则》（HJ1019-2019）；</w:t>
      </w:r>
    </w:p>
    <w:p w14:paraId="485E6664">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2、《地下水环境监测技术规范》（HJ/T164-2020）；</w:t>
      </w:r>
    </w:p>
    <w:p w14:paraId="77BDDE37">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3、《地下水污染地质调查评价规范》（DD2008-01）；</w:t>
      </w:r>
    </w:p>
    <w:p w14:paraId="06972E2B">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4、《石油类污染场地勘查与修复技术规范》（DBJ61T120-2016）；</w:t>
      </w:r>
    </w:p>
    <w:p w14:paraId="77A6C556">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5、《建设用地土壤污染风险管控和修复监测技术导则》（HJ25.2-2019）；</w:t>
      </w:r>
    </w:p>
    <w:p w14:paraId="40F75430">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6、《土壤环境监测技术规范》（HJT166-2004）；</w:t>
      </w:r>
    </w:p>
    <w:p w14:paraId="25CBE17E">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7、《建设用地土壤污染状况调查技术导则》（HJ25.1-2019）；</w:t>
      </w:r>
    </w:p>
    <w:p w14:paraId="6A07D3C6">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8、《环境影响评价技术导则地下水环境》（HJ610-2016）；</w:t>
      </w:r>
    </w:p>
    <w:p w14:paraId="7155B9AE">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9、《建设用地土壤环境调查评估技术指南》（环境保护部令，第72号）；</w:t>
      </w:r>
    </w:p>
    <w:p w14:paraId="2391728E">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10、《地下水污染健康风险评估工作指南》（2019版）；</w:t>
      </w:r>
    </w:p>
    <w:p w14:paraId="50BA625E">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11、《地下水环境状况调查评价工作指南》（2019版）；</w:t>
      </w:r>
    </w:p>
    <w:p w14:paraId="06FABEC7">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12、《地下水污染地球物理探测技术指南》（试行）；</w:t>
      </w:r>
    </w:p>
    <w:p w14:paraId="10A00998">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13、《地下水污染模拟预测评估工作指南》（试行）；</w:t>
      </w:r>
    </w:p>
    <w:p w14:paraId="14421D1F">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14、《水文地质调查规范》（1:50000DZ/T0282-2015）；</w:t>
      </w:r>
    </w:p>
    <w:p w14:paraId="46884DAD">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15、</w:t>
      </w:r>
      <w:r>
        <w:rPr>
          <w:rFonts w:hint="eastAsia" w:ascii="宋体" w:hAnsi="宋体" w:eastAsia="宋体" w:cs="宋体"/>
          <w:b w:val="0"/>
          <w:bCs w:val="0"/>
          <w:sz w:val="24"/>
          <w:szCs w:val="24"/>
          <w:highlight w:val="none"/>
          <w:lang w:val="zh-CN"/>
        </w:rPr>
        <w:fldChar w:fldCharType="begin"/>
      </w:r>
      <w:r>
        <w:rPr>
          <w:rFonts w:hint="eastAsia" w:ascii="宋体" w:hAnsi="宋体" w:eastAsia="宋体" w:cs="宋体"/>
          <w:b w:val="0"/>
          <w:bCs w:val="0"/>
          <w:sz w:val="24"/>
          <w:szCs w:val="24"/>
          <w:highlight w:val="none"/>
          <w:lang w:val="zh-CN"/>
        </w:rPr>
        <w:instrText xml:space="preserve"> HYPERLINK "https://wenku.so.com/d/d8c64cbdd25fc2ecb80a65708a87f175" \t "https://www.so.com/_blank" </w:instrText>
      </w:r>
      <w:r>
        <w:rPr>
          <w:rFonts w:hint="eastAsia" w:ascii="宋体" w:hAnsi="宋体" w:eastAsia="宋体" w:cs="宋体"/>
          <w:b w:val="0"/>
          <w:bCs w:val="0"/>
          <w:sz w:val="24"/>
          <w:szCs w:val="24"/>
          <w:highlight w:val="none"/>
          <w:lang w:val="zh-CN"/>
        </w:rPr>
        <w:fldChar w:fldCharType="separate"/>
      </w:r>
      <w:r>
        <w:rPr>
          <w:rFonts w:hint="eastAsia" w:ascii="宋体" w:hAnsi="宋体" w:eastAsia="宋体" w:cs="宋体"/>
          <w:b w:val="0"/>
          <w:bCs w:val="0"/>
          <w:sz w:val="24"/>
          <w:szCs w:val="24"/>
          <w:highlight w:val="none"/>
          <w:lang w:val="zh-CN"/>
        </w:rPr>
        <w:t>《建设用地土壤污染风险评估技术导则》</w:t>
      </w:r>
      <w:r>
        <w:rPr>
          <w:rFonts w:hint="eastAsia" w:ascii="宋体" w:hAnsi="宋体" w:eastAsia="宋体" w:cs="宋体"/>
          <w:b w:val="0"/>
          <w:bCs w:val="0"/>
          <w:sz w:val="24"/>
          <w:szCs w:val="24"/>
          <w:highlight w:val="none"/>
          <w:lang w:val="zh-CN"/>
        </w:rPr>
        <w:fldChar w:fldCharType="end"/>
      </w:r>
      <w:r>
        <w:rPr>
          <w:rFonts w:hint="eastAsia" w:ascii="宋体" w:hAnsi="宋体" w:eastAsia="宋体" w:cs="宋体"/>
          <w:b w:val="0"/>
          <w:bCs w:val="0"/>
          <w:sz w:val="24"/>
          <w:szCs w:val="24"/>
          <w:highlight w:val="none"/>
          <w:lang w:val="zh-CN"/>
        </w:rPr>
        <w:t>（HJ 25.3-2019）；</w:t>
      </w:r>
    </w:p>
    <w:p w14:paraId="52872134">
      <w:pPr>
        <w:adjustRightInd w:val="0"/>
        <w:snapToGrid w:val="0"/>
        <w:spacing w:line="360" w:lineRule="auto"/>
        <w:ind w:firstLine="480" w:firstLineChars="20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16、《危险废物处置场和垃圾填埋场地下水环境状况调查评估技术指南》（环办便函[2022]382号）。</w:t>
      </w:r>
      <w:bookmarkEnd w:id="0"/>
    </w:p>
    <w:p w14:paraId="5EEDCCB5">
      <w:pPr>
        <w:adjustRightInd w:val="0"/>
        <w:snapToGrid w:val="0"/>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商务</w:t>
      </w:r>
      <w:r>
        <w:rPr>
          <w:rFonts w:hint="eastAsia" w:ascii="宋体" w:hAnsi="宋体" w:eastAsia="宋体" w:cs="宋体"/>
          <w:b/>
          <w:bCs/>
          <w:sz w:val="24"/>
          <w:szCs w:val="24"/>
          <w:highlight w:val="none"/>
          <w:lang w:val="zh-CN"/>
        </w:rPr>
        <w:t>要求</w:t>
      </w:r>
    </w:p>
    <w:p w14:paraId="5A58445A">
      <w:pPr>
        <w:pStyle w:val="13"/>
        <w:spacing w:line="360" w:lineRule="auto"/>
        <w:ind w:firstLine="482" w:firstLineChars="200"/>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1、服务地点：</w:t>
      </w:r>
      <w:r>
        <w:rPr>
          <w:rFonts w:hint="eastAsia" w:ascii="宋体" w:hAnsi="宋体" w:cs="宋体"/>
          <w:b w:val="0"/>
          <w:bCs w:val="0"/>
          <w:color w:val="000000"/>
          <w:sz w:val="24"/>
          <w:szCs w:val="24"/>
          <w:highlight w:val="none"/>
          <w:lang w:val="en-US" w:eastAsia="zh-CN"/>
        </w:rPr>
        <w:t>陕西省咸阳市。</w:t>
      </w:r>
    </w:p>
    <w:p w14:paraId="17816C95">
      <w:pPr>
        <w:pStyle w:val="13"/>
        <w:spacing w:line="360" w:lineRule="auto"/>
        <w:ind w:firstLine="482" w:firstLineChars="200"/>
        <w:rPr>
          <w:rFonts w:hint="eastAsia" w:ascii="宋体" w:hAnsi="宋体" w:cs="宋体"/>
          <w:b w:val="0"/>
          <w:bCs w:val="0"/>
          <w:color w:val="000000"/>
          <w:sz w:val="24"/>
          <w:szCs w:val="24"/>
          <w:highlight w:val="none"/>
          <w:lang w:val="zh-CN" w:eastAsia="zh-CN"/>
        </w:rPr>
      </w:pPr>
      <w:r>
        <w:rPr>
          <w:rFonts w:hint="eastAsia" w:ascii="宋体" w:hAnsi="宋体" w:cs="宋体"/>
          <w:b/>
          <w:bCs/>
          <w:color w:val="000000"/>
          <w:sz w:val="24"/>
          <w:szCs w:val="24"/>
          <w:highlight w:val="none"/>
          <w:lang w:val="en-US" w:eastAsia="zh-CN"/>
        </w:rPr>
        <w:t>2、服务期限：自合同签订之日起8个月内完成现场调查、资料收集、布点采样监测、调查评估报告编制与评审，并递交最终版报告</w:t>
      </w:r>
      <w:r>
        <w:rPr>
          <w:rFonts w:hint="eastAsia" w:ascii="宋体" w:hAnsi="宋体" w:cs="宋体"/>
          <w:b w:val="0"/>
          <w:bCs w:val="0"/>
          <w:color w:val="000000"/>
          <w:sz w:val="24"/>
          <w:szCs w:val="24"/>
          <w:highlight w:val="none"/>
          <w:lang w:val="en-US" w:eastAsia="zh-CN"/>
        </w:rPr>
        <w:t>。</w:t>
      </w:r>
    </w:p>
    <w:p w14:paraId="3421D952">
      <w:pPr>
        <w:pStyle w:val="13"/>
        <w:spacing w:line="360" w:lineRule="auto"/>
        <w:ind w:firstLine="482" w:firstLineChars="200"/>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lang w:val="zh-CN" w:eastAsia="zh-CN"/>
        </w:rPr>
        <w:t>未经采购人同意，中标供应商不得将承包项目</w:t>
      </w:r>
      <w:r>
        <w:rPr>
          <w:rFonts w:hint="eastAsia" w:ascii="宋体" w:hAnsi="宋体" w:cs="宋体"/>
          <w:b/>
          <w:bCs/>
          <w:color w:val="000000"/>
          <w:sz w:val="24"/>
          <w:szCs w:val="24"/>
          <w:highlight w:val="none"/>
          <w:lang w:val="en-US" w:eastAsia="zh-CN"/>
        </w:rPr>
        <w:t>分</w:t>
      </w:r>
      <w:r>
        <w:rPr>
          <w:rFonts w:hint="eastAsia" w:ascii="宋体" w:hAnsi="宋体" w:cs="宋体"/>
          <w:b/>
          <w:bCs/>
          <w:color w:val="000000"/>
          <w:sz w:val="24"/>
          <w:szCs w:val="24"/>
          <w:highlight w:val="none"/>
          <w:lang w:val="zh-CN" w:eastAsia="zh-CN"/>
        </w:rPr>
        <w:t>包或转包，否则，视为中标供应商违约，采购人有权解除服务合同。</w:t>
      </w:r>
      <w:r>
        <w:rPr>
          <w:rFonts w:hint="eastAsia" w:ascii="宋体" w:hAnsi="宋体" w:cs="宋体"/>
          <w:b/>
          <w:bCs/>
          <w:color w:val="000000"/>
          <w:sz w:val="24"/>
          <w:szCs w:val="24"/>
          <w:highlight w:val="none"/>
          <w:lang w:val="en-US" w:eastAsia="zh-CN"/>
        </w:rPr>
        <w:t xml:space="preserve"> </w:t>
      </w:r>
    </w:p>
    <w:p w14:paraId="57242738">
      <w:pPr>
        <w:tabs>
          <w:tab w:val="left" w:pos="8200"/>
        </w:tabs>
        <w:autoSpaceDE w:val="0"/>
        <w:autoSpaceDN w:val="0"/>
        <w:spacing w:line="360" w:lineRule="auto"/>
        <w:ind w:right="99" w:rightChars="47" w:firstLine="482" w:firstLineChars="200"/>
        <w:jc w:val="left"/>
        <w:rPr>
          <w:rFonts w:ascii="宋体" w:hAnsi="宋体" w:cs="宋体"/>
          <w:b/>
          <w:bCs/>
          <w:sz w:val="24"/>
          <w:szCs w:val="24"/>
        </w:rPr>
      </w:pPr>
      <w:r>
        <w:rPr>
          <w:rFonts w:hint="eastAsia" w:ascii="宋体" w:hAnsi="宋体" w:eastAsia="宋体" w:cs="宋体"/>
          <w:b/>
          <w:bCs/>
          <w:sz w:val="24"/>
          <w:szCs w:val="24"/>
          <w:highlight w:val="none"/>
          <w:lang w:val="en-US" w:eastAsia="zh-CN"/>
        </w:rPr>
        <w:t>4、质量标准：</w:t>
      </w:r>
      <w:bookmarkStart w:id="1" w:name="OLE_LINK1"/>
      <w:r>
        <w:rPr>
          <w:rFonts w:hint="eastAsia" w:ascii="宋体" w:hAnsi="宋体" w:eastAsia="宋体" w:cs="宋体"/>
          <w:sz w:val="24"/>
          <w:szCs w:val="24"/>
          <w:highlight w:val="none"/>
          <w:lang w:val="en-US" w:eastAsia="zh-CN"/>
        </w:rPr>
        <w:t>符合国家及行业质量验收合格标准</w:t>
      </w:r>
      <w:bookmarkEnd w:id="1"/>
      <w:r>
        <w:rPr>
          <w:rFonts w:hint="eastAsia" w:ascii="宋体" w:hAnsi="宋体" w:eastAsia="宋体" w:cs="宋体"/>
          <w:sz w:val="24"/>
          <w:szCs w:val="24"/>
          <w:highlight w:val="none"/>
          <w:lang w:val="en-US" w:eastAsia="zh-CN"/>
        </w:rPr>
        <w:t>。</w:t>
      </w:r>
    </w:p>
    <w:p w14:paraId="647DCA28">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532B"/>
    <w:rsid w:val="01A7278B"/>
    <w:rsid w:val="098822A4"/>
    <w:rsid w:val="18104E6D"/>
    <w:rsid w:val="1ED86124"/>
    <w:rsid w:val="2AE9366F"/>
    <w:rsid w:val="6009588A"/>
    <w:rsid w:val="645273C0"/>
    <w:rsid w:val="6F326FE2"/>
    <w:rsid w:val="710255C7"/>
    <w:rsid w:val="77FA4095"/>
    <w:rsid w:val="7CAC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keepLines/>
      <w:overflowPunct w:val="0"/>
      <w:spacing w:before="220" w:after="210" w:line="600" w:lineRule="exact"/>
      <w:jc w:val="center"/>
      <w:outlineLvl w:val="0"/>
    </w:pPr>
    <w:rPr>
      <w:rFonts w:ascii="Times New Roman" w:hAnsi="Times New Roman" w:eastAsia="仿宋"/>
      <w:b/>
      <w:bCs/>
      <w:kern w:val="44"/>
      <w:sz w:val="44"/>
      <w:szCs w:val="44"/>
    </w:rPr>
  </w:style>
  <w:style w:type="paragraph" w:styleId="4">
    <w:name w:val="heading 2"/>
    <w:basedOn w:val="1"/>
    <w:next w:val="1"/>
    <w:link w:val="10"/>
    <w:semiHidden/>
    <w:unhideWhenUsed/>
    <w:qFormat/>
    <w:uiPriority w:val="0"/>
    <w:pPr>
      <w:keepNext/>
      <w:keepLines/>
      <w:overflowPunct w:val="0"/>
      <w:spacing w:before="260" w:after="260" w:line="416" w:lineRule="auto"/>
      <w:jc w:val="center"/>
      <w:outlineLvl w:val="1"/>
    </w:pPr>
    <w:rPr>
      <w:rFonts w:ascii="Arial" w:hAnsi="Arial" w:eastAsia="仿宋"/>
      <w:b/>
      <w:bCs/>
      <w:kern w:val="0"/>
      <w:sz w:val="32"/>
      <w:szCs w:val="32"/>
    </w:rPr>
  </w:style>
  <w:style w:type="paragraph" w:styleId="5">
    <w:name w:val="heading 3"/>
    <w:basedOn w:val="1"/>
    <w:next w:val="1"/>
    <w:link w:val="11"/>
    <w:semiHidden/>
    <w:unhideWhenUsed/>
    <w:qFormat/>
    <w:uiPriority w:val="0"/>
    <w:pPr>
      <w:keepNext/>
      <w:keepLines/>
      <w:spacing w:before="260" w:after="260" w:line="560" w:lineRule="exact"/>
      <w:jc w:val="left"/>
      <w:outlineLvl w:val="2"/>
    </w:pPr>
    <w:rPr>
      <w:rFonts w:ascii="Times New Roman" w:hAnsi="Times New Roman" w:eastAsia="仿宋"/>
      <w:b/>
      <w:bCs/>
      <w:kern w:val="0"/>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 "/>
    <w:basedOn w:val="1"/>
    <w:next w:val="1"/>
    <w:qFormat/>
    <w:uiPriority w:val="0"/>
    <w:pPr>
      <w:widowControl w:val="0"/>
      <w:adjustRightInd w:val="0"/>
      <w:spacing w:line="318" w:lineRule="atLeast"/>
      <w:ind w:left="369" w:firstLine="369"/>
      <w:jc w:val="both"/>
      <w:textAlignment w:val="baseline"/>
    </w:pPr>
    <w:rPr>
      <w:rFonts w:ascii="宋体" w:hAnsi="宋体" w:eastAsia="宋体"/>
      <w:szCs w:val="20"/>
    </w:rPr>
  </w:style>
  <w:style w:type="paragraph" w:styleId="6">
    <w:name w:val="Body Text"/>
    <w:basedOn w:val="1"/>
    <w:uiPriority w:val="0"/>
    <w:pPr>
      <w:spacing w:after="120" w:afterLines="0" w:afterAutospacing="0"/>
    </w:pPr>
  </w:style>
  <w:style w:type="character" w:customStyle="1" w:styleId="9">
    <w:name w:val="标题 1 字符1"/>
    <w:link w:val="3"/>
    <w:qFormat/>
    <w:uiPriority w:val="0"/>
    <w:rPr>
      <w:rFonts w:ascii="Times New Roman" w:hAnsi="Times New Roman" w:eastAsia="仿宋"/>
      <w:b/>
      <w:bCs/>
      <w:kern w:val="44"/>
      <w:sz w:val="44"/>
      <w:szCs w:val="44"/>
    </w:rPr>
  </w:style>
  <w:style w:type="character" w:customStyle="1" w:styleId="10">
    <w:name w:val="标题 2 字符2"/>
    <w:link w:val="4"/>
    <w:qFormat/>
    <w:uiPriority w:val="0"/>
    <w:rPr>
      <w:rFonts w:ascii="Arial" w:hAnsi="Arial" w:eastAsia="仿宋"/>
      <w:b/>
      <w:bCs/>
      <w:sz w:val="32"/>
      <w:szCs w:val="32"/>
    </w:rPr>
  </w:style>
  <w:style w:type="character" w:customStyle="1" w:styleId="11">
    <w:name w:val="标题 3 字符"/>
    <w:link w:val="5"/>
    <w:qFormat/>
    <w:uiPriority w:val="0"/>
    <w:rPr>
      <w:rFonts w:ascii="Times New Roman" w:hAnsi="Times New Roman" w:eastAsia="仿宋"/>
      <w:b/>
      <w:bCs/>
      <w:sz w:val="28"/>
      <w:szCs w:val="32"/>
    </w:rPr>
  </w:style>
  <w:style w:type="character" w:customStyle="1" w:styleId="12">
    <w:name w:val="标题 1 Char"/>
    <w:link w:val="3"/>
    <w:uiPriority w:val="0"/>
    <w:rPr>
      <w:kern w:val="0"/>
      <w:sz w:val="24"/>
      <w:szCs w:val="20"/>
    </w:rPr>
  </w:style>
  <w:style w:type="paragraph" w:customStyle="1" w:styleId="13">
    <w:name w:val="样式 10 磅"/>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2024-10-17T06:33:00Z</dcterms:created>
  <dc:creator>admin</dc:creator>
  <cp:lastModifiedBy>acer</cp:lastModifiedBy>
  <dcterms:modified xsi:type="dcterms:W3CDTF">2025-06-26T03:20:33Z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6BD806A41A56471CB4634E8433570C89_12</vt:lpwstr>
  </property>
  <property fmtid="{D5CDD505-2E9C-101B-9397-08002B2CF9AE}" pid="4" name="KSOTemplateDocerSaveRecord">
    <vt:lpwstr>eyJoZGlkIjoiZTFmMTY0YWMzYTQ1NTA1ODUzODIxMmUwN2MzOTU3NzAiLCJ1c2VySWQiOiIyNDc5ODM4ODIifQ==</vt:lpwstr>
  </property>
</Properties>
</file>