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12" w:name="_GoBack"/>
      <w:bookmarkEnd w:id="12"/>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hint="eastAsia" w:cstheme="minorHAnsi"/>
        </w:rPr>
        <w:t>竞争性谈判文件</w:t>
      </w:r>
    </w:p>
    <w:p>
      <w:pPr>
        <w:widowControl w:val="0"/>
        <w:topLinePunct/>
        <w:spacing w:line="360" w:lineRule="auto"/>
        <w:jc w:val="center"/>
        <w:rPr>
          <w:rFonts w:eastAsia="宋体" w:cs="Tahoma"/>
          <w:sz w:val="36"/>
          <w:szCs w:val="36"/>
        </w:rPr>
      </w:pPr>
    </w:p>
    <w:p>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西安文理学院明德楼电梯更换项目</w:t>
      </w:r>
    </w:p>
    <w:p>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XCZX2025-0057</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hint="eastAsia" w:eastAsia="宋体" w:cs="Tahoma" w:asciiTheme="minorHAnsi" w:hAnsiTheme="minorHAnsi"/>
        </w:rPr>
        <w:t>2025年6月</w:t>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19"/>
        <w:tabs>
          <w:tab w:val="right" w:leader="dot" w:pos="906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"_Toc199340280" </w:instrText>
      </w:r>
      <w:r>
        <w:fldChar w:fldCharType="separate"/>
      </w:r>
      <w:r>
        <w:rPr>
          <w:rStyle w:val="31"/>
          <w:rFonts w:hint="eastAsia"/>
        </w:rPr>
        <w:t>第一章　谈判邀请函</w:t>
      </w:r>
      <w:r>
        <w:tab/>
      </w:r>
      <w:r>
        <w:fldChar w:fldCharType="begin"/>
      </w:r>
      <w:r>
        <w:instrText xml:space="preserve"> PAGEREF _Toc199340280 \h </w:instrText>
      </w:r>
      <w:r>
        <w:fldChar w:fldCharType="separate"/>
      </w:r>
      <w:r>
        <w:t>1</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"_Toc199340281" </w:instrText>
      </w:r>
      <w:r>
        <w:fldChar w:fldCharType="separate"/>
      </w:r>
      <w:r>
        <w:rPr>
          <w:rStyle w:val="31"/>
          <w:rFonts w:hint="eastAsia"/>
        </w:rPr>
        <w:t>第二章　供应商须知</w:t>
      </w:r>
      <w:r>
        <w:tab/>
      </w:r>
      <w:r>
        <w:fldChar w:fldCharType="begin"/>
      </w:r>
      <w:r>
        <w:instrText xml:space="preserve"> PAGEREF _Toc199340281 \h </w:instrText>
      </w:r>
      <w:r>
        <w:fldChar w:fldCharType="separate"/>
      </w:r>
      <w:r>
        <w:t>4</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"_Toc199340282" </w:instrText>
      </w:r>
      <w:r>
        <w:fldChar w:fldCharType="separate"/>
      </w:r>
      <w:r>
        <w:rPr>
          <w:rStyle w:val="31"/>
          <w:rFonts w:hint="eastAsia"/>
        </w:rPr>
        <w:t>第三章　谈判内容及要求</w:t>
      </w:r>
      <w:r>
        <w:tab/>
      </w:r>
      <w:r>
        <w:fldChar w:fldCharType="begin"/>
      </w:r>
      <w:r>
        <w:instrText xml:space="preserve"> PAGEREF _Toc199340282 \h </w:instrText>
      </w:r>
      <w:r>
        <w:fldChar w:fldCharType="separate"/>
      </w:r>
      <w:r>
        <w:t>28</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"_Toc199340283" </w:instrText>
      </w:r>
      <w:r>
        <w:fldChar w:fldCharType="separate"/>
      </w:r>
      <w:r>
        <w:rPr>
          <w:rStyle w:val="31"/>
          <w:rFonts w:hint="eastAsia"/>
        </w:rPr>
        <w:t>第四章　合同草案条款</w:t>
      </w:r>
      <w:r>
        <w:tab/>
      </w:r>
      <w:r>
        <w:fldChar w:fldCharType="begin"/>
      </w:r>
      <w:r>
        <w:instrText xml:space="preserve"> PAGEREF _Toc199340283 \h </w:instrText>
      </w:r>
      <w:r>
        <w:fldChar w:fldCharType="separate"/>
      </w:r>
      <w:r>
        <w:t>32</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"_Toc199340284" </w:instrText>
      </w:r>
      <w:r>
        <w:fldChar w:fldCharType="separate"/>
      </w:r>
      <w:r>
        <w:rPr>
          <w:rStyle w:val="31"/>
          <w:rFonts w:hint="eastAsia"/>
        </w:rPr>
        <w:t>第五章　响应文件构成及格式</w:t>
      </w:r>
      <w:r>
        <w:tab/>
      </w:r>
      <w:r>
        <w:fldChar w:fldCharType="begin"/>
      </w:r>
      <w:r>
        <w:instrText xml:space="preserve"> PAGEREF _Toc199340284 \h </w:instrText>
      </w:r>
      <w:r>
        <w:fldChar w:fldCharType="separate"/>
      </w:r>
      <w:r>
        <w:t>38</w:t>
      </w:r>
      <w:r>
        <w:fldChar w:fldCharType="end"/>
      </w:r>
      <w:r>
        <w:fldChar w:fldCharType="end"/>
      </w:r>
    </w:p>
    <w:p>
      <w:pPr>
        <w:pStyle w:val="19"/>
        <w:tabs>
          <w:tab w:val="right" w:leader="dot" w:pos="8890"/>
        </w:tabs>
        <w:spacing w:before="460" w:after="460"/>
        <w:rPr>
          <w:rFonts w:cstheme="minorHAnsi"/>
          <w:sz w:val="36"/>
          <w:szCs w:val="36"/>
        </w:rPr>
      </w:pP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0" w:name="_Toc199340280"/>
      <w:r>
        <w:rPr>
          <w:rFonts w:hint="eastAsia"/>
        </w:rPr>
        <w:t>第一章　谈判邀请函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西安文理学院</w:t>
      </w:r>
      <w:r>
        <w:rPr>
          <w:rFonts w:hint="eastAsia"/>
        </w:rPr>
        <w:t>的委托，按照政府采购程序对本项目进行竞争性谈判，欢迎符合资格条件且有能力提供本项目所需货物的供应商参加谈判。</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西安文理学院明德楼电梯更换项目</w:t>
      </w:r>
    </w:p>
    <w:p>
      <w:pPr>
        <w:widowControl w:val="0"/>
        <w:topLinePunct/>
        <w:ind w:firstLine="480" w:firstLineChars="200"/>
        <w:jc w:val="both"/>
      </w:pPr>
      <w:r>
        <w:rPr>
          <w:rFonts w:hint="eastAsia"/>
        </w:rPr>
        <w:t>项目编号：</w:t>
      </w:r>
      <w:r>
        <w:rPr>
          <w:rFonts w:hint="eastAsia"/>
          <w:color w:val="C00000"/>
        </w:rPr>
        <w:t>XCZX2025-0057</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202</w:t>
      </w:r>
      <w:r>
        <w:rPr>
          <w:color w:val="C00000"/>
        </w:rPr>
        <w:t>5-</w:t>
      </w:r>
      <w:r>
        <w:rPr>
          <w:rFonts w:hint="eastAsia"/>
          <w:color w:val="C00000"/>
        </w:rPr>
        <w:t>0</w:t>
      </w:r>
      <w:r>
        <w:rPr>
          <w:color w:val="C00000"/>
        </w:rPr>
        <w:t>1315</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r>
        <w:rPr>
          <w:rFonts w:hint="eastAsia"/>
          <w:color w:val="C00000"/>
        </w:rPr>
        <w:t>2</w:t>
      </w:r>
      <w:r>
        <w:rPr>
          <w:color w:val="C00000"/>
        </w:rPr>
        <w:t>85000</w:t>
      </w:r>
      <w:r>
        <w:rPr>
          <w:rFonts w:hint="eastAsia"/>
          <w:color w:val="C00000"/>
        </w:rPr>
        <w:t>元（最高限价2</w:t>
      </w:r>
      <w:r>
        <w:rPr>
          <w:color w:val="C00000"/>
        </w:rPr>
        <w:t>85000</w:t>
      </w:r>
      <w:r>
        <w:rPr>
          <w:rFonts w:hint="eastAsia"/>
          <w:color w:val="C00000"/>
        </w:rPr>
        <w:t>元）</w:t>
      </w:r>
    </w:p>
    <w:p>
      <w:pPr>
        <w:widowControl w:val="0"/>
        <w:topLinePunct/>
        <w:ind w:firstLine="480" w:firstLineChars="200"/>
        <w:jc w:val="both"/>
      </w:pPr>
      <w:r>
        <w:rPr>
          <w:b/>
        </w:rPr>
        <w:t>四、采购</w:t>
      </w:r>
      <w:r>
        <w:rPr>
          <w:rFonts w:hint="eastAsia"/>
          <w:b/>
        </w:rPr>
        <w:t>内容和要求：</w:t>
      </w:r>
    </w:p>
    <w:p>
      <w:pPr>
        <w:widowControl w:val="0"/>
        <w:topLinePunct/>
        <w:ind w:firstLine="480" w:firstLineChars="200"/>
        <w:jc w:val="both"/>
        <w:rPr>
          <w:color w:val="C00000"/>
        </w:rPr>
      </w:pPr>
      <w:r>
        <w:rPr>
          <w:rFonts w:hint="eastAsia"/>
          <w:color w:val="C00000"/>
        </w:rPr>
        <w:t>西安文理学院明德楼电梯更换</w:t>
      </w:r>
    </w:p>
    <w:p>
      <w:pPr>
        <w:widowControl w:val="0"/>
        <w:topLinePunct/>
        <w:ind w:firstLine="480" w:firstLineChars="200"/>
        <w:jc w:val="both"/>
      </w:pPr>
      <w:r>
        <w:rPr>
          <w:rFonts w:hint="eastAsia"/>
        </w:rPr>
        <w:t>详见第三章「谈判内容及要求」。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七、获取谈判文件的时间及方式：</w:t>
      </w:r>
    </w:p>
    <w:p>
      <w:pPr>
        <w:widowControl w:val="0"/>
        <w:topLinePunct/>
        <w:ind w:firstLine="480" w:firstLineChars="200"/>
        <w:jc w:val="both"/>
      </w:pPr>
      <w:r>
        <w:rPr>
          <w:rFonts w:hint="eastAsia"/>
        </w:rPr>
        <w:t>1．获取时间：自谈判公告发布之日起</w:t>
      </w:r>
      <w:r>
        <w:t>3</w:t>
      </w:r>
      <w:r>
        <w:rPr>
          <w:rFonts w:hint="eastAsia"/>
        </w:rPr>
        <w:t>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标公告/出让公告〗模块中预览全部可供参与的项目，然后选择有意向的项目点击〖我要投标〗，成功后切换到〖我的项目〗模块，依次点选〖项目流程</w:t>
      </w:r>
      <w:r>
        <w:t>·</w:t>
      </w:r>
      <w:r>
        <w:rPr>
          <w:rFonts w:hint="eastAsia"/>
        </w:rPr>
        <w:t>〉项目管理</w:t>
      </w:r>
      <w:r>
        <w:t>·</w:t>
      </w:r>
      <w:r>
        <w:rPr>
          <w:rFonts w:hint="eastAsia"/>
        </w:rPr>
        <w:t>〉交易文件下载〗免费获取本项目电子谈判文件（*.SXSZF）。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〉答疑文件下载〗获取更新后的电子谈判文件（*.SXSCF），使用旧版电子谈判文件制作的电子响应文件（*.SXSTF），系统将拒绝接收。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202</w:t>
      </w:r>
      <w:r>
        <w:rPr>
          <w:u w:val="single"/>
        </w:rPr>
        <w:t>5</w:t>
      </w:r>
      <w:r>
        <w:rPr>
          <w:rFonts w:hint="eastAsia"/>
        </w:rPr>
        <w:t>年</w:t>
      </w:r>
      <w:r>
        <w:rPr>
          <w:u w:val="single"/>
        </w:rPr>
        <w:t>6</w:t>
      </w:r>
      <w:r>
        <w:rPr>
          <w:rFonts w:hint="eastAsia"/>
        </w:rPr>
        <w:t>月</w:t>
      </w:r>
      <w:r>
        <w:rPr>
          <w:u w:val="single"/>
        </w:rPr>
        <w:t>20</w:t>
      </w:r>
      <w:r>
        <w:rPr>
          <w:rFonts w:hint="eastAsia"/>
        </w:rPr>
        <w:t>日10:30，逾期提交的，系统将拒绝接收。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九、谈判时间、地点及开标形式：</w:t>
      </w:r>
    </w:p>
    <w:p>
      <w:pPr>
        <w:widowControl w:val="0"/>
        <w:topLinePunct/>
        <w:ind w:firstLine="480" w:firstLineChars="200"/>
        <w:jc w:val="both"/>
      </w:pPr>
      <w:r>
        <w:t>1</w:t>
      </w:r>
      <w:r>
        <w:rPr>
          <w:rFonts w:hint="eastAsia"/>
        </w:rPr>
        <w:t>．谈判时间：</w:t>
      </w:r>
      <w:r>
        <w:rPr>
          <w:rFonts w:hint="eastAsia"/>
          <w:u w:val="single"/>
        </w:rPr>
        <w:t>202</w:t>
      </w:r>
      <w:r>
        <w:rPr>
          <w:u w:val="single"/>
        </w:rPr>
        <w:t>5</w:t>
      </w:r>
      <w:r>
        <w:rPr>
          <w:rFonts w:hint="eastAsia"/>
        </w:rPr>
        <w:t>年</w:t>
      </w:r>
      <w:r>
        <w:rPr>
          <w:u w:val="single"/>
        </w:rPr>
        <w:t>6</w:t>
      </w:r>
      <w:r>
        <w:rPr>
          <w:rFonts w:hint="eastAsia"/>
        </w:rPr>
        <w:t>月</w:t>
      </w:r>
      <w:r>
        <w:rPr>
          <w:u w:val="single"/>
        </w:rPr>
        <w:t>20</w:t>
      </w:r>
      <w:r>
        <w:rPr>
          <w:rFonts w:hint="eastAsia"/>
        </w:rPr>
        <w:t>日10:30</w:t>
      </w:r>
    </w:p>
    <w:p>
      <w:pPr>
        <w:widowControl w:val="0"/>
        <w:topLinePunct/>
        <w:ind w:firstLine="480" w:firstLineChars="200"/>
        <w:jc w:val="both"/>
      </w:pPr>
      <w:r>
        <w:rPr>
          <w:rFonts w:hint="eastAsia"/>
        </w:rPr>
        <w:t>2．谈判地点：</w:t>
      </w:r>
      <w:r>
        <w:t>本集采机构</w:t>
      </w:r>
      <w:r>
        <w:rPr>
          <w:rFonts w:hint="eastAsia"/>
        </w:rPr>
        <w:t>虚拟开标室</w:t>
      </w:r>
      <w:r>
        <w:rPr>
          <w:u w:val="single"/>
        </w:rPr>
        <w:t>6</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rPr>
        <w:t>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1．采购人：西安文理学院</w:t>
      </w:r>
    </w:p>
    <w:p>
      <w:pPr>
        <w:widowControl w:val="0"/>
        <w:topLinePunct/>
        <w:ind w:firstLine="480" w:firstLineChars="200"/>
        <w:jc w:val="both"/>
      </w:pPr>
      <w:r>
        <w:rPr>
          <w:rFonts w:hint="eastAsia"/>
        </w:rPr>
        <w:t>地址：西安市雁塔区</w:t>
      </w:r>
      <w:r>
        <w:t>科技六路</w:t>
      </w:r>
      <w:r>
        <w:rPr>
          <w:rFonts w:hint="eastAsia"/>
        </w:rPr>
        <w:t>1号</w:t>
      </w:r>
    </w:p>
    <w:p>
      <w:pPr>
        <w:widowControl w:val="0"/>
        <w:topLinePunct/>
        <w:ind w:firstLine="480" w:firstLineChars="200"/>
        <w:jc w:val="both"/>
      </w:pPr>
      <w:r>
        <w:rPr>
          <w:rFonts w:hint="eastAsia"/>
        </w:rPr>
        <w:t>联系人：柏老师</w:t>
      </w:r>
    </w:p>
    <w:p>
      <w:pPr>
        <w:widowControl w:val="0"/>
        <w:topLinePunct/>
        <w:ind w:firstLine="480" w:firstLineChars="200"/>
        <w:jc w:val="both"/>
      </w:pPr>
      <w:r>
        <w:rPr>
          <w:rFonts w:hint="eastAsia"/>
        </w:rPr>
        <w:t>联系电话：</w:t>
      </w:r>
      <w:r>
        <w:t>18991866957</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标书联系人及分机号：冯老师（80</w:t>
      </w:r>
      <w:r>
        <w:t>846</w:t>
      </w:r>
      <w:r>
        <w:rPr>
          <w:rFonts w:hint="eastAsia"/>
        </w:rPr>
        <w:t>）</w:t>
      </w:r>
    </w:p>
    <w:p>
      <w:pPr>
        <w:widowControl w:val="0"/>
        <w:topLinePunct/>
        <w:ind w:firstLine="480" w:firstLineChars="200"/>
        <w:jc w:val="both"/>
      </w:pPr>
      <w:r>
        <w:rPr>
          <w:rFonts w:hint="eastAsia"/>
        </w:rPr>
        <w:t>开标联系人及分机号：张老师（80</w:t>
      </w:r>
      <w:r>
        <w:t>809</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 w:name="_Toc445407251"/>
      <w:bookmarkStart w:id="2" w:name="_Toc97563329"/>
      <w:bookmarkStart w:id="3" w:name="_Toc498349068"/>
      <w:bookmarkStart w:id="4" w:name="_Toc534656409"/>
      <w:bookmarkStart w:id="5" w:name="_Toc199340281"/>
      <w:bookmarkStart w:id="6" w:name="_Toc533363235"/>
      <w:bookmarkStart w:id="7" w:name="_Toc534656414"/>
      <w:bookmarkStart w:id="8" w:name="_Toc533363262"/>
      <w:r>
        <w:t>第二章</w:t>
      </w:r>
      <w:r>
        <w:rPr>
          <w:rFonts w:hint="eastAsia"/>
        </w:rPr>
        <w:t>　</w:t>
      </w:r>
      <w:r>
        <w:t>供应商须知</w:t>
      </w:r>
      <w:bookmarkEnd w:id="1"/>
      <w:bookmarkEnd w:id="2"/>
      <w:bookmarkEnd w:id="3"/>
      <w:bookmarkEnd w:id="4"/>
      <w:bookmarkEnd w:id="5"/>
      <w:bookmarkEnd w:id="6"/>
      <w:bookmarkEnd w:id="7"/>
      <w:bookmarkEnd w:id="8"/>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西安文理学院明德楼电梯更换项目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XCZX2025-0057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ascii="Calibri" w:hAnsi="宋体" w:eastAsia="宋体" w:cstheme="minorHAnsi"/>
                <w:sz w:val="21"/>
              </w:rPr>
              <w:t>285000</w:t>
            </w:r>
            <w:r>
              <w:rPr>
                <w:rFonts w:hint="eastAsia" w:ascii="Calibri" w:hAnsi="宋体" w:eastAsia="宋体" w:cstheme="minorHAnsi"/>
                <w:sz w:val="21"/>
              </w:rPr>
              <w:t>元（最高限价</w:t>
            </w:r>
            <w:r>
              <w:rPr>
                <w:rFonts w:ascii="Calibri" w:hAnsi="宋体" w:eastAsia="宋体" w:cstheme="minorHAnsi"/>
                <w:sz w:val="21"/>
              </w:rPr>
              <w:t>285000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38588407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44974322"/>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关于</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谈判保证金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谈判时，供应商无需提供纸质响应文件；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见第一章「谈判邀请函」中的联系方式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见第一章「谈判邀请函」中的联系方式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工业（包括采矿业，制造业，电力、热力、燃气及水生产和供应业）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098448959"/>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47629988"/>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组织</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集合时间：</w:t>
            </w: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2025年</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6</w:t>
            </w: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月</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17</w:t>
            </w: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日 10:30</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集合地点：</w:t>
            </w: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西安市雁塔区科技六路1号</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联系人：</w:t>
            </w: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柏老师</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联系电话：</w:t>
            </w: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18991866957</w:t>
            </w:r>
            <w:r>
              <w:rPr>
                <w:rFonts w:ascii="Calibri" w:hAnsi="宋体" w:eastAsia="宋体" w:cstheme="minorHAnsi"/>
                <w:sz w:val="21"/>
              </w:rPr>
              <w:t xml:space="preserve"> </w:t>
            </w:r>
          </w:p>
        </w:tc>
      </w:tr>
    </w:tbl>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下载电子谈判</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详见第一章「获取谈判文件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谈判程序</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谈判程序</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谈判</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按照西安市财政局《关于促进政府采购公平竞争优化营商环境的通知》第三条规定，供应商参与西安市政府采购活动时，免交谈判保证金。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划分采购包，还应写明所投采购包名称）、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保函申请人须与供应商名称一致。若供应商为联合体形式，原则上可由联合体任意一方或多方作为保函申请人，然而对于电子保函，目前只能由下载电子谈判文件的一方作为保函申请人。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财政部门审核同意购买进口产品的，谈判文件将明确载明“允许</w:t>
      </w:r>
      <w:r>
        <w:rPr>
          <w:rFonts w:cstheme="minorHAnsi"/>
        </w:rPr>
        <w:t>进口产品参与</w:t>
      </w:r>
      <w:r>
        <w:rPr>
          <w:rFonts w:hint="eastAsia" w:cstheme="minorHAnsi"/>
        </w:rPr>
        <w:t>”，此时满足谈判文件要求的国产产品仍然可以参与竞争；否则，视为拒绝进口产品参与，供应商以进口产品参与谈判时，将作无效响应处理。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（工程项目</w:t>
      </w:r>
      <w:r>
        <w:rPr>
          <w:rFonts w:cstheme="minorHAnsi"/>
        </w:rPr>
        <w:t>为</w:t>
      </w:r>
      <w:r>
        <w:rPr>
          <w:rFonts w:hint="eastAsia" w:cstheme="minorHAnsi"/>
        </w:rPr>
        <w:t>3%-5%）</w:t>
      </w:r>
      <w:r>
        <w:rPr>
          <w:rFonts w:cstheme="minorHAnsi"/>
        </w:rPr>
        <w:t>，用扣除后的价格参加评审。未按要求提供《中小企业声明函》\《监狱企业证明函》\《残疾人福利性单位声明函》的，不能享受谈判文件规定的价格扣除，但不影响响应文件的有效性。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hint="eastAsia" w:cstheme="minorBidi"/>
        </w:rPr>
        <w:t>1．提供相同品牌产品的不同供应商参加同一合同项下谈判的，以其中通过资格审查、符合性审查且谈判报价最低的供应商获得成交候选人推荐资格；最终报价相同的，由采购人或者采购人委托谈判小组按照谈判文件规定的方式确定一个供应商获得成交候选人推荐资格，谈判文件未规定的采取随机抽取方式确定，其他响应无效。</w:t>
      </w:r>
    </w:p>
    <w:p>
      <w:pPr>
        <w:wordWrap w:val="0"/>
        <w:ind w:firstLine="480" w:firstLineChars="200"/>
        <w:jc w:val="both"/>
        <w:rPr>
          <w:rFonts w:cstheme="minorBidi"/>
        </w:rPr>
      </w:pPr>
      <w:r>
        <w:rPr>
          <w:rFonts w:cstheme="minorBidi"/>
        </w:rPr>
        <w:t>2</w:t>
      </w:r>
      <w:r>
        <w:rPr>
          <w:rFonts w:hint="eastAsia" w:cstheme="minorBid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谈判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谈判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7．联合体出现下列情形之一的，响</w:t>
      </w:r>
      <w:r>
        <w:rPr>
          <w:rFonts w:hint="eastAsia"/>
          <w:w w:val="1"/>
        </w:rPr>
        <w:t>　</w:t>
      </w:r>
      <w:r>
        <w:rPr>
          <w:rFonts w:hint="eastAsia"/>
        </w:rPr>
        <w:t>应无效：</w:t>
      </w:r>
    </w:p>
    <w:p>
      <w:pPr>
        <w:ind w:firstLine="480" w:firstLineChars="200"/>
        <w:jc w:val="both"/>
      </w:pPr>
      <w:r>
        <w:rPr>
          <w:rFonts w:hint="eastAsia"/>
        </w:rPr>
        <w:t>（1）联合体没有提交有效的联合协议的；</w:t>
      </w:r>
    </w:p>
    <w:p>
      <w:pPr>
        <w:ind w:firstLine="480" w:firstLineChars="200"/>
        <w:jc w:val="both"/>
      </w:pPr>
      <w:r>
        <w:rPr>
          <w:rFonts w:hint="eastAsia"/>
        </w:rPr>
        <w:t>（2）进行资格预审的项目，资格预审后联合体增减、更换成员的；</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谈判文件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三、谈判文件</w:t>
      </w:r>
    </w:p>
    <w:p>
      <w:pPr>
        <w:pStyle w:val="4"/>
        <w:ind w:firstLine="482"/>
      </w:pPr>
      <w:r>
        <w:t>（一）谈判文件</w:t>
      </w:r>
      <w:r>
        <w:rPr>
          <w:rFonts w:hint="eastAsia"/>
        </w:rPr>
        <w:t>的解释权</w:t>
      </w:r>
    </w:p>
    <w:p>
      <w:pPr>
        <w:ind w:firstLine="480" w:firstLineChars="200"/>
        <w:jc w:val="both"/>
        <w:rPr>
          <w:rFonts w:cstheme="minorHAnsi"/>
        </w:rPr>
      </w:pPr>
      <w:r>
        <w:rPr>
          <w:rFonts w:cstheme="minorHAnsi"/>
        </w:rPr>
        <w:t>本项目谈判文件的解释权</w:t>
      </w:r>
      <w:r>
        <w:rPr>
          <w:rFonts w:hint="eastAsia" w:cstheme="minorHAnsi"/>
        </w:rPr>
        <w:t>归采购代理机构，谈判小组成员应根据政府采购法律法规和</w:t>
      </w:r>
      <w:r>
        <w:rPr>
          <w:rFonts w:cstheme="minorHAnsi"/>
        </w:rPr>
        <w:t>谈判文件</w:t>
      </w:r>
      <w:r>
        <w:rPr>
          <w:rFonts w:hint="eastAsia" w:cstheme="minorHAnsi"/>
        </w:rPr>
        <w:t>所载明的评审方法、标准进行评审。</w:t>
      </w:r>
    </w:p>
    <w:p>
      <w:pPr>
        <w:pStyle w:val="4"/>
        <w:ind w:firstLine="482"/>
      </w:pPr>
      <w:r>
        <w:t>（二）谈判文件主要内容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谈判邀请函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谈判内容及要求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hint="eastAsia"/>
        </w:rPr>
        <w:t>合同草案条款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ind w:firstLine="482"/>
      </w:pPr>
      <w:r>
        <w:t>（三）谈判文件的检查及阅读</w:t>
      </w:r>
    </w:p>
    <w:p>
      <w:pPr>
        <w:ind w:firstLine="480" w:firstLineChars="200"/>
        <w:jc w:val="both"/>
        <w:rPr>
          <w:rFonts w:cstheme="minorHAnsi"/>
        </w:rPr>
      </w:pPr>
      <w:r>
        <w:rPr>
          <w:rFonts w:cstheme="minorHAnsi"/>
        </w:rPr>
        <w:t>供应商应认真阅读和充分理解谈判文件中所有的事项、格式条款和规范要求，在响应文件中对谈判文件做出全面响</w:t>
      </w:r>
      <w:r>
        <w:rPr>
          <w:rFonts w:cstheme="minorHAnsi"/>
          <w:w w:val="1"/>
        </w:rPr>
        <w:t xml:space="preserve"> </w:t>
      </w:r>
      <w:r>
        <w:rPr>
          <w:rFonts w:cstheme="minorHAnsi"/>
        </w:rPr>
        <w:t>应，并按谈判文件的要求提交全部资料。</w:t>
      </w:r>
    </w:p>
    <w:p>
      <w:pPr>
        <w:ind w:firstLine="480" w:firstLineChars="200"/>
        <w:jc w:val="both"/>
        <w:rPr>
          <w:rFonts w:cstheme="minorHAnsi"/>
        </w:rPr>
      </w:pPr>
      <w:r>
        <w:rPr>
          <w:rFonts w:cstheme="minorHAnsi"/>
        </w:rPr>
        <w:t>项目废标后重新组织谈判的，采购代理机构将重新编制、发布新的谈判文件，供应商应按新版谈判文件重新编制响应文件。原谈判文件及响应文件失效。</w:t>
      </w:r>
    </w:p>
    <w:p>
      <w:pPr>
        <w:pStyle w:val="4"/>
        <w:ind w:firstLine="482"/>
      </w:pPr>
      <w:r>
        <w:t>（四）谈判文件的修改、澄清</w:t>
      </w:r>
    </w:p>
    <w:p>
      <w:pPr>
        <w:ind w:firstLine="480" w:firstLineChars="200"/>
        <w:jc w:val="both"/>
        <w:rPr>
          <w:rFonts w:cstheme="minorHAnsi"/>
        </w:rPr>
      </w:pPr>
      <w:r>
        <w:rPr>
          <w:rFonts w:hint="eastAsia" w:cstheme="minorHAnsi"/>
        </w:rPr>
        <w:t>1．提交首次响应文件截止之日前，采购人或采购代理机构可能对已发出的谈判文件进行澄清或者修改，</w:t>
      </w:r>
      <w:r>
        <w:rPr>
          <w:rFonts w:cstheme="minorHAnsi"/>
        </w:rPr>
        <w:t>澄清或者修改的内容为</w:t>
      </w:r>
      <w:r>
        <w:rPr>
          <w:rFonts w:hint="eastAsia" w:cstheme="minorHAnsi"/>
        </w:rPr>
        <w:t>谈判文件</w:t>
      </w:r>
      <w:r>
        <w:rPr>
          <w:rFonts w:cstheme="minorHAnsi"/>
        </w:rPr>
        <w:t>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答疑文件（*.SXSCF，即更新后的电子谈判文件）。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〉答疑文件下载〗获取更新后的电子谈判文件（*.SXSCF），使用旧版电子谈判文件制作的电子响应文件（*.SXSTF），系统将拒绝接收。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pPr>
      <w:r>
        <w:t>四、响应文件</w:t>
      </w:r>
    </w:p>
    <w:p>
      <w:pPr>
        <w:pStyle w:val="4"/>
        <w:ind w:firstLine="482"/>
      </w:pPr>
      <w:r>
        <w:rPr>
          <w:rFonts w:hint="eastAsia"/>
        </w:rPr>
        <w:t>（一）响应文件</w:t>
      </w:r>
      <w:r>
        <w:t>的式样</w:t>
      </w:r>
    </w:p>
    <w:p>
      <w:pPr>
        <w:pStyle w:val="81"/>
        <w:ind w:firstLine="480"/>
      </w:pPr>
      <w:r>
        <w:t>1</w:t>
      </w:r>
      <w:r>
        <w:rPr>
          <w:rFonts w:hint="eastAsia"/>
          <w:color w:val="auto"/>
        </w:rPr>
        <w:t>．</w:t>
      </w:r>
      <w:r>
        <w:rPr>
          <w:rFonts w:hint="eastAsia"/>
        </w:rPr>
        <w:t>组成</w:t>
      </w:r>
      <w:r>
        <w:t>及格式</w:t>
      </w:r>
    </w:p>
    <w:p>
      <w:pPr>
        <w:pStyle w:val="81"/>
        <w:ind w:firstLine="480"/>
      </w:pPr>
      <w:r>
        <w:t>供应商依照谈判文件</w:t>
      </w:r>
      <w:r>
        <w:rPr>
          <w:color w:val="C00000"/>
        </w:rPr>
        <w:t>第五章《响应文件构成及格式》</w:t>
      </w:r>
      <w:r>
        <w:t>给定形式进行编制响应</w:t>
      </w:r>
      <w:r>
        <w:rPr>
          <w:rFonts w:hint="eastAsia"/>
        </w:rPr>
        <w:t>文件</w:t>
      </w:r>
      <w:r>
        <w:t>。项目划分采购包的，应按所投采购包分别准备响应文件。</w:t>
      </w:r>
    </w:p>
    <w:p>
      <w:pPr>
        <w:pStyle w:val="81"/>
        <w:ind w:firstLine="480"/>
      </w:pPr>
      <w:r>
        <w:rPr>
          <w:rFonts w:hint="eastAsia"/>
        </w:rPr>
        <w:t>2</w:t>
      </w:r>
      <w:r>
        <w:rPr>
          <w:rFonts w:hint="eastAsia"/>
          <w:color w:val="auto"/>
        </w:rPr>
        <w:t>．</w:t>
      </w:r>
      <w:r>
        <w:rPr>
          <w:rFonts w:hint="eastAsia"/>
        </w:rPr>
        <w:t>语言</w:t>
      </w:r>
    </w:p>
    <w:p>
      <w:pPr>
        <w:pStyle w:val="81"/>
        <w:ind w:firstLine="480"/>
      </w:pPr>
      <w:r>
        <w:rPr>
          <w:rFonts w:hint="eastAsia"/>
        </w:rPr>
        <w:t>谈判活动的所有文件、资料、函电文字均使用简体中文，确需提交用其他语言形成的资料，必须翻译成简体中文，如有差异，以简体中文为准。</w:t>
      </w:r>
    </w:p>
    <w:p>
      <w:pPr>
        <w:pStyle w:val="81"/>
        <w:ind w:firstLine="480"/>
      </w:pPr>
      <w:r>
        <w:rPr>
          <w:rFonts w:hint="eastAsia"/>
        </w:rPr>
        <w:t>3</w:t>
      </w:r>
      <w:r>
        <w:rPr>
          <w:rFonts w:hint="eastAsia"/>
          <w:color w:val="auto"/>
        </w:rPr>
        <w:t>．</w:t>
      </w:r>
      <w:r>
        <w:t>计量单位</w:t>
      </w:r>
    </w:p>
    <w:p>
      <w:pPr>
        <w:pStyle w:val="81"/>
        <w:ind w:firstLine="480"/>
      </w:pPr>
      <w:r>
        <w:rPr>
          <w:rFonts w:hint="eastAsia"/>
        </w:rPr>
        <w:t>响应文件的计量单位应使用中华人民共和国法定计量单位，但谈判文件另有规定的除外。</w:t>
      </w:r>
    </w:p>
    <w:p>
      <w:pPr>
        <w:pStyle w:val="4"/>
        <w:ind w:firstLine="482"/>
      </w:pPr>
      <w:r>
        <w:rPr>
          <w:rFonts w:hint="eastAsia"/>
        </w:rPr>
        <w:t>（二）响应文件</w:t>
      </w:r>
      <w:r>
        <w:t>的有效期</w:t>
      </w:r>
    </w:p>
    <w:p>
      <w:pPr>
        <w:pStyle w:val="81"/>
        <w:ind w:firstLine="480"/>
      </w:pPr>
      <w:r>
        <w:rPr>
          <w:rFonts w:hint="eastAsia"/>
        </w:rPr>
        <w:t>响应文件有效期为</w:t>
      </w:r>
      <w:r>
        <w:rPr>
          <w:rFonts w:hint="eastAsia"/>
          <w:color w:val="C00000"/>
        </w:rPr>
        <w:t>自谈判之日起不少于</w:t>
      </w:r>
      <w:r>
        <w:rPr>
          <w:color w:val="C00000"/>
        </w:rPr>
        <w:t>90个日历日</w:t>
      </w:r>
      <w:r>
        <w:t>。如成交，延长至合同执行完毕时止。</w:t>
      </w:r>
    </w:p>
    <w:p>
      <w:pPr>
        <w:pStyle w:val="4"/>
        <w:ind w:firstLine="482"/>
      </w:pPr>
      <w:r>
        <w:rPr>
          <w:rFonts w:hint="eastAsia"/>
        </w:rPr>
        <w:t>（三）谈判</w:t>
      </w:r>
      <w:r>
        <w:t>报价</w:t>
      </w:r>
    </w:p>
    <w:p>
      <w:pPr>
        <w:pStyle w:val="81"/>
        <w:ind w:firstLine="480"/>
      </w:pPr>
      <w:r>
        <w:rPr>
          <w:rFonts w:hint="eastAsia"/>
        </w:rPr>
        <w:t>谈判报价是供应商响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1"/>
        <w:ind w:firstLine="480"/>
      </w:pPr>
      <w:r>
        <w:rPr>
          <w:rFonts w:hint="eastAsia"/>
        </w:rPr>
        <w:t>1</w:t>
      </w:r>
      <w:r>
        <w:rPr>
          <w:rFonts w:hint="eastAsia"/>
          <w:color w:val="auto"/>
        </w:rPr>
        <w:t>．</w:t>
      </w:r>
      <w:r>
        <w:rPr>
          <w:rFonts w:hint="eastAsia"/>
        </w:rPr>
        <w:t>供应商在报价时应充分考虑所有可能发生的费用，谈判文件未列明，而供应商认为应当计取的费用均应列入报价中。报价时不论是否计取，采购人均按已计取对待。</w:t>
      </w:r>
    </w:p>
    <w:p>
      <w:pPr>
        <w:pStyle w:val="81"/>
        <w:ind w:firstLine="480"/>
      </w:pPr>
      <w:r>
        <w:rPr>
          <w:rFonts w:hint="eastAsia"/>
        </w:rPr>
        <w:t>2</w:t>
      </w:r>
      <w:r>
        <w:rPr>
          <w:rFonts w:hint="eastAsia"/>
          <w:color w:val="auto"/>
        </w:rPr>
        <w:t>．</w:t>
      </w:r>
      <w:r>
        <w:rPr>
          <w:rFonts w:hint="eastAsia"/>
        </w:rPr>
        <w:t>谈判项目实行多轮报价（一般情况下为两次），每轮报价只能提交唯一报价，任何有选择的报价都将不予接受，其响应文件视为无效文件。</w:t>
      </w:r>
    </w:p>
    <w:p>
      <w:pPr>
        <w:pStyle w:val="81"/>
        <w:ind w:firstLine="480"/>
      </w:pPr>
      <w:r>
        <w:t>（</w:t>
      </w:r>
      <w:r>
        <w:rPr>
          <w:rFonts w:hint="eastAsia"/>
        </w:rPr>
        <w:t>1</w:t>
      </w:r>
      <w:r>
        <w:t>）第一次报价：</w:t>
      </w:r>
      <w:r>
        <w:rPr>
          <w:rFonts w:hint="eastAsia"/>
        </w:rPr>
        <w:t>供应商应按照响应文件「第一次谈判报价表」中的相关要求填写分类报价及其他需要响应的内容。</w:t>
      </w:r>
    </w:p>
    <w:p>
      <w:pPr>
        <w:pStyle w:val="81"/>
        <w:ind w:firstLine="480"/>
      </w:pPr>
      <w:r>
        <w:t>（</w:t>
      </w:r>
      <w:r>
        <w:rPr>
          <w:rFonts w:hint="eastAsia"/>
        </w:rPr>
        <w:t>2</w:t>
      </w:r>
      <w:r>
        <w:t>）最后报价：</w:t>
      </w:r>
      <w:r>
        <w:rPr>
          <w:rFonts w:hint="eastAsia"/>
        </w:rPr>
        <w:t>谈判结束后，所有实质性响应谈判文件要求的供应商应当在谈判小组给定的时限内提交最后报价。最后报价也是响应文件的有效组成部分。</w:t>
      </w:r>
    </w:p>
    <w:p>
      <w:pPr>
        <w:pStyle w:val="81"/>
        <w:ind w:firstLine="480"/>
      </w:pPr>
      <w:r>
        <w:rPr>
          <w:rFonts w:hint="eastAsia"/>
        </w:rPr>
        <w:t>3</w:t>
      </w:r>
      <w:r>
        <w:rPr>
          <w:rFonts w:hint="eastAsia"/>
          <w:color w:val="auto"/>
        </w:rPr>
        <w:t>．谈判</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81"/>
        <w:ind w:firstLine="480"/>
      </w:pPr>
      <w:r>
        <w:rPr>
          <w:color w:val="auto"/>
        </w:rPr>
        <w:t>4</w:t>
      </w:r>
      <w:r>
        <w:rPr>
          <w:rFonts w:hint="eastAsia"/>
          <w:color w:val="auto"/>
        </w:rPr>
        <w:t>．</w:t>
      </w:r>
      <w:r>
        <w:rPr>
          <w:rFonts w:hint="eastAsia"/>
        </w:rPr>
        <w:t>因供应商对谈判文件理解不透、误解、疏漏或对市场行情了解不清造成的后果和风险，均由供应商自己负责。</w:t>
      </w:r>
    </w:p>
    <w:p>
      <w:pPr>
        <w:pStyle w:val="4"/>
        <w:ind w:firstLine="482"/>
      </w:pPr>
      <w:r>
        <w:rPr>
          <w:rFonts w:hint="eastAsia"/>
        </w:rPr>
        <w:t>（四）电子响应文件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电子谈判文件的备份工作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电子谈判文件</w:t>
      </w:r>
      <w:r>
        <w:rPr>
          <w:rFonts w:hint="eastAsia"/>
        </w:rPr>
        <w:t>（*.SXSZF）或</w:t>
      </w:r>
      <w:r>
        <w:t>答疑文件</w:t>
      </w:r>
      <w:r>
        <w:rPr>
          <w:rFonts w:hint="eastAsia"/>
        </w:rPr>
        <w:t>（*.SXSCF，</w:t>
      </w:r>
      <w:r>
        <w:t>即</w:t>
      </w:r>
      <w:r>
        <w:rPr>
          <w:rFonts w:hint="eastAsia"/>
        </w:rPr>
        <w:t>更新</w:t>
      </w:r>
      <w:r>
        <w:t>后的</w:t>
      </w:r>
      <w:r>
        <w:rPr>
          <w:rFonts w:hint="eastAsia"/>
        </w:rPr>
        <w:t>电子谈判文件）导入</w:t>
      </w:r>
      <w:r>
        <w:t>制作</w:t>
      </w:r>
      <w:r>
        <w:rPr>
          <w:rFonts w:hint="eastAsia"/>
        </w:rPr>
        <w:t>软件，最后</w:t>
      </w:r>
      <w:r>
        <w:t>按照章节分别编制响应</w:t>
      </w:r>
      <w:r>
        <w:rPr>
          <w:rFonts w:hint="eastAsia"/>
        </w:rPr>
        <w:t>文件</w:t>
      </w:r>
      <w:r>
        <w:t>各个部分。</w:t>
      </w:r>
    </w:p>
    <w:p>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〉答疑文件下载〗获取更新后的电子谈判文件（*.SXSCF）。</w:t>
      </w:r>
    </w:p>
    <w:p>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w:t>
      </w:r>
      <w:r>
        <w:rPr>
          <w:rFonts w:hint="eastAsia"/>
        </w:rPr>
        <w:t>电子化政府采购系统技术支持</w:t>
      </w:r>
      <w:r>
        <w:t>。</w:t>
      </w:r>
    </w:p>
    <w:p>
      <w:pPr>
        <w:pStyle w:val="81"/>
        <w:ind w:firstLine="480"/>
      </w:pPr>
      <w:r>
        <w:rPr>
          <w:rFonts w:hint="eastAsia"/>
        </w:rPr>
        <w:t>4．在</w:t>
      </w:r>
      <w:r>
        <w:t>生成电子响应文件时，需要使用CA锁对响应</w:t>
      </w:r>
      <w:r>
        <w:rPr>
          <w:rFonts w:hint="eastAsia"/>
        </w:rPr>
        <w:t>文件</w:t>
      </w:r>
      <w:r>
        <w:t>进行加密（</w:t>
      </w:r>
      <w:r>
        <w:rPr>
          <w:color w:val="00B0F0"/>
          <w:em w:val="dot"/>
        </w:rPr>
        <w:t>开启</w:t>
      </w:r>
      <w:r>
        <w:rPr>
          <w:color w:val="C00000"/>
        </w:rPr>
        <w:t>时还须使用同一把CA锁进行解密</w:t>
      </w:r>
      <w:r>
        <w:t>）。</w:t>
      </w:r>
    </w:p>
    <w:p>
      <w:pPr>
        <w:pStyle w:val="4"/>
        <w:ind w:firstLine="482"/>
      </w:pPr>
      <w:r>
        <w:rPr>
          <w:rFonts w:hint="eastAsia"/>
        </w:rPr>
        <w:t>（五）电子响应文件</w:t>
      </w:r>
      <w:r>
        <w:t>的提交</w:t>
      </w:r>
    </w:p>
    <w:p>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81"/>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．使用旧版电子谈判文件制作电子响应文件的。</w:t>
      </w:r>
    </w:p>
    <w:p>
      <w:pPr>
        <w:pStyle w:val="4"/>
        <w:ind w:firstLine="482"/>
      </w:pPr>
      <w:r>
        <w:t>（</w:t>
      </w:r>
      <w:r>
        <w:rPr>
          <w:rFonts w:hint="eastAsia"/>
        </w:rPr>
        <w:t>六</w:t>
      </w:r>
      <w:r>
        <w:t>）电子响应文件的撤回、补充及修改</w:t>
      </w:r>
    </w:p>
    <w:p>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pPr>
        <w:pStyle w:val="4"/>
        <w:ind w:firstLine="482"/>
      </w:pPr>
      <w:r>
        <w:rPr>
          <w:rFonts w:hint="eastAsia"/>
        </w:rPr>
        <w:t>（七）关于电子投</w:t>
      </w:r>
      <w:r>
        <w:rPr>
          <w:rFonts w:hint="eastAsia"/>
          <w:w w:val="1"/>
        </w:rPr>
        <w:t>　</w:t>
      </w:r>
      <w:r>
        <w:rPr>
          <w:rFonts w:hint="eastAsia"/>
        </w:rPr>
        <w:t>标文件的雷同性分析</w:t>
      </w:r>
    </w:p>
    <w:p>
      <w:pPr>
        <w:pStyle w:val="81"/>
        <w:ind w:firstLine="480"/>
      </w:pPr>
      <w:r>
        <w:rPr>
          <w:rFonts w:hint="eastAsia"/>
        </w:rPr>
        <w:t>根据陕西省公共资源交易中心2021年7月22日印发的《关于在政府采购交易系统中开通标书雷同性分析功能的通知》，在符合性审查环节，将由竞争性谈判小组在评标系统中对供应商的电子投</w:t>
      </w:r>
      <w:r>
        <w:rPr>
          <w:rFonts w:hint="eastAsia"/>
          <w:w w:val="1"/>
        </w:rPr>
        <w:t>　</w:t>
      </w:r>
      <w:r>
        <w:rPr>
          <w:rFonts w:hint="eastAsia"/>
        </w:rPr>
        <w:t>标文件进行雷同性分析。</w:t>
      </w:r>
    </w:p>
    <w:p>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标文件制作软件时，使用同一源工程文件，该情形建议由竞争性谈判小组结合项目情况综合判定。</w:t>
      </w:r>
    </w:p>
    <w:p>
      <w:pPr>
        <w:pStyle w:val="4"/>
        <w:ind w:firstLine="482"/>
      </w:pPr>
      <w:r>
        <w:rPr>
          <w:rFonts w:hint="eastAsia"/>
        </w:rPr>
        <w:t>（八）响应文件出现下列情形之一的，视为供应商串通投</w:t>
      </w:r>
      <w:r>
        <w:rPr>
          <w:rFonts w:hint="eastAsia"/>
          <w:w w:val="1"/>
        </w:rPr>
        <w:t>　</w:t>
      </w:r>
      <w:r>
        <w:rPr>
          <w:rFonts w:hint="eastAsia"/>
        </w:rPr>
        <w:t>标，其响应无效：</w:t>
      </w:r>
    </w:p>
    <w:p>
      <w:pPr>
        <w:pStyle w:val="81"/>
        <w:ind w:firstLine="480"/>
      </w:pPr>
      <w:r>
        <w:rPr>
          <w:rFonts w:hint="eastAsia"/>
        </w:rPr>
        <w:t>1．不同供应商的响应文件由同一单位或者个人编制的；</w:t>
      </w:r>
    </w:p>
    <w:p>
      <w:pPr>
        <w:pStyle w:val="81"/>
        <w:ind w:firstLine="480"/>
      </w:pPr>
      <w:r>
        <w:rPr>
          <w:rFonts w:hint="eastAsia"/>
        </w:rPr>
        <w:t>2．不同供应商委托同一单位或者个人办理谈判事宜的；</w:t>
      </w:r>
    </w:p>
    <w:p>
      <w:pPr>
        <w:pStyle w:val="81"/>
        <w:ind w:firstLine="480"/>
      </w:pPr>
      <w:r>
        <w:rPr>
          <w:rFonts w:hint="eastAsia"/>
        </w:rPr>
        <w:t>3．不同供应商的响应文件载明的项目管理成员或者联系人员为同一人的；</w:t>
      </w:r>
    </w:p>
    <w:p>
      <w:pPr>
        <w:pStyle w:val="81"/>
        <w:ind w:firstLine="480"/>
      </w:pPr>
      <w:r>
        <w:rPr>
          <w:rFonts w:hint="eastAsia"/>
        </w:rPr>
        <w:t>4．不同供应商的响应文件异常一致或者报价呈规律性差异的；</w:t>
      </w:r>
    </w:p>
    <w:p>
      <w:pPr>
        <w:pStyle w:val="81"/>
        <w:ind w:firstLine="480"/>
      </w:pPr>
      <w:r>
        <w:rPr>
          <w:rFonts w:hint="eastAsia"/>
        </w:rPr>
        <w:t>5．不同供应商的响应文件相互混编或混装的。</w:t>
      </w:r>
    </w:p>
    <w:p>
      <w:pPr>
        <w:pStyle w:val="3"/>
      </w:pPr>
      <w:r>
        <w:rPr>
          <w:rFonts w:hint="eastAsia"/>
        </w:rPr>
        <w:t>五</w:t>
      </w:r>
      <w:r>
        <w:t>、谈判程序</w:t>
      </w:r>
    </w:p>
    <w:p>
      <w:pPr>
        <w:ind w:firstLine="480" w:firstLineChars="200"/>
      </w:pPr>
      <w:r>
        <w:rPr>
          <w:rFonts w:hint="eastAsia"/>
        </w:rPr>
        <w:t>谈判工作由采购代理机构组织实施，整个过程受同级政府采购监管部门的监督、管理。</w:t>
      </w:r>
    </w:p>
    <w:p>
      <w:pPr>
        <w:pStyle w:val="4"/>
        <w:ind w:firstLine="482"/>
      </w:pPr>
      <w:r>
        <w:rPr>
          <w:rFonts w:hint="eastAsia"/>
        </w:rPr>
        <w:t>（一）谈判前准备工作</w:t>
      </w:r>
    </w:p>
    <w:p>
      <w:pPr>
        <w:pStyle w:val="81"/>
        <w:ind w:firstLine="480"/>
        <w:rPr>
          <w:color w:val="auto"/>
        </w:rPr>
      </w:pPr>
      <w:r>
        <w:rPr>
          <w:rFonts w:asciiTheme="minorHAnsi" w:hAnsiTheme="minorHAnsi" w:eastAsiaTheme="minorEastAsia"/>
        </w:rPr>
        <w:t>1．</w:t>
      </w:r>
      <w:r>
        <w:rPr>
          <w:rFonts w:hint="eastAsia"/>
          <w:color w:val="auto"/>
        </w:rPr>
        <w:t>提交首次响应文件截止时间前，请各供应商务必确认已正常提交了响应文件。</w:t>
      </w:r>
    </w:p>
    <w:p>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1"/>
        <w:ind w:firstLine="480"/>
        <w:rPr>
          <w:rStyle w:val="31"/>
          <w:color w:val="0070C0"/>
        </w:rPr>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81"/>
        <w:ind w:firstLine="480"/>
        <w:rPr>
          <w:rFonts w:asciiTheme="minorHAnsi" w:hAnsiTheme="minorHAnsi" w:eastAsiaTheme="minorEastAsia"/>
          <w:color w:val="auto"/>
        </w:rPr>
      </w:pPr>
      <w:r>
        <w:rPr>
          <w:rStyle w:val="31"/>
          <w:color w:val="auto"/>
          <w:u w:val="none"/>
        </w:rPr>
        <w:t>（</w:t>
      </w:r>
      <w:r>
        <w:rPr>
          <w:rStyle w:val="31"/>
          <w:rFonts w:hint="eastAsia"/>
          <w:color w:val="auto"/>
          <w:u w:val="none"/>
        </w:rPr>
        <w:t>3</w:t>
      </w:r>
      <w:r>
        <w:rPr>
          <w:rStyle w:val="31"/>
          <w:color w:val="auto"/>
          <w:u w:val="none"/>
        </w:rPr>
        <w:t>）突发状况的处置：整个谈判期间，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pPr>
        <w:ind w:firstLine="480" w:firstLineChars="200"/>
        <w:jc w:val="both"/>
      </w:pPr>
      <w:r>
        <w:t>3</w:t>
      </w:r>
      <w:r>
        <w:rPr>
          <w:rFonts w:hint="eastAsia"/>
        </w:rPr>
        <w:t>．解密响应文件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不同、或使用旧版谈判文件编制响应文件</w:t>
      </w:r>
      <w:r>
        <w:rPr>
          <w:color w:val="auto"/>
        </w:rPr>
        <w:t>等情形；</w:t>
      </w:r>
    </w:p>
    <w:p>
      <w:pPr>
        <w:pStyle w:val="81"/>
        <w:ind w:firstLine="480"/>
        <w:rPr>
          <w:color w:val="auto"/>
        </w:rPr>
      </w:pPr>
      <w:r>
        <w:rPr>
          <w:rFonts w:hint="eastAsia"/>
          <w:color w:val="auto"/>
        </w:rPr>
        <w:t>（3）上传</w:t>
      </w:r>
      <w:r>
        <w:rPr>
          <w:color w:val="auto"/>
        </w:rPr>
        <w:t>的电子响应文件无法正常打开的；</w:t>
      </w:r>
    </w:p>
    <w:p>
      <w:pPr>
        <w:pStyle w:val="81"/>
        <w:ind w:firstLine="480"/>
        <w:rPr>
          <w:color w:val="auto"/>
        </w:rPr>
      </w:pPr>
      <w:r>
        <w:rPr>
          <w:rFonts w:hint="eastAsia"/>
          <w:color w:val="auto"/>
        </w:rPr>
        <w:t>（4）</w:t>
      </w:r>
      <w:r>
        <w:rPr>
          <w:color w:val="auto"/>
        </w:rPr>
        <w:t>政府采购法律法规规定的其他无效情形。</w:t>
      </w:r>
    </w:p>
    <w:p>
      <w:pPr>
        <w:pStyle w:val="81"/>
        <w:ind w:firstLine="480"/>
      </w:pPr>
      <w:r>
        <w:rPr>
          <w:rFonts w:hint="eastAsia"/>
          <w:color w:val="C00000"/>
        </w:rPr>
        <w:t>按照《政府采购非招标采购方式管理办法》（财政部74号令）相关规定，对供应商的各轮谈判报价均不予公开。</w:t>
      </w:r>
    </w:p>
    <w:p>
      <w:pPr>
        <w:ind w:firstLine="480" w:firstLineChars="200"/>
        <w:jc w:val="both"/>
      </w:pPr>
      <w:r>
        <w:t>4</w:t>
      </w:r>
      <w:r>
        <w:rPr>
          <w:rFonts w:hint="eastAsia"/>
        </w:rPr>
        <w:t>．进入评审环节：评审期间谈判小组可能会要求供应商对响应文件做出澄清和最终报价。供应商请保持在位，因供应商擅自离席造成的不利后果，由供应商自行承担。</w:t>
      </w:r>
    </w:p>
    <w:p>
      <w:pPr>
        <w:pStyle w:val="4"/>
        <w:ind w:firstLine="480" w:firstLineChars="200"/>
        <w:jc w:val="both"/>
      </w:pPr>
      <w:r>
        <w:rPr>
          <w:rFonts w:asciiTheme="minorHAnsi" w:hAnsiTheme="minorHAnsi" w:eastAsiaTheme="minorEastAsia"/>
        </w:rPr>
        <w:t>（二）成立竞争性谈判小组</w:t>
      </w:r>
    </w:p>
    <w:p>
      <w:pPr>
        <w:ind w:firstLine="480" w:firstLineChars="200"/>
        <w:jc w:val="both"/>
      </w:pPr>
      <w:r>
        <w:rPr>
          <w:rFonts w:hint="eastAsia"/>
        </w:rPr>
        <w:t>为了确保评审工作的公平、公正，依据《政府采购法》和《政府采购非招标采购方式管理办法》（财政部74号令），成立竞争性谈判小组。由采购人代表和评审专家共3人以上单数组成，其中评审专家人数不得少于竞争性谈判小组成员总数的2/3。采购人不得以评审专家身份参加本部门或本单位采购项目的评审。达到公开招标数额标准的货物或者服务采购项目，或者达到招标规模标准的政府采购工程，竞争性谈判小组由5人以上单数组成。</w:t>
      </w:r>
    </w:p>
    <w:p>
      <w:pPr>
        <w:ind w:firstLine="480" w:firstLineChars="200"/>
        <w:jc w:val="both"/>
      </w:pPr>
      <w:r>
        <w:rPr>
          <w:rFonts w:hint="eastAsia"/>
        </w:rPr>
        <w:t>由采购代理机构组织谈判小组推选评审组长，采购人代表不得担任组长。</w:t>
      </w:r>
    </w:p>
    <w:p>
      <w:pPr>
        <w:ind w:firstLine="480" w:firstLineChars="200"/>
        <w:jc w:val="both"/>
      </w:pPr>
      <w:r>
        <w:rPr>
          <w:rFonts w:hint="eastAsia"/>
          <w:color w:val="C00000"/>
        </w:rPr>
        <w:t>在采购结果确定前，采购人、采购代理机构对谈判小组名单负有保密责任。谈判小组成员、采购人代表、采购代理机构工作人员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ind w:firstLine="482"/>
      </w:pPr>
      <w:r>
        <w:rPr>
          <w:rFonts w:hint="eastAsia"/>
        </w:rPr>
        <w:t>（三）确认谈判文件</w:t>
      </w:r>
    </w:p>
    <w:p>
      <w:pPr>
        <w:ind w:firstLine="480" w:firstLineChars="200"/>
      </w:pPr>
      <w:r>
        <w:rPr>
          <w:rFonts w:hint="eastAsia"/>
        </w:rPr>
        <w:t>依据《政府采购法》和《政府采购非招标采购方式管理办法》（财政部74号令）相关规定</w:t>
      </w:r>
      <w:r>
        <w:t>，谈判小组对谈判文件进行确认。</w:t>
      </w:r>
    </w:p>
    <w:p>
      <w:pPr>
        <w:pStyle w:val="4"/>
        <w:ind w:firstLine="482"/>
      </w:pPr>
      <w:r>
        <w:rPr>
          <w:rFonts w:hint="eastAsia"/>
        </w:rPr>
        <w:t>（四）供应商资格审查</w:t>
      </w:r>
    </w:p>
    <w:p>
      <w:pPr>
        <w:ind w:firstLine="480" w:firstLineChars="200"/>
      </w:pPr>
      <w:r>
        <w:rPr>
          <w:rFonts w:hint="eastAsia"/>
        </w:rPr>
        <w:t>谈判文件</w:t>
      </w:r>
      <w:r>
        <w:t>经确认后，</w:t>
      </w:r>
      <w:r>
        <w:rPr>
          <w:rFonts w:hint="eastAsia"/>
        </w:rPr>
        <w:t>竞争性谈判小组对响应文件中的供应商资格证明文件进行审查（其中供应商</w:t>
      </w:r>
      <w:r>
        <w:t>信用记录</w:t>
      </w:r>
      <w:r>
        <w:rPr>
          <w:rFonts w:hint="eastAsia"/>
        </w:rPr>
        <w:t>的</w:t>
      </w:r>
      <w:r>
        <w:t>审查由采购人进行</w:t>
      </w:r>
      <w:r>
        <w:rPr>
          <w:rFonts w:hint="eastAsia"/>
        </w:rPr>
        <w:t>）。供应商所提供的资格证明文件应图文清晰、易于辨识，否则由此带来的不利后果由供应商自行承担。出现下列情形的，响应文件将被视为无效：</w:t>
      </w:r>
    </w:p>
    <w:p>
      <w:pPr>
        <w:ind w:firstLine="480" w:firstLineChars="200"/>
      </w:pPr>
      <w:r>
        <w:rPr>
          <w:rFonts w:hint="eastAsia"/>
        </w:rPr>
        <w:t>（1）不具备谈判文件中规定的资格要求的；</w:t>
      </w:r>
    </w:p>
    <w:p>
      <w:pPr>
        <w:ind w:firstLine="480" w:firstLineChars="200"/>
      </w:pPr>
      <w:r>
        <w:rPr>
          <w:rFonts w:hint="eastAsia"/>
        </w:rPr>
        <w:t>（2）未按谈判文件要求提供资格证明文件，或未按谈判文件要求加盖公章的；</w:t>
      </w:r>
    </w:p>
    <w:p>
      <w:pPr>
        <w:ind w:firstLine="480" w:firstLineChars="200"/>
      </w:pPr>
      <w:r>
        <w:rPr>
          <w:rFonts w:hint="eastAsia"/>
        </w:rPr>
        <w:t>（3）谈判小组认为供应商的资格证明文件存在疑点，要求供应商通过公共资源电子交易平台（以下简称“平台”）或电子邮件（在平台无法支持的情况下）等形式提供更清晰有效的证明文件，供应商不能在规定时限内提供符合谈判文件要求的证明文件的。</w:t>
      </w:r>
    </w:p>
    <w:p>
      <w:pPr>
        <w:ind w:firstLine="480" w:firstLineChars="200"/>
      </w:pPr>
      <w:r>
        <w:rPr>
          <w:rFonts w:hint="eastAsia"/>
        </w:rPr>
        <w:t>（4）法律法规规定的其他无效情形。</w:t>
      </w:r>
    </w:p>
    <w:p>
      <w:pPr>
        <w:ind w:firstLine="480" w:firstLineChars="200"/>
      </w:pPr>
      <w:r>
        <w:rPr>
          <w:rFonts w:hint="eastAsia"/>
        </w:rPr>
        <w:t>资格审查结束后，谈判小组成员应当对审查结果进行签字确认，并告知有关供应商未通过审查的原因。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8389" w:type="dxa"/>
            <w:gridSpan w:val="2"/>
            <w:vAlign w:val="center"/>
          </w:tcPr>
          <w:p>
            <w:pPr>
              <w:spacing w:line="400" w:lineRule="exact"/>
              <w:ind w:firstLine="420" w:firstLineChars="200"/>
              <w:jc w:val="both"/>
              <w:rPr>
                <w:rFonts w:ascii="Calibri" w:hAnsi="宋体" w:eastAsia="宋体" w:cstheme="minorHAnsi"/>
                <w:bCs/>
                <w:color w:val="FF0000"/>
                <w:sz w:val="21"/>
              </w:rPr>
            </w:pPr>
            <w:r>
              <w:rPr>
                <w:rFonts w:hint="eastAsia" w:ascii="Calibri" w:hAnsi="宋体" w:eastAsia="宋体" w:cstheme="minorHAnsi"/>
                <w:bCs/>
                <w:sz w:val="21"/>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8389" w:type="dxa"/>
            <w:gridSpan w:val="2"/>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供应商若为电梯生产制造商时须具备《中华人民共和国特种设备生产许可证》（乘客电梯B级及以上）；供应商若为电梯经销商（代理商）的须提供《中华人民共和国特种设备安装改造维修许可证》及电梯生产制造商的《中华人民共和国特种设备生产许可证》（乘客电梯B级及以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4"/>
        <w:ind w:firstLine="482"/>
        <w:jc w:val="both"/>
        <w:rPr>
          <w:rFonts w:asciiTheme="minorHAnsi" w:hAnsiTheme="minorHAnsi" w:eastAsiaTheme="minorEastAsia"/>
        </w:rPr>
      </w:pPr>
      <w:r>
        <w:rPr>
          <w:rFonts w:asciiTheme="minorHAnsi" w:hAnsiTheme="minorHAnsi" w:eastAsiaTheme="minorEastAsia"/>
        </w:rPr>
        <w:t>（</w:t>
      </w:r>
      <w:r>
        <w:rPr>
          <w:rFonts w:hint="eastAsia" w:asciiTheme="minorHAnsi" w:hAnsiTheme="minorHAnsi" w:eastAsiaTheme="minorEastAsia"/>
        </w:rPr>
        <w:t>五</w:t>
      </w:r>
      <w:r>
        <w:rPr>
          <w:rFonts w:asciiTheme="minorHAnsi" w:hAnsiTheme="minorHAnsi" w:eastAsiaTheme="minorEastAsia"/>
        </w:rPr>
        <w:t>）符合性审查</w:t>
      </w:r>
    </w:p>
    <w:p>
      <w:pPr>
        <w:pStyle w:val="81"/>
        <w:ind w:firstLine="480"/>
        <w:rPr>
          <w:bCs/>
        </w:rPr>
      </w:pPr>
      <w:r>
        <w:t>资格性审查通过后，谈判小组将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的内容，谈判小组应当以书面形式要求供应商作出必要的澄清、说明或者补正。</w:t>
      </w:r>
    </w:p>
    <w:p>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『符合</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75"/>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75"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1</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至少以下三处的项目名称、项目编号、采购包与「谈判邀请函」中的相一致：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2</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37" w:type="dxa"/>
            <w:tcBorders>
              <w:top w:val="single" w:color="auto" w:sz="2" w:space="0"/>
            </w:tcBorders>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（谈判文件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签章均符合谈判文件要求，且无遗漏。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sz w:val="21"/>
                <w:szCs w:val="21"/>
              </w:rPr>
              <w:t>符合</w:t>
            </w:r>
            <w:r>
              <w:rPr>
                <w:rFonts w:hint="eastAsia" w:ascii="Calibri" w:hAnsi="宋体" w:eastAsia="宋体" w:cstheme="minorHAnsi"/>
                <w:sz w:val="21"/>
                <w:szCs w:val="21"/>
              </w:rPr>
              <w:t>谈判</w:t>
            </w:r>
            <w:r>
              <w:rPr>
                <w:rFonts w:ascii="Calibri" w:hAnsi="宋体" w:eastAsia="宋体" w:cstheme="minorHAnsi"/>
                <w:sz w:val="21"/>
                <w:szCs w:val="21"/>
              </w:rPr>
              <w:t>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sz w:val="21"/>
                <w:szCs w:val="21"/>
              </w:rPr>
              <w:t>符合</w:t>
            </w:r>
            <w:r>
              <w:rPr>
                <w:rFonts w:hint="eastAsia" w:ascii="Calibri" w:hAnsi="宋体" w:eastAsia="宋体" w:cstheme="minorHAnsi"/>
                <w:sz w:val="21"/>
                <w:szCs w:val="21"/>
              </w:rPr>
              <w:t>谈判</w:t>
            </w:r>
            <w:r>
              <w:rPr>
                <w:rFonts w:ascii="Calibri" w:hAnsi="宋体" w:eastAsia="宋体" w:cstheme="minorHAnsi"/>
                <w:sz w:val="21"/>
                <w:szCs w:val="21"/>
              </w:rPr>
              <w:t>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6</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谈判报价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货币单位符合谈判文件要求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7</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应谈判文件第三章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hint="eastAsia" w:eastAsia="宋体" w:cstheme="minorHAnsi"/>
                <w:sz w:val="21"/>
                <w:szCs w:val="21"/>
              </w:rPr>
              <w:t>“</w:t>
            </w:r>
            <w:r>
              <w:rPr>
                <w:rFonts w:hint="eastAsia" w:ascii="Segoe UI Symbol" w:hAnsi="Segoe UI Symbol" w:eastAsia="宋体" w:cs="Segoe UI Symbol"/>
                <w:sz w:val="21"/>
                <w:szCs w:val="21"/>
              </w:rPr>
              <w:t>★</w:t>
            </w:r>
            <w:r>
              <w:rPr>
                <w:rFonts w:hint="eastAsia"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谈判文件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8</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应谈判文件合同条款的要求，且未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75"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w:t>
            </w:r>
            <w:r>
              <w:rPr>
                <w:rFonts w:hint="eastAsia" w:ascii="Calibri" w:hAnsi="宋体" w:eastAsia="宋体" w:cstheme="minorHAnsi"/>
                <w:sz w:val="21"/>
                <w:szCs w:val="21"/>
              </w:rPr>
              <w:t>谈判</w:t>
            </w:r>
            <w:r>
              <w:rPr>
                <w:rFonts w:ascii="Calibri" w:hAnsi="宋体" w:eastAsia="宋体" w:cstheme="minorHAnsi"/>
                <w:sz w:val="21"/>
                <w:szCs w:val="21"/>
              </w:rPr>
              <w:t>文件对供应商合法经营的各类规约和责任义务要求，没有出现法律法规或</w:t>
            </w:r>
            <w:r>
              <w:rPr>
                <w:rFonts w:hint="eastAsia" w:ascii="Calibri" w:hAnsi="宋体" w:eastAsia="宋体" w:cstheme="minorHAnsi"/>
                <w:sz w:val="21"/>
                <w:szCs w:val="21"/>
              </w:rPr>
              <w:t>谈判</w:t>
            </w:r>
            <w:r>
              <w:rPr>
                <w:rFonts w:ascii="Calibri" w:hAnsi="宋体" w:eastAsia="宋体" w:cstheme="minorHAnsi"/>
                <w:sz w:val="21"/>
                <w:szCs w:val="21"/>
              </w:rPr>
              <w:t>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ind w:firstLine="482"/>
        <w:jc w:val="both"/>
      </w:pPr>
      <w:r>
        <w:rPr>
          <w:rFonts w:asciiTheme="minorHAnsi" w:hAnsiTheme="minorHAnsi" w:eastAsiaTheme="minorEastAsia"/>
        </w:rPr>
        <w:t>（</w:t>
      </w:r>
      <w:r>
        <w:rPr>
          <w:rFonts w:hint="eastAsia" w:asciiTheme="minorHAnsi" w:hAnsiTheme="minorHAnsi" w:eastAsiaTheme="minorEastAsia"/>
        </w:rPr>
        <w:t>六</w:t>
      </w:r>
      <w:r>
        <w:rPr>
          <w:rFonts w:asciiTheme="minorHAnsi" w:hAnsiTheme="minorHAnsi" w:eastAsiaTheme="minorEastAsia"/>
        </w:rPr>
        <w:t>）</w:t>
      </w:r>
      <w:r>
        <w:t>谈判</w:t>
      </w:r>
    </w:p>
    <w:p>
      <w:pPr>
        <w:ind w:firstLine="480" w:firstLineChars="200"/>
        <w:jc w:val="both"/>
      </w:pPr>
      <w:r>
        <w:rPr>
          <w:rFonts w:hint="eastAsia"/>
        </w:rPr>
        <w:t>谈判小组所有成员应当集中与单一供应商分别进行谈判，并给予所有参加谈判的供应商平等的谈判机会。</w:t>
      </w:r>
    </w:p>
    <w:p>
      <w:pPr>
        <w:ind w:firstLine="480" w:firstLineChars="200"/>
        <w:jc w:val="both"/>
      </w:pPr>
      <w:r>
        <w:rPr>
          <w:rFonts w:hint="eastAsia"/>
        </w:rPr>
        <w:t>在谈判过程中，谈判小组可以根据谈判文件和谈判情况</w:t>
      </w:r>
      <w:r>
        <w:rPr>
          <w:rFonts w:hint="eastAsia"/>
          <w:color w:val="C00000"/>
        </w:rPr>
        <w:t>实质性变动采购需求中的技术、服务要求以及合同草案条款</w:t>
      </w:r>
      <w:r>
        <w:rPr>
          <w:rFonts w:hint="eastAsia"/>
        </w:rPr>
        <w:t>，但不得变动谈判文件中的其他内容。实质性变动的内容，须经采购人代表确认。</w:t>
      </w:r>
    </w:p>
    <w:p>
      <w:pPr>
        <w:ind w:firstLine="480" w:firstLineChars="200"/>
        <w:jc w:val="both"/>
      </w:pPr>
      <w:r>
        <w:rPr>
          <w:rFonts w:hint="eastAsia"/>
        </w:rPr>
        <w:t>对谈判文件作出的实质性变动是谈判文件的有效组成部分，谈判小组应当及时以书面形式同时通知所有参加谈判的供应商。</w:t>
      </w:r>
      <w:r>
        <w:rPr>
          <w:rFonts w:hint="eastAsia"/>
          <w:color w:val="C00000"/>
        </w:rPr>
        <w:t>供应商在谈判过程中切勿擅自离席，否则由此引发的不利后果，由该供应商自行承担。</w:t>
      </w:r>
    </w:p>
    <w:p>
      <w:pPr>
        <w:ind w:firstLine="480" w:firstLineChars="200"/>
        <w:jc w:val="both"/>
      </w:pPr>
      <w:r>
        <w:rPr>
          <w:rFonts w:hint="eastAsi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
        <w:ind w:firstLine="482"/>
      </w:pPr>
      <w:r>
        <w:t>（</w:t>
      </w:r>
      <w:r>
        <w:rPr>
          <w:rFonts w:hint="eastAsia"/>
        </w:rPr>
        <w:t>七</w:t>
      </w:r>
      <w:r>
        <w:t>）提交最后报价</w:t>
      </w:r>
    </w:p>
    <w:p>
      <w:pPr>
        <w:ind w:firstLine="480" w:firstLineChars="200"/>
        <w:jc w:val="both"/>
      </w:pP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ind w:firstLine="480" w:firstLineChars="200"/>
        <w:jc w:val="both"/>
      </w:pPr>
      <w:r>
        <w:rPr>
          <w:rFonts w:hint="eastAsia"/>
        </w:rPr>
        <w:t>最后报价是供应商响应文件的有效组成部分。已提交响应文件的供应商，在提交最后报价之前，可以根据谈判情况退出谈判。</w:t>
      </w:r>
    </w:p>
    <w:p>
      <w:pPr>
        <w:ind w:firstLine="480" w:firstLineChars="200"/>
        <w:jc w:val="both"/>
      </w:pPr>
      <w:r>
        <w:rPr>
          <w:rFonts w:hint="eastAsia"/>
          <w:color w:val="C00000"/>
        </w:rPr>
        <w:t>【价格扣除比例】</w:t>
      </w:r>
      <w:r>
        <w:rPr>
          <w:rFonts w:hint="eastAsia"/>
        </w:rPr>
        <w:t>：对符合政府采购优惠政策的小型和微型企业制造的货物、承接的服务的报价给予10%（工程</w:t>
      </w:r>
      <w:r>
        <w:t>为</w:t>
      </w:r>
      <w:r>
        <w:rPr>
          <w:rFonts w:hint="eastAsia"/>
        </w:rPr>
        <w:t>3%）的扣除，用扣除后的价格参加评审。未提供中小企业声明函的不享受价格扣除优惠政策；供应商所供货物并非全部由小型或微型企业生产的，不享受价格扣除优惠政策。</w:t>
      </w:r>
    </w:p>
    <w:p>
      <w:pPr>
        <w:pStyle w:val="4"/>
        <w:ind w:firstLine="482"/>
      </w:pPr>
      <w:r>
        <w:t>（</w:t>
      </w:r>
      <w:r>
        <w:rPr>
          <w:rFonts w:hint="eastAsia"/>
        </w:rPr>
        <w:t>八</w:t>
      </w:r>
      <w:r>
        <w:t>）推荐成交候选人并编写评审报告</w:t>
      </w:r>
    </w:p>
    <w:p>
      <w:pPr>
        <w:pStyle w:val="81"/>
        <w:ind w:firstLine="480"/>
      </w:pPr>
      <w:r>
        <w:rPr>
          <w:rFonts w:hint="eastAsia" w:hAnsi="华文仿宋"/>
        </w:rPr>
        <w:t>谈判小组应当从质量和服务均能满足采购文件实质性响应要求的供应商中，按照最后报价由低到高的顺序提出3名以上成交候选人，并编写评审报告。</w:t>
      </w:r>
    </w:p>
    <w:p>
      <w:pPr>
        <w:pStyle w:val="81"/>
        <w:ind w:firstLine="480"/>
      </w:pPr>
      <w:r>
        <w:rPr>
          <w:rFonts w:hint="eastAsia"/>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
      </w:pPr>
      <w:r>
        <w:t>七、成交</w:t>
      </w:r>
    </w:p>
    <w:p>
      <w:pPr>
        <w:pStyle w:val="81"/>
        <w:ind w:firstLine="480"/>
      </w:pPr>
      <w:r>
        <w:rPr>
          <w:rFonts w:hint="eastAsia"/>
        </w:rPr>
        <w:t>1</w:t>
      </w:r>
      <w:r>
        <w:rPr>
          <w:rFonts w:hint="eastAsia"/>
          <w:color w:val="auto"/>
        </w:rPr>
        <w:t>．</w:t>
      </w:r>
      <w:r>
        <w:t>采购代理机构在评审工作结束后2个工作日内，将评审报告送采购人确认。</w:t>
      </w:r>
    </w:p>
    <w:p>
      <w:pPr>
        <w:pStyle w:val="81"/>
        <w:ind w:firstLine="480"/>
      </w:pPr>
      <w:r>
        <w:rPr>
          <w:rFonts w:hint="eastAsia"/>
        </w:rPr>
        <w:t>2</w:t>
      </w:r>
      <w:r>
        <w:rPr>
          <w:rFonts w:hint="eastAsia"/>
          <w:color w:val="auto"/>
        </w:rPr>
        <w:t>．</w:t>
      </w:r>
      <w:r>
        <w:rPr>
          <w:rFonts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pPr>
      <w:r>
        <w:t>八、合同签订、履行及验收</w:t>
      </w:r>
    </w:p>
    <w:p>
      <w:pPr>
        <w:pStyle w:val="81"/>
        <w:ind w:firstLine="480"/>
      </w:pPr>
      <w:r>
        <w:t>谈判文件、响应文件、澄清、补充合同等为政府采购合同的组成部分，具有同等法律效力。</w:t>
      </w:r>
    </w:p>
    <w:p>
      <w:pPr>
        <w:pStyle w:val="4"/>
        <w:ind w:firstLine="482"/>
      </w:pPr>
      <w:r>
        <w:t>（一）签订政府采购合同</w:t>
      </w:r>
    </w:p>
    <w:p>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谈判</w:t>
      </w:r>
      <w:r>
        <w:t>文件和</w:t>
      </w:r>
      <w:r>
        <w:rPr>
          <w:rFonts w:hint="eastAsia"/>
        </w:rPr>
        <w:t>成交</w:t>
      </w:r>
      <w:r>
        <w:t>供应商</w:t>
      </w:r>
      <w:r>
        <w:rPr>
          <w:rFonts w:hint="eastAsia"/>
        </w:rPr>
        <w:t>响应</w:t>
      </w:r>
      <w:r>
        <w:t>文件的约定，签订书面合同。</w:t>
      </w:r>
    </w:p>
    <w:p>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采购人不得向成交供应商提出任何不合理的要求，作为签订合同的条件，不得与成交供应商私下订立背离合同实质性内容的任何协议，所签订的合同不得对谈判文件和成交供应商响应文件作实质性修改。</w:t>
      </w:r>
    </w:p>
    <w:p>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pPr>
        <w:pStyle w:val="4"/>
        <w:ind w:firstLine="482"/>
      </w:pPr>
      <w:r>
        <w:t>（二）合同公示</w:t>
      </w:r>
    </w:p>
    <w:p>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ind w:firstLine="482"/>
      </w:pPr>
      <w:r>
        <w:t>（三）合同履行</w:t>
      </w:r>
    </w:p>
    <w:p>
      <w:pPr>
        <w:pStyle w:val="81"/>
        <w:ind w:firstLine="480"/>
        <w:rPr>
          <w:color w:val="auto"/>
        </w:rPr>
      </w:pPr>
      <w:r>
        <w:rPr>
          <w:rFonts w:hint="eastAsia"/>
        </w:rPr>
        <w:t>1</w:t>
      </w:r>
      <w:r>
        <w:rPr>
          <w:rFonts w:hint="eastAsia"/>
          <w:color w:val="auto"/>
        </w:rPr>
        <w:t>．采购人与成交供应商应当根据合同的约定依法履行合同义务。</w:t>
      </w:r>
    </w:p>
    <w:p>
      <w:pPr>
        <w:pStyle w:val="81"/>
        <w:ind w:firstLine="480"/>
      </w:pPr>
      <w:r>
        <w:rPr>
          <w:rFonts w:hint="eastAsia"/>
          <w:color w:val="auto"/>
        </w:rPr>
        <w:t>2．政府采购合同的履行、违约责任和解决争议的方法等适用《中华人民共和国民法典》。</w:t>
      </w:r>
    </w:p>
    <w:p>
      <w:pPr>
        <w:pStyle w:val="4"/>
        <w:ind w:firstLine="482"/>
      </w:pPr>
      <w:r>
        <w:t>（四）验收或考核</w:t>
      </w:r>
    </w:p>
    <w:p>
      <w:pPr>
        <w:pStyle w:val="81"/>
        <w:ind w:firstLine="480"/>
      </w:pPr>
      <w:r>
        <w:rPr>
          <w:rFonts w:hint="eastAsia"/>
        </w:rPr>
        <w:t>1</w:t>
      </w:r>
      <w:r>
        <w:rPr>
          <w:rFonts w:hint="eastAsia"/>
          <w:color w:val="auto"/>
        </w:rPr>
        <w:t>．</w:t>
      </w:r>
      <w:r>
        <w:rPr>
          <w:rFonts w:hint="eastAsia"/>
        </w:rPr>
        <w:t>采购人严格按照国家相关法律法规的要求及谈判文件的要求组织验收或考核。</w:t>
      </w:r>
    </w:p>
    <w:p>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九、其他</w:t>
      </w:r>
    </w:p>
    <w:p>
      <w:pPr>
        <w:pStyle w:val="81"/>
        <w:ind w:firstLine="480"/>
      </w:pPr>
      <w:r>
        <w:rPr>
          <w:rFonts w:hint="eastAsia"/>
        </w:rPr>
        <w:t>1．除资格性审查认定错误和价格计算错误外，采购人或者采购代理机构不得以任何理由组织重新评审。采购人、采购代理机构发现谈判小组未按照采购文件规定的评定成交的标准进行评审的，应当重新开展采购活动，并同时书面报告本级财政部门。</w:t>
      </w:r>
    </w:p>
    <w:p>
      <w:pPr>
        <w:pStyle w:val="81"/>
        <w:ind w:firstLine="480"/>
        <w:rPr>
          <w:color w:val="auto"/>
        </w:rPr>
      </w:pPr>
      <w:r>
        <w:rPr>
          <w:rFonts w:hint="eastAsia"/>
        </w:rPr>
        <w:t>2</w:t>
      </w:r>
      <w:r>
        <w:rPr>
          <w:rFonts w:hint="eastAsia"/>
          <w:color w:val="auto"/>
        </w:rPr>
        <w:t>．</w:t>
      </w:r>
      <w:r>
        <w:rPr>
          <w:rFonts w:hint="eastAsia"/>
        </w:rPr>
        <w:t>谈判小组</w:t>
      </w:r>
      <w:r>
        <w:t>发现</w:t>
      </w:r>
      <w:r>
        <w:rPr>
          <w:rFonts w:hint="eastAsia"/>
        </w:rPr>
        <w:t>谈判</w:t>
      </w:r>
      <w:r>
        <w:t>文件存在歧义、重大缺陷导致</w:t>
      </w:r>
      <w:r>
        <w:rPr>
          <w:rFonts w:hint="eastAsia"/>
        </w:rPr>
        <w:t>评审</w:t>
      </w:r>
      <w:r>
        <w:t>工作无法进行，或者</w:t>
      </w:r>
      <w:r>
        <w:rPr>
          <w:rFonts w:hint="eastAsia"/>
        </w:rPr>
        <w:t>谈判</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谈判</w:t>
      </w:r>
      <w:r>
        <w:t>文件，重新组织采购活动。</w:t>
      </w:r>
    </w:p>
    <w:p>
      <w:pPr>
        <w:pStyle w:val="81"/>
        <w:ind w:firstLine="480"/>
      </w:pPr>
      <w:r>
        <w:t>3</w:t>
      </w:r>
      <w:r>
        <w:rPr>
          <w:rFonts w:hint="eastAsia"/>
        </w:rPr>
        <w:t>．出现下列情形之一的，采购人或者采购代理机构应当终止竞争性谈判采购活动，发布项目终止公告并说明原因，重新开展采购活动：</w:t>
      </w:r>
    </w:p>
    <w:p>
      <w:pPr>
        <w:pStyle w:val="81"/>
        <w:ind w:firstLine="480"/>
      </w:pPr>
      <w:r>
        <w:rPr>
          <w:rFonts w:hint="eastAsia"/>
        </w:rPr>
        <w:t>（1）因情况变化，不再符合规定的竞争性谈判采购方式适用情形的；</w:t>
      </w:r>
    </w:p>
    <w:p>
      <w:pPr>
        <w:pStyle w:val="81"/>
        <w:ind w:firstLine="480"/>
      </w:pPr>
      <w:r>
        <w:rPr>
          <w:rFonts w:hint="eastAsia"/>
        </w:rPr>
        <w:t>（2）出现影响采购公正的违法、违规行为的；</w:t>
      </w:r>
    </w:p>
    <w:p>
      <w:pPr>
        <w:pStyle w:val="81"/>
        <w:ind w:firstLine="480"/>
      </w:pPr>
      <w:r>
        <w:rPr>
          <w:rFonts w:hint="eastAsia"/>
        </w:rPr>
        <w:t>（3）在采购过程中符合竞争要求的供应商或者报价未超过采购预算的供应商不足3家的，但本小节第</w:t>
      </w:r>
      <w:r>
        <w:t>5</w:t>
      </w:r>
      <w:r>
        <w:rPr>
          <w:rFonts w:hint="eastAsia"/>
        </w:rPr>
        <w:t>条情形除外。</w:t>
      </w:r>
    </w:p>
    <w:p>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1"/>
        <w:ind w:firstLine="480"/>
      </w:pPr>
      <w:r>
        <w:rPr>
          <w:color w:val="auto"/>
        </w:rPr>
        <w:t>6</w:t>
      </w:r>
      <w:r>
        <w:rPr>
          <w:rFonts w:hint="eastAsia"/>
          <w:color w:val="auto"/>
        </w:rPr>
        <w:t>．谈判文件</w:t>
      </w:r>
      <w:r>
        <w:t>未明确的其他事项，按《政府采购法》、《</w:t>
      </w:r>
      <w:r>
        <w:rPr>
          <w:rFonts w:hint="eastAsia"/>
        </w:rPr>
        <w:t>政府采购非招标采购方式管理办法》（财政部74号令）</w:t>
      </w:r>
      <w:r>
        <w:t>及相关法律法规执行。</w:t>
      </w:r>
    </w:p>
    <w:p>
      <w:pPr>
        <w:pStyle w:val="81"/>
        <w:ind w:firstLine="0" w:firstLineChars="0"/>
      </w:pPr>
    </w:p>
    <w:p>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9" w:name="_Toc199340282"/>
      <w:r>
        <w:rPr>
          <w:rFonts w:hint="eastAsia"/>
        </w:rPr>
        <w:t>第三章　谈判内容及要求</w:t>
      </w:r>
      <w:bookmarkEnd w:id="9"/>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ind w:firstLine="480" w:firstLineChars="200"/>
        <w:jc w:val="both"/>
      </w:pPr>
      <w:r>
        <w:rPr>
          <w:rFonts w:hint="eastAsia"/>
        </w:rPr>
        <w:t>我校明德楼电梯自建成投入使用已有15年，是明德楼D区主楼重要的运载设备，使用频率较高。随着使用年限增长，该设备老化严重，尤其近两年来故障频发，严重影响正常使用，存在安全隐患。为解决明德楼高峰时期上下楼困难的问题，排除安全隐患，为广大师生创造安全的教学及生活环境，我校拟对明德楼D区B梯进行更换。</w:t>
      </w:r>
    </w:p>
    <w:p>
      <w:pPr>
        <w:pStyle w:val="3"/>
        <w:jc w:val="both"/>
      </w:pPr>
      <w:r>
        <w:rPr>
          <w:rFonts w:hint="eastAsia"/>
        </w:rPr>
        <w:t>二、谈判内容</w:t>
      </w:r>
    </w:p>
    <w:p>
      <w:pPr>
        <w:jc w:val="both"/>
      </w:pPr>
      <w:r>
        <w:rPr>
          <w:rFonts w:hint="eastAsia"/>
        </w:rPr>
        <w:t xml:space="preserve">   采购</w:t>
      </w:r>
      <w:r>
        <w:t>电梯</w:t>
      </w:r>
      <w:r>
        <w:rPr>
          <w:rFonts w:hint="eastAsia"/>
        </w:rPr>
        <w:t>1台</w:t>
      </w:r>
      <w:r>
        <w:t>。</w:t>
      </w:r>
    </w:p>
    <w:p>
      <w:pPr>
        <w:pStyle w:val="3"/>
        <w:jc w:val="both"/>
      </w:pPr>
      <w:r>
        <w:t>三、</w:t>
      </w:r>
      <w:r>
        <w:rPr>
          <w:rFonts w:hint="eastAsia"/>
        </w:rPr>
        <w:t>技术要求</w:t>
      </w:r>
    </w:p>
    <w:p>
      <w:pPr>
        <w:pStyle w:val="81"/>
        <w:ind w:firstLine="482"/>
        <w:outlineLvl w:val="2"/>
        <w:rPr>
          <w:b/>
        </w:rPr>
      </w:pPr>
      <w:r>
        <w:rPr>
          <w:rFonts w:hint="eastAsia"/>
          <w:b/>
        </w:rPr>
        <w:t>（</w:t>
      </w:r>
      <w:r>
        <w:rPr>
          <w:b/>
        </w:rPr>
        <w:t>一）技术参数</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36"/>
        <w:gridCol w:w="2693"/>
        <w:gridCol w:w="482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left w:val="single" w:color="auto" w:sz="12" w:space="0"/>
              <w:bottom w:val="single" w:color="auto" w:sz="2" w:space="0"/>
              <w:right w:val="single" w:color="auto" w:sz="2" w:space="0"/>
            </w:tcBorders>
          </w:tcPr>
          <w:p>
            <w:pPr>
              <w:spacing w:line="320" w:lineRule="exact"/>
              <w:jc w:val="center"/>
              <w:rPr>
                <w:rFonts w:ascii="宋体" w:hAnsi="宋体" w:eastAsia="宋体" w:cs="宋体"/>
                <w:sz w:val="21"/>
                <w:szCs w:val="21"/>
              </w:rPr>
            </w:pPr>
            <w:r>
              <w:rPr>
                <w:rFonts w:hint="eastAsia" w:ascii="宋体" w:hAnsi="宋体" w:eastAsia="宋体" w:cs="宋体"/>
                <w:sz w:val="21"/>
                <w:szCs w:val="21"/>
              </w:rPr>
              <w:t>1</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rPr>
            </w:pPr>
            <w:r>
              <w:rPr>
                <w:rFonts w:hint="eastAsia" w:ascii="宋体" w:hAnsi="宋体" w:eastAsia="宋体" w:cs="宋体"/>
                <w:sz w:val="21"/>
                <w:szCs w:val="21"/>
                <w:lang w:val="da-DK" w:eastAsia="en-US"/>
              </w:rPr>
              <w:t>控制系统</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lang w:val="da-DK"/>
              </w:rPr>
            </w:pPr>
            <w:r>
              <w:rPr>
                <w:rFonts w:hint="eastAsia" w:ascii="宋体" w:hAnsi="宋体" w:eastAsia="宋体" w:cs="宋体"/>
                <w:sz w:val="21"/>
                <w:szCs w:val="21"/>
                <w:lang w:val="da-DK"/>
              </w:rPr>
              <w:t>电脑智能控制，串行传输系统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left w:val="single" w:color="auto" w:sz="12" w:space="0"/>
              <w:bottom w:val="single" w:color="auto" w:sz="2" w:space="0"/>
              <w:right w:val="single" w:color="auto" w:sz="2" w:space="0"/>
            </w:tcBorders>
          </w:tcPr>
          <w:p>
            <w:pPr>
              <w:spacing w:line="320" w:lineRule="exact"/>
              <w:jc w:val="center"/>
              <w:rPr>
                <w:rFonts w:ascii="宋体" w:hAnsi="宋体" w:eastAsia="宋体" w:cs="宋体"/>
                <w:sz w:val="21"/>
                <w:szCs w:val="21"/>
              </w:rPr>
            </w:pPr>
            <w:r>
              <w:rPr>
                <w:rFonts w:hint="eastAsia" w:ascii="宋体" w:hAnsi="宋体" w:eastAsia="宋体" w:cs="宋体"/>
                <w:sz w:val="21"/>
                <w:szCs w:val="21"/>
              </w:rPr>
              <w:t>2</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驱动系统</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lang w:val="da-DK"/>
              </w:rPr>
            </w:pPr>
            <w:r>
              <w:rPr>
                <w:rFonts w:hint="eastAsia" w:ascii="宋体" w:hAnsi="宋体" w:eastAsia="宋体" w:cs="宋体"/>
                <w:sz w:val="21"/>
                <w:szCs w:val="21"/>
                <w:lang w:val="da-DK"/>
              </w:rPr>
              <w:t>交流调频调压驱动，能效等级≥B级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left w:val="single" w:color="auto" w:sz="12" w:space="0"/>
              <w:bottom w:val="single" w:color="auto" w:sz="2" w:space="0"/>
              <w:right w:val="single" w:color="auto" w:sz="2" w:space="0"/>
            </w:tcBorders>
          </w:tcPr>
          <w:p>
            <w:pPr>
              <w:spacing w:line="320" w:lineRule="exact"/>
              <w:jc w:val="center"/>
              <w:rPr>
                <w:rFonts w:ascii="宋体" w:hAnsi="宋体" w:eastAsia="宋体" w:cs="宋体"/>
                <w:sz w:val="21"/>
                <w:szCs w:val="21"/>
              </w:rPr>
            </w:pPr>
            <w:r>
              <w:rPr>
                <w:rFonts w:hint="eastAsia" w:ascii="宋体" w:hAnsi="宋体" w:eastAsia="宋体" w:cs="宋体"/>
                <w:sz w:val="21"/>
                <w:szCs w:val="21"/>
              </w:rPr>
              <w:t>3</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曳引系统</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lang w:val="da-DK" w:eastAsia="en-US"/>
              </w:rPr>
            </w:pPr>
            <w:r>
              <w:rPr>
                <w:rFonts w:hint="eastAsia" w:ascii="宋体" w:hAnsi="宋体" w:eastAsia="宋体" w:cs="宋体"/>
                <w:sz w:val="21"/>
                <w:szCs w:val="21"/>
                <w:lang w:val="da-DK" w:eastAsia="en-US"/>
              </w:rPr>
              <w:t>无齿曳引机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left w:val="single" w:color="auto" w:sz="12" w:space="0"/>
              <w:bottom w:val="single" w:color="auto" w:sz="2" w:space="0"/>
              <w:right w:val="single" w:color="auto" w:sz="2" w:space="0"/>
            </w:tcBorders>
          </w:tcPr>
          <w:p>
            <w:pPr>
              <w:spacing w:line="320" w:lineRule="exact"/>
              <w:jc w:val="center"/>
              <w:rPr>
                <w:rFonts w:ascii="宋体" w:hAnsi="宋体" w:eastAsia="宋体" w:cs="宋体"/>
                <w:sz w:val="21"/>
                <w:szCs w:val="21"/>
              </w:rPr>
            </w:pPr>
            <w:r>
              <w:rPr>
                <w:rFonts w:hint="eastAsia" w:ascii="宋体" w:hAnsi="宋体" w:eastAsia="宋体" w:cs="宋体"/>
                <w:sz w:val="21"/>
                <w:szCs w:val="21"/>
              </w:rPr>
              <w:t>4</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操作方式</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lang w:val="da-DK"/>
              </w:rPr>
            </w:pPr>
            <w:r>
              <w:rPr>
                <w:rFonts w:hint="eastAsia" w:ascii="宋体" w:hAnsi="宋体" w:eastAsia="宋体" w:cs="宋体"/>
                <w:sz w:val="21"/>
                <w:szCs w:val="21"/>
                <w:lang w:val="da-DK"/>
              </w:rPr>
              <w:t>群控（注</w:t>
            </w:r>
            <w:r>
              <w:rPr>
                <w:rFonts w:ascii="宋体" w:hAnsi="宋体" w:eastAsia="宋体" w:cs="宋体"/>
                <w:sz w:val="21"/>
                <w:szCs w:val="21"/>
                <w:lang w:val="da-DK"/>
              </w:rPr>
              <w:t>：需与现有电梯组成群控</w:t>
            </w:r>
            <w:r>
              <w:rPr>
                <w:rFonts w:hint="eastAsia" w:ascii="宋体" w:hAnsi="宋体" w:eastAsia="宋体" w:cs="宋体"/>
                <w:sz w:val="21"/>
                <w:szCs w:val="21"/>
                <w:lang w:val="da-DK"/>
              </w:rPr>
              <w:t>，需</w:t>
            </w:r>
            <w:r>
              <w:rPr>
                <w:rFonts w:ascii="宋体" w:hAnsi="宋体" w:eastAsia="宋体" w:cs="宋体"/>
                <w:sz w:val="21"/>
                <w:szCs w:val="21"/>
                <w:lang w:val="da-DK"/>
              </w:rPr>
              <w:t>现场</w:t>
            </w:r>
            <w:r>
              <w:rPr>
                <w:rFonts w:hint="eastAsia" w:ascii="宋体" w:hAnsi="宋体" w:eastAsia="宋体" w:cs="宋体"/>
                <w:sz w:val="21"/>
                <w:szCs w:val="21"/>
                <w:lang w:val="da-DK"/>
              </w:rPr>
              <w:t>确认现有</w:t>
            </w:r>
            <w:r>
              <w:rPr>
                <w:rFonts w:ascii="宋体" w:hAnsi="宋体" w:eastAsia="宋体" w:cs="宋体"/>
                <w:sz w:val="21"/>
                <w:szCs w:val="21"/>
                <w:lang w:val="da-DK"/>
              </w:rPr>
              <w:t>系统</w:t>
            </w:r>
            <w:r>
              <w:rPr>
                <w:rFonts w:hint="eastAsia" w:ascii="宋体" w:hAnsi="宋体" w:eastAsia="宋体" w:cs="宋体"/>
                <w:sz w:val="21"/>
                <w:szCs w:val="21"/>
                <w:lang w:val="da-DK"/>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left w:val="single" w:color="auto" w:sz="12" w:space="0"/>
              <w:bottom w:val="single" w:color="auto" w:sz="2" w:space="0"/>
              <w:right w:val="single" w:color="auto" w:sz="2" w:space="0"/>
            </w:tcBorders>
          </w:tcPr>
          <w:p>
            <w:pPr>
              <w:spacing w:line="320" w:lineRule="exact"/>
              <w:jc w:val="center"/>
              <w:rPr>
                <w:rFonts w:ascii="宋体" w:hAnsi="宋体" w:eastAsia="宋体" w:cs="宋体"/>
                <w:sz w:val="21"/>
                <w:szCs w:val="21"/>
              </w:rPr>
            </w:pPr>
            <w:r>
              <w:rPr>
                <w:rFonts w:hint="eastAsia" w:ascii="宋体" w:hAnsi="宋体" w:eastAsia="宋体" w:cs="宋体"/>
                <w:sz w:val="21"/>
                <w:szCs w:val="21"/>
              </w:rPr>
              <w:t>5</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门机系统</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lang w:val="da-DK" w:eastAsia="en-US"/>
              </w:rPr>
            </w:pPr>
            <w:r>
              <w:rPr>
                <w:rFonts w:hint="eastAsia" w:ascii="宋体" w:hAnsi="宋体" w:eastAsia="宋体" w:cs="宋体"/>
                <w:sz w:val="21"/>
                <w:szCs w:val="21"/>
                <w:lang w:val="da-DK" w:eastAsia="en-US"/>
              </w:rPr>
              <w:t>变频中分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left w:val="single" w:color="auto" w:sz="12" w:space="0"/>
              <w:bottom w:val="single" w:color="auto" w:sz="2" w:space="0"/>
              <w:right w:val="single" w:color="auto" w:sz="2" w:space="0"/>
            </w:tcBorders>
          </w:tcPr>
          <w:p>
            <w:pPr>
              <w:spacing w:line="320" w:lineRule="exact"/>
              <w:jc w:val="center"/>
              <w:rPr>
                <w:rFonts w:ascii="宋体" w:hAnsi="宋体" w:eastAsia="宋体" w:cs="宋体"/>
                <w:sz w:val="21"/>
                <w:szCs w:val="21"/>
              </w:rPr>
            </w:pPr>
            <w:r>
              <w:rPr>
                <w:rFonts w:hint="eastAsia" w:ascii="宋体" w:hAnsi="宋体" w:eastAsia="宋体" w:cs="宋体"/>
                <w:sz w:val="21"/>
                <w:szCs w:val="21"/>
              </w:rPr>
              <w:t>6</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开门方向</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lang w:val="da-DK" w:eastAsia="en-US"/>
              </w:rPr>
            </w:pPr>
            <w:r>
              <w:rPr>
                <w:rFonts w:hint="eastAsia" w:ascii="宋体" w:hAnsi="宋体" w:eastAsia="宋体" w:cs="宋体"/>
                <w:sz w:val="21"/>
                <w:szCs w:val="21"/>
                <w:lang w:val="da-DK" w:eastAsia="en-US"/>
              </w:rPr>
              <w:t>单通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tcPr>
          <w:p>
            <w:pPr>
              <w:spacing w:line="320" w:lineRule="exact"/>
              <w:jc w:val="center"/>
              <w:rPr>
                <w:rFonts w:ascii="宋体" w:hAnsi="宋体" w:eastAsia="宋体" w:cs="宋体"/>
                <w:sz w:val="21"/>
                <w:szCs w:val="21"/>
              </w:rPr>
            </w:pPr>
            <w:r>
              <w:rPr>
                <w:rFonts w:hint="eastAsia" w:ascii="宋体" w:hAnsi="宋体" w:eastAsia="宋体" w:cs="宋体"/>
                <w:sz w:val="21"/>
                <w:szCs w:val="21"/>
              </w:rPr>
              <w:t>7</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机房位置</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lang w:val="da-DK" w:eastAsia="en-US"/>
              </w:rPr>
            </w:pPr>
            <w:r>
              <w:rPr>
                <w:rFonts w:hint="eastAsia" w:ascii="宋体" w:hAnsi="宋体" w:eastAsia="宋体" w:cs="宋体"/>
                <w:sz w:val="21"/>
                <w:szCs w:val="21"/>
                <w:lang w:val="da-DK" w:eastAsia="en-US"/>
              </w:rPr>
              <w:t>井道上方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8</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rPr>
              <w:t>★</w:t>
            </w:r>
            <w:r>
              <w:rPr>
                <w:rFonts w:hint="eastAsia" w:ascii="宋体" w:hAnsi="宋体" w:eastAsia="宋体" w:cs="宋体"/>
                <w:sz w:val="21"/>
                <w:szCs w:val="21"/>
                <w:lang w:val="da-DK" w:eastAsia="en-US"/>
              </w:rPr>
              <w:t>电梯配置</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lang w:val="da-DK"/>
              </w:rPr>
            </w:pPr>
            <w:r>
              <w:rPr>
                <w:rFonts w:hint="eastAsia" w:ascii="宋体" w:hAnsi="宋体" w:eastAsia="宋体" w:cs="宋体"/>
                <w:sz w:val="21"/>
                <w:szCs w:val="21"/>
              </w:rPr>
              <w:t>曳引机、控制柜整柜、光幕、门机系统要求全部原品牌原厂整件，</w:t>
            </w:r>
            <w:r>
              <w:rPr>
                <w:rFonts w:ascii="宋体" w:hAnsi="宋体" w:eastAsia="宋体" w:cs="宋体"/>
                <w:sz w:val="21"/>
                <w:szCs w:val="21"/>
              </w:rPr>
              <w:t>并提供原厂授权证明材料。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9</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额定载重量</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≥1000公斤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10</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额定速度</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≥1.75米/秒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11</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行程</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55米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12</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顶层高度</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5900毫米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13</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底坑深度</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1600毫米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14</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总楼层/服务楼层/门</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13/13/13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15</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井道尺寸</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2200毫米(宽)X2200毫米(深)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16</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轿厢尺寸</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1600毫米(宽)X1500毫米(深)X2400毫米(高)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17</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开门方式</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2扇中分自动门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18</w:t>
            </w:r>
          </w:p>
        </w:tc>
        <w:tc>
          <w:tcPr>
            <w:tcW w:w="269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eastAsia="宋体" w:cs="宋体"/>
                <w:sz w:val="21"/>
                <w:szCs w:val="21"/>
                <w:lang w:val="da-DK" w:eastAsia="en-US"/>
              </w:rPr>
            </w:pPr>
            <w:r>
              <w:rPr>
                <w:rFonts w:hint="eastAsia" w:ascii="宋体" w:hAnsi="宋体" w:eastAsia="宋体" w:cs="宋体"/>
                <w:sz w:val="21"/>
                <w:szCs w:val="21"/>
                <w:lang w:val="da-DK" w:eastAsia="en-US"/>
              </w:rPr>
              <w:t>开门净尺寸</w:t>
            </w:r>
          </w:p>
        </w:tc>
        <w:tc>
          <w:tcPr>
            <w:tcW w:w="4820"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eastAsia="宋体" w:cs="宋体"/>
                <w:sz w:val="21"/>
                <w:szCs w:val="21"/>
              </w:rPr>
            </w:pPr>
            <w:r>
              <w:rPr>
                <w:rFonts w:hint="eastAsia" w:ascii="宋体" w:hAnsi="宋体" w:eastAsia="宋体" w:cs="宋体"/>
                <w:sz w:val="21"/>
                <w:szCs w:val="21"/>
              </w:rPr>
              <w:t>900 毫米(宽)X2100毫米(高)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left w:val="single" w:color="auto" w:sz="12" w:space="0"/>
              <w:bottom w:val="single" w:color="auto" w:sz="12" w:space="0"/>
              <w:right w:val="single" w:color="auto" w:sz="2" w:space="0"/>
            </w:tcBorders>
          </w:tcPr>
          <w:p>
            <w:pPr>
              <w:spacing w:line="320" w:lineRule="exact"/>
              <w:jc w:val="center"/>
              <w:rPr>
                <w:rFonts w:ascii="宋体" w:hAnsi="宋体" w:eastAsia="宋体" w:cs="宋体"/>
                <w:sz w:val="21"/>
                <w:szCs w:val="21"/>
                <w:lang w:val="da-DK"/>
              </w:rPr>
            </w:pPr>
            <w:r>
              <w:rPr>
                <w:rFonts w:hint="eastAsia" w:ascii="宋体" w:hAnsi="宋体" w:eastAsia="宋体" w:cs="宋体"/>
                <w:sz w:val="21"/>
                <w:szCs w:val="21"/>
                <w:lang w:val="da-DK"/>
              </w:rPr>
              <w:t>备注</w:t>
            </w:r>
          </w:p>
        </w:tc>
        <w:tc>
          <w:tcPr>
            <w:tcW w:w="7513" w:type="dxa"/>
            <w:gridSpan w:val="2"/>
            <w:tcBorders>
              <w:top w:val="single" w:color="auto" w:sz="2" w:space="0"/>
              <w:left w:val="single" w:color="auto" w:sz="2" w:space="0"/>
              <w:bottom w:val="single" w:color="auto" w:sz="12" w:space="0"/>
              <w:right w:val="single" w:color="auto" w:sz="12" w:space="0"/>
            </w:tcBorders>
            <w:vAlign w:val="center"/>
          </w:tcPr>
          <w:p>
            <w:pPr>
              <w:spacing w:line="320" w:lineRule="exact"/>
              <w:ind w:firstLine="420" w:firstLineChars="200"/>
              <w:rPr>
                <w:rFonts w:ascii="宋体" w:hAnsi="宋体" w:eastAsia="宋体" w:cs="宋体"/>
                <w:sz w:val="21"/>
                <w:szCs w:val="21"/>
                <w:lang w:val="da-DK"/>
              </w:rPr>
            </w:pPr>
            <w:r>
              <w:rPr>
                <w:rFonts w:hint="eastAsia" w:ascii="宋体" w:hAnsi="宋体" w:eastAsia="宋体" w:cs="宋体"/>
                <w:sz w:val="21"/>
                <w:szCs w:val="21"/>
                <w:lang w:val="da-DK"/>
              </w:rPr>
              <w:t>上述</w:t>
            </w:r>
            <w:r>
              <w:rPr>
                <w:rFonts w:ascii="宋体" w:hAnsi="宋体" w:eastAsia="宋体" w:cs="宋体"/>
                <w:sz w:val="21"/>
                <w:szCs w:val="21"/>
                <w:lang w:val="da-DK"/>
              </w:rPr>
              <w:t>尺寸</w:t>
            </w:r>
            <w:r>
              <w:rPr>
                <w:rFonts w:hint="eastAsia" w:ascii="宋体" w:hAnsi="宋体" w:eastAsia="宋体" w:cs="宋体"/>
                <w:sz w:val="21"/>
                <w:szCs w:val="21"/>
                <w:lang w:val="da-DK"/>
              </w:rPr>
              <w:t>或</w:t>
            </w:r>
            <w:r>
              <w:rPr>
                <w:rFonts w:ascii="宋体" w:hAnsi="宋体" w:eastAsia="宋体" w:cs="宋体"/>
                <w:sz w:val="21"/>
                <w:szCs w:val="21"/>
                <w:lang w:val="da-DK"/>
              </w:rPr>
              <w:t>存在偏差，</w:t>
            </w:r>
            <w:r>
              <w:rPr>
                <w:rFonts w:hint="eastAsia" w:ascii="宋体" w:hAnsi="宋体" w:eastAsia="宋体" w:cs="宋体"/>
                <w:sz w:val="21"/>
                <w:szCs w:val="21"/>
                <w:lang w:val="da-DK"/>
              </w:rPr>
              <w:t>具体以现场</w:t>
            </w:r>
            <w:r>
              <w:rPr>
                <w:rFonts w:ascii="宋体" w:hAnsi="宋体" w:eastAsia="宋体" w:cs="宋体"/>
                <w:sz w:val="21"/>
                <w:szCs w:val="21"/>
                <w:lang w:val="da-DK"/>
              </w:rPr>
              <w:t>实际测量</w:t>
            </w:r>
            <w:r>
              <w:rPr>
                <w:rFonts w:hint="eastAsia" w:ascii="宋体" w:hAnsi="宋体" w:eastAsia="宋体" w:cs="宋体"/>
                <w:sz w:val="21"/>
                <w:szCs w:val="21"/>
                <w:lang w:val="da-DK"/>
              </w:rPr>
              <w:t>为准</w:t>
            </w:r>
            <w:r>
              <w:rPr>
                <w:rFonts w:ascii="宋体" w:hAnsi="宋体" w:eastAsia="宋体" w:cs="宋体"/>
                <w:sz w:val="21"/>
                <w:szCs w:val="21"/>
                <w:lang w:val="da-DK"/>
              </w:rPr>
              <w:t>。</w:t>
            </w:r>
            <w:r>
              <w:rPr>
                <w:rFonts w:hint="eastAsia" w:ascii="宋体" w:hAnsi="宋体" w:eastAsia="宋体" w:cs="宋体"/>
                <w:sz w:val="21"/>
                <w:szCs w:val="21"/>
                <w:lang w:val="da-DK"/>
              </w:rPr>
              <w:t>土建参数以各家电梯单位实际现场工勘为准，土建电梯井道及</w:t>
            </w:r>
            <w:r>
              <w:rPr>
                <w:rFonts w:ascii="宋体" w:hAnsi="宋体" w:eastAsia="宋体" w:cs="宋体"/>
                <w:sz w:val="21"/>
                <w:szCs w:val="21"/>
                <w:lang w:val="da-DK"/>
              </w:rPr>
              <w:t>机房</w:t>
            </w:r>
            <w:r>
              <w:rPr>
                <w:rFonts w:hint="eastAsia" w:ascii="宋体" w:hAnsi="宋体" w:eastAsia="宋体" w:cs="宋体"/>
                <w:sz w:val="21"/>
                <w:szCs w:val="21"/>
                <w:lang w:val="da-DK"/>
              </w:rPr>
              <w:t>整改由各家单位自行承担(包括</w:t>
            </w:r>
            <w:r>
              <w:rPr>
                <w:rFonts w:ascii="宋体" w:hAnsi="宋体" w:eastAsia="宋体" w:cs="宋体"/>
                <w:sz w:val="21"/>
                <w:szCs w:val="21"/>
                <w:lang w:val="da-DK"/>
              </w:rPr>
              <w:t>墙面粉刷、地面铺设</w:t>
            </w:r>
            <w:r>
              <w:rPr>
                <w:rFonts w:hint="eastAsia" w:ascii="宋体" w:hAnsi="宋体" w:eastAsia="宋体" w:cs="宋体"/>
                <w:sz w:val="21"/>
                <w:szCs w:val="21"/>
                <w:lang w:val="da-DK"/>
              </w:rPr>
              <w:t>、</w:t>
            </w:r>
            <w:r>
              <w:rPr>
                <w:rFonts w:ascii="宋体" w:hAnsi="宋体" w:eastAsia="宋体" w:cs="宋体"/>
                <w:sz w:val="21"/>
                <w:szCs w:val="21"/>
                <w:lang w:val="da-DK"/>
              </w:rPr>
              <w:t>照明</w:t>
            </w:r>
            <w:r>
              <w:rPr>
                <w:rFonts w:hint="eastAsia" w:ascii="宋体" w:hAnsi="宋体" w:eastAsia="宋体" w:cs="宋体"/>
                <w:sz w:val="21"/>
                <w:szCs w:val="21"/>
                <w:lang w:val="da-DK"/>
              </w:rPr>
              <w:t>及</w:t>
            </w:r>
            <w:r>
              <w:rPr>
                <w:rFonts w:ascii="宋体" w:hAnsi="宋体" w:eastAsia="宋体" w:cs="宋体"/>
                <w:sz w:val="21"/>
                <w:szCs w:val="21"/>
                <w:lang w:val="da-DK"/>
              </w:rPr>
              <w:t>换气设备更换、</w:t>
            </w:r>
            <w:r>
              <w:rPr>
                <w:rFonts w:hint="eastAsia" w:ascii="宋体" w:hAnsi="宋体" w:eastAsia="宋体" w:cs="宋体"/>
                <w:sz w:val="21"/>
                <w:szCs w:val="21"/>
                <w:lang w:val="da-DK"/>
              </w:rPr>
              <w:t>机房门窗、</w:t>
            </w:r>
            <w:r>
              <w:rPr>
                <w:rFonts w:ascii="宋体" w:hAnsi="宋体" w:eastAsia="宋体" w:cs="宋体"/>
                <w:sz w:val="21"/>
                <w:szCs w:val="21"/>
                <w:lang w:val="da-DK"/>
              </w:rPr>
              <w:t>厅门</w:t>
            </w:r>
            <w:r>
              <w:rPr>
                <w:rFonts w:hint="eastAsia" w:ascii="宋体" w:hAnsi="宋体" w:eastAsia="宋体" w:cs="宋体"/>
                <w:sz w:val="21"/>
                <w:szCs w:val="21"/>
                <w:lang w:val="da-DK"/>
              </w:rPr>
              <w:t>及门套</w:t>
            </w:r>
            <w:r>
              <w:rPr>
                <w:rFonts w:ascii="宋体" w:hAnsi="宋体" w:eastAsia="宋体" w:cs="宋体"/>
                <w:sz w:val="21"/>
                <w:szCs w:val="21"/>
                <w:lang w:val="da-DK"/>
              </w:rPr>
              <w:t>更换</w:t>
            </w:r>
            <w:r>
              <w:rPr>
                <w:rFonts w:hint="eastAsia" w:ascii="宋体" w:hAnsi="宋体" w:eastAsia="宋体" w:cs="宋体"/>
                <w:sz w:val="21"/>
                <w:szCs w:val="21"/>
                <w:lang w:val="da-DK"/>
              </w:rPr>
              <w:t>、</w:t>
            </w:r>
            <w:r>
              <w:rPr>
                <w:rFonts w:ascii="宋体" w:hAnsi="宋体" w:eastAsia="宋体" w:cs="宋体"/>
                <w:sz w:val="21"/>
                <w:szCs w:val="21"/>
                <w:lang w:val="da-DK"/>
              </w:rPr>
              <w:t>供电柜更换</w:t>
            </w:r>
            <w:r>
              <w:rPr>
                <w:rFonts w:hint="eastAsia" w:ascii="宋体" w:hAnsi="宋体" w:eastAsia="宋体" w:cs="宋体"/>
                <w:sz w:val="21"/>
                <w:szCs w:val="21"/>
                <w:lang w:val="da-DK"/>
              </w:rPr>
              <w:t>、恢复</w:t>
            </w:r>
            <w:r>
              <w:rPr>
                <w:rFonts w:ascii="宋体" w:hAnsi="宋体" w:eastAsia="宋体" w:cs="宋体"/>
                <w:sz w:val="21"/>
                <w:szCs w:val="21"/>
                <w:lang w:val="da-DK"/>
              </w:rPr>
              <w:t>消防联动功能</w:t>
            </w:r>
            <w:r>
              <w:rPr>
                <w:rFonts w:hint="eastAsia" w:ascii="宋体" w:hAnsi="宋体" w:eastAsia="宋体" w:cs="宋体"/>
                <w:sz w:val="21"/>
                <w:szCs w:val="21"/>
                <w:lang w:val="da-DK"/>
              </w:rPr>
              <w:t>等。</w:t>
            </w:r>
          </w:p>
          <w:p>
            <w:pPr>
              <w:spacing w:line="320" w:lineRule="exact"/>
              <w:ind w:firstLine="420" w:firstLineChars="200"/>
              <w:rPr>
                <w:rFonts w:ascii="宋体" w:hAnsi="宋体" w:eastAsia="宋体" w:cs="宋体"/>
                <w:b/>
                <w:sz w:val="21"/>
                <w:szCs w:val="21"/>
                <w:u w:val="single"/>
                <w:lang w:val="da-DK"/>
              </w:rPr>
            </w:pPr>
            <w:r>
              <w:rPr>
                <w:rFonts w:hint="eastAsia" w:ascii="宋体" w:hAnsi="宋体" w:eastAsia="宋体" w:cs="宋体"/>
                <w:b/>
                <w:sz w:val="21"/>
                <w:szCs w:val="21"/>
                <w:u w:val="single"/>
                <w:lang w:val="da-DK"/>
              </w:rPr>
              <w:t>现场情况复杂，建议</w:t>
            </w:r>
            <w:r>
              <w:rPr>
                <w:rFonts w:ascii="宋体" w:hAnsi="宋体" w:eastAsia="宋体" w:cs="宋体"/>
                <w:b/>
                <w:sz w:val="21"/>
                <w:szCs w:val="21"/>
                <w:u w:val="single"/>
                <w:lang w:val="da-DK"/>
              </w:rPr>
              <w:t>各供应商须参加现场踏勘。</w:t>
            </w:r>
          </w:p>
        </w:tc>
      </w:tr>
    </w:tbl>
    <w:p>
      <w:pPr>
        <w:pStyle w:val="81"/>
        <w:ind w:firstLine="482"/>
        <w:outlineLvl w:val="2"/>
        <w:rPr>
          <w:b/>
        </w:rPr>
      </w:pPr>
    </w:p>
    <w:p>
      <w:pPr>
        <w:pStyle w:val="81"/>
        <w:ind w:firstLine="482"/>
        <w:outlineLvl w:val="2"/>
        <w:rPr>
          <w:b/>
        </w:rPr>
      </w:pPr>
      <w:r>
        <w:rPr>
          <w:rFonts w:hint="eastAsia"/>
          <w:b/>
        </w:rPr>
        <w:t>（</w:t>
      </w:r>
      <w:r>
        <w:rPr>
          <w:b/>
        </w:rPr>
        <w:t>二）功能要求</w:t>
      </w:r>
    </w:p>
    <w:tbl>
      <w:tblPr>
        <w:tblStyle w:val="24"/>
        <w:tblW w:w="849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872"/>
        <w:gridCol w:w="46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12" w:space="0"/>
              <w:left w:val="single" w:color="auto" w:sz="12" w:space="0"/>
              <w:bottom w:val="single" w:color="auto" w:sz="2" w:space="0"/>
              <w:right w:val="single" w:color="auto" w:sz="2" w:space="0"/>
            </w:tcBorders>
            <w:shd w:val="clear" w:color="auto" w:fill="F1F1F1"/>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安全功能</w:t>
            </w:r>
          </w:p>
        </w:tc>
        <w:tc>
          <w:tcPr>
            <w:tcW w:w="4618" w:type="dxa"/>
            <w:tcBorders>
              <w:top w:val="single" w:color="auto" w:sz="12" w:space="0"/>
              <w:left w:val="single" w:color="auto" w:sz="2" w:space="0"/>
              <w:bottom w:val="single" w:color="auto" w:sz="2" w:space="0"/>
              <w:right w:val="single" w:color="auto" w:sz="12" w:space="0"/>
            </w:tcBorders>
            <w:shd w:val="clear" w:color="auto" w:fill="F1F1F1"/>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外呼重新开门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拯救及故障监测</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光幕保护，自动重开门功能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上行轿厢超速保护</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强制关门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修正运行</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精确再平层，自动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提前开门</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取消轿厢虚假召唤提前开门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滥用、误用保护</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门区指示灯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轿厢照明自动控制</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轿厢安全出口触点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轿厢通风自动控制/手动控制</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救助运行功能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曳引机停止，两个接触器</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轿厢意外移动冗余监测和制动器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轿门机械锁</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轿厢称重装置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紧急轿厢照明，独立照明</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空轿厢分配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应急电源供电</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优化运载流量功能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紧急通讯功能</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五方通话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检修运行</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外呼登录指示灯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维修用开门按钮</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轿内轿厢位置指示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机房内呼，所有楼层</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轿内运行方向指示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禁止开门开关，控制柜内</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禁止外呼开关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井道急停开关</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外呼登录指示灯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872" w:type="dxa"/>
            <w:tcBorders>
              <w:top w:val="single" w:color="auto" w:sz="2" w:space="0"/>
              <w:left w:val="single" w:color="auto" w:sz="12" w:space="0"/>
              <w:bottom w:val="single" w:color="auto" w:sz="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控制柜内急停开关</w:t>
            </w:r>
          </w:p>
        </w:tc>
        <w:tc>
          <w:tcPr>
            <w:tcW w:w="4618" w:type="dxa"/>
            <w:tcBorders>
              <w:top w:val="single" w:color="auto" w:sz="2" w:space="0"/>
              <w:left w:val="single" w:color="auto" w:sz="2" w:space="0"/>
              <w:bottom w:val="single" w:color="auto" w:sz="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轿内轿厢位置指示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3872" w:type="dxa"/>
            <w:tcBorders>
              <w:top w:val="single" w:color="auto" w:sz="2" w:space="0"/>
              <w:left w:val="single" w:color="auto" w:sz="12" w:space="0"/>
              <w:bottom w:val="single" w:color="auto" w:sz="4"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轿顶急停开关</w:t>
            </w:r>
          </w:p>
        </w:tc>
        <w:tc>
          <w:tcPr>
            <w:tcW w:w="4618" w:type="dxa"/>
            <w:tcBorders>
              <w:top w:val="single" w:color="auto" w:sz="2" w:space="0"/>
              <w:left w:val="single" w:color="auto" w:sz="2" w:space="0"/>
              <w:bottom w:val="single" w:color="auto" w:sz="4"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轿内运行方向指示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3872" w:type="dxa"/>
            <w:tcBorders>
              <w:top w:val="single" w:color="auto" w:sz="4" w:space="0"/>
              <w:left w:val="single" w:color="auto" w:sz="12" w:space="0"/>
              <w:bottom w:val="single" w:color="auto" w:sz="12" w:space="0"/>
              <w:right w:val="single" w:color="auto" w:sz="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实时</w:t>
            </w:r>
            <w:r>
              <w:rPr>
                <w:rFonts w:ascii="宋体" w:hAnsi="宋体" w:eastAsia="宋体" w:cs="宋体"/>
                <w:sz w:val="21"/>
                <w:szCs w:val="21"/>
              </w:rPr>
              <w:t>监控</w:t>
            </w:r>
            <w:r>
              <w:rPr>
                <w:rFonts w:hint="eastAsia" w:ascii="宋体" w:hAnsi="宋体" w:eastAsia="宋体" w:cs="宋体"/>
                <w:sz w:val="21"/>
                <w:szCs w:val="21"/>
              </w:rPr>
              <w:t>画面</w:t>
            </w:r>
            <w:r>
              <w:rPr>
                <w:rFonts w:ascii="宋体" w:hAnsi="宋体" w:eastAsia="宋体" w:cs="宋体"/>
                <w:sz w:val="21"/>
                <w:szCs w:val="21"/>
              </w:rPr>
              <w:t>及录像</w:t>
            </w:r>
            <w:r>
              <w:rPr>
                <w:rFonts w:hint="eastAsia" w:ascii="宋体" w:hAnsi="宋体" w:eastAsia="宋体" w:cs="宋体"/>
                <w:sz w:val="21"/>
                <w:szCs w:val="21"/>
              </w:rPr>
              <w:t>及远程</w:t>
            </w:r>
            <w:r>
              <w:rPr>
                <w:rFonts w:ascii="宋体" w:hAnsi="宋体" w:eastAsia="宋体" w:cs="宋体"/>
                <w:sz w:val="21"/>
                <w:szCs w:val="21"/>
              </w:rPr>
              <w:t>监控（存储设备时长须符合国家规定）</w:t>
            </w:r>
          </w:p>
        </w:tc>
        <w:tc>
          <w:tcPr>
            <w:tcW w:w="4618" w:type="dxa"/>
            <w:tcBorders>
              <w:top w:val="single" w:color="auto" w:sz="4" w:space="0"/>
              <w:left w:val="single" w:color="auto" w:sz="2" w:space="0"/>
              <w:bottom w:val="single" w:color="auto" w:sz="12" w:space="0"/>
              <w:right w:val="single" w:color="auto" w:sz="12" w:space="0"/>
            </w:tcBorders>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消防</w:t>
            </w:r>
            <w:r>
              <w:rPr>
                <w:rFonts w:ascii="宋体" w:hAnsi="宋体" w:eastAsia="宋体" w:cs="宋体"/>
                <w:sz w:val="21"/>
                <w:szCs w:val="21"/>
              </w:rPr>
              <w:t>联动功能</w:t>
            </w:r>
          </w:p>
        </w:tc>
      </w:tr>
    </w:tbl>
    <w:p>
      <w:pPr>
        <w:pStyle w:val="81"/>
        <w:ind w:firstLine="482"/>
        <w:outlineLvl w:val="2"/>
        <w:rPr>
          <w:b/>
        </w:rPr>
      </w:pPr>
    </w:p>
    <w:p>
      <w:pPr>
        <w:pStyle w:val="81"/>
        <w:ind w:firstLine="482"/>
        <w:outlineLvl w:val="2"/>
        <w:rPr>
          <w:b/>
        </w:rPr>
      </w:pPr>
      <w:r>
        <w:rPr>
          <w:rFonts w:hint="eastAsia"/>
          <w:b/>
        </w:rPr>
        <w:t>（</w:t>
      </w:r>
      <w:r>
        <w:rPr>
          <w:b/>
        </w:rPr>
        <w:t>三）装潢要求</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394"/>
        <w:gridCol w:w="61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16" w:type="dxa"/>
            <w:gridSpan w:val="2"/>
            <w:tcBorders>
              <w:top w:val="single" w:color="auto" w:sz="12" w:space="0"/>
              <w:left w:val="single" w:color="auto" w:sz="12" w:space="0"/>
              <w:bottom w:val="single" w:color="auto" w:sz="2" w:space="0"/>
              <w:right w:val="single" w:color="auto" w:sz="12" w:space="0"/>
            </w:tcBorders>
            <w:shd w:val="clear" w:color="auto" w:fill="F1F1F1"/>
            <w:vAlign w:val="center"/>
          </w:tcPr>
          <w:p>
            <w:pPr>
              <w:spacing w:line="320" w:lineRule="exact"/>
              <w:rPr>
                <w:rFonts w:ascii="宋体" w:hAnsi="宋体" w:cs="宋体"/>
                <w:b/>
                <w:bCs/>
                <w:sz w:val="21"/>
                <w:szCs w:val="21"/>
                <w:lang w:val="da-DK" w:eastAsia="en-US"/>
              </w:rPr>
            </w:pPr>
            <w:r>
              <w:rPr>
                <w:rFonts w:hint="eastAsia" w:ascii="宋体" w:hAnsi="宋体" w:cs="宋体"/>
                <w:b/>
                <w:bCs/>
                <w:sz w:val="21"/>
                <w:szCs w:val="21"/>
                <w:lang w:val="da-DK" w:eastAsia="en-US"/>
              </w:rPr>
              <w:t>一、轿厢装饰要求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94"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cs="宋体"/>
                <w:sz w:val="21"/>
                <w:szCs w:val="21"/>
                <w:lang w:val="da-DK" w:eastAsia="en-US"/>
              </w:rPr>
            </w:pPr>
            <w:r>
              <w:rPr>
                <w:rFonts w:hint="eastAsia" w:ascii="宋体" w:hAnsi="宋体" w:cs="宋体"/>
                <w:sz w:val="21"/>
                <w:szCs w:val="21"/>
                <w:lang w:val="da-DK" w:eastAsia="en-US"/>
              </w:rPr>
              <w:t>轿厢（后、侧壁）</w:t>
            </w:r>
          </w:p>
        </w:tc>
        <w:tc>
          <w:tcPr>
            <w:tcW w:w="6122"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cs="宋体"/>
                <w:sz w:val="21"/>
                <w:szCs w:val="21"/>
                <w:lang w:val="da-DK"/>
              </w:rPr>
            </w:pPr>
            <w:r>
              <w:rPr>
                <w:rFonts w:hint="eastAsia" w:ascii="宋体" w:hAnsi="宋体" w:cs="宋体"/>
                <w:sz w:val="21"/>
                <w:szCs w:val="21"/>
                <w:lang w:val="da-DK"/>
              </w:rPr>
              <w:t xml:space="preserve">轿厢前壁，两侧壁及后壁发纹304不锈钢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94"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cs="宋体"/>
                <w:sz w:val="21"/>
                <w:szCs w:val="21"/>
                <w:lang w:val="da-DK" w:eastAsia="en-US"/>
              </w:rPr>
            </w:pPr>
            <w:r>
              <w:rPr>
                <w:rFonts w:hint="eastAsia" w:ascii="宋体" w:hAnsi="宋体" w:cs="宋体"/>
                <w:sz w:val="21"/>
                <w:szCs w:val="21"/>
                <w:lang w:val="da-DK" w:eastAsia="en-US"/>
              </w:rPr>
              <w:t>轿门</w:t>
            </w:r>
          </w:p>
        </w:tc>
        <w:tc>
          <w:tcPr>
            <w:tcW w:w="6122"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cs="宋体"/>
                <w:sz w:val="21"/>
                <w:szCs w:val="21"/>
                <w:lang w:val="da-DK" w:eastAsia="en-US"/>
              </w:rPr>
            </w:pPr>
            <w:r>
              <w:rPr>
                <w:rFonts w:hint="eastAsia" w:ascii="宋体" w:hAnsi="宋体" w:cs="宋体"/>
                <w:sz w:val="21"/>
                <w:szCs w:val="21"/>
                <w:lang w:val="da-DK" w:eastAsia="en-US"/>
              </w:rPr>
              <w:t>发纹</w:t>
            </w:r>
            <w:r>
              <w:rPr>
                <w:rFonts w:hint="eastAsia" w:ascii="宋体" w:hAnsi="宋体" w:cs="宋体"/>
                <w:sz w:val="21"/>
                <w:szCs w:val="21"/>
                <w:lang w:val="da-DK"/>
              </w:rPr>
              <w:t>304</w:t>
            </w:r>
            <w:r>
              <w:rPr>
                <w:rFonts w:hint="eastAsia" w:ascii="宋体" w:hAnsi="宋体" w:cs="宋体"/>
                <w:sz w:val="21"/>
                <w:szCs w:val="21"/>
                <w:lang w:val="da-DK" w:eastAsia="en-US"/>
              </w:rPr>
              <w:t>不锈钢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94"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cs="宋体"/>
                <w:sz w:val="21"/>
                <w:szCs w:val="21"/>
                <w:lang w:val="da-DK" w:eastAsia="en-US"/>
              </w:rPr>
            </w:pPr>
            <w:r>
              <w:rPr>
                <w:rFonts w:hint="eastAsia" w:ascii="宋体" w:hAnsi="宋体" w:cs="宋体"/>
                <w:sz w:val="21"/>
                <w:szCs w:val="21"/>
                <w:lang w:val="da-DK" w:eastAsia="en-US"/>
              </w:rPr>
              <w:t>轿顶</w:t>
            </w:r>
          </w:p>
        </w:tc>
        <w:tc>
          <w:tcPr>
            <w:tcW w:w="6122"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cs="宋体"/>
                <w:sz w:val="21"/>
                <w:szCs w:val="21"/>
                <w:lang w:val="da-DK"/>
              </w:rPr>
            </w:pPr>
            <w:r>
              <w:rPr>
                <w:rFonts w:hint="eastAsia" w:ascii="宋体" w:hAnsi="宋体" w:cs="宋体"/>
                <w:sz w:val="21"/>
                <w:szCs w:val="21"/>
                <w:lang w:val="da-DK"/>
              </w:rPr>
              <w:t>标准配置，LED 高效节能专用灯具，视频监控摄像头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94"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cs="宋体"/>
                <w:sz w:val="21"/>
                <w:szCs w:val="21"/>
                <w:lang w:val="da-DK" w:eastAsia="en-US"/>
              </w:rPr>
            </w:pPr>
            <w:r>
              <w:rPr>
                <w:rFonts w:hint="eastAsia" w:ascii="宋体" w:hAnsi="宋体" w:cs="宋体"/>
                <w:sz w:val="21"/>
                <w:szCs w:val="21"/>
                <w:lang w:val="da-DK" w:eastAsia="en-US"/>
              </w:rPr>
              <w:t>轿厢地板</w:t>
            </w:r>
          </w:p>
        </w:tc>
        <w:tc>
          <w:tcPr>
            <w:tcW w:w="6122"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cs="宋体"/>
                <w:sz w:val="21"/>
                <w:szCs w:val="21"/>
                <w:lang w:val="da-DK" w:eastAsia="en-US"/>
              </w:rPr>
            </w:pPr>
            <w:r>
              <w:rPr>
                <w:rFonts w:hint="eastAsia" w:ascii="宋体" w:hAnsi="宋体" w:cs="宋体"/>
                <w:sz w:val="21"/>
                <w:szCs w:val="21"/>
                <w:lang w:val="da-DK" w:eastAsia="en-US"/>
              </w:rPr>
              <w:t>PVC 耐磨地板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94"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cs="宋体"/>
                <w:sz w:val="21"/>
                <w:szCs w:val="21"/>
                <w:lang w:val="da-DK"/>
              </w:rPr>
            </w:pPr>
            <w:r>
              <w:rPr>
                <w:rFonts w:hint="eastAsia" w:ascii="宋体" w:hAnsi="宋体" w:cs="宋体"/>
                <w:sz w:val="21"/>
                <w:szCs w:val="21"/>
                <w:lang w:val="da-DK"/>
              </w:rPr>
              <w:t>轿厢操纵箱及轿内指示器</w:t>
            </w:r>
          </w:p>
        </w:tc>
        <w:tc>
          <w:tcPr>
            <w:tcW w:w="6122"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cs="宋体"/>
                <w:sz w:val="21"/>
                <w:szCs w:val="21"/>
                <w:lang w:val="da-DK"/>
              </w:rPr>
            </w:pPr>
            <w:r>
              <w:rPr>
                <w:rFonts w:hint="eastAsia" w:ascii="宋体" w:hAnsi="宋体" w:cs="宋体"/>
                <w:sz w:val="21"/>
                <w:szCs w:val="21"/>
                <w:lang w:val="da-DK"/>
              </w:rPr>
              <w:t>≥9英寸液晶显示（黑色背景），银色发纹304不锈钢抗指纹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16" w:type="dxa"/>
            <w:gridSpan w:val="2"/>
            <w:tcBorders>
              <w:top w:val="single" w:color="auto" w:sz="2" w:space="0"/>
              <w:left w:val="single" w:color="auto" w:sz="12" w:space="0"/>
              <w:bottom w:val="single" w:color="auto" w:sz="2" w:space="0"/>
              <w:right w:val="single" w:color="auto" w:sz="12" w:space="0"/>
            </w:tcBorders>
            <w:vAlign w:val="center"/>
          </w:tcPr>
          <w:p>
            <w:pPr>
              <w:spacing w:line="320" w:lineRule="exact"/>
              <w:rPr>
                <w:rFonts w:ascii="宋体" w:hAnsi="宋体" w:cs="宋体"/>
                <w:sz w:val="21"/>
                <w:szCs w:val="21"/>
                <w:lang w:val="da-DK" w:eastAsia="en-US"/>
              </w:rPr>
            </w:pPr>
            <w:r>
              <w:rPr>
                <w:rFonts w:hint="eastAsia" w:ascii="宋体" w:hAnsi="宋体" w:cs="宋体"/>
                <w:b/>
                <w:bCs/>
                <w:sz w:val="21"/>
                <w:szCs w:val="21"/>
                <w:lang w:val="da-DK" w:eastAsia="en-US"/>
              </w:rPr>
              <w:t>二、候梯厅门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94" w:type="dxa"/>
            <w:tcBorders>
              <w:top w:val="single" w:color="auto" w:sz="2" w:space="0"/>
              <w:left w:val="single" w:color="auto" w:sz="12" w:space="0"/>
              <w:bottom w:val="single" w:color="auto" w:sz="2" w:space="0"/>
              <w:right w:val="single" w:color="auto" w:sz="2" w:space="0"/>
            </w:tcBorders>
            <w:vAlign w:val="center"/>
          </w:tcPr>
          <w:p>
            <w:pPr>
              <w:spacing w:line="320" w:lineRule="exact"/>
              <w:jc w:val="center"/>
              <w:rPr>
                <w:rFonts w:ascii="宋体" w:hAnsi="宋体" w:cs="宋体"/>
                <w:sz w:val="21"/>
                <w:szCs w:val="21"/>
                <w:lang w:val="da-DK" w:eastAsia="en-US"/>
              </w:rPr>
            </w:pPr>
            <w:r>
              <w:rPr>
                <w:rFonts w:hint="eastAsia" w:ascii="宋体" w:hAnsi="宋体" w:cs="宋体"/>
                <w:sz w:val="21"/>
                <w:szCs w:val="21"/>
                <w:lang w:val="da-DK" w:eastAsia="en-US"/>
              </w:rPr>
              <w:t>厅门及小门套</w:t>
            </w:r>
          </w:p>
        </w:tc>
        <w:tc>
          <w:tcPr>
            <w:tcW w:w="6122" w:type="dxa"/>
            <w:tcBorders>
              <w:top w:val="single" w:color="auto" w:sz="2" w:space="0"/>
              <w:left w:val="single" w:color="auto" w:sz="2" w:space="0"/>
              <w:bottom w:val="single" w:color="auto" w:sz="2" w:space="0"/>
              <w:right w:val="single" w:color="auto" w:sz="12" w:space="0"/>
            </w:tcBorders>
            <w:vAlign w:val="center"/>
          </w:tcPr>
          <w:p>
            <w:pPr>
              <w:spacing w:line="320" w:lineRule="exact"/>
              <w:rPr>
                <w:rFonts w:ascii="宋体" w:hAnsi="宋体" w:cs="宋体"/>
                <w:sz w:val="21"/>
                <w:szCs w:val="21"/>
                <w:lang w:val="da-DK"/>
              </w:rPr>
            </w:pPr>
            <w:r>
              <w:rPr>
                <w:rFonts w:hint="eastAsia" w:ascii="宋体" w:hAnsi="宋体" w:cs="宋体"/>
                <w:sz w:val="21"/>
                <w:szCs w:val="21"/>
                <w:lang w:val="da-DK"/>
              </w:rPr>
              <w:t>首层发纹不锈钢，其他层表面粉末静电喷涂处理钢板，厅门大门套装饰银色发纹不锈钢及大理石装饰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394" w:type="dxa"/>
            <w:tcBorders>
              <w:top w:val="single" w:color="auto" w:sz="2" w:space="0"/>
              <w:left w:val="single" w:color="auto" w:sz="12" w:space="0"/>
              <w:bottom w:val="single" w:color="auto" w:sz="12" w:space="0"/>
              <w:right w:val="single" w:color="auto" w:sz="2" w:space="0"/>
            </w:tcBorders>
            <w:vAlign w:val="center"/>
          </w:tcPr>
          <w:p>
            <w:pPr>
              <w:spacing w:line="320" w:lineRule="exact"/>
              <w:jc w:val="center"/>
              <w:rPr>
                <w:rFonts w:ascii="宋体" w:hAnsi="宋体" w:cs="宋体"/>
                <w:sz w:val="21"/>
                <w:szCs w:val="21"/>
                <w:lang w:val="da-DK" w:eastAsia="en-US"/>
              </w:rPr>
            </w:pPr>
            <w:r>
              <w:rPr>
                <w:rFonts w:hint="eastAsia" w:ascii="宋体" w:hAnsi="宋体" w:cs="宋体"/>
                <w:sz w:val="21"/>
                <w:szCs w:val="21"/>
                <w:lang w:val="da-DK" w:eastAsia="en-US"/>
              </w:rPr>
              <w:t>显示器及外召显示</w:t>
            </w:r>
          </w:p>
        </w:tc>
        <w:tc>
          <w:tcPr>
            <w:tcW w:w="6122" w:type="dxa"/>
            <w:tcBorders>
              <w:top w:val="single" w:color="auto" w:sz="2" w:space="0"/>
              <w:left w:val="single" w:color="auto" w:sz="2" w:space="0"/>
              <w:bottom w:val="single" w:color="auto" w:sz="12" w:space="0"/>
              <w:right w:val="single" w:color="auto" w:sz="12" w:space="0"/>
            </w:tcBorders>
            <w:vAlign w:val="center"/>
          </w:tcPr>
          <w:p>
            <w:pPr>
              <w:spacing w:line="320" w:lineRule="exact"/>
              <w:rPr>
                <w:rFonts w:ascii="宋体" w:hAnsi="宋体" w:cs="宋体"/>
                <w:sz w:val="21"/>
                <w:szCs w:val="21"/>
                <w:lang w:val="da-DK"/>
              </w:rPr>
            </w:pPr>
            <w:r>
              <w:rPr>
                <w:rFonts w:hint="eastAsia" w:ascii="宋体" w:hAnsi="宋体" w:cs="宋体"/>
                <w:sz w:val="21"/>
                <w:szCs w:val="21"/>
                <w:lang w:val="da-DK"/>
              </w:rPr>
              <w:t>一体式层站召唤，段码液晶显示，银色发丝不锈钢抗指纹</w:t>
            </w:r>
          </w:p>
        </w:tc>
      </w:tr>
    </w:tbl>
    <w:p>
      <w:pPr>
        <w:pStyle w:val="3"/>
        <w:jc w:val="both"/>
      </w:pPr>
      <w:r>
        <w:rPr>
          <w:rFonts w:hint="eastAsia"/>
        </w:rPr>
        <w:t>四、服务要求</w:t>
      </w:r>
    </w:p>
    <w:p>
      <w:pPr>
        <w:ind w:firstLine="480" w:firstLineChars="200"/>
        <w:jc w:val="both"/>
      </w:pPr>
      <w:r>
        <w:rPr>
          <w:rFonts w:hint="eastAsia"/>
        </w:rPr>
        <w:t>为保证本合同设备的运行质量，合同设备的安装、调试和维修保养工作应由供应商负责并提供24个月的维修保养，</w:t>
      </w:r>
      <w:r>
        <w:t>费用已包含在合同总价</w:t>
      </w:r>
      <w:r>
        <w:rPr>
          <w:rFonts w:hint="eastAsia"/>
        </w:rPr>
        <w:t>中。在质量保证期内，供应商应提供以下保修服务：</w:t>
      </w:r>
    </w:p>
    <w:p>
      <w:pPr>
        <w:ind w:firstLine="480" w:firstLineChars="200"/>
        <w:jc w:val="both"/>
      </w:pPr>
      <w:r>
        <w:rPr>
          <w:rFonts w:hint="eastAsia"/>
        </w:rPr>
        <w:t>（1）供应商为采购人提供设备的维修、保养服务，并承担所需费用；若设备重要部位发生更换或返修，供应商应及时通报采购人，并获采购人同意，更换件或返修件的保修期为重新安装正常运行后的一年。</w:t>
      </w:r>
    </w:p>
    <w:p>
      <w:pPr>
        <w:ind w:firstLine="480" w:firstLineChars="200"/>
        <w:jc w:val="both"/>
      </w:pPr>
      <w:r>
        <w:rPr>
          <w:rFonts w:hint="eastAsia"/>
        </w:rPr>
        <w:t>（2）保修期内外，设备送修时，供应商须同时提供相同的部件供采购人使用，且临时代用部件应与送修部件版本相同。</w:t>
      </w:r>
    </w:p>
    <w:p>
      <w:pPr>
        <w:ind w:firstLine="480" w:firstLineChars="200"/>
        <w:jc w:val="both"/>
      </w:pPr>
      <w:r>
        <w:rPr>
          <w:rFonts w:hint="eastAsia"/>
        </w:rPr>
        <w:t>（3）保修期内，供应商提供24小时全天候即时响应服务，提供服务的任何费用均由供应商承担，供应商承诺在保修期间（含节假日）内产品出现故障后保证30分钟内到现场维修，确保电梯正常使用。</w:t>
      </w:r>
    </w:p>
    <w:p>
      <w:pPr>
        <w:pStyle w:val="3"/>
        <w:jc w:val="both"/>
      </w:pPr>
      <w:r>
        <w:rPr>
          <w:rFonts w:hint="eastAsia"/>
        </w:rPr>
        <w:t>五、商务要求</w:t>
      </w:r>
    </w:p>
    <w:p>
      <w:pPr>
        <w:ind w:firstLine="480" w:firstLineChars="200"/>
        <w:jc w:val="both"/>
      </w:pPr>
      <w:r>
        <w:rPr>
          <w:rFonts w:hint="eastAsia"/>
        </w:rPr>
        <w:t>（</w:t>
      </w:r>
      <w:r>
        <w:t>一</w:t>
      </w:r>
      <w:r>
        <w:rPr>
          <w:rFonts w:hint="eastAsia"/>
        </w:rPr>
        <w:t>）交付期：自合同签订之日起45个日历日完成全部项目内容，并交付采购人验收合格。</w:t>
      </w:r>
    </w:p>
    <w:p>
      <w:pPr>
        <w:ind w:firstLine="480" w:firstLineChars="200"/>
        <w:jc w:val="both"/>
      </w:pPr>
      <w:r>
        <w:rPr>
          <w:rFonts w:hint="eastAsia"/>
        </w:rPr>
        <w:t>（二</w:t>
      </w:r>
      <w:r>
        <w:t>）</w:t>
      </w:r>
      <w:r>
        <w:rPr>
          <w:rFonts w:hint="eastAsia"/>
        </w:rPr>
        <w:t>款项结算</w:t>
      </w:r>
    </w:p>
    <w:p>
      <w:pPr>
        <w:ind w:firstLine="480" w:firstLineChars="200"/>
        <w:jc w:val="both"/>
      </w:pPr>
      <w:r>
        <w:rPr>
          <w:rFonts w:hint="eastAsia"/>
        </w:rPr>
        <w:t>验收合格后10个工作日内支付全部合同价款。采购人付款前，成交供应商应先提供合法、有效的增值税专用发票，经甲方确认；否则，采购人有权拒绝付款且不承担任何责任。</w:t>
      </w:r>
    </w:p>
    <w:p>
      <w:pPr>
        <w:pStyle w:val="3"/>
        <w:jc w:val="both"/>
      </w:pPr>
      <w:r>
        <w:rPr>
          <w:rFonts w:hint="eastAsia"/>
        </w:rPr>
        <w:t>六</w:t>
      </w:r>
      <w:r>
        <w:t>、</w:t>
      </w:r>
      <w:r>
        <w:rPr>
          <w:rFonts w:hint="eastAsia"/>
        </w:rPr>
        <w:t>质量</w:t>
      </w:r>
      <w:r>
        <w:t>要求</w:t>
      </w:r>
    </w:p>
    <w:p>
      <w:pPr>
        <w:ind w:firstLine="480" w:firstLineChars="200"/>
        <w:jc w:val="both"/>
      </w:pPr>
      <w:r>
        <w:t>（一）</w:t>
      </w:r>
      <w:r>
        <w:rPr>
          <w:rFonts w:hint="eastAsia"/>
        </w:rPr>
        <w:t>质量标准</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本合同电梯设备严格遵照下述中华人民共和国质量标准制造和安装：</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1、电梯制造与安装安全规范（GB7588-2020）</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2、电梯安装验收规范（GB/T 10060-2023）</w:t>
      </w:r>
    </w:p>
    <w:p>
      <w:pPr>
        <w:ind w:firstLine="480" w:firstLineChars="200"/>
        <w:jc w:val="both"/>
      </w:pPr>
      <w:r>
        <w:rPr>
          <w:rFonts w:hint="eastAsia"/>
        </w:rPr>
        <w:t>（二）质保期</w:t>
      </w:r>
    </w:p>
    <w:p>
      <w:pPr>
        <w:pStyle w:val="81"/>
        <w:ind w:firstLine="480"/>
      </w:pPr>
      <w:r>
        <w:rPr>
          <w:rFonts w:hint="eastAsia"/>
        </w:rPr>
        <w:t>验收合格之日起</w:t>
      </w:r>
      <w:r>
        <w:t>二年。</w:t>
      </w:r>
    </w:p>
    <w:p>
      <w:pPr>
        <w:pStyle w:val="3"/>
        <w:jc w:val="both"/>
      </w:pPr>
      <w:r>
        <w:rPr>
          <w:rFonts w:hint="eastAsia"/>
        </w:rPr>
        <w:t>七</w:t>
      </w:r>
      <w:r>
        <w:t>、</w:t>
      </w:r>
      <w:r>
        <w:rPr>
          <w:rFonts w:hint="eastAsia"/>
        </w:rPr>
        <w:t>违约责任</w:t>
      </w:r>
    </w:p>
    <w:p>
      <w:pPr>
        <w:pStyle w:val="81"/>
        <w:ind w:firstLine="480"/>
        <w:rPr>
          <w:rFonts w:cs="Times New Roman" w:asciiTheme="minorHAnsi" w:hAnsiTheme="minorHAnsi" w:eastAsiaTheme="minorEastAsia"/>
          <w:color w:val="auto"/>
          <w:kern w:val="0"/>
        </w:rPr>
      </w:pPr>
      <w:r>
        <w:rPr>
          <w:rFonts w:hint="eastAsia" w:cs="Times New Roman" w:asciiTheme="minorHAnsi" w:hAnsiTheme="minorHAnsi" w:eastAsiaTheme="minorEastAsia"/>
          <w:color w:val="auto"/>
          <w:kern w:val="0"/>
        </w:rPr>
        <w:t>1、供应商由于非不可抗力原因，造成不能按时完成电梯安装，则供应商应向采购人支付违约赔偿金0.5%/日。逾期达10天的，采购人有权解除合同，并要求供应商承担相应的违约金。</w:t>
      </w:r>
    </w:p>
    <w:p>
      <w:pPr>
        <w:pStyle w:val="81"/>
        <w:ind w:firstLine="480"/>
        <w:rPr>
          <w:rFonts w:cs="Times New Roman" w:asciiTheme="minorHAnsi" w:hAnsiTheme="minorHAnsi" w:eastAsiaTheme="minorEastAsia"/>
          <w:color w:val="auto"/>
          <w:kern w:val="0"/>
        </w:rPr>
      </w:pPr>
      <w:r>
        <w:rPr>
          <w:rFonts w:hint="eastAsia" w:cs="Times New Roman" w:asciiTheme="minorHAnsi" w:hAnsiTheme="minorHAnsi" w:eastAsiaTheme="minorEastAsia"/>
          <w:color w:val="auto"/>
          <w:kern w:val="0"/>
        </w:rPr>
        <w:t>2、任何一方对由于不可抗力所产生的任何结果（包括损失和延期交货）不承担责任。受不可抗力影响的一方应在不可抗力事故发生后尽快通知对方，并于事故发生后十四（14）天内将事故发生地的有关当局出具的证明文件用航空信（或任何更快的方法）寄给对方审阅确认。一旦不可抗力事故持续十周以上，双方应通过友好协商修改本合同的条款。</w:t>
      </w:r>
    </w:p>
    <w:p>
      <w:pPr>
        <w:pStyle w:val="81"/>
        <w:ind w:firstLine="480"/>
        <w:rPr>
          <w:rFonts w:cs="Times New Roman" w:asciiTheme="minorHAnsi" w:hAnsiTheme="minorHAnsi" w:eastAsiaTheme="minorEastAsia"/>
          <w:color w:val="auto"/>
          <w:kern w:val="0"/>
        </w:rPr>
      </w:pPr>
      <w:r>
        <w:rPr>
          <w:rFonts w:hint="eastAsia" w:cs="Times New Roman" w:asciiTheme="minorHAnsi" w:hAnsiTheme="minorHAnsi" w:eastAsiaTheme="minorEastAsia"/>
          <w:color w:val="auto"/>
          <w:kern w:val="0"/>
        </w:rPr>
        <w:t>3、合同履行过程中，甲乙双方任何一方要求变更合同内容的，应在本合同约定日期30日内以书面形式通知对方，并征得对方的书面认可。</w:t>
      </w:r>
    </w:p>
    <w:p>
      <w:pPr>
        <w:pStyle w:val="81"/>
        <w:ind w:firstLine="480"/>
        <w:rPr>
          <w:rFonts w:cs="Times New Roman" w:asciiTheme="minorHAnsi" w:hAnsiTheme="minorHAnsi" w:eastAsiaTheme="minorEastAsia"/>
          <w:color w:val="auto"/>
          <w:kern w:val="0"/>
        </w:rPr>
      </w:pPr>
      <w:r>
        <w:rPr>
          <w:rFonts w:hint="eastAsia" w:cs="Times New Roman" w:asciiTheme="minorHAnsi" w:hAnsiTheme="minorHAnsi" w:eastAsiaTheme="minorEastAsia"/>
          <w:color w:val="auto"/>
          <w:kern w:val="0"/>
        </w:rPr>
        <w:t>4、除不可抗力及合同约定的情况外，甲乙双方中任何一方单方废止合同的，须向对方赔偿违约金，违约金为本合同总价的20%。</w:t>
      </w:r>
    </w:p>
    <w:p>
      <w:pPr>
        <w:pStyle w:val="81"/>
        <w:ind w:firstLine="0" w:firstLineChars="0"/>
      </w:pPr>
    </w:p>
    <w:p>
      <w:pPr>
        <w:pStyle w:val="81"/>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2"/>
        <w:spacing w:before="230" w:after="230"/>
        <w:rPr>
          <w:color w:val="C00000"/>
        </w:rPr>
      </w:pPr>
      <w:bookmarkStart w:id="10" w:name="_Toc199340283"/>
      <w:r>
        <w:rPr>
          <w:rFonts w:hint="eastAsia"/>
        </w:rPr>
        <w:t>第四章　合同草案条款</w:t>
      </w:r>
      <w:bookmarkEnd w:id="10"/>
    </w:p>
    <w:p>
      <w:pPr>
        <w:spacing w:before="230" w:beforeLines="50"/>
        <w:ind w:firstLine="480" w:firstLineChars="200"/>
        <w:jc w:val="both"/>
        <w:rPr>
          <w:b/>
        </w:rPr>
      </w:pPr>
      <w:r>
        <w:rPr>
          <w:b/>
        </w:rPr>
        <w:t>甲方（采购人）：</w:t>
      </w:r>
      <w:r>
        <w:rPr>
          <w:rFonts w:hint="eastAsia"/>
          <w:b/>
          <w:color w:val="C00000"/>
          <w:u w:val="single"/>
        </w:rPr>
        <w:t>西安文理学院</w:t>
      </w:r>
    </w:p>
    <w:p>
      <w:pPr>
        <w:ind w:firstLine="480" w:firstLineChars="200"/>
        <w:jc w:val="both"/>
        <w:rPr>
          <w:b/>
        </w:rPr>
      </w:pPr>
      <w:r>
        <w:rPr>
          <w:b/>
        </w:rPr>
        <w:t>乙方（成交供应商）：</w:t>
      </w:r>
      <w:r>
        <w:rPr>
          <w:color w:val="C00000"/>
        </w:rPr>
        <w:t>_________________</w:t>
      </w:r>
    </w:p>
    <w:p>
      <w:pPr>
        <w:spacing w:before="230" w:beforeLines="50"/>
        <w:jc w:val="both"/>
        <w:rPr>
          <w:rFonts w:cs="Calibri Light"/>
          <w:b/>
        </w:rPr>
      </w:pPr>
      <w:r>
        <w:rPr>
          <w:rFonts w:cs="Calibri Light"/>
          <w:b/>
        </w:rPr>
        <w:t>一、供货条件：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（一）供货地点：甲方指定地点。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（二）交付期：</w:t>
      </w:r>
      <w:r>
        <w:rPr>
          <w:rFonts w:hint="eastAsia" w:asciiTheme="minorHAnsi" w:hAnsiTheme="minorHAnsi" w:eastAsiaTheme="minorEastAsia"/>
          <w:sz w:val="24"/>
          <w:szCs w:val="24"/>
        </w:rPr>
        <w:t>自合同签订之日起</w:t>
      </w:r>
      <w:r>
        <w:rPr>
          <w:rFonts w:asciiTheme="minorHAnsi" w:hAnsiTheme="minorHAnsi" w:eastAsiaTheme="minorEastAsia"/>
          <w:sz w:val="24"/>
          <w:szCs w:val="24"/>
          <w:u w:val="single"/>
        </w:rPr>
        <w:t xml:space="preserve">    </w:t>
      </w:r>
      <w:r>
        <w:rPr>
          <w:rFonts w:hint="eastAsia" w:asciiTheme="minorHAnsi" w:hAnsiTheme="minorHAnsi" w:eastAsiaTheme="minorEastAsia"/>
          <w:sz w:val="24"/>
          <w:szCs w:val="24"/>
        </w:rPr>
        <w:t>个日历日完成全部项目内容，并交付采购人验收合格。</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（三）质保期：_______________</w:t>
      </w:r>
    </w:p>
    <w:p>
      <w:pPr>
        <w:spacing w:before="230" w:beforeLines="50"/>
        <w:jc w:val="both"/>
        <w:rPr>
          <w:rFonts w:cs="Calibri Light"/>
          <w:b/>
        </w:rPr>
      </w:pPr>
      <w:r>
        <w:rPr>
          <w:rFonts w:cs="Calibri Light"/>
          <w:b/>
        </w:rPr>
        <w:t>二、合同价款</w:t>
      </w:r>
    </w:p>
    <w:p>
      <w:pPr>
        <w:ind w:firstLine="480" w:firstLineChars="200"/>
        <w:jc w:val="both"/>
      </w:pPr>
      <w:r>
        <w:t>（一）本合同项下总价款为人民币_________元（小写，精确到小数点后两位），即__________（大写）。合同履行期间，合同总价固定不变，不受市场价格变化因素的影响。</w:t>
      </w:r>
    </w:p>
    <w:p>
      <w:pPr>
        <w:ind w:firstLine="480" w:firstLineChars="200"/>
        <w:jc w:val="both"/>
      </w:pPr>
      <w:r>
        <w:t>（二）总报价包括完成本项目所需的</w:t>
      </w:r>
      <w:r>
        <w:rPr>
          <w:rFonts w:hint="eastAsia"/>
        </w:rPr>
        <w:t>设备购置费</w:t>
      </w:r>
      <w:r>
        <w:t>、设计费、运杂费（含保险费用）、安装调试费、售后服务费、备品备件费、税金及合理利润等全部费用。采购人不再额外承担其他任何费用。</w:t>
      </w:r>
    </w:p>
    <w:p>
      <w:pPr>
        <w:ind w:firstLine="480" w:firstLineChars="200"/>
        <w:jc w:val="both"/>
      </w:pPr>
      <w:r>
        <w:t>（三）伴随服务（费用包含在总报价内）：全部设备的技术设计、运输、安装调试、摆放位置或地点变更、人员培训、售后服务、含税等费用。</w:t>
      </w:r>
    </w:p>
    <w:p>
      <w:pPr>
        <w:spacing w:before="230" w:beforeLines="50"/>
        <w:jc w:val="both"/>
        <w:rPr>
          <w:rFonts w:cs="Calibri Light"/>
          <w:b/>
        </w:rPr>
      </w:pPr>
      <w:r>
        <w:rPr>
          <w:rFonts w:cs="Calibri Light"/>
          <w:b/>
        </w:rPr>
        <w:t>三、款项结算</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（一）付款进度：</w:t>
      </w:r>
    </w:p>
    <w:p>
      <w:pPr>
        <w:pStyle w:val="40"/>
        <w:spacing w:line="240" w:lineRule="auto"/>
        <w:ind w:firstLine="480" w:firstLineChars="200"/>
        <w:jc w:val="both"/>
        <w:rPr>
          <w:rFonts w:asciiTheme="minorHAnsi" w:hAnsiTheme="minorHAnsi" w:eastAsiaTheme="minorEastAsia"/>
        </w:rPr>
      </w:pPr>
      <w:r>
        <w:rPr>
          <w:rFonts w:hint="eastAsia" w:asciiTheme="minorHAnsi" w:hAnsiTheme="minorHAnsi" w:eastAsiaTheme="minorEastAsia"/>
          <w:sz w:val="24"/>
          <w:szCs w:val="24"/>
        </w:rPr>
        <w:t>验收合格后10个工作日内支付全部合同价款。采购人付款前，成交供应商应先提供合法、有效的增值税专用发票，经甲方确认；否则，采购人有权拒绝付款且不承担任何责任。</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（三）结算方式：交付期满后填写政府采购项目验收单（一式伍份），发票（按合同总价直开甲方），乙方持成交通知书、政府采购合同、发票、政府采购项目验收单，与甲方结算。</w:t>
      </w:r>
    </w:p>
    <w:p>
      <w:pPr>
        <w:spacing w:before="230" w:beforeLines="50"/>
        <w:jc w:val="both"/>
        <w:rPr>
          <w:rFonts w:cs="Calibri Light"/>
          <w:b/>
        </w:rPr>
      </w:pPr>
      <w:r>
        <w:rPr>
          <w:rFonts w:cs="Calibri Light"/>
          <w:b/>
        </w:rPr>
        <w:t>四、双方的权利和义务</w:t>
      </w:r>
    </w:p>
    <w:p>
      <w:pPr>
        <w:pStyle w:val="40"/>
        <w:spacing w:line="240" w:lineRule="auto"/>
        <w:ind w:firstLine="480" w:firstLineChars="200"/>
        <w:jc w:val="both"/>
        <w:rPr>
          <w:rFonts w:asciiTheme="minorHAnsi" w:hAnsiTheme="minorHAnsi" w:eastAsiaTheme="minorEastAsia"/>
          <w:b/>
          <w:vanish/>
          <w:sz w:val="24"/>
          <w:szCs w:val="24"/>
        </w:rPr>
      </w:pPr>
      <w:r>
        <w:rPr>
          <w:rFonts w:asciiTheme="minorHAnsi" w:hAnsiTheme="minorHAnsi" w:eastAsiaTheme="minorEastAsia"/>
          <w:b/>
          <w:sz w:val="24"/>
          <w:szCs w:val="24"/>
        </w:rPr>
        <w:t>（一）甲方的权利和义务</w:t>
      </w:r>
    </w:p>
    <w:p>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1、甲方有权要求供应商所供电梯</w:t>
      </w:r>
      <w:r>
        <w:rPr>
          <w:rFonts w:asciiTheme="minorHAnsi" w:hAnsiTheme="minorHAnsi" w:eastAsiaTheme="minorEastAsia"/>
          <w:sz w:val="24"/>
          <w:szCs w:val="24"/>
        </w:rPr>
        <w:t>及安装施工</w:t>
      </w:r>
      <w:r>
        <w:rPr>
          <w:rFonts w:hint="eastAsia" w:asciiTheme="minorHAnsi" w:hAnsiTheme="minorHAnsi" w:eastAsiaTheme="minorEastAsia"/>
          <w:sz w:val="24"/>
          <w:szCs w:val="24"/>
        </w:rPr>
        <w:t>容符合国家相关规范，符合甲方验收标准。</w:t>
      </w:r>
    </w:p>
    <w:p>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2、甲方应积极配合货物的收货以及验收，不得无故拒收货物。</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3、甲方有义务保证按合同所规定的内容及时间支付供应商相关费用。</w:t>
      </w:r>
    </w:p>
    <w:p>
      <w:pPr>
        <w:pStyle w:val="40"/>
        <w:widowControl w:val="0"/>
        <w:spacing w:before="230" w:beforeLines="50" w:line="240" w:lineRule="auto"/>
        <w:ind w:firstLine="480" w:firstLineChars="200"/>
        <w:jc w:val="both"/>
        <w:rPr>
          <w:rFonts w:asciiTheme="minorHAnsi" w:hAnsiTheme="minorHAnsi" w:eastAsiaTheme="minorEastAsia"/>
          <w:b/>
          <w:sz w:val="24"/>
          <w:szCs w:val="24"/>
        </w:rPr>
      </w:pPr>
      <w:r>
        <w:rPr>
          <w:rFonts w:asciiTheme="minorHAnsi" w:hAnsiTheme="minorHAnsi" w:eastAsiaTheme="minorEastAsia"/>
          <w:b/>
          <w:sz w:val="24"/>
          <w:szCs w:val="24"/>
        </w:rPr>
        <w:t>（二）乙方的权利和义务</w:t>
      </w:r>
    </w:p>
    <w:p>
      <w:pPr>
        <w:ind w:firstLine="480" w:firstLineChars="200"/>
      </w:pPr>
      <w:r>
        <w:rPr>
          <w:rFonts w:hint="eastAsia"/>
        </w:rPr>
        <w:t>1、乙方应保证采购人在使用该货物时不受第三方提出侵犯其专利权、版权、商标权或其他权利的起诉。</w:t>
      </w:r>
    </w:p>
    <w:p>
      <w:pPr>
        <w:ind w:firstLine="480" w:firstLineChars="200"/>
      </w:pPr>
      <w:r>
        <w:rPr>
          <w:rFonts w:hint="eastAsia"/>
        </w:rPr>
        <w:t>2、乙方保证所供产品进货渠道正规，完全符合国家规范及本合同关于货物数量、质量的要求；无假货、水货或翻新货，并能按期交付。</w:t>
      </w:r>
    </w:p>
    <w:p>
      <w:pPr>
        <w:ind w:firstLine="480" w:firstLineChars="200"/>
      </w:pPr>
      <w:r>
        <w:rPr>
          <w:rFonts w:hint="eastAsia"/>
        </w:rPr>
        <w:t>3、乙方提交的货物应符合投标文件中所记载的详细配置、技术参数、参数及性能，并应附有此类货物完整、详细的技术资料和说明文件。</w:t>
      </w:r>
    </w:p>
    <w:p>
      <w:pPr>
        <w:ind w:firstLine="480" w:firstLineChars="200"/>
      </w:pPr>
      <w:r>
        <w:rPr>
          <w:rFonts w:hint="eastAsia"/>
        </w:rPr>
        <w:t>4、乙方保证货物不存在危及人身及财产安全的产品缺陷，否则应承担全部法律责任。</w:t>
      </w:r>
    </w:p>
    <w:p>
      <w:pPr>
        <w:ind w:firstLine="480" w:firstLineChars="200"/>
      </w:pPr>
      <w:r>
        <w:rPr>
          <w:rFonts w:hint="eastAsia"/>
        </w:rPr>
        <w:t>5、乙方所供产品因侵权而产生的一切后果由供应商负责，甲方保留索赔权力。</w:t>
      </w:r>
    </w:p>
    <w:p>
      <w:pPr>
        <w:spacing w:before="230" w:beforeLines="50"/>
        <w:jc w:val="both"/>
        <w:rPr>
          <w:rFonts w:cs="Calibri Light"/>
          <w:b/>
        </w:rPr>
      </w:pPr>
      <w:r>
        <w:rPr>
          <w:rFonts w:cs="Calibri Light"/>
          <w:b/>
        </w:rPr>
        <w:t>五、</w:t>
      </w:r>
      <w:r>
        <w:rPr>
          <w:rFonts w:hint="eastAsia" w:cs="Calibri Light"/>
          <w:b/>
        </w:rPr>
        <w:t>售后服务</w:t>
      </w:r>
    </w:p>
    <w:p>
      <w:pPr>
        <w:spacing w:line="400" w:lineRule="exact"/>
        <w:ind w:firstLine="480" w:firstLineChars="200"/>
        <w:jc w:val="both"/>
      </w:pPr>
      <w:r>
        <w:rPr>
          <w:rFonts w:hint="eastAsia"/>
        </w:rPr>
        <w:t>（</w:t>
      </w:r>
      <w:r>
        <w:t>一）</w:t>
      </w:r>
      <w:r>
        <w:rPr>
          <w:rFonts w:hint="eastAsia"/>
        </w:rPr>
        <w:t>质量保证期：所投产品及整体系统自甲方签发最终验收合格证书之日起___年，若该质量保证期小于国家标准，则以国家标准为准。</w:t>
      </w:r>
    </w:p>
    <w:p>
      <w:pPr>
        <w:spacing w:line="400" w:lineRule="exact"/>
        <w:ind w:firstLine="480" w:firstLineChars="200"/>
        <w:jc w:val="both"/>
      </w:pPr>
      <w:r>
        <w:rPr>
          <w:rFonts w:hint="eastAsia"/>
        </w:rPr>
        <w:t>（</w:t>
      </w:r>
      <w:r>
        <w:t>二）</w:t>
      </w:r>
      <w:r>
        <w:rPr>
          <w:rFonts w:hint="eastAsia"/>
        </w:rPr>
        <w:t>为保证本合同设备的运行质量，合同设备的安装、调试和维修保养工作应由乙方负责并提供24个月的维修保养，</w:t>
      </w:r>
      <w:r>
        <w:t>费用</w:t>
      </w:r>
      <w:r>
        <w:rPr>
          <w:rFonts w:hint="eastAsia"/>
        </w:rPr>
        <w:t>已</w:t>
      </w:r>
      <w:r>
        <w:t>包含在</w:t>
      </w:r>
      <w:r>
        <w:rPr>
          <w:rFonts w:hint="eastAsia"/>
        </w:rPr>
        <w:t>合同总价中。在质量保证期内，乙方应提供以下保修服务：</w:t>
      </w:r>
    </w:p>
    <w:p>
      <w:pPr>
        <w:spacing w:line="400" w:lineRule="exact"/>
        <w:ind w:firstLine="480" w:firstLineChars="200"/>
        <w:jc w:val="both"/>
      </w:pPr>
      <w:r>
        <w:rPr>
          <w:rFonts w:hint="eastAsia"/>
        </w:rPr>
        <w:t>1、乙方为甲方提供设备的维修、保养服务，并承担所需费用；若设备重要部位发生更换或返修，乙方应及时通报甲方，并获甲方同意，更换件或返修件的保修期为重新安装正常运行后的一年。</w:t>
      </w:r>
    </w:p>
    <w:p>
      <w:pPr>
        <w:spacing w:line="400" w:lineRule="exact"/>
        <w:ind w:firstLine="480" w:firstLineChars="200"/>
        <w:jc w:val="both"/>
      </w:pPr>
      <w:r>
        <w:rPr>
          <w:rFonts w:hint="eastAsia"/>
        </w:rPr>
        <w:t>2、保修期内外，设备送修时，乙方须同时提供相同的部件供甲方使用，且临时代用部件应与送修部件版本相同。</w:t>
      </w:r>
    </w:p>
    <w:p>
      <w:pPr>
        <w:spacing w:line="400" w:lineRule="exact"/>
        <w:ind w:firstLine="480" w:firstLineChars="200"/>
        <w:jc w:val="both"/>
      </w:pPr>
      <w:r>
        <w:rPr>
          <w:rFonts w:hint="eastAsia"/>
        </w:rPr>
        <w:t>3、保修期内，乙方提供24小时全天候即时响应服务，提供服务的任何费用均由乙方承担，乙方承诺在保修期间（含节假日）内产品出现故障后保证30分钟内到现场维修，确保电梯正常使用。</w:t>
      </w:r>
    </w:p>
    <w:p>
      <w:pPr>
        <w:spacing w:line="400" w:lineRule="exact"/>
        <w:ind w:firstLine="480" w:firstLineChars="200"/>
        <w:jc w:val="both"/>
      </w:pPr>
      <w:r>
        <w:rPr>
          <w:rFonts w:hint="eastAsia"/>
        </w:rPr>
        <w:t>（三）人员培训</w:t>
      </w:r>
    </w:p>
    <w:p>
      <w:pPr>
        <w:ind w:firstLine="480" w:firstLineChars="200"/>
        <w:jc w:val="both"/>
      </w:pPr>
      <w:r>
        <w:rPr>
          <w:rFonts w:hint="eastAsia"/>
        </w:rPr>
        <w:t>提供产品的现场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pPr>
        <w:spacing w:before="230" w:beforeLines="50"/>
        <w:jc w:val="both"/>
        <w:rPr>
          <w:rFonts w:cs="Calibri Light"/>
          <w:b/>
        </w:rPr>
      </w:pPr>
      <w:r>
        <w:rPr>
          <w:rFonts w:hint="eastAsia" w:cs="Calibri Light"/>
          <w:b/>
        </w:rPr>
        <w:t>六</w:t>
      </w:r>
      <w:r>
        <w:rPr>
          <w:rFonts w:cs="Calibri Light"/>
          <w:b/>
        </w:rPr>
        <w:t>、知识产权及承诺</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（一）乙方保证所提供的货物或其任何一部分均不会侵犯任何第三方的专利权、商标权、著作权或其他合法权益，否则视为乙方违约，由此产生的一切损失由乙方承担。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pPr>
        <w:spacing w:before="230" w:beforeLines="50"/>
        <w:jc w:val="both"/>
        <w:rPr>
          <w:rFonts w:cs="Calibri Light"/>
          <w:b/>
        </w:rPr>
      </w:pPr>
      <w:r>
        <w:rPr>
          <w:rFonts w:hint="eastAsia" w:cs="Calibri Light"/>
          <w:b/>
        </w:rPr>
        <w:t>七</w:t>
      </w:r>
      <w:r>
        <w:rPr>
          <w:rFonts w:cs="Calibri Light"/>
          <w:b/>
        </w:rPr>
        <w:t>、包装</w:t>
      </w:r>
      <w:r>
        <w:rPr>
          <w:rFonts w:hint="eastAsia" w:cs="Calibri Light"/>
          <w:b/>
        </w:rPr>
        <w:t>和</w:t>
      </w:r>
      <w:r>
        <w:rPr>
          <w:rFonts w:cs="Calibri Light"/>
          <w:b/>
        </w:rPr>
        <w:t>运输</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（一）产品及其备附件的包装应为出厂时的原包装，包装内应附有详细的装箱清单、出厂合格证明及其他相关资料。</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（二）运输由乙方负责，运杂费已包含在合同价款内，包括从产品供应地点运送至交付地点所含的运输费、装卸费、仓储费、保险费等。</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（三）运输方式由乙方自行选择，但必须保证按期交付。</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（四）乙方提供的产品及相关快递服务的包装要求，应该</w:t>
      </w:r>
      <w:r>
        <w:rPr>
          <w:rFonts w:asciiTheme="minorHAnsi" w:hAnsiTheme="minorHAnsi" w:eastAsiaTheme="minorEastAsia"/>
          <w:sz w:val="24"/>
          <w:szCs w:val="24"/>
        </w:rPr>
        <w:t>严格</w:t>
      </w:r>
      <w:r>
        <w:rPr>
          <w:rFonts w:hint="eastAsia" w:asciiTheme="minorHAnsi" w:hAnsiTheme="minorHAnsi" w:eastAsiaTheme="minorEastAsia"/>
          <w:sz w:val="24"/>
          <w:szCs w:val="24"/>
        </w:rPr>
        <w:t>按照《商品包装政府采购需求标准（试行）》、《快递包装政府采购需求标准（试行）》（财库办〔2020﹞123号）文件执行。</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（五）产品及其备附件到达甲方指定地点后，乙方应按有关技术规程和甲方要求进行存放和保管。</w:t>
      </w:r>
    </w:p>
    <w:p>
      <w:pPr>
        <w:spacing w:before="230" w:beforeLines="50"/>
        <w:jc w:val="both"/>
        <w:rPr>
          <w:rFonts w:cs="Calibri Light"/>
          <w:b/>
        </w:rPr>
      </w:pPr>
      <w:r>
        <w:rPr>
          <w:rFonts w:hint="eastAsia" w:cs="Calibri Light"/>
          <w:b/>
        </w:rPr>
        <w:t>八</w:t>
      </w:r>
      <w:r>
        <w:rPr>
          <w:rFonts w:cs="Calibri Light"/>
          <w:b/>
        </w:rPr>
        <w:t>、验收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（一）全部货物送达指定地点后，甲方有权委托相关质检单位对其进行抽样检测，抽样检测费用由乙方承担。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（二）项目完工后，乙方向甲方发出验收申请。甲方组织乙方（必要时请有关专家）进行验收，验收合格后，填写政府采购项目验收单（一式伍份）作为对项目的最终认可。</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（三）乙方向甲方提供实施过程中的所有资料，以便甲方日后管理和维护。</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（四）验收要求：</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甲方组建验收小组，按国家有关规定规范进行验收，若无国家标准按行业标准验收，必要时邀请相关专业人员或机构参与验收。因货物质量问题发生争议时，由甲方当地质量技术监督部门鉴定。货物符合质量技术标准的，鉴定费由甲方承担；否则鉴定费由乙方承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2．乙方须为验收提供必需的一切条件及相关费用。其标准不能低于响应文件中所承诺的质量要求。</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（五）验收依据：</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1．谈判文件、响应文件、澄清表（函）；</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2．本合同及其附件；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pPr>
        <w:spacing w:before="230" w:beforeLines="50"/>
        <w:jc w:val="both"/>
        <w:rPr>
          <w:rFonts w:cs="Calibri Light"/>
          <w:b/>
        </w:rPr>
      </w:pPr>
      <w:r>
        <w:rPr>
          <w:rFonts w:hint="eastAsia" w:cs="Calibri Light"/>
          <w:b/>
        </w:rPr>
        <w:t>九</w:t>
      </w:r>
      <w:r>
        <w:rPr>
          <w:rFonts w:cs="Calibri Light"/>
          <w:b/>
        </w:rPr>
        <w:t>、违约责任</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（一）违约责任：</w:t>
      </w:r>
    </w:p>
    <w:p>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1、乙方由于非不可抗力原因，造成不能按时完成电梯安装，则乙方应向甲方支付违约赔偿金0.5%/日。逾期达10天的，甲方有权解除合同，并要求乙方承担相应的违约金。</w:t>
      </w:r>
    </w:p>
    <w:p>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任何一方对由于不可抗力所产生的任何结果（包括损失和延期交货）不承担责任。受不可抗力影响的一方应在不可抗力事故发生后尽快通知对方，并于事故发生后十四（14）天内将事故发生地的有关当局出具的证明文件用航空信（或任何更快的方法）寄给对方审阅确认。一旦不可抗力事故持续十周以上，双方应通过友好协商修改本合同的条款。</w:t>
      </w:r>
    </w:p>
    <w:p>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3、合同履行过程中，甲乙双方任何一方要求变更合同内容的，应在本合同约定日期30日内以书面形式通知对方，并征得对方的书面认可。</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4、除不可抗力及合同约定的情况外，甲乙双方中任何一方单方废止合同的，须向对方赔偿违约金，违约金为本合同总价的20%。</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（二）其他违约责任由双方平等协商后补充。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before="230" w:beforeLines="50"/>
        <w:jc w:val="both"/>
        <w:rPr>
          <w:rFonts w:cs="Calibri Light"/>
          <w:b/>
        </w:rPr>
      </w:pPr>
      <w:r>
        <w:rPr>
          <w:rFonts w:hint="eastAsia" w:cs="Calibri Light"/>
          <w:b/>
        </w:rPr>
        <w:t>十</w:t>
      </w:r>
      <w:r>
        <w:rPr>
          <w:rFonts w:cs="Calibri Light"/>
          <w:b/>
        </w:rPr>
        <w:t>、合同的变更和修改、中止和终止</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pPr>
        <w:spacing w:before="230" w:beforeLines="50"/>
        <w:jc w:val="both"/>
        <w:rPr>
          <w:rFonts w:cs="Calibri Light"/>
          <w:b/>
        </w:rPr>
      </w:pPr>
      <w:r>
        <w:rPr>
          <w:rFonts w:hint="eastAsia" w:cs="Calibri Light"/>
          <w:b/>
        </w:rPr>
        <w:t>十一</w:t>
      </w:r>
      <w:r>
        <w:rPr>
          <w:rFonts w:cs="Calibri Light"/>
          <w:b/>
        </w:rPr>
        <w:t>、保密条款</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（一）乙方应遵守国家有关保密的法律法规和行业规定，并对甲方提供的资料负有保密义务。</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（二）本条款为独立条款，本合同的无效、变更、解除和终止均不影响本条款的效力。</w:t>
      </w:r>
    </w:p>
    <w:p>
      <w:pPr>
        <w:spacing w:before="230" w:beforeLines="50"/>
        <w:jc w:val="both"/>
        <w:rPr>
          <w:rFonts w:cs="Calibri Light"/>
          <w:b/>
        </w:rPr>
      </w:pPr>
      <w:r>
        <w:rPr>
          <w:rFonts w:cs="Calibri Light"/>
          <w:b/>
        </w:rPr>
        <w:t>十</w:t>
      </w:r>
      <w:r>
        <w:rPr>
          <w:rFonts w:hint="eastAsia" w:cs="Calibri Light"/>
          <w:b/>
        </w:rPr>
        <w:t>二</w:t>
      </w:r>
      <w:r>
        <w:rPr>
          <w:rFonts w:cs="Calibri Light"/>
          <w:b/>
        </w:rPr>
        <w:t>、争议解决</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pPr>
        <w:wordWrap w:val="0"/>
        <w:ind w:firstLine="480" w:firstLineChars="200"/>
        <w:jc w:val="both"/>
      </w:pPr>
      <w:r>
        <w:t>（二）凡与本合同有关的一切争议，双方应通过友好协商解决。如协商后仍不能达成协议时，按下列第2种方式解决。</w:t>
      </w:r>
    </w:p>
    <w:p>
      <w:pPr>
        <w:wordWrap w:val="0"/>
        <w:ind w:firstLine="480" w:firstLineChars="200"/>
        <w:jc w:val="both"/>
      </w:pPr>
      <w:r>
        <w:t>1．提交西安仲裁委员会。</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pPr>
        <w:spacing w:before="230" w:beforeLines="50"/>
        <w:jc w:val="both"/>
        <w:rPr>
          <w:rFonts w:cs="Calibri Light"/>
          <w:b/>
        </w:rPr>
      </w:pPr>
      <w:r>
        <w:rPr>
          <w:rFonts w:cs="Calibri Light"/>
          <w:b/>
        </w:rPr>
        <w:t>十</w:t>
      </w:r>
      <w:r>
        <w:rPr>
          <w:rFonts w:hint="eastAsia" w:cs="Calibri Light"/>
          <w:b/>
        </w:rPr>
        <w:t>三</w:t>
      </w:r>
      <w:r>
        <w:rPr>
          <w:rFonts w:cs="Calibri Light"/>
          <w:b/>
        </w:rPr>
        <w:t>、不可抗力</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pPr>
        <w:spacing w:before="230" w:beforeLines="50"/>
        <w:jc w:val="both"/>
        <w:rPr>
          <w:rFonts w:cs="Calibri Light"/>
          <w:b/>
        </w:rPr>
      </w:pPr>
      <w:r>
        <w:rPr>
          <w:rFonts w:cs="Calibri Light"/>
          <w:b/>
        </w:rPr>
        <w:t>十</w:t>
      </w:r>
      <w:r>
        <w:rPr>
          <w:rFonts w:hint="eastAsia" w:cs="Calibri Light"/>
          <w:b/>
        </w:rPr>
        <w:t>四</w:t>
      </w:r>
      <w:r>
        <w:rPr>
          <w:rFonts w:cs="Calibri Light"/>
          <w:b/>
        </w:rPr>
        <w:t>、合同生效及其他</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p>
    <w:p>
      <w:pPr>
        <w:pStyle w:val="40"/>
        <w:spacing w:line="240" w:lineRule="auto"/>
        <w:ind w:firstLine="480" w:firstLineChars="200"/>
        <w:jc w:val="both"/>
        <w:rPr>
          <w:rFonts w:asciiTheme="minorHAnsi" w:hAnsiTheme="minorHAnsi" w:eastAsiaTheme="minorEastAsia"/>
          <w:color w:val="7030A0"/>
          <w:sz w:val="24"/>
          <w:szCs w:val="24"/>
        </w:rPr>
      </w:pPr>
      <w:r>
        <w:rPr>
          <w:rFonts w:asciiTheme="minorHAnsi" w:hAnsiTheme="minorHAnsi" w:eastAsiaTheme="minorEastAsia"/>
          <w:sz w:val="24"/>
          <w:szCs w:val="24"/>
        </w:rPr>
        <w:t>（三）未尽事宜由双方在签订合同时具体明确或签订补充合同。</w:t>
      </w:r>
    </w:p>
    <w:p>
      <w:pPr>
        <w:pStyle w:val="40"/>
        <w:spacing w:line="240" w:lineRule="auto"/>
        <w:ind w:firstLine="560" w:firstLineChars="200"/>
        <w:jc w:val="both"/>
        <w:rPr>
          <w:rFonts w:asciiTheme="minorHAnsi" w:hAnsiTheme="minorHAnsi" w:eastAsiaTheme="minorEastAsia"/>
          <w:color w:val="7030A0"/>
          <w:sz w:val="24"/>
          <w:szCs w:val="24"/>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r>
        <w:br w:type="page"/>
      </w:r>
    </w:p>
    <w:p>
      <w:pPr>
        <w:pStyle w:val="2"/>
        <w:spacing w:before="230" w:after="230"/>
      </w:pPr>
      <w:bookmarkStart w:id="11" w:name="_Toc199340284"/>
      <w:r>
        <w:rPr>
          <w:rFonts w:hint="eastAsia"/>
        </w:rPr>
        <w:t>第五章　响应文件构成及格式</w:t>
      </w:r>
      <w:bookmarkEnd w:id="11"/>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cstheme="minorHAnsi"/>
          <w:b/>
          <w:color w:val="C00000"/>
          <w:sz w:val="44"/>
          <w:szCs w:val="44"/>
        </w:rPr>
      </w:pPr>
      <w:r>
        <w:rPr>
          <w:rFonts w:hint="eastAsia" w:cstheme="minorHAnsi"/>
          <w:b/>
          <w:color w:val="C00000"/>
          <w:sz w:val="44"/>
          <w:szCs w:val="44"/>
        </w:rPr>
        <w:t>［</w:t>
      </w:r>
      <w:r>
        <w:rPr>
          <w:rFonts w:cstheme="minorHAnsi"/>
          <w:b/>
          <w:color w:val="C00000"/>
          <w:sz w:val="44"/>
          <w:szCs w:val="44"/>
        </w:rPr>
        <w:t>项目名称</w:t>
      </w:r>
      <w:r>
        <w:rPr>
          <w:rFonts w:hint="eastAsia" w:cstheme="minorHAnsi"/>
          <w:b/>
          <w:color w:val="C00000"/>
          <w:sz w:val="44"/>
          <w:szCs w:val="44"/>
        </w:rPr>
        <w:t>］</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color w:val="C00000"/>
          <w:sz w:val="36"/>
        </w:rPr>
      </w:pPr>
      <w:r>
        <w:rPr>
          <w:rFonts w:cstheme="minorHAnsi"/>
          <w:sz w:val="36"/>
        </w:rPr>
        <w:t>采购包：__________________</w:t>
      </w:r>
    </w:p>
    <w:p>
      <w:pPr>
        <w:ind w:firstLine="1684" w:firstLineChars="468"/>
        <w:rPr>
          <w:rFonts w:cstheme="minorHAnsi"/>
          <w:sz w:val="36"/>
          <w:u w:val="single"/>
        </w:rPr>
      </w:pPr>
      <w:r>
        <w:rPr>
          <w:rFonts w:cstheme="minorHAnsi"/>
          <w:sz w:val="36"/>
        </w:rPr>
        <w:t>时　间：__________________</w:t>
      </w:r>
    </w:p>
    <w:p>
      <w:pPr>
        <w:jc w:val="both"/>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谈判邀请函自行填写</w:t>
      </w:r>
      <w:r>
        <w:rPr>
          <w:rFonts w:cstheme="minorHAnsi"/>
          <w:sz w:val="28"/>
          <w:szCs w:val="28"/>
        </w:rPr>
        <w:t>。</w:t>
      </w: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的谈判文件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（项目未划分采购包时留空或填写“/”，全文同）的采购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1．我方已详细阅读了谈判文件，完全理解并同意谈判文件的所有事项及内容。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西安市）上发布的关于本项目的有关变更公告（包括但不限于对谈判文件做出的修改或澄清、答疑纪要，以及项目暂停、重启、延期、终止等）。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．我方响应文件在谈判之日起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（3）遵照谈判文件中的要求，完成本项目的合同责任和义务。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jc w:val="both"/>
      </w:pPr>
    </w:p>
    <w:p>
      <w:pPr>
        <w:ind w:firstLine="567"/>
        <w:jc w:val="both"/>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pP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firstLine="120" w:firstLineChars="50"/>
              <w:rPr>
                <w:rFonts w:cstheme="minorHAnsi"/>
                <w:b/>
                <w:color w:val="000000"/>
              </w:rPr>
            </w:pPr>
            <w:r>
              <w:rPr>
                <w:rFonts w:cstheme="minorHAnsi"/>
                <w:b/>
                <w:color w:val="000000"/>
              </w:rPr>
              <w:t>项目</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b/>
              </w:rPr>
              <w:t>谈判报价（元）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b/>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p>
            <w:pPr>
              <w:spacing w:line="440" w:lineRule="exact"/>
              <w:jc w:val="center"/>
              <w:rPr>
                <w:rFonts w:cstheme="minorHAnsi"/>
                <w:b/>
                <w:color w:val="000000"/>
              </w:rPr>
            </w:pPr>
            <w:r>
              <w:rPr>
                <w:rFonts w:hint="eastAsia" w:cstheme="minorHAnsi"/>
                <w:color w:val="C00000"/>
                <w:sz w:val="21"/>
                <w:szCs w:val="21"/>
              </w:rPr>
              <w:t>采购包</w:t>
            </w:r>
            <w:r>
              <w:rPr>
                <w:rFonts w:cstheme="minorHAnsi"/>
                <w:color w:val="C00000"/>
                <w:sz w:val="21"/>
                <w:szCs w:val="21"/>
              </w:rPr>
              <w:t>［___］</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jc w:val="both"/>
        <w:rPr>
          <w:kern w:val="24"/>
        </w:rPr>
      </w:pPr>
      <w:r>
        <w:rPr>
          <w:kern w:val="24"/>
        </w:rPr>
        <w:t>〖注〗以下情况按无效响应处理：</w:t>
      </w:r>
    </w:p>
    <w:p>
      <w:pPr>
        <w:ind w:firstLine="480" w:firstLineChars="200"/>
        <w:jc w:val="both"/>
        <w:rPr>
          <w:kern w:val="24"/>
        </w:rPr>
      </w:pPr>
      <w:r>
        <w:rPr>
          <w:kern w:val="24"/>
        </w:rPr>
        <w:t>1．A栏未按阿拉伯小写金额样式填写，B栏未填写交付期。</w:t>
      </w:r>
    </w:p>
    <w:p>
      <w:pPr>
        <w:ind w:firstLine="480" w:firstLineChars="200"/>
        <w:jc w:val="both"/>
        <w:rPr>
          <w:kern w:val="24"/>
        </w:rPr>
      </w:pPr>
      <w:r>
        <w:rPr>
          <w:kern w:val="24"/>
        </w:rPr>
        <w:t>2．本表A栏值与分项报价表中的“合计”值不一致的。</w:t>
      </w:r>
    </w:p>
    <w:p>
      <w:pPr>
        <w:ind w:firstLine="480" w:firstLineChars="200"/>
        <w:jc w:val="both"/>
        <w:rPr>
          <w:kern w:val="24"/>
        </w:rPr>
      </w:pPr>
      <w:r>
        <w:rPr>
          <w:kern w:val="24"/>
        </w:rPr>
        <w:t>3．</w:t>
      </w:r>
      <w:r>
        <w:rPr>
          <w:rFonts w:hint="eastAsia"/>
          <w:kern w:val="24"/>
        </w:rPr>
        <w:t>谈判报价</w:t>
      </w:r>
      <w:r>
        <w:rPr>
          <w:kern w:val="24"/>
        </w:rPr>
        <w:t>超过本</w:t>
      </w:r>
      <w:r>
        <w:rPr>
          <w:rFonts w:hint="eastAsia"/>
          <w:kern w:val="24"/>
        </w:rPr>
        <w:t>项目</w:t>
      </w:r>
      <w:r>
        <w:rPr>
          <w:kern w:val="24"/>
        </w:rPr>
        <w:t>预算的。</w:t>
      </w:r>
    </w:p>
    <w:p>
      <w:pPr>
        <w:pStyle w:val="40"/>
        <w:jc w:val="both"/>
        <w:rPr>
          <w:rFonts w:hAnsi="华文仿宋"/>
        </w:rPr>
      </w:pPr>
    </w:p>
    <w:p>
      <w:pPr>
        <w:pStyle w:val="40"/>
        <w:ind w:firstLine="560" w:firstLineChars="200"/>
        <w:jc w:val="both"/>
        <w:rPr>
          <w:rFonts w:hAnsi="华文仿宋"/>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pPr>
        <w:pStyle w:val="49"/>
      </w:pPr>
      <w:r>
        <w:rPr>
          <w:rFonts w:hint="eastAsia"/>
        </w:rPr>
        <w:t>分项报价</w:t>
      </w:r>
      <w:r>
        <w:t>表</w:t>
      </w:r>
    </w:p>
    <w:p>
      <w:pPr>
        <w:pStyle w:val="40"/>
        <w:jc w:val="both"/>
        <w:rPr>
          <w:rFonts w:asciiTheme="minorHAnsi" w:hAnsiTheme="minorHAnsi" w:eastAsiaTheme="minorEastAsia"/>
          <w:vanish/>
          <w:color w:val="00B050"/>
          <w:sz w:val="24"/>
          <w:szCs w:val="24"/>
        </w:rPr>
      </w:pPr>
      <w:r>
        <w:rPr>
          <w:rFonts w:asciiTheme="minorHAnsi" w:hAnsiTheme="minorHAnsi" w:eastAsiaTheme="minorEastAsia"/>
          <w:sz w:val="24"/>
          <w:szCs w:val="24"/>
        </w:rPr>
        <w:t>采购包：</w:t>
      </w:r>
      <w:r>
        <w:rPr>
          <w:rFonts w:asciiTheme="minorHAnsi" w:hAnsiTheme="minorHAnsi" w:eastAsiaTheme="minorEastAsia" w:cstheme="minorHAnsi"/>
          <w:color w:val="C00000"/>
          <w:sz w:val="24"/>
          <w:szCs w:val="24"/>
        </w:rPr>
        <w:t>第［___］包</w:t>
      </w:r>
    </w:p>
    <w:tbl>
      <w:tblPr>
        <w:tblStyle w:val="24"/>
        <w:tblW w:w="140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5"/>
        <w:gridCol w:w="1558"/>
        <w:gridCol w:w="1418"/>
        <w:gridCol w:w="3842"/>
        <w:gridCol w:w="2409"/>
        <w:gridCol w:w="993"/>
        <w:gridCol w:w="1364"/>
        <w:gridCol w:w="17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一</w:t>
            </w:r>
          </w:p>
        </w:tc>
        <w:tc>
          <w:tcPr>
            <w:tcW w:w="13338" w:type="dxa"/>
            <w:gridSpan w:val="7"/>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产品购置费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序号</w:t>
            </w:r>
          </w:p>
        </w:tc>
        <w:tc>
          <w:tcPr>
            <w:tcW w:w="155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标的名称</w:t>
            </w:r>
          </w:p>
        </w:tc>
        <w:tc>
          <w:tcPr>
            <w:tcW w:w="141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品牌和型号</w:t>
            </w:r>
          </w:p>
        </w:tc>
        <w:tc>
          <w:tcPr>
            <w:tcW w:w="3842" w:type="dxa"/>
            <w:shd w:val="clear" w:color="auto" w:fill="F1F1F1" w:themeFill="background1" w:themeFillShade="F2"/>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制造商</w:t>
            </w:r>
          </w:p>
        </w:tc>
        <w:tc>
          <w:tcPr>
            <w:tcW w:w="2409"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规格</w:t>
            </w:r>
          </w:p>
        </w:tc>
        <w:tc>
          <w:tcPr>
            <w:tcW w:w="993"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数量</w:t>
            </w:r>
          </w:p>
        </w:tc>
        <w:tc>
          <w:tcPr>
            <w:tcW w:w="1364"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单价</w:t>
            </w:r>
          </w:p>
        </w:tc>
        <w:tc>
          <w:tcPr>
            <w:tcW w:w="1754"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二</w:t>
            </w:r>
          </w:p>
        </w:tc>
        <w:tc>
          <w:tcPr>
            <w:tcW w:w="13338" w:type="dxa"/>
            <w:gridSpan w:val="7"/>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其他费用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序号</w:t>
            </w:r>
          </w:p>
        </w:tc>
        <w:tc>
          <w:tcPr>
            <w:tcW w:w="155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费用名称</w:t>
            </w:r>
          </w:p>
        </w:tc>
        <w:tc>
          <w:tcPr>
            <w:tcW w:w="7669" w:type="dxa"/>
            <w:gridSpan w:val="3"/>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费用描述</w:t>
            </w:r>
          </w:p>
        </w:tc>
        <w:tc>
          <w:tcPr>
            <w:tcW w:w="993"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数量</w:t>
            </w:r>
          </w:p>
        </w:tc>
        <w:tc>
          <w:tcPr>
            <w:tcW w:w="1364" w:type="dxa"/>
            <w:shd w:val="clear" w:color="auto" w:fill="F1F1F1" w:themeFill="background1" w:themeFillShade="F2"/>
            <w:vAlign w:val="center"/>
          </w:tcPr>
          <w:p>
            <w:pPr>
              <w:spacing w:line="320" w:lineRule="exact"/>
              <w:jc w:val="center"/>
              <w:rPr>
                <w:rFonts w:cs="Calibri Light"/>
                <w:b/>
                <w:bCs/>
                <w:sz w:val="21"/>
                <w:szCs w:val="21"/>
              </w:rPr>
            </w:pPr>
            <w:r>
              <w:rPr>
                <w:rFonts w:cs="Calibri Light"/>
                <w:b/>
                <w:bCs/>
                <w:sz w:val="21"/>
                <w:szCs w:val="21"/>
              </w:rPr>
              <w:t>单价</w:t>
            </w:r>
          </w:p>
        </w:tc>
        <w:tc>
          <w:tcPr>
            <w:tcW w:w="1754" w:type="dxa"/>
            <w:shd w:val="clear" w:color="auto" w:fill="F1F1F1" w:themeFill="background1" w:themeFillShade="F2"/>
            <w:vAlign w:val="center"/>
          </w:tcPr>
          <w:p>
            <w:pPr>
              <w:spacing w:line="320" w:lineRule="exact"/>
              <w:jc w:val="center"/>
              <w:rPr>
                <w:rFonts w:cs="Calibri Light"/>
                <w:b/>
                <w:bCs/>
                <w:sz w:val="21"/>
                <w:szCs w:val="21"/>
              </w:rPr>
            </w:pPr>
            <w:r>
              <w:rPr>
                <w:rFonts w:cs="Calibri Light"/>
                <w:b/>
                <w:bCs/>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2289" w:type="dxa"/>
            <w:gridSpan w:val="7"/>
            <w:shd w:val="clear" w:color="auto" w:fill="auto"/>
            <w:vAlign w:val="center"/>
          </w:tcPr>
          <w:p>
            <w:pPr>
              <w:spacing w:line="320" w:lineRule="exact"/>
              <w:jc w:val="center"/>
              <w:rPr>
                <w:rFonts w:cs="Calibri Light"/>
                <w:b/>
                <w:bCs/>
                <w:sz w:val="21"/>
                <w:szCs w:val="21"/>
              </w:rPr>
            </w:pPr>
            <w:r>
              <w:rPr>
                <w:rFonts w:cs="Calibri Light"/>
                <w:b/>
                <w:bCs/>
                <w:sz w:val="21"/>
                <w:szCs w:val="21"/>
              </w:rPr>
              <w:t>合计</w:t>
            </w:r>
          </w:p>
        </w:tc>
        <w:tc>
          <w:tcPr>
            <w:tcW w:w="1754" w:type="dxa"/>
            <w:shd w:val="clear" w:color="auto" w:fill="auto"/>
            <w:vAlign w:val="center"/>
          </w:tcPr>
          <w:p>
            <w:pPr>
              <w:spacing w:line="320" w:lineRule="exact"/>
              <w:jc w:val="center"/>
              <w:rPr>
                <w:rFonts w:cs="Calibri Light"/>
                <w:b/>
                <w:bCs/>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tabs>
          <w:tab w:val="right" w:pos="9070"/>
        </w:tabs>
        <w:spacing w:line="440" w:lineRule="exact"/>
        <w:jc w:val="both"/>
        <w:rPr>
          <w:rFonts w:cs="Calibri Light"/>
          <w:bCs/>
        </w:rPr>
      </w:pPr>
      <w:r>
        <w:rPr>
          <w:rFonts w:cs="Calibri Light"/>
        </w:rPr>
        <w:t>说明</w:t>
      </w:r>
      <w:r>
        <w:rPr>
          <w:rFonts w:cs="Calibri Light"/>
          <w:bCs/>
        </w:rPr>
        <w:t>：1．品名、规格（如有）、单位、应依据第三章「采购内容」逐项填写。</w:t>
      </w:r>
    </w:p>
    <w:p>
      <w:pPr>
        <w:tabs>
          <w:tab w:val="right" w:pos="9070"/>
        </w:tabs>
        <w:spacing w:line="440" w:lineRule="exact"/>
        <w:ind w:firstLine="720" w:firstLineChars="300"/>
        <w:jc w:val="both"/>
        <w:rPr>
          <w:rFonts w:cs="Calibri Light"/>
          <w:bCs/>
        </w:rPr>
      </w:pPr>
      <w:r>
        <w:rPr>
          <w:rFonts w:cs="Calibri Light"/>
          <w:bCs/>
        </w:rPr>
        <w:t>2．总价</w:t>
      </w:r>
      <w:r>
        <w:rPr>
          <w:rFonts w:hint="eastAsia" w:cs="Calibri Light"/>
          <w:bCs/>
        </w:rPr>
        <w:t>＝</w:t>
      </w:r>
      <w:r>
        <w:rPr>
          <w:rFonts w:cs="Calibri Light"/>
          <w:bCs/>
        </w:rPr>
        <w:t>单价</w:t>
      </w:r>
      <w:r>
        <w:rPr>
          <w:rFonts w:hint="eastAsia" w:cs="Calibri Light"/>
          <w:bCs/>
        </w:rPr>
        <w:t>×</w:t>
      </w:r>
      <w:r>
        <w:rPr>
          <w:rFonts w:cs="Calibri Light"/>
          <w:bCs/>
        </w:rPr>
        <w:t>数量；合计</w:t>
      </w:r>
      <w:r>
        <w:rPr>
          <w:rFonts w:hint="eastAsia" w:cs="Calibri Light"/>
          <w:bCs/>
        </w:rPr>
        <w:t>＝</w:t>
      </w:r>
      <w:r>
        <w:rPr>
          <w:rFonts w:cs="Calibri Light"/>
          <w:bCs/>
        </w:rPr>
        <w:t>总价的算术和。</w:t>
      </w:r>
    </w:p>
    <w:p>
      <w:pPr>
        <w:tabs>
          <w:tab w:val="right" w:pos="9070"/>
        </w:tabs>
        <w:spacing w:line="440" w:lineRule="exact"/>
        <w:ind w:firstLine="720" w:firstLineChars="300"/>
        <w:jc w:val="both"/>
        <w:rPr>
          <w:rFonts w:cs="Calibri Light"/>
        </w:rPr>
      </w:pPr>
      <w:r>
        <w:rPr>
          <w:rFonts w:cs="Calibri Light"/>
          <w:bCs/>
        </w:rPr>
        <w:t>3．表格空</w:t>
      </w:r>
      <w:r>
        <w:rPr>
          <w:rFonts w:cs="Calibri Light"/>
        </w:rPr>
        <w:t>间不足时，可自行扩展。</w:t>
      </w:r>
    </w:p>
    <w:p>
      <w:pPr>
        <w:jc w:val="both"/>
        <w:sectPr>
          <w:footerReference r:id="rId23" w:type="default"/>
          <w:footerReference r:id="rId24" w:type="even"/>
          <w:pgSz w:w="16838" w:h="11906" w:orient="landscape"/>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『基本存款账户信息』（格式）</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『无重大违法记录声明』（格式）</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color w:val="000000"/>
          <w:kern w:val="24"/>
        </w:rPr>
      </w:pPr>
      <w:r>
        <w:rPr>
          <w:rFonts w:cstheme="minorHAnsi"/>
          <w:i/>
          <w:color w:val="7030A0"/>
        </w:rPr>
        <w:t>说明：按下方给定格式进行填写（二选一）。</w:t>
      </w:r>
      <w:r>
        <w:rPr>
          <w:i/>
          <w:color w:val="7030A0"/>
        </w:rPr>
        <w:t>法定代表人（负责人）亲自参加谈判时，提供法定代表人（负责人）身份证明；法定代表人（负责人）委托授权代表参加谈判时，提供法定代表人（负责人）委托授权书。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pPr>
        <w:jc w:val="both"/>
        <w:rPr>
          <w:rFonts w:ascii="Calibri" w:hAnsi="Calibri" w:eastAsia="黑体"/>
          <w:kern w:val="28"/>
          <w:sz w:val="28"/>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说明：对第三章“谈判内容及要求”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作出响应，若谈判文件未设置实质性条款，则请忽略此表。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谈判文件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w:t>
      </w:r>
    </w:p>
    <w:p>
      <w:pPr>
        <w:jc w:val="center"/>
        <w:rPr>
          <w:rFonts w:asciiTheme="minorEastAsia" w:hAnsiTheme="minorEastAsia"/>
        </w:rPr>
      </w:pPr>
      <w:r>
        <w:rPr>
          <w:rFonts w:asciiTheme="minorEastAsia" w:hAnsiTheme="minorEastAsia"/>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谈判文件</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sz w:val="21"/>
                <w:szCs w:val="21"/>
              </w:rPr>
            </w:pP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pPr>
              <w:rPr>
                <w:rFonts w:asciiTheme="minorEastAsia" w:hAnsiTheme="minorEastAsia"/>
                <w:sz w:val="21"/>
                <w:szCs w:val="21"/>
              </w:rPr>
            </w:pPr>
            <w:r>
              <w:rPr>
                <w:rFonts w:asciiTheme="minorEastAsia" w:hAnsiTheme="minorEastAsia"/>
                <w:sz w:val="21"/>
                <w:szCs w:val="21"/>
              </w:rPr>
              <w:t>1、黑色，打印量1500页……</w:t>
            </w:r>
          </w:p>
          <w:p>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pPr>
        <w:rPr>
          <w:i/>
          <w:color w:val="C00000"/>
        </w:rPr>
      </w:pPr>
      <w:r>
        <w:rPr>
          <w:rFonts w:hint="eastAsia"/>
          <w:i/>
          <w:color w:val="C00000"/>
        </w:rPr>
        <w:t>供应商结合第三章《谈判内容及要求》相关要求编写方案。</w:t>
      </w:r>
      <w:r>
        <w:rPr>
          <w:i/>
          <w:color w:val="C00000"/>
        </w:rPr>
        <w:t>示例如下</w:t>
      </w:r>
      <w:r>
        <w:rPr>
          <w:rFonts w:hint="eastAsia"/>
          <w:i/>
          <w:color w:val="C00000"/>
        </w:rPr>
        <w:t>：</w:t>
      </w:r>
    </w:p>
    <w:p>
      <w:pPr>
        <w:rPr>
          <w:rFonts w:cstheme="minorHAnsi"/>
          <w:color w:val="000000"/>
          <w:kern w:val="24"/>
        </w:rPr>
      </w:pPr>
      <w:r>
        <w:rPr>
          <w:rFonts w:hint="eastAsia" w:cstheme="minorHAnsi"/>
          <w:color w:val="000000"/>
          <w:kern w:val="24"/>
        </w:rPr>
        <w:t>（1）</w:t>
      </w:r>
      <w:r>
        <w:rPr>
          <w:rFonts w:cstheme="minorHAnsi"/>
          <w:color w:val="000000"/>
          <w:kern w:val="24"/>
        </w:rPr>
        <w:t>总体方案</w:t>
      </w:r>
    </w:p>
    <w:p>
      <w:pPr>
        <w:rPr>
          <w:rFonts w:cstheme="minorHAnsi"/>
          <w:color w:val="000000"/>
          <w:kern w:val="24"/>
        </w:rPr>
      </w:pPr>
      <w:r>
        <w:rPr>
          <w:rFonts w:hint="eastAsia" w:cstheme="minorHAnsi"/>
          <w:color w:val="000000"/>
          <w:kern w:val="24"/>
        </w:rPr>
        <w:t>（2）</w:t>
      </w:r>
      <w:r>
        <w:rPr>
          <w:rFonts w:cstheme="minorHAnsi"/>
          <w:color w:val="000000"/>
          <w:kern w:val="24"/>
        </w:rPr>
        <w:t>所投设备技术性能和配置的详细描述</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sz w:val="21"/>
                <w:szCs w:val="21"/>
              </w:rPr>
              <w:t>谈判文件</w:t>
            </w:r>
          </w:p>
        </w:tc>
        <w:tc>
          <w:tcPr>
            <w:tcW w:w="3432" w:type="dxa"/>
            <w:shd w:val="clear" w:color="auto" w:fill="F1F1F1" w:themeFill="background1" w:themeFillShade="F2"/>
            <w:vAlign w:val="center"/>
          </w:tcPr>
          <w:p>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rFonts w:asciiTheme="minorEastAsia" w:hAnsiTheme="minorEastAsia" w:cstheme="minorHAnsi"/>
          <w:b/>
          <w:color w:val="000000"/>
          <w:kern w:val="24"/>
        </w:rPr>
      </w:pPr>
    </w:p>
    <w:p>
      <w:pPr>
        <w:jc w:val="center"/>
        <w:rPr>
          <w:rFonts w:cstheme="minorHAnsi"/>
          <w:b/>
        </w:rPr>
      </w:pPr>
      <w:r>
        <w:rPr>
          <w:rFonts w:cstheme="minorHAnsi"/>
          <w:b/>
        </w:rPr>
        <w:t>2</w:t>
      </w:r>
      <w:r>
        <w:rPr>
          <w:rFonts w:hint="eastAsia" w:cstheme="minorHAnsi"/>
          <w:b/>
        </w:rPr>
        <w:t>.</w:t>
      </w:r>
      <w:r>
        <w:rPr>
          <w:rFonts w:hint="eastAsia" w:cstheme="minorHAnsi"/>
          <w:b/>
          <w:i/>
        </w:rPr>
        <w:t>商务部分响应方案</w:t>
      </w:r>
    </w:p>
    <w:p>
      <w:pPr>
        <w:rPr>
          <w:i/>
          <w:color w:val="C00000"/>
        </w:rPr>
      </w:pPr>
      <w:r>
        <w:rPr>
          <w:rFonts w:hint="eastAsia"/>
          <w:i/>
          <w:color w:val="C00000"/>
        </w:rPr>
        <w:t>供应商结合第三章《谈判内容及要求》相关要求编写方案。示例如下</w:t>
      </w:r>
      <w:r>
        <w:rPr>
          <w:i/>
          <w:color w:val="C00000"/>
        </w:rPr>
        <w:t>：</w:t>
      </w:r>
    </w:p>
    <w:p>
      <w:pPr>
        <w:rPr>
          <w:rFonts w:asciiTheme="minorEastAsia" w:hAnsiTheme="minorEastAsia" w:cstheme="minorHAnsi"/>
        </w:rPr>
      </w:pPr>
      <w:r>
        <w:rPr>
          <w:rFonts w:hint="eastAsia" w:asciiTheme="minorEastAsia" w:hAnsiTheme="minorEastAsia" w:cstheme="minorHAnsi"/>
        </w:rPr>
        <w:t>（1）</w:t>
      </w:r>
      <w:r>
        <w:rPr>
          <w:rFonts w:asciiTheme="minorEastAsia" w:hAnsiTheme="minorEastAsia" w:cstheme="minorHAnsi"/>
        </w:rPr>
        <w:t>售后服务及承诺</w:t>
      </w:r>
    </w:p>
    <w:p>
      <w:pPr>
        <w:rPr>
          <w:rFonts w:asciiTheme="minorEastAsia" w:hAnsiTheme="minorEastAsia" w:cstheme="minorHAnsi"/>
        </w:rPr>
      </w:pPr>
      <w:r>
        <w:rPr>
          <w:rFonts w:hint="eastAsia" w:asciiTheme="minorEastAsia" w:hAnsiTheme="minorEastAsia" w:cstheme="minorHAnsi"/>
        </w:rPr>
        <w:t>（2）</w:t>
      </w:r>
      <w:r>
        <w:rPr>
          <w:rFonts w:asciiTheme="minorEastAsia" w:hAnsiTheme="minorEastAsia" w:cstheme="minorHAnsi"/>
        </w:rPr>
        <w:t>主要业绩</w:t>
      </w:r>
    </w:p>
    <w:p>
      <w:pPr>
        <w:rPr>
          <w:rFonts w:asciiTheme="minorEastAsia" w:hAnsiTheme="minorEastAsia" w:cstheme="minorHAnsi"/>
          <w:b/>
        </w:rPr>
      </w:pPr>
      <w:r>
        <w:rPr>
          <w:rFonts w:hint="eastAsia" w:asciiTheme="minorEastAsia" w:hAnsiTheme="minorEastAsia" w:cstheme="minorHAnsi"/>
        </w:rPr>
        <w:t>（3）</w:t>
      </w:r>
      <w:r>
        <w:rPr>
          <w:rFonts w:asciiTheme="minorEastAsia" w:hAnsiTheme="minorEastAsia" w:cstheme="minorHAnsi"/>
        </w:rPr>
        <w:t>拟派项目团队及人员</w:t>
      </w: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谈判文件</w:t>
            </w:r>
            <w:r>
              <w:rPr>
                <w:rFonts w:asciiTheme="minorEastAsia" w:hAnsiTheme="minorEastAsia" w:cstheme="minorHAnsi"/>
                <w:color w:val="000000"/>
                <w:sz w:val="21"/>
                <w:szCs w:val="21"/>
              </w:rPr>
              <w:t>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1"/>
        <w:ind w:firstLine="480"/>
        <w:rPr>
          <w:i/>
          <w:color w:val="7030A0"/>
        </w:rPr>
      </w:pPr>
      <w:r>
        <w:rPr>
          <w:i/>
          <w:color w:val="7030A0"/>
        </w:rP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31" w:type="default"/>
          <w:footerReference r:id="rId32"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未按要求提供的，将不享受谈判文件</w:t>
      </w:r>
      <w:r>
        <w:rPr>
          <w:color w:val="C00000"/>
        </w:rPr>
        <w:t>规定的</w:t>
      </w:r>
      <w:r>
        <w:rPr>
          <w:rFonts w:hint="eastAsia"/>
          <w:color w:val="C00000"/>
        </w:rPr>
        <w:t>价格扣除，但不影响响应文件的有效性。</w:t>
      </w:r>
    </w:p>
    <w:p>
      <w:pPr>
        <w:ind w:firstLine="480" w:firstLineChars="200"/>
        <w:jc w:val="both"/>
      </w:pPr>
      <w:r>
        <w:rPr>
          <w:rFonts w:hint="eastAsia"/>
        </w:rPr>
        <w:t>成交供应商享受了政府采购优惠政策的，将随成交结果公开其声明函\证明函，接受社会监督。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pPr>
        <w:spacing w:before="230" w:beforeLines="50"/>
        <w:jc w:val="center"/>
        <w:rPr>
          <w:rFonts w:cs="Calibri Light"/>
          <w:b/>
          <w:color w:val="1F4E79"/>
          <w:sz w:val="28"/>
          <w:szCs w:val="36"/>
        </w:rPr>
      </w:pPr>
      <w:r>
        <w:rPr>
          <w:rFonts w:cs="Calibri Light"/>
          <w:b/>
          <w:color w:val="1F4E79"/>
          <w:sz w:val="28"/>
          <w:szCs w:val="36"/>
        </w:rPr>
        <w:t>『中小企业声明函』（货物类格式）</w:t>
      </w:r>
    </w:p>
    <w:p>
      <w:pPr>
        <w:ind w:firstLine="480" w:firstLineChars="200"/>
        <w:jc w:val="both"/>
        <w:rPr>
          <w:rFonts w:cstheme="minorHAnsi"/>
          <w:color w:val="000000"/>
          <w:kern w:val="24"/>
        </w:rPr>
      </w:pPr>
      <w:r>
        <w:rPr>
          <w:rFonts w:cstheme="minorHAnsi"/>
          <w:color w:val="000000"/>
          <w:kern w:val="24"/>
        </w:rP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kern w:val="24"/>
        </w:rPr>
        <w:t>的采购活动，提供的货物全部由符合政策要求的中小企业制造。相关企业（含联合体中的中小企业、签订分包意向协议的中小企业）的具体情况如下：</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（1）</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（2）</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rPr>
      </w:pPr>
      <w:r>
        <w:rPr>
          <w:rFonts w:cstheme="minorHAnsi"/>
          <w:color w:val="000000"/>
          <w:kern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color w:val="000000"/>
        </w:rPr>
      </w:pPr>
      <w:r>
        <w:rPr>
          <w:color w:val="000000"/>
        </w:rPr>
        <w:t>供应商：（</w:t>
      </w:r>
      <w:r>
        <w:rPr>
          <w:i/>
          <w:color w:val="7030A0"/>
        </w:rPr>
        <w:t>供应商全称并加盖公章</w:t>
      </w:r>
      <w:r>
        <w:rPr>
          <w:color w:val="000000"/>
        </w:rPr>
        <w:t>）</w:t>
      </w:r>
    </w:p>
    <w:p>
      <w:pPr>
        <w:ind w:firstLine="480" w:firstLineChars="200"/>
        <w:jc w:val="both"/>
        <w:rPr>
          <w:color w:val="000000"/>
        </w:rPr>
      </w:pPr>
      <w:r>
        <w:rPr>
          <w:color w:val="000000"/>
        </w:rPr>
        <w:t>日　期：　　年　月　日</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3" w:type="default"/>
      <w:footerReference r:id="rId34"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西安文理学院明德楼电梯更换项目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西安文理学院明德楼电梯更换项目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西安文理学院明德楼电梯更换项目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1424"/>
    <w:rsid w:val="00012137"/>
    <w:rsid w:val="00012844"/>
    <w:rsid w:val="00012F9B"/>
    <w:rsid w:val="0001350D"/>
    <w:rsid w:val="00013929"/>
    <w:rsid w:val="00014DAF"/>
    <w:rsid w:val="00015802"/>
    <w:rsid w:val="00016042"/>
    <w:rsid w:val="000162A2"/>
    <w:rsid w:val="00017463"/>
    <w:rsid w:val="000216C8"/>
    <w:rsid w:val="00021AF9"/>
    <w:rsid w:val="0002264A"/>
    <w:rsid w:val="00022A4E"/>
    <w:rsid w:val="00022F41"/>
    <w:rsid w:val="00023261"/>
    <w:rsid w:val="000234CF"/>
    <w:rsid w:val="0002357E"/>
    <w:rsid w:val="000235C8"/>
    <w:rsid w:val="000251DF"/>
    <w:rsid w:val="0002669B"/>
    <w:rsid w:val="00027B08"/>
    <w:rsid w:val="00027E6B"/>
    <w:rsid w:val="000307EC"/>
    <w:rsid w:val="000308EC"/>
    <w:rsid w:val="0003097B"/>
    <w:rsid w:val="0003251F"/>
    <w:rsid w:val="00032BB4"/>
    <w:rsid w:val="00032CC1"/>
    <w:rsid w:val="00033096"/>
    <w:rsid w:val="00033377"/>
    <w:rsid w:val="00033B5A"/>
    <w:rsid w:val="000351F5"/>
    <w:rsid w:val="00035CCD"/>
    <w:rsid w:val="00036784"/>
    <w:rsid w:val="000368F2"/>
    <w:rsid w:val="00037B29"/>
    <w:rsid w:val="00037F2F"/>
    <w:rsid w:val="00037FD3"/>
    <w:rsid w:val="000403A2"/>
    <w:rsid w:val="00040799"/>
    <w:rsid w:val="00040973"/>
    <w:rsid w:val="00043830"/>
    <w:rsid w:val="000440AF"/>
    <w:rsid w:val="00044F32"/>
    <w:rsid w:val="0004737C"/>
    <w:rsid w:val="00047455"/>
    <w:rsid w:val="00051EF3"/>
    <w:rsid w:val="00052177"/>
    <w:rsid w:val="000543B4"/>
    <w:rsid w:val="00054879"/>
    <w:rsid w:val="000556F1"/>
    <w:rsid w:val="00055F81"/>
    <w:rsid w:val="0005692F"/>
    <w:rsid w:val="00056F31"/>
    <w:rsid w:val="00061066"/>
    <w:rsid w:val="00061A13"/>
    <w:rsid w:val="0006226C"/>
    <w:rsid w:val="00062828"/>
    <w:rsid w:val="00062D84"/>
    <w:rsid w:val="00063EEF"/>
    <w:rsid w:val="00063F3A"/>
    <w:rsid w:val="00064071"/>
    <w:rsid w:val="00064386"/>
    <w:rsid w:val="00067A39"/>
    <w:rsid w:val="00067D44"/>
    <w:rsid w:val="0007053B"/>
    <w:rsid w:val="00070AA6"/>
    <w:rsid w:val="00072084"/>
    <w:rsid w:val="00072141"/>
    <w:rsid w:val="00073A16"/>
    <w:rsid w:val="00074562"/>
    <w:rsid w:val="0007534F"/>
    <w:rsid w:val="000770B7"/>
    <w:rsid w:val="00077B80"/>
    <w:rsid w:val="00081CB5"/>
    <w:rsid w:val="0008232C"/>
    <w:rsid w:val="00084264"/>
    <w:rsid w:val="00084335"/>
    <w:rsid w:val="000857F2"/>
    <w:rsid w:val="00085999"/>
    <w:rsid w:val="00086D2C"/>
    <w:rsid w:val="00090002"/>
    <w:rsid w:val="000906B5"/>
    <w:rsid w:val="000911CC"/>
    <w:rsid w:val="00092417"/>
    <w:rsid w:val="00092549"/>
    <w:rsid w:val="00093AD5"/>
    <w:rsid w:val="000951C6"/>
    <w:rsid w:val="000952F2"/>
    <w:rsid w:val="00095A8D"/>
    <w:rsid w:val="00096428"/>
    <w:rsid w:val="00096A52"/>
    <w:rsid w:val="00097CDB"/>
    <w:rsid w:val="000A0237"/>
    <w:rsid w:val="000A0EFD"/>
    <w:rsid w:val="000A159C"/>
    <w:rsid w:val="000A1B38"/>
    <w:rsid w:val="000A1F6A"/>
    <w:rsid w:val="000A2583"/>
    <w:rsid w:val="000A29B8"/>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2CF8"/>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1919"/>
    <w:rsid w:val="000E3C31"/>
    <w:rsid w:val="000E3FB5"/>
    <w:rsid w:val="000E429C"/>
    <w:rsid w:val="000E49C1"/>
    <w:rsid w:val="000E5C68"/>
    <w:rsid w:val="000E5DED"/>
    <w:rsid w:val="000E6022"/>
    <w:rsid w:val="000E6AE7"/>
    <w:rsid w:val="000E71AC"/>
    <w:rsid w:val="000F0C8A"/>
    <w:rsid w:val="000F1A9A"/>
    <w:rsid w:val="000F2036"/>
    <w:rsid w:val="000F233B"/>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2167"/>
    <w:rsid w:val="00103379"/>
    <w:rsid w:val="00103D6B"/>
    <w:rsid w:val="00104D98"/>
    <w:rsid w:val="00105036"/>
    <w:rsid w:val="001059A0"/>
    <w:rsid w:val="00106530"/>
    <w:rsid w:val="001067F9"/>
    <w:rsid w:val="00107803"/>
    <w:rsid w:val="00107B8A"/>
    <w:rsid w:val="00107BFB"/>
    <w:rsid w:val="001101BD"/>
    <w:rsid w:val="0011093D"/>
    <w:rsid w:val="00111F0F"/>
    <w:rsid w:val="001131D6"/>
    <w:rsid w:val="00113B9B"/>
    <w:rsid w:val="00121CBB"/>
    <w:rsid w:val="00121FC0"/>
    <w:rsid w:val="001221AC"/>
    <w:rsid w:val="00122D76"/>
    <w:rsid w:val="001232DE"/>
    <w:rsid w:val="001232E1"/>
    <w:rsid w:val="001240BB"/>
    <w:rsid w:val="001257D4"/>
    <w:rsid w:val="0013005B"/>
    <w:rsid w:val="0013015E"/>
    <w:rsid w:val="0013081C"/>
    <w:rsid w:val="001316CE"/>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1E88"/>
    <w:rsid w:val="00152476"/>
    <w:rsid w:val="001534EC"/>
    <w:rsid w:val="0015361E"/>
    <w:rsid w:val="00156ED5"/>
    <w:rsid w:val="0015782A"/>
    <w:rsid w:val="00160A34"/>
    <w:rsid w:val="00162008"/>
    <w:rsid w:val="00162710"/>
    <w:rsid w:val="00162DB4"/>
    <w:rsid w:val="001630D0"/>
    <w:rsid w:val="00163C62"/>
    <w:rsid w:val="00163F04"/>
    <w:rsid w:val="00164101"/>
    <w:rsid w:val="00164EE1"/>
    <w:rsid w:val="001664B2"/>
    <w:rsid w:val="00166804"/>
    <w:rsid w:val="001668AF"/>
    <w:rsid w:val="00166FD9"/>
    <w:rsid w:val="00167ECE"/>
    <w:rsid w:val="0017054A"/>
    <w:rsid w:val="0017164E"/>
    <w:rsid w:val="00171A61"/>
    <w:rsid w:val="00173749"/>
    <w:rsid w:val="00173A35"/>
    <w:rsid w:val="0017410F"/>
    <w:rsid w:val="00174285"/>
    <w:rsid w:val="00175756"/>
    <w:rsid w:val="00176CF3"/>
    <w:rsid w:val="00176F0E"/>
    <w:rsid w:val="0018219E"/>
    <w:rsid w:val="00182C33"/>
    <w:rsid w:val="00182EC0"/>
    <w:rsid w:val="0018316D"/>
    <w:rsid w:val="00184A1D"/>
    <w:rsid w:val="00184DE0"/>
    <w:rsid w:val="00184F72"/>
    <w:rsid w:val="00187440"/>
    <w:rsid w:val="00187846"/>
    <w:rsid w:val="00191229"/>
    <w:rsid w:val="00191693"/>
    <w:rsid w:val="00191834"/>
    <w:rsid w:val="001918B8"/>
    <w:rsid w:val="00191A7E"/>
    <w:rsid w:val="00191DD9"/>
    <w:rsid w:val="001925F4"/>
    <w:rsid w:val="00193B5F"/>
    <w:rsid w:val="001947E8"/>
    <w:rsid w:val="00194890"/>
    <w:rsid w:val="0019564E"/>
    <w:rsid w:val="00196A1C"/>
    <w:rsid w:val="00196DD9"/>
    <w:rsid w:val="0019745C"/>
    <w:rsid w:val="00197C5C"/>
    <w:rsid w:val="001A0376"/>
    <w:rsid w:val="001A0C97"/>
    <w:rsid w:val="001A127F"/>
    <w:rsid w:val="001A2103"/>
    <w:rsid w:val="001A2EB3"/>
    <w:rsid w:val="001A5309"/>
    <w:rsid w:val="001A5764"/>
    <w:rsid w:val="001B0699"/>
    <w:rsid w:val="001B0C7B"/>
    <w:rsid w:val="001B2019"/>
    <w:rsid w:val="001B2868"/>
    <w:rsid w:val="001B49FD"/>
    <w:rsid w:val="001B5302"/>
    <w:rsid w:val="001C0A0A"/>
    <w:rsid w:val="001C0BA3"/>
    <w:rsid w:val="001C0BBD"/>
    <w:rsid w:val="001C25ED"/>
    <w:rsid w:val="001C4259"/>
    <w:rsid w:val="001C4AFC"/>
    <w:rsid w:val="001C5BE5"/>
    <w:rsid w:val="001C607B"/>
    <w:rsid w:val="001C732E"/>
    <w:rsid w:val="001D04F0"/>
    <w:rsid w:val="001D1423"/>
    <w:rsid w:val="001D1BCB"/>
    <w:rsid w:val="001D22C0"/>
    <w:rsid w:val="001D2CE5"/>
    <w:rsid w:val="001D2E17"/>
    <w:rsid w:val="001D3803"/>
    <w:rsid w:val="001D4171"/>
    <w:rsid w:val="001D4442"/>
    <w:rsid w:val="001D4E3E"/>
    <w:rsid w:val="001D576E"/>
    <w:rsid w:val="001D60B9"/>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2AF"/>
    <w:rsid w:val="001F4827"/>
    <w:rsid w:val="001F49A1"/>
    <w:rsid w:val="001F4ACC"/>
    <w:rsid w:val="001F4FBE"/>
    <w:rsid w:val="001F622E"/>
    <w:rsid w:val="001F7532"/>
    <w:rsid w:val="001F779A"/>
    <w:rsid w:val="001F7B19"/>
    <w:rsid w:val="001F7B5A"/>
    <w:rsid w:val="00200E55"/>
    <w:rsid w:val="0020104B"/>
    <w:rsid w:val="00201795"/>
    <w:rsid w:val="002017D8"/>
    <w:rsid w:val="002027F6"/>
    <w:rsid w:val="002039B1"/>
    <w:rsid w:val="0020498C"/>
    <w:rsid w:val="002051A7"/>
    <w:rsid w:val="00207790"/>
    <w:rsid w:val="00210476"/>
    <w:rsid w:val="00210CE7"/>
    <w:rsid w:val="00210CFC"/>
    <w:rsid w:val="00210FBE"/>
    <w:rsid w:val="002111A6"/>
    <w:rsid w:val="00212328"/>
    <w:rsid w:val="002125C8"/>
    <w:rsid w:val="00213205"/>
    <w:rsid w:val="002137AF"/>
    <w:rsid w:val="00216A9F"/>
    <w:rsid w:val="002174B0"/>
    <w:rsid w:val="00220787"/>
    <w:rsid w:val="00220822"/>
    <w:rsid w:val="002209DE"/>
    <w:rsid w:val="00220F3C"/>
    <w:rsid w:val="00221727"/>
    <w:rsid w:val="00223AA8"/>
    <w:rsid w:val="00223E30"/>
    <w:rsid w:val="00223EFE"/>
    <w:rsid w:val="00224257"/>
    <w:rsid w:val="00224D12"/>
    <w:rsid w:val="00225A6E"/>
    <w:rsid w:val="00226069"/>
    <w:rsid w:val="00226842"/>
    <w:rsid w:val="00226A70"/>
    <w:rsid w:val="0022724F"/>
    <w:rsid w:val="0023021B"/>
    <w:rsid w:val="0023070C"/>
    <w:rsid w:val="00230C6A"/>
    <w:rsid w:val="00232797"/>
    <w:rsid w:val="00233D53"/>
    <w:rsid w:val="002345B9"/>
    <w:rsid w:val="00235ECB"/>
    <w:rsid w:val="002362F9"/>
    <w:rsid w:val="002378CD"/>
    <w:rsid w:val="00237A3F"/>
    <w:rsid w:val="00237A4A"/>
    <w:rsid w:val="00237C8C"/>
    <w:rsid w:val="00240CD3"/>
    <w:rsid w:val="0024210D"/>
    <w:rsid w:val="00243629"/>
    <w:rsid w:val="00244C29"/>
    <w:rsid w:val="00244DB8"/>
    <w:rsid w:val="00244FE4"/>
    <w:rsid w:val="00246C0D"/>
    <w:rsid w:val="00247B11"/>
    <w:rsid w:val="00250468"/>
    <w:rsid w:val="00250A0D"/>
    <w:rsid w:val="00250B6E"/>
    <w:rsid w:val="002512DB"/>
    <w:rsid w:val="002519B6"/>
    <w:rsid w:val="00252050"/>
    <w:rsid w:val="00253546"/>
    <w:rsid w:val="00253B74"/>
    <w:rsid w:val="00254287"/>
    <w:rsid w:val="00254492"/>
    <w:rsid w:val="002547E0"/>
    <w:rsid w:val="00255DBC"/>
    <w:rsid w:val="00256AC1"/>
    <w:rsid w:val="0025777A"/>
    <w:rsid w:val="00257B25"/>
    <w:rsid w:val="00260306"/>
    <w:rsid w:val="00261898"/>
    <w:rsid w:val="002621C5"/>
    <w:rsid w:val="00264014"/>
    <w:rsid w:val="0026501F"/>
    <w:rsid w:val="00266611"/>
    <w:rsid w:val="00267AE5"/>
    <w:rsid w:val="00267C8A"/>
    <w:rsid w:val="00267FDD"/>
    <w:rsid w:val="00271136"/>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384E"/>
    <w:rsid w:val="00294428"/>
    <w:rsid w:val="002961E2"/>
    <w:rsid w:val="00296372"/>
    <w:rsid w:val="00296C23"/>
    <w:rsid w:val="00297703"/>
    <w:rsid w:val="00297866"/>
    <w:rsid w:val="002A26D5"/>
    <w:rsid w:val="002A3B25"/>
    <w:rsid w:val="002A4387"/>
    <w:rsid w:val="002A5B8E"/>
    <w:rsid w:val="002A62BF"/>
    <w:rsid w:val="002A6815"/>
    <w:rsid w:val="002A6BFB"/>
    <w:rsid w:val="002A703D"/>
    <w:rsid w:val="002A7B39"/>
    <w:rsid w:val="002A7BB1"/>
    <w:rsid w:val="002A7FF7"/>
    <w:rsid w:val="002B009B"/>
    <w:rsid w:val="002B0F05"/>
    <w:rsid w:val="002B12E1"/>
    <w:rsid w:val="002B35C4"/>
    <w:rsid w:val="002B36C2"/>
    <w:rsid w:val="002B4670"/>
    <w:rsid w:val="002B59BE"/>
    <w:rsid w:val="002B5B32"/>
    <w:rsid w:val="002B60BE"/>
    <w:rsid w:val="002B65AB"/>
    <w:rsid w:val="002B696D"/>
    <w:rsid w:val="002B69BA"/>
    <w:rsid w:val="002B787E"/>
    <w:rsid w:val="002C03FE"/>
    <w:rsid w:val="002C05A3"/>
    <w:rsid w:val="002C07D6"/>
    <w:rsid w:val="002C1612"/>
    <w:rsid w:val="002C4511"/>
    <w:rsid w:val="002C45C3"/>
    <w:rsid w:val="002C4DAE"/>
    <w:rsid w:val="002C6442"/>
    <w:rsid w:val="002C6F4A"/>
    <w:rsid w:val="002D038D"/>
    <w:rsid w:val="002D2B5F"/>
    <w:rsid w:val="002D327B"/>
    <w:rsid w:val="002D41DD"/>
    <w:rsid w:val="002D5205"/>
    <w:rsid w:val="002D65D4"/>
    <w:rsid w:val="002D6F29"/>
    <w:rsid w:val="002D7418"/>
    <w:rsid w:val="002E1283"/>
    <w:rsid w:val="002E1660"/>
    <w:rsid w:val="002E379C"/>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31"/>
    <w:rsid w:val="003061B0"/>
    <w:rsid w:val="00306470"/>
    <w:rsid w:val="003073EE"/>
    <w:rsid w:val="00311862"/>
    <w:rsid w:val="00315300"/>
    <w:rsid w:val="0031590A"/>
    <w:rsid w:val="00316548"/>
    <w:rsid w:val="00316961"/>
    <w:rsid w:val="00316D60"/>
    <w:rsid w:val="003172BB"/>
    <w:rsid w:val="0031777D"/>
    <w:rsid w:val="00317F17"/>
    <w:rsid w:val="0032080F"/>
    <w:rsid w:val="003216C3"/>
    <w:rsid w:val="0032203C"/>
    <w:rsid w:val="00322208"/>
    <w:rsid w:val="00322600"/>
    <w:rsid w:val="003231CF"/>
    <w:rsid w:val="00323283"/>
    <w:rsid w:val="003245F8"/>
    <w:rsid w:val="00325D47"/>
    <w:rsid w:val="00325EF1"/>
    <w:rsid w:val="00326169"/>
    <w:rsid w:val="0032696A"/>
    <w:rsid w:val="00327A6B"/>
    <w:rsid w:val="003302D2"/>
    <w:rsid w:val="00330EA4"/>
    <w:rsid w:val="0033167F"/>
    <w:rsid w:val="00332A7C"/>
    <w:rsid w:val="00334733"/>
    <w:rsid w:val="0033590C"/>
    <w:rsid w:val="00335C58"/>
    <w:rsid w:val="00337CFC"/>
    <w:rsid w:val="0034052E"/>
    <w:rsid w:val="003406B1"/>
    <w:rsid w:val="00342A6A"/>
    <w:rsid w:val="00343305"/>
    <w:rsid w:val="003443D3"/>
    <w:rsid w:val="003450CD"/>
    <w:rsid w:val="00345F35"/>
    <w:rsid w:val="00346A88"/>
    <w:rsid w:val="00346D43"/>
    <w:rsid w:val="0035004F"/>
    <w:rsid w:val="003509CA"/>
    <w:rsid w:val="003511FC"/>
    <w:rsid w:val="00351734"/>
    <w:rsid w:val="00351B74"/>
    <w:rsid w:val="00354FCF"/>
    <w:rsid w:val="003551E0"/>
    <w:rsid w:val="003552C3"/>
    <w:rsid w:val="0035572B"/>
    <w:rsid w:val="00355D6E"/>
    <w:rsid w:val="00357EC3"/>
    <w:rsid w:val="00360083"/>
    <w:rsid w:val="00360830"/>
    <w:rsid w:val="0036148F"/>
    <w:rsid w:val="00362A39"/>
    <w:rsid w:val="00364896"/>
    <w:rsid w:val="00366A2C"/>
    <w:rsid w:val="00366F5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C3"/>
    <w:rsid w:val="00397EEA"/>
    <w:rsid w:val="003A0002"/>
    <w:rsid w:val="003A0295"/>
    <w:rsid w:val="003A0D83"/>
    <w:rsid w:val="003A192D"/>
    <w:rsid w:val="003A2A14"/>
    <w:rsid w:val="003A3C6D"/>
    <w:rsid w:val="003B086A"/>
    <w:rsid w:val="003B0D75"/>
    <w:rsid w:val="003B25DE"/>
    <w:rsid w:val="003B2734"/>
    <w:rsid w:val="003B2AF6"/>
    <w:rsid w:val="003B3207"/>
    <w:rsid w:val="003B35A9"/>
    <w:rsid w:val="003B3E6D"/>
    <w:rsid w:val="003C309B"/>
    <w:rsid w:val="003C3325"/>
    <w:rsid w:val="003C52FD"/>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471"/>
    <w:rsid w:val="003E0A2C"/>
    <w:rsid w:val="003E1503"/>
    <w:rsid w:val="003E1D81"/>
    <w:rsid w:val="003E2F34"/>
    <w:rsid w:val="003E5BF5"/>
    <w:rsid w:val="003E5CDB"/>
    <w:rsid w:val="003E5CFF"/>
    <w:rsid w:val="003E7874"/>
    <w:rsid w:val="003E7DCF"/>
    <w:rsid w:val="003F04DE"/>
    <w:rsid w:val="003F0E1D"/>
    <w:rsid w:val="003F1C2D"/>
    <w:rsid w:val="003F3882"/>
    <w:rsid w:val="003F3F0B"/>
    <w:rsid w:val="003F60A3"/>
    <w:rsid w:val="003F7983"/>
    <w:rsid w:val="003F7C8E"/>
    <w:rsid w:val="004001BE"/>
    <w:rsid w:val="0040124D"/>
    <w:rsid w:val="004017C8"/>
    <w:rsid w:val="0040181A"/>
    <w:rsid w:val="00401D26"/>
    <w:rsid w:val="004024C2"/>
    <w:rsid w:val="00404A7B"/>
    <w:rsid w:val="00405285"/>
    <w:rsid w:val="004068A7"/>
    <w:rsid w:val="00406C11"/>
    <w:rsid w:val="00407BBB"/>
    <w:rsid w:val="004106B2"/>
    <w:rsid w:val="004115B0"/>
    <w:rsid w:val="00411C65"/>
    <w:rsid w:val="00412CBC"/>
    <w:rsid w:val="00413E5F"/>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29BF"/>
    <w:rsid w:val="00444250"/>
    <w:rsid w:val="00444298"/>
    <w:rsid w:val="004456C5"/>
    <w:rsid w:val="004474B0"/>
    <w:rsid w:val="00452481"/>
    <w:rsid w:val="00454666"/>
    <w:rsid w:val="004547F6"/>
    <w:rsid w:val="004549DF"/>
    <w:rsid w:val="004550FE"/>
    <w:rsid w:val="00455F40"/>
    <w:rsid w:val="004574A4"/>
    <w:rsid w:val="00460822"/>
    <w:rsid w:val="00460F96"/>
    <w:rsid w:val="00463236"/>
    <w:rsid w:val="00463834"/>
    <w:rsid w:val="004657D3"/>
    <w:rsid w:val="0046690A"/>
    <w:rsid w:val="0046782F"/>
    <w:rsid w:val="00471E1E"/>
    <w:rsid w:val="0047278F"/>
    <w:rsid w:val="00473185"/>
    <w:rsid w:val="00473CE1"/>
    <w:rsid w:val="00474667"/>
    <w:rsid w:val="0047566E"/>
    <w:rsid w:val="0047590B"/>
    <w:rsid w:val="0047799A"/>
    <w:rsid w:val="004846F1"/>
    <w:rsid w:val="00487FE6"/>
    <w:rsid w:val="00490F98"/>
    <w:rsid w:val="00491349"/>
    <w:rsid w:val="00492F9F"/>
    <w:rsid w:val="00493684"/>
    <w:rsid w:val="00493DFE"/>
    <w:rsid w:val="00493E48"/>
    <w:rsid w:val="004966D8"/>
    <w:rsid w:val="00496ACE"/>
    <w:rsid w:val="00497530"/>
    <w:rsid w:val="004A00BF"/>
    <w:rsid w:val="004A00FD"/>
    <w:rsid w:val="004A0307"/>
    <w:rsid w:val="004A4399"/>
    <w:rsid w:val="004A570C"/>
    <w:rsid w:val="004A5A7A"/>
    <w:rsid w:val="004A5CFF"/>
    <w:rsid w:val="004A61D7"/>
    <w:rsid w:val="004A699E"/>
    <w:rsid w:val="004A6B5A"/>
    <w:rsid w:val="004A7113"/>
    <w:rsid w:val="004A73D4"/>
    <w:rsid w:val="004B1026"/>
    <w:rsid w:val="004B13F6"/>
    <w:rsid w:val="004B1760"/>
    <w:rsid w:val="004B532B"/>
    <w:rsid w:val="004B5992"/>
    <w:rsid w:val="004B6259"/>
    <w:rsid w:val="004B6DC3"/>
    <w:rsid w:val="004B6EF4"/>
    <w:rsid w:val="004C093C"/>
    <w:rsid w:val="004C0B7A"/>
    <w:rsid w:val="004C0CA0"/>
    <w:rsid w:val="004C17D4"/>
    <w:rsid w:val="004C48B9"/>
    <w:rsid w:val="004C5B48"/>
    <w:rsid w:val="004C6493"/>
    <w:rsid w:val="004C7371"/>
    <w:rsid w:val="004D0D88"/>
    <w:rsid w:val="004D11A6"/>
    <w:rsid w:val="004D2147"/>
    <w:rsid w:val="004D2BAF"/>
    <w:rsid w:val="004D2D8E"/>
    <w:rsid w:val="004D2F54"/>
    <w:rsid w:val="004D3590"/>
    <w:rsid w:val="004D4879"/>
    <w:rsid w:val="004D6A1A"/>
    <w:rsid w:val="004D7112"/>
    <w:rsid w:val="004D7397"/>
    <w:rsid w:val="004D7C23"/>
    <w:rsid w:val="004D7DD5"/>
    <w:rsid w:val="004D7EF5"/>
    <w:rsid w:val="004D7F2C"/>
    <w:rsid w:val="004E07B6"/>
    <w:rsid w:val="004E0B6D"/>
    <w:rsid w:val="004E263D"/>
    <w:rsid w:val="004E4F56"/>
    <w:rsid w:val="004E5196"/>
    <w:rsid w:val="004E63AF"/>
    <w:rsid w:val="004E6B27"/>
    <w:rsid w:val="004E7520"/>
    <w:rsid w:val="004F01A5"/>
    <w:rsid w:val="004F04DD"/>
    <w:rsid w:val="004F08ED"/>
    <w:rsid w:val="004F0C8B"/>
    <w:rsid w:val="004F2B93"/>
    <w:rsid w:val="004F2CC5"/>
    <w:rsid w:val="004F3096"/>
    <w:rsid w:val="004F3159"/>
    <w:rsid w:val="004F32CF"/>
    <w:rsid w:val="004F411F"/>
    <w:rsid w:val="004F60D3"/>
    <w:rsid w:val="004F6E7E"/>
    <w:rsid w:val="004F7234"/>
    <w:rsid w:val="004F7D8F"/>
    <w:rsid w:val="00500AE6"/>
    <w:rsid w:val="00500B15"/>
    <w:rsid w:val="0050182A"/>
    <w:rsid w:val="00501CED"/>
    <w:rsid w:val="00501F56"/>
    <w:rsid w:val="0050264E"/>
    <w:rsid w:val="00502DAF"/>
    <w:rsid w:val="00502DB5"/>
    <w:rsid w:val="0050431E"/>
    <w:rsid w:val="005053C1"/>
    <w:rsid w:val="00506113"/>
    <w:rsid w:val="00506ECC"/>
    <w:rsid w:val="00510062"/>
    <w:rsid w:val="00510D3F"/>
    <w:rsid w:val="00511E18"/>
    <w:rsid w:val="00512B77"/>
    <w:rsid w:val="00512C56"/>
    <w:rsid w:val="00513510"/>
    <w:rsid w:val="00515ADE"/>
    <w:rsid w:val="00515E63"/>
    <w:rsid w:val="00516B50"/>
    <w:rsid w:val="005176F4"/>
    <w:rsid w:val="005203BA"/>
    <w:rsid w:val="00521222"/>
    <w:rsid w:val="005220F8"/>
    <w:rsid w:val="00522932"/>
    <w:rsid w:val="0052539A"/>
    <w:rsid w:val="005309DD"/>
    <w:rsid w:val="005330CB"/>
    <w:rsid w:val="0053320F"/>
    <w:rsid w:val="005340C0"/>
    <w:rsid w:val="00534E45"/>
    <w:rsid w:val="00534E48"/>
    <w:rsid w:val="00535F18"/>
    <w:rsid w:val="00537136"/>
    <w:rsid w:val="005406CD"/>
    <w:rsid w:val="005412C1"/>
    <w:rsid w:val="00541FEC"/>
    <w:rsid w:val="00542742"/>
    <w:rsid w:val="0054287D"/>
    <w:rsid w:val="00542A4A"/>
    <w:rsid w:val="00543027"/>
    <w:rsid w:val="0054390D"/>
    <w:rsid w:val="00544037"/>
    <w:rsid w:val="00544FDF"/>
    <w:rsid w:val="0054537C"/>
    <w:rsid w:val="00545E64"/>
    <w:rsid w:val="00547AD0"/>
    <w:rsid w:val="0055098B"/>
    <w:rsid w:val="005509F0"/>
    <w:rsid w:val="00550A0A"/>
    <w:rsid w:val="00551012"/>
    <w:rsid w:val="00552C6A"/>
    <w:rsid w:val="00553778"/>
    <w:rsid w:val="00553AC5"/>
    <w:rsid w:val="00554646"/>
    <w:rsid w:val="00554791"/>
    <w:rsid w:val="005555A0"/>
    <w:rsid w:val="005576E1"/>
    <w:rsid w:val="00557982"/>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B70"/>
    <w:rsid w:val="00581DBA"/>
    <w:rsid w:val="00581F60"/>
    <w:rsid w:val="005829C2"/>
    <w:rsid w:val="00582A46"/>
    <w:rsid w:val="0058322B"/>
    <w:rsid w:val="00583A5C"/>
    <w:rsid w:val="0058471F"/>
    <w:rsid w:val="0058487A"/>
    <w:rsid w:val="00584CA1"/>
    <w:rsid w:val="0058509C"/>
    <w:rsid w:val="00585E3F"/>
    <w:rsid w:val="005866B9"/>
    <w:rsid w:val="005906A4"/>
    <w:rsid w:val="00592CFD"/>
    <w:rsid w:val="00593C8A"/>
    <w:rsid w:val="00594467"/>
    <w:rsid w:val="00594CC3"/>
    <w:rsid w:val="00594F66"/>
    <w:rsid w:val="005960B9"/>
    <w:rsid w:val="00596DDA"/>
    <w:rsid w:val="005A1806"/>
    <w:rsid w:val="005A20E0"/>
    <w:rsid w:val="005A24F4"/>
    <w:rsid w:val="005A32F2"/>
    <w:rsid w:val="005A3DFC"/>
    <w:rsid w:val="005A3ECD"/>
    <w:rsid w:val="005A43AB"/>
    <w:rsid w:val="005A5603"/>
    <w:rsid w:val="005A5A7B"/>
    <w:rsid w:val="005A5B0F"/>
    <w:rsid w:val="005A5C13"/>
    <w:rsid w:val="005A69F8"/>
    <w:rsid w:val="005A6B45"/>
    <w:rsid w:val="005A73F4"/>
    <w:rsid w:val="005A7B9D"/>
    <w:rsid w:val="005B0579"/>
    <w:rsid w:val="005B1620"/>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272"/>
    <w:rsid w:val="005C3D94"/>
    <w:rsid w:val="005C50A4"/>
    <w:rsid w:val="005C50D1"/>
    <w:rsid w:val="005C6C4F"/>
    <w:rsid w:val="005D000E"/>
    <w:rsid w:val="005D035F"/>
    <w:rsid w:val="005D2A79"/>
    <w:rsid w:val="005D3C04"/>
    <w:rsid w:val="005D5E30"/>
    <w:rsid w:val="005D62E5"/>
    <w:rsid w:val="005D6C3D"/>
    <w:rsid w:val="005D7216"/>
    <w:rsid w:val="005D744D"/>
    <w:rsid w:val="005E032C"/>
    <w:rsid w:val="005E0A86"/>
    <w:rsid w:val="005E12F7"/>
    <w:rsid w:val="005E37E1"/>
    <w:rsid w:val="005E51CD"/>
    <w:rsid w:val="005E548A"/>
    <w:rsid w:val="005E5BCC"/>
    <w:rsid w:val="005E5CCE"/>
    <w:rsid w:val="005E6C66"/>
    <w:rsid w:val="005E6CCC"/>
    <w:rsid w:val="005F044A"/>
    <w:rsid w:val="005F1247"/>
    <w:rsid w:val="005F19BB"/>
    <w:rsid w:val="005F1A6A"/>
    <w:rsid w:val="005F3B5B"/>
    <w:rsid w:val="005F6909"/>
    <w:rsid w:val="005F6C88"/>
    <w:rsid w:val="0060005D"/>
    <w:rsid w:val="006022C0"/>
    <w:rsid w:val="00602E42"/>
    <w:rsid w:val="00603657"/>
    <w:rsid w:val="00603BB4"/>
    <w:rsid w:val="00604448"/>
    <w:rsid w:val="0060479B"/>
    <w:rsid w:val="00606A55"/>
    <w:rsid w:val="00611427"/>
    <w:rsid w:val="00611AC2"/>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20C"/>
    <w:rsid w:val="00637FE9"/>
    <w:rsid w:val="0064101A"/>
    <w:rsid w:val="006429E6"/>
    <w:rsid w:val="00642CB1"/>
    <w:rsid w:val="00642DD8"/>
    <w:rsid w:val="006431A9"/>
    <w:rsid w:val="0064508B"/>
    <w:rsid w:val="006456E6"/>
    <w:rsid w:val="006460E3"/>
    <w:rsid w:val="006466DF"/>
    <w:rsid w:val="00646CF2"/>
    <w:rsid w:val="00647100"/>
    <w:rsid w:val="006518D0"/>
    <w:rsid w:val="00651A0E"/>
    <w:rsid w:val="00652156"/>
    <w:rsid w:val="00652393"/>
    <w:rsid w:val="006535E4"/>
    <w:rsid w:val="006538EC"/>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CF0"/>
    <w:rsid w:val="00680252"/>
    <w:rsid w:val="00682389"/>
    <w:rsid w:val="00682AC7"/>
    <w:rsid w:val="00682FD8"/>
    <w:rsid w:val="006834DA"/>
    <w:rsid w:val="00683A85"/>
    <w:rsid w:val="0068482C"/>
    <w:rsid w:val="00685346"/>
    <w:rsid w:val="00685B24"/>
    <w:rsid w:val="0068677F"/>
    <w:rsid w:val="006870E8"/>
    <w:rsid w:val="006879AE"/>
    <w:rsid w:val="00690BC5"/>
    <w:rsid w:val="00690C8E"/>
    <w:rsid w:val="00691341"/>
    <w:rsid w:val="0069149E"/>
    <w:rsid w:val="006918CB"/>
    <w:rsid w:val="00691D24"/>
    <w:rsid w:val="00691FEA"/>
    <w:rsid w:val="006933DD"/>
    <w:rsid w:val="0069471D"/>
    <w:rsid w:val="0069553A"/>
    <w:rsid w:val="00695670"/>
    <w:rsid w:val="00695B4C"/>
    <w:rsid w:val="00695E20"/>
    <w:rsid w:val="00697CAC"/>
    <w:rsid w:val="006A2505"/>
    <w:rsid w:val="006A2D90"/>
    <w:rsid w:val="006A3BA0"/>
    <w:rsid w:val="006A43D6"/>
    <w:rsid w:val="006A4EC6"/>
    <w:rsid w:val="006A6250"/>
    <w:rsid w:val="006A6B87"/>
    <w:rsid w:val="006A6DF3"/>
    <w:rsid w:val="006A7769"/>
    <w:rsid w:val="006B20D5"/>
    <w:rsid w:val="006B34F6"/>
    <w:rsid w:val="006B4952"/>
    <w:rsid w:val="006B59AB"/>
    <w:rsid w:val="006B5EA1"/>
    <w:rsid w:val="006B62C2"/>
    <w:rsid w:val="006B6316"/>
    <w:rsid w:val="006B6C2F"/>
    <w:rsid w:val="006B6D7B"/>
    <w:rsid w:val="006B7F10"/>
    <w:rsid w:val="006C042B"/>
    <w:rsid w:val="006C2543"/>
    <w:rsid w:val="006C2A45"/>
    <w:rsid w:val="006C3450"/>
    <w:rsid w:val="006C4042"/>
    <w:rsid w:val="006C56D9"/>
    <w:rsid w:val="006C5AB4"/>
    <w:rsid w:val="006C6530"/>
    <w:rsid w:val="006C6C85"/>
    <w:rsid w:val="006C700A"/>
    <w:rsid w:val="006C7B02"/>
    <w:rsid w:val="006C7C59"/>
    <w:rsid w:val="006D0312"/>
    <w:rsid w:val="006D05B4"/>
    <w:rsid w:val="006D06D5"/>
    <w:rsid w:val="006D17FE"/>
    <w:rsid w:val="006D214E"/>
    <w:rsid w:val="006D2DEA"/>
    <w:rsid w:val="006D2E9C"/>
    <w:rsid w:val="006D30BC"/>
    <w:rsid w:val="006D32F5"/>
    <w:rsid w:val="006D631F"/>
    <w:rsid w:val="006D68F0"/>
    <w:rsid w:val="006E1A0E"/>
    <w:rsid w:val="006E1ECB"/>
    <w:rsid w:val="006E2DF5"/>
    <w:rsid w:val="006E2F77"/>
    <w:rsid w:val="006E5E51"/>
    <w:rsid w:val="006E6241"/>
    <w:rsid w:val="006E6E8B"/>
    <w:rsid w:val="006E7C76"/>
    <w:rsid w:val="006F024F"/>
    <w:rsid w:val="006F04CD"/>
    <w:rsid w:val="006F07C9"/>
    <w:rsid w:val="006F0A6B"/>
    <w:rsid w:val="006F0F75"/>
    <w:rsid w:val="006F3496"/>
    <w:rsid w:val="006F388E"/>
    <w:rsid w:val="006F4633"/>
    <w:rsid w:val="006F5AC8"/>
    <w:rsid w:val="006F5F50"/>
    <w:rsid w:val="006F71FE"/>
    <w:rsid w:val="006F721C"/>
    <w:rsid w:val="006F7A75"/>
    <w:rsid w:val="007019E2"/>
    <w:rsid w:val="00702039"/>
    <w:rsid w:val="00703F7A"/>
    <w:rsid w:val="00704218"/>
    <w:rsid w:val="0070472C"/>
    <w:rsid w:val="00706102"/>
    <w:rsid w:val="00706B38"/>
    <w:rsid w:val="00711356"/>
    <w:rsid w:val="007121CF"/>
    <w:rsid w:val="00713D33"/>
    <w:rsid w:val="00716375"/>
    <w:rsid w:val="007170E9"/>
    <w:rsid w:val="00717B21"/>
    <w:rsid w:val="00720F3C"/>
    <w:rsid w:val="00721876"/>
    <w:rsid w:val="00722880"/>
    <w:rsid w:val="00723928"/>
    <w:rsid w:val="007240F9"/>
    <w:rsid w:val="00724763"/>
    <w:rsid w:val="007303C2"/>
    <w:rsid w:val="0073139F"/>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065"/>
    <w:rsid w:val="007552A7"/>
    <w:rsid w:val="0075624C"/>
    <w:rsid w:val="007566E2"/>
    <w:rsid w:val="00757FC1"/>
    <w:rsid w:val="00760265"/>
    <w:rsid w:val="00761E5D"/>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068"/>
    <w:rsid w:val="00776280"/>
    <w:rsid w:val="0078129F"/>
    <w:rsid w:val="00781798"/>
    <w:rsid w:val="00781A2A"/>
    <w:rsid w:val="007835FC"/>
    <w:rsid w:val="00786C7E"/>
    <w:rsid w:val="00786E59"/>
    <w:rsid w:val="0079003B"/>
    <w:rsid w:val="00791F35"/>
    <w:rsid w:val="0079398D"/>
    <w:rsid w:val="0079753A"/>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2CDB"/>
    <w:rsid w:val="007B3AF9"/>
    <w:rsid w:val="007B4190"/>
    <w:rsid w:val="007B5A22"/>
    <w:rsid w:val="007B6747"/>
    <w:rsid w:val="007B7795"/>
    <w:rsid w:val="007C1E2E"/>
    <w:rsid w:val="007C2A5B"/>
    <w:rsid w:val="007C2F2F"/>
    <w:rsid w:val="007C32E6"/>
    <w:rsid w:val="007C4071"/>
    <w:rsid w:val="007C551E"/>
    <w:rsid w:val="007C6103"/>
    <w:rsid w:val="007C650C"/>
    <w:rsid w:val="007C7079"/>
    <w:rsid w:val="007C7414"/>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60C"/>
    <w:rsid w:val="007E1F6F"/>
    <w:rsid w:val="007E2BD2"/>
    <w:rsid w:val="007E5F41"/>
    <w:rsid w:val="007E6311"/>
    <w:rsid w:val="007E6CF2"/>
    <w:rsid w:val="007F0BE0"/>
    <w:rsid w:val="007F1EB4"/>
    <w:rsid w:val="007F5493"/>
    <w:rsid w:val="007F575C"/>
    <w:rsid w:val="007F5B53"/>
    <w:rsid w:val="007F60D5"/>
    <w:rsid w:val="007F6DC7"/>
    <w:rsid w:val="0080075E"/>
    <w:rsid w:val="008016E2"/>
    <w:rsid w:val="00802948"/>
    <w:rsid w:val="00802AAC"/>
    <w:rsid w:val="00806FED"/>
    <w:rsid w:val="008103CB"/>
    <w:rsid w:val="00811115"/>
    <w:rsid w:val="0081218D"/>
    <w:rsid w:val="008122DE"/>
    <w:rsid w:val="008134C7"/>
    <w:rsid w:val="008139EB"/>
    <w:rsid w:val="00813D5F"/>
    <w:rsid w:val="008143D7"/>
    <w:rsid w:val="00814CAE"/>
    <w:rsid w:val="008150A6"/>
    <w:rsid w:val="008151E2"/>
    <w:rsid w:val="00816091"/>
    <w:rsid w:val="00816182"/>
    <w:rsid w:val="00816710"/>
    <w:rsid w:val="00817ADF"/>
    <w:rsid w:val="00820427"/>
    <w:rsid w:val="0082111F"/>
    <w:rsid w:val="008216A5"/>
    <w:rsid w:val="00821BA2"/>
    <w:rsid w:val="00822824"/>
    <w:rsid w:val="008228B9"/>
    <w:rsid w:val="00822FF6"/>
    <w:rsid w:val="00823154"/>
    <w:rsid w:val="00824639"/>
    <w:rsid w:val="00826479"/>
    <w:rsid w:val="0082672E"/>
    <w:rsid w:val="00826C95"/>
    <w:rsid w:val="00826CD6"/>
    <w:rsid w:val="008272AE"/>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A87"/>
    <w:rsid w:val="00843C41"/>
    <w:rsid w:val="00843DDE"/>
    <w:rsid w:val="00844E83"/>
    <w:rsid w:val="0084500E"/>
    <w:rsid w:val="0084501F"/>
    <w:rsid w:val="00845138"/>
    <w:rsid w:val="008455FB"/>
    <w:rsid w:val="0084584F"/>
    <w:rsid w:val="008479F5"/>
    <w:rsid w:val="00847DB4"/>
    <w:rsid w:val="00850308"/>
    <w:rsid w:val="00850403"/>
    <w:rsid w:val="00850BC8"/>
    <w:rsid w:val="00850E33"/>
    <w:rsid w:val="0085172A"/>
    <w:rsid w:val="0085569C"/>
    <w:rsid w:val="00856715"/>
    <w:rsid w:val="0085674D"/>
    <w:rsid w:val="00856DC0"/>
    <w:rsid w:val="0085769A"/>
    <w:rsid w:val="008607CA"/>
    <w:rsid w:val="00861CE7"/>
    <w:rsid w:val="00862E46"/>
    <w:rsid w:val="0086319C"/>
    <w:rsid w:val="00864D01"/>
    <w:rsid w:val="00864FAB"/>
    <w:rsid w:val="00865BFC"/>
    <w:rsid w:val="00870585"/>
    <w:rsid w:val="0087254B"/>
    <w:rsid w:val="0087394A"/>
    <w:rsid w:val="00873EAC"/>
    <w:rsid w:val="00874D32"/>
    <w:rsid w:val="0087522F"/>
    <w:rsid w:val="00880D1C"/>
    <w:rsid w:val="00880EB6"/>
    <w:rsid w:val="00881B84"/>
    <w:rsid w:val="00882317"/>
    <w:rsid w:val="00882D57"/>
    <w:rsid w:val="00885CC3"/>
    <w:rsid w:val="00886362"/>
    <w:rsid w:val="008876A3"/>
    <w:rsid w:val="00887DFB"/>
    <w:rsid w:val="008901D8"/>
    <w:rsid w:val="00891F76"/>
    <w:rsid w:val="00892062"/>
    <w:rsid w:val="0089283A"/>
    <w:rsid w:val="00892ADC"/>
    <w:rsid w:val="008931DF"/>
    <w:rsid w:val="00893813"/>
    <w:rsid w:val="008957F7"/>
    <w:rsid w:val="0089658C"/>
    <w:rsid w:val="00897000"/>
    <w:rsid w:val="008A06A4"/>
    <w:rsid w:val="008A0739"/>
    <w:rsid w:val="008A2458"/>
    <w:rsid w:val="008A3682"/>
    <w:rsid w:val="008A4BA6"/>
    <w:rsid w:val="008A5D30"/>
    <w:rsid w:val="008A66B8"/>
    <w:rsid w:val="008A7EED"/>
    <w:rsid w:val="008A7F9C"/>
    <w:rsid w:val="008B0953"/>
    <w:rsid w:val="008B25E6"/>
    <w:rsid w:val="008B2B1D"/>
    <w:rsid w:val="008B3358"/>
    <w:rsid w:val="008B358E"/>
    <w:rsid w:val="008B3C27"/>
    <w:rsid w:val="008B4516"/>
    <w:rsid w:val="008B5009"/>
    <w:rsid w:val="008B5D80"/>
    <w:rsid w:val="008B6C0C"/>
    <w:rsid w:val="008B7C8C"/>
    <w:rsid w:val="008B7E45"/>
    <w:rsid w:val="008C0552"/>
    <w:rsid w:val="008C1237"/>
    <w:rsid w:val="008C1D9E"/>
    <w:rsid w:val="008C2981"/>
    <w:rsid w:val="008C46FC"/>
    <w:rsid w:val="008C64FB"/>
    <w:rsid w:val="008C7048"/>
    <w:rsid w:val="008C771B"/>
    <w:rsid w:val="008C77A4"/>
    <w:rsid w:val="008D0DB7"/>
    <w:rsid w:val="008D2DAF"/>
    <w:rsid w:val="008D4EEC"/>
    <w:rsid w:val="008D5B0C"/>
    <w:rsid w:val="008D5BFC"/>
    <w:rsid w:val="008E00A3"/>
    <w:rsid w:val="008E098D"/>
    <w:rsid w:val="008E1C91"/>
    <w:rsid w:val="008E2EFF"/>
    <w:rsid w:val="008E3B9E"/>
    <w:rsid w:val="008E4AFF"/>
    <w:rsid w:val="008E4E0F"/>
    <w:rsid w:val="008E5935"/>
    <w:rsid w:val="008E5FFC"/>
    <w:rsid w:val="008E725C"/>
    <w:rsid w:val="008E738E"/>
    <w:rsid w:val="008F0A84"/>
    <w:rsid w:val="008F0CC3"/>
    <w:rsid w:val="008F175B"/>
    <w:rsid w:val="008F44C7"/>
    <w:rsid w:val="008F46A2"/>
    <w:rsid w:val="008F5035"/>
    <w:rsid w:val="008F5056"/>
    <w:rsid w:val="008F5A80"/>
    <w:rsid w:val="008F6954"/>
    <w:rsid w:val="008F6E3D"/>
    <w:rsid w:val="008F721D"/>
    <w:rsid w:val="008F7E0B"/>
    <w:rsid w:val="008F7ED2"/>
    <w:rsid w:val="00900C2F"/>
    <w:rsid w:val="00902C93"/>
    <w:rsid w:val="0090408F"/>
    <w:rsid w:val="009066DC"/>
    <w:rsid w:val="00906F8A"/>
    <w:rsid w:val="009104E4"/>
    <w:rsid w:val="00910A37"/>
    <w:rsid w:val="00911C4C"/>
    <w:rsid w:val="00913EA0"/>
    <w:rsid w:val="00914B35"/>
    <w:rsid w:val="00915570"/>
    <w:rsid w:val="0091611D"/>
    <w:rsid w:val="00916267"/>
    <w:rsid w:val="00917373"/>
    <w:rsid w:val="009173A3"/>
    <w:rsid w:val="00917B62"/>
    <w:rsid w:val="0092016A"/>
    <w:rsid w:val="0092091C"/>
    <w:rsid w:val="00920CEB"/>
    <w:rsid w:val="00921082"/>
    <w:rsid w:val="0092123C"/>
    <w:rsid w:val="0092264D"/>
    <w:rsid w:val="00922A4F"/>
    <w:rsid w:val="00922DE7"/>
    <w:rsid w:val="00922EFB"/>
    <w:rsid w:val="00922FA7"/>
    <w:rsid w:val="00923A6C"/>
    <w:rsid w:val="00923B78"/>
    <w:rsid w:val="009249C8"/>
    <w:rsid w:val="00925816"/>
    <w:rsid w:val="0093115A"/>
    <w:rsid w:val="00931671"/>
    <w:rsid w:val="00933F00"/>
    <w:rsid w:val="00935257"/>
    <w:rsid w:val="00935401"/>
    <w:rsid w:val="00935BE0"/>
    <w:rsid w:val="00936A9D"/>
    <w:rsid w:val="0094003A"/>
    <w:rsid w:val="0094004A"/>
    <w:rsid w:val="00940404"/>
    <w:rsid w:val="009414BA"/>
    <w:rsid w:val="00941868"/>
    <w:rsid w:val="00942FCD"/>
    <w:rsid w:val="0094338B"/>
    <w:rsid w:val="00944B19"/>
    <w:rsid w:val="009453D0"/>
    <w:rsid w:val="009455D3"/>
    <w:rsid w:val="0094638E"/>
    <w:rsid w:val="00946455"/>
    <w:rsid w:val="00946A82"/>
    <w:rsid w:val="009501EB"/>
    <w:rsid w:val="0095071A"/>
    <w:rsid w:val="00951071"/>
    <w:rsid w:val="0095158B"/>
    <w:rsid w:val="009523EF"/>
    <w:rsid w:val="0095333C"/>
    <w:rsid w:val="00953610"/>
    <w:rsid w:val="009537EE"/>
    <w:rsid w:val="009544D9"/>
    <w:rsid w:val="00955186"/>
    <w:rsid w:val="00955282"/>
    <w:rsid w:val="00956990"/>
    <w:rsid w:val="00956EE8"/>
    <w:rsid w:val="009570F6"/>
    <w:rsid w:val="00961028"/>
    <w:rsid w:val="009625C3"/>
    <w:rsid w:val="0096484B"/>
    <w:rsid w:val="00965C09"/>
    <w:rsid w:val="00966B06"/>
    <w:rsid w:val="00966B6A"/>
    <w:rsid w:val="0097057C"/>
    <w:rsid w:val="00970C2C"/>
    <w:rsid w:val="00971419"/>
    <w:rsid w:val="009715C5"/>
    <w:rsid w:val="00971AF2"/>
    <w:rsid w:val="009723B8"/>
    <w:rsid w:val="00972647"/>
    <w:rsid w:val="00973264"/>
    <w:rsid w:val="009742A2"/>
    <w:rsid w:val="009764C0"/>
    <w:rsid w:val="009817A0"/>
    <w:rsid w:val="00982089"/>
    <w:rsid w:val="0098281C"/>
    <w:rsid w:val="00982A68"/>
    <w:rsid w:val="009833A0"/>
    <w:rsid w:val="00983C0B"/>
    <w:rsid w:val="0098423D"/>
    <w:rsid w:val="00984871"/>
    <w:rsid w:val="009850E9"/>
    <w:rsid w:val="00985DFA"/>
    <w:rsid w:val="00985FC3"/>
    <w:rsid w:val="00986315"/>
    <w:rsid w:val="00986617"/>
    <w:rsid w:val="00986D21"/>
    <w:rsid w:val="009911E3"/>
    <w:rsid w:val="00991869"/>
    <w:rsid w:val="00992201"/>
    <w:rsid w:val="00993332"/>
    <w:rsid w:val="00993C0B"/>
    <w:rsid w:val="00993E24"/>
    <w:rsid w:val="00994416"/>
    <w:rsid w:val="0099454D"/>
    <w:rsid w:val="00994575"/>
    <w:rsid w:val="00994B4C"/>
    <w:rsid w:val="00994E42"/>
    <w:rsid w:val="00994E6A"/>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3C34"/>
    <w:rsid w:val="009B5F6F"/>
    <w:rsid w:val="009B7A7F"/>
    <w:rsid w:val="009B7A90"/>
    <w:rsid w:val="009B7A94"/>
    <w:rsid w:val="009B7BA4"/>
    <w:rsid w:val="009B7EA5"/>
    <w:rsid w:val="009B7F07"/>
    <w:rsid w:val="009C1007"/>
    <w:rsid w:val="009C1F6E"/>
    <w:rsid w:val="009C2514"/>
    <w:rsid w:val="009C29E2"/>
    <w:rsid w:val="009C3C03"/>
    <w:rsid w:val="009C3C6C"/>
    <w:rsid w:val="009C3EBA"/>
    <w:rsid w:val="009C4C61"/>
    <w:rsid w:val="009C5377"/>
    <w:rsid w:val="009C58A2"/>
    <w:rsid w:val="009C7BA0"/>
    <w:rsid w:val="009C7C48"/>
    <w:rsid w:val="009D1B51"/>
    <w:rsid w:val="009D2F3C"/>
    <w:rsid w:val="009D3369"/>
    <w:rsid w:val="009D41EB"/>
    <w:rsid w:val="009D426B"/>
    <w:rsid w:val="009D52BF"/>
    <w:rsid w:val="009D5349"/>
    <w:rsid w:val="009D551D"/>
    <w:rsid w:val="009D6255"/>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5C0"/>
    <w:rsid w:val="00A109CC"/>
    <w:rsid w:val="00A12B06"/>
    <w:rsid w:val="00A13EDB"/>
    <w:rsid w:val="00A14C4D"/>
    <w:rsid w:val="00A14C72"/>
    <w:rsid w:val="00A15845"/>
    <w:rsid w:val="00A16741"/>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3A7"/>
    <w:rsid w:val="00A4553A"/>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94A"/>
    <w:rsid w:val="00A74D3C"/>
    <w:rsid w:val="00A7550A"/>
    <w:rsid w:val="00A75DB1"/>
    <w:rsid w:val="00A760CB"/>
    <w:rsid w:val="00A7610E"/>
    <w:rsid w:val="00A761C2"/>
    <w:rsid w:val="00A76BBD"/>
    <w:rsid w:val="00A76D29"/>
    <w:rsid w:val="00A80B8E"/>
    <w:rsid w:val="00A81335"/>
    <w:rsid w:val="00A816A1"/>
    <w:rsid w:val="00A816E2"/>
    <w:rsid w:val="00A81ADF"/>
    <w:rsid w:val="00A82026"/>
    <w:rsid w:val="00A82952"/>
    <w:rsid w:val="00A82ABC"/>
    <w:rsid w:val="00A83745"/>
    <w:rsid w:val="00A83B44"/>
    <w:rsid w:val="00A845DF"/>
    <w:rsid w:val="00A85093"/>
    <w:rsid w:val="00A8627C"/>
    <w:rsid w:val="00A86383"/>
    <w:rsid w:val="00A86960"/>
    <w:rsid w:val="00A869B7"/>
    <w:rsid w:val="00A86B01"/>
    <w:rsid w:val="00A91267"/>
    <w:rsid w:val="00A9185C"/>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642C"/>
    <w:rsid w:val="00AA725C"/>
    <w:rsid w:val="00AB02D5"/>
    <w:rsid w:val="00AB18DF"/>
    <w:rsid w:val="00AB3274"/>
    <w:rsid w:val="00AB3E05"/>
    <w:rsid w:val="00AB6831"/>
    <w:rsid w:val="00AB68E1"/>
    <w:rsid w:val="00AB7A0E"/>
    <w:rsid w:val="00AC0409"/>
    <w:rsid w:val="00AC0C60"/>
    <w:rsid w:val="00AC178D"/>
    <w:rsid w:val="00AC1897"/>
    <w:rsid w:val="00AC1A52"/>
    <w:rsid w:val="00AC2E63"/>
    <w:rsid w:val="00AC2EA5"/>
    <w:rsid w:val="00AC3A70"/>
    <w:rsid w:val="00AC4404"/>
    <w:rsid w:val="00AC63F8"/>
    <w:rsid w:val="00AC7144"/>
    <w:rsid w:val="00AC75AF"/>
    <w:rsid w:val="00AC7AD3"/>
    <w:rsid w:val="00AD00DB"/>
    <w:rsid w:val="00AD340C"/>
    <w:rsid w:val="00AD3849"/>
    <w:rsid w:val="00AD3D18"/>
    <w:rsid w:val="00AD4A61"/>
    <w:rsid w:val="00AD4D41"/>
    <w:rsid w:val="00AD4DD2"/>
    <w:rsid w:val="00AD6114"/>
    <w:rsid w:val="00AD74EC"/>
    <w:rsid w:val="00AE01B3"/>
    <w:rsid w:val="00AE0C96"/>
    <w:rsid w:val="00AE0CFD"/>
    <w:rsid w:val="00AE16D0"/>
    <w:rsid w:val="00AE1978"/>
    <w:rsid w:val="00AE1DA8"/>
    <w:rsid w:val="00AE4D94"/>
    <w:rsid w:val="00AE5612"/>
    <w:rsid w:val="00AE6664"/>
    <w:rsid w:val="00AE6A4B"/>
    <w:rsid w:val="00AE6EED"/>
    <w:rsid w:val="00AE74AC"/>
    <w:rsid w:val="00AE7F1F"/>
    <w:rsid w:val="00AF11E6"/>
    <w:rsid w:val="00AF2614"/>
    <w:rsid w:val="00AF37BB"/>
    <w:rsid w:val="00AF4155"/>
    <w:rsid w:val="00AF78B2"/>
    <w:rsid w:val="00AF7E3E"/>
    <w:rsid w:val="00B005A5"/>
    <w:rsid w:val="00B01853"/>
    <w:rsid w:val="00B0186D"/>
    <w:rsid w:val="00B0228E"/>
    <w:rsid w:val="00B02758"/>
    <w:rsid w:val="00B02B5A"/>
    <w:rsid w:val="00B0302F"/>
    <w:rsid w:val="00B036CF"/>
    <w:rsid w:val="00B03790"/>
    <w:rsid w:val="00B03C45"/>
    <w:rsid w:val="00B03CDC"/>
    <w:rsid w:val="00B04B8A"/>
    <w:rsid w:val="00B04BFB"/>
    <w:rsid w:val="00B104AA"/>
    <w:rsid w:val="00B10972"/>
    <w:rsid w:val="00B11872"/>
    <w:rsid w:val="00B11877"/>
    <w:rsid w:val="00B13758"/>
    <w:rsid w:val="00B13979"/>
    <w:rsid w:val="00B15E4F"/>
    <w:rsid w:val="00B2012B"/>
    <w:rsid w:val="00B204EF"/>
    <w:rsid w:val="00B20B29"/>
    <w:rsid w:val="00B20CB9"/>
    <w:rsid w:val="00B20D52"/>
    <w:rsid w:val="00B2167C"/>
    <w:rsid w:val="00B22598"/>
    <w:rsid w:val="00B24691"/>
    <w:rsid w:val="00B246D3"/>
    <w:rsid w:val="00B25171"/>
    <w:rsid w:val="00B25264"/>
    <w:rsid w:val="00B256EC"/>
    <w:rsid w:val="00B262C9"/>
    <w:rsid w:val="00B26A2C"/>
    <w:rsid w:val="00B26BDA"/>
    <w:rsid w:val="00B2753F"/>
    <w:rsid w:val="00B27C83"/>
    <w:rsid w:val="00B30526"/>
    <w:rsid w:val="00B31155"/>
    <w:rsid w:val="00B3125B"/>
    <w:rsid w:val="00B31B0D"/>
    <w:rsid w:val="00B32F9A"/>
    <w:rsid w:val="00B32FCD"/>
    <w:rsid w:val="00B3318C"/>
    <w:rsid w:val="00B34577"/>
    <w:rsid w:val="00B34E07"/>
    <w:rsid w:val="00B34ED0"/>
    <w:rsid w:val="00B35897"/>
    <w:rsid w:val="00B36628"/>
    <w:rsid w:val="00B367EB"/>
    <w:rsid w:val="00B41FF2"/>
    <w:rsid w:val="00B4240C"/>
    <w:rsid w:val="00B4289E"/>
    <w:rsid w:val="00B42E13"/>
    <w:rsid w:val="00B4334F"/>
    <w:rsid w:val="00B43464"/>
    <w:rsid w:val="00B45223"/>
    <w:rsid w:val="00B45C7D"/>
    <w:rsid w:val="00B461F3"/>
    <w:rsid w:val="00B46548"/>
    <w:rsid w:val="00B47DA1"/>
    <w:rsid w:val="00B47EFD"/>
    <w:rsid w:val="00B50065"/>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2FE"/>
    <w:rsid w:val="00B76EAC"/>
    <w:rsid w:val="00B80DF9"/>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6411"/>
    <w:rsid w:val="00B975ED"/>
    <w:rsid w:val="00B979E2"/>
    <w:rsid w:val="00B97D1F"/>
    <w:rsid w:val="00B97E9D"/>
    <w:rsid w:val="00BA1740"/>
    <w:rsid w:val="00BA19FE"/>
    <w:rsid w:val="00BA25DB"/>
    <w:rsid w:val="00BA351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767"/>
    <w:rsid w:val="00BC3C19"/>
    <w:rsid w:val="00BC4501"/>
    <w:rsid w:val="00BC4B27"/>
    <w:rsid w:val="00BC4BC8"/>
    <w:rsid w:val="00BC5C23"/>
    <w:rsid w:val="00BC71FD"/>
    <w:rsid w:val="00BD04F3"/>
    <w:rsid w:val="00BD15BE"/>
    <w:rsid w:val="00BD23DC"/>
    <w:rsid w:val="00BD2E19"/>
    <w:rsid w:val="00BD3BF3"/>
    <w:rsid w:val="00BD5316"/>
    <w:rsid w:val="00BD6613"/>
    <w:rsid w:val="00BD6745"/>
    <w:rsid w:val="00BD7A29"/>
    <w:rsid w:val="00BE073C"/>
    <w:rsid w:val="00BE1373"/>
    <w:rsid w:val="00BE1F49"/>
    <w:rsid w:val="00BE32FA"/>
    <w:rsid w:val="00BE41BE"/>
    <w:rsid w:val="00BE4EBB"/>
    <w:rsid w:val="00BE6F8C"/>
    <w:rsid w:val="00BE735F"/>
    <w:rsid w:val="00BE74B5"/>
    <w:rsid w:val="00BF0B0F"/>
    <w:rsid w:val="00BF150A"/>
    <w:rsid w:val="00BF30A5"/>
    <w:rsid w:val="00BF3210"/>
    <w:rsid w:val="00BF3B09"/>
    <w:rsid w:val="00BF42DD"/>
    <w:rsid w:val="00BF449C"/>
    <w:rsid w:val="00BF4A06"/>
    <w:rsid w:val="00BF4B27"/>
    <w:rsid w:val="00BF6721"/>
    <w:rsid w:val="00C02DA8"/>
    <w:rsid w:val="00C03270"/>
    <w:rsid w:val="00C03937"/>
    <w:rsid w:val="00C03D8E"/>
    <w:rsid w:val="00C044EA"/>
    <w:rsid w:val="00C048FB"/>
    <w:rsid w:val="00C04CFA"/>
    <w:rsid w:val="00C04D72"/>
    <w:rsid w:val="00C0596E"/>
    <w:rsid w:val="00C05F28"/>
    <w:rsid w:val="00C074A8"/>
    <w:rsid w:val="00C076EF"/>
    <w:rsid w:val="00C1262A"/>
    <w:rsid w:val="00C127C5"/>
    <w:rsid w:val="00C1444A"/>
    <w:rsid w:val="00C144BA"/>
    <w:rsid w:val="00C15E59"/>
    <w:rsid w:val="00C15E84"/>
    <w:rsid w:val="00C166F1"/>
    <w:rsid w:val="00C16C84"/>
    <w:rsid w:val="00C17537"/>
    <w:rsid w:val="00C20D1A"/>
    <w:rsid w:val="00C21DB4"/>
    <w:rsid w:val="00C224CD"/>
    <w:rsid w:val="00C25539"/>
    <w:rsid w:val="00C25B4A"/>
    <w:rsid w:val="00C25C2B"/>
    <w:rsid w:val="00C2744F"/>
    <w:rsid w:val="00C2764C"/>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261"/>
    <w:rsid w:val="00C4699F"/>
    <w:rsid w:val="00C4711A"/>
    <w:rsid w:val="00C472A3"/>
    <w:rsid w:val="00C50C4A"/>
    <w:rsid w:val="00C524B1"/>
    <w:rsid w:val="00C53D6E"/>
    <w:rsid w:val="00C544EF"/>
    <w:rsid w:val="00C54D1B"/>
    <w:rsid w:val="00C56B9D"/>
    <w:rsid w:val="00C56D79"/>
    <w:rsid w:val="00C60706"/>
    <w:rsid w:val="00C61A1B"/>
    <w:rsid w:val="00C6464D"/>
    <w:rsid w:val="00C64F51"/>
    <w:rsid w:val="00C64FE6"/>
    <w:rsid w:val="00C66FED"/>
    <w:rsid w:val="00C67BE9"/>
    <w:rsid w:val="00C70E74"/>
    <w:rsid w:val="00C71217"/>
    <w:rsid w:val="00C72672"/>
    <w:rsid w:val="00C72DBC"/>
    <w:rsid w:val="00C74041"/>
    <w:rsid w:val="00C75F5C"/>
    <w:rsid w:val="00C769D2"/>
    <w:rsid w:val="00C76B39"/>
    <w:rsid w:val="00C76F57"/>
    <w:rsid w:val="00C77891"/>
    <w:rsid w:val="00C8081E"/>
    <w:rsid w:val="00C8194B"/>
    <w:rsid w:val="00C82F88"/>
    <w:rsid w:val="00C831A1"/>
    <w:rsid w:val="00C84ACF"/>
    <w:rsid w:val="00C8510F"/>
    <w:rsid w:val="00C856C4"/>
    <w:rsid w:val="00C8634C"/>
    <w:rsid w:val="00C86B88"/>
    <w:rsid w:val="00C86F92"/>
    <w:rsid w:val="00C87FD1"/>
    <w:rsid w:val="00C90072"/>
    <w:rsid w:val="00C909E8"/>
    <w:rsid w:val="00C90C73"/>
    <w:rsid w:val="00C91B57"/>
    <w:rsid w:val="00C92EEA"/>
    <w:rsid w:val="00C9533B"/>
    <w:rsid w:val="00C95A92"/>
    <w:rsid w:val="00CA14A2"/>
    <w:rsid w:val="00CA5311"/>
    <w:rsid w:val="00CA597B"/>
    <w:rsid w:val="00CA6E89"/>
    <w:rsid w:val="00CB0748"/>
    <w:rsid w:val="00CB18BD"/>
    <w:rsid w:val="00CB1B09"/>
    <w:rsid w:val="00CB232C"/>
    <w:rsid w:val="00CB26DB"/>
    <w:rsid w:val="00CB2D79"/>
    <w:rsid w:val="00CB2E90"/>
    <w:rsid w:val="00CB31D0"/>
    <w:rsid w:val="00CB3AE6"/>
    <w:rsid w:val="00CB4405"/>
    <w:rsid w:val="00CB4EF4"/>
    <w:rsid w:val="00CB51F6"/>
    <w:rsid w:val="00CB5BD0"/>
    <w:rsid w:val="00CB63F6"/>
    <w:rsid w:val="00CB6CF9"/>
    <w:rsid w:val="00CB77A9"/>
    <w:rsid w:val="00CC042F"/>
    <w:rsid w:val="00CC0CB4"/>
    <w:rsid w:val="00CC11D6"/>
    <w:rsid w:val="00CC1A2E"/>
    <w:rsid w:val="00CC237A"/>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07D3"/>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F63"/>
    <w:rsid w:val="00D105D9"/>
    <w:rsid w:val="00D11197"/>
    <w:rsid w:val="00D11FB0"/>
    <w:rsid w:val="00D129B0"/>
    <w:rsid w:val="00D1422B"/>
    <w:rsid w:val="00D163CD"/>
    <w:rsid w:val="00D16736"/>
    <w:rsid w:val="00D1756F"/>
    <w:rsid w:val="00D17950"/>
    <w:rsid w:val="00D20BC2"/>
    <w:rsid w:val="00D2100C"/>
    <w:rsid w:val="00D21893"/>
    <w:rsid w:val="00D22054"/>
    <w:rsid w:val="00D230E9"/>
    <w:rsid w:val="00D23183"/>
    <w:rsid w:val="00D23A71"/>
    <w:rsid w:val="00D23DB6"/>
    <w:rsid w:val="00D242FC"/>
    <w:rsid w:val="00D24F78"/>
    <w:rsid w:val="00D24F90"/>
    <w:rsid w:val="00D262D9"/>
    <w:rsid w:val="00D26400"/>
    <w:rsid w:val="00D264F9"/>
    <w:rsid w:val="00D26E9A"/>
    <w:rsid w:val="00D270C3"/>
    <w:rsid w:val="00D27651"/>
    <w:rsid w:val="00D305E8"/>
    <w:rsid w:val="00D31768"/>
    <w:rsid w:val="00D330DB"/>
    <w:rsid w:val="00D33C2D"/>
    <w:rsid w:val="00D344FD"/>
    <w:rsid w:val="00D35E6A"/>
    <w:rsid w:val="00D361F7"/>
    <w:rsid w:val="00D36681"/>
    <w:rsid w:val="00D367A3"/>
    <w:rsid w:val="00D36F7E"/>
    <w:rsid w:val="00D379C7"/>
    <w:rsid w:val="00D37A4D"/>
    <w:rsid w:val="00D37BDA"/>
    <w:rsid w:val="00D41D8D"/>
    <w:rsid w:val="00D42370"/>
    <w:rsid w:val="00D42755"/>
    <w:rsid w:val="00D43711"/>
    <w:rsid w:val="00D46FE0"/>
    <w:rsid w:val="00D50FB1"/>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0734"/>
    <w:rsid w:val="00D73BEF"/>
    <w:rsid w:val="00D75375"/>
    <w:rsid w:val="00D75DD7"/>
    <w:rsid w:val="00D75F4C"/>
    <w:rsid w:val="00D76D45"/>
    <w:rsid w:val="00D7704E"/>
    <w:rsid w:val="00D80DD2"/>
    <w:rsid w:val="00D8461E"/>
    <w:rsid w:val="00D848AF"/>
    <w:rsid w:val="00D84D41"/>
    <w:rsid w:val="00D85867"/>
    <w:rsid w:val="00D90438"/>
    <w:rsid w:val="00D90F7C"/>
    <w:rsid w:val="00D91BBB"/>
    <w:rsid w:val="00D930EE"/>
    <w:rsid w:val="00D93BBB"/>
    <w:rsid w:val="00D9483F"/>
    <w:rsid w:val="00D957E5"/>
    <w:rsid w:val="00D9612C"/>
    <w:rsid w:val="00D963A4"/>
    <w:rsid w:val="00D96B41"/>
    <w:rsid w:val="00DA02CE"/>
    <w:rsid w:val="00DA0A9B"/>
    <w:rsid w:val="00DA0DFD"/>
    <w:rsid w:val="00DA1F4C"/>
    <w:rsid w:val="00DA26D1"/>
    <w:rsid w:val="00DA7EC9"/>
    <w:rsid w:val="00DB18FC"/>
    <w:rsid w:val="00DB1DFA"/>
    <w:rsid w:val="00DB240D"/>
    <w:rsid w:val="00DB2769"/>
    <w:rsid w:val="00DB4762"/>
    <w:rsid w:val="00DB51D0"/>
    <w:rsid w:val="00DB5C1A"/>
    <w:rsid w:val="00DB630A"/>
    <w:rsid w:val="00DB6473"/>
    <w:rsid w:val="00DC1FC6"/>
    <w:rsid w:val="00DC3A90"/>
    <w:rsid w:val="00DC3ED2"/>
    <w:rsid w:val="00DC4AE1"/>
    <w:rsid w:val="00DC585C"/>
    <w:rsid w:val="00DC5939"/>
    <w:rsid w:val="00DC6B38"/>
    <w:rsid w:val="00DC7182"/>
    <w:rsid w:val="00DC767D"/>
    <w:rsid w:val="00DC7A15"/>
    <w:rsid w:val="00DC7C84"/>
    <w:rsid w:val="00DD08FF"/>
    <w:rsid w:val="00DD0CDD"/>
    <w:rsid w:val="00DD1B5D"/>
    <w:rsid w:val="00DD26EA"/>
    <w:rsid w:val="00DD2A54"/>
    <w:rsid w:val="00DD2FC8"/>
    <w:rsid w:val="00DD35BB"/>
    <w:rsid w:val="00DD5EDD"/>
    <w:rsid w:val="00DD6B34"/>
    <w:rsid w:val="00DD7198"/>
    <w:rsid w:val="00DE1598"/>
    <w:rsid w:val="00DE35B0"/>
    <w:rsid w:val="00DE3B48"/>
    <w:rsid w:val="00DE766D"/>
    <w:rsid w:val="00DF06D5"/>
    <w:rsid w:val="00DF06E1"/>
    <w:rsid w:val="00DF0FF1"/>
    <w:rsid w:val="00DF1557"/>
    <w:rsid w:val="00DF253B"/>
    <w:rsid w:val="00DF2F36"/>
    <w:rsid w:val="00DF414D"/>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7564"/>
    <w:rsid w:val="00E07EB9"/>
    <w:rsid w:val="00E10A87"/>
    <w:rsid w:val="00E114BC"/>
    <w:rsid w:val="00E11D50"/>
    <w:rsid w:val="00E13609"/>
    <w:rsid w:val="00E138AE"/>
    <w:rsid w:val="00E14B3C"/>
    <w:rsid w:val="00E16067"/>
    <w:rsid w:val="00E20560"/>
    <w:rsid w:val="00E212E3"/>
    <w:rsid w:val="00E21EB3"/>
    <w:rsid w:val="00E22505"/>
    <w:rsid w:val="00E227F4"/>
    <w:rsid w:val="00E2297E"/>
    <w:rsid w:val="00E23903"/>
    <w:rsid w:val="00E2465F"/>
    <w:rsid w:val="00E2575E"/>
    <w:rsid w:val="00E25E0D"/>
    <w:rsid w:val="00E2723D"/>
    <w:rsid w:val="00E27DAA"/>
    <w:rsid w:val="00E27FDC"/>
    <w:rsid w:val="00E303C9"/>
    <w:rsid w:val="00E30627"/>
    <w:rsid w:val="00E30E7D"/>
    <w:rsid w:val="00E31BA9"/>
    <w:rsid w:val="00E332F8"/>
    <w:rsid w:val="00E33659"/>
    <w:rsid w:val="00E403F9"/>
    <w:rsid w:val="00E40872"/>
    <w:rsid w:val="00E40BC4"/>
    <w:rsid w:val="00E41594"/>
    <w:rsid w:val="00E4296F"/>
    <w:rsid w:val="00E44D88"/>
    <w:rsid w:val="00E46034"/>
    <w:rsid w:val="00E46A08"/>
    <w:rsid w:val="00E47BE1"/>
    <w:rsid w:val="00E518FB"/>
    <w:rsid w:val="00E51911"/>
    <w:rsid w:val="00E51B43"/>
    <w:rsid w:val="00E56FE8"/>
    <w:rsid w:val="00E57388"/>
    <w:rsid w:val="00E57C5E"/>
    <w:rsid w:val="00E57FE6"/>
    <w:rsid w:val="00E6057C"/>
    <w:rsid w:val="00E607A7"/>
    <w:rsid w:val="00E60C5E"/>
    <w:rsid w:val="00E612B4"/>
    <w:rsid w:val="00E637C3"/>
    <w:rsid w:val="00E63BD1"/>
    <w:rsid w:val="00E63F36"/>
    <w:rsid w:val="00E6435C"/>
    <w:rsid w:val="00E6467D"/>
    <w:rsid w:val="00E6581A"/>
    <w:rsid w:val="00E65AC4"/>
    <w:rsid w:val="00E66BCF"/>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F"/>
    <w:rsid w:val="00E87864"/>
    <w:rsid w:val="00E90EE7"/>
    <w:rsid w:val="00E90F5E"/>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56E0"/>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300"/>
    <w:rsid w:val="00EE08BA"/>
    <w:rsid w:val="00EE1F49"/>
    <w:rsid w:val="00EE1F87"/>
    <w:rsid w:val="00EE3720"/>
    <w:rsid w:val="00EE3F92"/>
    <w:rsid w:val="00EE4E4F"/>
    <w:rsid w:val="00EE68DF"/>
    <w:rsid w:val="00EE7634"/>
    <w:rsid w:val="00EF08C2"/>
    <w:rsid w:val="00EF1AA0"/>
    <w:rsid w:val="00EF271D"/>
    <w:rsid w:val="00EF405A"/>
    <w:rsid w:val="00EF4228"/>
    <w:rsid w:val="00EF473E"/>
    <w:rsid w:val="00EF4DC8"/>
    <w:rsid w:val="00EF59D7"/>
    <w:rsid w:val="00EF659E"/>
    <w:rsid w:val="00EF6A13"/>
    <w:rsid w:val="00F01751"/>
    <w:rsid w:val="00F02CF2"/>
    <w:rsid w:val="00F0385A"/>
    <w:rsid w:val="00F04ADF"/>
    <w:rsid w:val="00F078C6"/>
    <w:rsid w:val="00F1070F"/>
    <w:rsid w:val="00F13BB5"/>
    <w:rsid w:val="00F14992"/>
    <w:rsid w:val="00F16434"/>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BE1"/>
    <w:rsid w:val="00F31CAB"/>
    <w:rsid w:val="00F31ECE"/>
    <w:rsid w:val="00F31FF7"/>
    <w:rsid w:val="00F32A46"/>
    <w:rsid w:val="00F32CCE"/>
    <w:rsid w:val="00F349A1"/>
    <w:rsid w:val="00F37170"/>
    <w:rsid w:val="00F3783E"/>
    <w:rsid w:val="00F416A4"/>
    <w:rsid w:val="00F43040"/>
    <w:rsid w:val="00F436A2"/>
    <w:rsid w:val="00F44520"/>
    <w:rsid w:val="00F44E00"/>
    <w:rsid w:val="00F44EC3"/>
    <w:rsid w:val="00F459DC"/>
    <w:rsid w:val="00F45DB5"/>
    <w:rsid w:val="00F46AFA"/>
    <w:rsid w:val="00F46B72"/>
    <w:rsid w:val="00F46DD6"/>
    <w:rsid w:val="00F473AB"/>
    <w:rsid w:val="00F474AB"/>
    <w:rsid w:val="00F476F6"/>
    <w:rsid w:val="00F47A28"/>
    <w:rsid w:val="00F5050C"/>
    <w:rsid w:val="00F5134E"/>
    <w:rsid w:val="00F528DD"/>
    <w:rsid w:val="00F52A18"/>
    <w:rsid w:val="00F52C68"/>
    <w:rsid w:val="00F53CC6"/>
    <w:rsid w:val="00F55805"/>
    <w:rsid w:val="00F564CD"/>
    <w:rsid w:val="00F57BB0"/>
    <w:rsid w:val="00F61702"/>
    <w:rsid w:val="00F62E71"/>
    <w:rsid w:val="00F6306C"/>
    <w:rsid w:val="00F630C8"/>
    <w:rsid w:val="00F64C12"/>
    <w:rsid w:val="00F6552D"/>
    <w:rsid w:val="00F6573B"/>
    <w:rsid w:val="00F667F5"/>
    <w:rsid w:val="00F66C1D"/>
    <w:rsid w:val="00F67278"/>
    <w:rsid w:val="00F67ABE"/>
    <w:rsid w:val="00F710E9"/>
    <w:rsid w:val="00F733F0"/>
    <w:rsid w:val="00F75E36"/>
    <w:rsid w:val="00F75F28"/>
    <w:rsid w:val="00F76A72"/>
    <w:rsid w:val="00F77340"/>
    <w:rsid w:val="00F8042D"/>
    <w:rsid w:val="00F85256"/>
    <w:rsid w:val="00F8751C"/>
    <w:rsid w:val="00F87572"/>
    <w:rsid w:val="00F87CA2"/>
    <w:rsid w:val="00F87FF7"/>
    <w:rsid w:val="00F911A7"/>
    <w:rsid w:val="00F91976"/>
    <w:rsid w:val="00F91D51"/>
    <w:rsid w:val="00F92C8D"/>
    <w:rsid w:val="00F92D86"/>
    <w:rsid w:val="00F931AD"/>
    <w:rsid w:val="00F95B1C"/>
    <w:rsid w:val="00F95FE5"/>
    <w:rsid w:val="00F9641E"/>
    <w:rsid w:val="00F96E61"/>
    <w:rsid w:val="00F9741A"/>
    <w:rsid w:val="00FA1393"/>
    <w:rsid w:val="00FA18B4"/>
    <w:rsid w:val="00FA1F53"/>
    <w:rsid w:val="00FA2095"/>
    <w:rsid w:val="00FA244D"/>
    <w:rsid w:val="00FA7224"/>
    <w:rsid w:val="00FB1215"/>
    <w:rsid w:val="00FB2935"/>
    <w:rsid w:val="00FB3D8E"/>
    <w:rsid w:val="00FB4CB0"/>
    <w:rsid w:val="00FB608E"/>
    <w:rsid w:val="00FB6392"/>
    <w:rsid w:val="00FB6B49"/>
    <w:rsid w:val="00FB6F34"/>
    <w:rsid w:val="00FC0A59"/>
    <w:rsid w:val="00FC108B"/>
    <w:rsid w:val="00FC149A"/>
    <w:rsid w:val="00FC1A96"/>
    <w:rsid w:val="00FC1DA8"/>
    <w:rsid w:val="00FC3953"/>
    <w:rsid w:val="00FC39BA"/>
    <w:rsid w:val="00FC3DAC"/>
    <w:rsid w:val="00FC5864"/>
    <w:rsid w:val="00FD1428"/>
    <w:rsid w:val="00FD20C5"/>
    <w:rsid w:val="00FD2761"/>
    <w:rsid w:val="00FD2AA0"/>
    <w:rsid w:val="00FD37B5"/>
    <w:rsid w:val="00FD4568"/>
    <w:rsid w:val="00FD5B5E"/>
    <w:rsid w:val="00FD613E"/>
    <w:rsid w:val="00FD6F4D"/>
    <w:rsid w:val="00FD728F"/>
    <w:rsid w:val="00FE0559"/>
    <w:rsid w:val="00FE05A0"/>
    <w:rsid w:val="00FE12FC"/>
    <w:rsid w:val="00FE1F37"/>
    <w:rsid w:val="00FE3884"/>
    <w:rsid w:val="00FE3FCF"/>
    <w:rsid w:val="00FE6667"/>
    <w:rsid w:val="00FE7494"/>
    <w:rsid w:val="00FE7AFA"/>
    <w:rsid w:val="00FF025A"/>
    <w:rsid w:val="00FF2B59"/>
    <w:rsid w:val="00FF2C7E"/>
    <w:rsid w:val="00FF2E19"/>
    <w:rsid w:val="00FF568F"/>
    <w:rsid w:val="00FF7091"/>
    <w:rsid w:val="00FF756F"/>
    <w:rsid w:val="6131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numbering" Target="numbering.xml"/><Relationship Id="rId35" Type="http://schemas.openxmlformats.org/officeDocument/2006/relationships/theme" Target="theme/theme1.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04A8B"/>
    <w:rsid w:val="0002599D"/>
    <w:rsid w:val="00040171"/>
    <w:rsid w:val="001A5ADC"/>
    <w:rsid w:val="001E1C14"/>
    <w:rsid w:val="001F70E2"/>
    <w:rsid w:val="002B3157"/>
    <w:rsid w:val="002C21BD"/>
    <w:rsid w:val="002F5050"/>
    <w:rsid w:val="003326D5"/>
    <w:rsid w:val="003F427F"/>
    <w:rsid w:val="004409A8"/>
    <w:rsid w:val="004E4A57"/>
    <w:rsid w:val="00544493"/>
    <w:rsid w:val="00546AB1"/>
    <w:rsid w:val="00550820"/>
    <w:rsid w:val="00580B99"/>
    <w:rsid w:val="005B1CC5"/>
    <w:rsid w:val="005E51DE"/>
    <w:rsid w:val="00626103"/>
    <w:rsid w:val="00626983"/>
    <w:rsid w:val="0063056F"/>
    <w:rsid w:val="006306F3"/>
    <w:rsid w:val="00643492"/>
    <w:rsid w:val="00680069"/>
    <w:rsid w:val="00680ACA"/>
    <w:rsid w:val="006D613E"/>
    <w:rsid w:val="00703F31"/>
    <w:rsid w:val="0072520E"/>
    <w:rsid w:val="007F4424"/>
    <w:rsid w:val="00805105"/>
    <w:rsid w:val="00846888"/>
    <w:rsid w:val="008C7611"/>
    <w:rsid w:val="008D73E0"/>
    <w:rsid w:val="008F0D22"/>
    <w:rsid w:val="0091562D"/>
    <w:rsid w:val="009306EF"/>
    <w:rsid w:val="00946FAF"/>
    <w:rsid w:val="009A1BF6"/>
    <w:rsid w:val="009F2A1D"/>
    <w:rsid w:val="00A534B8"/>
    <w:rsid w:val="00A66DD6"/>
    <w:rsid w:val="00AD148E"/>
    <w:rsid w:val="00AE2DDF"/>
    <w:rsid w:val="00AE6416"/>
    <w:rsid w:val="00B266B2"/>
    <w:rsid w:val="00BE345E"/>
    <w:rsid w:val="00BF4806"/>
    <w:rsid w:val="00CB7FB7"/>
    <w:rsid w:val="00CE21F4"/>
    <w:rsid w:val="00CF08BA"/>
    <w:rsid w:val="00D938D8"/>
    <w:rsid w:val="00DD1067"/>
    <w:rsid w:val="00DD62C2"/>
    <w:rsid w:val="00DF5C3A"/>
    <w:rsid w:val="00E456B8"/>
    <w:rsid w:val="00EE2D6B"/>
    <w:rsid w:val="00FB5D45"/>
    <w:rsid w:val="00FD380C"/>
    <w:rsid w:val="00FE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42210-9681-4837-84DF-9719C9B94178}">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60</Pages>
  <Words>18241</Words>
  <Characters>18425</Characters>
  <Lines>2047</Lines>
  <Paragraphs>1527</Paragraphs>
  <TotalTime>238</TotalTime>
  <ScaleCrop>false</ScaleCrop>
  <LinksUpToDate>false</LinksUpToDate>
  <CharactersWithSpaces>35139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2025-05-28T01:58:00Z</dcterms:created>
  <dc:creator>admin</dc:creator>
  <cp:lastModifiedBy>趋之若鹜</cp:lastModifiedBy>
  <cp:lastPrinted>2025-06-09T03:04:00Z</cp:lastPrinted>
  <dcterms:modified xsi:type="dcterms:W3CDTF">2025-06-26T09:08:38Z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0F48E90D87CA4555A652E7696A8B7A51</vt:lpwstr>
  </property>
</Properties>
</file>