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西安雁塔金泰假日花城小学操场翻新工程竞争性磋商公告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操场翻新工程</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2025年07月07日 14时30分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项目编号：ZCXG-ZB-2025029</w:t>
      </w:r>
    </w:p>
    <w:p>
      <w:pPr>
        <w:pStyle w:val="null3"/>
      </w:pPr>
      <w:r>
        <w:rPr>
          <w:rFonts w:ascii="仿宋_GB2312" w:hAnsi="仿宋_GB2312" w:cs="仿宋_GB2312" w:eastAsia="仿宋_GB2312"/>
        </w:rPr>
        <w:t>项目名称：操场翻新工程</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预算金额：619,953.35元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采购包1：35天</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合同包1(操场翻新工程)落实政府采购政策需满足的资格要求如下:</w:t>
      </w:r>
    </w:p>
    <w:p>
      <w:pPr>
        <w:pStyle w:val="null3"/>
        <w:ind w:left="480"/>
      </w:pPr>
      <w:r>
        <w:rPr>
          <w:rFonts w:ascii="仿宋_GB2312" w:hAnsi="仿宋_GB2312" w:cs="仿宋_GB2312" w:eastAsia="仿宋_GB2312"/>
        </w:rPr>
        <w:t>参与的供应商（联合体）工程的施工单位全部为符合政策要求的中小企业。</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合同包1(操场翻新工程)特定资格要求如下:</w:t>
      </w:r>
    </w:p>
    <w:p>
      <w:pPr>
        <w:pStyle w:val="null3"/>
      </w:pPr>
      <w:r>
        <w:rPr>
          <w:rFonts w:ascii="仿宋_GB2312" w:hAnsi="仿宋_GB2312" w:cs="仿宋_GB2312" w:eastAsia="仿宋_GB2312"/>
        </w:rPr>
        <w:t>(1)具有独立承担民事责任能力的法人、其他组织或自然人，并出具合法有效的营业执照或事业单位法人证书等国家规定的相关证明，自然人参与的提供其身份证明。</w:t>
      </w:r>
    </w:p>
    <w:p>
      <w:pPr>
        <w:pStyle w:val="null3"/>
      </w:pPr>
      <w:r>
        <w:rPr>
          <w:rFonts w:ascii="仿宋_GB2312" w:hAnsi="仿宋_GB2312" w:cs="仿宋_GB2312" w:eastAsia="仿宋_GB2312"/>
        </w:rPr>
        <w:t>(2)根据《西安市雁塔区财政局关于开展政府采购供应商基本资格条件承诺制试点工作的通知》（雁财函[2024]251号），投标人须提供基本资格条件承诺函。</w:t>
      </w:r>
    </w:p>
    <w:p>
      <w:pPr>
        <w:pStyle w:val="null3"/>
      </w:pPr>
      <w:r>
        <w:rPr>
          <w:rFonts w:ascii="仿宋_GB2312" w:hAnsi="仿宋_GB2312" w:cs="仿宋_GB2312" w:eastAsia="仿宋_GB2312"/>
        </w:rPr>
        <w:t>(3)法定代表人直接参加投标的，须提供法定代表人身份证明；法定代表人授权代表参加投标的，须提供法定代表人授权委托书。</w:t>
      </w:r>
    </w:p>
    <w:p>
      <w:pPr>
        <w:pStyle w:val="null3"/>
      </w:pPr>
      <w:r>
        <w:rPr>
          <w:rFonts w:ascii="仿宋_GB2312" w:hAnsi="仿宋_GB2312" w:cs="仿宋_GB2312" w:eastAsia="仿宋_GB2312"/>
        </w:rPr>
        <w:t>(4)供应商具备建筑工程施工总承包三级以上资质（含三级），具有有效的国家建设行政主管部门颁发的安全生产许可证。</w:t>
      </w:r>
    </w:p>
    <w:p>
      <w:pPr>
        <w:pStyle w:val="null3"/>
      </w:pPr>
      <w:r>
        <w:rPr>
          <w:rFonts w:ascii="仿宋_GB2312" w:hAnsi="仿宋_GB2312" w:cs="仿宋_GB2312" w:eastAsia="仿宋_GB2312"/>
        </w:rPr>
        <w:t>(5)供应商拟派项目经理具有建筑工程专业二级以上注册建造师证书（含二级），具备有效的安全生产考核合格证书（建安B证），且无不良信用记录，无在建工程（提供承诺书）。</w:t>
      </w:r>
    </w:p>
    <w:p>
      <w:pPr>
        <w:pStyle w:val="null3"/>
      </w:pPr>
      <w:r>
        <w:rPr>
          <w:rFonts w:ascii="仿宋_GB2312" w:hAnsi="仿宋_GB2312" w:cs="仿宋_GB2312" w:eastAsia="仿宋_GB2312"/>
        </w:rPr>
        <w:t>(6)本项目不接受联合体投标。</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2025年06月27日 </w:t>
      </w:r>
      <w:r>
        <w:rPr>
          <w:rFonts w:ascii="仿宋_GB2312" w:hAnsi="仿宋_GB2312" w:cs="仿宋_GB2312" w:eastAsia="仿宋_GB2312"/>
        </w:rPr>
        <w:t>至</w:t>
      </w:r>
      <w:r>
        <w:rPr>
          <w:rFonts w:ascii="仿宋_GB2312" w:hAnsi="仿宋_GB2312" w:cs="仿宋_GB2312" w:eastAsia="仿宋_GB2312"/>
        </w:rPr>
        <w:t xml:space="preserve"> 2025年07月03日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2025年07月07日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2025年07月07日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落实的政府采购政策:(1)《政府采购促进中小企业发展管理办法》(财库(2020)46号)；(2)《财政部司法部关于政府采购支持监狱企业发展有关问题的通知》(财库 (2014] 68号)；(3)《国务院办公厅关于建立政府强制采购节能产品制度的通知》(国发办[2007)51号)；(4)《环境标志产品政府采购实施的意见》(财库(2006) 90号)；(5)《三部门联合发布关于促进残疾人就业政府采购政策的通知》(财库[2017) 141号)；(6)《财政部 发展改革委 生态环境部市场监管总局关于调整优化节能产品、环境标志产品政府采购执行机制的通知》(财库(2019) 9号)；(7) 陕西省财政厅关于印发《陕西省中小企业政府采购信用融资办法》(陕财办采(2018) 23号)；(8)《财政部农业农村部国家乡村振兴局关于运用政府采购政策支持乡村产业振兴的通知》(财库(2021)19号)；(9)《财政部 农业农村部 国家乡村振兴局中华全国供销合作总社关于印发&lt;关于深入开展政府采购脱贫地区农副产品工作推进乡村产业振兴的实施意见&gt;的通知》(财库[2021)20号)；(10)其他需要落实的政府采购政策，详见磋商文件。</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西安雁塔金泰假日花城小学</w:t>
      </w:r>
    </w:p>
    <w:p>
      <w:pPr>
        <w:pStyle w:val="null3"/>
      </w:pPr>
      <w:r>
        <w:rPr>
          <w:rFonts w:ascii="仿宋_GB2312" w:hAnsi="仿宋_GB2312" w:cs="仿宋_GB2312" w:eastAsia="仿宋_GB2312"/>
        </w:rPr>
        <w:t>地址：</w:t>
      </w:r>
      <w:r>
        <w:rPr>
          <w:rFonts w:ascii="仿宋_GB2312" w:hAnsi="仿宋_GB2312" w:cs="仿宋_GB2312" w:eastAsia="仿宋_GB2312"/>
        </w:rPr>
        <w:t>西安市雁塔区太白南路1号</w:t>
      </w:r>
    </w:p>
    <w:p>
      <w:pPr>
        <w:pStyle w:val="null3"/>
      </w:pPr>
      <w:r>
        <w:rPr>
          <w:rFonts w:ascii="仿宋_GB2312" w:hAnsi="仿宋_GB2312" w:cs="仿宋_GB2312" w:eastAsia="仿宋_GB2312"/>
        </w:rPr>
        <w:t>联系方式：</w:t>
      </w:r>
      <w:r>
        <w:rPr>
          <w:rFonts w:ascii="仿宋_GB2312" w:hAnsi="仿宋_GB2312" w:cs="仿宋_GB2312" w:eastAsia="仿宋_GB2312"/>
        </w:rPr>
        <w:t>/</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陕西众诚项目管理有限公司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西安市雁塔区南二环路老三届世纪星大厦8层K座</w:t>
      </w:r>
    </w:p>
    <w:p>
      <w:pPr>
        <w:pStyle w:val="null3"/>
      </w:pPr>
      <w:r>
        <w:rPr>
          <w:rFonts w:ascii="仿宋_GB2312" w:hAnsi="仿宋_GB2312" w:cs="仿宋_GB2312" w:eastAsia="仿宋_GB2312"/>
        </w:rPr>
        <w:t>联系方式：</w:t>
      </w:r>
      <w:r>
        <w:rPr>
          <w:rFonts w:ascii="仿宋_GB2312" w:hAnsi="仿宋_GB2312" w:cs="仿宋_GB2312" w:eastAsia="仿宋_GB2312"/>
        </w:rPr>
        <w:t>029-88816603</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张航帆</w:t>
      </w:r>
    </w:p>
    <w:p>
      <w:pPr>
        <w:pStyle w:val="null3"/>
      </w:pPr>
      <w:r>
        <w:rPr>
          <w:rFonts w:ascii="仿宋_GB2312" w:hAnsi="仿宋_GB2312" w:cs="仿宋_GB2312" w:eastAsia="仿宋_GB2312"/>
        </w:rPr>
        <w:t>电话：</w:t>
      </w:r>
      <w:r>
        <w:rPr>
          <w:rFonts w:ascii="仿宋_GB2312" w:hAnsi="仿宋_GB2312" w:cs="仿宋_GB2312" w:eastAsia="仿宋_GB2312"/>
        </w:rPr>
        <w:t>029-88816603</w:t>
      </w:r>
    </w:p>
    <w:p>
      <w:pPr>
        <w:pStyle w:val="null3"/>
        <w:jc w:val="right"/>
      </w:pPr>
      <w:r>
        <w:rPr>
          <w:rFonts w:ascii="仿宋_GB2312" w:hAnsi="仿宋_GB2312" w:cs="仿宋_GB2312" w:eastAsia="仿宋_GB2312"/>
        </w:rPr>
        <w:t>陕西众诚项目管理有限公司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