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A87E">
      <w:pPr>
        <w:adjustRightInd w:val="0"/>
        <w:snapToGrid w:val="0"/>
        <w:spacing w:line="360" w:lineRule="auto"/>
        <w:ind w:firstLine="301" w:firstLineChars="100"/>
        <w:jc w:val="left"/>
        <w:rPr>
          <w:rFonts w:hint="eastAsia" w:ascii="宋体" w:hAnsi="宋体" w:eastAsia="宋体" w:cs="宋体"/>
          <w:b/>
          <w:sz w:val="30"/>
          <w:lang w:eastAsia="zh-CN"/>
        </w:rPr>
      </w:pPr>
      <w:bookmarkStart w:id="0" w:name="OLE_LINK9"/>
      <w:r>
        <w:rPr>
          <w:rFonts w:hint="eastAsia" w:ascii="宋体" w:hAnsi="宋体" w:eastAsia="宋体" w:cs="宋体"/>
          <w:b/>
          <w:sz w:val="30"/>
        </w:rPr>
        <w:t>项目编号：</w:t>
      </w:r>
      <w:r>
        <w:rPr>
          <w:rFonts w:hint="eastAsia" w:ascii="宋体" w:hAnsi="宋体" w:eastAsia="宋体" w:cs="宋体"/>
          <w:b/>
          <w:sz w:val="30"/>
          <w:lang w:eastAsia="zh-CN"/>
        </w:rPr>
        <w:t>ZMZB2025SNY-120R</w:t>
      </w:r>
    </w:p>
    <w:p w14:paraId="25DC9E52">
      <w:pPr>
        <w:adjustRightInd w:val="0"/>
        <w:snapToGrid w:val="0"/>
        <w:spacing w:line="360" w:lineRule="auto"/>
        <w:rPr>
          <w:rFonts w:ascii="宋体" w:hAnsi="宋体" w:eastAsia="宋体" w:cs="宋体"/>
          <w:b/>
          <w:sz w:val="48"/>
          <w:szCs w:val="48"/>
        </w:rPr>
      </w:pPr>
    </w:p>
    <w:p w14:paraId="082A4D43">
      <w:pPr>
        <w:pStyle w:val="9"/>
      </w:pPr>
    </w:p>
    <w:p w14:paraId="5ADA5D3E">
      <w:pPr>
        <w:pStyle w:val="9"/>
      </w:pPr>
    </w:p>
    <w:p w14:paraId="6D56AE41">
      <w:pPr>
        <w:adjustRightInd w:val="0"/>
        <w:snapToGrid w:val="0"/>
        <w:spacing w:line="360" w:lineRule="auto"/>
        <w:jc w:val="center"/>
        <w:rPr>
          <w:rFonts w:hint="eastAsia" w:ascii="宋体" w:hAnsi="宋体" w:eastAsia="宋体" w:cs="宋体"/>
          <w:b/>
          <w:sz w:val="56"/>
          <w:szCs w:val="48"/>
          <w:lang w:eastAsia="zh-CN"/>
        </w:rPr>
      </w:pPr>
      <w:r>
        <w:rPr>
          <w:rFonts w:hint="eastAsia" w:ascii="宋体" w:hAnsi="宋体" w:eastAsia="宋体" w:cs="宋体"/>
          <w:b/>
          <w:sz w:val="56"/>
          <w:szCs w:val="48"/>
        </w:rPr>
        <w:t>陕西能源职业技术学院</w:t>
      </w:r>
      <w:r>
        <w:rPr>
          <w:rFonts w:hint="eastAsia" w:ascii="宋体" w:hAnsi="宋体" w:eastAsia="宋体" w:cs="宋体"/>
          <w:b/>
          <w:sz w:val="56"/>
          <w:szCs w:val="48"/>
          <w:lang w:eastAsia="zh-CN"/>
        </w:rPr>
        <w:t>大学生活动中心灯光音响系统改造项目（二次）</w:t>
      </w:r>
    </w:p>
    <w:p w14:paraId="04B2BE9C">
      <w:pPr>
        <w:pStyle w:val="11"/>
      </w:pPr>
    </w:p>
    <w:p w14:paraId="65A1DD90">
      <w:pPr>
        <w:pStyle w:val="11"/>
      </w:pPr>
    </w:p>
    <w:p w14:paraId="1D0DFE7D">
      <w:pPr>
        <w:adjustRightInd w:val="0"/>
        <w:snapToGrid w:val="0"/>
        <w:spacing w:line="360" w:lineRule="auto"/>
        <w:rPr>
          <w:rFonts w:ascii="宋体" w:hAnsi="宋体" w:eastAsia="宋体" w:cs="宋体"/>
          <w:b/>
          <w:sz w:val="72"/>
          <w:szCs w:val="72"/>
        </w:rPr>
      </w:pPr>
      <w:r>
        <w:drawing>
          <wp:anchor distT="0" distB="0" distL="114300" distR="114300" simplePos="0" relativeHeight="251664384" behindDoc="0" locked="0" layoutInCell="1" allowOverlap="1">
            <wp:simplePos x="0" y="0"/>
            <wp:positionH relativeFrom="column">
              <wp:posOffset>1586230</wp:posOffset>
            </wp:positionH>
            <wp:positionV relativeFrom="paragraph">
              <wp:posOffset>304165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3" cstate="print"/>
                    <a:stretch>
                      <a:fillRect/>
                    </a:stretch>
                  </pic:blipFill>
                  <pic:spPr>
                    <a:xfrm>
                      <a:off x="0" y="0"/>
                      <a:ext cx="2095500" cy="1087120"/>
                    </a:xfrm>
                    <a:prstGeom prst="rect">
                      <a:avLst/>
                    </a:prstGeom>
                    <a:noFill/>
                    <a:ln>
                      <a:noFill/>
                    </a:ln>
                  </pic:spPr>
                </pic:pic>
              </a:graphicData>
            </a:graphic>
          </wp:anchor>
        </w:drawing>
      </w:r>
    </w:p>
    <w:p w14:paraId="73E07482">
      <w:pPr>
        <w:tabs>
          <w:tab w:val="left" w:pos="0"/>
        </w:tabs>
        <w:adjustRightInd w:val="0"/>
        <w:snapToGrid w:val="0"/>
        <w:spacing w:line="360" w:lineRule="auto"/>
        <w:jc w:val="center"/>
        <w:rPr>
          <w:rFonts w:ascii="宋体" w:hAnsi="宋体" w:eastAsia="宋体" w:cs="宋体"/>
          <w:b/>
          <w:sz w:val="72"/>
          <w:szCs w:val="72"/>
        </w:rPr>
      </w:pPr>
    </w:p>
    <w:p w14:paraId="67D729B9">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14:paraId="09EF4B8A">
      <w:pPr>
        <w:pStyle w:val="4"/>
        <w:numPr>
          <w:ilvl w:val="0"/>
          <w:numId w:val="0"/>
        </w:numPr>
      </w:pPr>
    </w:p>
    <w:p w14:paraId="508B0C9E">
      <w:pPr>
        <w:adjustRightInd w:val="0"/>
        <w:snapToGrid w:val="0"/>
        <w:spacing w:line="360" w:lineRule="auto"/>
        <w:jc w:val="center"/>
        <w:rPr>
          <w:rFonts w:ascii="宋体" w:hAnsi="宋体" w:eastAsia="宋体" w:cs="宋体"/>
          <w:b/>
          <w:sz w:val="30"/>
        </w:rPr>
      </w:pPr>
    </w:p>
    <w:p w14:paraId="4A7947CF"/>
    <w:p w14:paraId="2626E9ED"/>
    <w:p w14:paraId="5D2FE354">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14:paraId="1C3A5F4C">
      <w:pPr>
        <w:adjustRightInd w:val="0"/>
        <w:snapToGrid w:val="0"/>
        <w:spacing w:line="600" w:lineRule="auto"/>
        <w:jc w:val="center"/>
        <w:rPr>
          <w:rFonts w:ascii="宋体" w:hAnsi="宋体" w:eastAsia="宋体" w:cs="宋体"/>
          <w:b/>
          <w:sz w:val="32"/>
          <w:szCs w:val="32"/>
        </w:rPr>
        <w:sectPr>
          <w:headerReference r:id="rId3" w:type="first"/>
          <w:footerReference r:id="rId4" w:type="default"/>
          <w:pgSz w:w="11906" w:h="16838"/>
          <w:pgMar w:top="1440" w:right="1701" w:bottom="1440" w:left="1701" w:header="851" w:footer="992" w:gutter="0"/>
          <w:cols w:space="720" w:num="1"/>
          <w:docGrid w:type="lines" w:linePitch="312" w:charSpace="0"/>
        </w:sectPr>
      </w:pPr>
      <w:r>
        <w:rPr>
          <w:rFonts w:hint="eastAsia" w:ascii="宋体" w:hAnsi="宋体" w:eastAsia="宋体" w:cs="宋体"/>
          <w:b/>
          <w:sz w:val="32"/>
          <w:szCs w:val="32"/>
        </w:rPr>
        <w:t>2025年</w:t>
      </w:r>
      <w:r>
        <w:rPr>
          <w:rFonts w:hint="eastAsia" w:ascii="宋体" w:hAnsi="宋体" w:eastAsia="宋体" w:cs="宋体"/>
          <w:b/>
          <w:sz w:val="32"/>
          <w:szCs w:val="32"/>
          <w:lang w:val="en-US" w:eastAsia="zh-CN"/>
        </w:rPr>
        <w:t>6</w:t>
      </w:r>
      <w:r>
        <w:rPr>
          <w:rFonts w:hint="eastAsia" w:ascii="宋体" w:hAnsi="宋体" w:eastAsia="宋体" w:cs="宋体"/>
          <w:b/>
          <w:sz w:val="32"/>
          <w:szCs w:val="32"/>
        </w:rPr>
        <w:t>月</w:t>
      </w:r>
    </w:p>
    <w:p w14:paraId="4BCC0CEC">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p w14:paraId="7EBECF70">
      <w:pPr>
        <w:pStyle w:val="16"/>
        <w:tabs>
          <w:tab w:val="right" w:leader="dot" w:pos="8300"/>
        </w:tabs>
      </w:pPr>
      <w:r>
        <w:rPr>
          <w:rFonts w:hint="eastAsia" w:asciiTheme="minorEastAsia" w:hAnsiTheme="minorEastAsia" w:cstheme="minorEastAsia"/>
          <w:sz w:val="144"/>
          <w:szCs w:val="144"/>
        </w:rPr>
        <w:fldChar w:fldCharType="begin"/>
      </w:r>
      <w:r>
        <w:rPr>
          <w:rFonts w:hint="eastAsia" w:asciiTheme="minorEastAsia" w:hAnsiTheme="minorEastAsia" w:cstheme="minorEastAsia"/>
          <w:sz w:val="144"/>
          <w:szCs w:val="144"/>
        </w:rPr>
        <w:instrText xml:space="preserve">TOC \o "1-2" \h \u </w:instrText>
      </w:r>
      <w:r>
        <w:rPr>
          <w:rFonts w:hint="eastAsia" w:asciiTheme="minorEastAsia" w:hAnsiTheme="minorEastAsia" w:cstheme="minorEastAsia"/>
          <w:sz w:val="144"/>
          <w:szCs w:val="144"/>
        </w:rPr>
        <w:fldChar w:fldCharType="separate"/>
      </w:r>
      <w:r>
        <w:fldChar w:fldCharType="begin"/>
      </w:r>
      <w:r>
        <w:instrText xml:space="preserve"> HYPERLINK \l "_Toc23650" </w:instrText>
      </w:r>
      <w:r>
        <w:fldChar w:fldCharType="separate"/>
      </w:r>
      <w:r>
        <w:rPr>
          <w:rFonts w:hint="eastAsia" w:ascii="宋体" w:hAnsi="宋体" w:cs="宋体"/>
          <w:szCs w:val="44"/>
        </w:rPr>
        <w:t>第一部分 竞争性谈判公告</w:t>
      </w:r>
      <w:r>
        <w:tab/>
      </w:r>
      <w:r>
        <w:fldChar w:fldCharType="begin"/>
      </w:r>
      <w:r>
        <w:instrText xml:space="preserve"> PAGEREF _Toc23650 \h </w:instrText>
      </w:r>
      <w:r>
        <w:fldChar w:fldCharType="separate"/>
      </w:r>
      <w:r>
        <w:t>1</w:t>
      </w:r>
      <w:r>
        <w:fldChar w:fldCharType="end"/>
      </w:r>
      <w:r>
        <w:fldChar w:fldCharType="end"/>
      </w:r>
    </w:p>
    <w:p w14:paraId="569F3099">
      <w:pPr>
        <w:pStyle w:val="16"/>
        <w:tabs>
          <w:tab w:val="right" w:leader="dot" w:pos="8300"/>
        </w:tabs>
      </w:pPr>
      <w:r>
        <w:fldChar w:fldCharType="begin"/>
      </w:r>
      <w:r>
        <w:instrText xml:space="preserve"> HYPERLINK \l "_Toc31552" </w:instrText>
      </w:r>
      <w:r>
        <w:fldChar w:fldCharType="separate"/>
      </w:r>
      <w:r>
        <w:rPr>
          <w:rFonts w:hint="eastAsia" w:ascii="宋体" w:hAnsi="宋体" w:cs="宋体"/>
          <w:szCs w:val="44"/>
        </w:rPr>
        <w:t>第二部分 供应商须知前附表</w:t>
      </w:r>
      <w:r>
        <w:tab/>
      </w:r>
      <w:r>
        <w:fldChar w:fldCharType="begin"/>
      </w:r>
      <w:r>
        <w:instrText xml:space="preserve"> PAGEREF _Toc31552 \h </w:instrText>
      </w:r>
      <w:r>
        <w:fldChar w:fldCharType="separate"/>
      </w:r>
      <w:r>
        <w:t>5</w:t>
      </w:r>
      <w:r>
        <w:fldChar w:fldCharType="end"/>
      </w:r>
      <w:r>
        <w:fldChar w:fldCharType="end"/>
      </w:r>
    </w:p>
    <w:p w14:paraId="1FCE4DE6">
      <w:pPr>
        <w:pStyle w:val="16"/>
        <w:tabs>
          <w:tab w:val="right" w:leader="dot" w:pos="8300"/>
        </w:tabs>
      </w:pPr>
      <w:r>
        <w:fldChar w:fldCharType="begin"/>
      </w:r>
      <w:r>
        <w:instrText xml:space="preserve"> HYPERLINK \l "_Toc4375" </w:instrText>
      </w:r>
      <w:r>
        <w:fldChar w:fldCharType="separate"/>
      </w:r>
      <w:r>
        <w:rPr>
          <w:rFonts w:hint="eastAsia" w:ascii="宋体" w:hAnsi="宋体" w:cs="宋体"/>
          <w:szCs w:val="44"/>
        </w:rPr>
        <w:t>第三部分 供应商须知</w:t>
      </w:r>
      <w:r>
        <w:tab/>
      </w:r>
      <w:r>
        <w:fldChar w:fldCharType="begin"/>
      </w:r>
      <w:r>
        <w:instrText xml:space="preserve"> PAGEREF _Toc4375 \h </w:instrText>
      </w:r>
      <w:r>
        <w:fldChar w:fldCharType="separate"/>
      </w:r>
      <w:r>
        <w:t>11</w:t>
      </w:r>
      <w:r>
        <w:fldChar w:fldCharType="end"/>
      </w:r>
      <w:r>
        <w:fldChar w:fldCharType="end"/>
      </w:r>
    </w:p>
    <w:p w14:paraId="52FD7932">
      <w:pPr>
        <w:pStyle w:val="19"/>
        <w:tabs>
          <w:tab w:val="right" w:leader="dot" w:pos="8300"/>
        </w:tabs>
      </w:pPr>
      <w:r>
        <w:fldChar w:fldCharType="begin"/>
      </w:r>
      <w:r>
        <w:instrText xml:space="preserve"> HYPERLINK \l "_Toc3697" </w:instrText>
      </w:r>
      <w:r>
        <w:fldChar w:fldCharType="separate"/>
      </w:r>
      <w:r>
        <w:rPr>
          <w:rFonts w:hint="eastAsia" w:ascii="宋体" w:hAnsi="宋体" w:cs="宋体"/>
          <w:szCs w:val="36"/>
        </w:rPr>
        <w:t>一、总则</w:t>
      </w:r>
      <w:r>
        <w:tab/>
      </w:r>
      <w:r>
        <w:fldChar w:fldCharType="begin"/>
      </w:r>
      <w:r>
        <w:instrText xml:space="preserve"> PAGEREF _Toc3697 \h </w:instrText>
      </w:r>
      <w:r>
        <w:fldChar w:fldCharType="separate"/>
      </w:r>
      <w:r>
        <w:t>11</w:t>
      </w:r>
      <w:r>
        <w:fldChar w:fldCharType="end"/>
      </w:r>
      <w:r>
        <w:fldChar w:fldCharType="end"/>
      </w:r>
    </w:p>
    <w:p w14:paraId="1F5EEAA1">
      <w:pPr>
        <w:pStyle w:val="19"/>
        <w:tabs>
          <w:tab w:val="right" w:leader="dot" w:pos="8300"/>
        </w:tabs>
      </w:pPr>
      <w:r>
        <w:fldChar w:fldCharType="begin"/>
      </w:r>
      <w:r>
        <w:instrText xml:space="preserve"> HYPERLINK \l "_Toc22322" </w:instrText>
      </w:r>
      <w:r>
        <w:fldChar w:fldCharType="separate"/>
      </w:r>
      <w:r>
        <w:rPr>
          <w:rFonts w:hint="eastAsia" w:ascii="宋体" w:hAnsi="宋体" w:cs="宋体"/>
          <w:szCs w:val="36"/>
        </w:rPr>
        <w:t>二、竞争性谈判文件</w:t>
      </w:r>
      <w:r>
        <w:tab/>
      </w:r>
      <w:r>
        <w:fldChar w:fldCharType="begin"/>
      </w:r>
      <w:r>
        <w:instrText xml:space="preserve"> PAGEREF _Toc22322 \h </w:instrText>
      </w:r>
      <w:r>
        <w:fldChar w:fldCharType="separate"/>
      </w:r>
      <w:r>
        <w:t>13</w:t>
      </w:r>
      <w:r>
        <w:fldChar w:fldCharType="end"/>
      </w:r>
      <w:r>
        <w:fldChar w:fldCharType="end"/>
      </w:r>
      <w:bookmarkStart w:id="138" w:name="_GoBack"/>
      <w:bookmarkEnd w:id="138"/>
    </w:p>
    <w:p w14:paraId="5111F0E5">
      <w:pPr>
        <w:pStyle w:val="19"/>
        <w:tabs>
          <w:tab w:val="right" w:leader="dot" w:pos="8300"/>
        </w:tabs>
      </w:pPr>
      <w:r>
        <w:fldChar w:fldCharType="begin"/>
      </w:r>
      <w:r>
        <w:instrText xml:space="preserve"> HYPERLINK \l "_Toc564" </w:instrText>
      </w:r>
      <w:r>
        <w:fldChar w:fldCharType="separate"/>
      </w:r>
      <w:r>
        <w:rPr>
          <w:rFonts w:hint="eastAsia" w:ascii="宋体" w:hAnsi="宋体" w:cs="宋体"/>
          <w:szCs w:val="36"/>
        </w:rPr>
        <w:t>三、响应文件</w:t>
      </w:r>
      <w:r>
        <w:tab/>
      </w:r>
      <w:r>
        <w:fldChar w:fldCharType="begin"/>
      </w:r>
      <w:r>
        <w:instrText xml:space="preserve"> PAGEREF _Toc564 \h </w:instrText>
      </w:r>
      <w:r>
        <w:fldChar w:fldCharType="separate"/>
      </w:r>
      <w:r>
        <w:t>17</w:t>
      </w:r>
      <w:r>
        <w:fldChar w:fldCharType="end"/>
      </w:r>
      <w:r>
        <w:fldChar w:fldCharType="end"/>
      </w:r>
    </w:p>
    <w:p w14:paraId="0BBA8F6B">
      <w:pPr>
        <w:pStyle w:val="19"/>
        <w:tabs>
          <w:tab w:val="right" w:leader="dot" w:pos="8300"/>
        </w:tabs>
      </w:pPr>
      <w:r>
        <w:fldChar w:fldCharType="begin"/>
      </w:r>
      <w:r>
        <w:instrText xml:space="preserve"> HYPERLINK \l "_Toc19409" </w:instrText>
      </w:r>
      <w:r>
        <w:fldChar w:fldCharType="separate"/>
      </w:r>
      <w:r>
        <w:rPr>
          <w:rFonts w:hint="eastAsia" w:ascii="宋体" w:hAnsi="宋体" w:cs="宋体"/>
          <w:szCs w:val="36"/>
        </w:rPr>
        <w:t>四、响应文件的递交</w:t>
      </w:r>
      <w:r>
        <w:tab/>
      </w:r>
      <w:r>
        <w:fldChar w:fldCharType="begin"/>
      </w:r>
      <w:r>
        <w:instrText xml:space="preserve"> PAGEREF _Toc19409 \h </w:instrText>
      </w:r>
      <w:r>
        <w:fldChar w:fldCharType="separate"/>
      </w:r>
      <w:r>
        <w:t>19</w:t>
      </w:r>
      <w:r>
        <w:fldChar w:fldCharType="end"/>
      </w:r>
      <w:r>
        <w:fldChar w:fldCharType="end"/>
      </w:r>
    </w:p>
    <w:p w14:paraId="44A20420">
      <w:pPr>
        <w:pStyle w:val="19"/>
        <w:tabs>
          <w:tab w:val="right" w:leader="dot" w:pos="8300"/>
        </w:tabs>
      </w:pPr>
      <w:r>
        <w:fldChar w:fldCharType="begin"/>
      </w:r>
      <w:r>
        <w:instrText xml:space="preserve"> HYPERLINK \l "_Toc14916" </w:instrText>
      </w:r>
      <w:r>
        <w:fldChar w:fldCharType="separate"/>
      </w:r>
      <w:r>
        <w:rPr>
          <w:rFonts w:hint="eastAsia" w:ascii="宋体" w:hAnsi="宋体" w:cs="宋体"/>
          <w:szCs w:val="36"/>
        </w:rPr>
        <w:t>五、谈判、评审、定标</w:t>
      </w:r>
      <w:r>
        <w:tab/>
      </w:r>
      <w:r>
        <w:fldChar w:fldCharType="begin"/>
      </w:r>
      <w:r>
        <w:instrText xml:space="preserve"> PAGEREF _Toc14916 \h </w:instrText>
      </w:r>
      <w:r>
        <w:fldChar w:fldCharType="separate"/>
      </w:r>
      <w:r>
        <w:t>19</w:t>
      </w:r>
      <w:r>
        <w:fldChar w:fldCharType="end"/>
      </w:r>
      <w:r>
        <w:fldChar w:fldCharType="end"/>
      </w:r>
    </w:p>
    <w:p w14:paraId="64297A7B">
      <w:pPr>
        <w:pStyle w:val="19"/>
        <w:tabs>
          <w:tab w:val="right" w:leader="dot" w:pos="8300"/>
        </w:tabs>
      </w:pPr>
      <w:r>
        <w:fldChar w:fldCharType="begin"/>
      </w:r>
      <w:r>
        <w:instrText xml:space="preserve"> HYPERLINK \l "_Toc21670" </w:instrText>
      </w:r>
      <w:r>
        <w:fldChar w:fldCharType="separate"/>
      </w:r>
      <w:r>
        <w:rPr>
          <w:rFonts w:hint="eastAsia" w:ascii="宋体" w:hAnsi="宋体" w:cs="宋体"/>
          <w:szCs w:val="36"/>
        </w:rPr>
        <w:t>六、签订合同</w:t>
      </w:r>
      <w:r>
        <w:tab/>
      </w:r>
      <w:r>
        <w:fldChar w:fldCharType="begin"/>
      </w:r>
      <w:r>
        <w:instrText xml:space="preserve"> PAGEREF _Toc21670 \h </w:instrText>
      </w:r>
      <w:r>
        <w:fldChar w:fldCharType="separate"/>
      </w:r>
      <w:r>
        <w:t>22</w:t>
      </w:r>
      <w:r>
        <w:fldChar w:fldCharType="end"/>
      </w:r>
      <w:r>
        <w:fldChar w:fldCharType="end"/>
      </w:r>
    </w:p>
    <w:p w14:paraId="3DFB865B">
      <w:pPr>
        <w:pStyle w:val="19"/>
        <w:tabs>
          <w:tab w:val="right" w:leader="dot" w:pos="8300"/>
        </w:tabs>
      </w:pPr>
      <w:r>
        <w:fldChar w:fldCharType="begin"/>
      </w:r>
      <w:r>
        <w:instrText xml:space="preserve"> HYPERLINK \l "_Toc2108" </w:instrText>
      </w:r>
      <w:r>
        <w:fldChar w:fldCharType="separate"/>
      </w:r>
      <w:r>
        <w:rPr>
          <w:rFonts w:hint="eastAsia" w:ascii="宋体" w:hAnsi="宋体" w:cs="宋体"/>
          <w:szCs w:val="36"/>
        </w:rPr>
        <w:t>七、质疑和投诉</w:t>
      </w:r>
      <w:r>
        <w:tab/>
      </w:r>
      <w:r>
        <w:fldChar w:fldCharType="begin"/>
      </w:r>
      <w:r>
        <w:instrText xml:space="preserve"> PAGEREF _Toc2108 \h </w:instrText>
      </w:r>
      <w:r>
        <w:fldChar w:fldCharType="separate"/>
      </w:r>
      <w:r>
        <w:t>22</w:t>
      </w:r>
      <w:r>
        <w:fldChar w:fldCharType="end"/>
      </w:r>
      <w:r>
        <w:fldChar w:fldCharType="end"/>
      </w:r>
    </w:p>
    <w:p w14:paraId="0A9C9E6F">
      <w:pPr>
        <w:pStyle w:val="16"/>
        <w:tabs>
          <w:tab w:val="right" w:leader="dot" w:pos="8300"/>
        </w:tabs>
      </w:pPr>
      <w:r>
        <w:fldChar w:fldCharType="begin"/>
      </w:r>
      <w:r>
        <w:instrText xml:space="preserve"> HYPERLINK \l "_Toc2426" </w:instrText>
      </w:r>
      <w:r>
        <w:fldChar w:fldCharType="separate"/>
      </w:r>
      <w:r>
        <w:rPr>
          <w:rFonts w:hint="eastAsia" w:ascii="宋体" w:hAnsi="宋体" w:cs="宋体"/>
          <w:szCs w:val="44"/>
        </w:rPr>
        <w:t>第四部分 评审标准</w:t>
      </w:r>
      <w:r>
        <w:tab/>
      </w:r>
      <w:r>
        <w:fldChar w:fldCharType="begin"/>
      </w:r>
      <w:r>
        <w:instrText xml:space="preserve"> PAGEREF _Toc2426 \h </w:instrText>
      </w:r>
      <w:r>
        <w:fldChar w:fldCharType="separate"/>
      </w:r>
      <w:r>
        <w:t>24</w:t>
      </w:r>
      <w:r>
        <w:fldChar w:fldCharType="end"/>
      </w:r>
      <w:r>
        <w:fldChar w:fldCharType="end"/>
      </w:r>
    </w:p>
    <w:p w14:paraId="53A9FB9A">
      <w:pPr>
        <w:pStyle w:val="16"/>
        <w:tabs>
          <w:tab w:val="right" w:leader="dot" w:pos="8300"/>
        </w:tabs>
      </w:pPr>
      <w:r>
        <w:fldChar w:fldCharType="begin"/>
      </w:r>
      <w:r>
        <w:instrText xml:space="preserve"> HYPERLINK \l "_Toc1333" </w:instrText>
      </w:r>
      <w:r>
        <w:fldChar w:fldCharType="separate"/>
      </w:r>
      <w:r>
        <w:rPr>
          <w:rFonts w:hint="eastAsia" w:ascii="宋体" w:hAnsi="宋体" w:eastAsia="宋体" w:cs="宋体"/>
          <w:szCs w:val="44"/>
        </w:rPr>
        <w:t>第五部分 采购要求</w:t>
      </w:r>
      <w:r>
        <w:tab/>
      </w:r>
      <w:r>
        <w:fldChar w:fldCharType="begin"/>
      </w:r>
      <w:r>
        <w:instrText xml:space="preserve"> PAGEREF _Toc1333 \h </w:instrText>
      </w:r>
      <w:r>
        <w:fldChar w:fldCharType="separate"/>
      </w:r>
      <w:r>
        <w:t>25</w:t>
      </w:r>
      <w:r>
        <w:fldChar w:fldCharType="end"/>
      </w:r>
      <w:r>
        <w:fldChar w:fldCharType="end"/>
      </w:r>
    </w:p>
    <w:p w14:paraId="1690268C">
      <w:pPr>
        <w:pStyle w:val="16"/>
        <w:tabs>
          <w:tab w:val="right" w:leader="dot" w:pos="8300"/>
        </w:tabs>
      </w:pPr>
      <w:r>
        <w:fldChar w:fldCharType="begin"/>
      </w:r>
      <w:r>
        <w:instrText xml:space="preserve"> HYPERLINK \l "_Toc22866" </w:instrText>
      </w:r>
      <w:r>
        <w:fldChar w:fldCharType="separate"/>
      </w:r>
      <w:r>
        <w:rPr>
          <w:rFonts w:hint="eastAsia" w:ascii="宋体" w:hAnsi="宋体" w:eastAsia="宋体" w:cs="宋体"/>
          <w:szCs w:val="44"/>
        </w:rPr>
        <w:t>第六部分 合同条款</w:t>
      </w:r>
      <w:r>
        <w:tab/>
      </w:r>
      <w:r>
        <w:fldChar w:fldCharType="begin"/>
      </w:r>
      <w:r>
        <w:instrText xml:space="preserve"> PAGEREF _Toc22866 \h </w:instrText>
      </w:r>
      <w:r>
        <w:fldChar w:fldCharType="separate"/>
      </w:r>
      <w:r>
        <w:t>34</w:t>
      </w:r>
      <w:r>
        <w:fldChar w:fldCharType="end"/>
      </w:r>
      <w:r>
        <w:fldChar w:fldCharType="end"/>
      </w:r>
    </w:p>
    <w:p w14:paraId="33347E3E">
      <w:pPr>
        <w:pStyle w:val="16"/>
        <w:tabs>
          <w:tab w:val="right" w:leader="dot" w:pos="8300"/>
        </w:tabs>
      </w:pPr>
      <w:r>
        <w:fldChar w:fldCharType="begin"/>
      </w:r>
      <w:r>
        <w:instrText xml:space="preserve"> HYPERLINK \l "_Toc30205" </w:instrText>
      </w:r>
      <w:r>
        <w:fldChar w:fldCharType="separate"/>
      </w:r>
      <w:r>
        <w:rPr>
          <w:rFonts w:hint="eastAsia" w:ascii="宋体" w:hAnsi="宋体" w:eastAsia="宋体" w:cs="宋体"/>
          <w:szCs w:val="44"/>
        </w:rPr>
        <w:t>第七部分 响应文件格式</w:t>
      </w:r>
      <w:r>
        <w:tab/>
      </w:r>
      <w:r>
        <w:fldChar w:fldCharType="begin"/>
      </w:r>
      <w:r>
        <w:instrText xml:space="preserve"> PAGEREF _Toc30205 \h </w:instrText>
      </w:r>
      <w:r>
        <w:fldChar w:fldCharType="separate"/>
      </w:r>
      <w:r>
        <w:t>37</w:t>
      </w:r>
      <w:r>
        <w:fldChar w:fldCharType="end"/>
      </w:r>
      <w:r>
        <w:fldChar w:fldCharType="end"/>
      </w:r>
    </w:p>
    <w:p w14:paraId="1DD97170">
      <w:pPr>
        <w:pStyle w:val="19"/>
        <w:tabs>
          <w:tab w:val="right" w:leader="dot" w:pos="8300"/>
        </w:tabs>
      </w:pPr>
      <w:r>
        <w:fldChar w:fldCharType="begin"/>
      </w:r>
      <w:r>
        <w:instrText xml:space="preserve"> HYPERLINK \l "_Toc18468" </w:instrText>
      </w:r>
      <w:r>
        <w:fldChar w:fldCharType="separate"/>
      </w:r>
      <w:r>
        <w:rPr>
          <w:rFonts w:hint="eastAsia" w:ascii="宋体" w:hAnsi="宋体" w:cs="宋体"/>
          <w:szCs w:val="44"/>
        </w:rPr>
        <w:t>第一部分 响应函</w:t>
      </w:r>
      <w:r>
        <w:tab/>
      </w:r>
      <w:r>
        <w:fldChar w:fldCharType="begin"/>
      </w:r>
      <w:r>
        <w:instrText xml:space="preserve"> PAGEREF _Toc18468 \h </w:instrText>
      </w:r>
      <w:r>
        <w:fldChar w:fldCharType="separate"/>
      </w:r>
      <w:r>
        <w:t>39</w:t>
      </w:r>
      <w:r>
        <w:fldChar w:fldCharType="end"/>
      </w:r>
      <w:r>
        <w:fldChar w:fldCharType="end"/>
      </w:r>
    </w:p>
    <w:p w14:paraId="5DF76D02">
      <w:pPr>
        <w:pStyle w:val="19"/>
        <w:tabs>
          <w:tab w:val="right" w:leader="dot" w:pos="8300"/>
        </w:tabs>
      </w:pPr>
      <w:r>
        <w:fldChar w:fldCharType="begin"/>
      </w:r>
      <w:r>
        <w:instrText xml:space="preserve"> HYPERLINK \l "_Toc16299" </w:instrText>
      </w:r>
      <w:r>
        <w:fldChar w:fldCharType="separate"/>
      </w:r>
      <w:r>
        <w:rPr>
          <w:rFonts w:hint="eastAsia" w:ascii="宋体" w:hAnsi="宋体" w:cs="宋体"/>
          <w:szCs w:val="44"/>
        </w:rPr>
        <w:t>第二部分 响应一览表</w:t>
      </w:r>
      <w:r>
        <w:tab/>
      </w:r>
      <w:r>
        <w:fldChar w:fldCharType="begin"/>
      </w:r>
      <w:r>
        <w:instrText xml:space="preserve"> PAGEREF _Toc16299 \h </w:instrText>
      </w:r>
      <w:r>
        <w:fldChar w:fldCharType="separate"/>
      </w:r>
      <w:r>
        <w:t>40</w:t>
      </w:r>
      <w:r>
        <w:fldChar w:fldCharType="end"/>
      </w:r>
      <w:r>
        <w:fldChar w:fldCharType="end"/>
      </w:r>
    </w:p>
    <w:p w14:paraId="33D4D09D">
      <w:pPr>
        <w:pStyle w:val="19"/>
        <w:tabs>
          <w:tab w:val="right" w:leader="dot" w:pos="8300"/>
        </w:tabs>
      </w:pPr>
      <w:r>
        <w:fldChar w:fldCharType="begin"/>
      </w:r>
      <w:r>
        <w:instrText xml:space="preserve"> HYPERLINK \l "_Toc7122" </w:instrText>
      </w:r>
      <w:r>
        <w:fldChar w:fldCharType="separate"/>
      </w:r>
      <w:r>
        <w:rPr>
          <w:rFonts w:hint="eastAsia" w:ascii="宋体" w:hAnsi="宋体" w:cs="宋体"/>
          <w:szCs w:val="44"/>
        </w:rPr>
        <w:t>第三部分 商务及技术响应说明</w:t>
      </w:r>
      <w:r>
        <w:tab/>
      </w:r>
      <w:r>
        <w:fldChar w:fldCharType="begin"/>
      </w:r>
      <w:r>
        <w:instrText xml:space="preserve"> PAGEREF _Toc7122 \h </w:instrText>
      </w:r>
      <w:r>
        <w:fldChar w:fldCharType="separate"/>
      </w:r>
      <w:r>
        <w:t>42</w:t>
      </w:r>
      <w:r>
        <w:fldChar w:fldCharType="end"/>
      </w:r>
      <w:r>
        <w:fldChar w:fldCharType="end"/>
      </w:r>
    </w:p>
    <w:p w14:paraId="24BED7D6">
      <w:pPr>
        <w:pStyle w:val="19"/>
        <w:tabs>
          <w:tab w:val="right" w:leader="dot" w:pos="8300"/>
        </w:tabs>
      </w:pPr>
      <w:r>
        <w:fldChar w:fldCharType="begin"/>
      </w:r>
      <w:r>
        <w:instrText xml:space="preserve"> HYPERLINK \l "_Toc22805" </w:instrText>
      </w:r>
      <w:r>
        <w:fldChar w:fldCharType="separate"/>
      </w:r>
      <w:r>
        <w:rPr>
          <w:rFonts w:hint="eastAsia" w:ascii="宋体" w:hAnsi="宋体" w:cs="宋体"/>
          <w:szCs w:val="44"/>
        </w:rPr>
        <w:t>第四部分 供应商资格要求</w:t>
      </w:r>
      <w:r>
        <w:tab/>
      </w:r>
      <w:r>
        <w:fldChar w:fldCharType="begin"/>
      </w:r>
      <w:r>
        <w:instrText xml:space="preserve"> PAGEREF _Toc22805 \h </w:instrText>
      </w:r>
      <w:r>
        <w:fldChar w:fldCharType="separate"/>
      </w:r>
      <w:r>
        <w:t>44</w:t>
      </w:r>
      <w:r>
        <w:fldChar w:fldCharType="end"/>
      </w:r>
      <w:r>
        <w:fldChar w:fldCharType="end"/>
      </w:r>
    </w:p>
    <w:p w14:paraId="39D1585E">
      <w:pPr>
        <w:pStyle w:val="19"/>
        <w:tabs>
          <w:tab w:val="right" w:leader="dot" w:pos="8300"/>
        </w:tabs>
      </w:pPr>
      <w:r>
        <w:fldChar w:fldCharType="begin"/>
      </w:r>
      <w:r>
        <w:instrText xml:space="preserve"> HYPERLINK \l "_Toc7767" </w:instrText>
      </w:r>
      <w:r>
        <w:fldChar w:fldCharType="separate"/>
      </w:r>
      <w:r>
        <w:rPr>
          <w:rFonts w:hint="eastAsia" w:ascii="宋体" w:hAnsi="宋体" w:cs="宋体"/>
          <w:szCs w:val="44"/>
        </w:rPr>
        <w:t>第五部分 技术与服务方案</w:t>
      </w:r>
      <w:r>
        <w:tab/>
      </w:r>
      <w:r>
        <w:fldChar w:fldCharType="begin"/>
      </w:r>
      <w:r>
        <w:instrText xml:space="preserve"> PAGEREF _Toc7767 \h </w:instrText>
      </w:r>
      <w:r>
        <w:fldChar w:fldCharType="separate"/>
      </w:r>
      <w:r>
        <w:t>54</w:t>
      </w:r>
      <w:r>
        <w:fldChar w:fldCharType="end"/>
      </w:r>
      <w:r>
        <w:fldChar w:fldCharType="end"/>
      </w:r>
    </w:p>
    <w:p w14:paraId="29BC4C64">
      <w:pPr>
        <w:pStyle w:val="19"/>
        <w:tabs>
          <w:tab w:val="right" w:leader="dot" w:pos="8300"/>
        </w:tabs>
      </w:pPr>
      <w:r>
        <w:fldChar w:fldCharType="begin"/>
      </w:r>
      <w:r>
        <w:instrText xml:space="preserve"> HYPERLINK \l "_Toc16606" </w:instrText>
      </w:r>
      <w:r>
        <w:fldChar w:fldCharType="separate"/>
      </w:r>
      <w:r>
        <w:rPr>
          <w:rFonts w:hint="eastAsia" w:ascii="宋体" w:hAnsi="宋体" w:cs="宋体"/>
          <w:szCs w:val="44"/>
        </w:rPr>
        <w:t>第六部分 服务承诺</w:t>
      </w:r>
      <w:r>
        <w:tab/>
      </w:r>
      <w:r>
        <w:fldChar w:fldCharType="begin"/>
      </w:r>
      <w:r>
        <w:instrText xml:space="preserve"> PAGEREF _Toc16606 \h </w:instrText>
      </w:r>
      <w:r>
        <w:fldChar w:fldCharType="separate"/>
      </w:r>
      <w:r>
        <w:t>55</w:t>
      </w:r>
      <w:r>
        <w:fldChar w:fldCharType="end"/>
      </w:r>
      <w:r>
        <w:fldChar w:fldCharType="end"/>
      </w:r>
    </w:p>
    <w:p w14:paraId="7CB2DD05">
      <w:pPr>
        <w:pStyle w:val="19"/>
        <w:tabs>
          <w:tab w:val="right" w:leader="dot" w:pos="8300"/>
        </w:tabs>
      </w:pPr>
      <w:r>
        <w:fldChar w:fldCharType="begin"/>
      </w:r>
      <w:r>
        <w:instrText xml:space="preserve"> HYPERLINK \l "_Toc1553" </w:instrText>
      </w:r>
      <w:r>
        <w:fldChar w:fldCharType="separate"/>
      </w:r>
      <w:r>
        <w:rPr>
          <w:rFonts w:hint="eastAsia" w:ascii="宋体" w:hAnsi="宋体" w:cs="宋体"/>
          <w:szCs w:val="44"/>
        </w:rPr>
        <w:t>第七部分 业绩一览表</w:t>
      </w:r>
      <w:r>
        <w:tab/>
      </w:r>
      <w:r>
        <w:fldChar w:fldCharType="begin"/>
      </w:r>
      <w:r>
        <w:instrText xml:space="preserve"> PAGEREF _Toc1553 \h </w:instrText>
      </w:r>
      <w:r>
        <w:fldChar w:fldCharType="separate"/>
      </w:r>
      <w:r>
        <w:t>56</w:t>
      </w:r>
      <w:r>
        <w:fldChar w:fldCharType="end"/>
      </w:r>
      <w:r>
        <w:fldChar w:fldCharType="end"/>
      </w:r>
    </w:p>
    <w:p w14:paraId="39173D5F">
      <w:pPr>
        <w:pStyle w:val="19"/>
        <w:tabs>
          <w:tab w:val="right" w:leader="dot" w:pos="8300"/>
        </w:tabs>
      </w:pPr>
      <w:r>
        <w:fldChar w:fldCharType="begin"/>
      </w:r>
      <w:r>
        <w:instrText xml:space="preserve"> HYPERLINK \l "_Toc25871" </w:instrText>
      </w:r>
      <w:r>
        <w:fldChar w:fldCharType="separate"/>
      </w:r>
      <w:r>
        <w:rPr>
          <w:rFonts w:hint="eastAsia" w:ascii="宋体" w:hAnsi="宋体" w:eastAsia="宋体" w:cs="宋体"/>
          <w:szCs w:val="44"/>
        </w:rPr>
        <w:t>第八部分 供应商有必要说明的其他问题</w:t>
      </w:r>
      <w:r>
        <w:tab/>
      </w:r>
      <w:r>
        <w:fldChar w:fldCharType="begin"/>
      </w:r>
      <w:r>
        <w:instrText xml:space="preserve"> PAGEREF _Toc25871 \h </w:instrText>
      </w:r>
      <w:r>
        <w:fldChar w:fldCharType="separate"/>
      </w:r>
      <w:r>
        <w:t>57</w:t>
      </w:r>
      <w:r>
        <w:fldChar w:fldCharType="end"/>
      </w:r>
      <w:r>
        <w:fldChar w:fldCharType="end"/>
      </w:r>
    </w:p>
    <w:p w14:paraId="33579E65">
      <w:pPr>
        <w:pStyle w:val="19"/>
        <w:tabs>
          <w:tab w:val="right" w:leader="dot" w:pos="8300"/>
        </w:tabs>
      </w:pPr>
      <w:r>
        <w:fldChar w:fldCharType="begin"/>
      </w:r>
      <w:r>
        <w:instrText xml:space="preserve"> HYPERLINK \l "_Toc23937" </w:instrText>
      </w:r>
      <w:r>
        <w:fldChar w:fldCharType="separate"/>
      </w:r>
      <w:r>
        <w:rPr>
          <w:rFonts w:hint="eastAsia" w:ascii="宋体" w:hAnsi="宋体" w:cs="宋体"/>
        </w:rPr>
        <w:t>附件一、封袋正面标识式样</w:t>
      </w:r>
      <w:r>
        <w:tab/>
      </w:r>
      <w:r>
        <w:fldChar w:fldCharType="begin"/>
      </w:r>
      <w:r>
        <w:instrText xml:space="preserve"> PAGEREF _Toc23937 \h </w:instrText>
      </w:r>
      <w:r>
        <w:fldChar w:fldCharType="separate"/>
      </w:r>
      <w:r>
        <w:t>58</w:t>
      </w:r>
      <w:r>
        <w:fldChar w:fldCharType="end"/>
      </w:r>
      <w:r>
        <w:fldChar w:fldCharType="end"/>
      </w:r>
    </w:p>
    <w:p w14:paraId="6DA66AFD">
      <w:pPr>
        <w:pStyle w:val="19"/>
        <w:tabs>
          <w:tab w:val="right" w:leader="dot" w:pos="8300"/>
        </w:tabs>
      </w:pPr>
      <w:r>
        <w:fldChar w:fldCharType="begin"/>
      </w:r>
      <w:r>
        <w:instrText xml:space="preserve"> HYPERLINK \l "_Toc4184" </w:instrText>
      </w:r>
      <w:r>
        <w:fldChar w:fldCharType="separate"/>
      </w:r>
      <w:r>
        <w:rPr>
          <w:rFonts w:hint="eastAsia" w:ascii="宋体" w:hAnsi="宋体" w:cs="宋体"/>
        </w:rPr>
        <w:t>附件二、中小企业声明函（货物）</w:t>
      </w:r>
      <w:r>
        <w:tab/>
      </w:r>
      <w:r>
        <w:fldChar w:fldCharType="begin"/>
      </w:r>
      <w:r>
        <w:instrText xml:space="preserve"> PAGEREF _Toc4184 \h </w:instrText>
      </w:r>
      <w:r>
        <w:fldChar w:fldCharType="separate"/>
      </w:r>
      <w:r>
        <w:t>60</w:t>
      </w:r>
      <w:r>
        <w:fldChar w:fldCharType="end"/>
      </w:r>
      <w:r>
        <w:fldChar w:fldCharType="end"/>
      </w:r>
    </w:p>
    <w:p w14:paraId="324FB6FF">
      <w:pPr>
        <w:pStyle w:val="19"/>
        <w:tabs>
          <w:tab w:val="right" w:leader="dot" w:pos="8300"/>
        </w:tabs>
      </w:pPr>
      <w:r>
        <w:fldChar w:fldCharType="begin"/>
      </w:r>
      <w:r>
        <w:instrText xml:space="preserve"> HYPERLINK \l "_Toc19970" </w:instrText>
      </w:r>
      <w:r>
        <w:fldChar w:fldCharType="separate"/>
      </w:r>
      <w:r>
        <w:rPr>
          <w:rFonts w:hint="eastAsia" w:ascii="宋体" w:hAnsi="宋体" w:cs="宋体"/>
        </w:rPr>
        <w:t>附件三、残疾人福利性单位声明</w:t>
      </w:r>
      <w:r>
        <w:tab/>
      </w:r>
      <w:r>
        <w:fldChar w:fldCharType="begin"/>
      </w:r>
      <w:r>
        <w:instrText xml:space="preserve"> PAGEREF _Toc19970 \h </w:instrText>
      </w:r>
      <w:r>
        <w:fldChar w:fldCharType="separate"/>
      </w:r>
      <w:r>
        <w:t>66</w:t>
      </w:r>
      <w:r>
        <w:fldChar w:fldCharType="end"/>
      </w:r>
      <w:r>
        <w:fldChar w:fldCharType="end"/>
      </w:r>
    </w:p>
    <w:p w14:paraId="6C206A4E">
      <w:pPr>
        <w:pStyle w:val="19"/>
        <w:tabs>
          <w:tab w:val="right" w:leader="dot" w:pos="8300"/>
        </w:tabs>
      </w:pPr>
      <w:r>
        <w:fldChar w:fldCharType="begin"/>
      </w:r>
      <w:r>
        <w:instrText xml:space="preserve"> HYPERLINK \l "_Toc21093" </w:instrText>
      </w:r>
      <w:r>
        <w:fldChar w:fldCharType="separate"/>
      </w:r>
      <w:r>
        <w:rPr>
          <w:rFonts w:hint="eastAsia" w:ascii="宋体" w:hAnsi="宋体" w:cs="宋体"/>
        </w:rPr>
        <w:t>附件四、监狱企业证明文件</w:t>
      </w:r>
      <w:r>
        <w:tab/>
      </w:r>
      <w:r>
        <w:fldChar w:fldCharType="begin"/>
      </w:r>
      <w:r>
        <w:instrText xml:space="preserve"> PAGEREF _Toc21093 \h </w:instrText>
      </w:r>
      <w:r>
        <w:fldChar w:fldCharType="separate"/>
      </w:r>
      <w:r>
        <w:t>66</w:t>
      </w:r>
      <w:r>
        <w:fldChar w:fldCharType="end"/>
      </w:r>
      <w:r>
        <w:fldChar w:fldCharType="end"/>
      </w:r>
    </w:p>
    <w:p w14:paraId="1BEC2689">
      <w:pPr>
        <w:pStyle w:val="19"/>
        <w:tabs>
          <w:tab w:val="right" w:leader="dot" w:pos="8300"/>
        </w:tabs>
      </w:pPr>
      <w:r>
        <w:fldChar w:fldCharType="begin"/>
      </w:r>
      <w:r>
        <w:instrText xml:space="preserve"> HYPERLINK \l "_Toc3398" </w:instrText>
      </w:r>
      <w:r>
        <w:fldChar w:fldCharType="separate"/>
      </w:r>
      <w:r>
        <w:rPr>
          <w:rFonts w:hint="eastAsia" w:ascii="宋体" w:hAnsi="宋体" w:cs="宋体"/>
        </w:rPr>
        <w:t>附件五、“节能产品”“环境标志产品”证明材料</w:t>
      </w:r>
      <w:r>
        <w:tab/>
      </w:r>
      <w:r>
        <w:fldChar w:fldCharType="begin"/>
      </w:r>
      <w:r>
        <w:instrText xml:space="preserve"> PAGEREF _Toc3398 \h </w:instrText>
      </w:r>
      <w:r>
        <w:fldChar w:fldCharType="separate"/>
      </w:r>
      <w:r>
        <w:t>66</w:t>
      </w:r>
      <w:r>
        <w:fldChar w:fldCharType="end"/>
      </w:r>
      <w:r>
        <w:fldChar w:fldCharType="end"/>
      </w:r>
    </w:p>
    <w:p w14:paraId="786820F4">
      <w:pPr>
        <w:pStyle w:val="19"/>
        <w:tabs>
          <w:tab w:val="right" w:leader="dot" w:pos="8300"/>
        </w:tabs>
      </w:pPr>
      <w:r>
        <w:fldChar w:fldCharType="begin"/>
      </w:r>
      <w:r>
        <w:instrText xml:space="preserve"> HYPERLINK \l "_Toc17401" </w:instrText>
      </w:r>
      <w:r>
        <w:fldChar w:fldCharType="separate"/>
      </w:r>
      <w:r>
        <w:rPr>
          <w:rFonts w:hint="eastAsia" w:ascii="宋体" w:hAnsi="宋体" w:cs="宋体"/>
        </w:rPr>
        <w:t>附件六、质疑函范本</w:t>
      </w:r>
      <w:r>
        <w:tab/>
      </w:r>
      <w:r>
        <w:fldChar w:fldCharType="begin"/>
      </w:r>
      <w:r>
        <w:instrText xml:space="preserve"> PAGEREF _Toc17401 \h </w:instrText>
      </w:r>
      <w:r>
        <w:fldChar w:fldCharType="separate"/>
      </w:r>
      <w:r>
        <w:t>67</w:t>
      </w:r>
      <w:r>
        <w:fldChar w:fldCharType="end"/>
      </w:r>
      <w:r>
        <w:fldChar w:fldCharType="end"/>
      </w:r>
    </w:p>
    <w:p w14:paraId="79AAFA2E">
      <w:pPr>
        <w:pStyle w:val="19"/>
        <w:tabs>
          <w:tab w:val="right" w:leader="dot" w:pos="8300"/>
        </w:tabs>
      </w:pPr>
      <w:r>
        <w:fldChar w:fldCharType="begin"/>
      </w:r>
      <w:r>
        <w:instrText xml:space="preserve"> HYPERLINK \l "_Toc27538" </w:instrText>
      </w:r>
      <w:r>
        <w:fldChar w:fldCharType="separate"/>
      </w:r>
      <w:r>
        <w:rPr>
          <w:rFonts w:hint="eastAsia" w:ascii="宋体" w:hAnsi="宋体" w:cs="宋体"/>
        </w:rPr>
        <w:t>附件七、保证金退还账户信息确认表</w:t>
      </w:r>
      <w:r>
        <w:tab/>
      </w:r>
      <w:r>
        <w:fldChar w:fldCharType="begin"/>
      </w:r>
      <w:r>
        <w:instrText xml:space="preserve"> PAGEREF _Toc27538 \h </w:instrText>
      </w:r>
      <w:r>
        <w:fldChar w:fldCharType="separate"/>
      </w:r>
      <w:r>
        <w:t>69</w:t>
      </w:r>
      <w:r>
        <w:fldChar w:fldCharType="end"/>
      </w:r>
      <w:r>
        <w:fldChar w:fldCharType="end"/>
      </w:r>
    </w:p>
    <w:p w14:paraId="27577840">
      <w:pPr>
        <w:pStyle w:val="2"/>
        <w:adjustRightInd/>
        <w:snapToGrid/>
        <w:spacing w:line="312" w:lineRule="auto"/>
        <w:ind w:firstLine="643"/>
        <w:rPr>
          <w:rFonts w:asciiTheme="minorEastAsia" w:hAnsiTheme="minorEastAsia" w:eastAsiaTheme="minorEastAsia" w:cstheme="minorEastAsia"/>
          <w:sz w:val="24"/>
          <w:szCs w:val="24"/>
        </w:rPr>
        <w:sectPr>
          <w:headerReference r:id="rId5" w:type="default"/>
          <w:footerReference r:id="rId6" w:type="default"/>
          <w:pgSz w:w="11906" w:h="16838"/>
          <w:pgMar w:top="1440" w:right="1803" w:bottom="1440" w:left="1803" w:header="851" w:footer="992" w:gutter="0"/>
          <w:pgNumType w:start="1"/>
          <w:cols w:space="720" w:num="1"/>
          <w:docGrid w:type="lines" w:linePitch="312" w:charSpace="0"/>
        </w:sectPr>
      </w:pPr>
      <w:r>
        <w:rPr>
          <w:rFonts w:hint="eastAsia" w:asciiTheme="minorEastAsia" w:hAnsiTheme="minorEastAsia" w:eastAsiaTheme="minorEastAsia" w:cstheme="minorEastAsia"/>
          <w:szCs w:val="144"/>
        </w:rPr>
        <w:fldChar w:fldCharType="end"/>
      </w:r>
    </w:p>
    <w:p w14:paraId="5BB57BC6">
      <w:pPr>
        <w:pStyle w:val="2"/>
        <w:ind w:firstLine="883"/>
        <w:rPr>
          <w:rFonts w:ascii="宋体" w:cs="宋体"/>
          <w:sz w:val="44"/>
          <w:szCs w:val="44"/>
        </w:rPr>
      </w:pPr>
      <w:bookmarkStart w:id="1" w:name="_Toc23650"/>
      <w:bookmarkStart w:id="2" w:name="_Toc438048787"/>
      <w:bookmarkStart w:id="3" w:name="_Toc30089"/>
      <w:r>
        <w:rPr>
          <w:rFonts w:hint="eastAsia" w:ascii="宋体" w:hAnsi="宋体" w:cs="宋体"/>
          <w:sz w:val="44"/>
          <w:szCs w:val="44"/>
        </w:rPr>
        <w:t>第一部分  竞争性谈判公告</w:t>
      </w:r>
      <w:bookmarkEnd w:id="1"/>
    </w:p>
    <w:p w14:paraId="1028050F">
      <w:pPr>
        <w:widowControl/>
        <w:shd w:val="clear" w:color="auto" w:fill="FFFFFF"/>
        <w:spacing w:line="30" w:lineRule="atLeast"/>
        <w:jc w:val="left"/>
        <w:textAlignment w:val="baseline"/>
        <w:rPr>
          <w:rFonts w:ascii="宋体" w:hAnsi="宋体" w:cs="宋体"/>
          <w:b/>
          <w:bCs/>
          <w:color w:val="333333"/>
        </w:rPr>
      </w:pPr>
      <w:r>
        <w:rPr>
          <w:rFonts w:hint="eastAsia" w:ascii="宋体" w:hAnsi="宋体" w:eastAsia="宋体" w:cs="宋体"/>
          <w:sz w:val="24"/>
          <w:szCs w:val="24"/>
        </w:rPr>
        <w:t>项目概况</w:t>
      </w:r>
    </w:p>
    <w:p w14:paraId="4C7AE715">
      <w:pPr>
        <w:spacing w:line="360" w:lineRule="auto"/>
        <w:ind w:firstLine="480" w:firstLineChars="200"/>
        <w:rPr>
          <w:rFonts w:ascii="宋体" w:hAnsi="宋体" w:cs="宋体"/>
          <w:sz w:val="24"/>
          <w:szCs w:val="24"/>
        </w:rPr>
      </w:pPr>
      <w:r>
        <w:rPr>
          <w:rFonts w:hint="eastAsia" w:ascii="宋体" w:hAnsi="宋体" w:cs="宋体"/>
          <w:sz w:val="24"/>
          <w:szCs w:val="24"/>
          <w:lang w:eastAsia="zh-CN"/>
        </w:rPr>
        <w:t>大学生活动中心灯光音响系统改造项目（二次）</w:t>
      </w:r>
      <w:r>
        <w:rPr>
          <w:rFonts w:hint="eastAsia" w:ascii="宋体" w:hAnsi="宋体" w:cs="宋体"/>
          <w:sz w:val="24"/>
          <w:szCs w:val="24"/>
        </w:rPr>
        <w:t>的潜在供应商应在西安市雁塔区科技路30号合力紫郡B座21层获取采购文件，并于2025年0</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04</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时30分（北京时间）前提交响应文件。</w:t>
      </w:r>
    </w:p>
    <w:p w14:paraId="791A9F67">
      <w:pPr>
        <w:spacing w:line="360" w:lineRule="auto"/>
        <w:ind w:firstLine="480" w:firstLineChars="200"/>
        <w:rPr>
          <w:rFonts w:ascii="宋体" w:hAnsi="宋体" w:cs="宋体"/>
          <w:sz w:val="24"/>
          <w:szCs w:val="24"/>
        </w:rPr>
      </w:pPr>
      <w:r>
        <w:rPr>
          <w:rFonts w:ascii="宋体" w:hAnsi="宋体" w:cs="宋体"/>
          <w:sz w:val="24"/>
          <w:szCs w:val="24"/>
        </w:rPr>
        <w:t>一、项目基本情况</w:t>
      </w:r>
    </w:p>
    <w:p w14:paraId="03F7DADC">
      <w:pPr>
        <w:spacing w:line="360" w:lineRule="auto"/>
        <w:ind w:firstLine="480" w:firstLineChars="200"/>
        <w:rPr>
          <w:rFonts w:hint="eastAsia" w:ascii="宋体" w:hAnsi="宋体" w:cs="宋体" w:eastAsiaTheme="minorEastAsia"/>
          <w:sz w:val="24"/>
          <w:szCs w:val="24"/>
          <w:lang w:eastAsia="zh-CN"/>
        </w:rPr>
      </w:pPr>
      <w:r>
        <w:rPr>
          <w:rFonts w:ascii="宋体" w:hAnsi="宋体" w:cs="宋体"/>
          <w:sz w:val="24"/>
          <w:szCs w:val="24"/>
        </w:rPr>
        <w:t>项目编号：</w:t>
      </w:r>
      <w:r>
        <w:rPr>
          <w:rFonts w:hint="eastAsia" w:ascii="宋体" w:hAnsi="宋体" w:cs="宋体"/>
          <w:sz w:val="24"/>
          <w:szCs w:val="24"/>
          <w:lang w:eastAsia="zh-CN"/>
        </w:rPr>
        <w:t>ZMZB2025SNY-120R</w:t>
      </w:r>
    </w:p>
    <w:p w14:paraId="3AA77A95">
      <w:pPr>
        <w:spacing w:line="360" w:lineRule="auto"/>
        <w:ind w:firstLine="480" w:firstLineChars="200"/>
        <w:rPr>
          <w:rFonts w:hint="eastAsia" w:ascii="宋体" w:hAnsi="宋体" w:cs="宋体" w:eastAsiaTheme="minorEastAsia"/>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大学生活动中心灯光音响系统改造项目（二次）</w:t>
      </w:r>
    </w:p>
    <w:p w14:paraId="389C2385">
      <w:pPr>
        <w:spacing w:line="360" w:lineRule="auto"/>
        <w:ind w:firstLine="480" w:firstLineChars="200"/>
        <w:rPr>
          <w:rFonts w:ascii="宋体" w:hAnsi="宋体" w:eastAsia="宋体" w:cs="宋体"/>
          <w:sz w:val="24"/>
          <w:szCs w:val="24"/>
        </w:rPr>
      </w:pPr>
      <w:r>
        <w:rPr>
          <w:rFonts w:hint="eastAsia" w:ascii="宋体" w:hAnsi="宋体" w:cs="宋体"/>
          <w:sz w:val="24"/>
          <w:szCs w:val="24"/>
        </w:rPr>
        <w:t>采购方式：竞争性谈判</w:t>
      </w:r>
    </w:p>
    <w:p w14:paraId="50520764">
      <w:pPr>
        <w:spacing w:line="360" w:lineRule="auto"/>
        <w:ind w:firstLine="480" w:firstLineChars="200"/>
        <w:rPr>
          <w:rFonts w:ascii="宋体" w:hAnsi="宋体" w:cs="宋体"/>
          <w:sz w:val="24"/>
          <w:szCs w:val="24"/>
        </w:rPr>
      </w:pPr>
      <w:r>
        <w:rPr>
          <w:rFonts w:hint="eastAsia" w:ascii="宋体" w:hAnsi="宋体" w:cs="宋体"/>
          <w:sz w:val="24"/>
          <w:szCs w:val="24"/>
        </w:rPr>
        <w:t>预算金额：391760.00元</w:t>
      </w:r>
    </w:p>
    <w:p w14:paraId="171535BF">
      <w:pPr>
        <w:spacing w:line="360" w:lineRule="auto"/>
        <w:ind w:firstLine="480" w:firstLineChars="200"/>
        <w:rPr>
          <w:rFonts w:ascii="宋体" w:hAnsi="宋体" w:cs="宋体"/>
          <w:sz w:val="24"/>
          <w:szCs w:val="24"/>
        </w:rPr>
      </w:pPr>
      <w:r>
        <w:rPr>
          <w:rFonts w:hint="eastAsia" w:ascii="宋体" w:hAnsi="宋体" w:cs="宋体"/>
          <w:sz w:val="24"/>
          <w:szCs w:val="24"/>
        </w:rPr>
        <w:t>采购需求：</w:t>
      </w:r>
    </w:p>
    <w:p w14:paraId="65CFB954">
      <w:pPr>
        <w:spacing w:line="360" w:lineRule="auto"/>
        <w:ind w:firstLine="480" w:firstLineChars="200"/>
        <w:rPr>
          <w:rFonts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大学生活动中心灯光音响系统改造项目</w:t>
      </w:r>
      <w:r>
        <w:rPr>
          <w:rFonts w:hint="eastAsia" w:ascii="宋体" w:hAnsi="宋体" w:cs="宋体"/>
          <w:sz w:val="24"/>
          <w:szCs w:val="24"/>
        </w:rPr>
        <w:t>):</w:t>
      </w:r>
    </w:p>
    <w:p w14:paraId="66C9198E">
      <w:pPr>
        <w:spacing w:line="360" w:lineRule="auto"/>
        <w:ind w:firstLine="480" w:firstLineChars="200"/>
        <w:rPr>
          <w:rFonts w:ascii="宋体" w:hAnsi="宋体" w:cs="宋体"/>
          <w:sz w:val="24"/>
          <w:szCs w:val="24"/>
        </w:rPr>
      </w:pPr>
      <w:r>
        <w:rPr>
          <w:rFonts w:hint="eastAsia" w:ascii="宋体" w:hAnsi="宋体" w:cs="宋体"/>
          <w:sz w:val="24"/>
          <w:szCs w:val="24"/>
        </w:rPr>
        <w:t>合同包预算金额：391760.00元</w:t>
      </w:r>
    </w:p>
    <w:p w14:paraId="4FA38C74">
      <w:pPr>
        <w:spacing w:line="360" w:lineRule="auto"/>
        <w:ind w:firstLine="480" w:firstLineChars="200"/>
        <w:rPr>
          <w:rFonts w:ascii="宋体" w:hAnsi="宋体" w:cs="宋体"/>
          <w:sz w:val="24"/>
          <w:szCs w:val="24"/>
        </w:rPr>
      </w:pPr>
      <w:r>
        <w:rPr>
          <w:rFonts w:hint="eastAsia" w:ascii="宋体" w:hAnsi="宋体" w:cs="宋体"/>
          <w:sz w:val="24"/>
          <w:szCs w:val="24"/>
        </w:rPr>
        <w:t>合同包最高限价：391760.00元</w:t>
      </w:r>
    </w:p>
    <w:tbl>
      <w:tblPr>
        <w:tblStyle w:val="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8"/>
        <w:gridCol w:w="1710"/>
        <w:gridCol w:w="771"/>
        <w:gridCol w:w="1096"/>
        <w:gridCol w:w="1509"/>
        <w:gridCol w:w="1446"/>
        <w:gridCol w:w="1446"/>
      </w:tblGrid>
      <w:tr w14:paraId="5E598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9FE488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3A7E3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B1ECC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D2F67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4931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FBA4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6B899C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lang w:val="en-US" w:eastAsia="zh-CN" w:bidi="ar"/>
              </w:rPr>
              <w:t>最高限价(元)</w:t>
            </w:r>
          </w:p>
        </w:tc>
      </w:tr>
      <w:tr w14:paraId="0C4C0C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2662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04C699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会议、广播及音乐欣赏系统</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002FC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灯光系统</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3FFCD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2470B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B19ED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201,450.00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36F78BE">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201,450.00</w:t>
            </w:r>
          </w:p>
        </w:tc>
      </w:tr>
      <w:tr w14:paraId="163C6A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CD06B8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BE5D5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会议、广播及音乐欣赏系统</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F3BFD5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音箱系统</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4CEDF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84975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529AECF">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190,310.00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82AF462">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lang w:val="en-US" w:eastAsia="zh-CN" w:bidi="ar"/>
              </w:rPr>
              <w:t>190,310.00</w:t>
            </w:r>
          </w:p>
        </w:tc>
      </w:tr>
    </w:tbl>
    <w:p w14:paraId="47E2C205">
      <w:pPr>
        <w:spacing w:line="360" w:lineRule="auto"/>
        <w:ind w:firstLine="480" w:firstLineChars="200"/>
        <w:rPr>
          <w:rFonts w:ascii="宋体" w:hAnsi="宋体" w:cs="宋体"/>
          <w:sz w:val="24"/>
          <w:szCs w:val="24"/>
        </w:rPr>
      </w:pPr>
      <w:r>
        <w:rPr>
          <w:rFonts w:ascii="宋体" w:hAnsi="宋体" w:cs="宋体"/>
          <w:sz w:val="24"/>
          <w:szCs w:val="24"/>
        </w:rPr>
        <w:t>本合同包不接受联合体投标</w:t>
      </w:r>
    </w:p>
    <w:p w14:paraId="38E07A9A">
      <w:pPr>
        <w:spacing w:line="360" w:lineRule="auto"/>
        <w:ind w:firstLine="480" w:firstLineChars="200"/>
        <w:rPr>
          <w:rFonts w:ascii="宋体" w:hAnsi="宋体" w:cs="宋体"/>
          <w:sz w:val="24"/>
          <w:szCs w:val="24"/>
        </w:rPr>
      </w:pPr>
      <w:r>
        <w:rPr>
          <w:rFonts w:ascii="宋体" w:hAnsi="宋体" w:cs="宋体"/>
          <w:sz w:val="24"/>
          <w:szCs w:val="24"/>
        </w:rPr>
        <w:t>合同履行期限：</w:t>
      </w:r>
      <w:r>
        <w:rPr>
          <w:rFonts w:hint="eastAsia" w:ascii="宋体" w:hAnsi="宋体" w:cs="宋体"/>
          <w:sz w:val="24"/>
          <w:szCs w:val="24"/>
        </w:rPr>
        <w:t>自合同签订后至该项目质保期结束（具体服务起止日期可随合同签订时间相应顺延）</w:t>
      </w:r>
    </w:p>
    <w:p w14:paraId="5BFA727C">
      <w:pPr>
        <w:spacing w:line="360" w:lineRule="auto"/>
        <w:ind w:firstLine="480" w:firstLineChars="200"/>
        <w:rPr>
          <w:rFonts w:ascii="宋体" w:hAnsi="宋体" w:cs="宋体"/>
          <w:sz w:val="24"/>
          <w:szCs w:val="24"/>
        </w:rPr>
      </w:pPr>
      <w:r>
        <w:rPr>
          <w:rFonts w:ascii="宋体" w:hAnsi="宋体" w:cs="宋体"/>
          <w:sz w:val="24"/>
          <w:szCs w:val="24"/>
        </w:rPr>
        <w:t>二、申请人的资格要求：</w:t>
      </w:r>
    </w:p>
    <w:p w14:paraId="11C8DC48">
      <w:pPr>
        <w:spacing w:line="360" w:lineRule="auto"/>
        <w:ind w:firstLine="480" w:firstLineChars="200"/>
        <w:rPr>
          <w:rFonts w:ascii="宋体" w:hAnsi="宋体" w:cs="宋体"/>
          <w:sz w:val="24"/>
          <w:szCs w:val="24"/>
        </w:rPr>
      </w:pPr>
      <w:r>
        <w:rPr>
          <w:rFonts w:ascii="宋体" w:hAnsi="宋体" w:cs="宋体"/>
          <w:sz w:val="24"/>
          <w:szCs w:val="24"/>
        </w:rPr>
        <w:t>1.满足《中华人民共和国政府采购法》第二十二条规定</w:t>
      </w:r>
      <w:r>
        <w:rPr>
          <w:rFonts w:hint="eastAsia" w:ascii="宋体" w:hAnsi="宋体" w:cs="宋体"/>
          <w:sz w:val="24"/>
          <w:szCs w:val="24"/>
        </w:rPr>
        <w:t>；</w:t>
      </w:r>
    </w:p>
    <w:p w14:paraId="3B929FBA">
      <w:pPr>
        <w:spacing w:line="360" w:lineRule="auto"/>
        <w:ind w:firstLine="480" w:firstLineChars="200"/>
        <w:rPr>
          <w:rFonts w:ascii="宋体" w:hAnsi="宋体" w:cs="宋体"/>
          <w:sz w:val="24"/>
          <w:szCs w:val="24"/>
        </w:rPr>
      </w:pPr>
      <w:r>
        <w:rPr>
          <w:rFonts w:ascii="宋体" w:hAnsi="宋体" w:cs="宋体"/>
          <w:sz w:val="24"/>
          <w:szCs w:val="24"/>
        </w:rPr>
        <w:t>2.落实政府采购政策需满足的资格要求：</w:t>
      </w:r>
    </w:p>
    <w:p w14:paraId="07BDAB70">
      <w:pPr>
        <w:spacing w:line="360" w:lineRule="auto"/>
        <w:ind w:firstLine="480" w:firstLineChars="200"/>
        <w:rPr>
          <w:rFonts w:ascii="宋体" w:hAnsi="宋体" w:cs="宋体"/>
          <w:sz w:val="24"/>
          <w:szCs w:val="24"/>
        </w:rPr>
      </w:pPr>
      <w:r>
        <w:rPr>
          <w:rFonts w:ascii="宋体" w:hAnsi="宋体" w:cs="宋体"/>
          <w:sz w:val="24"/>
          <w:szCs w:val="24"/>
        </w:rPr>
        <w:t>合同包1(</w:t>
      </w:r>
      <w:r>
        <w:rPr>
          <w:rFonts w:hint="eastAsia" w:ascii="宋体" w:hAnsi="宋体" w:cs="宋体"/>
          <w:sz w:val="24"/>
          <w:szCs w:val="24"/>
          <w:lang w:eastAsia="zh-CN"/>
        </w:rPr>
        <w:t>大学生活动中心灯光音响系统改造项目</w:t>
      </w:r>
      <w:r>
        <w:rPr>
          <w:rFonts w:ascii="宋体" w:hAnsi="宋体" w:cs="宋体"/>
          <w:sz w:val="24"/>
          <w:szCs w:val="24"/>
        </w:rPr>
        <w:t>)落实政府采购政策需满足的资格要求如下:</w:t>
      </w:r>
    </w:p>
    <w:p w14:paraId="5FC206B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(1)《政府采购促进中小企业发展管理办法》（财库〔2020〕46号）；</w:t>
      </w:r>
    </w:p>
    <w:p w14:paraId="588E4BE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(2)《财政部 司法部关于政府采购支持监狱企业发展有关问题的通知》（财库〔2014〕68号）；</w:t>
      </w:r>
    </w:p>
    <w:p w14:paraId="52B5502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p>
    <w:p w14:paraId="6BB8EA2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(4)《财政部 国家发展改革委关于印发〈节能产品政府采购实施意见〉的通知》（财库〔2004〕185号）；</w:t>
      </w:r>
    </w:p>
    <w:p w14:paraId="0B98762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(5)《财政部环保总局关于环境标志产品政府采购实施的意见》（财库〔2006〕90号）；</w:t>
      </w:r>
    </w:p>
    <w:p w14:paraId="10494FB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(6)《三部门联合发布关于促进残疾人就业政府采购政策的通知》（财库〔2017〕141号）；</w:t>
      </w:r>
    </w:p>
    <w:p w14:paraId="55673AE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(7)《财政部发展改革委 生态环境部 市场监管总局关于调整优化节能产品、环境标志产品政府采购执行机制的通知》（财库〔2019〕9号）；</w:t>
      </w:r>
    </w:p>
    <w:p w14:paraId="6480A84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(8)《财政部 农业农村部 国家乡村振兴局关于运用政府采购政策支持乡村产业振兴的通知》（财库〔2021〕19号）；</w:t>
      </w:r>
    </w:p>
    <w:p w14:paraId="78312340">
      <w:pPr>
        <w:spacing w:line="360" w:lineRule="auto"/>
        <w:ind w:firstLine="480" w:firstLineChars="200"/>
        <w:rPr>
          <w:rFonts w:ascii="宋体" w:hAnsi="宋体" w:cs="宋体"/>
          <w:sz w:val="24"/>
          <w:szCs w:val="24"/>
        </w:rPr>
      </w:pPr>
      <w:r>
        <w:rPr>
          <w:rFonts w:hint="eastAsia" w:ascii="宋体" w:hAnsi="宋体" w:eastAsia="宋体" w:cs="宋体"/>
          <w:sz w:val="24"/>
          <w:szCs w:val="24"/>
        </w:rPr>
        <w:t>(9)陕西省财政厅关于印发《陕西省中小企业政府采购信用融资办法》（陕财办采〔2018〕23号）。</w:t>
      </w:r>
    </w:p>
    <w:p w14:paraId="1098A6C7">
      <w:pPr>
        <w:spacing w:line="360" w:lineRule="auto"/>
        <w:rPr>
          <w:rFonts w:ascii="宋体" w:hAnsi="宋体" w:cs="宋体"/>
          <w:sz w:val="24"/>
          <w:szCs w:val="24"/>
        </w:rPr>
      </w:pPr>
      <w:r>
        <w:rPr>
          <w:rFonts w:ascii="宋体" w:hAnsi="宋体" w:cs="宋体"/>
          <w:sz w:val="24"/>
          <w:szCs w:val="24"/>
        </w:rPr>
        <w:t>3.本项目的特定资格要求：</w:t>
      </w:r>
    </w:p>
    <w:p w14:paraId="2A2B77F8">
      <w:pPr>
        <w:spacing w:line="360" w:lineRule="auto"/>
        <w:ind w:firstLine="480" w:firstLineChars="200"/>
        <w:rPr>
          <w:rFonts w:ascii="宋体" w:hAnsi="宋体" w:cs="宋体"/>
          <w:sz w:val="24"/>
          <w:szCs w:val="24"/>
        </w:rPr>
      </w:pPr>
      <w:r>
        <w:rPr>
          <w:rFonts w:hint="eastAsia" w:ascii="宋体" w:hAnsi="宋体" w:cs="宋体"/>
          <w:sz w:val="24"/>
          <w:szCs w:val="24"/>
        </w:rPr>
        <w:t>合同包1(</w:t>
      </w:r>
      <w:r>
        <w:rPr>
          <w:rFonts w:hint="eastAsia" w:ascii="宋体" w:hAnsi="宋体" w:cs="宋体"/>
          <w:sz w:val="24"/>
          <w:szCs w:val="24"/>
          <w:lang w:eastAsia="zh-CN"/>
        </w:rPr>
        <w:t>大学生活动中心灯光音响系统改造项目</w:t>
      </w:r>
      <w:r>
        <w:rPr>
          <w:rFonts w:hint="eastAsia" w:ascii="宋体" w:hAnsi="宋体" w:cs="宋体"/>
          <w:sz w:val="24"/>
          <w:szCs w:val="24"/>
        </w:rPr>
        <w:t>)特定资格要求如下:</w:t>
      </w:r>
    </w:p>
    <w:p w14:paraId="3A90FD19">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14:paraId="4787C384">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p w14:paraId="28E30F8C">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（3）具有履行合同所必需的设备和专业技术能力的书面声明；</w:t>
      </w:r>
    </w:p>
    <w:p w14:paraId="1CD3A7CB">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2024年6月（含6月）以来任意时间段的依法缴纳税收的相关凭据（时间以税款所属时期为准），凭据应有税务机关或代收机关的公章或业务专用章。依法免税或无须缴纳税收的供应商应提供相应证明文件；</w:t>
      </w:r>
    </w:p>
    <w:p w14:paraId="5E5D3303">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（5）社会保障资金缴纳证明：提供2024年6月（含6月）以来任意时间段的社会保障资金缴存单据或社保机构开具的社会保险参保缴费情况证明。依法不需要缴纳社会保障资金的供应商应提供相关文件证明；</w:t>
      </w:r>
    </w:p>
    <w:p w14:paraId="0F3B0AA4">
      <w:pPr>
        <w:spacing w:line="360" w:lineRule="auto"/>
        <w:ind w:firstLine="480" w:firstLineChars="200"/>
        <w:rPr>
          <w:rFonts w:ascii="宋体" w:hAnsi="宋体" w:cs="宋体"/>
          <w:sz w:val="24"/>
          <w:szCs w:val="24"/>
        </w:rPr>
      </w:pPr>
      <w:r>
        <w:rPr>
          <w:rFonts w:hint="eastAsia" w:ascii="宋体" w:hAnsi="宋体" w:cs="宋体"/>
          <w:sz w:val="24"/>
          <w:szCs w:val="24"/>
        </w:rPr>
        <w:t>（6）参加采购活动前 3 年内在经营活动中没有重大违法记录的书面声明；</w:t>
      </w:r>
    </w:p>
    <w:p w14:paraId="484FE72B">
      <w:pPr>
        <w:spacing w:line="360" w:lineRule="auto"/>
        <w:ind w:firstLine="480" w:firstLineChars="200"/>
        <w:rPr>
          <w:rFonts w:ascii="宋体" w:hAnsi="宋体" w:cs="宋体"/>
          <w:sz w:val="24"/>
          <w:szCs w:val="24"/>
        </w:rPr>
      </w:pPr>
      <w:r>
        <w:rPr>
          <w:rFonts w:hint="eastAsia" w:ascii="宋体" w:hAnsi="宋体" w:cs="宋体"/>
          <w:sz w:val="24"/>
          <w:szCs w:val="24"/>
        </w:rPr>
        <w:t>（7）非法定代表人参加谈判的，须提供法定代表人委托授权书，法定代表人参加谈判时,只须提供法定代表人身份证；</w:t>
      </w:r>
    </w:p>
    <w:p w14:paraId="716D7E17">
      <w:pPr>
        <w:spacing w:line="360" w:lineRule="auto"/>
        <w:ind w:firstLine="480" w:firstLineChars="200"/>
        <w:rPr>
          <w:rFonts w:ascii="宋体" w:hAnsi="宋体" w:cs="宋体"/>
          <w:sz w:val="24"/>
          <w:szCs w:val="24"/>
        </w:rPr>
      </w:pPr>
      <w:r>
        <w:rPr>
          <w:rFonts w:hint="eastAsia" w:ascii="宋体" w:hAnsi="宋体" w:cs="宋体"/>
          <w:sz w:val="24"/>
          <w:szCs w:val="24"/>
        </w:rPr>
        <w:t>（8）本项目专门面向中小企业采购，供应商须提供中小企业声明函；</w:t>
      </w:r>
    </w:p>
    <w:p w14:paraId="5A99983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（9）本项目不接受联合体响应；</w:t>
      </w:r>
    </w:p>
    <w:p w14:paraId="05FFF692">
      <w:pPr>
        <w:spacing w:line="360" w:lineRule="auto"/>
        <w:ind w:firstLine="480" w:firstLineChars="200"/>
        <w:rPr>
          <w:rFonts w:ascii="宋体" w:hAnsi="宋体" w:cs="宋体"/>
          <w:sz w:val="24"/>
          <w:szCs w:val="24"/>
        </w:rPr>
      </w:pPr>
      <w:r>
        <w:rPr>
          <w:rFonts w:ascii="宋体" w:hAnsi="宋体" w:cs="宋体"/>
          <w:sz w:val="24"/>
          <w:szCs w:val="24"/>
        </w:rPr>
        <w:t>三、获取采购文件</w:t>
      </w:r>
    </w:p>
    <w:p w14:paraId="530FC86A">
      <w:pPr>
        <w:spacing w:line="360" w:lineRule="auto"/>
        <w:ind w:firstLine="480" w:firstLineChars="200"/>
        <w:rPr>
          <w:rFonts w:ascii="宋体" w:hAnsi="宋体" w:cs="宋体"/>
          <w:sz w:val="24"/>
          <w:szCs w:val="24"/>
        </w:rPr>
      </w:pPr>
      <w:r>
        <w:rPr>
          <w:rFonts w:ascii="宋体" w:hAnsi="宋体" w:cs="宋体"/>
          <w:sz w:val="24"/>
          <w:szCs w:val="24"/>
        </w:rPr>
        <w:t>时间：</w:t>
      </w:r>
      <w:r>
        <w:rPr>
          <w:rFonts w:hint="eastAsia" w:ascii="宋体" w:hAnsi="宋体" w:cs="宋体"/>
          <w:sz w:val="24"/>
          <w:szCs w:val="24"/>
        </w:rPr>
        <w:t>2025年06月</w:t>
      </w:r>
      <w:r>
        <w:rPr>
          <w:rFonts w:hint="eastAsia" w:ascii="宋体" w:hAnsi="宋体" w:cs="宋体"/>
          <w:sz w:val="24"/>
          <w:szCs w:val="24"/>
          <w:lang w:val="en-US" w:eastAsia="zh-CN"/>
        </w:rPr>
        <w:t>30</w:t>
      </w:r>
      <w:r>
        <w:rPr>
          <w:rFonts w:hint="eastAsia" w:ascii="宋体" w:hAnsi="宋体" w:cs="宋体"/>
          <w:sz w:val="24"/>
          <w:szCs w:val="24"/>
        </w:rPr>
        <w:t>日至 2025年0</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03</w:t>
      </w:r>
      <w:r>
        <w:rPr>
          <w:rFonts w:hint="eastAsia" w:ascii="宋体" w:hAnsi="宋体" w:cs="宋体"/>
          <w:sz w:val="24"/>
          <w:szCs w:val="24"/>
        </w:rPr>
        <w:t>日，每天上午09:00:00 至 12:00:00，下午13:30:00至17:00:00</w:t>
      </w:r>
      <w:r>
        <w:rPr>
          <w:rFonts w:ascii="宋体" w:hAnsi="宋体" w:cs="宋体"/>
          <w:sz w:val="24"/>
          <w:szCs w:val="24"/>
        </w:rPr>
        <w:t>（北京时间,法定节假日除外）</w:t>
      </w:r>
    </w:p>
    <w:p w14:paraId="0761CCBE">
      <w:pPr>
        <w:spacing w:line="360" w:lineRule="auto"/>
        <w:ind w:firstLine="480" w:firstLineChars="200"/>
        <w:rPr>
          <w:rFonts w:ascii="宋体" w:hAnsi="宋体" w:cs="宋体"/>
          <w:sz w:val="24"/>
          <w:szCs w:val="24"/>
        </w:rPr>
      </w:pPr>
      <w:r>
        <w:rPr>
          <w:rFonts w:ascii="宋体" w:hAnsi="宋体" w:cs="宋体"/>
          <w:sz w:val="24"/>
          <w:szCs w:val="24"/>
        </w:rPr>
        <w:t>地点：</w:t>
      </w:r>
      <w:r>
        <w:rPr>
          <w:rFonts w:hint="eastAsia" w:ascii="宋体" w:hAnsi="宋体" w:cs="宋体"/>
          <w:sz w:val="24"/>
          <w:szCs w:val="24"/>
        </w:rPr>
        <w:t>西安市雁塔区科技路30号合力紫郡B座21层</w:t>
      </w:r>
    </w:p>
    <w:p w14:paraId="0A424D4E">
      <w:pPr>
        <w:spacing w:line="360" w:lineRule="auto"/>
        <w:ind w:firstLine="480" w:firstLineChars="200"/>
        <w:rPr>
          <w:rFonts w:ascii="宋体" w:hAnsi="宋体" w:cs="宋体"/>
          <w:sz w:val="24"/>
          <w:szCs w:val="24"/>
        </w:rPr>
      </w:pPr>
      <w:r>
        <w:rPr>
          <w:rFonts w:ascii="宋体" w:hAnsi="宋体" w:cs="宋体"/>
          <w:sz w:val="24"/>
          <w:szCs w:val="24"/>
        </w:rPr>
        <w:t>方式：现场获取</w:t>
      </w:r>
    </w:p>
    <w:p w14:paraId="57D60AFC">
      <w:pPr>
        <w:spacing w:line="360" w:lineRule="auto"/>
        <w:ind w:firstLine="480" w:firstLineChars="200"/>
        <w:rPr>
          <w:rFonts w:ascii="宋体" w:hAnsi="宋体" w:cs="宋体"/>
          <w:sz w:val="24"/>
          <w:szCs w:val="24"/>
        </w:rPr>
      </w:pPr>
      <w:r>
        <w:rPr>
          <w:rFonts w:ascii="宋体" w:hAnsi="宋体" w:cs="宋体"/>
          <w:sz w:val="24"/>
          <w:szCs w:val="24"/>
        </w:rPr>
        <w:t>售价：</w:t>
      </w:r>
      <w:r>
        <w:rPr>
          <w:rFonts w:hint="eastAsia" w:ascii="宋体" w:hAnsi="宋体" w:cs="宋体"/>
          <w:sz w:val="24"/>
          <w:szCs w:val="24"/>
        </w:rPr>
        <w:t>5</w:t>
      </w:r>
      <w:r>
        <w:rPr>
          <w:rFonts w:ascii="宋体" w:hAnsi="宋体" w:cs="宋体"/>
          <w:sz w:val="24"/>
          <w:szCs w:val="24"/>
        </w:rPr>
        <w:t>00元</w:t>
      </w:r>
    </w:p>
    <w:p w14:paraId="4C6EBBA9">
      <w:pPr>
        <w:spacing w:line="360" w:lineRule="auto"/>
        <w:ind w:firstLine="480" w:firstLineChars="200"/>
        <w:rPr>
          <w:rFonts w:ascii="宋体" w:hAnsi="宋体" w:cs="宋体"/>
          <w:sz w:val="24"/>
          <w:szCs w:val="24"/>
        </w:rPr>
      </w:pPr>
      <w:r>
        <w:rPr>
          <w:rFonts w:ascii="宋体" w:hAnsi="宋体" w:cs="宋体"/>
          <w:sz w:val="24"/>
          <w:szCs w:val="24"/>
        </w:rPr>
        <w:t>四、响应文件提交</w:t>
      </w:r>
    </w:p>
    <w:p w14:paraId="27459D46">
      <w:pPr>
        <w:spacing w:line="360" w:lineRule="auto"/>
        <w:ind w:firstLine="480" w:firstLineChars="200"/>
        <w:rPr>
          <w:rFonts w:ascii="宋体" w:hAnsi="宋体" w:cs="宋体"/>
          <w:sz w:val="24"/>
          <w:szCs w:val="24"/>
        </w:rPr>
      </w:pPr>
      <w:r>
        <w:rPr>
          <w:rFonts w:ascii="宋体" w:hAnsi="宋体" w:cs="宋体"/>
          <w:sz w:val="24"/>
          <w:szCs w:val="24"/>
        </w:rPr>
        <w:t>截止时间：</w:t>
      </w:r>
      <w:r>
        <w:rPr>
          <w:rFonts w:hint="eastAsia" w:ascii="宋体" w:hAnsi="宋体" w:cs="宋体"/>
          <w:sz w:val="24"/>
          <w:szCs w:val="24"/>
        </w:rPr>
        <w:t xml:space="preserve"> 2025年0</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04</w:t>
      </w:r>
      <w:r>
        <w:rPr>
          <w:rFonts w:hint="eastAsia" w:ascii="宋体" w:hAnsi="宋体" w:cs="宋体"/>
          <w:sz w:val="24"/>
          <w:szCs w:val="24"/>
        </w:rPr>
        <w:t>日 09时30分00秒</w:t>
      </w:r>
      <w:r>
        <w:rPr>
          <w:rFonts w:ascii="宋体" w:hAnsi="宋体" w:cs="宋体"/>
          <w:sz w:val="24"/>
          <w:szCs w:val="24"/>
        </w:rPr>
        <w:t>（北京时间）</w:t>
      </w:r>
    </w:p>
    <w:p w14:paraId="4FF357EF">
      <w:pPr>
        <w:spacing w:line="360" w:lineRule="auto"/>
        <w:ind w:firstLine="480" w:firstLineChars="200"/>
        <w:rPr>
          <w:rFonts w:ascii="宋体" w:hAnsi="宋体" w:eastAsia="宋体" w:cs="宋体"/>
          <w:sz w:val="24"/>
          <w:szCs w:val="24"/>
        </w:rPr>
      </w:pPr>
      <w:r>
        <w:rPr>
          <w:rFonts w:ascii="宋体" w:hAnsi="宋体" w:cs="宋体"/>
          <w:sz w:val="24"/>
          <w:szCs w:val="24"/>
        </w:rPr>
        <w:t>地点：</w:t>
      </w:r>
      <w:r>
        <w:rPr>
          <w:rFonts w:hint="eastAsia" w:ascii="宋体" w:hAnsi="宋体" w:cs="宋体"/>
          <w:sz w:val="24"/>
          <w:szCs w:val="24"/>
        </w:rPr>
        <w:t>西安市雁塔区科技路30号合力紫郡B座21层第</w:t>
      </w:r>
      <w:r>
        <w:rPr>
          <w:rFonts w:hint="eastAsia" w:ascii="宋体" w:hAnsi="宋体" w:cs="宋体"/>
          <w:sz w:val="24"/>
          <w:szCs w:val="24"/>
          <w:lang w:val="en-US" w:eastAsia="zh-CN"/>
        </w:rPr>
        <w:t>二</w:t>
      </w:r>
      <w:r>
        <w:rPr>
          <w:rFonts w:hint="eastAsia" w:ascii="宋体" w:hAnsi="宋体" w:cs="宋体"/>
          <w:sz w:val="24"/>
          <w:szCs w:val="24"/>
        </w:rPr>
        <w:t>会议室</w:t>
      </w:r>
    </w:p>
    <w:p w14:paraId="6FA4910A">
      <w:pPr>
        <w:spacing w:line="360" w:lineRule="auto"/>
        <w:ind w:firstLine="480" w:firstLineChars="200"/>
        <w:rPr>
          <w:rFonts w:ascii="宋体" w:hAnsi="宋体" w:cs="宋体"/>
          <w:sz w:val="24"/>
          <w:szCs w:val="24"/>
        </w:rPr>
      </w:pPr>
      <w:r>
        <w:rPr>
          <w:rFonts w:ascii="宋体" w:hAnsi="宋体" w:cs="宋体"/>
          <w:sz w:val="24"/>
          <w:szCs w:val="24"/>
        </w:rPr>
        <w:t>五、开启</w:t>
      </w:r>
    </w:p>
    <w:p w14:paraId="58355DB3">
      <w:pPr>
        <w:spacing w:line="360" w:lineRule="auto"/>
        <w:ind w:firstLine="480" w:firstLineChars="200"/>
        <w:rPr>
          <w:rFonts w:ascii="宋体" w:hAnsi="宋体" w:cs="宋体"/>
          <w:sz w:val="24"/>
          <w:szCs w:val="24"/>
        </w:rPr>
      </w:pPr>
      <w:r>
        <w:rPr>
          <w:rFonts w:ascii="宋体" w:hAnsi="宋体" w:cs="宋体"/>
          <w:sz w:val="24"/>
          <w:szCs w:val="24"/>
        </w:rPr>
        <w:t>时间：</w:t>
      </w:r>
      <w:r>
        <w:rPr>
          <w:rFonts w:hint="eastAsia" w:ascii="宋体" w:hAnsi="宋体" w:cs="宋体"/>
          <w:sz w:val="24"/>
          <w:szCs w:val="24"/>
        </w:rPr>
        <w:t xml:space="preserve"> 2025年0</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04</w:t>
      </w:r>
      <w:r>
        <w:rPr>
          <w:rFonts w:hint="eastAsia" w:ascii="宋体" w:hAnsi="宋体" w:cs="宋体"/>
          <w:sz w:val="24"/>
          <w:szCs w:val="24"/>
        </w:rPr>
        <w:t>日 09时30分00秒</w:t>
      </w:r>
      <w:r>
        <w:rPr>
          <w:rFonts w:ascii="宋体" w:hAnsi="宋体" w:cs="宋体"/>
          <w:sz w:val="24"/>
          <w:szCs w:val="24"/>
        </w:rPr>
        <w:t>（北京时间）</w:t>
      </w:r>
    </w:p>
    <w:p w14:paraId="7BE49509">
      <w:pPr>
        <w:spacing w:line="360" w:lineRule="auto"/>
        <w:ind w:firstLine="480" w:firstLineChars="200"/>
        <w:rPr>
          <w:rFonts w:ascii="宋体" w:hAnsi="宋体" w:eastAsia="宋体" w:cs="宋体"/>
          <w:sz w:val="24"/>
          <w:szCs w:val="24"/>
        </w:rPr>
      </w:pPr>
      <w:r>
        <w:rPr>
          <w:rFonts w:ascii="宋体" w:hAnsi="宋体" w:cs="宋体"/>
          <w:sz w:val="24"/>
          <w:szCs w:val="24"/>
        </w:rPr>
        <w:t>地点：</w:t>
      </w:r>
      <w:r>
        <w:rPr>
          <w:rFonts w:hint="eastAsia" w:ascii="宋体" w:hAnsi="宋体" w:cs="宋体"/>
          <w:sz w:val="24"/>
          <w:szCs w:val="24"/>
        </w:rPr>
        <w:t>西安市雁塔区科技路30号合力紫郡B座21层第</w:t>
      </w:r>
      <w:r>
        <w:rPr>
          <w:rFonts w:hint="eastAsia" w:ascii="宋体" w:hAnsi="宋体" w:cs="宋体"/>
          <w:sz w:val="24"/>
          <w:szCs w:val="24"/>
          <w:lang w:val="en-US" w:eastAsia="zh-CN"/>
        </w:rPr>
        <w:t>二</w:t>
      </w:r>
      <w:r>
        <w:rPr>
          <w:rFonts w:hint="eastAsia" w:ascii="宋体" w:hAnsi="宋体" w:cs="宋体"/>
          <w:sz w:val="24"/>
          <w:szCs w:val="24"/>
        </w:rPr>
        <w:t>会议室</w:t>
      </w:r>
    </w:p>
    <w:p w14:paraId="128DCED7">
      <w:pPr>
        <w:spacing w:line="360" w:lineRule="auto"/>
        <w:ind w:firstLine="480" w:firstLineChars="200"/>
        <w:rPr>
          <w:rFonts w:ascii="宋体" w:hAnsi="宋体" w:cs="宋体"/>
          <w:sz w:val="24"/>
          <w:szCs w:val="24"/>
        </w:rPr>
      </w:pPr>
      <w:r>
        <w:rPr>
          <w:rFonts w:ascii="宋体" w:hAnsi="宋体" w:cs="宋体"/>
          <w:sz w:val="24"/>
          <w:szCs w:val="24"/>
        </w:rPr>
        <w:t>六、公告期限</w:t>
      </w:r>
    </w:p>
    <w:p w14:paraId="64FAAFF9">
      <w:pPr>
        <w:spacing w:line="360" w:lineRule="auto"/>
        <w:ind w:firstLine="480" w:firstLineChars="200"/>
        <w:rPr>
          <w:rFonts w:ascii="宋体" w:hAnsi="宋体" w:cs="宋体"/>
          <w:sz w:val="24"/>
          <w:szCs w:val="24"/>
        </w:rPr>
      </w:pPr>
      <w:r>
        <w:rPr>
          <w:rFonts w:ascii="宋体" w:hAnsi="宋体" w:cs="宋体"/>
          <w:sz w:val="24"/>
          <w:szCs w:val="24"/>
        </w:rPr>
        <w:t>自本公告发布之日起3个工作日。</w:t>
      </w:r>
    </w:p>
    <w:p w14:paraId="7CD35F6B">
      <w:pPr>
        <w:spacing w:line="360" w:lineRule="auto"/>
        <w:ind w:firstLine="480" w:firstLineChars="200"/>
        <w:rPr>
          <w:rFonts w:ascii="宋体" w:hAnsi="宋体" w:cs="宋体"/>
          <w:sz w:val="24"/>
          <w:szCs w:val="24"/>
        </w:rPr>
      </w:pPr>
      <w:r>
        <w:rPr>
          <w:rFonts w:ascii="宋体" w:hAnsi="宋体" w:cs="宋体"/>
          <w:sz w:val="24"/>
          <w:szCs w:val="24"/>
        </w:rPr>
        <w:t>七、其他补充事宜</w:t>
      </w:r>
    </w:p>
    <w:p w14:paraId="1DC4B069">
      <w:pPr>
        <w:spacing w:line="360" w:lineRule="auto"/>
        <w:ind w:firstLine="480" w:firstLineChars="200"/>
        <w:rPr>
          <w:rFonts w:ascii="宋体" w:hAnsi="宋体" w:cs="宋体"/>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 xml:space="preserve">（1）采购文件售价：每套 500.00 元（人民币），售后不退。（2）时间：上午 09:00--12:00，下午 13:30--17:00（工作日）供应商可通过以下任意一种方式进行报名:现场获取：获取采购文件时请携带单位介绍信原件、身份证原件及复印件加盖公章，谢绝邮递。获取地址：西安市雁塔区科技路30号合力紫郡B座21层。线上获取： </w:t>
      </w:r>
      <w:r>
        <w:fldChar w:fldCharType="begin"/>
      </w:r>
      <w:r>
        <w:instrText xml:space="preserve"> HYPERLINK "mailto:在招标文件获取时间内通过电子邮箱发送电子版报名资料的方式获取招标文件，供应商出具的对领取人的授权委托书或介绍信以及领取人的身份证，加盖公章后以扫描件形式发送至shanxizhuoming_zb@163.com邮箱，（邮件标题命名格式为“供应商名称+联系人+联系电话+项目名称”），招标文件将通过邮箱发送，无须现场领取。" </w:instrText>
      </w:r>
      <w:r>
        <w:fldChar w:fldCharType="separate"/>
      </w:r>
      <w:r>
        <w:rPr>
          <w:rFonts w:hint="eastAsia" w:ascii="宋体" w:hAnsi="宋体" w:cs="宋体"/>
          <w:kern w:val="0"/>
          <w:sz w:val="24"/>
          <w:szCs w:val="24"/>
        </w:rPr>
        <w:t>在采购文件获取时间内，供应商通过电子邮箱发送电子版报名资料（单位介绍信和身份证扫描件加盖公章）到招标代理公司邮箱shanxizhuoming_zb@163.com（邮件标题命名格式为“供应商名称+联系人+联系电话+项目名称”），招标代理公司向报名供应商提供付款方式与文件登记信息表，供应商将付款凭证和填写完整的文件登记信息表发送至招标代理公司邮箱，代理公司工作人员核对信息后将采购文件发送至供应商。</w:t>
      </w:r>
      <w:r>
        <w:rPr>
          <w:rFonts w:hint="eastAsia" w:ascii="宋体" w:hAnsi="宋体" w:cs="宋体"/>
          <w:kern w:val="0"/>
          <w:sz w:val="24"/>
          <w:szCs w:val="24"/>
        </w:rPr>
        <w:fldChar w:fldCharType="end"/>
      </w:r>
      <w:r>
        <w:rPr>
          <w:rFonts w:hint="eastAsia" w:ascii="宋体" w:hAnsi="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9CBD965">
      <w:pPr>
        <w:spacing w:line="360" w:lineRule="auto"/>
        <w:ind w:firstLine="480" w:firstLineChars="200"/>
        <w:rPr>
          <w:rFonts w:ascii="宋体" w:hAnsi="宋体" w:cs="宋体"/>
          <w:sz w:val="24"/>
          <w:szCs w:val="24"/>
        </w:rPr>
      </w:pPr>
      <w:r>
        <w:rPr>
          <w:rFonts w:ascii="宋体" w:hAnsi="宋体" w:cs="宋体"/>
          <w:sz w:val="24"/>
          <w:szCs w:val="24"/>
        </w:rPr>
        <w:t>八、凡对本次采购提出询问，请按以下方式联系。</w:t>
      </w:r>
    </w:p>
    <w:p w14:paraId="058DD0A4">
      <w:pPr>
        <w:spacing w:line="360" w:lineRule="auto"/>
        <w:ind w:firstLine="480" w:firstLineChars="200"/>
        <w:rPr>
          <w:rFonts w:ascii="宋体" w:hAnsi="宋体" w:cs="宋体"/>
          <w:sz w:val="24"/>
          <w:szCs w:val="24"/>
        </w:rPr>
      </w:pPr>
      <w:r>
        <w:rPr>
          <w:rFonts w:ascii="宋体" w:hAnsi="宋体" w:cs="宋体"/>
          <w:sz w:val="24"/>
          <w:szCs w:val="24"/>
        </w:rPr>
        <w:t>1.采购人信息</w:t>
      </w:r>
    </w:p>
    <w:p w14:paraId="10B48B67">
      <w:pPr>
        <w:spacing w:line="360" w:lineRule="auto"/>
        <w:ind w:firstLine="480" w:firstLineChars="200"/>
        <w:rPr>
          <w:rFonts w:ascii="宋体" w:hAnsi="宋体" w:cs="宋体"/>
          <w:sz w:val="24"/>
          <w:szCs w:val="24"/>
        </w:rPr>
      </w:pPr>
      <w:r>
        <w:rPr>
          <w:rFonts w:hint="eastAsia" w:ascii="宋体" w:hAnsi="宋体" w:cs="宋体"/>
          <w:sz w:val="24"/>
          <w:szCs w:val="24"/>
        </w:rPr>
        <w:t>名称：陕西能源职业技术学院</w:t>
      </w:r>
    </w:p>
    <w:p w14:paraId="3F203037">
      <w:pPr>
        <w:spacing w:line="360" w:lineRule="auto"/>
        <w:ind w:firstLine="480" w:firstLineChars="200"/>
        <w:rPr>
          <w:rFonts w:ascii="宋体" w:hAnsi="宋体" w:cs="宋体"/>
          <w:sz w:val="24"/>
          <w:szCs w:val="24"/>
        </w:rPr>
      </w:pPr>
      <w:r>
        <w:rPr>
          <w:rFonts w:hint="eastAsia" w:ascii="宋体" w:hAnsi="宋体" w:cs="宋体"/>
          <w:sz w:val="24"/>
          <w:szCs w:val="24"/>
        </w:rPr>
        <w:t>地址：咸阳市渭城区文林路中段</w:t>
      </w:r>
    </w:p>
    <w:p w14:paraId="0CCF1B26">
      <w:pPr>
        <w:spacing w:line="360" w:lineRule="auto"/>
        <w:ind w:firstLine="480" w:firstLineChars="200"/>
        <w:rPr>
          <w:rFonts w:ascii="宋体" w:hAnsi="宋体" w:cs="宋体"/>
          <w:sz w:val="24"/>
          <w:szCs w:val="24"/>
        </w:rPr>
      </w:pPr>
      <w:r>
        <w:rPr>
          <w:rFonts w:hint="eastAsia" w:ascii="宋体" w:hAnsi="宋体" w:cs="宋体"/>
          <w:sz w:val="24"/>
          <w:szCs w:val="24"/>
        </w:rPr>
        <w:t>联系方式：陈老师  029-33665117</w:t>
      </w:r>
    </w:p>
    <w:p w14:paraId="4495DC12">
      <w:pPr>
        <w:spacing w:line="360" w:lineRule="auto"/>
        <w:ind w:firstLine="480" w:firstLineChars="200"/>
        <w:rPr>
          <w:rFonts w:ascii="宋体" w:hAnsi="宋体" w:cs="宋体"/>
          <w:sz w:val="24"/>
          <w:szCs w:val="24"/>
        </w:rPr>
      </w:pPr>
      <w:r>
        <w:rPr>
          <w:rFonts w:ascii="宋体" w:hAnsi="宋体" w:cs="宋体"/>
          <w:sz w:val="24"/>
          <w:szCs w:val="24"/>
        </w:rPr>
        <w:t>2.采购代理机构信息</w:t>
      </w:r>
    </w:p>
    <w:p w14:paraId="52203816">
      <w:pPr>
        <w:spacing w:line="360" w:lineRule="auto"/>
        <w:ind w:firstLine="480" w:firstLineChars="200"/>
        <w:rPr>
          <w:rFonts w:ascii="宋体" w:hAnsi="宋体" w:cs="宋体"/>
          <w:sz w:val="24"/>
          <w:szCs w:val="24"/>
        </w:rPr>
      </w:pPr>
      <w:r>
        <w:rPr>
          <w:rFonts w:ascii="宋体" w:hAnsi="宋体" w:cs="宋体"/>
          <w:sz w:val="24"/>
          <w:szCs w:val="24"/>
        </w:rPr>
        <w:t>名称：</w:t>
      </w:r>
      <w:r>
        <w:rPr>
          <w:rFonts w:hint="eastAsia" w:ascii="宋体" w:hAnsi="宋体" w:cs="宋体"/>
          <w:sz w:val="24"/>
          <w:szCs w:val="24"/>
        </w:rPr>
        <w:t>陕西卓佲项目管理有限公司</w:t>
      </w:r>
    </w:p>
    <w:p w14:paraId="3A6699F6">
      <w:pPr>
        <w:spacing w:line="360" w:lineRule="auto"/>
        <w:ind w:firstLine="480" w:firstLineChars="200"/>
        <w:rPr>
          <w:rFonts w:ascii="宋体" w:hAnsi="宋体" w:cs="宋体"/>
          <w:sz w:val="24"/>
          <w:szCs w:val="24"/>
        </w:rPr>
      </w:pPr>
      <w:r>
        <w:rPr>
          <w:rFonts w:ascii="宋体" w:hAnsi="宋体" w:cs="宋体"/>
          <w:sz w:val="24"/>
          <w:szCs w:val="24"/>
        </w:rPr>
        <w:t>地址：</w:t>
      </w:r>
      <w:r>
        <w:rPr>
          <w:rFonts w:hint="eastAsia" w:ascii="宋体" w:hAnsi="宋体" w:cs="宋体"/>
          <w:sz w:val="24"/>
          <w:szCs w:val="24"/>
        </w:rPr>
        <w:t>西安市雁塔区科技路 30号合力紫郡B座21层</w:t>
      </w:r>
    </w:p>
    <w:p w14:paraId="128CD156">
      <w:pPr>
        <w:spacing w:line="360" w:lineRule="auto"/>
        <w:ind w:firstLine="480" w:firstLineChars="200"/>
        <w:rPr>
          <w:rFonts w:hint="eastAsia" w:ascii="宋体" w:hAnsi="宋体" w:cs="宋体" w:eastAsiaTheme="minorEastAsia"/>
          <w:sz w:val="24"/>
          <w:szCs w:val="24"/>
          <w:lang w:eastAsia="zh-CN"/>
        </w:rPr>
      </w:pPr>
      <w:r>
        <w:rPr>
          <w:rFonts w:ascii="宋体" w:hAnsi="宋体" w:cs="宋体"/>
          <w:sz w:val="24"/>
          <w:szCs w:val="24"/>
        </w:rPr>
        <w:t>联系方式：</w:t>
      </w:r>
      <w:r>
        <w:rPr>
          <w:rFonts w:hint="eastAsia" w:ascii="宋体" w:hAnsi="宋体" w:cs="宋体"/>
          <w:sz w:val="24"/>
          <w:szCs w:val="24"/>
        </w:rPr>
        <w:t>1777896606</w:t>
      </w:r>
      <w:r>
        <w:rPr>
          <w:rFonts w:hint="eastAsia" w:ascii="宋体" w:hAnsi="宋体" w:cs="宋体"/>
          <w:sz w:val="24"/>
          <w:szCs w:val="24"/>
          <w:lang w:val="en-US" w:eastAsia="zh-CN"/>
        </w:rPr>
        <w:t>2</w:t>
      </w:r>
    </w:p>
    <w:p w14:paraId="23C643C5">
      <w:pPr>
        <w:spacing w:line="360" w:lineRule="auto"/>
        <w:ind w:firstLine="480" w:firstLineChars="200"/>
        <w:rPr>
          <w:rFonts w:ascii="宋体" w:hAnsi="宋体" w:cs="宋体"/>
          <w:sz w:val="24"/>
          <w:szCs w:val="24"/>
        </w:rPr>
      </w:pPr>
      <w:r>
        <w:rPr>
          <w:rFonts w:ascii="宋体" w:hAnsi="宋体" w:cs="宋体"/>
          <w:sz w:val="24"/>
          <w:szCs w:val="24"/>
        </w:rPr>
        <w:t>3.项目联系方式</w:t>
      </w:r>
    </w:p>
    <w:p w14:paraId="279F0398">
      <w:pPr>
        <w:spacing w:line="360" w:lineRule="auto"/>
        <w:ind w:firstLine="480" w:firstLineChars="200"/>
        <w:rPr>
          <w:rFonts w:ascii="宋体" w:hAnsi="宋体" w:eastAsia="宋体" w:cs="宋体"/>
          <w:sz w:val="24"/>
          <w:szCs w:val="24"/>
        </w:rPr>
      </w:pPr>
      <w:r>
        <w:rPr>
          <w:rFonts w:ascii="宋体" w:hAnsi="宋体" w:cs="宋体"/>
          <w:sz w:val="24"/>
          <w:szCs w:val="24"/>
        </w:rPr>
        <w:t>项目联系人：</w:t>
      </w:r>
      <w:r>
        <w:rPr>
          <w:rFonts w:hint="eastAsia" w:ascii="宋体" w:hAnsi="宋体" w:cs="宋体"/>
          <w:sz w:val="24"/>
          <w:szCs w:val="24"/>
        </w:rPr>
        <w:t xml:space="preserve">魏萌 </w:t>
      </w:r>
      <w:r>
        <w:rPr>
          <w:rFonts w:hint="eastAsia" w:ascii="宋体" w:hAnsi="宋体" w:cs="宋体"/>
          <w:sz w:val="24"/>
          <w:szCs w:val="24"/>
          <w:lang w:val="en-US" w:eastAsia="zh-CN"/>
        </w:rPr>
        <w:t xml:space="preserve">黄乐 </w:t>
      </w:r>
      <w:r>
        <w:rPr>
          <w:rFonts w:hint="eastAsia" w:ascii="宋体" w:hAnsi="宋体" w:cs="宋体"/>
          <w:sz w:val="24"/>
          <w:szCs w:val="24"/>
        </w:rPr>
        <w:t>张倩</w:t>
      </w:r>
    </w:p>
    <w:p w14:paraId="0743FB4A">
      <w:pPr>
        <w:spacing w:line="360" w:lineRule="auto"/>
        <w:ind w:firstLine="480" w:firstLineChars="200"/>
        <w:rPr>
          <w:rFonts w:hint="eastAsia" w:ascii="宋体" w:hAnsi="宋体" w:cs="宋体" w:eastAsiaTheme="minorEastAsia"/>
          <w:sz w:val="24"/>
          <w:szCs w:val="24"/>
          <w:lang w:eastAsia="zh-CN"/>
        </w:rPr>
      </w:pPr>
      <w:r>
        <w:rPr>
          <w:rFonts w:ascii="宋体" w:hAnsi="宋体" w:cs="宋体"/>
          <w:sz w:val="24"/>
          <w:szCs w:val="24"/>
        </w:rPr>
        <w:t>电话：</w:t>
      </w:r>
      <w:r>
        <w:rPr>
          <w:rFonts w:hint="eastAsia" w:ascii="宋体" w:hAnsi="宋体" w:cs="宋体"/>
          <w:sz w:val="24"/>
          <w:szCs w:val="24"/>
        </w:rPr>
        <w:t>1777896606</w:t>
      </w:r>
      <w:r>
        <w:rPr>
          <w:rFonts w:hint="eastAsia" w:ascii="宋体" w:hAnsi="宋体" w:cs="宋体"/>
          <w:sz w:val="24"/>
          <w:szCs w:val="24"/>
          <w:lang w:val="en-US" w:eastAsia="zh-CN"/>
        </w:rPr>
        <w:t>2</w:t>
      </w:r>
    </w:p>
    <w:p w14:paraId="62687988">
      <w:pPr>
        <w:spacing w:line="185" w:lineRule="auto"/>
        <w:rPr>
          <w:rFonts w:ascii="宋体" w:hAnsi="宋体" w:cs="宋体"/>
          <w:sz w:val="24"/>
          <w:szCs w:val="24"/>
        </w:rPr>
      </w:pPr>
    </w:p>
    <w:p w14:paraId="1BA15CBF"/>
    <w:p w14:paraId="14326BB4">
      <w:pPr>
        <w:spacing w:line="360" w:lineRule="auto"/>
        <w:ind w:firstLine="480" w:firstLineChars="200"/>
        <w:jc w:val="right"/>
        <w:rPr>
          <w:rFonts w:ascii="宋体" w:hAnsi="宋体" w:cs="宋体"/>
          <w:sz w:val="24"/>
          <w:szCs w:val="24"/>
        </w:rPr>
      </w:pPr>
      <w:r>
        <w:rPr>
          <w:rFonts w:hint="eastAsia" w:ascii="宋体" w:hAnsi="宋体" w:cs="宋体"/>
          <w:sz w:val="24"/>
          <w:szCs w:val="24"/>
        </w:rPr>
        <w:t>陕西卓佲项目管理有限公司</w:t>
      </w:r>
    </w:p>
    <w:p w14:paraId="0EECF5F5">
      <w:pPr>
        <w:jc w:val="right"/>
        <w:rPr>
          <w:rFonts w:ascii="宋体" w:hAnsi="宋体" w:cs="宋体"/>
          <w:color w:val="000000"/>
          <w:sz w:val="24"/>
          <w:szCs w:val="24"/>
        </w:rPr>
        <w:sectPr>
          <w:footerReference r:id="rId7" w:type="default"/>
          <w:pgSz w:w="11910" w:h="16840"/>
          <w:pgMar w:top="1440" w:right="1701" w:bottom="1440" w:left="1803" w:header="850" w:footer="992" w:gutter="0"/>
          <w:pgNumType w:start="1"/>
          <w:cols w:space="720" w:num="1"/>
        </w:sectPr>
      </w:pPr>
      <w:r>
        <w:rPr>
          <w:rFonts w:hint="eastAsia" w:ascii="宋体" w:hAnsi="宋体" w:cs="宋体"/>
          <w:color w:val="000000"/>
          <w:sz w:val="24"/>
          <w:szCs w:val="24"/>
        </w:rPr>
        <w:t>2025年</w:t>
      </w:r>
      <w:r>
        <w:rPr>
          <w:rFonts w:hint="eastAsia" w:ascii="宋体" w:hAnsi="宋体" w:cs="宋体"/>
          <w:sz w:val="24"/>
          <w:szCs w:val="24"/>
        </w:rPr>
        <w:t>0</w:t>
      </w:r>
      <w:r>
        <w:rPr>
          <w:rFonts w:hint="eastAsia" w:ascii="宋体" w:hAnsi="宋体" w:cs="宋体"/>
          <w:sz w:val="24"/>
          <w:szCs w:val="24"/>
          <w:lang w:val="en-US" w:eastAsia="zh-CN"/>
        </w:rPr>
        <w:t>6</w:t>
      </w:r>
      <w:r>
        <w:rPr>
          <w:rFonts w:hint="eastAsia" w:ascii="宋体" w:hAnsi="宋体" w:cs="宋体"/>
          <w:color w:val="000000"/>
          <w:sz w:val="24"/>
          <w:szCs w:val="24"/>
        </w:rPr>
        <w:t>月</w:t>
      </w:r>
      <w:r>
        <w:rPr>
          <w:rFonts w:hint="eastAsia" w:ascii="宋体" w:hAnsi="宋体" w:cs="宋体"/>
          <w:color w:val="000000"/>
          <w:sz w:val="24"/>
          <w:szCs w:val="24"/>
          <w:lang w:val="en-US" w:eastAsia="zh-CN"/>
        </w:rPr>
        <w:t>30</w:t>
      </w:r>
      <w:r>
        <w:rPr>
          <w:rFonts w:hint="eastAsia" w:ascii="宋体" w:hAnsi="宋体" w:cs="宋体"/>
          <w:color w:val="000000"/>
          <w:sz w:val="24"/>
          <w:szCs w:val="24"/>
        </w:rPr>
        <w:t>日</w:t>
      </w:r>
    </w:p>
    <w:p w14:paraId="118906B8">
      <w:pPr>
        <w:pStyle w:val="2"/>
        <w:ind w:firstLine="883"/>
        <w:rPr>
          <w:rFonts w:ascii="宋体" w:hAnsi="宋体" w:cs="宋体"/>
          <w:sz w:val="44"/>
          <w:szCs w:val="44"/>
        </w:rPr>
      </w:pPr>
      <w:bookmarkStart w:id="4" w:name="_Toc31552"/>
      <w:r>
        <w:rPr>
          <w:rFonts w:hint="eastAsia" w:ascii="宋体" w:hAnsi="宋体" w:cs="宋体"/>
          <w:sz w:val="44"/>
          <w:szCs w:val="44"/>
        </w:rPr>
        <w:t>第二部分 供应商须知前附表</w:t>
      </w:r>
      <w:bookmarkEnd w:id="2"/>
      <w:bookmarkEnd w:id="3"/>
      <w:bookmarkEnd w:id="4"/>
    </w:p>
    <w:tbl>
      <w:tblPr>
        <w:tblStyle w:val="24"/>
        <w:tblpPr w:leftFromText="180" w:rightFromText="180" w:vertAnchor="text" w:horzAnchor="page" w:tblpX="1509" w:tblpY="309"/>
        <w:tblOverlap w:val="never"/>
        <w:tblW w:w="93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6"/>
        <w:gridCol w:w="1215"/>
        <w:gridCol w:w="7549"/>
      </w:tblGrid>
      <w:tr w14:paraId="1E5D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9" w:hRule="atLeast"/>
        </w:trPr>
        <w:tc>
          <w:tcPr>
            <w:tcW w:w="626" w:type="dxa"/>
            <w:vAlign w:val="center"/>
          </w:tcPr>
          <w:p w14:paraId="00748DA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15" w:type="dxa"/>
            <w:vAlign w:val="center"/>
          </w:tcPr>
          <w:p w14:paraId="20087F0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7549" w:type="dxa"/>
            <w:vAlign w:val="center"/>
          </w:tcPr>
          <w:p w14:paraId="7B356C9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说明和要求</w:t>
            </w:r>
          </w:p>
        </w:tc>
      </w:tr>
      <w:tr w14:paraId="5DCF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8" w:hRule="atLeast"/>
        </w:trPr>
        <w:tc>
          <w:tcPr>
            <w:tcW w:w="626" w:type="dxa"/>
            <w:vAlign w:val="center"/>
          </w:tcPr>
          <w:p w14:paraId="3B92805B">
            <w:pPr>
              <w:spacing w:line="360" w:lineRule="auto"/>
              <w:jc w:val="center"/>
              <w:rPr>
                <w:rFonts w:ascii="宋体" w:hAnsi="宋体" w:eastAsia="宋体" w:cs="宋体"/>
                <w:sz w:val="24"/>
                <w:szCs w:val="24"/>
              </w:rPr>
            </w:pPr>
            <w:r>
              <w:rPr>
                <w:rFonts w:hint="eastAsia" w:ascii="宋体" w:hAnsi="宋体" w:eastAsia="宋体" w:cs="宋体"/>
                <w:b/>
                <w:bCs/>
                <w:sz w:val="24"/>
                <w:szCs w:val="24"/>
              </w:rPr>
              <w:t>1</w:t>
            </w:r>
          </w:p>
        </w:tc>
        <w:tc>
          <w:tcPr>
            <w:tcW w:w="1215" w:type="dxa"/>
            <w:vAlign w:val="center"/>
          </w:tcPr>
          <w:p w14:paraId="158DA431">
            <w:pPr>
              <w:spacing w:line="360" w:lineRule="auto"/>
              <w:jc w:val="center"/>
              <w:rPr>
                <w:rFonts w:ascii="宋体" w:hAnsi="宋体" w:eastAsia="宋体" w:cs="宋体"/>
                <w:sz w:val="24"/>
                <w:szCs w:val="24"/>
              </w:rPr>
            </w:pPr>
            <w:r>
              <w:rPr>
                <w:rFonts w:hint="eastAsia" w:ascii="宋体" w:hAnsi="宋体" w:eastAsia="宋体" w:cs="宋体"/>
                <w:sz w:val="24"/>
                <w:szCs w:val="24"/>
              </w:rPr>
              <w:t>资格要求</w:t>
            </w:r>
          </w:p>
        </w:tc>
        <w:tc>
          <w:tcPr>
            <w:tcW w:w="7549" w:type="dxa"/>
          </w:tcPr>
          <w:p w14:paraId="1621188B">
            <w:pPr>
              <w:pStyle w:val="5"/>
              <w:rPr>
                <w:rFonts w:hint="default" w:ascii="宋体" w:hAnsi="宋体" w:cs="宋体" w:eastAsiaTheme="minorEastAsia"/>
                <w:b w:val="0"/>
                <w:sz w:val="24"/>
                <w:szCs w:val="24"/>
              </w:rPr>
            </w:pPr>
            <w:r>
              <w:rPr>
                <w:rFonts w:ascii="宋体" w:hAnsi="宋体" w:cs="宋体" w:eastAsiaTheme="minorEastAsia"/>
                <w:b w:val="0"/>
                <w:sz w:val="24"/>
                <w:szCs w:val="24"/>
              </w:rPr>
              <w:t>特定资格要求：</w:t>
            </w:r>
          </w:p>
          <w:p w14:paraId="0FD66AD8">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14:paraId="4F025B7A">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p w14:paraId="25F856C9">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（3）具有履行合同所必需的设备和专业技术能力的书面声明；</w:t>
            </w:r>
          </w:p>
          <w:p w14:paraId="6C6A46C2">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2024年6月（含6月）以来任意时间段的依法缴纳税收的相关凭据（时间以税款所属时期为准），凭据应有税务机关或代收机关的公章或业务专用章。依法免税或无须缴纳税收的供应商应提供相应证明文件；</w:t>
            </w:r>
          </w:p>
          <w:p w14:paraId="6597F095">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（5）社会保障资金缴纳证明：提供2024年6月（含6月）以来任意时间段的社会保障资金缴存单据或社保机构开具的社会保险参保缴费情况证明。依法不需要缴纳社会保障资金的供应商应提供相关文件证明；</w:t>
            </w:r>
          </w:p>
          <w:p w14:paraId="45C66067">
            <w:pPr>
              <w:spacing w:line="360" w:lineRule="auto"/>
              <w:ind w:firstLine="480" w:firstLineChars="200"/>
              <w:rPr>
                <w:rFonts w:ascii="宋体" w:hAnsi="宋体" w:cs="宋体"/>
                <w:sz w:val="24"/>
                <w:szCs w:val="24"/>
              </w:rPr>
            </w:pPr>
            <w:r>
              <w:rPr>
                <w:rFonts w:hint="eastAsia" w:ascii="宋体" w:hAnsi="宋体" w:cs="宋体"/>
                <w:sz w:val="24"/>
                <w:szCs w:val="24"/>
              </w:rPr>
              <w:t>（6）参加采购活动前 3 年内在经营活动中没有重大违法记录的书面声明；</w:t>
            </w:r>
          </w:p>
          <w:p w14:paraId="662E82C5">
            <w:pPr>
              <w:spacing w:line="360" w:lineRule="auto"/>
              <w:ind w:firstLine="480" w:firstLineChars="200"/>
              <w:rPr>
                <w:rFonts w:ascii="宋体" w:hAnsi="宋体" w:cs="宋体"/>
                <w:sz w:val="24"/>
                <w:szCs w:val="24"/>
              </w:rPr>
            </w:pPr>
            <w:r>
              <w:rPr>
                <w:rFonts w:hint="eastAsia" w:ascii="宋体" w:hAnsi="宋体" w:cs="宋体"/>
                <w:sz w:val="24"/>
                <w:szCs w:val="24"/>
              </w:rPr>
              <w:t>（7）非法定代表人参加谈判的，须提供法定代表人委托授权书，法定代表人参加谈判时,只须提供法定代表人身份证；</w:t>
            </w:r>
          </w:p>
          <w:p w14:paraId="00762558">
            <w:pPr>
              <w:spacing w:line="360" w:lineRule="auto"/>
              <w:ind w:firstLine="480" w:firstLineChars="200"/>
              <w:rPr>
                <w:rFonts w:ascii="宋体" w:hAnsi="宋体" w:cs="宋体"/>
                <w:sz w:val="24"/>
                <w:szCs w:val="24"/>
              </w:rPr>
            </w:pPr>
            <w:r>
              <w:rPr>
                <w:rFonts w:hint="eastAsia" w:ascii="宋体" w:hAnsi="宋体" w:cs="宋体"/>
                <w:sz w:val="24"/>
                <w:szCs w:val="24"/>
              </w:rPr>
              <w:t>（8）本项目专门面向中小企业采购，供应商须提供中小企业声明函；</w:t>
            </w:r>
          </w:p>
          <w:p w14:paraId="1432CE7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（9）本项目不接受联合体响应；</w:t>
            </w:r>
          </w:p>
          <w:p w14:paraId="430600AF">
            <w:pPr>
              <w:spacing w:line="360" w:lineRule="auto"/>
              <w:ind w:firstLine="422" w:firstLineChars="175"/>
              <w:jc w:val="left"/>
              <w:rPr>
                <w:rFonts w:ascii="宋体" w:hAnsi="宋体" w:eastAsia="宋体" w:cs="宋体"/>
                <w:sz w:val="24"/>
                <w:szCs w:val="24"/>
              </w:rPr>
            </w:pPr>
            <w:r>
              <w:rPr>
                <w:rFonts w:hint="eastAsia" w:ascii="宋体" w:hAnsi="宋体" w:eastAsia="宋体" w:cs="宋体"/>
                <w:b/>
                <w:bCs/>
                <w:sz w:val="24"/>
                <w:szCs w:val="24"/>
              </w:rPr>
              <w:t>以上为资格审查必备资质。响应文件的正本和全部副本必须附上述资格证明文件，缺少其中一项或某项达不到采购文件要求，其响应文件按无效文件处理。</w:t>
            </w:r>
          </w:p>
        </w:tc>
      </w:tr>
      <w:tr w14:paraId="39AC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26" w:type="dxa"/>
            <w:vAlign w:val="center"/>
          </w:tcPr>
          <w:p w14:paraId="6E3019F1">
            <w:pPr>
              <w:spacing w:line="360" w:lineRule="auto"/>
              <w:jc w:val="center"/>
              <w:rPr>
                <w:rFonts w:ascii="宋体" w:hAnsi="宋体" w:eastAsia="宋体" w:cs="宋体"/>
                <w:sz w:val="24"/>
                <w:szCs w:val="24"/>
              </w:rPr>
            </w:pPr>
            <w:r>
              <w:rPr>
                <w:rFonts w:hint="eastAsia" w:ascii="宋体" w:hAnsi="宋体" w:eastAsia="宋体" w:cs="宋体"/>
                <w:b/>
                <w:bCs/>
                <w:sz w:val="24"/>
                <w:szCs w:val="24"/>
              </w:rPr>
              <w:t>2</w:t>
            </w:r>
          </w:p>
        </w:tc>
        <w:tc>
          <w:tcPr>
            <w:tcW w:w="1215" w:type="dxa"/>
            <w:vAlign w:val="center"/>
          </w:tcPr>
          <w:p w14:paraId="7590CBA2">
            <w:pPr>
              <w:spacing w:line="360" w:lineRule="auto"/>
              <w:jc w:val="center"/>
              <w:rPr>
                <w:rFonts w:ascii="宋体" w:hAnsi="宋体" w:eastAsia="宋体" w:cs="宋体"/>
                <w:sz w:val="24"/>
                <w:szCs w:val="24"/>
              </w:rPr>
            </w:pPr>
            <w:r>
              <w:rPr>
                <w:rFonts w:hint="eastAsia" w:ascii="宋体" w:hAnsi="宋体" w:eastAsia="宋体" w:cs="宋体"/>
                <w:sz w:val="24"/>
                <w:szCs w:val="24"/>
              </w:rPr>
              <w:t>符合性审查</w:t>
            </w:r>
          </w:p>
        </w:tc>
        <w:tc>
          <w:tcPr>
            <w:tcW w:w="7549" w:type="dxa"/>
          </w:tcPr>
          <w:p w14:paraId="00F71A17">
            <w:pPr>
              <w:pStyle w:val="11"/>
              <w:rPr>
                <w:rFonts w:eastAsia="宋体" w:cs="宋体"/>
                <w:color w:val="auto"/>
                <w:szCs w:val="24"/>
              </w:rPr>
            </w:pPr>
            <w:r>
              <w:rPr>
                <w:rFonts w:hint="eastAsia" w:eastAsia="宋体" w:cs="宋体"/>
                <w:color w:val="auto"/>
                <w:szCs w:val="24"/>
              </w:rPr>
              <w:t>有下列情形之一的，应在符合性审查时按照无效响应处理：</w:t>
            </w:r>
          </w:p>
          <w:p w14:paraId="7785045D">
            <w:pPr>
              <w:spacing w:line="360" w:lineRule="auto"/>
              <w:rPr>
                <w:rFonts w:ascii="宋体" w:hAnsi="宋体" w:eastAsia="宋体" w:cs="宋体"/>
                <w:sz w:val="24"/>
                <w:szCs w:val="24"/>
              </w:rPr>
            </w:pPr>
            <w:r>
              <w:rPr>
                <w:rFonts w:hint="eastAsia" w:ascii="宋体" w:hAnsi="宋体" w:eastAsia="宋体" w:cs="宋体"/>
                <w:sz w:val="24"/>
                <w:szCs w:val="24"/>
              </w:rPr>
              <w:t>(1)响应报价超过采购预算或者最高限价；</w:t>
            </w:r>
          </w:p>
          <w:p w14:paraId="46B23A41">
            <w:pPr>
              <w:spacing w:line="360" w:lineRule="auto"/>
              <w:rPr>
                <w:rFonts w:ascii="宋体" w:hAnsi="宋体" w:eastAsia="宋体" w:cs="宋体"/>
                <w:sz w:val="24"/>
                <w:szCs w:val="24"/>
              </w:rPr>
            </w:pPr>
            <w:r>
              <w:rPr>
                <w:rFonts w:hint="eastAsia" w:ascii="宋体" w:hAnsi="宋体" w:eastAsia="宋体" w:cs="宋体"/>
                <w:sz w:val="24"/>
                <w:szCs w:val="24"/>
              </w:rPr>
              <w:t>(2)交货期不满足竞争性谈判文件最低要求；</w:t>
            </w:r>
          </w:p>
          <w:p w14:paraId="2B73053B">
            <w:pPr>
              <w:spacing w:line="360" w:lineRule="auto"/>
              <w:rPr>
                <w:rFonts w:ascii="宋体" w:hAnsi="宋体" w:eastAsia="宋体" w:cs="宋体"/>
                <w:sz w:val="24"/>
                <w:szCs w:val="24"/>
              </w:rPr>
            </w:pPr>
            <w:r>
              <w:rPr>
                <w:rFonts w:hint="eastAsia" w:ascii="宋体" w:hAnsi="宋体" w:eastAsia="宋体" w:cs="宋体"/>
                <w:sz w:val="24"/>
                <w:szCs w:val="24"/>
              </w:rPr>
              <w:t>(3)质保期不满足竞争性谈判文件最低要求；</w:t>
            </w:r>
          </w:p>
          <w:p w14:paraId="452EABDA">
            <w:pPr>
              <w:spacing w:line="360" w:lineRule="auto"/>
              <w:rPr>
                <w:rFonts w:ascii="宋体" w:hAnsi="宋体" w:eastAsia="宋体" w:cs="宋体"/>
                <w:sz w:val="24"/>
                <w:szCs w:val="24"/>
              </w:rPr>
            </w:pPr>
            <w:r>
              <w:rPr>
                <w:rFonts w:hint="eastAsia" w:ascii="宋体" w:hAnsi="宋体" w:eastAsia="宋体" w:cs="宋体"/>
                <w:sz w:val="24"/>
                <w:szCs w:val="24"/>
              </w:rPr>
              <w:t>(4)响应文件的数量、签署、盖章不符合竞争性谈判文件要求；</w:t>
            </w:r>
          </w:p>
          <w:p w14:paraId="2CC7EAAF">
            <w:pPr>
              <w:spacing w:line="360" w:lineRule="auto"/>
              <w:rPr>
                <w:rFonts w:ascii="宋体" w:hAnsi="宋体" w:eastAsia="宋体" w:cs="宋体"/>
                <w:sz w:val="24"/>
                <w:szCs w:val="24"/>
              </w:rPr>
            </w:pPr>
            <w:r>
              <w:rPr>
                <w:rFonts w:hint="eastAsia" w:ascii="宋体" w:hAnsi="宋体" w:eastAsia="宋体" w:cs="宋体"/>
                <w:sz w:val="24"/>
                <w:szCs w:val="24"/>
              </w:rPr>
              <w:t>(5)响应文件无响应有效期或有效期达不到竞争性谈判文件要求的；</w:t>
            </w:r>
          </w:p>
          <w:p w14:paraId="2C166301">
            <w:pPr>
              <w:spacing w:line="360" w:lineRule="auto"/>
              <w:rPr>
                <w:rFonts w:ascii="宋体" w:hAnsi="宋体" w:eastAsia="宋体" w:cs="宋体"/>
                <w:sz w:val="24"/>
                <w:szCs w:val="24"/>
              </w:rPr>
            </w:pPr>
            <w:r>
              <w:rPr>
                <w:rFonts w:hint="eastAsia" w:ascii="宋体" w:hAnsi="宋体" w:eastAsia="宋体" w:cs="宋体"/>
                <w:sz w:val="24"/>
                <w:szCs w:val="24"/>
              </w:rPr>
              <w:t>(6)供应商未按照竞争性谈判文件要求缴纳保证金或保证金缴纳金额少于竞争性谈判文件要求的；</w:t>
            </w:r>
          </w:p>
          <w:p w14:paraId="3E03947D">
            <w:pPr>
              <w:spacing w:line="360" w:lineRule="auto"/>
              <w:rPr>
                <w:rFonts w:ascii="宋体" w:hAnsi="宋体" w:eastAsia="宋体" w:cs="宋体"/>
                <w:sz w:val="24"/>
                <w:szCs w:val="24"/>
              </w:rPr>
            </w:pPr>
            <w:r>
              <w:rPr>
                <w:rFonts w:hint="eastAsia" w:ascii="宋体" w:hAnsi="宋体" w:eastAsia="宋体" w:cs="宋体"/>
                <w:sz w:val="24"/>
                <w:szCs w:val="24"/>
              </w:rPr>
              <w:t>(7)供应商针对同一项目递交两份或多份内容不同的响应文件，未书面声明哪一份是有效的或出现选择性报价的；</w:t>
            </w:r>
          </w:p>
          <w:p w14:paraId="2426D514">
            <w:pPr>
              <w:spacing w:line="360" w:lineRule="auto"/>
              <w:rPr>
                <w:rFonts w:ascii="宋体" w:hAnsi="宋体" w:eastAsia="宋体" w:cs="宋体"/>
                <w:sz w:val="24"/>
                <w:szCs w:val="24"/>
              </w:rPr>
            </w:pPr>
            <w:r>
              <w:rPr>
                <w:rFonts w:hint="eastAsia" w:ascii="宋体" w:hAnsi="宋体" w:eastAsia="宋体" w:cs="宋体"/>
                <w:sz w:val="24"/>
                <w:szCs w:val="24"/>
              </w:rPr>
              <w:t>(8)响应文件标的数量及内容不满足采购要求；</w:t>
            </w:r>
          </w:p>
          <w:p w14:paraId="00DC3C5F">
            <w:pPr>
              <w:spacing w:line="360" w:lineRule="auto"/>
              <w:rPr>
                <w:rFonts w:ascii="宋体" w:hAnsi="宋体" w:eastAsia="宋体" w:cs="宋体"/>
                <w:sz w:val="24"/>
                <w:szCs w:val="24"/>
              </w:rPr>
            </w:pPr>
            <w:r>
              <w:rPr>
                <w:rFonts w:hint="eastAsia" w:ascii="宋体" w:hAnsi="宋体" w:eastAsia="宋体" w:cs="宋体"/>
                <w:sz w:val="24"/>
                <w:szCs w:val="24"/>
              </w:rPr>
              <w:t>(9)响应文件含有采购人不能接受的附加条件的；</w:t>
            </w:r>
          </w:p>
          <w:p w14:paraId="03279546">
            <w:pPr>
              <w:spacing w:line="360" w:lineRule="auto"/>
              <w:rPr>
                <w:rFonts w:ascii="宋体" w:hAnsi="宋体" w:eastAsia="宋体" w:cs="宋体"/>
                <w:b/>
                <w:bCs/>
                <w:sz w:val="24"/>
                <w:szCs w:val="24"/>
              </w:rPr>
            </w:pPr>
            <w:r>
              <w:rPr>
                <w:rFonts w:hint="eastAsia" w:ascii="宋体" w:hAnsi="宋体" w:eastAsia="宋体" w:cs="宋体"/>
                <w:sz w:val="24"/>
                <w:szCs w:val="24"/>
              </w:rPr>
              <w:t>(10)法律法规和采购文件规定的其他无效情形。</w:t>
            </w:r>
          </w:p>
        </w:tc>
      </w:tr>
      <w:tr w14:paraId="0A67A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2" w:hRule="atLeast"/>
        </w:trPr>
        <w:tc>
          <w:tcPr>
            <w:tcW w:w="626" w:type="dxa"/>
            <w:vAlign w:val="center"/>
          </w:tcPr>
          <w:p w14:paraId="38825598">
            <w:pPr>
              <w:spacing w:line="360" w:lineRule="auto"/>
              <w:jc w:val="center"/>
              <w:rPr>
                <w:rFonts w:ascii="宋体" w:hAnsi="宋体" w:eastAsia="宋体" w:cs="宋体"/>
                <w:sz w:val="24"/>
                <w:szCs w:val="24"/>
              </w:rPr>
            </w:pPr>
            <w:r>
              <w:rPr>
                <w:rFonts w:hint="eastAsia" w:ascii="宋体" w:hAnsi="宋体" w:eastAsia="宋体" w:cs="宋体"/>
                <w:b/>
                <w:bCs/>
                <w:sz w:val="24"/>
                <w:szCs w:val="24"/>
              </w:rPr>
              <w:t>3</w:t>
            </w:r>
          </w:p>
        </w:tc>
        <w:tc>
          <w:tcPr>
            <w:tcW w:w="1215" w:type="dxa"/>
            <w:vAlign w:val="center"/>
          </w:tcPr>
          <w:p w14:paraId="701C1338">
            <w:pPr>
              <w:spacing w:line="360" w:lineRule="auto"/>
              <w:jc w:val="center"/>
              <w:rPr>
                <w:rFonts w:ascii="宋体" w:hAnsi="宋体" w:eastAsia="宋体" w:cs="宋体"/>
                <w:sz w:val="24"/>
                <w:szCs w:val="24"/>
              </w:rPr>
            </w:pPr>
            <w:r>
              <w:rPr>
                <w:rFonts w:hint="eastAsia" w:ascii="宋体" w:hAnsi="宋体" w:eastAsia="宋体" w:cs="宋体"/>
                <w:sz w:val="24"/>
                <w:szCs w:val="24"/>
              </w:rPr>
              <w:t>商务条款</w:t>
            </w:r>
          </w:p>
        </w:tc>
        <w:tc>
          <w:tcPr>
            <w:tcW w:w="7549" w:type="dxa"/>
          </w:tcPr>
          <w:p w14:paraId="301C73BF">
            <w:pPr>
              <w:spacing w:line="336" w:lineRule="auto"/>
              <w:rPr>
                <w:rFonts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.交货期：合同签订后</w:t>
            </w:r>
            <w:r>
              <w:rPr>
                <w:rFonts w:hint="eastAsia" w:ascii="宋体" w:hAnsi="宋体" w:eastAsia="宋体" w:cs="宋体"/>
                <w:sz w:val="24"/>
                <w:szCs w:val="24"/>
                <w:u w:val="single"/>
              </w:rPr>
              <w:t xml:space="preserve"> 30 </w:t>
            </w:r>
            <w:r>
              <w:rPr>
                <w:rFonts w:hint="eastAsia" w:ascii="宋体" w:hAnsi="宋体" w:eastAsia="宋体" w:cs="宋体"/>
                <w:sz w:val="24"/>
                <w:szCs w:val="24"/>
              </w:rPr>
              <w:t>日历日内</w:t>
            </w:r>
          </w:p>
          <w:p w14:paraId="4B6A6A2E">
            <w:pPr>
              <w:spacing w:line="336" w:lineRule="auto"/>
              <w:rPr>
                <w:rFonts w:ascii="宋体" w:hAnsi="宋体" w:eastAsia="宋体" w:cs="宋体"/>
                <w:sz w:val="24"/>
                <w:szCs w:val="24"/>
              </w:rPr>
            </w:pPr>
            <w:r>
              <w:rPr>
                <w:rFonts w:hint="eastAsia" w:ascii="宋体" w:hAnsi="宋体" w:eastAsia="宋体" w:cs="宋体"/>
                <w:sz w:val="24"/>
                <w:szCs w:val="24"/>
              </w:rPr>
              <w:t>2.交货地点：</w:t>
            </w:r>
            <w:r>
              <w:rPr>
                <w:rFonts w:hint="eastAsia" w:ascii="宋体" w:hAnsi="宋体" w:cs="宋体"/>
                <w:sz w:val="24"/>
                <w:szCs w:val="24"/>
              </w:rPr>
              <w:t>陕西能源职业技术学院指定地点</w:t>
            </w:r>
          </w:p>
          <w:p w14:paraId="185BBD68">
            <w:pPr>
              <w:spacing w:line="336" w:lineRule="auto"/>
              <w:rPr>
                <w:rFonts w:ascii="宋体" w:hAnsi="宋体" w:eastAsia="宋体" w:cs="宋体"/>
                <w:sz w:val="24"/>
                <w:szCs w:val="24"/>
              </w:rPr>
            </w:pPr>
            <w:r>
              <w:rPr>
                <w:rFonts w:hint="eastAsia" w:ascii="宋体" w:hAnsi="宋体" w:eastAsia="宋体" w:cs="宋体"/>
                <w:sz w:val="24"/>
                <w:szCs w:val="24"/>
              </w:rPr>
              <w:t>3.质保期：验收合格后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1  </w:t>
            </w:r>
            <w:r>
              <w:rPr>
                <w:rFonts w:hint="eastAsia" w:ascii="宋体" w:hAnsi="宋体" w:eastAsia="宋体" w:cs="宋体"/>
                <w:sz w:val="24"/>
                <w:szCs w:val="24"/>
              </w:rPr>
              <w:t>年</w:t>
            </w:r>
          </w:p>
          <w:p w14:paraId="0E058A3A">
            <w:pPr>
              <w:spacing w:line="336" w:lineRule="auto"/>
              <w:rPr>
                <w:rFonts w:ascii="宋体" w:hAnsi="宋体" w:eastAsia="宋体" w:cs="宋体"/>
                <w:sz w:val="24"/>
                <w:szCs w:val="24"/>
              </w:rPr>
            </w:pPr>
            <w:r>
              <w:rPr>
                <w:rFonts w:hint="eastAsia" w:ascii="宋体" w:hAnsi="宋体" w:eastAsia="宋体" w:cs="宋体"/>
                <w:sz w:val="24"/>
                <w:szCs w:val="24"/>
              </w:rPr>
              <w:t>4.付款方式：(1)若非中小企业中标，采购人自验收合格之日起30日内支付款项(具体支付事宜由采购人与中标人商定)。</w:t>
            </w:r>
          </w:p>
          <w:p w14:paraId="68FB0A65">
            <w:pPr>
              <w:spacing w:line="336" w:lineRule="auto"/>
              <w:rPr>
                <w:rFonts w:ascii="宋体" w:hAnsi="宋体" w:eastAsia="宋体" w:cs="宋体"/>
                <w:sz w:val="24"/>
                <w:szCs w:val="24"/>
              </w:rPr>
            </w:pPr>
            <w:r>
              <w:rPr>
                <w:rFonts w:hint="eastAsia" w:ascii="宋体" w:hAnsi="宋体" w:eastAsia="宋体" w:cs="宋体"/>
                <w:sz w:val="24"/>
                <w:szCs w:val="24"/>
              </w:rPr>
              <w:t>(2)若中小企业中标，采购人应支付不低于合同价款40%的预付款，且在自验收合格之日起30日内支付剩余款项(具体支付事宜由采购人与中标人商定)。</w:t>
            </w:r>
          </w:p>
          <w:p w14:paraId="2B91E4EB">
            <w:pPr>
              <w:spacing w:line="336" w:lineRule="auto"/>
              <w:rPr>
                <w:rFonts w:ascii="宋体" w:hAnsi="宋体" w:eastAsia="宋体" w:cs="宋体"/>
                <w:sz w:val="24"/>
                <w:szCs w:val="24"/>
              </w:rPr>
            </w:pPr>
            <w:r>
              <w:rPr>
                <w:rFonts w:hint="eastAsia" w:ascii="宋体" w:hAnsi="宋体" w:eastAsia="宋体" w:cs="宋体"/>
                <w:sz w:val="24"/>
                <w:szCs w:val="24"/>
              </w:rPr>
              <w:t>5.履约保证金：成交供应商在签订合同前须向甲方缴纳合同款项的5%作为合同履约保障金，验收合格，履约结束后一次性不计息退还。缴纳履约保证金时须备注项目名称及款项用途。</w:t>
            </w:r>
          </w:p>
          <w:p w14:paraId="4CC5DBB2">
            <w:pPr>
              <w:pStyle w:val="7"/>
              <w:spacing w:line="360" w:lineRule="auto"/>
              <w:ind w:firstLine="0"/>
              <w:rPr>
                <w:rFonts w:ascii="宋体" w:hAnsi="宋体" w:eastAsia="宋体" w:cs="宋体"/>
                <w:sz w:val="24"/>
                <w:szCs w:val="24"/>
              </w:rPr>
            </w:pPr>
            <w:r>
              <w:rPr>
                <w:rFonts w:hint="eastAsia" w:ascii="宋体" w:hAnsi="Courier New"/>
                <w:b/>
                <w:bCs/>
                <w:sz w:val="24"/>
                <w:szCs w:val="24"/>
              </w:rPr>
              <w:t>注：商务条款为实质性响应条款，不允许负偏离。</w:t>
            </w:r>
          </w:p>
        </w:tc>
      </w:tr>
      <w:tr w14:paraId="44F5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26" w:type="dxa"/>
            <w:vAlign w:val="center"/>
          </w:tcPr>
          <w:p w14:paraId="7D29066F">
            <w:pPr>
              <w:spacing w:line="360" w:lineRule="auto"/>
              <w:jc w:val="center"/>
              <w:rPr>
                <w:rFonts w:ascii="宋体" w:hAnsi="宋体" w:eastAsia="宋体" w:cs="宋体"/>
                <w:sz w:val="24"/>
                <w:szCs w:val="24"/>
              </w:rPr>
            </w:pPr>
            <w:r>
              <w:rPr>
                <w:rFonts w:hint="eastAsia" w:ascii="宋体" w:hAnsi="宋体" w:eastAsia="宋体" w:cs="宋体"/>
                <w:b/>
                <w:bCs/>
                <w:sz w:val="24"/>
                <w:szCs w:val="24"/>
              </w:rPr>
              <w:t>4</w:t>
            </w:r>
          </w:p>
        </w:tc>
        <w:tc>
          <w:tcPr>
            <w:tcW w:w="1215" w:type="dxa"/>
            <w:vAlign w:val="center"/>
          </w:tcPr>
          <w:p w14:paraId="6D7BE9DF">
            <w:pPr>
              <w:spacing w:line="360" w:lineRule="auto"/>
              <w:jc w:val="center"/>
              <w:rPr>
                <w:rFonts w:ascii="宋体" w:hAnsi="宋体" w:eastAsia="宋体" w:cs="宋体"/>
                <w:sz w:val="24"/>
                <w:szCs w:val="24"/>
              </w:rPr>
            </w:pPr>
            <w:r>
              <w:rPr>
                <w:rFonts w:hint="eastAsia" w:ascii="宋体" w:hAnsi="宋体" w:eastAsia="宋体" w:cs="宋体"/>
                <w:sz w:val="24"/>
                <w:szCs w:val="24"/>
              </w:rPr>
              <w:t>响应保证金缴纳</w:t>
            </w:r>
          </w:p>
        </w:tc>
        <w:tc>
          <w:tcPr>
            <w:tcW w:w="7549" w:type="dxa"/>
          </w:tcPr>
          <w:p w14:paraId="2B6A562E">
            <w:pPr>
              <w:pStyle w:val="7"/>
              <w:spacing w:line="360" w:lineRule="auto"/>
              <w:ind w:firstLine="0"/>
              <w:jc w:val="left"/>
              <w:rPr>
                <w:rFonts w:ascii="宋体" w:hAnsi="宋体" w:eastAsia="宋体" w:cs="宋体"/>
                <w:sz w:val="24"/>
                <w:szCs w:val="24"/>
              </w:rPr>
            </w:pPr>
            <w:r>
              <w:rPr>
                <w:rFonts w:hint="eastAsia" w:ascii="宋体" w:hAnsi="宋体" w:eastAsia="宋体" w:cs="宋体"/>
                <w:b/>
                <w:bCs/>
                <w:sz w:val="24"/>
                <w:szCs w:val="24"/>
              </w:rPr>
              <w:t>(1)保证金的缴纳：</w:t>
            </w:r>
            <w:r>
              <w:rPr>
                <w:rFonts w:hint="eastAsia" w:ascii="宋体" w:hAnsi="宋体" w:cs="宋体"/>
                <w:b/>
                <w:bCs/>
                <w:sz w:val="24"/>
                <w:szCs w:val="24"/>
              </w:rPr>
              <w:t>人民币柒仟元整（¥7000.00元）</w:t>
            </w:r>
          </w:p>
          <w:p w14:paraId="57AD5294">
            <w:pPr>
              <w:pStyle w:val="7"/>
              <w:spacing w:line="360" w:lineRule="auto"/>
              <w:ind w:firstLine="0"/>
              <w:jc w:val="left"/>
              <w:rPr>
                <w:rFonts w:ascii="宋体" w:hAnsi="宋体" w:eastAsia="宋体" w:cs="宋体"/>
                <w:sz w:val="24"/>
                <w:szCs w:val="24"/>
              </w:rPr>
            </w:pPr>
            <w:r>
              <w:rPr>
                <w:rFonts w:hint="eastAsia" w:ascii="宋体" w:hAnsi="宋体" w:eastAsia="宋体" w:cs="宋体"/>
                <w:sz w:val="24"/>
                <w:szCs w:val="24"/>
              </w:rPr>
              <w:t>缴纳截止时间：同响应文件递交截止时间一致</w:t>
            </w:r>
          </w:p>
          <w:p w14:paraId="2066AD19">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响应保证金应当以银行转账（公户）、支票、汇票、本票或者金融机构、担保机构出具的保函等非现金形式提交（响应保证金须以供应商名称汇款），且应在谈判前致电代理机构财务部门确认响应保证金到账情况。</w:t>
            </w:r>
          </w:p>
          <w:p w14:paraId="7ADFC35D">
            <w:pPr>
              <w:spacing w:line="50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户  名：陕西卓佲项目管理有限公司</w:t>
            </w:r>
          </w:p>
          <w:p w14:paraId="2410A757">
            <w:pPr>
              <w:spacing w:line="50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账  号：647840417</w:t>
            </w:r>
          </w:p>
          <w:p w14:paraId="48FB7957">
            <w:pPr>
              <w:spacing w:line="50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开户行：中国民生银行股份有限公司西安高新开发区支行</w:t>
            </w:r>
          </w:p>
          <w:p w14:paraId="5DA8F4FD">
            <w:pPr>
              <w:spacing w:line="50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联行号：305791012032</w:t>
            </w:r>
          </w:p>
          <w:p w14:paraId="369220EE">
            <w:pPr>
              <w:spacing w:line="50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咨询电话：029-81875979财务高老师</w:t>
            </w:r>
          </w:p>
          <w:p w14:paraId="44E22AF9">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咨询邮箱：</w:t>
            </w:r>
            <w:r>
              <w:fldChar w:fldCharType="begin"/>
            </w:r>
            <w:r>
              <w:instrText xml:space="preserve"> HYPERLINK "mailto:shanxizhuoming_zb@163.com" \h </w:instrText>
            </w:r>
            <w:r>
              <w:fldChar w:fldCharType="separate"/>
            </w:r>
            <w:r>
              <w:rPr>
                <w:rFonts w:hint="eastAsia" w:ascii="宋体" w:hAnsi="宋体" w:eastAsia="宋体" w:cs="宋体"/>
                <w:sz w:val="24"/>
                <w:szCs w:val="24"/>
              </w:rPr>
              <w:t>shanxizhuoming_zb@163.com</w:t>
            </w:r>
            <w:r>
              <w:rPr>
                <w:rFonts w:hint="eastAsia" w:ascii="宋体" w:hAnsi="宋体" w:eastAsia="宋体" w:cs="宋体"/>
                <w:sz w:val="24"/>
                <w:szCs w:val="24"/>
              </w:rPr>
              <w:fldChar w:fldCharType="end"/>
            </w:r>
          </w:p>
          <w:p w14:paraId="740EB82D">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转账摘要：陕西能源-120保证金</w:t>
            </w:r>
          </w:p>
          <w:p w14:paraId="26DD5D0E">
            <w:pPr>
              <w:pStyle w:val="5"/>
              <w:rPr>
                <w:rFonts w:hint="default" w:ascii="宋体" w:hAnsi="宋体" w:cs="宋体"/>
                <w:sz w:val="24"/>
                <w:szCs w:val="24"/>
              </w:rPr>
            </w:pPr>
            <w:r>
              <w:rPr>
                <w:rFonts w:ascii="宋体" w:hAnsi="宋体" w:cs="宋体"/>
                <w:sz w:val="24"/>
                <w:szCs w:val="24"/>
              </w:rPr>
              <w:t>（2）保证金的退还</w:t>
            </w:r>
          </w:p>
          <w:p w14:paraId="508B919E">
            <w:pPr>
              <w:tabs>
                <w:tab w:val="left" w:pos="0"/>
              </w:tabs>
              <w:adjustRightInd w:val="0"/>
              <w:snapToGrid w:val="0"/>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t>未成交的供应商在退取响应保证金时，须携带以下资料到代理机构的财务部门办理：</w:t>
            </w:r>
          </w:p>
          <w:p w14:paraId="71D2784A">
            <w:pPr>
              <w:adjustRightInd w:val="0"/>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①保证金汇款凭证复印件加盖公章；</w:t>
            </w:r>
          </w:p>
          <w:p w14:paraId="7A27DF75">
            <w:pPr>
              <w:adjustRightInd w:val="0"/>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②保证金退还信息确认表（加盖公章）见</w:t>
            </w:r>
            <w:r>
              <w:rPr>
                <w:rFonts w:hint="eastAsia" w:ascii="宋体" w:hAnsi="宋体" w:eastAsia="宋体" w:cs="宋体"/>
                <w:b/>
                <w:bCs/>
                <w:sz w:val="24"/>
                <w:szCs w:val="24"/>
              </w:rPr>
              <w:t>附件七</w:t>
            </w:r>
            <w:r>
              <w:rPr>
                <w:rFonts w:hint="eastAsia" w:ascii="宋体" w:hAnsi="宋体" w:eastAsia="宋体" w:cs="宋体"/>
                <w:sz w:val="24"/>
                <w:szCs w:val="24"/>
              </w:rPr>
              <w:t>。</w:t>
            </w:r>
          </w:p>
          <w:p w14:paraId="70F2E0B8">
            <w:pPr>
              <w:adjustRightInd w:val="0"/>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③供应商可在谈判当天将保证金退还账户信息确认表与</w:t>
            </w:r>
            <w:r>
              <w:rPr>
                <w:rFonts w:hint="eastAsia" w:ascii="宋体" w:hAnsi="宋体" w:eastAsia="宋体" w:cs="宋体"/>
                <w:bCs/>
                <w:sz w:val="24"/>
                <w:szCs w:val="24"/>
              </w:rPr>
              <w:t>保证金汇款凭证复印件加盖公章</w:t>
            </w:r>
            <w:r>
              <w:rPr>
                <w:rFonts w:hint="eastAsia" w:ascii="宋体" w:hAnsi="宋体" w:eastAsia="宋体" w:cs="宋体"/>
                <w:sz w:val="24"/>
                <w:szCs w:val="24"/>
              </w:rPr>
              <w:t>一并交给工作人员，当天未提交保证金退还账户信息确认表与响应保证金</w:t>
            </w:r>
            <w:r>
              <w:rPr>
                <w:rFonts w:hint="eastAsia" w:ascii="宋体" w:hAnsi="宋体" w:eastAsia="宋体" w:cs="宋体"/>
                <w:bCs/>
                <w:sz w:val="24"/>
                <w:szCs w:val="24"/>
              </w:rPr>
              <w:t>汇款凭证复印件加盖公章</w:t>
            </w:r>
            <w:r>
              <w:rPr>
                <w:rFonts w:hint="eastAsia" w:ascii="宋体" w:hAnsi="宋体" w:eastAsia="宋体" w:cs="宋体"/>
                <w:sz w:val="24"/>
                <w:szCs w:val="24"/>
              </w:rPr>
              <w:t>的供应商，在谈判后将以上资料盖章扫描件发送至邮箱</w:t>
            </w:r>
            <w:r>
              <w:fldChar w:fldCharType="begin"/>
            </w:r>
            <w:r>
              <w:instrText xml:space="preserve"> HYPERLINK "mailto:shanxizhuoming_zb@163.com" \h </w:instrText>
            </w:r>
            <w:r>
              <w:fldChar w:fldCharType="separate"/>
            </w:r>
            <w:r>
              <w:rPr>
                <w:rFonts w:hint="eastAsia" w:ascii="宋体" w:hAnsi="宋体" w:eastAsia="宋体" w:cs="宋体"/>
                <w:sz w:val="24"/>
                <w:szCs w:val="24"/>
              </w:rPr>
              <w:t>shanxizhuoming_zb@163.com</w:t>
            </w:r>
            <w:r>
              <w:rPr>
                <w:rFonts w:hint="eastAsia" w:ascii="宋体" w:hAnsi="宋体" w:eastAsia="宋体" w:cs="宋体"/>
                <w:sz w:val="24"/>
                <w:szCs w:val="24"/>
              </w:rPr>
              <w:fldChar w:fldCharType="end"/>
            </w:r>
            <w:r>
              <w:rPr>
                <w:rFonts w:hint="eastAsia" w:ascii="宋体" w:hAnsi="宋体" w:eastAsia="宋体" w:cs="宋体"/>
                <w:sz w:val="24"/>
                <w:szCs w:val="24"/>
              </w:rPr>
              <w:t>并致电告知。</w:t>
            </w:r>
          </w:p>
          <w:p w14:paraId="44D68863">
            <w:pPr>
              <w:adjustRightInd w:val="0"/>
              <w:snapToGrid w:val="0"/>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④成交供应商在退取响应保证金时，除携带上述资料外还需携带与采购人签订的采购合同。</w:t>
            </w:r>
          </w:p>
        </w:tc>
      </w:tr>
      <w:tr w14:paraId="0D0B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626" w:type="dxa"/>
            <w:vAlign w:val="center"/>
          </w:tcPr>
          <w:p w14:paraId="104976FA">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215" w:type="dxa"/>
            <w:vAlign w:val="center"/>
          </w:tcPr>
          <w:p w14:paraId="42296B47">
            <w:pPr>
              <w:spacing w:line="360" w:lineRule="auto"/>
              <w:jc w:val="center"/>
              <w:rPr>
                <w:rFonts w:ascii="宋体" w:hAnsi="宋体" w:eastAsia="宋体" w:cs="宋体"/>
                <w:sz w:val="24"/>
                <w:szCs w:val="24"/>
              </w:rPr>
            </w:pPr>
            <w:r>
              <w:rPr>
                <w:rFonts w:hint="eastAsia" w:ascii="宋体" w:hAnsi="宋体" w:eastAsia="宋体" w:cs="宋体"/>
                <w:sz w:val="24"/>
                <w:szCs w:val="24"/>
              </w:rPr>
              <w:t>备选方案</w:t>
            </w:r>
          </w:p>
        </w:tc>
        <w:tc>
          <w:tcPr>
            <w:tcW w:w="7549" w:type="dxa"/>
            <w:vAlign w:val="center"/>
          </w:tcPr>
          <w:p w14:paraId="3E85753B">
            <w:pPr>
              <w:spacing w:line="360" w:lineRule="auto"/>
              <w:jc w:val="left"/>
              <w:rPr>
                <w:rFonts w:ascii="宋体" w:hAnsi="宋体" w:eastAsia="宋体" w:cs="宋体"/>
                <w:sz w:val="24"/>
                <w:szCs w:val="24"/>
              </w:rPr>
            </w:pPr>
            <w:r>
              <w:rPr>
                <w:rFonts w:hint="eastAsia" w:ascii="宋体" w:hAnsi="宋体" w:eastAsia="宋体" w:cs="宋体"/>
                <w:sz w:val="24"/>
                <w:szCs w:val="24"/>
              </w:rPr>
              <w:t>不允许</w:t>
            </w:r>
          </w:p>
        </w:tc>
      </w:tr>
      <w:tr w14:paraId="361AF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626" w:type="dxa"/>
            <w:vAlign w:val="center"/>
          </w:tcPr>
          <w:p w14:paraId="7C7F12BA">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215" w:type="dxa"/>
            <w:vAlign w:val="center"/>
          </w:tcPr>
          <w:p w14:paraId="6745C592">
            <w:pPr>
              <w:spacing w:line="360" w:lineRule="auto"/>
              <w:jc w:val="center"/>
              <w:rPr>
                <w:rFonts w:ascii="宋体" w:hAnsi="宋体" w:eastAsia="宋体" w:cs="宋体"/>
                <w:sz w:val="24"/>
                <w:szCs w:val="24"/>
              </w:rPr>
            </w:pPr>
            <w:r>
              <w:rPr>
                <w:rFonts w:hint="eastAsia" w:ascii="宋体" w:hAnsi="宋体" w:eastAsia="宋体" w:cs="宋体"/>
                <w:sz w:val="24"/>
                <w:szCs w:val="24"/>
              </w:rPr>
              <w:t>联合体</w:t>
            </w:r>
          </w:p>
        </w:tc>
        <w:tc>
          <w:tcPr>
            <w:tcW w:w="7549" w:type="dxa"/>
            <w:vAlign w:val="center"/>
          </w:tcPr>
          <w:p w14:paraId="57B20981">
            <w:pPr>
              <w:spacing w:line="360" w:lineRule="auto"/>
              <w:jc w:val="left"/>
              <w:rPr>
                <w:rFonts w:ascii="宋体" w:hAnsi="宋体" w:eastAsia="宋体" w:cs="宋体"/>
                <w:sz w:val="24"/>
                <w:szCs w:val="24"/>
              </w:rPr>
            </w:pPr>
            <w:r>
              <w:rPr>
                <w:rFonts w:hint="eastAsia" w:ascii="宋体" w:hAnsi="宋体" w:eastAsia="宋体" w:cs="宋体"/>
                <w:sz w:val="24"/>
                <w:szCs w:val="24"/>
              </w:rPr>
              <w:t>不接受联合体</w:t>
            </w:r>
          </w:p>
        </w:tc>
      </w:tr>
      <w:tr w14:paraId="5B861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626" w:type="dxa"/>
            <w:vAlign w:val="center"/>
          </w:tcPr>
          <w:p w14:paraId="2AC7F9C0">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215" w:type="dxa"/>
            <w:vAlign w:val="center"/>
          </w:tcPr>
          <w:p w14:paraId="4E6894C8">
            <w:pPr>
              <w:spacing w:line="360" w:lineRule="auto"/>
              <w:jc w:val="center"/>
              <w:rPr>
                <w:rFonts w:ascii="宋体" w:hAnsi="宋体" w:eastAsia="宋体" w:cs="宋体"/>
                <w:sz w:val="24"/>
                <w:szCs w:val="24"/>
              </w:rPr>
            </w:pPr>
            <w:r>
              <w:rPr>
                <w:rFonts w:hint="eastAsia" w:ascii="宋体" w:hAnsi="宋体" w:eastAsia="宋体" w:cs="宋体"/>
                <w:sz w:val="24"/>
                <w:szCs w:val="24"/>
              </w:rPr>
              <w:t>响应有效期</w:t>
            </w:r>
          </w:p>
        </w:tc>
        <w:tc>
          <w:tcPr>
            <w:tcW w:w="7549" w:type="dxa"/>
            <w:vAlign w:val="center"/>
          </w:tcPr>
          <w:p w14:paraId="00E95F43">
            <w:pPr>
              <w:spacing w:line="360" w:lineRule="auto"/>
              <w:rPr>
                <w:rFonts w:ascii="宋体" w:hAnsi="宋体" w:eastAsia="宋体" w:cs="宋体"/>
                <w:sz w:val="24"/>
                <w:szCs w:val="24"/>
              </w:rPr>
            </w:pPr>
            <w:r>
              <w:rPr>
                <w:rFonts w:hint="eastAsia" w:ascii="宋体" w:hAnsi="宋体" w:eastAsia="宋体" w:cs="宋体"/>
                <w:sz w:val="24"/>
                <w:szCs w:val="24"/>
              </w:rPr>
              <w:t>响应文件有效期为从谈判之日起有效期为90日历天。</w:t>
            </w:r>
          </w:p>
        </w:tc>
      </w:tr>
      <w:tr w14:paraId="3DAA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626" w:type="dxa"/>
            <w:vAlign w:val="center"/>
          </w:tcPr>
          <w:p w14:paraId="04618079">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215" w:type="dxa"/>
            <w:vAlign w:val="center"/>
          </w:tcPr>
          <w:p w14:paraId="55938653">
            <w:pPr>
              <w:spacing w:line="360" w:lineRule="auto"/>
              <w:jc w:val="center"/>
              <w:rPr>
                <w:rFonts w:ascii="宋体" w:hAnsi="宋体" w:eastAsia="宋体" w:cs="宋体"/>
                <w:sz w:val="24"/>
                <w:szCs w:val="24"/>
              </w:rPr>
            </w:pPr>
            <w:r>
              <w:rPr>
                <w:rFonts w:hint="eastAsia" w:ascii="宋体" w:hAnsi="宋体" w:eastAsia="宋体" w:cs="宋体"/>
                <w:sz w:val="24"/>
                <w:szCs w:val="24"/>
              </w:rPr>
              <w:t>货币及报价</w:t>
            </w:r>
          </w:p>
        </w:tc>
        <w:tc>
          <w:tcPr>
            <w:tcW w:w="7549" w:type="dxa"/>
            <w:vAlign w:val="center"/>
          </w:tcPr>
          <w:p w14:paraId="388CB1EC">
            <w:pPr>
              <w:spacing w:line="360" w:lineRule="auto"/>
              <w:jc w:val="left"/>
              <w:rPr>
                <w:rFonts w:ascii="宋体" w:hAnsi="宋体" w:eastAsia="宋体" w:cs="宋体"/>
                <w:sz w:val="24"/>
                <w:szCs w:val="24"/>
              </w:rPr>
            </w:pPr>
            <w:r>
              <w:rPr>
                <w:rFonts w:hint="eastAsia" w:ascii="宋体" w:hAnsi="宋体" w:eastAsia="宋体" w:cs="宋体"/>
                <w:sz w:val="24"/>
                <w:szCs w:val="24"/>
              </w:rPr>
              <w:t>(1)供应商应当根据竞争性谈判文件的要求和范围，以人民币为货币，以元为报价单位，保留小数点后两位。</w:t>
            </w:r>
          </w:p>
          <w:p w14:paraId="06B62F3B">
            <w:pPr>
              <w:spacing w:line="360" w:lineRule="auto"/>
              <w:jc w:val="left"/>
              <w:rPr>
                <w:rFonts w:ascii="宋体" w:hAnsi="宋体" w:eastAsia="宋体" w:cs="宋体"/>
                <w:sz w:val="24"/>
                <w:szCs w:val="24"/>
              </w:rPr>
            </w:pPr>
            <w:r>
              <w:rPr>
                <w:rFonts w:hint="eastAsia" w:ascii="宋体" w:hAnsi="宋体" w:eastAsia="宋体" w:cs="宋体"/>
                <w:sz w:val="24"/>
                <w:szCs w:val="24"/>
              </w:rPr>
              <w:t>(2)供应商应在响应一览表中标明完成本次招标所要求的货物、服务且验收合格的所有费用，</w:t>
            </w:r>
            <w:r>
              <w:rPr>
                <w:rFonts w:hint="eastAsia" w:ascii="宋体" w:hAnsi="宋体" w:cs="宋体"/>
                <w:sz w:val="24"/>
                <w:szCs w:val="24"/>
              </w:rPr>
              <w:t>包括产品费、安装调试费、运杂费（含保险）、仓储保管费、技术培训费、检测费、施工费、运输费、人工费、税金等</w:t>
            </w:r>
            <w:r>
              <w:rPr>
                <w:rFonts w:hint="eastAsia" w:ascii="宋体" w:hAnsi="宋体" w:eastAsia="宋体" w:cs="宋体"/>
                <w:sz w:val="24"/>
                <w:szCs w:val="24"/>
              </w:rPr>
              <w:t>。响应一览表中标明本次货物、服务的所有单项价格和总价，任何有选择的报价将不予接受，否则按无效投标处理。</w:t>
            </w:r>
          </w:p>
        </w:tc>
      </w:tr>
      <w:tr w14:paraId="69D2C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626" w:type="dxa"/>
            <w:vAlign w:val="center"/>
          </w:tcPr>
          <w:p w14:paraId="70113EF6">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215" w:type="dxa"/>
            <w:vAlign w:val="center"/>
          </w:tcPr>
          <w:p w14:paraId="09E37E66">
            <w:pPr>
              <w:spacing w:line="360" w:lineRule="auto"/>
              <w:jc w:val="center"/>
              <w:rPr>
                <w:rFonts w:ascii="宋体" w:hAnsi="宋体" w:eastAsia="宋体" w:cs="宋体"/>
                <w:sz w:val="24"/>
                <w:szCs w:val="24"/>
              </w:rPr>
            </w:pPr>
            <w:r>
              <w:rPr>
                <w:rFonts w:hint="eastAsia" w:ascii="宋体" w:hAnsi="宋体" w:eastAsia="宋体" w:cs="宋体"/>
                <w:sz w:val="24"/>
                <w:szCs w:val="24"/>
              </w:rPr>
              <w:t>响应文件份数及装订要求</w:t>
            </w:r>
          </w:p>
        </w:tc>
        <w:tc>
          <w:tcPr>
            <w:tcW w:w="7549" w:type="dxa"/>
            <w:vAlign w:val="center"/>
          </w:tcPr>
          <w:p w14:paraId="5E83C80F">
            <w:pPr>
              <w:spacing w:line="336" w:lineRule="auto"/>
              <w:jc w:val="left"/>
              <w:rPr>
                <w:rFonts w:ascii="宋体" w:hAnsi="宋体" w:eastAsia="宋体" w:cs="宋体"/>
                <w:sz w:val="24"/>
                <w:szCs w:val="24"/>
              </w:rPr>
            </w:pPr>
            <w:r>
              <w:rPr>
                <w:rFonts w:hint="eastAsia" w:ascii="宋体" w:hAnsi="宋体" w:eastAsia="宋体" w:cs="宋体"/>
                <w:sz w:val="24"/>
                <w:szCs w:val="24"/>
              </w:rPr>
              <w:t>(1)响应文件正本</w:t>
            </w:r>
            <w:r>
              <w:rPr>
                <w:rFonts w:hint="eastAsia" w:ascii="宋体" w:hAnsi="宋体" w:eastAsia="宋体" w:cs="宋体"/>
                <w:sz w:val="24"/>
                <w:szCs w:val="24"/>
                <w:u w:val="single"/>
              </w:rPr>
              <w:t>壹</w:t>
            </w:r>
            <w:r>
              <w:rPr>
                <w:rFonts w:hint="eastAsia" w:ascii="宋体" w:hAnsi="宋体" w:eastAsia="宋体" w:cs="宋体"/>
                <w:sz w:val="24"/>
                <w:szCs w:val="24"/>
              </w:rPr>
              <w:t>份、副本</w:t>
            </w:r>
            <w:r>
              <w:rPr>
                <w:rFonts w:hint="eastAsia" w:ascii="宋体" w:hAnsi="宋体" w:eastAsia="宋体" w:cs="宋体"/>
                <w:sz w:val="24"/>
                <w:szCs w:val="24"/>
                <w:u w:val="single"/>
              </w:rPr>
              <w:t>叁</w:t>
            </w:r>
            <w:r>
              <w:rPr>
                <w:rFonts w:hint="eastAsia" w:ascii="宋体" w:hAnsi="宋体" w:eastAsia="宋体" w:cs="宋体"/>
                <w:sz w:val="24"/>
                <w:szCs w:val="24"/>
              </w:rPr>
              <w:t>份、响应一览表</w:t>
            </w:r>
            <w:r>
              <w:rPr>
                <w:rFonts w:hint="eastAsia" w:ascii="宋体" w:hAnsi="宋体" w:eastAsia="宋体" w:cs="宋体"/>
                <w:sz w:val="24"/>
                <w:szCs w:val="24"/>
                <w:u w:val="single"/>
              </w:rPr>
              <w:t>壹</w:t>
            </w:r>
            <w:r>
              <w:rPr>
                <w:rFonts w:hint="eastAsia" w:ascii="宋体" w:hAnsi="宋体" w:eastAsia="宋体" w:cs="宋体"/>
                <w:sz w:val="24"/>
                <w:szCs w:val="24"/>
              </w:rPr>
              <w:t>份、电子文档</w:t>
            </w:r>
            <w:r>
              <w:rPr>
                <w:rFonts w:hint="eastAsia" w:ascii="宋体" w:hAnsi="宋体" w:eastAsia="宋体" w:cs="宋体"/>
                <w:sz w:val="24"/>
                <w:szCs w:val="24"/>
                <w:u w:val="single"/>
              </w:rPr>
              <w:t>壹</w:t>
            </w:r>
            <w:r>
              <w:rPr>
                <w:rFonts w:hint="eastAsia" w:ascii="宋体" w:hAnsi="宋体" w:eastAsia="宋体" w:cs="宋体"/>
                <w:sz w:val="24"/>
                <w:szCs w:val="24"/>
              </w:rPr>
              <w:t>份；</w:t>
            </w:r>
          </w:p>
          <w:p w14:paraId="57403315">
            <w:pPr>
              <w:spacing w:line="336" w:lineRule="auto"/>
              <w:jc w:val="left"/>
              <w:rPr>
                <w:rFonts w:ascii="宋体" w:hAnsi="宋体" w:eastAsia="宋体" w:cs="宋体"/>
                <w:sz w:val="24"/>
                <w:szCs w:val="24"/>
              </w:rPr>
            </w:pPr>
            <w:r>
              <w:rPr>
                <w:rFonts w:hint="eastAsia" w:ascii="宋体" w:hAnsi="宋体" w:eastAsia="宋体" w:cs="宋体"/>
                <w:sz w:val="24"/>
                <w:szCs w:val="24"/>
              </w:rPr>
              <w:t>(2)正、副本分别</w:t>
            </w:r>
            <w:r>
              <w:rPr>
                <w:rFonts w:hint="eastAsia" w:ascii="宋体" w:hAnsi="宋体" w:cs="宋体"/>
                <w:b/>
                <w:bCs/>
                <w:sz w:val="24"/>
                <w:szCs w:val="24"/>
              </w:rPr>
              <w:t>胶装装订成册，在书脊处标明项目名称、项目编号、供应商名称（机打或手写均可）</w:t>
            </w:r>
            <w:r>
              <w:rPr>
                <w:rFonts w:hint="eastAsia" w:ascii="宋体" w:hAnsi="宋体" w:eastAsia="宋体" w:cs="宋体"/>
                <w:sz w:val="24"/>
                <w:szCs w:val="24"/>
              </w:rPr>
              <w:t>，逐页标注页码，且封面须清楚地标明“正本”或“副本”；若正本和副本不符，以正本书面文件为准；同时提供与正本内容一致的电子版（U盘、电子文档应为PDF与WORD格式各一份，PDF版本需为正本签署盖章扫描件）。</w:t>
            </w:r>
          </w:p>
          <w:p w14:paraId="5298A8CC">
            <w:pPr>
              <w:spacing w:line="360" w:lineRule="auto"/>
              <w:jc w:val="left"/>
              <w:rPr>
                <w:rFonts w:ascii="宋体" w:hAnsi="宋体" w:eastAsia="宋体" w:cs="宋体"/>
                <w:sz w:val="24"/>
                <w:szCs w:val="24"/>
              </w:rPr>
            </w:pPr>
            <w:r>
              <w:rPr>
                <w:rFonts w:hint="eastAsia" w:ascii="宋体" w:hAnsi="宋体" w:eastAsia="宋体" w:cs="宋体"/>
                <w:sz w:val="24"/>
                <w:szCs w:val="24"/>
              </w:rPr>
              <w:t>(3)所有的副本可以为正本的复印件。</w:t>
            </w:r>
          </w:p>
        </w:tc>
      </w:tr>
      <w:tr w14:paraId="4AA2E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626" w:type="dxa"/>
            <w:vAlign w:val="center"/>
          </w:tcPr>
          <w:p w14:paraId="6F84D534">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1215" w:type="dxa"/>
            <w:vAlign w:val="center"/>
          </w:tcPr>
          <w:p w14:paraId="5AB0A327">
            <w:pPr>
              <w:spacing w:line="360" w:lineRule="auto"/>
              <w:jc w:val="center"/>
              <w:rPr>
                <w:rFonts w:ascii="宋体" w:hAnsi="宋体" w:eastAsia="宋体" w:cs="宋体"/>
                <w:sz w:val="24"/>
                <w:szCs w:val="24"/>
              </w:rPr>
            </w:pPr>
            <w:r>
              <w:rPr>
                <w:rFonts w:hint="eastAsia" w:ascii="宋体" w:hAnsi="宋体" w:eastAsia="宋体" w:cs="宋体"/>
                <w:sz w:val="24"/>
                <w:szCs w:val="24"/>
              </w:rPr>
              <w:t>响应文件的签署</w:t>
            </w:r>
          </w:p>
        </w:tc>
        <w:tc>
          <w:tcPr>
            <w:tcW w:w="7549" w:type="dxa"/>
            <w:vAlign w:val="center"/>
          </w:tcPr>
          <w:p w14:paraId="0B2A1779">
            <w:pPr>
              <w:spacing w:line="336" w:lineRule="auto"/>
              <w:jc w:val="left"/>
              <w:rPr>
                <w:rFonts w:ascii="宋体" w:hAnsi="宋体" w:eastAsia="宋体" w:cs="宋体"/>
                <w:sz w:val="24"/>
                <w:szCs w:val="24"/>
              </w:rPr>
            </w:pPr>
            <w:r>
              <w:rPr>
                <w:rFonts w:hint="eastAsia" w:ascii="宋体" w:hAnsi="宋体" w:eastAsia="宋体" w:cs="宋体"/>
                <w:sz w:val="24"/>
                <w:szCs w:val="24"/>
              </w:rPr>
              <w:t>(1)供应商在响应文件中指定的页面的落款处，按采购文件要求由供应商的法定代表人或其授权代表在规定的签章处签字或盖章。</w:t>
            </w:r>
          </w:p>
          <w:p w14:paraId="5F209523">
            <w:pPr>
              <w:spacing w:line="336" w:lineRule="auto"/>
              <w:jc w:val="left"/>
              <w:rPr>
                <w:rFonts w:ascii="宋体" w:hAnsi="宋体" w:eastAsia="宋体" w:cs="宋体"/>
                <w:sz w:val="24"/>
                <w:szCs w:val="24"/>
              </w:rPr>
            </w:pPr>
            <w:r>
              <w:rPr>
                <w:rFonts w:hint="eastAsia" w:ascii="宋体" w:hAnsi="宋体" w:eastAsia="宋体" w:cs="宋体"/>
                <w:sz w:val="24"/>
                <w:szCs w:val="24"/>
              </w:rPr>
              <w:t>(2)响应文件应字迹清楚、内容齐全、不得涂改或增删。如有修改和增删，必须有供应商公章及法定代表人或其授权的供应商代表签字。</w:t>
            </w:r>
          </w:p>
          <w:p w14:paraId="4FF037E6">
            <w:pPr>
              <w:spacing w:line="360" w:lineRule="auto"/>
              <w:jc w:val="left"/>
              <w:rPr>
                <w:rFonts w:ascii="宋体" w:hAnsi="宋体" w:eastAsia="宋体" w:cs="宋体"/>
                <w:b/>
                <w:bCs/>
                <w:color w:val="000000"/>
                <w:sz w:val="24"/>
                <w:szCs w:val="24"/>
              </w:rPr>
            </w:pPr>
            <w:r>
              <w:rPr>
                <w:rFonts w:hint="eastAsia" w:ascii="宋体" w:hAnsi="宋体" w:eastAsia="宋体" w:cs="宋体"/>
                <w:sz w:val="24"/>
                <w:szCs w:val="24"/>
              </w:rPr>
              <w:t>(3)因响应文件字迹潦草或表达不清所引起的不利后果由供应商承担。</w:t>
            </w:r>
          </w:p>
        </w:tc>
      </w:tr>
      <w:tr w14:paraId="3511A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626" w:type="dxa"/>
            <w:vAlign w:val="center"/>
          </w:tcPr>
          <w:p w14:paraId="441E09D1">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215" w:type="dxa"/>
            <w:vAlign w:val="center"/>
          </w:tcPr>
          <w:p w14:paraId="09BB1669">
            <w:pPr>
              <w:spacing w:line="360" w:lineRule="auto"/>
              <w:jc w:val="center"/>
              <w:rPr>
                <w:rFonts w:ascii="宋体" w:hAnsi="宋体" w:eastAsia="宋体" w:cs="宋体"/>
                <w:sz w:val="24"/>
                <w:szCs w:val="24"/>
              </w:rPr>
            </w:pPr>
            <w:r>
              <w:rPr>
                <w:rFonts w:hint="eastAsia" w:ascii="宋体" w:hAnsi="宋体" w:eastAsia="宋体" w:cs="宋体"/>
                <w:sz w:val="24"/>
                <w:szCs w:val="24"/>
              </w:rPr>
              <w:t>响应文件的密封</w:t>
            </w:r>
          </w:p>
        </w:tc>
        <w:tc>
          <w:tcPr>
            <w:tcW w:w="7549" w:type="dxa"/>
            <w:vAlign w:val="center"/>
          </w:tcPr>
          <w:p w14:paraId="09762615">
            <w:pPr>
              <w:pStyle w:val="46"/>
              <w:spacing w:line="360" w:lineRule="auto"/>
              <w:rPr>
                <w:kern w:val="2"/>
              </w:rPr>
            </w:pPr>
            <w:r>
              <w:rPr>
                <w:rFonts w:hint="eastAsia"/>
                <w:kern w:val="2"/>
              </w:rPr>
              <w:t>(1)装袋要求：</w:t>
            </w:r>
          </w:p>
          <w:p w14:paraId="0E0FBA25">
            <w:pPr>
              <w:pStyle w:val="46"/>
              <w:spacing w:line="360" w:lineRule="auto"/>
              <w:rPr>
                <w:kern w:val="2"/>
              </w:rPr>
            </w:pPr>
            <w:r>
              <w:rPr>
                <w:rFonts w:hint="eastAsia"/>
                <w:kern w:val="2"/>
              </w:rPr>
              <w:t>响应一览表密封单独装袋；</w:t>
            </w:r>
          </w:p>
          <w:p w14:paraId="6760B0FE">
            <w:pPr>
              <w:pStyle w:val="46"/>
              <w:spacing w:line="360" w:lineRule="auto"/>
              <w:rPr>
                <w:kern w:val="2"/>
              </w:rPr>
            </w:pPr>
            <w:r>
              <w:rPr>
                <w:rFonts w:hint="eastAsia"/>
                <w:kern w:val="2"/>
              </w:rPr>
              <w:t>电子文档密封单独装袋；</w:t>
            </w:r>
          </w:p>
          <w:p w14:paraId="7591E4F6">
            <w:pPr>
              <w:spacing w:line="360" w:lineRule="auto"/>
              <w:ind w:right="158" w:rightChars="75"/>
              <w:rPr>
                <w:rFonts w:ascii="宋体" w:hAnsi="宋体" w:eastAsia="宋体" w:cs="宋体"/>
                <w:sz w:val="24"/>
                <w:szCs w:val="24"/>
              </w:rPr>
            </w:pPr>
            <w:r>
              <w:rPr>
                <w:rFonts w:hint="eastAsia" w:ascii="宋体" w:hAnsi="宋体" w:eastAsia="宋体" w:cs="宋体"/>
                <w:sz w:val="24"/>
                <w:szCs w:val="24"/>
              </w:rPr>
              <w:t>所有正本密封单独装袋，也可分册密封装袋；</w:t>
            </w:r>
          </w:p>
          <w:p w14:paraId="6C32189E">
            <w:pPr>
              <w:spacing w:line="360" w:lineRule="auto"/>
              <w:ind w:right="158" w:rightChars="75"/>
              <w:rPr>
                <w:rFonts w:ascii="宋体" w:hAnsi="宋体" w:eastAsia="宋体" w:cs="宋体"/>
                <w:sz w:val="24"/>
                <w:szCs w:val="24"/>
                <w:lang w:val="zh-CN"/>
              </w:rPr>
            </w:pPr>
            <w:r>
              <w:rPr>
                <w:rFonts w:hint="eastAsia" w:ascii="宋体" w:hAnsi="宋体" w:eastAsia="宋体" w:cs="宋体"/>
                <w:sz w:val="24"/>
                <w:szCs w:val="24"/>
              </w:rPr>
              <w:t>所有副本密封单独装袋，</w:t>
            </w:r>
            <w:r>
              <w:rPr>
                <w:rFonts w:hint="eastAsia" w:ascii="宋体" w:hAnsi="宋体" w:eastAsia="宋体" w:cs="宋体"/>
                <w:sz w:val="24"/>
                <w:szCs w:val="24"/>
                <w:lang w:val="zh-CN"/>
              </w:rPr>
              <w:t>也可分册</w:t>
            </w:r>
            <w:r>
              <w:rPr>
                <w:rFonts w:hint="eastAsia" w:ascii="宋体" w:hAnsi="宋体" w:eastAsia="宋体" w:cs="宋体"/>
                <w:sz w:val="24"/>
                <w:szCs w:val="24"/>
              </w:rPr>
              <w:t>密封</w:t>
            </w:r>
            <w:r>
              <w:rPr>
                <w:rFonts w:hint="eastAsia" w:ascii="宋体" w:hAnsi="宋体" w:eastAsia="宋体" w:cs="宋体"/>
                <w:sz w:val="24"/>
                <w:szCs w:val="24"/>
                <w:lang w:val="zh-CN"/>
              </w:rPr>
              <w:t>装袋；</w:t>
            </w:r>
          </w:p>
          <w:p w14:paraId="3793BD65">
            <w:pPr>
              <w:spacing w:line="336" w:lineRule="auto"/>
              <w:jc w:val="left"/>
              <w:rPr>
                <w:rFonts w:ascii="宋体" w:hAnsi="宋体" w:eastAsia="宋体" w:cs="宋体"/>
                <w:sz w:val="24"/>
                <w:szCs w:val="24"/>
              </w:rPr>
            </w:pPr>
            <w:r>
              <w:rPr>
                <w:rFonts w:hint="eastAsia" w:ascii="宋体" w:hAnsi="宋体" w:eastAsia="宋体" w:cs="宋体"/>
                <w:sz w:val="24"/>
                <w:szCs w:val="24"/>
              </w:rPr>
              <w:t>(2)在封袋正面标明“正本”“副本”“电子版”“响应一览表”字样。封袋应密封完整（密封以不泄露供应商商业机密、响应文件内容为标准，封面标识见招标文件附件一），如果未按上述规定进行密封，供应商的响应文件有权被拒绝。</w:t>
            </w:r>
          </w:p>
          <w:p w14:paraId="4489E522">
            <w:pPr>
              <w:spacing w:line="336" w:lineRule="auto"/>
              <w:jc w:val="left"/>
              <w:rPr>
                <w:rFonts w:ascii="宋体" w:hAnsi="宋体" w:eastAsia="宋体" w:cs="宋体"/>
                <w:sz w:val="24"/>
                <w:szCs w:val="24"/>
              </w:rPr>
            </w:pPr>
            <w:r>
              <w:rPr>
                <w:rFonts w:hint="eastAsia" w:ascii="宋体" w:hAnsi="宋体" w:eastAsia="宋体" w:cs="宋体"/>
                <w:sz w:val="24"/>
                <w:szCs w:val="24"/>
              </w:rPr>
              <w:t>(3)如果供应商未按上述要求密封及加写标记，误投或过早启封的响应文件，将自行承担其响应文件被视为无效响应文件的风险。</w:t>
            </w:r>
          </w:p>
          <w:p w14:paraId="799B9ACF">
            <w:pPr>
              <w:spacing w:line="336" w:lineRule="auto"/>
              <w:jc w:val="left"/>
              <w:rPr>
                <w:rFonts w:ascii="宋体" w:hAnsi="宋体" w:eastAsia="宋体" w:cs="宋体"/>
                <w:sz w:val="24"/>
                <w:szCs w:val="24"/>
              </w:rPr>
            </w:pPr>
            <w:r>
              <w:rPr>
                <w:rFonts w:hint="eastAsia" w:ascii="宋体" w:hAnsi="宋体" w:eastAsia="宋体" w:cs="宋体"/>
                <w:sz w:val="24"/>
                <w:szCs w:val="24"/>
              </w:rPr>
              <w:t>（4）本次招标只接受简体中文文字的响应文件；如响应文件中出现外文资料，需配以中文译文。否则，由此引发的一切责任由供应商自负。</w:t>
            </w:r>
          </w:p>
          <w:p w14:paraId="1252B191">
            <w:pPr>
              <w:spacing w:line="360" w:lineRule="auto"/>
              <w:jc w:val="left"/>
              <w:rPr>
                <w:rFonts w:ascii="宋体" w:hAnsi="宋体" w:eastAsia="宋体" w:cs="宋体"/>
                <w:color w:val="FF0000"/>
                <w:sz w:val="24"/>
                <w:szCs w:val="24"/>
              </w:rPr>
            </w:pPr>
            <w:r>
              <w:rPr>
                <w:rFonts w:hint="eastAsia" w:ascii="宋体" w:hAnsi="宋体" w:eastAsia="宋体" w:cs="宋体"/>
                <w:sz w:val="24"/>
                <w:szCs w:val="24"/>
              </w:rPr>
              <w:t>(5)拒绝接受以电话、传真、电子邮件形式的响应。</w:t>
            </w:r>
          </w:p>
        </w:tc>
      </w:tr>
      <w:tr w14:paraId="3134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626" w:type="dxa"/>
            <w:vAlign w:val="center"/>
          </w:tcPr>
          <w:p w14:paraId="320FAAD4">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1215" w:type="dxa"/>
            <w:vAlign w:val="center"/>
          </w:tcPr>
          <w:p w14:paraId="55FEC519">
            <w:pPr>
              <w:spacing w:line="360" w:lineRule="auto"/>
              <w:jc w:val="center"/>
              <w:rPr>
                <w:rFonts w:ascii="宋体" w:hAnsi="宋体" w:eastAsia="宋体" w:cs="宋体"/>
                <w:sz w:val="24"/>
                <w:szCs w:val="24"/>
              </w:rPr>
            </w:pPr>
            <w:r>
              <w:rPr>
                <w:rFonts w:hint="eastAsia" w:ascii="宋体" w:hAnsi="宋体" w:eastAsia="宋体" w:cs="宋体"/>
                <w:b/>
                <w:bCs/>
                <w:sz w:val="24"/>
                <w:szCs w:val="24"/>
              </w:rPr>
              <w:t>成交原则</w:t>
            </w:r>
          </w:p>
        </w:tc>
        <w:tc>
          <w:tcPr>
            <w:tcW w:w="7549" w:type="dxa"/>
            <w:vAlign w:val="center"/>
          </w:tcPr>
          <w:p w14:paraId="06256358">
            <w:pPr>
              <w:spacing w:line="360" w:lineRule="auto"/>
              <w:rPr>
                <w:rFonts w:ascii="宋体" w:hAnsi="宋体" w:eastAsia="宋体" w:cs="宋体"/>
                <w:sz w:val="24"/>
                <w:szCs w:val="24"/>
              </w:rPr>
            </w:pPr>
            <w:r>
              <w:rPr>
                <w:rFonts w:hint="eastAsia" w:ascii="宋体" w:hAnsi="宋体" w:eastAsia="宋体" w:cs="宋体"/>
                <w:sz w:val="24"/>
                <w:szCs w:val="24"/>
              </w:rPr>
              <w:t>质量和服务均能满足采购文件实质性响应要求且最后报价最低的原则</w:t>
            </w:r>
          </w:p>
        </w:tc>
      </w:tr>
      <w:tr w14:paraId="3AD6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73892A8C">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1215" w:type="dxa"/>
            <w:vAlign w:val="center"/>
          </w:tcPr>
          <w:p w14:paraId="1EB7F074">
            <w:pPr>
              <w:spacing w:line="360" w:lineRule="auto"/>
              <w:jc w:val="center"/>
              <w:rPr>
                <w:rFonts w:ascii="宋体" w:hAnsi="宋体" w:eastAsia="宋体" w:cs="宋体"/>
                <w:sz w:val="24"/>
                <w:szCs w:val="24"/>
              </w:rPr>
            </w:pPr>
            <w:r>
              <w:rPr>
                <w:rFonts w:hint="eastAsia" w:ascii="宋体" w:hAnsi="宋体" w:eastAsia="宋体" w:cs="宋体"/>
                <w:sz w:val="24"/>
                <w:szCs w:val="24"/>
              </w:rPr>
              <w:t>代理服务费</w:t>
            </w:r>
          </w:p>
        </w:tc>
        <w:tc>
          <w:tcPr>
            <w:tcW w:w="7549" w:type="dxa"/>
            <w:vAlign w:val="center"/>
          </w:tcPr>
          <w:p w14:paraId="4DF7D6DD">
            <w:pPr>
              <w:spacing w:line="56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参照国家计委颁布的《招标代理服务收费管理暂行办法》（计价格[2002]1980号）和发改办价格[2003]857号文件等法律法规规定的计价标准的80%收取（含税），按照中标金额差额定率累进法计算，由中标/成交单位一次性支付给乙方。</w:t>
            </w:r>
          </w:p>
          <w:p w14:paraId="7AF03AA9">
            <w:pPr>
              <w:spacing w:line="560" w:lineRule="exact"/>
              <w:ind w:firstLine="420" w:firstLineChars="175"/>
              <w:jc w:val="left"/>
              <w:rPr>
                <w:rFonts w:ascii="宋体" w:hAnsi="宋体" w:eastAsia="宋体" w:cs="宋体"/>
                <w:sz w:val="24"/>
                <w:szCs w:val="24"/>
              </w:rPr>
            </w:pPr>
            <w:r>
              <w:rPr>
                <w:rFonts w:hint="eastAsia" w:ascii="宋体" w:hAnsi="宋体" w:eastAsia="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tc>
      </w:tr>
      <w:tr w14:paraId="4FA4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13DE39E2">
            <w:pPr>
              <w:spacing w:line="360" w:lineRule="auto"/>
              <w:jc w:val="center"/>
              <w:rPr>
                <w:rFonts w:ascii="宋体" w:hAnsi="宋体" w:eastAsia="宋体" w:cs="宋体"/>
                <w:b/>
                <w:bCs/>
                <w:sz w:val="24"/>
                <w:szCs w:val="24"/>
              </w:rPr>
            </w:pPr>
            <w:bookmarkStart w:id="5" w:name="_Toc19272"/>
            <w:r>
              <w:rPr>
                <w:rFonts w:hint="eastAsia" w:ascii="宋体" w:hAnsi="宋体" w:eastAsia="宋体" w:cs="宋体"/>
                <w:b/>
                <w:bCs/>
                <w:sz w:val="24"/>
                <w:szCs w:val="24"/>
              </w:rPr>
              <w:t>14</w:t>
            </w:r>
          </w:p>
        </w:tc>
        <w:tc>
          <w:tcPr>
            <w:tcW w:w="1215" w:type="dxa"/>
            <w:vAlign w:val="center"/>
          </w:tcPr>
          <w:p w14:paraId="44F1F74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是否采购进口产品</w:t>
            </w:r>
          </w:p>
        </w:tc>
        <w:tc>
          <w:tcPr>
            <w:tcW w:w="7549" w:type="dxa"/>
            <w:vAlign w:val="center"/>
          </w:tcPr>
          <w:p w14:paraId="4622E493">
            <w:pPr>
              <w:spacing w:line="360" w:lineRule="auto"/>
              <w:rPr>
                <w:rFonts w:ascii="宋体" w:hAnsi="宋体" w:eastAsia="宋体" w:cs="宋体"/>
                <w:b/>
                <w:bCs/>
                <w:sz w:val="24"/>
                <w:szCs w:val="24"/>
              </w:rPr>
            </w:pPr>
            <w:r>
              <w:rPr>
                <w:rFonts w:hint="eastAsia" w:ascii="宋体" w:hAnsi="宋体" w:eastAsia="宋体" w:cs="宋体"/>
                <w:b/>
                <w:bCs/>
                <w:sz w:val="24"/>
                <w:szCs w:val="24"/>
              </w:rPr>
              <w:t>否</w:t>
            </w:r>
          </w:p>
        </w:tc>
      </w:tr>
      <w:tr w14:paraId="1A5C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2" w:hRule="atLeast"/>
        </w:trPr>
        <w:tc>
          <w:tcPr>
            <w:tcW w:w="626" w:type="dxa"/>
            <w:vAlign w:val="center"/>
          </w:tcPr>
          <w:p w14:paraId="64A8B14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15</w:t>
            </w:r>
          </w:p>
        </w:tc>
        <w:tc>
          <w:tcPr>
            <w:tcW w:w="1215" w:type="dxa"/>
            <w:vAlign w:val="center"/>
          </w:tcPr>
          <w:p w14:paraId="54B4C03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是否专门面向中小企业</w:t>
            </w:r>
          </w:p>
        </w:tc>
        <w:tc>
          <w:tcPr>
            <w:tcW w:w="7549" w:type="dxa"/>
            <w:vAlign w:val="center"/>
          </w:tcPr>
          <w:p w14:paraId="6BB94FB4">
            <w:pPr>
              <w:ind w:right="158" w:rightChars="75"/>
              <w:rPr>
                <w:rFonts w:ascii="宋体" w:hAnsi="宋体" w:eastAsia="宋体" w:cs="宋体"/>
                <w:b/>
                <w:bCs/>
                <w:sz w:val="24"/>
                <w:szCs w:val="24"/>
              </w:rPr>
            </w:pPr>
            <w:r>
              <w:rPr>
                <w:rFonts w:hint="eastAsia" w:ascii="宋体" w:hAnsi="宋体" w:eastAsia="宋体" w:cs="宋体"/>
                <w:b/>
                <w:bCs/>
                <w:sz w:val="24"/>
                <w:szCs w:val="24"/>
              </w:rPr>
              <w:t>是</w:t>
            </w:r>
          </w:p>
        </w:tc>
      </w:tr>
      <w:tr w14:paraId="3507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2E5C0721">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1215" w:type="dxa"/>
            <w:vAlign w:val="center"/>
          </w:tcPr>
          <w:p w14:paraId="017E9ADD">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供应商</w:t>
            </w:r>
          </w:p>
          <w:p w14:paraId="2AD84E81">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提出质疑的时间、形式</w:t>
            </w:r>
          </w:p>
        </w:tc>
        <w:tc>
          <w:tcPr>
            <w:tcW w:w="7549" w:type="dxa"/>
            <w:vAlign w:val="center"/>
          </w:tcPr>
          <w:p w14:paraId="3DD256EF">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时间：供应商认为采购文件、采购过程和中标、成交结果使自己的权益受到损害的，可以在知道或者应知其权益受到损害之日起七个工作日内，超过期限的采购人或采购代理机构不再受理。</w:t>
            </w:r>
          </w:p>
          <w:p w14:paraId="574F29EF">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形式：书面；</w:t>
            </w:r>
          </w:p>
          <w:p w14:paraId="32102240">
            <w:pPr>
              <w:spacing w:line="360" w:lineRule="auto"/>
              <w:jc w:val="left"/>
              <w:rPr>
                <w:rFonts w:ascii="宋体" w:hAnsi="宋体" w:eastAsia="宋体" w:cs="宋体"/>
                <w:sz w:val="24"/>
                <w:szCs w:val="24"/>
              </w:rPr>
            </w:pPr>
            <w:r>
              <w:rPr>
                <w:rFonts w:hint="eastAsia" w:ascii="宋体" w:hAnsi="宋体" w:eastAsia="宋体" w:cs="宋体"/>
                <w:sz w:val="24"/>
                <w:szCs w:val="24"/>
              </w:rPr>
              <w:t>环节：</w:t>
            </w:r>
            <w:r>
              <w:rPr>
                <w:rFonts w:hint="eastAsia" w:ascii="宋体" w:hAnsi="宋体" w:eastAsia="宋体" w:cs="宋体"/>
                <w:sz w:val="24"/>
                <w:szCs w:val="24"/>
                <w:lang w:val="zh-CN"/>
              </w:rPr>
              <w:t>供应商应当在法定质疑期内一次性提出针对同一采购程序环节的质疑。</w:t>
            </w:r>
          </w:p>
        </w:tc>
      </w:tr>
      <w:tr w14:paraId="338D4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49F980C6">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215" w:type="dxa"/>
            <w:vAlign w:val="center"/>
          </w:tcPr>
          <w:p w14:paraId="137EBDEF">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对供应商提出质疑答复时间、形式</w:t>
            </w:r>
          </w:p>
        </w:tc>
        <w:tc>
          <w:tcPr>
            <w:tcW w:w="7549" w:type="dxa"/>
            <w:vAlign w:val="center"/>
          </w:tcPr>
          <w:p w14:paraId="10E77674">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时间：自收到供应商质疑函之日起7个工作日内</w:t>
            </w:r>
          </w:p>
          <w:p w14:paraId="461E9249">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形式：书面</w:t>
            </w:r>
          </w:p>
        </w:tc>
      </w:tr>
      <w:tr w14:paraId="3D8E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00D02964">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1215" w:type="dxa"/>
            <w:vAlign w:val="center"/>
          </w:tcPr>
          <w:p w14:paraId="7CC72532">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供应商信用信息查询</w:t>
            </w:r>
            <w:r>
              <w:rPr>
                <w:rFonts w:hint="eastAsia" w:ascii="宋体" w:hAnsi="宋体" w:eastAsia="宋体" w:cs="宋体"/>
                <w:sz w:val="24"/>
                <w:szCs w:val="24"/>
              </w:rPr>
              <w:t>截止</w:t>
            </w:r>
            <w:r>
              <w:rPr>
                <w:rFonts w:hint="eastAsia" w:ascii="宋体" w:hAnsi="宋体" w:eastAsia="宋体" w:cs="宋体"/>
                <w:sz w:val="24"/>
                <w:szCs w:val="24"/>
                <w:lang w:val="zh-CN"/>
              </w:rPr>
              <w:t>时点</w:t>
            </w:r>
          </w:p>
        </w:tc>
        <w:tc>
          <w:tcPr>
            <w:tcW w:w="7549" w:type="dxa"/>
            <w:vAlign w:val="center"/>
          </w:tcPr>
          <w:p w14:paraId="3D09AE3D">
            <w:pPr>
              <w:spacing w:line="360" w:lineRule="auto"/>
              <w:rPr>
                <w:rFonts w:ascii="宋体" w:hAnsi="宋体" w:eastAsia="宋体" w:cs="宋体"/>
                <w:sz w:val="24"/>
                <w:szCs w:val="24"/>
                <w:lang w:val="zh-CN"/>
              </w:rPr>
            </w:pPr>
            <w:r>
              <w:rPr>
                <w:rFonts w:hint="eastAsia" w:ascii="宋体" w:hAnsi="宋体" w:eastAsia="宋体" w:cs="宋体"/>
                <w:sz w:val="24"/>
                <w:szCs w:val="24"/>
              </w:rPr>
              <w:t>响应文件递交截止日，由采购人和采购代理机构共同查询。</w:t>
            </w:r>
          </w:p>
        </w:tc>
      </w:tr>
      <w:tr w14:paraId="26BD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26" w:type="dxa"/>
            <w:vAlign w:val="center"/>
          </w:tcPr>
          <w:p w14:paraId="36506A06">
            <w:pPr>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1215" w:type="dxa"/>
            <w:vAlign w:val="center"/>
          </w:tcPr>
          <w:p w14:paraId="31DAD833">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实质性偏离</w:t>
            </w:r>
          </w:p>
        </w:tc>
        <w:tc>
          <w:tcPr>
            <w:tcW w:w="7549" w:type="dxa"/>
            <w:vAlign w:val="center"/>
          </w:tcPr>
          <w:p w14:paraId="4B71D54F">
            <w:pPr>
              <w:spacing w:line="360" w:lineRule="auto"/>
              <w:rPr>
                <w:rFonts w:ascii="宋体" w:hAnsi="宋体" w:eastAsia="宋体" w:cs="宋体"/>
                <w:sz w:val="24"/>
                <w:szCs w:val="24"/>
              </w:rPr>
            </w:pPr>
            <w:r>
              <w:rPr>
                <w:rFonts w:hint="eastAsia" w:ascii="宋体" w:hAnsi="宋体" w:eastAsia="宋体" w:cs="宋体"/>
                <w:sz w:val="24"/>
                <w:szCs w:val="24"/>
                <w:lang w:val="zh-CN"/>
              </w:rPr>
              <w:t>不允许</w:t>
            </w:r>
          </w:p>
        </w:tc>
      </w:tr>
      <w:tr w14:paraId="4E33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4" w:hRule="atLeast"/>
        </w:trPr>
        <w:tc>
          <w:tcPr>
            <w:tcW w:w="626" w:type="dxa"/>
            <w:vAlign w:val="center"/>
          </w:tcPr>
          <w:p w14:paraId="27761542">
            <w:pPr>
              <w:spacing w:line="360" w:lineRule="auto"/>
              <w:jc w:val="center"/>
              <w:rPr>
                <w:rFonts w:ascii="宋体" w:hAnsi="宋体" w:eastAsia="宋体" w:cs="宋体"/>
                <w:sz w:val="24"/>
                <w:szCs w:val="24"/>
              </w:rPr>
            </w:pPr>
            <w:r>
              <w:rPr>
                <w:rFonts w:hint="eastAsia" w:ascii="宋体" w:hAnsi="宋体" w:eastAsia="宋体" w:cs="宋体"/>
                <w:sz w:val="24"/>
                <w:szCs w:val="24"/>
              </w:rPr>
              <w:t>20</w:t>
            </w:r>
          </w:p>
        </w:tc>
        <w:tc>
          <w:tcPr>
            <w:tcW w:w="1215" w:type="dxa"/>
            <w:vAlign w:val="center"/>
          </w:tcPr>
          <w:p w14:paraId="6EB8ED36">
            <w:pPr>
              <w:spacing w:line="360" w:lineRule="auto"/>
              <w:jc w:val="center"/>
              <w:rPr>
                <w:rFonts w:ascii="宋体" w:hAnsi="宋体" w:eastAsia="宋体" w:cs="宋体"/>
                <w:sz w:val="24"/>
                <w:szCs w:val="24"/>
              </w:rPr>
            </w:pPr>
            <w:r>
              <w:rPr>
                <w:rFonts w:hint="eastAsia" w:ascii="宋体" w:hAnsi="宋体" w:eastAsia="宋体" w:cs="宋体"/>
                <w:sz w:val="24"/>
                <w:szCs w:val="24"/>
              </w:rPr>
              <w:t>其他</w:t>
            </w:r>
          </w:p>
        </w:tc>
        <w:tc>
          <w:tcPr>
            <w:tcW w:w="7549" w:type="dxa"/>
            <w:vAlign w:val="center"/>
          </w:tcPr>
          <w:p w14:paraId="70F501F0">
            <w:pPr>
              <w:spacing w:line="360" w:lineRule="auto"/>
              <w:rPr>
                <w:rFonts w:ascii="宋体" w:hAnsi="宋体" w:eastAsia="宋体" w:cs="宋体"/>
                <w:sz w:val="24"/>
                <w:szCs w:val="24"/>
              </w:rPr>
            </w:pPr>
            <w:r>
              <w:rPr>
                <w:rFonts w:hint="eastAsia" w:ascii="宋体" w:hAnsi="宋体" w:eastAsia="宋体" w:cs="宋体"/>
                <w:sz w:val="24"/>
                <w:szCs w:val="24"/>
              </w:rPr>
              <w:t>凡是需要法定代表人签字或盖章之处，非法人单位的负责人均参照执行。</w:t>
            </w:r>
          </w:p>
          <w:p w14:paraId="0D9974C6">
            <w:pPr>
              <w:spacing w:line="360" w:lineRule="auto"/>
              <w:rPr>
                <w:rFonts w:ascii="宋体" w:hAnsi="宋体" w:eastAsia="宋体" w:cs="宋体"/>
                <w:sz w:val="24"/>
                <w:szCs w:val="24"/>
              </w:rPr>
            </w:pPr>
            <w:r>
              <w:rPr>
                <w:rFonts w:hint="eastAsia" w:ascii="宋体" w:hAnsi="宋体" w:eastAsia="宋体" w:cs="宋体"/>
                <w:sz w:val="24"/>
                <w:szCs w:val="24"/>
              </w:rPr>
              <w:t>本项目所属行业为</w:t>
            </w:r>
            <w:r>
              <w:rPr>
                <w:rFonts w:hint="eastAsia" w:ascii="宋体" w:hAnsi="宋体" w:eastAsia="宋体" w:cs="宋体"/>
                <w:color w:val="000000"/>
                <w:sz w:val="24"/>
                <w:szCs w:val="24"/>
              </w:rPr>
              <w:t>工业</w:t>
            </w:r>
            <w:r>
              <w:rPr>
                <w:rFonts w:hint="eastAsia" w:ascii="宋体" w:hAnsi="宋体" w:eastAsia="宋体" w:cs="宋体"/>
                <w:sz w:val="24"/>
                <w:szCs w:val="24"/>
              </w:rPr>
              <w:t>。</w:t>
            </w:r>
          </w:p>
          <w:p w14:paraId="44B0EE91">
            <w:pPr>
              <w:spacing w:line="360" w:lineRule="auto"/>
              <w:rPr>
                <w:rFonts w:ascii="宋体" w:hAnsi="宋体" w:eastAsia="宋体" w:cs="宋体"/>
                <w:sz w:val="24"/>
                <w:szCs w:val="24"/>
              </w:rPr>
            </w:pPr>
            <w:r>
              <w:rPr>
                <w:rFonts w:hint="eastAsia" w:ascii="宋体" w:hAnsi="宋体" w:eastAsia="宋体" w:cs="宋体"/>
                <w:sz w:val="24"/>
                <w:szCs w:val="24"/>
              </w:rPr>
              <w:t>项目属性为货物。</w:t>
            </w:r>
          </w:p>
        </w:tc>
      </w:tr>
    </w:tbl>
    <w:p w14:paraId="545B8AA3">
      <w:pPr>
        <w:pStyle w:val="2"/>
        <w:keepLines w:val="0"/>
        <w:ind w:firstLine="883"/>
        <w:rPr>
          <w:rFonts w:ascii="宋体" w:hAnsi="宋体" w:cs="宋体"/>
          <w:sz w:val="44"/>
          <w:szCs w:val="44"/>
        </w:rPr>
        <w:sectPr>
          <w:footerReference r:id="rId8" w:type="default"/>
          <w:pgSz w:w="11906" w:h="16838"/>
          <w:pgMar w:top="1440" w:right="1706" w:bottom="1440" w:left="1800" w:header="851" w:footer="992" w:gutter="0"/>
          <w:cols w:space="720" w:num="1"/>
          <w:docGrid w:type="lines" w:linePitch="312" w:charSpace="0"/>
        </w:sectPr>
      </w:pPr>
    </w:p>
    <w:p w14:paraId="3B2BA9DB">
      <w:pPr>
        <w:pStyle w:val="2"/>
        <w:keepLines w:val="0"/>
        <w:ind w:firstLine="883"/>
        <w:rPr>
          <w:rFonts w:ascii="宋体" w:hAnsi="宋体" w:cs="宋体"/>
          <w:sz w:val="44"/>
          <w:szCs w:val="44"/>
        </w:rPr>
      </w:pPr>
      <w:bookmarkStart w:id="6" w:name="_Toc4375"/>
      <w:r>
        <w:rPr>
          <w:rFonts w:hint="eastAsia" w:ascii="宋体" w:hAnsi="宋体" w:cs="宋体"/>
          <w:sz w:val="44"/>
          <w:szCs w:val="44"/>
        </w:rPr>
        <w:t>第三部分 供应商须知</w:t>
      </w:r>
      <w:bookmarkEnd w:id="5"/>
      <w:bookmarkEnd w:id="6"/>
    </w:p>
    <w:p w14:paraId="70FCAF4B">
      <w:pPr>
        <w:pStyle w:val="3"/>
        <w:ind w:firstLine="420"/>
        <w:rPr>
          <w:rFonts w:ascii="宋体" w:hAnsi="宋体" w:cs="宋体"/>
          <w:sz w:val="36"/>
          <w:szCs w:val="36"/>
        </w:rPr>
      </w:pPr>
      <w:bookmarkStart w:id="7" w:name="_Toc15735"/>
      <w:bookmarkStart w:id="8" w:name="_Toc3697"/>
      <w:bookmarkStart w:id="9" w:name="_Toc26739"/>
      <w:r>
        <w:rPr>
          <w:rFonts w:hint="eastAsia" w:ascii="宋体" w:hAnsi="宋体" w:cs="宋体"/>
          <w:sz w:val="36"/>
          <w:szCs w:val="36"/>
        </w:rPr>
        <w:t>一、总则</w:t>
      </w:r>
      <w:bookmarkEnd w:id="7"/>
      <w:bookmarkEnd w:id="8"/>
      <w:bookmarkEnd w:id="9"/>
    </w:p>
    <w:p w14:paraId="31C436A6">
      <w:pPr>
        <w:pStyle w:val="4"/>
        <w:numPr>
          <w:ilvl w:val="0"/>
          <w:numId w:val="0"/>
        </w:numPr>
        <w:ind w:left="420"/>
      </w:pPr>
      <w:bookmarkStart w:id="10" w:name="_Toc380336725"/>
      <w:bookmarkStart w:id="11" w:name="_Toc358364319"/>
      <w:bookmarkStart w:id="12" w:name="_Toc6742"/>
      <w:bookmarkStart w:id="13" w:name="_Toc9257"/>
      <w:r>
        <w:rPr>
          <w:rFonts w:hint="eastAsia"/>
        </w:rPr>
        <w:t>（一）适用范围</w:t>
      </w:r>
      <w:bookmarkEnd w:id="10"/>
      <w:bookmarkEnd w:id="11"/>
      <w:bookmarkEnd w:id="12"/>
      <w:bookmarkEnd w:id="13"/>
    </w:p>
    <w:p w14:paraId="1CE3F4E1">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本谈判文件适用于本次采购活动的全过程。</w:t>
      </w:r>
    </w:p>
    <w:p w14:paraId="07ABF804">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14:paraId="64436BBB">
      <w:pPr>
        <w:pStyle w:val="4"/>
        <w:numPr>
          <w:ilvl w:val="0"/>
          <w:numId w:val="0"/>
        </w:numPr>
        <w:ind w:left="420"/>
      </w:pPr>
      <w:bookmarkStart w:id="14" w:name="_Toc358364321"/>
      <w:bookmarkStart w:id="15" w:name="_Toc17676"/>
      <w:bookmarkStart w:id="16" w:name="_Toc380336727"/>
      <w:bookmarkStart w:id="17" w:name="_Toc23781"/>
      <w:r>
        <w:rPr>
          <w:rFonts w:hint="eastAsia"/>
        </w:rPr>
        <w:t>（二）合格的</w:t>
      </w:r>
      <w:bookmarkEnd w:id="14"/>
      <w:bookmarkEnd w:id="15"/>
      <w:bookmarkEnd w:id="16"/>
      <w:bookmarkEnd w:id="17"/>
      <w:r>
        <w:rPr>
          <w:rFonts w:hint="eastAsia"/>
        </w:rPr>
        <w:t>供应商</w:t>
      </w:r>
    </w:p>
    <w:p w14:paraId="5D9504FB">
      <w:pPr>
        <w:tabs>
          <w:tab w:val="left" w:pos="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供应商应遵守有关的国家法律法规和条例，具备《中华人民共和国政府采购法》和本文件中规定的条件：</w:t>
      </w:r>
    </w:p>
    <w:p w14:paraId="0C993AFB">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14:paraId="646B166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14:paraId="2005627A">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14:paraId="5D9BA54F">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4.具有依法缴纳税收和社会保障资金的良好记录；</w:t>
      </w:r>
    </w:p>
    <w:p w14:paraId="6A6EF0CF">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5.参加此项采购活动前三年内，在经营活动中没有重大违法记录；</w:t>
      </w:r>
    </w:p>
    <w:p w14:paraId="0836040B">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14:paraId="410A939E">
      <w:pPr>
        <w:tabs>
          <w:tab w:val="left" w:pos="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供应商应独立于采购人，不得直接或间接地与采购人为采购本次采购的货物进行设计、编制技术规格和其他文件所委托的咨询公司或其附属机构有任何关联。</w:t>
      </w:r>
    </w:p>
    <w:p w14:paraId="22A84F55">
      <w:pPr>
        <w:tabs>
          <w:tab w:val="left" w:pos="0"/>
        </w:tabs>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供应商存在下列情形之一，其响应文件按无效文件处理。</w:t>
      </w:r>
    </w:p>
    <w:p w14:paraId="20FC0ED5">
      <w:pPr>
        <w:tabs>
          <w:tab w:val="left" w:pos="0"/>
        </w:tabs>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14:paraId="4CB19B5A">
      <w:pPr>
        <w:tabs>
          <w:tab w:val="left" w:pos="0"/>
        </w:tabs>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14:paraId="127DC0F7">
      <w:pPr>
        <w:tabs>
          <w:tab w:val="left" w:pos="0"/>
        </w:tabs>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14:paraId="45AE8A9B">
      <w:pPr>
        <w:tabs>
          <w:tab w:val="left" w:pos="0"/>
        </w:tabs>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14:paraId="46BDDA83">
      <w:pPr>
        <w:pStyle w:val="4"/>
        <w:numPr>
          <w:ilvl w:val="0"/>
          <w:numId w:val="0"/>
        </w:numPr>
        <w:ind w:left="420"/>
      </w:pPr>
      <w:bookmarkStart w:id="18" w:name="_Toc22444"/>
      <w:bookmarkStart w:id="19" w:name="_Toc380336728"/>
      <w:bookmarkStart w:id="20" w:name="_Toc358364322"/>
      <w:bookmarkStart w:id="21" w:name="_Toc540"/>
      <w:r>
        <w:rPr>
          <w:rFonts w:hint="eastAsia"/>
        </w:rPr>
        <w:t>（三）费用</w:t>
      </w:r>
      <w:bookmarkEnd w:id="18"/>
      <w:bookmarkEnd w:id="19"/>
      <w:bookmarkEnd w:id="20"/>
      <w:bookmarkEnd w:id="21"/>
    </w:p>
    <w:p w14:paraId="64B4FDD6">
      <w:pPr>
        <w:widowControl/>
        <w:adjustRightInd w:val="0"/>
        <w:snapToGrid w:val="0"/>
        <w:spacing w:line="360" w:lineRule="auto"/>
        <w:ind w:firstLine="480" w:firstLineChars="200"/>
        <w:jc w:val="left"/>
        <w:rPr>
          <w:rFonts w:ascii="宋体" w:hAnsi="宋体" w:cs="宋体"/>
          <w:sz w:val="24"/>
          <w:szCs w:val="24"/>
        </w:rPr>
      </w:pPr>
      <w:bookmarkStart w:id="22" w:name="_Toc17817"/>
      <w:r>
        <w:rPr>
          <w:rFonts w:hint="eastAsia" w:ascii="宋体" w:hAnsi="宋体" w:cs="宋体"/>
          <w:sz w:val="24"/>
          <w:szCs w:val="24"/>
        </w:rPr>
        <w:t>供应商必须从代理机构购买谈判文件，供应商自行转让或复制谈判文件视为无效。谈判文件一经售出，一律不退，仅作为本次谈判使用。</w:t>
      </w:r>
    </w:p>
    <w:p w14:paraId="1F8F3FE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无论采购过程和结果如何，供应商自行承担与采购有关的全部费用。</w:t>
      </w:r>
    </w:p>
    <w:bookmarkEnd w:id="22"/>
    <w:p w14:paraId="7CD8447A">
      <w:pPr>
        <w:snapToGrid w:val="0"/>
        <w:spacing w:line="360" w:lineRule="auto"/>
        <w:ind w:firstLine="480" w:firstLineChars="200"/>
        <w:rPr>
          <w:rFonts w:ascii="宋体" w:hAnsi="宋体" w:eastAsia="宋体" w:cs="宋体"/>
          <w:kern w:val="0"/>
          <w:sz w:val="24"/>
          <w:szCs w:val="24"/>
        </w:rPr>
      </w:pPr>
    </w:p>
    <w:p w14:paraId="2F5FA2A0">
      <w:pPr>
        <w:rPr>
          <w:rFonts w:ascii="宋体" w:hAnsi="宋体" w:eastAsia="宋体" w:cs="宋体"/>
          <w:kern w:val="0"/>
          <w:sz w:val="24"/>
          <w:szCs w:val="24"/>
        </w:rPr>
      </w:pPr>
    </w:p>
    <w:p w14:paraId="7043D98A">
      <w:pPr>
        <w:rPr>
          <w:rFonts w:ascii="宋体" w:hAnsi="宋体" w:eastAsia="宋体" w:cs="宋体"/>
          <w:kern w:val="0"/>
          <w:sz w:val="24"/>
          <w:szCs w:val="24"/>
        </w:rPr>
      </w:pPr>
    </w:p>
    <w:p w14:paraId="4EB58F1E">
      <w:pPr>
        <w:rPr>
          <w:rFonts w:ascii="宋体" w:hAnsi="宋体" w:eastAsia="宋体" w:cs="宋体"/>
        </w:rPr>
      </w:pPr>
      <w:r>
        <w:rPr>
          <w:rFonts w:hint="eastAsia" w:ascii="宋体" w:hAnsi="宋体" w:eastAsia="宋体" w:cs="宋体"/>
        </w:rPr>
        <w:br w:type="page"/>
      </w:r>
    </w:p>
    <w:p w14:paraId="79A3B032">
      <w:pPr>
        <w:pStyle w:val="3"/>
        <w:ind w:firstLine="420"/>
        <w:rPr>
          <w:rFonts w:ascii="宋体" w:hAnsi="宋体" w:cs="宋体"/>
          <w:sz w:val="36"/>
          <w:szCs w:val="36"/>
        </w:rPr>
      </w:pPr>
      <w:bookmarkStart w:id="23" w:name="_Toc22322"/>
      <w:r>
        <w:rPr>
          <w:rFonts w:hint="eastAsia" w:ascii="宋体" w:hAnsi="宋体" w:cs="宋体"/>
          <w:sz w:val="36"/>
          <w:szCs w:val="36"/>
        </w:rPr>
        <w:t>二、竞争性谈判文件</w:t>
      </w:r>
      <w:bookmarkEnd w:id="23"/>
    </w:p>
    <w:p w14:paraId="791A04A3">
      <w:pPr>
        <w:pStyle w:val="4"/>
        <w:numPr>
          <w:ilvl w:val="0"/>
          <w:numId w:val="0"/>
        </w:numPr>
        <w:ind w:left="420"/>
      </w:pPr>
      <w:bookmarkStart w:id="24" w:name="_Toc5801"/>
      <w:r>
        <w:rPr>
          <w:rFonts w:hint="eastAsia"/>
        </w:rPr>
        <w:t>（一）竞争性谈判文件的构成</w:t>
      </w:r>
      <w:bookmarkEnd w:id="24"/>
    </w:p>
    <w:p w14:paraId="682AE490">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14:paraId="08BD2387">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1.竞争性谈判公告；</w:t>
      </w:r>
    </w:p>
    <w:p w14:paraId="2EA15056">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2.供应商须知前附表；</w:t>
      </w:r>
    </w:p>
    <w:p w14:paraId="101D9A77">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3.供应商须知；</w:t>
      </w:r>
    </w:p>
    <w:p w14:paraId="478F6AF8">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4.评审标准；</w:t>
      </w:r>
    </w:p>
    <w:p w14:paraId="5477B8EC">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5.采购要求；</w:t>
      </w:r>
    </w:p>
    <w:p w14:paraId="62C587DF">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6.合同主要条款；</w:t>
      </w:r>
    </w:p>
    <w:p w14:paraId="57E13E75">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7.响应文件格式。</w:t>
      </w:r>
    </w:p>
    <w:p w14:paraId="23D48812">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14:paraId="63C82AAC">
      <w:pPr>
        <w:pStyle w:val="4"/>
        <w:numPr>
          <w:ilvl w:val="0"/>
          <w:numId w:val="0"/>
        </w:numPr>
        <w:ind w:left="420"/>
      </w:pPr>
      <w:bookmarkStart w:id="25" w:name="_Toc19797"/>
      <w:r>
        <w:rPr>
          <w:rFonts w:hint="eastAsia"/>
        </w:rPr>
        <w:t>（二）竞争性谈判文件的澄清</w:t>
      </w:r>
      <w:bookmarkEnd w:id="25"/>
    </w:p>
    <w:p w14:paraId="00FBBC1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事项，如有问题或异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14:paraId="4950E875">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14:paraId="77876184">
      <w:pPr>
        <w:pStyle w:val="4"/>
        <w:numPr>
          <w:ilvl w:val="0"/>
          <w:numId w:val="0"/>
        </w:numPr>
        <w:ind w:left="420"/>
      </w:pPr>
      <w:bookmarkStart w:id="26" w:name="_Toc6390"/>
      <w:r>
        <w:rPr>
          <w:rFonts w:hint="eastAsia"/>
        </w:rPr>
        <w:t>（三）竞争性谈判文件的修改</w:t>
      </w:r>
      <w:bookmarkEnd w:id="26"/>
    </w:p>
    <w:p w14:paraId="71F0569B">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14:paraId="0F8AB200">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14:paraId="511B0DC2">
      <w:pPr>
        <w:pStyle w:val="4"/>
        <w:numPr>
          <w:ilvl w:val="0"/>
          <w:numId w:val="0"/>
        </w:numPr>
        <w:ind w:left="420"/>
      </w:pPr>
      <w:bookmarkStart w:id="27" w:name="_Toc5095"/>
      <w:r>
        <w:rPr>
          <w:rFonts w:hint="eastAsia"/>
        </w:rPr>
        <w:t>（四）竞争性谈判文件的解释权归代理机构。</w:t>
      </w:r>
      <w:bookmarkEnd w:id="27"/>
    </w:p>
    <w:p w14:paraId="4A6C08C7">
      <w:pPr>
        <w:pStyle w:val="4"/>
        <w:numPr>
          <w:ilvl w:val="0"/>
          <w:numId w:val="0"/>
        </w:numPr>
        <w:ind w:left="420"/>
      </w:pPr>
      <w:r>
        <w:rPr>
          <w:rFonts w:hint="eastAsia"/>
        </w:rPr>
        <w:t>（五）落实的政府采购政策</w:t>
      </w:r>
    </w:p>
    <w:p w14:paraId="515F9024">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1.采购政策</w:t>
      </w:r>
    </w:p>
    <w:p w14:paraId="6ACE785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(1)《政府采购促进中小企业发展管理办法》（财库〔2020〕46号）；</w:t>
      </w:r>
    </w:p>
    <w:p w14:paraId="5036D50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(2)《财政部 司法部关于政府采购支持监狱企业发展有关问题的通知》（财库〔2014〕68号）；</w:t>
      </w:r>
    </w:p>
    <w:p w14:paraId="42CE4C1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p>
    <w:p w14:paraId="5CB0DE9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(4)《财政部 国家发展改革委关于印发〈节能产品政府采购实施意见〉的通知》（财库〔2004〕185号）；</w:t>
      </w:r>
    </w:p>
    <w:p w14:paraId="2D5084C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(5)《财政部环保总局关于环境标志产品政府采购实施的意见》（财库〔2006〕90号）；</w:t>
      </w:r>
    </w:p>
    <w:p w14:paraId="2EBACF2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(6)《三部门联合发布关于促进残疾人就业政府采购政策的通知》（财库〔2017〕141号）；</w:t>
      </w:r>
    </w:p>
    <w:p w14:paraId="1576E0F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(7)《财政部 发展改革委 生态环境部 市场监管总局关于调整优化节能产品、环境标志产品政府采购执行机制的通知》（财库〔2019〕9号）；</w:t>
      </w:r>
    </w:p>
    <w:p w14:paraId="3579200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(8)《财政部 农业农村部 国家乡村振兴局关于运用政府采购政策支持乡村产业振兴的通知》（财库〔2021〕19号）；</w:t>
      </w:r>
    </w:p>
    <w:p w14:paraId="6C32CB2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(9)陕西省财政厅关于印发《陕西省中小企业政府采购信用融资办法》（陕财办采〔2018〕23号）。</w:t>
      </w:r>
    </w:p>
    <w:p w14:paraId="5807253B">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2.节能产品、环境标志产品</w:t>
      </w:r>
    </w:p>
    <w:p w14:paraId="3990EFCC">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供应商所投产品依据《关于印发节能产品政府采购品目清单的通知》和认证证书实施政府优先采购和强制采购。</w:t>
      </w:r>
    </w:p>
    <w:p w14:paraId="77D145F8">
      <w:pPr>
        <w:pStyle w:val="9"/>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供应商所投产品依据《关于印发环境标志产品政府采购品目清单的通知》和认证证书实施政府优先采购。</w:t>
      </w:r>
    </w:p>
    <w:p w14:paraId="114DC8DA">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供应商可以提供所投产品经国家确定的认证机构出具的、处于有效期之内的节能产品、环境标志产品认证证书复印件。</w:t>
      </w:r>
    </w:p>
    <w:p w14:paraId="35CD720A">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3.中小企业</w:t>
      </w:r>
    </w:p>
    <w:p w14:paraId="2DB556F8">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如项目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见附件二）。</w:t>
      </w:r>
    </w:p>
    <w:p w14:paraId="089CEC88">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如项目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符合小微企业政策条件；在服务采购项目中，服务由小微企业承接，视为小微企业。符合中小企业政策条件的供应商参加政府采购活动，应当提供《中小企业声明函》（见附件二），不提供的在评标时不享受价格扣除优惠政策。货物和服务项目，对小型和微型企业的价格给予10%～20%的扣除。工程项目，对小型和微型企业的价格给予3%～5%的扣除，用扣除后的价格参与评审。</w:t>
      </w:r>
    </w:p>
    <w:p w14:paraId="1204244A">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依据《财政部、司法部关于政府采购支持监狱企业发展有关问题的通知》（财库〔2014〕68号）之规定，监狱企业参加政府采购活动，视同小微企业。应当提供由省级以上监狱管理局、戒毒管理局出具的属于监狱企业的证明文件，在评审时享受小微企业政策。未提供或出具证明文件的单位不符合相关要求的，不视为小微企业。</w:t>
      </w:r>
    </w:p>
    <w:p w14:paraId="28D15EF5">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依据《财政部、民政部、中国残疾人联合会关于促进残疾人就业政府采购政策的通知》（财库〔2017〕141号）之规定，残疾人福利性单位参加政府采购活动，视同小微企业，应当提供《残疾人福利性单位声明函》，在评审时享受小微企业政策。未提供的不视为小微企业。</w:t>
      </w:r>
    </w:p>
    <w:p w14:paraId="10C343DC">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残疾人福利性单位属于小微企业的，不重复享受政策。</w:t>
      </w:r>
    </w:p>
    <w:p w14:paraId="778D6BE3">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14:paraId="2F2CA04C">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享受中小企业扶持政策的供应商可以同时享受节能产品、环境标志产品优先采购政策。</w:t>
      </w:r>
    </w:p>
    <w:p w14:paraId="1DB2453E">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政府采购监督检查、投诉处理及政府采购行政处罚中对中小企业的认定，由货物制造商注册登记所在地的县级以上人民政府中小企业主管部门负责。</w:t>
      </w:r>
    </w:p>
    <w:p w14:paraId="598D9D47">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6.《财政部 农业农村部 国家乡村振兴局关于运用政府采购政策支持乡村产业振兴的通知》 （财库〔2021〕19号）。</w:t>
      </w:r>
    </w:p>
    <w:p w14:paraId="19385809">
      <w:pPr>
        <w:tabs>
          <w:tab w:val="left" w:pos="0"/>
        </w:tabs>
        <w:adjustRightInd w:val="0"/>
        <w:snapToGrid w:val="0"/>
        <w:spacing w:line="360" w:lineRule="auto"/>
        <w:ind w:firstLine="480" w:firstLineChars="200"/>
        <w:jc w:val="left"/>
      </w:pPr>
      <w:r>
        <w:rPr>
          <w:rFonts w:hint="eastAsia" w:ascii="宋体" w:hAnsi="宋体" w:cs="宋体"/>
          <w:sz w:val="24"/>
          <w:szCs w:val="24"/>
        </w:rPr>
        <w:t>7.供应商有融资、担保需求的：《陕西省财政厅关于印发〈陕西省中小企业政府采购信用融资办法〉的通知》（陕财办采〔2018〕23号）相关政策、业务流程、办理平台（http://www.ccgp-shaanxi.gov.cn/zcdservice/zcd/shanxi）。</w:t>
      </w:r>
    </w:p>
    <w:p w14:paraId="39014145">
      <w:pPr>
        <w:pStyle w:val="3"/>
        <w:rPr>
          <w:rFonts w:ascii="宋体" w:hAnsi="宋体" w:cs="宋体"/>
          <w:sz w:val="36"/>
          <w:szCs w:val="28"/>
        </w:rPr>
        <w:sectPr>
          <w:pgSz w:w="11906" w:h="16838"/>
          <w:pgMar w:top="1440" w:right="1706" w:bottom="1440" w:left="1800" w:header="851" w:footer="992" w:gutter="0"/>
          <w:cols w:space="720" w:num="1"/>
          <w:docGrid w:type="lines" w:linePitch="312" w:charSpace="0"/>
        </w:sectPr>
      </w:pPr>
    </w:p>
    <w:p w14:paraId="742EFEEA">
      <w:pPr>
        <w:pStyle w:val="3"/>
        <w:ind w:firstLine="420"/>
        <w:rPr>
          <w:rFonts w:ascii="宋体" w:hAnsi="宋体" w:cs="宋体"/>
          <w:sz w:val="36"/>
          <w:szCs w:val="36"/>
        </w:rPr>
      </w:pPr>
      <w:bookmarkStart w:id="28" w:name="_Toc564"/>
      <w:r>
        <w:rPr>
          <w:rFonts w:hint="eastAsia" w:ascii="宋体" w:hAnsi="宋体" w:cs="宋体"/>
          <w:sz w:val="36"/>
          <w:szCs w:val="36"/>
        </w:rPr>
        <w:t>三、响应文件</w:t>
      </w:r>
      <w:bookmarkEnd w:id="28"/>
    </w:p>
    <w:p w14:paraId="674138C6">
      <w:pPr>
        <w:pStyle w:val="4"/>
        <w:numPr>
          <w:ilvl w:val="0"/>
          <w:numId w:val="0"/>
        </w:numPr>
        <w:ind w:left="420"/>
      </w:pPr>
      <w:bookmarkStart w:id="29" w:name="_Toc17549"/>
      <w:r>
        <w:rPr>
          <w:rFonts w:hint="eastAsia"/>
        </w:rPr>
        <w:t>（一）响应文件的编制</w:t>
      </w:r>
      <w:bookmarkEnd w:id="29"/>
    </w:p>
    <w:p w14:paraId="214FE699">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供应商需依据谈判文件内容和响应文件格式的要求编制响应文件，具体内容参见“第七部分响应文件格式”。</w:t>
      </w:r>
    </w:p>
    <w:p w14:paraId="453EC69A">
      <w:pPr>
        <w:widowControl/>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14:paraId="0609DD75">
      <w:pPr>
        <w:pStyle w:val="4"/>
        <w:numPr>
          <w:ilvl w:val="0"/>
          <w:numId w:val="0"/>
        </w:numPr>
        <w:ind w:left="420"/>
      </w:pPr>
      <w:bookmarkStart w:id="30" w:name="_Toc27646"/>
      <w:r>
        <w:rPr>
          <w:rFonts w:hint="eastAsia"/>
        </w:rPr>
        <w:t>（二）响应报价</w:t>
      </w:r>
      <w:bookmarkEnd w:id="30"/>
    </w:p>
    <w:p w14:paraId="7914294D">
      <w:pPr>
        <w:adjustRightInd w:val="0"/>
        <w:snapToGrid w:val="0"/>
        <w:spacing w:line="360" w:lineRule="auto"/>
        <w:ind w:firstLine="482" w:firstLineChars="200"/>
        <w:rPr>
          <w:rFonts w:ascii="宋体" w:hAnsi="宋体" w:cs="宋体"/>
        </w:rPr>
      </w:pPr>
      <w:bookmarkStart w:id="31" w:name="_Toc29200"/>
      <w:r>
        <w:rPr>
          <w:rFonts w:hint="eastAsia" w:ascii="宋体" w:hAnsi="宋体" w:cs="宋体"/>
          <w:b/>
          <w:bCs/>
          <w:sz w:val="24"/>
          <w:szCs w:val="24"/>
        </w:rPr>
        <w:t>详见供应商须知前附表。</w:t>
      </w:r>
    </w:p>
    <w:p w14:paraId="78137994">
      <w:pPr>
        <w:pStyle w:val="4"/>
        <w:numPr>
          <w:ilvl w:val="0"/>
          <w:numId w:val="0"/>
        </w:numPr>
        <w:ind w:left="420"/>
      </w:pPr>
      <w:r>
        <w:rPr>
          <w:rFonts w:hint="eastAsia"/>
        </w:rPr>
        <w:t>（三）货币</w:t>
      </w:r>
      <w:bookmarkEnd w:id="31"/>
    </w:p>
    <w:p w14:paraId="36A7B8CC">
      <w:pPr>
        <w:adjustRightInd w:val="0"/>
        <w:snapToGrid w:val="0"/>
        <w:spacing w:line="360" w:lineRule="auto"/>
        <w:ind w:firstLine="482" w:firstLineChars="200"/>
        <w:rPr>
          <w:rFonts w:ascii="宋体" w:hAnsi="宋体" w:cs="宋体"/>
        </w:rPr>
      </w:pPr>
      <w:bookmarkStart w:id="32" w:name="_Toc1311"/>
      <w:r>
        <w:rPr>
          <w:rFonts w:hint="eastAsia" w:ascii="宋体" w:hAnsi="宋体" w:cs="宋体"/>
          <w:b/>
          <w:bCs/>
          <w:sz w:val="24"/>
          <w:szCs w:val="24"/>
        </w:rPr>
        <w:t>详见供应商须知前附表。</w:t>
      </w:r>
    </w:p>
    <w:bookmarkEnd w:id="32"/>
    <w:p w14:paraId="6E3A3D2C">
      <w:pPr>
        <w:pStyle w:val="4"/>
        <w:numPr>
          <w:ilvl w:val="0"/>
          <w:numId w:val="0"/>
        </w:numPr>
        <w:ind w:left="420"/>
      </w:pPr>
      <w:r>
        <w:rPr>
          <w:rFonts w:hint="eastAsia"/>
        </w:rPr>
        <w:t>（四）响应保证金</w:t>
      </w:r>
    </w:p>
    <w:p w14:paraId="0FE9820C">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rPr>
        <w:t>1.响应保证金按照供应商须知前附表要求缴纳。</w:t>
      </w:r>
    </w:p>
    <w:p w14:paraId="7A678C80">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2.供应商未按照竞争性谈判文件要求交纳响应保证金的或响应保证金的交付单位和供应商的名称必须一致，视为无效响应。</w:t>
      </w:r>
    </w:p>
    <w:p w14:paraId="76B9BB69">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3.未成交供应商的响应保证金，在成交通知书发出后5个工作日内无息退还；成交供应商的响应保证金在合同签订后5个工作日内无息退还。</w:t>
      </w:r>
    </w:p>
    <w:p w14:paraId="6BE5952C">
      <w:pPr>
        <w:tabs>
          <w:tab w:val="left" w:pos="0"/>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4.发生下列情形之一的，代理机构将不予退还供应商缴纳的响应保证金：</w:t>
      </w:r>
    </w:p>
    <w:p w14:paraId="0519776E">
      <w:pPr>
        <w:tabs>
          <w:tab w:val="left" w:pos="0"/>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rPr>
        <w:t>(1)谈判后在竞争性谈判文件规定的响应有效期间，供应商撤回其响应文件</w:t>
      </w:r>
      <w:r>
        <w:rPr>
          <w:rFonts w:hint="eastAsia" w:ascii="宋体" w:hAnsi="宋体" w:eastAsia="宋体" w:cs="宋体"/>
          <w:sz w:val="24"/>
          <w:szCs w:val="24"/>
        </w:rPr>
        <w:t>；</w:t>
      </w:r>
    </w:p>
    <w:p w14:paraId="52673B6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(2)在采购人确定成交供应商以前放弃成交候选资格的；</w:t>
      </w:r>
    </w:p>
    <w:p w14:paraId="1D78A42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(3)由于成交供应商原因未能按照竞争性谈判文件的规定与采购人签订合同；</w:t>
      </w:r>
    </w:p>
    <w:p w14:paraId="290EC22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(4)由于成交供应商原因未能按照竞争性谈判文件的规定缴纳履约保证金；</w:t>
      </w:r>
    </w:p>
    <w:p w14:paraId="39DC603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(5)响应有效期内，供应商在政府采购活动中有违法、违规、违纪行为。</w:t>
      </w:r>
    </w:p>
    <w:p w14:paraId="57C3E676">
      <w:pPr>
        <w:pStyle w:val="4"/>
        <w:numPr>
          <w:ilvl w:val="0"/>
          <w:numId w:val="0"/>
        </w:numPr>
        <w:ind w:left="420"/>
      </w:pPr>
      <w:r>
        <w:rPr>
          <w:rFonts w:hint="eastAsia"/>
        </w:rPr>
        <w:t>（五）响应有效期</w:t>
      </w:r>
    </w:p>
    <w:p w14:paraId="573D373E">
      <w:pPr>
        <w:adjustRightInd w:val="0"/>
        <w:snapToGrid w:val="0"/>
        <w:spacing w:line="360" w:lineRule="auto"/>
        <w:ind w:firstLine="480" w:firstLineChars="200"/>
        <w:rPr>
          <w:rFonts w:ascii="宋体" w:hAnsi="宋体" w:cs="宋体"/>
          <w:sz w:val="24"/>
          <w:szCs w:val="24"/>
        </w:rPr>
      </w:pPr>
      <w:bookmarkStart w:id="33" w:name="_Toc24827"/>
      <w:r>
        <w:rPr>
          <w:rFonts w:hint="eastAsia" w:ascii="宋体" w:hAnsi="宋体" w:cs="宋体"/>
          <w:sz w:val="24"/>
          <w:szCs w:val="24"/>
        </w:rPr>
        <w:t>响应有效期见供应商须知前附表，无响应有效期或响应有效期短于此规定期限的响应文件，视为无效文件，其谈判将被拒绝。</w:t>
      </w:r>
    </w:p>
    <w:p w14:paraId="04015A1F">
      <w:pPr>
        <w:pStyle w:val="4"/>
        <w:numPr>
          <w:ilvl w:val="0"/>
          <w:numId w:val="0"/>
        </w:numPr>
        <w:ind w:left="420"/>
      </w:pPr>
      <w:r>
        <w:rPr>
          <w:rFonts w:hint="eastAsia"/>
        </w:rPr>
        <w:t>（六）响应文件的格式、装订、密封和签署</w:t>
      </w:r>
      <w:bookmarkEnd w:id="33"/>
    </w:p>
    <w:p w14:paraId="5F49650D">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1.响应文件的装订</w:t>
      </w:r>
    </w:p>
    <w:p w14:paraId="33FF2F95">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14:paraId="085E863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2.响应文件的签署</w:t>
      </w:r>
    </w:p>
    <w:p w14:paraId="5404B186">
      <w:pPr>
        <w:adjustRightInd w:val="0"/>
        <w:snapToGrid w:val="0"/>
        <w:spacing w:line="360" w:lineRule="auto"/>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14:paraId="7EEEFEF6">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3.响应文件的密封</w:t>
      </w:r>
    </w:p>
    <w:p w14:paraId="5ABF9347">
      <w:pPr>
        <w:adjustRightInd w:val="0"/>
        <w:snapToGrid w:val="0"/>
        <w:spacing w:line="360" w:lineRule="auto"/>
        <w:ind w:firstLine="482" w:firstLineChars="200"/>
        <w:jc w:val="left"/>
        <w:rPr>
          <w:rFonts w:ascii="宋体" w:hAnsi="宋体" w:cs="宋体"/>
        </w:rPr>
      </w:pPr>
      <w:r>
        <w:rPr>
          <w:rFonts w:hint="eastAsia" w:ascii="宋体" w:hAnsi="宋体" w:cs="宋体"/>
          <w:b/>
          <w:bCs/>
          <w:sz w:val="24"/>
          <w:szCs w:val="24"/>
        </w:rPr>
        <w:t>详见供应商须知前附表。</w:t>
      </w:r>
    </w:p>
    <w:p w14:paraId="43B5D2CF">
      <w:pPr>
        <w:widowControl/>
        <w:spacing w:line="360" w:lineRule="auto"/>
        <w:ind w:left="420" w:leftChars="200"/>
        <w:rPr>
          <w:rFonts w:ascii="宋体" w:hAnsi="宋体" w:eastAsia="宋体" w:cs="宋体"/>
          <w:kern w:val="0"/>
          <w:sz w:val="24"/>
        </w:rPr>
      </w:pPr>
    </w:p>
    <w:p w14:paraId="38B69694">
      <w:pPr>
        <w:pStyle w:val="3"/>
        <w:numPr>
          <w:ilvl w:val="0"/>
          <w:numId w:val="2"/>
        </w:numPr>
        <w:rPr>
          <w:rFonts w:ascii="宋体" w:hAnsi="宋体" w:cs="宋体"/>
        </w:rPr>
        <w:sectPr>
          <w:footerReference r:id="rId9" w:type="default"/>
          <w:pgSz w:w="11906" w:h="16838"/>
          <w:pgMar w:top="1440" w:right="1803" w:bottom="1440" w:left="1803" w:header="851" w:footer="992" w:gutter="0"/>
          <w:cols w:space="720" w:num="1"/>
          <w:docGrid w:type="lines" w:linePitch="319" w:charSpace="0"/>
        </w:sectPr>
      </w:pPr>
      <w:bookmarkStart w:id="34" w:name="_Toc3565"/>
      <w:bookmarkStart w:id="35" w:name="_Toc3736"/>
    </w:p>
    <w:p w14:paraId="1DF4BBB5">
      <w:pPr>
        <w:pStyle w:val="3"/>
        <w:ind w:firstLine="420"/>
        <w:rPr>
          <w:rFonts w:ascii="宋体" w:hAnsi="宋体" w:cs="宋体"/>
          <w:sz w:val="36"/>
          <w:szCs w:val="36"/>
        </w:rPr>
      </w:pPr>
      <w:bookmarkStart w:id="36" w:name="_Toc19409"/>
      <w:r>
        <w:rPr>
          <w:rFonts w:hint="eastAsia" w:ascii="宋体" w:hAnsi="宋体" w:cs="宋体"/>
          <w:sz w:val="36"/>
          <w:szCs w:val="36"/>
        </w:rPr>
        <w:t>四、响应文件的递交</w:t>
      </w:r>
      <w:bookmarkEnd w:id="34"/>
      <w:bookmarkEnd w:id="36"/>
    </w:p>
    <w:bookmarkEnd w:id="35"/>
    <w:p w14:paraId="1BA372BF">
      <w:pPr>
        <w:pStyle w:val="4"/>
        <w:numPr>
          <w:ilvl w:val="0"/>
          <w:numId w:val="0"/>
        </w:numPr>
        <w:ind w:left="420"/>
      </w:pPr>
      <w:bookmarkStart w:id="37" w:name="_Toc3685"/>
      <w:r>
        <w:rPr>
          <w:rFonts w:hint="eastAsia"/>
        </w:rPr>
        <w:t>（一）响应文件递交</w:t>
      </w:r>
      <w:bookmarkEnd w:id="37"/>
    </w:p>
    <w:p w14:paraId="76350AD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14:paraId="364B285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2.逾期送达或者未按照谈判文件要求密封的响应文件，采购代理机构应当拒收。</w:t>
      </w:r>
    </w:p>
    <w:p w14:paraId="2F3D52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3.代理机构不接受邮寄的响应文件。</w:t>
      </w:r>
    </w:p>
    <w:p w14:paraId="1039FD9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4.无论供应商成交与否，其响应文件恕不退还。</w:t>
      </w:r>
    </w:p>
    <w:p w14:paraId="190BF39A">
      <w:pPr>
        <w:pStyle w:val="4"/>
        <w:numPr>
          <w:ilvl w:val="0"/>
          <w:numId w:val="0"/>
        </w:numPr>
        <w:ind w:left="420"/>
      </w:pPr>
      <w:bookmarkStart w:id="38" w:name="_Toc12741"/>
      <w:r>
        <w:rPr>
          <w:rFonts w:hint="eastAsia"/>
        </w:rPr>
        <w:t>（二）响应文件的修改和撤回</w:t>
      </w:r>
      <w:bookmarkEnd w:id="38"/>
    </w:p>
    <w:p w14:paraId="6B580737">
      <w:pPr>
        <w:widowControl/>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14:paraId="641D908E">
      <w:pPr>
        <w:pStyle w:val="3"/>
        <w:ind w:firstLine="420"/>
        <w:rPr>
          <w:rFonts w:ascii="宋体" w:hAnsi="宋体" w:cs="宋体"/>
          <w:sz w:val="36"/>
          <w:szCs w:val="36"/>
        </w:rPr>
      </w:pPr>
      <w:bookmarkStart w:id="39" w:name="_Toc27066"/>
      <w:bookmarkStart w:id="40" w:name="_Toc14415"/>
      <w:bookmarkStart w:id="41" w:name="_Toc14916"/>
      <w:r>
        <w:rPr>
          <w:rFonts w:hint="eastAsia" w:ascii="宋体" w:hAnsi="宋体" w:cs="宋体"/>
          <w:sz w:val="36"/>
          <w:szCs w:val="36"/>
        </w:rPr>
        <w:t>五、谈判、评审、定标</w:t>
      </w:r>
      <w:bookmarkEnd w:id="39"/>
      <w:bookmarkEnd w:id="40"/>
      <w:bookmarkEnd w:id="41"/>
    </w:p>
    <w:p w14:paraId="07BF17B9">
      <w:pPr>
        <w:pStyle w:val="4"/>
        <w:numPr>
          <w:ilvl w:val="0"/>
          <w:numId w:val="0"/>
        </w:numPr>
        <w:ind w:left="420"/>
      </w:pPr>
      <w:r>
        <w:rPr>
          <w:rFonts w:hint="eastAsia"/>
        </w:rPr>
        <w:t>（一）谈判</w:t>
      </w:r>
    </w:p>
    <w:p w14:paraId="74DF6FE2">
      <w:pPr>
        <w:widowControl/>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1.采购代理机构按谈判公告中规定的时间和地点接收供应商递交的响应文件，主持谈判会议，邀请供应商代表参加。</w:t>
      </w:r>
    </w:p>
    <w:p w14:paraId="51E04C70">
      <w:pPr>
        <w:widowControl/>
        <w:tabs>
          <w:tab w:val="left" w:pos="0"/>
        </w:tabs>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2.谈判时，由供应商或者其推选的代表检查响应文件的密封情况；经确认无误后，由采购代理机构工作人员拆封。代理机构指定专人负责将供应商的名称、谈判项目名称、响应价格等进行记录，并存档备案。</w:t>
      </w:r>
    </w:p>
    <w:p w14:paraId="7206D485">
      <w:pPr>
        <w:tabs>
          <w:tab w:val="left" w:pos="0"/>
        </w:tabs>
        <w:adjustRightInd w:val="0"/>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3.谈判时，响应文件中出现下列情况，修正原则为：</w:t>
      </w:r>
    </w:p>
    <w:p w14:paraId="37C8DBB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(1)谈判文件中响应一览表（报价表）内容与响应文件中相应内容不一致的，以响应一览表（报价表）为准；</w:t>
      </w:r>
    </w:p>
    <w:p w14:paraId="128317F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48F2BEE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(3)单价金额小数点或者百分比有明显错位的，以响应一览表的总价为准，并修改单价；</w:t>
      </w:r>
    </w:p>
    <w:p w14:paraId="6608F48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62BB91A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(5)响应文件正本与副本不一致的，以正本为准；</w:t>
      </w:r>
    </w:p>
    <w:p w14:paraId="00476F1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(6)响应文件单独密封递交的响应一览表与正本不一致的，以单独密封递交的响应一览表为准；</w:t>
      </w:r>
    </w:p>
    <w:p w14:paraId="7DDABCB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14:paraId="5E694A50">
      <w:pPr>
        <w:pStyle w:val="4"/>
        <w:numPr>
          <w:ilvl w:val="0"/>
          <w:numId w:val="0"/>
        </w:numPr>
        <w:ind w:left="420"/>
      </w:pPr>
      <w:r>
        <w:rPr>
          <w:rFonts w:hint="eastAsia"/>
        </w:rPr>
        <w:t>（二）谈判小组</w:t>
      </w:r>
    </w:p>
    <w:p w14:paraId="6A2D257B">
      <w:pPr>
        <w:widowControl/>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14:paraId="38AA7EE1">
      <w:pPr>
        <w:widowControl/>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14:paraId="27CBBEDA">
      <w:pPr>
        <w:widowControl/>
        <w:adjustRightInd w:val="0"/>
        <w:snapToGrid w:val="0"/>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14:paraId="534EF404">
      <w:pPr>
        <w:pStyle w:val="4"/>
        <w:numPr>
          <w:ilvl w:val="0"/>
          <w:numId w:val="0"/>
        </w:numPr>
        <w:ind w:left="420"/>
      </w:pPr>
      <w:bookmarkStart w:id="42" w:name="_Toc386129876"/>
      <w:bookmarkStart w:id="43" w:name="_Toc27940"/>
      <w:bookmarkStart w:id="44" w:name="_Toc28085"/>
      <w:bookmarkStart w:id="45" w:name="_Toc385958808"/>
      <w:r>
        <w:rPr>
          <w:rFonts w:hint="eastAsia"/>
        </w:rPr>
        <w:t>（三）响应文件初审</w:t>
      </w:r>
      <w:bookmarkEnd w:id="42"/>
      <w:bookmarkEnd w:id="43"/>
      <w:bookmarkEnd w:id="44"/>
      <w:bookmarkEnd w:id="45"/>
    </w:p>
    <w:p w14:paraId="4AC331F0">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1.响应文件的资格性审查</w:t>
      </w:r>
    </w:p>
    <w:p w14:paraId="044BBC8A">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依据法律法规和竞争性谈判文件的规定，对响应文件中的资格证明文件等进行审查，以确保供应商是否具备相应资格。</w:t>
      </w:r>
    </w:p>
    <w:p w14:paraId="7FC3AFF1">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2.响应文件符合性审查</w:t>
      </w:r>
    </w:p>
    <w:p w14:paraId="4911BC1D">
      <w:pPr>
        <w:pStyle w:val="11"/>
        <w:adjustRightInd w:val="0"/>
        <w:snapToGrid w:val="0"/>
        <w:ind w:firstLine="480" w:firstLineChars="200"/>
        <w:rPr>
          <w:b w:val="0"/>
          <w:bCs w:val="0"/>
          <w:color w:val="auto"/>
        </w:rPr>
      </w:pPr>
      <w:r>
        <w:rPr>
          <w:rFonts w:hint="eastAsia"/>
          <w:b w:val="0"/>
          <w:bCs w:val="0"/>
          <w:color w:val="auto"/>
        </w:rPr>
        <w:t>谈判小组应当对符合资格的供应商的响应文件进行符合性审查，以确定其是否满足谈判文件的实质性要求。符合性审查内容详见供应商须知前附表。</w:t>
      </w:r>
    </w:p>
    <w:p w14:paraId="4201FDC2">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14:paraId="7A4D9182">
      <w:pPr>
        <w:pStyle w:val="20"/>
        <w:adjustRightInd w:val="0"/>
        <w:snapToGrid w:val="0"/>
        <w:spacing w:beforeAutospacing="0" w:after="210" w:afterAutospacing="0" w:line="360" w:lineRule="auto"/>
        <w:ind w:firstLine="480" w:firstLineChars="200"/>
        <w:jc w:val="both"/>
      </w:pPr>
      <w:r>
        <w:rPr>
          <w:rFonts w:hint="eastAsia" w:ascii="宋体" w:hAnsi="宋体" w:eastAsia="宋体" w:cs="宋体"/>
        </w:rPr>
        <w:t>(1)</w:t>
      </w:r>
      <w:r>
        <w:rPr>
          <w:rFonts w:hint="eastAsia"/>
        </w:rPr>
        <w:t>不同供应商的响应文件由同一单位或者个人编制；</w:t>
      </w:r>
    </w:p>
    <w:p w14:paraId="45BEF18F">
      <w:pPr>
        <w:pStyle w:val="20"/>
        <w:adjustRightInd w:val="0"/>
        <w:snapToGrid w:val="0"/>
        <w:spacing w:beforeAutospacing="0" w:after="210" w:afterAutospacing="0" w:line="360" w:lineRule="auto"/>
        <w:ind w:firstLine="480" w:firstLineChars="200"/>
        <w:jc w:val="both"/>
      </w:pPr>
      <w:r>
        <w:rPr>
          <w:rFonts w:hint="eastAsia" w:ascii="宋体" w:hAnsi="宋体" w:eastAsia="宋体" w:cs="宋体"/>
        </w:rPr>
        <w:t>(2)</w:t>
      </w:r>
      <w:r>
        <w:rPr>
          <w:rFonts w:hint="eastAsia"/>
        </w:rPr>
        <w:t>不同供应商委托同一单位或者个人办理投标事宜；</w:t>
      </w:r>
    </w:p>
    <w:p w14:paraId="66CE8D06">
      <w:pPr>
        <w:pStyle w:val="20"/>
        <w:adjustRightInd w:val="0"/>
        <w:snapToGrid w:val="0"/>
        <w:spacing w:beforeAutospacing="0" w:after="210" w:afterAutospacing="0" w:line="360" w:lineRule="auto"/>
        <w:ind w:firstLine="480" w:firstLineChars="200"/>
        <w:jc w:val="both"/>
      </w:pPr>
      <w:r>
        <w:rPr>
          <w:rFonts w:hint="eastAsia" w:ascii="宋体" w:hAnsi="宋体" w:eastAsia="宋体" w:cs="宋体"/>
        </w:rPr>
        <w:t>(3)</w:t>
      </w:r>
      <w:r>
        <w:rPr>
          <w:rFonts w:hint="eastAsia"/>
        </w:rPr>
        <w:t>不同供应商的响应文件载明的项目管理成员或者联系人员为同一人；</w:t>
      </w:r>
    </w:p>
    <w:p w14:paraId="3A954964">
      <w:pPr>
        <w:pStyle w:val="20"/>
        <w:adjustRightInd w:val="0"/>
        <w:snapToGrid w:val="0"/>
        <w:spacing w:beforeAutospacing="0" w:after="210" w:afterAutospacing="0" w:line="360" w:lineRule="auto"/>
        <w:ind w:firstLine="480" w:firstLineChars="200"/>
        <w:jc w:val="both"/>
      </w:pPr>
      <w:r>
        <w:rPr>
          <w:rFonts w:hint="eastAsia" w:ascii="宋体" w:hAnsi="宋体" w:eastAsia="宋体" w:cs="宋体"/>
        </w:rPr>
        <w:t>(4)</w:t>
      </w:r>
      <w:r>
        <w:rPr>
          <w:rFonts w:hint="eastAsia"/>
        </w:rPr>
        <w:t>不同供应商的响应文件异常一致或者投标报价呈规律性差异；</w:t>
      </w:r>
    </w:p>
    <w:p w14:paraId="3C4E807F">
      <w:pPr>
        <w:pStyle w:val="20"/>
        <w:adjustRightInd w:val="0"/>
        <w:snapToGrid w:val="0"/>
        <w:spacing w:beforeAutospacing="0" w:after="210" w:afterAutospacing="0" w:line="360" w:lineRule="auto"/>
        <w:ind w:firstLine="480" w:firstLineChars="200"/>
        <w:jc w:val="both"/>
      </w:pPr>
      <w:r>
        <w:rPr>
          <w:rFonts w:hint="eastAsia" w:ascii="宋体" w:hAnsi="宋体" w:eastAsia="宋体" w:cs="宋体"/>
        </w:rPr>
        <w:t>(5)</w:t>
      </w:r>
      <w:r>
        <w:rPr>
          <w:rFonts w:hint="eastAsia"/>
        </w:rPr>
        <w:t>不同供应商的响应文件相互混装；</w:t>
      </w:r>
    </w:p>
    <w:p w14:paraId="1052401F">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(6)不同供应商的投标保证金从同一单位或者个人的账户转出。</w:t>
      </w:r>
    </w:p>
    <w:p w14:paraId="2E6FC82D">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14:paraId="4C6D4727">
      <w:pPr>
        <w:pStyle w:val="4"/>
        <w:numPr>
          <w:ilvl w:val="0"/>
          <w:numId w:val="0"/>
        </w:numPr>
        <w:ind w:left="420"/>
      </w:pPr>
      <w:bookmarkStart w:id="46" w:name="_Toc17705"/>
      <w:r>
        <w:rPr>
          <w:rFonts w:hint="eastAsia"/>
        </w:rPr>
        <w:t>（四）响应文件澄清</w:t>
      </w:r>
      <w:bookmarkEnd w:id="46"/>
    </w:p>
    <w:p w14:paraId="02D220D2">
      <w:pPr>
        <w:overflowPunct w:val="0"/>
        <w:adjustRightInd w:val="0"/>
        <w:snapToGrid w:val="0"/>
        <w:spacing w:line="360" w:lineRule="auto"/>
        <w:ind w:firstLine="480" w:firstLineChars="200"/>
        <w:rPr>
          <w:rFonts w:ascii="宋体" w:hAnsi="宋体" w:eastAsia="宋体" w:cs="宋体"/>
          <w:sz w:val="24"/>
        </w:rPr>
      </w:pPr>
      <w:bookmarkStart w:id="47"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14:paraId="004B59B6">
      <w:pPr>
        <w:adjustRightInd w:val="0"/>
        <w:snapToGrid w:val="0"/>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14:paraId="4BCEDD64">
      <w:pPr>
        <w:pStyle w:val="4"/>
        <w:numPr>
          <w:ilvl w:val="0"/>
          <w:numId w:val="0"/>
        </w:numPr>
        <w:ind w:left="420"/>
      </w:pPr>
      <w:r>
        <w:rPr>
          <w:rFonts w:hint="eastAsia"/>
        </w:rPr>
        <w:t>（五）评</w:t>
      </w:r>
      <w:bookmarkEnd w:id="47"/>
      <w:r>
        <w:rPr>
          <w:rFonts w:hint="eastAsia"/>
        </w:rPr>
        <w:t>审</w:t>
      </w:r>
    </w:p>
    <w:p w14:paraId="024FD7E8">
      <w:pPr>
        <w:widowControl/>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1.谈判小组有权对在谈判、评审过程中出现的一切问题，根据《中华人民共和国政府采购法》和《政府采购非招标采购方式管理办法》的条款，本着公开、公平、公正的原则进行处理。</w:t>
      </w:r>
    </w:p>
    <w:p w14:paraId="6478B0FB">
      <w:pPr>
        <w:widowControl/>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依据《中华人民共和国政府采购法》和《中华人民共和国政府采购法实施条例》的有关规定，落实政府采购“优先购买节能环保产品，扶持小微企业、监狱企业、福利企业”等相关政策，对小型、微型和监狱企业产品的价格给予6%的扣除，用扣除后的价格参与评审。</w:t>
      </w:r>
    </w:p>
    <w:p w14:paraId="52B2371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3.谈判流程</w:t>
      </w:r>
    </w:p>
    <w:p w14:paraId="6C43424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只有通过资格审查和符合性审查的供应商，才能进入第二阶段的谈判，否则被淘汰。</w:t>
      </w:r>
    </w:p>
    <w:p w14:paraId="2AA5A1B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谈判小组所有成员集中与单一供应商分别进行谈判（谈判轮次为多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14:paraId="6DEA39E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14:paraId="6E6464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5.对谈判文件作出的实质性变动是谈判文件的有效组成部分，谈判小组应当及时以书面形式同时通知所有参加谈判的供应商。</w:t>
      </w:r>
    </w:p>
    <w:p w14:paraId="01BB5A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14:paraId="4D37588D">
      <w:pPr>
        <w:adjustRightInd w:val="0"/>
        <w:snapToGrid w:val="0"/>
        <w:spacing w:line="360" w:lineRule="auto"/>
        <w:ind w:firstLine="480" w:firstLineChars="200"/>
      </w:pPr>
      <w:r>
        <w:rPr>
          <w:rFonts w:hint="eastAsia" w:ascii="宋体" w:hAnsi="宋体" w:eastAsia="宋体" w:cs="宋体"/>
          <w:sz w:val="24"/>
        </w:rPr>
        <w:t>7.谈判小组按照采购需求、质量和服务相等且报价最低的原则确定成交候选供应商，若出现相同报价的，可再次报价，直至产生唯一最低报价。</w:t>
      </w:r>
    </w:p>
    <w:p w14:paraId="2989CDFF">
      <w:pPr>
        <w:pStyle w:val="4"/>
        <w:numPr>
          <w:ilvl w:val="0"/>
          <w:numId w:val="0"/>
        </w:numPr>
        <w:ind w:left="420"/>
      </w:pPr>
      <w:bookmarkStart w:id="48" w:name="_Toc12947"/>
      <w:r>
        <w:rPr>
          <w:rFonts w:hint="eastAsia"/>
        </w:rPr>
        <w:t>（六）定标</w:t>
      </w:r>
      <w:bookmarkEnd w:id="48"/>
    </w:p>
    <w:p w14:paraId="43ECB29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代理机构在评审结束后2个工作日内将评审报告送达采购单位，采购单位在收到评审报告后5个工作日内，按照评审报告中推荐的成交候选人顺序确认第一成交候选人为成交单位，同时书面复函代理机构；</w:t>
      </w:r>
    </w:p>
    <w:p w14:paraId="3DFDF53C">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代理机构收到采购单位“定标复函”后2日内，在财政部门指定的政府采购信息媒体上发布公告，并向成交供应商发出“成交通知书”。</w:t>
      </w:r>
    </w:p>
    <w:p w14:paraId="5F012197">
      <w:pPr>
        <w:pStyle w:val="3"/>
        <w:adjustRightInd w:val="0"/>
        <w:snapToGrid w:val="0"/>
        <w:spacing w:line="360" w:lineRule="auto"/>
        <w:ind w:firstLine="723" w:firstLineChars="200"/>
        <w:rPr>
          <w:rFonts w:ascii="宋体" w:hAnsi="宋体" w:cs="宋体"/>
          <w:sz w:val="36"/>
          <w:szCs w:val="36"/>
        </w:rPr>
      </w:pPr>
      <w:bookmarkStart w:id="49" w:name="_Toc21670"/>
      <w:bookmarkStart w:id="50" w:name="_Toc25308"/>
      <w:bookmarkStart w:id="51" w:name="_Toc19972"/>
      <w:r>
        <w:rPr>
          <w:rFonts w:hint="eastAsia" w:ascii="宋体" w:hAnsi="宋体" w:cs="宋体"/>
          <w:sz w:val="36"/>
          <w:szCs w:val="36"/>
        </w:rPr>
        <w:t>六、签订合同</w:t>
      </w:r>
      <w:bookmarkEnd w:id="49"/>
      <w:bookmarkEnd w:id="50"/>
      <w:bookmarkEnd w:id="51"/>
    </w:p>
    <w:p w14:paraId="163D065B">
      <w:pPr>
        <w:pStyle w:val="7"/>
        <w:adjustRightInd w:val="0"/>
        <w:snapToGrid w:val="0"/>
        <w:spacing w:line="360" w:lineRule="auto"/>
        <w:ind w:firstLine="480" w:firstLineChars="200"/>
        <w:rPr>
          <w:rFonts w:ascii="宋体" w:hAnsi="宋体" w:cs="宋体"/>
          <w:sz w:val="24"/>
          <w:szCs w:val="24"/>
        </w:rPr>
      </w:pPr>
      <w:bookmarkStart w:id="52" w:name="_Toc26132"/>
      <w:bookmarkStart w:id="53" w:name="_Toc28110"/>
      <w:r>
        <w:rPr>
          <w:rFonts w:hint="eastAsia" w:ascii="宋体" w:hAnsi="宋体" w:cs="宋体"/>
          <w:sz w:val="24"/>
          <w:szCs w:val="24"/>
        </w:rPr>
        <w:t>采购人与中标、成交供应商应当在中标、成交通知书发出之日起二十五日内，按照采购文件确定的事项签订政府采购合同。</w:t>
      </w:r>
    </w:p>
    <w:bookmarkEnd w:id="52"/>
    <w:bookmarkEnd w:id="53"/>
    <w:p w14:paraId="4FA2C343">
      <w:pPr>
        <w:pStyle w:val="3"/>
        <w:adjustRightInd w:val="0"/>
        <w:snapToGrid w:val="0"/>
        <w:spacing w:line="360" w:lineRule="auto"/>
        <w:ind w:firstLine="723" w:firstLineChars="200"/>
        <w:rPr>
          <w:rFonts w:ascii="宋体" w:hAnsi="宋体" w:cs="宋体"/>
          <w:sz w:val="36"/>
          <w:szCs w:val="36"/>
        </w:rPr>
      </w:pPr>
      <w:bookmarkStart w:id="54" w:name="_Toc16019"/>
      <w:bookmarkStart w:id="55" w:name="_Toc32056"/>
      <w:bookmarkStart w:id="56" w:name="_Toc2108"/>
      <w:bookmarkStart w:id="57" w:name="_Toc7191"/>
      <w:bookmarkStart w:id="58" w:name="_Toc21950"/>
      <w:bookmarkStart w:id="59" w:name="_Toc27418"/>
      <w:r>
        <w:rPr>
          <w:rFonts w:hint="eastAsia" w:ascii="宋体" w:hAnsi="宋体" w:cs="宋体"/>
          <w:sz w:val="36"/>
          <w:szCs w:val="36"/>
        </w:rPr>
        <w:t>七、质疑和投诉</w:t>
      </w:r>
      <w:bookmarkEnd w:id="54"/>
      <w:bookmarkEnd w:id="55"/>
      <w:bookmarkEnd w:id="56"/>
      <w:bookmarkEnd w:id="57"/>
      <w:bookmarkEnd w:id="58"/>
      <w:bookmarkEnd w:id="59"/>
    </w:p>
    <w:p w14:paraId="4CD6E521">
      <w:pPr>
        <w:adjustRightInd w:val="0"/>
        <w:snapToGrid w:val="0"/>
        <w:spacing w:line="360" w:lineRule="auto"/>
        <w:ind w:firstLine="480" w:firstLineChars="200"/>
        <w:jc w:val="left"/>
        <w:rPr>
          <w:rFonts w:ascii="宋体" w:hAnsi="宋体" w:cs="宋体"/>
          <w:sz w:val="24"/>
          <w:szCs w:val="24"/>
        </w:rPr>
      </w:pPr>
      <w:bookmarkStart w:id="60"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0A3F255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6DB476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对采购文件提出质疑的，为收到采购文件之日或者采购文件公告期限届满之日；</w:t>
      </w:r>
    </w:p>
    <w:p w14:paraId="023C6AD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对采购过程提出质疑的，为各采购程序环节结束之日；</w:t>
      </w:r>
    </w:p>
    <w:p w14:paraId="609420E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对中标或者成交结果提出质疑的，为中标或者成交结果公告期限届满之日。</w:t>
      </w:r>
    </w:p>
    <w:p w14:paraId="26766CA9">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供应商应当在法定质疑期内一次性提出针对同一采购程序环节的质疑。</w:t>
      </w:r>
    </w:p>
    <w:p w14:paraId="45B3D72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质疑函应当包括下列主要内容：</w:t>
      </w:r>
    </w:p>
    <w:p w14:paraId="767F7BF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1.供应商的姓名或名称、地址、邮编、联系人及联系电话；</w:t>
      </w:r>
    </w:p>
    <w:p w14:paraId="57E86DC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2.质疑项目的名称、编号；</w:t>
      </w:r>
    </w:p>
    <w:p w14:paraId="5769753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14:paraId="15CB0EA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4.事实依据；</w:t>
      </w:r>
    </w:p>
    <w:p w14:paraId="7768551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5.必要的法律依据；</w:t>
      </w:r>
    </w:p>
    <w:p w14:paraId="69E9F33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6.提出质疑的日期。</w:t>
      </w:r>
    </w:p>
    <w:p w14:paraId="4EFD91D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14:paraId="7CF9580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14:paraId="473DFFE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函内容不得含有虚假、恶意成分。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3B3504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质疑函接收方式：由自然人本人或法定代表人或者其授权代表携带书面原件及身份证明原件到现场递交，否则不予受理。</w:t>
      </w:r>
    </w:p>
    <w:p w14:paraId="688BE4C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质疑受理部门：陕西卓佲项目管理有限公司。</w:t>
      </w:r>
    </w:p>
    <w:p w14:paraId="63C97C6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质疑受理电话：029-81875979。</w:t>
      </w:r>
    </w:p>
    <w:p w14:paraId="4C5F06F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提交质疑函地点：西安市雁塔区科技路30号合力紫郡B座21层。</w:t>
      </w:r>
    </w:p>
    <w:p w14:paraId="4B6B2FE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本次采购活动中，采购代理机构对质疑函回复的书面文件的送达方式为现场取件。</w:t>
      </w:r>
    </w:p>
    <w:p w14:paraId="7878412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14:paraId="298876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4D2AD72B">
      <w:pPr>
        <w:adjustRightInd w:val="0"/>
        <w:snapToGrid w:val="0"/>
        <w:spacing w:line="360" w:lineRule="auto"/>
        <w:ind w:firstLine="480" w:firstLineChars="200"/>
        <w:jc w:val="left"/>
      </w:pPr>
      <w:r>
        <w:rPr>
          <w:rFonts w:hint="eastAsia" w:ascii="宋体" w:hAnsi="宋体" w:cs="宋体"/>
          <w:sz w:val="24"/>
          <w:szCs w:val="24"/>
        </w:rPr>
        <w:t>质疑函应当使用中文。质疑函范本详见财政部制定的范本即竞争性谈判文件附件六。</w:t>
      </w:r>
      <w:r>
        <w:rPr>
          <w:rFonts w:hint="eastAsia"/>
        </w:rPr>
        <w:br w:type="page"/>
      </w:r>
    </w:p>
    <w:p w14:paraId="38377EB7">
      <w:pPr>
        <w:pStyle w:val="2"/>
        <w:pageBreakBefore/>
        <w:ind w:firstLine="883"/>
        <w:rPr>
          <w:rFonts w:ascii="宋体" w:hAnsi="宋体" w:cs="宋体"/>
          <w:sz w:val="44"/>
          <w:szCs w:val="44"/>
        </w:rPr>
      </w:pPr>
      <w:bookmarkStart w:id="61" w:name="_Toc2426"/>
      <w:r>
        <w:rPr>
          <w:rFonts w:hint="eastAsia" w:ascii="宋体" w:hAnsi="宋体" w:cs="宋体"/>
          <w:sz w:val="44"/>
          <w:szCs w:val="44"/>
        </w:rPr>
        <w:t>第四部分 评审标准</w:t>
      </w:r>
      <w:bookmarkEnd w:id="60"/>
      <w:bookmarkEnd w:id="61"/>
    </w:p>
    <w:p w14:paraId="6C1CE6AA">
      <w:pPr>
        <w:spacing w:line="360" w:lineRule="auto"/>
        <w:ind w:firstLine="482" w:firstLineChars="200"/>
        <w:jc w:val="distribute"/>
        <w:rPr>
          <w:rFonts w:ascii="宋体" w:hAnsi="宋体" w:eastAsia="宋体" w:cs="宋体"/>
          <w:b/>
          <w:bCs/>
          <w:sz w:val="24"/>
          <w:szCs w:val="28"/>
        </w:rPr>
      </w:pPr>
      <w:r>
        <w:rPr>
          <w:rFonts w:hint="eastAsia" w:ascii="宋体" w:hAnsi="宋体" w:eastAsia="宋体" w:cs="宋体"/>
          <w:b/>
          <w:bCs/>
          <w:sz w:val="24"/>
          <w:szCs w:val="28"/>
        </w:rPr>
        <w:t>根据符合需求、质量和服务相等且最终报价最低的原则确定成交供应商。</w:t>
      </w:r>
    </w:p>
    <w:p w14:paraId="2B1617F3">
      <w:pPr>
        <w:spacing w:line="360" w:lineRule="auto"/>
        <w:ind w:firstLine="482" w:firstLineChars="200"/>
        <w:rPr>
          <w:rFonts w:ascii="宋体" w:hAnsi="宋体" w:cs="宋体"/>
          <w:b/>
          <w:bCs/>
          <w:sz w:val="24"/>
        </w:rPr>
      </w:pPr>
      <w:r>
        <w:rPr>
          <w:rFonts w:hint="eastAsia" w:ascii="宋体" w:hAnsi="宋体" w:cs="宋体"/>
          <w:b/>
          <w:bCs/>
          <w:sz w:val="24"/>
        </w:rPr>
        <w:t>1.本项目专门面向中小企业采购。中小企业参加采购活动，必须出具《政府采购促进中小企业发展管理办法》（财库〔2020〕46号）规定的《中小企业声明函》，否则按无效响应处理。</w:t>
      </w:r>
    </w:p>
    <w:p w14:paraId="511944FD">
      <w:pPr>
        <w:spacing w:line="360" w:lineRule="auto"/>
        <w:ind w:firstLine="482" w:firstLineChars="200"/>
        <w:rPr>
          <w:rFonts w:ascii="宋体" w:hAnsi="宋体" w:cs="宋体"/>
          <w:b/>
          <w:bCs/>
          <w:sz w:val="24"/>
        </w:rPr>
      </w:pPr>
      <w:r>
        <w:rPr>
          <w:rFonts w:hint="eastAsia" w:ascii="宋体" w:hAnsi="宋体" w:cs="宋体"/>
          <w:b/>
          <w:bCs/>
          <w:sz w:val="24"/>
        </w:rPr>
        <w:t>2.在采购活动中，监狱企业视同小型、微型企业。监狱企业参加采购活动时，须提供由省级以上监狱管理局、戒毒管理局（含新疆生产建设兵团）出具的属于监狱企业的证明文件，否则按无效响应处理。</w:t>
      </w:r>
    </w:p>
    <w:p w14:paraId="05715C98">
      <w:pPr>
        <w:spacing w:line="360" w:lineRule="auto"/>
        <w:ind w:firstLine="482" w:firstLineChars="200"/>
        <w:rPr>
          <w:rFonts w:ascii="宋体" w:hAnsi="宋体" w:cs="宋体"/>
          <w:b/>
          <w:bCs/>
          <w:sz w:val="24"/>
        </w:rPr>
      </w:pPr>
      <w:r>
        <w:rPr>
          <w:rFonts w:hint="eastAsia" w:ascii="宋体" w:hAnsi="宋体" w:cs="宋体"/>
          <w:b/>
          <w:bCs/>
          <w:sz w:val="24"/>
        </w:rPr>
        <w:t>3.在采购活动中，残疾人福利性单位视同小型、微型企业。残疾人福利性单位参加采购活动时，须出具三部门联合发布关于促进残疾人就业政府采购政策的通知财库〔2017〕141号规定的残疾人福利性单位声明函，否则按无效响应处理。</w:t>
      </w:r>
    </w:p>
    <w:p w14:paraId="3DFC703D">
      <w:pPr>
        <w:spacing w:line="360" w:lineRule="auto"/>
        <w:ind w:firstLine="482" w:firstLineChars="200"/>
        <w:rPr>
          <w:rFonts w:ascii="宋体" w:hAnsi="宋体" w:cs="宋体"/>
          <w:b/>
          <w:bCs/>
          <w:sz w:val="24"/>
        </w:rPr>
      </w:pPr>
      <w:r>
        <w:rPr>
          <w:rFonts w:hint="eastAsia" w:ascii="宋体" w:hAnsi="宋体" w:cs="宋体"/>
          <w:b/>
          <w:bCs/>
          <w:sz w:val="24"/>
        </w:rPr>
        <w:t>4.节能环保产品以节能产品、环境标志产品认证证书为准；</w:t>
      </w:r>
    </w:p>
    <w:p w14:paraId="6ECE69F0">
      <w:pPr>
        <w:spacing w:line="360" w:lineRule="auto"/>
        <w:ind w:firstLine="482" w:firstLineChars="200"/>
        <w:rPr>
          <w:rFonts w:ascii="宋体" w:hAnsi="宋体" w:cs="宋体"/>
          <w:b/>
          <w:bCs/>
          <w:sz w:val="24"/>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rPr>
        <w:t>5.技术参数正偏离须在技术响应表中注明正偏离的理由和佐证材料的页码。</w:t>
      </w:r>
    </w:p>
    <w:p w14:paraId="2E6100FA">
      <w:pPr>
        <w:pStyle w:val="2"/>
        <w:pageBreakBefore/>
        <w:ind w:firstLine="883"/>
        <w:rPr>
          <w:rFonts w:ascii="宋体" w:hAnsi="宋体" w:cs="宋体"/>
          <w:sz w:val="44"/>
          <w:szCs w:val="44"/>
        </w:rPr>
      </w:pPr>
      <w:bookmarkStart w:id="62" w:name="_Toc1333"/>
      <w:r>
        <w:rPr>
          <w:rFonts w:hint="eastAsia" w:ascii="宋体" w:hAnsi="宋体" w:cs="宋体"/>
          <w:sz w:val="44"/>
          <w:szCs w:val="44"/>
        </w:rPr>
        <w:t>第五部分 采购要求</w:t>
      </w:r>
      <w:bookmarkEnd w:id="62"/>
    </w:p>
    <w:p w14:paraId="5EDA0B03">
      <w:pPr>
        <w:spacing w:before="88" w:line="219" w:lineRule="auto"/>
        <w:rPr>
          <w:rFonts w:ascii="宋体" w:hAnsi="宋体" w:eastAsia="宋体" w:cs="宋体"/>
          <w:sz w:val="24"/>
          <w:szCs w:val="24"/>
        </w:rPr>
      </w:pPr>
      <w:r>
        <w:rPr>
          <w:rFonts w:hint="eastAsia" w:ascii="宋体" w:hAnsi="宋体" w:eastAsia="宋体" w:cs="宋体"/>
          <w:b/>
          <w:bCs/>
          <w:spacing w:val="-8"/>
          <w:sz w:val="24"/>
          <w:szCs w:val="24"/>
        </w:rPr>
        <w:t>一、采购清单及技术要求</w:t>
      </w:r>
    </w:p>
    <w:p w14:paraId="529EF710">
      <w:pPr>
        <w:spacing w:line="137" w:lineRule="exact"/>
        <w:rPr>
          <w:rFonts w:ascii="宋体" w:hAnsi="宋体" w:eastAsia="宋体" w:cs="宋体"/>
          <w:sz w:val="24"/>
          <w:szCs w:val="24"/>
        </w:rPr>
      </w:pPr>
    </w:p>
    <w:p w14:paraId="4444A8F6">
      <w:pPr>
        <w:jc w:val="center"/>
        <w:rPr>
          <w:b/>
          <w:bCs/>
          <w:sz w:val="28"/>
          <w:szCs w:val="36"/>
        </w:rPr>
      </w:pPr>
      <w:r>
        <w:rPr>
          <w:rFonts w:hint="eastAsia"/>
          <w:b/>
          <w:bCs/>
          <w:sz w:val="28"/>
          <w:szCs w:val="36"/>
        </w:rPr>
        <w:t>音响系统主要配置</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5"/>
        <w:gridCol w:w="5564"/>
        <w:gridCol w:w="735"/>
        <w:gridCol w:w="753"/>
      </w:tblGrid>
      <w:tr w14:paraId="1F6E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1" w:type="pct"/>
            <w:shd w:val="clear" w:color="auto" w:fill="auto"/>
            <w:vAlign w:val="center"/>
          </w:tcPr>
          <w:p w14:paraId="1E67FEF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序号</w:t>
            </w:r>
          </w:p>
        </w:tc>
        <w:tc>
          <w:tcPr>
            <w:tcW w:w="431" w:type="pct"/>
            <w:shd w:val="clear" w:color="auto" w:fill="auto"/>
            <w:vAlign w:val="center"/>
          </w:tcPr>
          <w:p w14:paraId="3091652E">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名称</w:t>
            </w:r>
          </w:p>
        </w:tc>
        <w:tc>
          <w:tcPr>
            <w:tcW w:w="3262" w:type="pct"/>
            <w:shd w:val="clear" w:color="auto" w:fill="auto"/>
            <w:vAlign w:val="center"/>
          </w:tcPr>
          <w:p w14:paraId="3763AA3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主要参数</w:t>
            </w:r>
          </w:p>
        </w:tc>
        <w:tc>
          <w:tcPr>
            <w:tcW w:w="431" w:type="pct"/>
            <w:shd w:val="clear" w:color="auto" w:fill="auto"/>
            <w:vAlign w:val="center"/>
          </w:tcPr>
          <w:p w14:paraId="2F65001E">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数量</w:t>
            </w:r>
          </w:p>
        </w:tc>
        <w:tc>
          <w:tcPr>
            <w:tcW w:w="441" w:type="pct"/>
            <w:shd w:val="clear" w:color="auto" w:fill="auto"/>
            <w:vAlign w:val="center"/>
          </w:tcPr>
          <w:p w14:paraId="413523A9">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单位</w:t>
            </w:r>
          </w:p>
        </w:tc>
      </w:tr>
      <w:tr w14:paraId="1C99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shd w:val="clear" w:color="auto" w:fill="auto"/>
            <w:vAlign w:val="center"/>
          </w:tcPr>
          <w:p w14:paraId="29C7D0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31" w:type="pct"/>
            <w:shd w:val="clear" w:color="auto" w:fill="auto"/>
            <w:vAlign w:val="center"/>
          </w:tcPr>
          <w:p w14:paraId="43423A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主扩音箱</w:t>
            </w:r>
          </w:p>
        </w:tc>
        <w:tc>
          <w:tcPr>
            <w:tcW w:w="3262" w:type="pct"/>
            <w:shd w:val="clear" w:color="auto" w:fill="auto"/>
          </w:tcPr>
          <w:p w14:paraId="418AE8CE">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1.额定功率：≥800W </w:t>
            </w:r>
          </w:p>
          <w:p w14:paraId="38A64A0E">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2.频响范围：优于40HZ~18KHZ</w:t>
            </w:r>
          </w:p>
          <w:p w14:paraId="60F6E742">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3.覆盖角度：水平≥85°，垂直≥50° </w:t>
            </w:r>
          </w:p>
          <w:p w14:paraId="0772F4AD">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4.组成：2*≥15”，低频1*≤3”，压缩中高频 </w:t>
            </w:r>
          </w:p>
          <w:p w14:paraId="6C4ADA66">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5.灵敏度：≥101dB </w:t>
            </w:r>
          </w:p>
          <w:p w14:paraId="4F4BDE1D">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6.最大声压级：≥129dB </w:t>
            </w:r>
          </w:p>
          <w:p w14:paraId="480D0411">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7.额定阻抗：4Ω </w:t>
            </w:r>
          </w:p>
          <w:p w14:paraId="0A4B4BEA">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8.连接方式：2*NEVTRIK   NL4（1＋，1－）                                                                                                                                                                   </w:t>
            </w:r>
          </w:p>
        </w:tc>
        <w:tc>
          <w:tcPr>
            <w:tcW w:w="431" w:type="pct"/>
            <w:shd w:val="clear" w:color="auto" w:fill="auto"/>
            <w:vAlign w:val="center"/>
          </w:tcPr>
          <w:p w14:paraId="5418ED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1" w:type="pct"/>
            <w:shd w:val="clear" w:color="auto" w:fill="auto"/>
            <w:vAlign w:val="center"/>
          </w:tcPr>
          <w:p w14:paraId="4F7271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只</w:t>
            </w:r>
          </w:p>
        </w:tc>
      </w:tr>
      <w:tr w14:paraId="7CA0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431" w:type="pct"/>
            <w:shd w:val="clear" w:color="auto" w:fill="auto"/>
            <w:vAlign w:val="center"/>
          </w:tcPr>
          <w:p w14:paraId="2E7FCB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31" w:type="pct"/>
            <w:shd w:val="clear" w:color="auto" w:fill="auto"/>
            <w:vAlign w:val="center"/>
          </w:tcPr>
          <w:p w14:paraId="7540F5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主扩功放</w:t>
            </w:r>
          </w:p>
        </w:tc>
        <w:tc>
          <w:tcPr>
            <w:tcW w:w="3262" w:type="pct"/>
            <w:shd w:val="clear" w:color="auto" w:fill="auto"/>
          </w:tcPr>
          <w:p w14:paraId="4B03DCF0">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1.额定功率（8欧姆）：≥1200W×2</w:t>
            </w:r>
          </w:p>
          <w:p w14:paraId="22D93359">
            <w:pPr>
              <w:widowControl/>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2.额定功率（4欧姆）：≥1600W×2                               </w:t>
            </w:r>
          </w:p>
          <w:p w14:paraId="6FDA3515">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3.频率响应：20Hz---20kHz             </w:t>
            </w:r>
          </w:p>
          <w:p w14:paraId="21729D2B">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4.总谐波失真： ≤0.05%                             5.阻尼系数：≥350：1                          </w:t>
            </w:r>
          </w:p>
          <w:p w14:paraId="74C2F0FA">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6.信噪比：≥103dB                                                </w:t>
            </w:r>
          </w:p>
          <w:p w14:paraId="63A15B42">
            <w:pPr>
              <w:widowControl/>
              <w:jc w:val="left"/>
              <w:textAlignment w:val="top"/>
              <w:rPr>
                <w:rFonts w:ascii="宋体" w:hAnsi="宋体" w:eastAsia="宋体" w:cs="宋体"/>
                <w:color w:val="000000"/>
                <w:sz w:val="22"/>
              </w:rPr>
            </w:pPr>
            <w:r>
              <w:rPr>
                <w:rFonts w:hint="eastAsia" w:ascii="宋体" w:hAnsi="宋体" w:eastAsia="宋体" w:cs="宋体"/>
                <w:color w:val="000000"/>
                <w:sz w:val="22"/>
              </w:rPr>
              <w:t>7.</w:t>
            </w:r>
            <w:r>
              <w:rPr>
                <w:rFonts w:hint="eastAsia" w:ascii="宋体" w:hAnsi="宋体" w:eastAsia="宋体" w:cs="宋体"/>
                <w:color w:val="000000"/>
                <w:kern w:val="0"/>
                <w:sz w:val="22"/>
              </w:rPr>
              <w:t xml:space="preserve">输入增益: 0.775V                          </w:t>
            </w:r>
          </w:p>
          <w:p w14:paraId="16C662DA">
            <w:pPr>
              <w:widowControl/>
              <w:jc w:val="left"/>
              <w:textAlignment w:val="top"/>
              <w:rPr>
                <w:rFonts w:ascii="宋体" w:hAnsi="宋体" w:eastAsia="宋体" w:cs="宋体"/>
                <w:color w:val="000000"/>
                <w:sz w:val="22"/>
              </w:rPr>
            </w:pPr>
            <w:r>
              <w:rPr>
                <w:rFonts w:hint="eastAsia" w:ascii="宋体" w:hAnsi="宋体" w:eastAsia="宋体" w:cs="宋体"/>
                <w:color w:val="000000"/>
                <w:sz w:val="22"/>
              </w:rPr>
              <w:t>8.</w:t>
            </w:r>
            <w:r>
              <w:rPr>
                <w:rFonts w:hint="eastAsia" w:ascii="宋体" w:hAnsi="宋体" w:eastAsia="宋体" w:cs="宋体"/>
                <w:color w:val="000000"/>
                <w:kern w:val="0"/>
                <w:sz w:val="22"/>
              </w:rPr>
              <w:t>平衡20K欧姆/非平衡10K欧姆</w:t>
            </w:r>
          </w:p>
        </w:tc>
        <w:tc>
          <w:tcPr>
            <w:tcW w:w="431" w:type="pct"/>
            <w:shd w:val="clear" w:color="auto" w:fill="auto"/>
            <w:vAlign w:val="center"/>
          </w:tcPr>
          <w:p w14:paraId="53EF48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FFFFFF"/>
            <w:vAlign w:val="center"/>
          </w:tcPr>
          <w:p w14:paraId="5694AB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6C06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431" w:type="pct"/>
            <w:shd w:val="clear" w:color="auto" w:fill="auto"/>
            <w:vAlign w:val="center"/>
          </w:tcPr>
          <w:p w14:paraId="6C7C8C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31" w:type="pct"/>
            <w:shd w:val="clear" w:color="auto" w:fill="auto"/>
            <w:vAlign w:val="center"/>
          </w:tcPr>
          <w:p w14:paraId="29DD05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调音台</w:t>
            </w:r>
          </w:p>
        </w:tc>
        <w:tc>
          <w:tcPr>
            <w:tcW w:w="3262" w:type="pct"/>
            <w:shd w:val="clear" w:color="auto" w:fill="auto"/>
          </w:tcPr>
          <w:p w14:paraId="664E5E39">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1.≥24路话筒输入，带有 48V幻象供电，每通道带有HPF   </w:t>
            </w:r>
          </w:p>
          <w:p w14:paraId="6F1D9500">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2.≥32个线路输入 (24个单声道和 4个立体声)，≥6个AUX发送 + 2个FX发送，≥4 GROUP母线 + ST母线，≥2 Matrix 输出，≥1 个单声道输出</w:t>
            </w:r>
          </w:p>
          <w:p w14:paraId="2798FF19">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3.三段式主压缩器可以分配到立体声母线</w:t>
            </w:r>
          </w:p>
        </w:tc>
        <w:tc>
          <w:tcPr>
            <w:tcW w:w="431" w:type="pct"/>
            <w:shd w:val="clear" w:color="auto" w:fill="auto"/>
            <w:vAlign w:val="center"/>
          </w:tcPr>
          <w:p w14:paraId="58B1CB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FFFFFF"/>
            <w:vAlign w:val="center"/>
          </w:tcPr>
          <w:p w14:paraId="192F65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1D07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31" w:type="pct"/>
            <w:shd w:val="clear" w:color="auto" w:fill="auto"/>
            <w:vAlign w:val="center"/>
          </w:tcPr>
          <w:p w14:paraId="43D630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31" w:type="pct"/>
            <w:shd w:val="clear" w:color="auto" w:fill="auto"/>
            <w:vAlign w:val="center"/>
          </w:tcPr>
          <w:p w14:paraId="1E7F0E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音频处理器</w:t>
            </w:r>
          </w:p>
        </w:tc>
        <w:tc>
          <w:tcPr>
            <w:tcW w:w="3262" w:type="pct"/>
            <w:shd w:val="clear" w:color="auto" w:fill="auto"/>
          </w:tcPr>
          <w:p w14:paraId="0B8CE35F">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1.具有≥24-bit DSP技术，高性能AD/DA        </w:t>
            </w:r>
          </w:p>
          <w:p w14:paraId="6C02ABB4">
            <w:pPr>
              <w:widowControl/>
              <w:ind w:left="110"/>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2.≥4输入、8输出(2输入6输出/2输入4输出）。             3.支持输入输出音量调节。               </w:t>
            </w:r>
          </w:p>
          <w:p w14:paraId="6B753836">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3.支持每个输入/输出通道参数 可调。 </w:t>
            </w:r>
          </w:p>
          <w:p w14:paraId="33CEFC0B">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4.5.具有输出高通、低通滤波器 </w:t>
            </w:r>
          </w:p>
          <w:p w14:paraId="0F59DB48">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6.每个输入/输出通道可设置最长延时达≥1000.00ms,具有带延时开关。               </w:t>
            </w:r>
          </w:p>
          <w:p w14:paraId="4BB613ED">
            <w:pPr>
              <w:widowControl/>
              <w:ind w:left="110"/>
              <w:jc w:val="left"/>
              <w:textAlignment w:val="top"/>
              <w:rPr>
                <w:rFonts w:hint="eastAsia" w:ascii="宋体" w:hAnsi="宋体" w:eastAsia="宋体" w:cs="宋体"/>
                <w:color w:val="000000"/>
                <w:kern w:val="0"/>
                <w:sz w:val="22"/>
              </w:rPr>
            </w:pPr>
            <w:r>
              <w:rPr>
                <w:rFonts w:hint="eastAsia" w:ascii="宋体" w:hAnsi="宋体" w:eastAsia="宋体" w:cs="宋体"/>
                <w:color w:val="000000"/>
                <w:kern w:val="0"/>
                <w:sz w:val="22"/>
              </w:rPr>
              <w:t>7.每个输入/输出通道具有压缩器，可调节各压缩器的门限值，压缩比，上冲时间和释放时间</w:t>
            </w:r>
          </w:p>
          <w:p w14:paraId="1FDE1ACE">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8.每个输出通道具有相位反转功能。       </w:t>
            </w:r>
          </w:p>
          <w:p w14:paraId="066DEBD1">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9.通道具有复制功能。       </w:t>
            </w:r>
          </w:p>
          <w:p w14:paraId="1EDE7E0D">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10.具有多通道链接功能，可同时设置多个通道参数。                               11.具有USB、RS485等多种方式与上位机连接。                  13.具有点阵LCD液晶屏显示。         </w:t>
            </w:r>
          </w:p>
          <w:p w14:paraId="2D8B4B66">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14.具有多段段输入/输出电平显示LED。          </w:t>
            </w:r>
          </w:p>
          <w:p w14:paraId="278919EF">
            <w:pPr>
              <w:widowControl/>
              <w:ind w:left="110"/>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15.具有静音显示LED灯，按键指示LED灯。     </w:t>
            </w:r>
          </w:p>
          <w:p w14:paraId="3BC36C3E">
            <w:pPr>
              <w:widowControl/>
              <w:ind w:left="110"/>
              <w:jc w:val="left"/>
              <w:textAlignment w:val="top"/>
              <w:rPr>
                <w:rFonts w:ascii="宋体" w:hAnsi="宋体" w:eastAsia="宋体" w:cs="宋体"/>
                <w:color w:val="000000"/>
                <w:sz w:val="22"/>
              </w:rPr>
            </w:pPr>
            <w:r>
              <w:rPr>
                <w:rFonts w:hint="eastAsia" w:ascii="宋体" w:hAnsi="宋体" w:eastAsia="宋体" w:cs="宋体"/>
                <w:color w:val="000000"/>
                <w:kern w:val="0"/>
                <w:sz w:val="22"/>
              </w:rPr>
              <w:t>16.开关电源：电压范围能AC90V~250V范围.</w:t>
            </w:r>
          </w:p>
        </w:tc>
        <w:tc>
          <w:tcPr>
            <w:tcW w:w="431" w:type="pct"/>
            <w:shd w:val="clear" w:color="auto" w:fill="auto"/>
            <w:vAlign w:val="center"/>
          </w:tcPr>
          <w:p w14:paraId="473479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FFFFFF"/>
            <w:vAlign w:val="center"/>
          </w:tcPr>
          <w:p w14:paraId="67DFC0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24E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shd w:val="clear" w:color="auto" w:fill="auto"/>
            <w:vAlign w:val="center"/>
          </w:tcPr>
          <w:p w14:paraId="32D3D1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31" w:type="pct"/>
            <w:shd w:val="clear" w:color="auto" w:fill="auto"/>
            <w:vAlign w:val="center"/>
          </w:tcPr>
          <w:p w14:paraId="070DE0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话筒信号放大器</w:t>
            </w:r>
          </w:p>
        </w:tc>
        <w:tc>
          <w:tcPr>
            <w:tcW w:w="3262" w:type="pct"/>
            <w:shd w:val="clear" w:color="auto" w:fill="auto"/>
          </w:tcPr>
          <w:p w14:paraId="5797D6AF">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1.放大器具有提供3～10dB增益。 </w:t>
            </w:r>
          </w:p>
          <w:p w14:paraId="699EFB01">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2.增益具有LED灯显示。天线放大器具有≥12V直流电源供电，电源具备由天线分配系统通过同轴电缆提供。 </w:t>
            </w:r>
          </w:p>
          <w:p w14:paraId="711A79AF">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3.可以安装在话筒支架上，悬挂在天花板上或采用旋转式转接器托架安装在墙壁上。 </w:t>
            </w:r>
          </w:p>
          <w:p w14:paraId="00A09513">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5.可以使用两根S天线获得最佳分集性能。 </w:t>
            </w:r>
          </w:p>
          <w:p w14:paraId="3A4FE159">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6.天线信号分配系统配备≥5路，宽频UHF(470-960MHz)，外置多组12V/1ADC电流（直流电源）。</w:t>
            </w:r>
          </w:p>
        </w:tc>
        <w:tc>
          <w:tcPr>
            <w:tcW w:w="431" w:type="pct"/>
            <w:shd w:val="clear" w:color="auto" w:fill="auto"/>
            <w:vAlign w:val="center"/>
          </w:tcPr>
          <w:p w14:paraId="2F6276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FFFFFF"/>
            <w:vAlign w:val="center"/>
          </w:tcPr>
          <w:p w14:paraId="34917A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3370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431" w:type="pct"/>
            <w:shd w:val="clear" w:color="auto" w:fill="auto"/>
            <w:vAlign w:val="center"/>
          </w:tcPr>
          <w:p w14:paraId="26C7A3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31" w:type="pct"/>
            <w:shd w:val="clear" w:color="auto" w:fill="auto"/>
            <w:vAlign w:val="center"/>
          </w:tcPr>
          <w:p w14:paraId="2E4ED9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无线胸麦</w:t>
            </w:r>
          </w:p>
        </w:tc>
        <w:tc>
          <w:tcPr>
            <w:tcW w:w="3262" w:type="pct"/>
            <w:shd w:val="clear" w:color="auto" w:fill="auto"/>
          </w:tcPr>
          <w:p w14:paraId="2AC05D52">
            <w:pPr>
              <w:widowControl/>
              <w:numPr>
                <w:ilvl w:val="255"/>
                <w:numId w:val="0"/>
              </w:numPr>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技术参数</w:t>
            </w:r>
          </w:p>
          <w:p w14:paraId="6754FA3A">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1.音频响应：</w:t>
            </w:r>
            <w:r>
              <w:rPr>
                <w:rFonts w:hint="eastAsia" w:ascii="宋体" w:hAnsi="宋体" w:eastAsia="宋体" w:cs="宋体"/>
                <w:color w:val="000000"/>
                <w:kern w:val="0"/>
                <w:sz w:val="22"/>
                <w:lang w:val="en-US" w:eastAsia="zh-CN"/>
              </w:rPr>
              <w:t>优于</w:t>
            </w:r>
            <w:r>
              <w:rPr>
                <w:rFonts w:hint="eastAsia" w:ascii="宋体" w:hAnsi="宋体" w:eastAsia="宋体" w:cs="宋体"/>
                <w:color w:val="000000"/>
                <w:kern w:val="0"/>
                <w:sz w:val="22"/>
              </w:rPr>
              <w:t>60Hz-15KHz</w:t>
            </w:r>
          </w:p>
          <w:p w14:paraId="1870F769">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2.音频输出：优于0-300mV/600Ω</w:t>
            </w:r>
          </w:p>
          <w:p w14:paraId="6B9E70D2">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3.动态范围：≥105dB</w:t>
            </w:r>
          </w:p>
          <w:p w14:paraId="3199FE8F">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4.显示：液晶显示频道数</w:t>
            </w:r>
          </w:p>
          <w:p w14:paraId="50061F74">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二、要求：</w:t>
            </w:r>
          </w:p>
          <w:p w14:paraId="5E6A2795">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1.二次变频技术</w:t>
            </w:r>
          </w:p>
          <w:p w14:paraId="502AF16E">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2.双锁相环频率合成技术</w:t>
            </w:r>
          </w:p>
          <w:p w14:paraId="335C28D4">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3.≥200个频道可供选择</w:t>
            </w:r>
          </w:p>
          <w:p w14:paraId="742334BB">
            <w:pPr>
              <w:widowControl/>
              <w:numPr>
                <w:ilvl w:val="255"/>
                <w:numId w:val="0"/>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4.红外对频技术</w:t>
            </w:r>
          </w:p>
          <w:p w14:paraId="57C5286D">
            <w:pPr>
              <w:widowControl/>
              <w:numPr>
                <w:ilvl w:val="255"/>
                <w:numId w:val="0"/>
              </w:numPr>
              <w:jc w:val="left"/>
              <w:textAlignment w:val="top"/>
              <w:rPr>
                <w:rFonts w:ascii="宋体" w:hAnsi="宋体" w:eastAsia="宋体" w:cs="宋体"/>
                <w:color w:val="000000"/>
                <w:sz w:val="22"/>
              </w:rPr>
            </w:pPr>
            <w:r>
              <w:rPr>
                <w:rFonts w:hint="eastAsia" w:ascii="宋体" w:hAnsi="宋体" w:eastAsia="宋体" w:cs="宋体"/>
                <w:color w:val="000000"/>
                <w:kern w:val="0"/>
                <w:sz w:val="22"/>
              </w:rPr>
              <w:t>5.二重静噪控制</w:t>
            </w:r>
          </w:p>
        </w:tc>
        <w:tc>
          <w:tcPr>
            <w:tcW w:w="431" w:type="pct"/>
            <w:shd w:val="clear" w:color="auto" w:fill="auto"/>
            <w:vAlign w:val="center"/>
          </w:tcPr>
          <w:p w14:paraId="3DE43D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FFFFFF"/>
            <w:vAlign w:val="center"/>
          </w:tcPr>
          <w:p w14:paraId="619C02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r>
      <w:tr w14:paraId="5D88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31" w:type="pct"/>
            <w:shd w:val="clear" w:color="auto" w:fill="auto"/>
            <w:vAlign w:val="center"/>
          </w:tcPr>
          <w:p w14:paraId="32D6FB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31" w:type="pct"/>
            <w:shd w:val="clear" w:color="auto" w:fill="auto"/>
            <w:vAlign w:val="center"/>
          </w:tcPr>
          <w:p w14:paraId="4C6D24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无线话筒</w:t>
            </w:r>
          </w:p>
        </w:tc>
        <w:tc>
          <w:tcPr>
            <w:tcW w:w="3262" w:type="pct"/>
            <w:shd w:val="clear" w:color="auto" w:fill="auto"/>
          </w:tcPr>
          <w:p w14:paraId="2D14FFA7">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1.工作距离：≤200米  </w:t>
            </w:r>
          </w:p>
          <w:p w14:paraId="052FEAC3">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2.频道组数：双频道 </w:t>
            </w:r>
          </w:p>
          <w:p w14:paraId="3A9B0016">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3.接收灵敏度：≥-100dB </w:t>
            </w:r>
          </w:p>
          <w:p w14:paraId="3682A923">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4.发射机电源要求：2节AA型碱性或可充电电池 </w:t>
            </w:r>
          </w:p>
          <w:p w14:paraId="456087DB">
            <w:pPr>
              <w:widowControl/>
              <w:jc w:val="left"/>
              <w:textAlignment w:val="top"/>
              <w:rPr>
                <w:rFonts w:ascii="宋体" w:hAnsi="宋体" w:eastAsia="宋体" w:cs="宋体"/>
                <w:color w:val="000000"/>
                <w:kern w:val="0"/>
                <w:sz w:val="22"/>
              </w:rPr>
            </w:pPr>
            <w:r>
              <w:rPr>
                <w:rFonts w:hint="eastAsia" w:ascii="宋体" w:hAnsi="宋体" w:eastAsia="宋体" w:cs="宋体"/>
                <w:color w:val="000000"/>
                <w:kern w:val="0"/>
                <w:sz w:val="22"/>
              </w:rPr>
              <w:t xml:space="preserve">5.发射机电池使用时间：≥8H ； </w:t>
            </w:r>
          </w:p>
          <w:p w14:paraId="6232FB94">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6.音频响应：</w:t>
            </w:r>
            <w:r>
              <w:rPr>
                <w:rFonts w:hint="eastAsia"/>
                <w:lang w:val="en-US" w:eastAsia="zh-CN"/>
              </w:rPr>
              <w:t>优于</w:t>
            </w:r>
            <w:r>
              <w:rPr>
                <w:rFonts w:hint="eastAsia" w:ascii="宋体" w:hAnsi="宋体" w:eastAsia="宋体" w:cs="宋体"/>
                <w:color w:val="000000"/>
                <w:kern w:val="0"/>
                <w:sz w:val="22"/>
              </w:rPr>
              <w:t>≥40Hz-18KHz；</w:t>
            </w:r>
          </w:p>
        </w:tc>
        <w:tc>
          <w:tcPr>
            <w:tcW w:w="431" w:type="pct"/>
            <w:shd w:val="clear" w:color="auto" w:fill="auto"/>
            <w:vAlign w:val="center"/>
          </w:tcPr>
          <w:p w14:paraId="7B3F29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FFFFFF"/>
            <w:vAlign w:val="center"/>
          </w:tcPr>
          <w:p w14:paraId="2BF9AC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r>
      <w:tr w14:paraId="2CC8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31" w:type="pct"/>
            <w:shd w:val="clear" w:color="auto" w:fill="auto"/>
            <w:vAlign w:val="center"/>
          </w:tcPr>
          <w:p w14:paraId="571720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31" w:type="pct"/>
            <w:shd w:val="clear" w:color="auto" w:fill="FFFFFF"/>
            <w:vAlign w:val="center"/>
          </w:tcPr>
          <w:p w14:paraId="0026B9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电源时序器</w:t>
            </w:r>
          </w:p>
        </w:tc>
        <w:tc>
          <w:tcPr>
            <w:tcW w:w="3262" w:type="pct"/>
            <w:shd w:val="clear" w:color="auto" w:fill="FFFFFF"/>
            <w:vAlign w:val="center"/>
          </w:tcPr>
          <w:p w14:paraId="14051FE9">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1.具有≥32A总线漏电空开断路器实现漏电短路保护；</w:t>
            </w:r>
          </w:p>
          <w:p w14:paraId="417D6363">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2.面板一键开关，提供≥8个电源开关通道，其中1-7通道为最大电流为≥10A的万用插，8通道为最大电流为≥16A的国标三插；</w:t>
            </w:r>
          </w:p>
          <w:p w14:paraId="4F24C831">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3.所有通道开关可由面板独立控制及显示；</w:t>
            </w:r>
          </w:p>
          <w:p w14:paraId="1AAD9693">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4.面板一键开关，可按照设定的时序开启、关闭通道；</w:t>
            </w:r>
          </w:p>
          <w:p w14:paraId="136E8527">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5.提供1-8号端口独立开关控制指令和时序开关控制指令；</w:t>
            </w:r>
          </w:p>
          <w:p w14:paraId="6AC1D0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6.提供1-8号端口独立开关的延时设置，可现场进行开关机的延时时间和顺序的设定；</w:t>
            </w:r>
          </w:p>
        </w:tc>
        <w:tc>
          <w:tcPr>
            <w:tcW w:w="431" w:type="pct"/>
            <w:shd w:val="clear" w:color="auto" w:fill="auto"/>
            <w:vAlign w:val="center"/>
          </w:tcPr>
          <w:p w14:paraId="4A315D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auto"/>
            <w:vAlign w:val="center"/>
          </w:tcPr>
          <w:p w14:paraId="536C72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35D4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431" w:type="pct"/>
            <w:shd w:val="clear" w:color="auto" w:fill="auto"/>
            <w:vAlign w:val="center"/>
          </w:tcPr>
          <w:p w14:paraId="542BF9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31" w:type="pct"/>
            <w:shd w:val="clear" w:color="auto" w:fill="FFFFFF"/>
            <w:vAlign w:val="center"/>
          </w:tcPr>
          <w:p w14:paraId="0FF4AE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重低音</w:t>
            </w:r>
          </w:p>
        </w:tc>
        <w:tc>
          <w:tcPr>
            <w:tcW w:w="3262" w:type="pct"/>
            <w:shd w:val="clear" w:color="auto" w:fill="FFFFFF"/>
            <w:vAlign w:val="center"/>
          </w:tcPr>
          <w:p w14:paraId="3BE46517">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1.额定功率：≥1200W </w:t>
            </w:r>
          </w:p>
          <w:p w14:paraId="5D2D8F28">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2.频响范围：优于30HZ~150HZ </w:t>
            </w:r>
          </w:p>
          <w:p w14:paraId="13B5FD9B">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3.系统组成：2*≥18”超低频 </w:t>
            </w:r>
          </w:p>
          <w:p w14:paraId="400DEF99">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4.灵敏度：≥102dB </w:t>
            </w:r>
          </w:p>
          <w:p w14:paraId="76800664">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5.最大声压级：≥130dB </w:t>
            </w:r>
          </w:p>
          <w:p w14:paraId="101D10FC">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6.额定阻抗：4Ω </w:t>
            </w:r>
          </w:p>
          <w:p w14:paraId="529764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7.连接方式：2*NEVTRIK   NL4      </w:t>
            </w:r>
          </w:p>
        </w:tc>
        <w:tc>
          <w:tcPr>
            <w:tcW w:w="431" w:type="pct"/>
            <w:shd w:val="clear" w:color="auto" w:fill="auto"/>
            <w:vAlign w:val="center"/>
          </w:tcPr>
          <w:p w14:paraId="54BAA3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auto"/>
            <w:vAlign w:val="center"/>
          </w:tcPr>
          <w:p w14:paraId="316A61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只</w:t>
            </w:r>
          </w:p>
        </w:tc>
      </w:tr>
      <w:tr w14:paraId="253C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431" w:type="pct"/>
            <w:shd w:val="clear" w:color="auto" w:fill="auto"/>
            <w:vAlign w:val="center"/>
          </w:tcPr>
          <w:p w14:paraId="5F6257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31" w:type="pct"/>
            <w:shd w:val="clear" w:color="auto" w:fill="FFFFFF"/>
            <w:vAlign w:val="center"/>
          </w:tcPr>
          <w:p w14:paraId="195FAE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低音功放</w:t>
            </w:r>
          </w:p>
        </w:tc>
        <w:tc>
          <w:tcPr>
            <w:tcW w:w="3262" w:type="pct"/>
            <w:shd w:val="clear" w:color="auto" w:fill="FFFFFF"/>
            <w:vAlign w:val="center"/>
          </w:tcPr>
          <w:p w14:paraId="18C5F2F6">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1.输出功率：8Ω≥2×1600W    4Ω≥2400W           </w:t>
            </w:r>
          </w:p>
          <w:p w14:paraId="7B5E05C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2.输出阻抗：平衡  8Ω                         </w:t>
            </w:r>
          </w:p>
          <w:p w14:paraId="4AFE57C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频率响应</w:t>
            </w:r>
            <w:r>
              <w:rPr>
                <w:rFonts w:hint="eastAsia" w:ascii="宋体" w:hAnsi="宋体" w:eastAsia="宋体" w:cs="宋体"/>
                <w:color w:val="000000"/>
                <w:kern w:val="0"/>
                <w:sz w:val="22"/>
              </w:rPr>
              <w:t xml:space="preserve">：20 Hz - 20 kHz+0，≤0.05%       </w:t>
            </w:r>
          </w:p>
          <w:p w14:paraId="6276467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4.信噪比：≥105dB                     </w:t>
            </w:r>
          </w:p>
          <w:p w14:paraId="190885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5.灵敏度: 0.775V  1.0V   1.44V                                              </w:t>
            </w:r>
          </w:p>
        </w:tc>
        <w:tc>
          <w:tcPr>
            <w:tcW w:w="431" w:type="pct"/>
            <w:shd w:val="clear" w:color="auto" w:fill="auto"/>
            <w:vAlign w:val="center"/>
          </w:tcPr>
          <w:p w14:paraId="3CDB71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auto"/>
            <w:vAlign w:val="center"/>
          </w:tcPr>
          <w:p w14:paraId="2246C8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1EA2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431" w:type="pct"/>
            <w:shd w:val="clear" w:color="auto" w:fill="auto"/>
            <w:vAlign w:val="center"/>
          </w:tcPr>
          <w:p w14:paraId="1DEA0D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31" w:type="pct"/>
            <w:shd w:val="clear" w:color="auto" w:fill="FFFFFF"/>
            <w:vAlign w:val="center"/>
          </w:tcPr>
          <w:p w14:paraId="560638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全频返听音箱</w:t>
            </w:r>
          </w:p>
        </w:tc>
        <w:tc>
          <w:tcPr>
            <w:tcW w:w="3262" w:type="pct"/>
            <w:shd w:val="clear" w:color="auto" w:fill="FFFFFF"/>
            <w:vAlign w:val="center"/>
          </w:tcPr>
          <w:p w14:paraId="239EFB56">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1.额定功率：≥400W </w:t>
            </w:r>
          </w:p>
          <w:p w14:paraId="2AF35603">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2.频响范围：60HZ~18KHZ </w:t>
            </w:r>
          </w:p>
          <w:p w14:paraId="35A8E05B">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3.覆盖角度：70°*40° </w:t>
            </w:r>
          </w:p>
          <w:p w14:paraId="0D6BF6FC">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4.系统组成：1*≥12”低频+1*≤2”压缩中高频 </w:t>
            </w:r>
          </w:p>
          <w:p w14:paraId="1A547FA2">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5.灵敏度：≥98dB </w:t>
            </w:r>
          </w:p>
          <w:p w14:paraId="6E8E0A63">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6.最大声压级：≥122dB </w:t>
            </w:r>
          </w:p>
          <w:p w14:paraId="67F4B809">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7.额定阻抗：8Ω </w:t>
            </w:r>
          </w:p>
          <w:p w14:paraId="65586E6D">
            <w:pPr>
              <w:widowControl/>
              <w:spacing w:after="220"/>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8.连接方式：2*NEVTRIK   NL4（1＋，1－） </w:t>
            </w:r>
          </w:p>
        </w:tc>
        <w:tc>
          <w:tcPr>
            <w:tcW w:w="431" w:type="pct"/>
            <w:shd w:val="clear" w:color="auto" w:fill="auto"/>
            <w:vAlign w:val="center"/>
          </w:tcPr>
          <w:p w14:paraId="70BEB5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1" w:type="pct"/>
            <w:shd w:val="clear" w:color="auto" w:fill="auto"/>
            <w:vAlign w:val="center"/>
          </w:tcPr>
          <w:p w14:paraId="47130B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只</w:t>
            </w:r>
          </w:p>
        </w:tc>
      </w:tr>
      <w:tr w14:paraId="1872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1" w:type="pct"/>
            <w:shd w:val="clear" w:color="auto" w:fill="auto"/>
            <w:vAlign w:val="center"/>
          </w:tcPr>
          <w:p w14:paraId="798230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31" w:type="pct"/>
            <w:shd w:val="clear" w:color="auto" w:fill="FFFFFF"/>
            <w:vAlign w:val="center"/>
          </w:tcPr>
          <w:p w14:paraId="1EA4BD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返听功放</w:t>
            </w:r>
          </w:p>
        </w:tc>
        <w:tc>
          <w:tcPr>
            <w:tcW w:w="3262" w:type="pct"/>
            <w:shd w:val="clear" w:color="auto" w:fill="FFFFFF"/>
            <w:vAlign w:val="center"/>
          </w:tcPr>
          <w:p w14:paraId="5CD4803E">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1.额定功率（8欧姆）：≥650W×2</w:t>
            </w:r>
          </w:p>
          <w:p w14:paraId="0C6647E5">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2.额定功率（4欧姆）：≥1040W×2                              </w:t>
            </w:r>
          </w:p>
          <w:p w14:paraId="24C916C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3.频率响应： 20Hz-20kHz             </w:t>
            </w:r>
          </w:p>
          <w:p w14:paraId="58319AA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4.总谐波失真： ≤0.05%                                   5.阻尼系数：≥350：1                          </w:t>
            </w:r>
          </w:p>
          <w:p w14:paraId="103D9E3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6.信噪比：≥103dB                            </w:t>
            </w:r>
          </w:p>
          <w:p w14:paraId="53BFD4E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7.</w:t>
            </w:r>
            <w:r>
              <w:rPr>
                <w:rFonts w:hint="eastAsia" w:ascii="宋体" w:hAnsi="宋体" w:eastAsia="宋体" w:cs="宋体"/>
                <w:color w:val="000000"/>
                <w:kern w:val="0"/>
                <w:sz w:val="22"/>
              </w:rPr>
              <w:t xml:space="preserve">输入增益:  0.775V                          </w:t>
            </w:r>
          </w:p>
          <w:p w14:paraId="727403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8.平衡20K欧姆/非平衡10K欧姆                            </w:t>
            </w:r>
          </w:p>
        </w:tc>
        <w:tc>
          <w:tcPr>
            <w:tcW w:w="431" w:type="pct"/>
            <w:shd w:val="clear" w:color="auto" w:fill="auto"/>
            <w:vAlign w:val="center"/>
          </w:tcPr>
          <w:p w14:paraId="66D25E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auto"/>
            <w:vAlign w:val="center"/>
          </w:tcPr>
          <w:p w14:paraId="17EDED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60B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1" w:type="pct"/>
            <w:shd w:val="clear" w:color="auto" w:fill="auto"/>
            <w:vAlign w:val="center"/>
          </w:tcPr>
          <w:p w14:paraId="19631B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31" w:type="pct"/>
            <w:shd w:val="clear" w:color="auto" w:fill="FFFFFF"/>
            <w:vAlign w:val="center"/>
          </w:tcPr>
          <w:p w14:paraId="2E7D0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全频补声音箱</w:t>
            </w:r>
          </w:p>
        </w:tc>
        <w:tc>
          <w:tcPr>
            <w:tcW w:w="3262" w:type="pct"/>
            <w:shd w:val="clear" w:color="auto" w:fill="FFFFFF"/>
            <w:vAlign w:val="center"/>
          </w:tcPr>
          <w:p w14:paraId="750A95EF">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1.额定功率：≥400W </w:t>
            </w:r>
          </w:p>
          <w:p w14:paraId="54DCB1E3">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2.频响范围：优于60HZ~18KHZ </w:t>
            </w:r>
          </w:p>
          <w:p w14:paraId="06FF51ED">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3.覆盖角度：≥70°*40° </w:t>
            </w:r>
          </w:p>
          <w:p w14:paraId="09A0E037">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4.系统组成：1*≥12”低频+1*≤2”压缩中高频 </w:t>
            </w:r>
          </w:p>
          <w:p w14:paraId="00BD8DAF">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5.灵敏度：≥98dB </w:t>
            </w:r>
          </w:p>
          <w:p w14:paraId="46C4C379">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6.最大声压级：≥122dB </w:t>
            </w:r>
          </w:p>
          <w:p w14:paraId="329D3249">
            <w:pPr>
              <w:widowControl/>
              <w:spacing w:after="220"/>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7.额定阻抗：8Ω </w:t>
            </w:r>
          </w:p>
          <w:p w14:paraId="24A8FE09">
            <w:pPr>
              <w:widowControl/>
              <w:spacing w:after="220"/>
              <w:jc w:val="left"/>
              <w:textAlignment w:val="center"/>
              <w:rPr>
                <w:rFonts w:ascii="宋体" w:hAnsi="宋体" w:eastAsia="宋体" w:cs="宋体"/>
                <w:color w:val="000000"/>
                <w:sz w:val="22"/>
              </w:rPr>
            </w:pPr>
            <w:r>
              <w:rPr>
                <w:rFonts w:hint="eastAsia" w:ascii="宋体" w:hAnsi="宋体" w:eastAsia="宋体" w:cs="宋体"/>
                <w:color w:val="000000"/>
                <w:kern w:val="0"/>
                <w:sz w:val="22"/>
              </w:rPr>
              <w:t>8.连接方式：2*NEVTRIK   NL4</w:t>
            </w:r>
          </w:p>
        </w:tc>
        <w:tc>
          <w:tcPr>
            <w:tcW w:w="431" w:type="pct"/>
            <w:shd w:val="clear" w:color="auto" w:fill="auto"/>
            <w:vAlign w:val="center"/>
          </w:tcPr>
          <w:p w14:paraId="303B3B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41" w:type="pct"/>
            <w:shd w:val="clear" w:color="auto" w:fill="auto"/>
            <w:vAlign w:val="center"/>
          </w:tcPr>
          <w:p w14:paraId="6897E9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只</w:t>
            </w:r>
          </w:p>
        </w:tc>
      </w:tr>
      <w:tr w14:paraId="0DC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431" w:type="pct"/>
            <w:shd w:val="clear" w:color="auto" w:fill="auto"/>
            <w:vAlign w:val="center"/>
          </w:tcPr>
          <w:p w14:paraId="332D3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431" w:type="pct"/>
            <w:shd w:val="clear" w:color="auto" w:fill="FFFFFF"/>
            <w:vAlign w:val="center"/>
          </w:tcPr>
          <w:p w14:paraId="0976FA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全频补声功放</w:t>
            </w:r>
          </w:p>
        </w:tc>
        <w:tc>
          <w:tcPr>
            <w:tcW w:w="3262" w:type="pct"/>
            <w:shd w:val="clear" w:color="auto" w:fill="FFFFFF"/>
            <w:vAlign w:val="center"/>
          </w:tcPr>
          <w:p w14:paraId="3171D209">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1.额定功率（8欧姆）：≥650W×2</w:t>
            </w:r>
          </w:p>
          <w:p w14:paraId="651DF0E7">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2.额定功率（4欧姆）：≥1040W×2                              </w:t>
            </w:r>
          </w:p>
          <w:p w14:paraId="4C89C13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3.频率响应： 20Hz-20kHz             </w:t>
            </w:r>
          </w:p>
          <w:p w14:paraId="03E3FE1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4.总谐波失真： ≤0.05%                                   5.阻尼系数：≥350：1                          </w:t>
            </w:r>
          </w:p>
          <w:p w14:paraId="3049E24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6.信噪比：≥103dB                            </w:t>
            </w:r>
          </w:p>
          <w:p w14:paraId="3038FDF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7.</w:t>
            </w:r>
            <w:r>
              <w:rPr>
                <w:rFonts w:hint="eastAsia" w:ascii="宋体" w:hAnsi="宋体" w:eastAsia="宋体" w:cs="宋体"/>
                <w:color w:val="000000"/>
                <w:kern w:val="0"/>
                <w:sz w:val="22"/>
              </w:rPr>
              <w:t xml:space="preserve">电压转换率:40Xstandrd                      </w:t>
            </w:r>
          </w:p>
          <w:p w14:paraId="016A974E">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8.</w:t>
            </w:r>
            <w:r>
              <w:rPr>
                <w:rFonts w:hint="eastAsia" w:ascii="宋体" w:hAnsi="宋体" w:eastAsia="宋体" w:cs="宋体"/>
                <w:color w:val="000000"/>
                <w:kern w:val="0"/>
                <w:sz w:val="22"/>
              </w:rPr>
              <w:t xml:space="preserve">输入增益:  0.775V                          </w:t>
            </w:r>
          </w:p>
          <w:p w14:paraId="7C438428">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9.</w:t>
            </w:r>
            <w:r>
              <w:rPr>
                <w:rFonts w:hint="eastAsia" w:ascii="宋体" w:hAnsi="宋体" w:eastAsia="宋体" w:cs="宋体"/>
                <w:color w:val="000000"/>
                <w:kern w:val="0"/>
                <w:sz w:val="22"/>
              </w:rPr>
              <w:t xml:space="preserve">平衡20K欧姆/非平衡10K欧姆                     </w:t>
            </w:r>
          </w:p>
          <w:p w14:paraId="32FAACEA">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10.</w:t>
            </w:r>
            <w:r>
              <w:rPr>
                <w:rFonts w:hint="eastAsia" w:ascii="宋体" w:hAnsi="宋体" w:eastAsia="宋体" w:cs="宋体"/>
                <w:color w:val="000000"/>
                <w:kern w:val="0"/>
                <w:sz w:val="22"/>
              </w:rPr>
              <w:t xml:space="preserve">电源电压:  AC～200-240V/50-60Hz            </w:t>
            </w:r>
          </w:p>
        </w:tc>
        <w:tc>
          <w:tcPr>
            <w:tcW w:w="431" w:type="pct"/>
            <w:shd w:val="clear" w:color="auto" w:fill="auto"/>
            <w:vAlign w:val="center"/>
          </w:tcPr>
          <w:p w14:paraId="73D099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41" w:type="pct"/>
            <w:shd w:val="clear" w:color="auto" w:fill="auto"/>
            <w:vAlign w:val="center"/>
          </w:tcPr>
          <w:p w14:paraId="71329F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25A3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trPr>
        <w:tc>
          <w:tcPr>
            <w:tcW w:w="431" w:type="pct"/>
            <w:shd w:val="clear" w:color="auto" w:fill="auto"/>
            <w:vAlign w:val="center"/>
          </w:tcPr>
          <w:p w14:paraId="39A136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431" w:type="pct"/>
            <w:shd w:val="clear" w:color="auto" w:fill="FFFFFF"/>
            <w:vAlign w:val="center"/>
          </w:tcPr>
          <w:p w14:paraId="60D3BD4C">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有线线会议</w:t>
            </w:r>
          </w:p>
          <w:p w14:paraId="6CAF86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系统主机</w:t>
            </w:r>
          </w:p>
        </w:tc>
        <w:tc>
          <w:tcPr>
            <w:tcW w:w="3262" w:type="pct"/>
            <w:shd w:val="clear" w:color="auto" w:fill="FFFFFF"/>
            <w:vAlign w:val="center"/>
          </w:tcPr>
          <w:p w14:paraId="61544869">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1.主机集会议讨论,视像自动跟踪功能于一体；</w:t>
            </w:r>
          </w:p>
          <w:p w14:paraId="326B1E96">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2.带有USB录音接口；</w:t>
            </w:r>
          </w:p>
          <w:p w14:paraId="73D598C0">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3.系统具有断电自动记忆功能；</w:t>
            </w:r>
          </w:p>
          <w:p w14:paraId="74166FED">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4.具有≥4路RJ45的话筒单元接口，且支持话筒单元热插拔；</w:t>
            </w:r>
          </w:p>
          <w:p w14:paraId="30E5BE33">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5.具有≥4路8芯话筒单元接口；</w:t>
            </w:r>
          </w:p>
          <w:p w14:paraId="2A814794">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6.具有≥2寸显示屏菜单；</w:t>
            </w:r>
          </w:p>
          <w:p w14:paraId="08BF6E80">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7.具有摄像跟踪功能，可通过主机键盘设置预置点；</w:t>
            </w:r>
          </w:p>
          <w:p w14:paraId="6BA3679A">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8.发言模式具有：先进先出模式；后进先出模式；全开模式；数量限制模式；主席专用模式</w:t>
            </w:r>
          </w:p>
          <w:p w14:paraId="4A47B49C">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9.有4个8芯的专用接口，每路可接30台，最多可接入120台会议单元；</w:t>
            </w:r>
          </w:p>
          <w:p w14:paraId="51CCC120">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10.任意分配ID地址码功能，避免ID地址重复现象</w:t>
            </w:r>
          </w:p>
          <w:p w14:paraId="7B72C481">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11.具有RS232接口；</w:t>
            </w:r>
          </w:p>
          <w:p w14:paraId="70FFD3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12.具备会议录音接口、具备多路音频输入输出口。</w:t>
            </w:r>
          </w:p>
        </w:tc>
        <w:tc>
          <w:tcPr>
            <w:tcW w:w="431" w:type="pct"/>
            <w:shd w:val="clear" w:color="auto" w:fill="auto"/>
            <w:vAlign w:val="center"/>
          </w:tcPr>
          <w:p w14:paraId="662505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auto"/>
            <w:vAlign w:val="center"/>
          </w:tcPr>
          <w:p w14:paraId="52B964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14C2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pct"/>
            <w:shd w:val="clear" w:color="auto" w:fill="auto"/>
            <w:vAlign w:val="center"/>
          </w:tcPr>
          <w:p w14:paraId="1C384D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431" w:type="pct"/>
            <w:shd w:val="clear" w:color="auto" w:fill="FFFFFF"/>
            <w:vAlign w:val="center"/>
          </w:tcPr>
          <w:p w14:paraId="387DFC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主席单元</w:t>
            </w:r>
          </w:p>
        </w:tc>
        <w:tc>
          <w:tcPr>
            <w:tcW w:w="3262" w:type="pct"/>
            <w:shd w:val="clear" w:color="auto" w:fill="FFFFFF"/>
            <w:vAlign w:val="center"/>
          </w:tcPr>
          <w:p w14:paraId="33730A0B">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符合IEC60914、GBT15381-94国际标准；</w:t>
            </w:r>
          </w:p>
          <w:p w14:paraId="384C0C9A">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1.</w:t>
            </w:r>
            <w:r>
              <w:rPr>
                <w:rFonts w:hint="eastAsia" w:ascii="宋体" w:hAnsi="宋体" w:eastAsia="宋体" w:cs="宋体"/>
                <w:color w:val="000000"/>
                <w:sz w:val="22"/>
              </w:rPr>
              <w:t>系统主机具有视像自动跟踪功能；</w:t>
            </w:r>
          </w:p>
          <w:p w14:paraId="4149A48C">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2.</w:t>
            </w:r>
            <w:r>
              <w:rPr>
                <w:rFonts w:hint="eastAsia" w:ascii="宋体" w:hAnsi="宋体" w:eastAsia="宋体" w:cs="宋体"/>
                <w:color w:val="000000"/>
                <w:sz w:val="22"/>
              </w:rPr>
              <w:t>具备USB录音接口，会议录音功能。</w:t>
            </w:r>
          </w:p>
          <w:p w14:paraId="30351FF3">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3.</w:t>
            </w:r>
            <w:r>
              <w:rPr>
                <w:rFonts w:hint="eastAsia" w:ascii="宋体" w:hAnsi="宋体" w:eastAsia="宋体" w:cs="宋体"/>
                <w:color w:val="000000"/>
                <w:sz w:val="22"/>
              </w:rPr>
              <w:t>系统具备断电自动记忆功能；</w:t>
            </w:r>
          </w:p>
          <w:p w14:paraId="3912D4B8">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4.</w:t>
            </w:r>
            <w:r>
              <w:rPr>
                <w:rFonts w:hint="eastAsia" w:ascii="宋体" w:hAnsi="宋体" w:eastAsia="宋体" w:cs="宋体"/>
                <w:color w:val="000000"/>
                <w:sz w:val="22"/>
              </w:rPr>
              <w:t>具有4路RJ45或4路以上的话筒单元接口，且支持话筒单元热插拔，每路支持20个单元或20以上单元</w:t>
            </w:r>
          </w:p>
          <w:p w14:paraId="031737BF">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5.</w:t>
            </w:r>
            <w:r>
              <w:rPr>
                <w:rFonts w:hint="eastAsia" w:ascii="宋体" w:hAnsi="宋体" w:eastAsia="宋体" w:cs="宋体"/>
                <w:color w:val="000000"/>
                <w:sz w:val="22"/>
              </w:rPr>
              <w:t>主席数量≥12个主席单元,发言人数可1-12任意设置</w:t>
            </w:r>
          </w:p>
          <w:p w14:paraId="4937A9D4">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6.</w:t>
            </w:r>
            <w:r>
              <w:rPr>
                <w:rFonts w:hint="eastAsia" w:ascii="宋体" w:hAnsi="宋体" w:eastAsia="宋体" w:cs="宋体"/>
                <w:color w:val="000000"/>
                <w:sz w:val="22"/>
              </w:rPr>
              <w:t>具有2寸显示屏菜单，可以六个或六个以上功能按键实现会议功能控制</w:t>
            </w:r>
          </w:p>
          <w:p w14:paraId="2F6E4E55">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7.</w:t>
            </w:r>
            <w:r>
              <w:rPr>
                <w:rFonts w:hint="eastAsia" w:ascii="宋体" w:hAnsi="宋体" w:eastAsia="宋体" w:cs="宋体"/>
                <w:color w:val="000000"/>
                <w:sz w:val="22"/>
              </w:rPr>
              <w:t>主机显示屏具有直观查看话筒实时发言状态  。</w:t>
            </w:r>
          </w:p>
          <w:p w14:paraId="6C04CF0D">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8.</w:t>
            </w:r>
            <w:r>
              <w:rPr>
                <w:rFonts w:hint="eastAsia" w:ascii="宋体" w:hAnsi="宋体" w:eastAsia="宋体" w:cs="宋体"/>
                <w:color w:val="000000"/>
                <w:sz w:val="22"/>
              </w:rPr>
              <w:t>系统具有会议发言时间可以控制在0-99秒之间设定.</w:t>
            </w:r>
          </w:p>
          <w:p w14:paraId="796DEE8D">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9.</w:t>
            </w:r>
            <w:r>
              <w:rPr>
                <w:rFonts w:hint="eastAsia" w:ascii="宋体" w:hAnsi="宋体" w:eastAsia="宋体" w:cs="宋体"/>
                <w:color w:val="000000"/>
                <w:sz w:val="22"/>
              </w:rPr>
              <w:t>发言模式具有：先进先出模式；后进先出模式；全开模式；数量限制模式；主席专用模式</w:t>
            </w:r>
          </w:p>
          <w:p w14:paraId="4E97F781">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10.</w:t>
            </w:r>
            <w:r>
              <w:rPr>
                <w:rFonts w:hint="eastAsia" w:ascii="宋体" w:hAnsi="宋体" w:eastAsia="宋体" w:cs="宋体"/>
                <w:color w:val="000000"/>
                <w:sz w:val="22"/>
              </w:rPr>
              <w:t>具有4个8芯的专用接口，每路可接30-120台会议单元;</w:t>
            </w:r>
          </w:p>
          <w:p w14:paraId="77A30338">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11.</w:t>
            </w:r>
            <w:r>
              <w:rPr>
                <w:rFonts w:hint="eastAsia" w:ascii="宋体" w:hAnsi="宋体" w:eastAsia="宋体" w:cs="宋体"/>
                <w:color w:val="000000"/>
                <w:sz w:val="22"/>
              </w:rPr>
              <w:t>具有支持中控等功能 带有中控RS232接口</w:t>
            </w:r>
          </w:p>
          <w:p w14:paraId="54F9A439">
            <w:pPr>
              <w:widowControl/>
              <w:jc w:val="left"/>
              <w:textAlignment w:val="center"/>
              <w:rPr>
                <w:rFonts w:ascii="宋体" w:hAnsi="宋体" w:eastAsia="宋体" w:cs="宋体"/>
                <w:color w:val="000000"/>
                <w:sz w:val="22"/>
              </w:rPr>
            </w:pPr>
            <w:r>
              <w:rPr>
                <w:rFonts w:hint="eastAsia" w:ascii="宋体" w:hAnsi="宋体" w:eastAsia="宋体" w:cs="宋体"/>
                <w:color w:val="000000"/>
                <w:sz w:val="22"/>
                <w:lang w:val="en-US" w:eastAsia="zh-CN"/>
              </w:rPr>
              <w:t>12.</w:t>
            </w:r>
            <w:r>
              <w:rPr>
                <w:rFonts w:hint="eastAsia" w:ascii="宋体" w:hAnsi="宋体" w:eastAsia="宋体" w:cs="宋体"/>
                <w:color w:val="000000"/>
                <w:sz w:val="22"/>
              </w:rPr>
              <w:t>会议录音接口、具备多路音频输入输出口</w:t>
            </w:r>
          </w:p>
        </w:tc>
        <w:tc>
          <w:tcPr>
            <w:tcW w:w="431" w:type="pct"/>
            <w:shd w:val="clear" w:color="auto" w:fill="auto"/>
            <w:vAlign w:val="center"/>
          </w:tcPr>
          <w:p w14:paraId="36AEDA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auto"/>
            <w:vAlign w:val="center"/>
          </w:tcPr>
          <w:p w14:paraId="120377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7FEF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431" w:type="pct"/>
            <w:shd w:val="clear" w:color="auto" w:fill="auto"/>
            <w:vAlign w:val="center"/>
          </w:tcPr>
          <w:p w14:paraId="54811D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431" w:type="pct"/>
            <w:shd w:val="clear" w:color="auto" w:fill="FFFFFF"/>
            <w:vAlign w:val="center"/>
          </w:tcPr>
          <w:p w14:paraId="78C91B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代表单元</w:t>
            </w:r>
          </w:p>
        </w:tc>
        <w:tc>
          <w:tcPr>
            <w:tcW w:w="3262" w:type="pct"/>
            <w:shd w:val="clear" w:color="auto" w:fill="FFFFFF"/>
            <w:vAlign w:val="center"/>
          </w:tcPr>
          <w:p w14:paraId="39889BC6">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 xml:space="preserve"> 具备发言、视像跟踪功能</w:t>
            </w:r>
          </w:p>
          <w:p w14:paraId="56176D01">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 xml:space="preserve"> 具发言计时功能</w:t>
            </w:r>
          </w:p>
          <w:p w14:paraId="4FEDC990">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 xml:space="preserve"> 具有发言结束后30秒麦克风自动关闭的功能</w:t>
            </w:r>
          </w:p>
          <w:p w14:paraId="3F15BC16">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 xml:space="preserve"> 单元为无源设备，由系统主机供电，输入电压为DC12-24V，</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 系统中具备主席单元个数不受限制并可置于回路中任意位置等功能</w:t>
            </w:r>
          </w:p>
          <w:p w14:paraId="308EFC61">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主席单元具备优先控制按键，可设永久终止或暂停终止所有发言代表麦克风的发言状态</w:t>
            </w:r>
          </w:p>
          <w:p w14:paraId="6B47FCEE">
            <w:pPr>
              <w:widowControl/>
              <w:numPr>
                <w:ilvl w:val="255"/>
                <w:numId w:val="0"/>
              </w:numPr>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单元具有“T”型一线通连接,可根据会场实际情况订制延长线。</w:t>
            </w:r>
          </w:p>
          <w:p w14:paraId="3561E05A">
            <w:pPr>
              <w:widowControl/>
              <w:numPr>
                <w:ilvl w:val="255"/>
                <w:numId w:val="0"/>
              </w:numPr>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单元话筒具备杆与底座分离设计，螺旋方式固定。</w:t>
            </w:r>
          </w:p>
        </w:tc>
        <w:tc>
          <w:tcPr>
            <w:tcW w:w="431" w:type="pct"/>
            <w:shd w:val="clear" w:color="auto" w:fill="auto"/>
            <w:vAlign w:val="center"/>
          </w:tcPr>
          <w:p w14:paraId="71540C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41" w:type="pct"/>
            <w:shd w:val="clear" w:color="auto" w:fill="auto"/>
            <w:vAlign w:val="center"/>
          </w:tcPr>
          <w:p w14:paraId="5B517C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56C4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31" w:type="pct"/>
            <w:shd w:val="clear" w:color="auto" w:fill="auto"/>
            <w:vAlign w:val="center"/>
          </w:tcPr>
          <w:p w14:paraId="5482D4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431" w:type="pct"/>
            <w:shd w:val="clear" w:color="auto" w:fill="FFFFFF"/>
            <w:vAlign w:val="center"/>
          </w:tcPr>
          <w:p w14:paraId="137A4F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数字移频器</w:t>
            </w:r>
          </w:p>
        </w:tc>
        <w:tc>
          <w:tcPr>
            <w:tcW w:w="3262" w:type="pct"/>
            <w:shd w:val="clear" w:color="auto" w:fill="FFFFFF"/>
            <w:vAlign w:val="center"/>
          </w:tcPr>
          <w:p w14:paraId="70F8706E">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备会议电容话筒：0.8-1米收声；合唱话筒：≥2米收声；电容枪咪：1-2米；领夹胸咪：≥0.5米收声；动圈话筒≥0.3米收声）；</w:t>
            </w:r>
            <w:r>
              <w:rPr>
                <w:rFonts w:hint="eastAsia" w:ascii="宋体" w:hAnsi="宋体" w:eastAsia="宋体" w:cs="宋体"/>
                <w:color w:val="000000"/>
                <w:kern w:val="0"/>
                <w:sz w:val="22"/>
                <w:lang w:val="en-US" w:eastAsia="zh-CN"/>
              </w:rPr>
              <w:t>即插即用</w:t>
            </w:r>
            <w:r>
              <w:rPr>
                <w:rFonts w:hint="eastAsia" w:ascii="宋体" w:hAnsi="宋体" w:eastAsia="宋体" w:cs="宋体"/>
                <w:color w:val="000000"/>
                <w:kern w:val="0"/>
                <w:sz w:val="22"/>
              </w:rPr>
              <w:t xml:space="preserve">，自动适应其他音响设备和声学装饰环境； </w:t>
            </w:r>
          </w:p>
          <w:p w14:paraId="068655D1">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技术参数：</w:t>
            </w:r>
          </w:p>
          <w:p w14:paraId="70412FC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具有 110V~ 220V 宽电压</w:t>
            </w:r>
          </w:p>
          <w:p w14:paraId="4CBDCFA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频率响应: </w:t>
            </w:r>
            <w:r>
              <w:rPr>
                <w:rFonts w:hint="eastAsia" w:ascii="宋体" w:hAnsi="宋体" w:eastAsia="宋体" w:cs="宋体"/>
                <w:color w:val="000000"/>
                <w:kern w:val="0"/>
                <w:sz w:val="22"/>
                <w:lang w:val="en-US" w:eastAsia="zh-CN"/>
              </w:rPr>
              <w:t>优于</w:t>
            </w:r>
            <w:r>
              <w:rPr>
                <w:rFonts w:hint="eastAsia" w:ascii="宋体" w:hAnsi="宋体" w:eastAsia="宋体" w:cs="宋体"/>
                <w:color w:val="000000"/>
                <w:kern w:val="0"/>
                <w:sz w:val="22"/>
              </w:rPr>
              <w:t>125Hz~15KHz；</w:t>
            </w:r>
          </w:p>
          <w:p w14:paraId="342B3A1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失真不 ≤1% ；</w:t>
            </w:r>
          </w:p>
          <w:p w14:paraId="2F0586C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信噪比: </w:t>
            </w:r>
            <w:r>
              <w:rPr>
                <w:rFonts w:hint="eastAsia" w:ascii="宋体" w:hAnsi="宋体" w:eastAsia="宋体" w:cs="宋体"/>
                <w:color w:val="000000"/>
                <w:sz w:val="22"/>
              </w:rPr>
              <w:t>≥</w:t>
            </w:r>
            <w:r>
              <w:rPr>
                <w:rFonts w:hint="eastAsia" w:ascii="宋体" w:hAnsi="宋体" w:eastAsia="宋体" w:cs="宋体"/>
                <w:color w:val="000000"/>
                <w:kern w:val="0"/>
                <w:sz w:val="22"/>
              </w:rPr>
              <w:t>71dB；</w:t>
            </w:r>
          </w:p>
          <w:p w14:paraId="0D67A7C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输出阻抗≤200Ω；</w:t>
            </w:r>
          </w:p>
          <w:p w14:paraId="31BFB537">
            <w:pPr>
              <w:widowControl/>
              <w:jc w:val="left"/>
              <w:textAlignment w:val="center"/>
              <w:rPr>
                <w:rFonts w:ascii="宋体" w:hAnsi="宋体" w:eastAsia="宋体" w:cs="宋体"/>
                <w:color w:val="000000"/>
                <w:sz w:val="22"/>
              </w:rPr>
            </w:pPr>
          </w:p>
        </w:tc>
        <w:tc>
          <w:tcPr>
            <w:tcW w:w="431" w:type="pct"/>
            <w:shd w:val="clear" w:color="auto" w:fill="auto"/>
            <w:vAlign w:val="center"/>
          </w:tcPr>
          <w:p w14:paraId="3C36E1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auto"/>
            <w:vAlign w:val="center"/>
          </w:tcPr>
          <w:p w14:paraId="04F3C2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台</w:t>
            </w:r>
          </w:p>
        </w:tc>
      </w:tr>
      <w:tr w14:paraId="614C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31" w:type="pct"/>
            <w:shd w:val="clear" w:color="auto" w:fill="auto"/>
            <w:vAlign w:val="center"/>
          </w:tcPr>
          <w:p w14:paraId="362873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431" w:type="pct"/>
            <w:shd w:val="clear" w:color="auto" w:fill="FFFFFF"/>
            <w:vAlign w:val="center"/>
          </w:tcPr>
          <w:p w14:paraId="08B0D9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音箱线材</w:t>
            </w:r>
          </w:p>
        </w:tc>
        <w:tc>
          <w:tcPr>
            <w:tcW w:w="3262" w:type="pct"/>
            <w:shd w:val="clear" w:color="auto" w:fill="FFFFFF"/>
            <w:vAlign w:val="center"/>
          </w:tcPr>
          <w:p w14:paraId="5E84DB0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1.电缆线 3*2.5</w:t>
            </w:r>
          </w:p>
          <w:p w14:paraId="400A00B2">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sz w:val="22"/>
              </w:rPr>
              <w:t>2.</w:t>
            </w:r>
            <w:r>
              <w:rPr>
                <w:rFonts w:hint="eastAsia" w:ascii="宋体" w:hAnsi="宋体" w:eastAsia="宋体" w:cs="宋体"/>
                <w:color w:val="000000"/>
                <w:kern w:val="0"/>
                <w:sz w:val="22"/>
              </w:rPr>
              <w:t>额定电压：300V/500V 导体：多股铜导体，符合</w:t>
            </w:r>
          </w:p>
          <w:p w14:paraId="1C64B3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GB/T 3956 第 5 类。</w:t>
            </w:r>
          </w:p>
          <w:p w14:paraId="3D65A120">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kern w:val="0"/>
                <w:sz w:val="22"/>
              </w:rPr>
              <w:t>绝缘：聚氯乙烯（PVC）混合料。</w:t>
            </w:r>
          </w:p>
          <w:p w14:paraId="0952FE5E">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4.</w:t>
            </w:r>
            <w:r>
              <w:rPr>
                <w:rFonts w:hint="eastAsia" w:ascii="宋体" w:hAnsi="宋体" w:eastAsia="宋体" w:cs="宋体"/>
                <w:color w:val="000000"/>
                <w:kern w:val="0"/>
                <w:sz w:val="22"/>
              </w:rPr>
              <w:t>屏蔽：镀锡铜丝编织屏蔽，编织密度大于 85%</w:t>
            </w:r>
          </w:p>
          <w:p w14:paraId="0DF1E5A4">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5.</w:t>
            </w:r>
            <w:r>
              <w:rPr>
                <w:rFonts w:hint="eastAsia" w:ascii="宋体" w:hAnsi="宋体" w:eastAsia="宋体" w:cs="宋体"/>
                <w:color w:val="000000"/>
                <w:kern w:val="0"/>
                <w:sz w:val="22"/>
              </w:rPr>
              <w:t>护套：柔性聚氯乙烯混合料（PVC）。</w:t>
            </w:r>
          </w:p>
        </w:tc>
        <w:tc>
          <w:tcPr>
            <w:tcW w:w="431" w:type="pct"/>
            <w:shd w:val="clear" w:color="auto" w:fill="auto"/>
            <w:vAlign w:val="center"/>
          </w:tcPr>
          <w:p w14:paraId="6DD5AD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441" w:type="pct"/>
            <w:shd w:val="clear" w:color="auto" w:fill="auto"/>
            <w:vAlign w:val="center"/>
          </w:tcPr>
          <w:p w14:paraId="4D1D66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卷</w:t>
            </w:r>
          </w:p>
        </w:tc>
      </w:tr>
      <w:tr w14:paraId="1CA8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31" w:type="pct"/>
            <w:shd w:val="clear" w:color="auto" w:fill="auto"/>
            <w:vAlign w:val="center"/>
          </w:tcPr>
          <w:p w14:paraId="2EFA85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431" w:type="pct"/>
            <w:shd w:val="clear" w:color="auto" w:fill="FFFFFF"/>
            <w:vAlign w:val="center"/>
          </w:tcPr>
          <w:p w14:paraId="5380C0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音箱臂架</w:t>
            </w:r>
          </w:p>
        </w:tc>
        <w:tc>
          <w:tcPr>
            <w:tcW w:w="3262" w:type="pct"/>
            <w:shd w:val="clear" w:color="auto" w:fill="FFFFFF"/>
            <w:vAlign w:val="center"/>
          </w:tcPr>
          <w:p w14:paraId="17F968E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1.优质冷轧钢板冲压焊接成形，表面防静电喷塑，前后伸缩可调，上下仰角可调。</w:t>
            </w:r>
          </w:p>
          <w:p w14:paraId="2C3648CD">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w:t>
            </w:r>
            <w:r>
              <w:rPr>
                <w:rFonts w:hint="eastAsia" w:ascii="宋体" w:hAnsi="宋体" w:eastAsia="宋体" w:cs="宋体"/>
                <w:color w:val="000000"/>
                <w:kern w:val="0"/>
                <w:sz w:val="22"/>
              </w:rPr>
              <w:t>承重：≥80KG</w:t>
            </w:r>
          </w:p>
        </w:tc>
        <w:tc>
          <w:tcPr>
            <w:tcW w:w="431" w:type="pct"/>
            <w:shd w:val="clear" w:color="auto" w:fill="auto"/>
            <w:vAlign w:val="center"/>
          </w:tcPr>
          <w:p w14:paraId="63B4F8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41" w:type="pct"/>
            <w:shd w:val="clear" w:color="auto" w:fill="auto"/>
            <w:vAlign w:val="center"/>
          </w:tcPr>
          <w:p w14:paraId="3C8170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付</w:t>
            </w:r>
          </w:p>
        </w:tc>
      </w:tr>
      <w:tr w14:paraId="3A5A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31" w:type="pct"/>
            <w:shd w:val="clear" w:color="auto" w:fill="auto"/>
            <w:vAlign w:val="center"/>
          </w:tcPr>
          <w:p w14:paraId="204E7C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431" w:type="pct"/>
            <w:shd w:val="clear" w:color="auto" w:fill="FFFFFF"/>
            <w:vAlign w:val="center"/>
          </w:tcPr>
          <w:p w14:paraId="6B4D07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机柜</w:t>
            </w:r>
          </w:p>
        </w:tc>
        <w:tc>
          <w:tcPr>
            <w:tcW w:w="3262" w:type="pct"/>
            <w:shd w:val="clear" w:color="auto" w:fill="FFFFFF"/>
            <w:vAlign w:val="center"/>
          </w:tcPr>
          <w:p w14:paraId="43846B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规格尺寸：2000（mm）*600（mm）*600（mm），前门钢化玻璃，后门高密度椭圆网孔，冷扎钢板制作，表面处理：脱脂，酸洗，磷化，静电喷涂。整体拼装，前后左右门可拆卸。方孔条厚度≥2.0mm，安装横梁≥1.2mm，其它≥0.8mm；最大静载≥500KG(带支脚）。</w:t>
            </w:r>
          </w:p>
        </w:tc>
        <w:tc>
          <w:tcPr>
            <w:tcW w:w="431" w:type="pct"/>
            <w:shd w:val="clear" w:color="auto" w:fill="auto"/>
            <w:vAlign w:val="center"/>
          </w:tcPr>
          <w:p w14:paraId="50E3C7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shd w:val="clear" w:color="auto" w:fill="auto"/>
            <w:vAlign w:val="center"/>
          </w:tcPr>
          <w:p w14:paraId="4D57FB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套</w:t>
            </w:r>
          </w:p>
        </w:tc>
      </w:tr>
      <w:tr w14:paraId="3DD6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31" w:type="pct"/>
            <w:shd w:val="clear" w:color="auto" w:fill="auto"/>
            <w:vAlign w:val="center"/>
          </w:tcPr>
          <w:p w14:paraId="79C976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431" w:type="pct"/>
            <w:shd w:val="clear" w:color="auto" w:fill="auto"/>
            <w:vAlign w:val="center"/>
          </w:tcPr>
          <w:p w14:paraId="4B1025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辅料及配件</w:t>
            </w:r>
          </w:p>
        </w:tc>
        <w:tc>
          <w:tcPr>
            <w:tcW w:w="3262" w:type="pct"/>
            <w:shd w:val="clear" w:color="auto" w:fill="auto"/>
            <w:vAlign w:val="center"/>
          </w:tcPr>
          <w:p w14:paraId="2C0A6AE1">
            <w:pPr>
              <w:widowControl/>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过机线。穿线管 铁链 架子 胶带 绝缘胶布 膨</w:t>
            </w:r>
          </w:p>
          <w:p w14:paraId="64C1E208">
            <w:pPr>
              <w:widowControl/>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胀螺丝 膨胀勾 扎带 电源延长线 卡农头 6.5 直</w:t>
            </w:r>
          </w:p>
          <w:p w14:paraId="291AE47C">
            <w:pPr>
              <w:widowControl/>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插 老虎头 切割片 电焊条 钉子 铁丝 安全</w:t>
            </w:r>
          </w:p>
          <w:p w14:paraId="6EB3F1D5">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绳 钢丝绳 绝缘手套</w:t>
            </w:r>
          </w:p>
        </w:tc>
        <w:tc>
          <w:tcPr>
            <w:tcW w:w="431" w:type="pct"/>
            <w:shd w:val="clear" w:color="auto" w:fill="auto"/>
            <w:vAlign w:val="center"/>
          </w:tcPr>
          <w:p w14:paraId="2584DB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shd w:val="clear" w:color="auto" w:fill="auto"/>
            <w:vAlign w:val="center"/>
          </w:tcPr>
          <w:p w14:paraId="5A3D74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批</w:t>
            </w:r>
          </w:p>
        </w:tc>
      </w:tr>
      <w:tr w14:paraId="18C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31" w:type="pct"/>
            <w:shd w:val="clear" w:color="auto" w:fill="auto"/>
            <w:vAlign w:val="center"/>
          </w:tcPr>
          <w:p w14:paraId="526C5681">
            <w:pPr>
              <w:widowControl/>
              <w:jc w:val="center"/>
              <w:textAlignment w:val="center"/>
              <w:rPr>
                <w:rFonts w:ascii="宋体" w:hAnsi="宋体" w:eastAsia="宋体" w:cs="宋体"/>
                <w:b w:val="0"/>
                <w:bCs w:val="0"/>
                <w:color w:val="000000"/>
                <w:sz w:val="22"/>
              </w:rPr>
            </w:pPr>
            <w:r>
              <w:rPr>
                <w:rFonts w:hint="eastAsia" w:ascii="宋体" w:hAnsi="宋体" w:eastAsia="宋体" w:cs="宋体"/>
                <w:b w:val="0"/>
                <w:bCs w:val="0"/>
                <w:color w:val="000000"/>
                <w:kern w:val="0"/>
                <w:sz w:val="22"/>
              </w:rPr>
              <w:t>24</w:t>
            </w:r>
          </w:p>
        </w:tc>
        <w:tc>
          <w:tcPr>
            <w:tcW w:w="431" w:type="pct"/>
            <w:shd w:val="clear" w:color="auto" w:fill="auto"/>
            <w:vAlign w:val="center"/>
          </w:tcPr>
          <w:p w14:paraId="659D2B4D">
            <w:pPr>
              <w:jc w:val="center"/>
              <w:rPr>
                <w:rFonts w:ascii="宋体" w:hAnsi="宋体" w:eastAsia="宋体" w:cs="宋体"/>
                <w:b w:val="0"/>
                <w:bCs w:val="0"/>
                <w:color w:val="000000"/>
                <w:sz w:val="22"/>
              </w:rPr>
            </w:pPr>
            <w:r>
              <w:rPr>
                <w:rFonts w:hint="eastAsia" w:ascii="宋体" w:hAnsi="宋体" w:eastAsia="宋体" w:cs="宋体"/>
                <w:b w:val="0"/>
                <w:bCs w:val="0"/>
                <w:color w:val="000000"/>
                <w:kern w:val="0"/>
                <w:sz w:val="22"/>
              </w:rPr>
              <w:t>大幕轨道电机</w:t>
            </w:r>
          </w:p>
        </w:tc>
        <w:tc>
          <w:tcPr>
            <w:tcW w:w="3262" w:type="pct"/>
            <w:shd w:val="clear" w:color="auto" w:fill="auto"/>
            <w:vAlign w:val="center"/>
          </w:tcPr>
          <w:p w14:paraId="55BFCAE3">
            <w:pPr>
              <w:widowControl/>
              <w:textAlignment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rPr>
              <w:t>1.单轨双开，无线遥控，幕布皮带，股钢丝力承重≥3000kg；</w:t>
            </w:r>
          </w:p>
          <w:p w14:paraId="494B6FC6">
            <w:pPr>
              <w:widowControl/>
              <w:textAlignment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rPr>
              <w:t>2.额定电压:200V 额定功率:≥300W 额定扭矩:≥25NW 额定电流:≥0.85A 额定转数:≥140R；</w:t>
            </w:r>
          </w:p>
          <w:p w14:paraId="1DFA27C3">
            <w:pPr>
              <w:widowControl/>
              <w:textAlignment w:val="center"/>
              <w:rPr>
                <w:rFonts w:ascii="宋体" w:hAnsi="宋体" w:eastAsia="宋体" w:cs="宋体"/>
                <w:b w:val="0"/>
                <w:bCs w:val="0"/>
                <w:color w:val="000000"/>
                <w:sz w:val="22"/>
              </w:rPr>
            </w:pPr>
            <w:r>
              <w:rPr>
                <w:rFonts w:hint="eastAsia" w:ascii="宋体" w:hAnsi="宋体" w:eastAsia="宋体" w:cs="宋体"/>
                <w:b w:val="0"/>
                <w:bCs w:val="0"/>
                <w:color w:val="000000"/>
                <w:kern w:val="0"/>
                <w:sz w:val="22"/>
              </w:rPr>
              <w:t>3.滑轮滑轮采用 ABS 材料设计模具加工，单个滑轮的负重≥8KG/颗，滑轮破坏负重≥20KG/个，静音顺滑流畅。</w:t>
            </w:r>
          </w:p>
        </w:tc>
        <w:tc>
          <w:tcPr>
            <w:tcW w:w="431" w:type="pct"/>
            <w:shd w:val="clear" w:color="auto" w:fill="auto"/>
            <w:vAlign w:val="center"/>
          </w:tcPr>
          <w:p w14:paraId="4EF9AD96">
            <w:pPr>
              <w:widowControl/>
              <w:jc w:val="center"/>
              <w:textAlignment w:val="center"/>
              <w:rPr>
                <w:rFonts w:ascii="宋体" w:hAnsi="宋体" w:eastAsia="宋体" w:cs="宋体"/>
                <w:b w:val="0"/>
                <w:bCs w:val="0"/>
                <w:color w:val="000000"/>
                <w:sz w:val="22"/>
              </w:rPr>
            </w:pPr>
            <w:r>
              <w:rPr>
                <w:rFonts w:hint="eastAsia" w:ascii="宋体" w:hAnsi="宋体" w:eastAsia="宋体" w:cs="宋体"/>
                <w:b w:val="0"/>
                <w:bCs w:val="0"/>
                <w:color w:val="000000"/>
                <w:kern w:val="0"/>
                <w:sz w:val="22"/>
              </w:rPr>
              <w:t>1</w:t>
            </w:r>
          </w:p>
        </w:tc>
        <w:tc>
          <w:tcPr>
            <w:tcW w:w="441" w:type="pct"/>
            <w:shd w:val="clear" w:color="auto" w:fill="auto"/>
            <w:vAlign w:val="center"/>
          </w:tcPr>
          <w:p w14:paraId="03B5CF2C">
            <w:pPr>
              <w:widowControl/>
              <w:jc w:val="center"/>
              <w:textAlignment w:val="center"/>
              <w:rPr>
                <w:rFonts w:ascii="宋体" w:hAnsi="宋体" w:eastAsia="宋体" w:cs="宋体"/>
                <w:b w:val="0"/>
                <w:bCs w:val="0"/>
                <w:color w:val="000000"/>
                <w:sz w:val="22"/>
              </w:rPr>
            </w:pPr>
            <w:r>
              <w:rPr>
                <w:rFonts w:hint="eastAsia" w:ascii="宋体" w:hAnsi="宋体" w:eastAsia="宋体" w:cs="宋体"/>
                <w:b w:val="0"/>
                <w:bCs w:val="0"/>
                <w:color w:val="000000"/>
                <w:kern w:val="0"/>
                <w:sz w:val="22"/>
              </w:rPr>
              <w:t>组</w:t>
            </w:r>
          </w:p>
        </w:tc>
      </w:tr>
    </w:tbl>
    <w:p w14:paraId="0D386439">
      <w:pPr>
        <w:rPr>
          <w:sz w:val="28"/>
          <w:szCs w:val="36"/>
        </w:rPr>
        <w:sectPr>
          <w:pgSz w:w="11906" w:h="16838"/>
          <w:pgMar w:top="1440" w:right="1800" w:bottom="1440" w:left="1800" w:header="851" w:footer="992" w:gutter="0"/>
          <w:cols w:space="425" w:num="1"/>
          <w:docGrid w:type="lines" w:linePitch="312" w:charSpace="0"/>
        </w:sectPr>
      </w:pPr>
    </w:p>
    <w:p w14:paraId="6102CBEA">
      <w:pPr>
        <w:jc w:val="center"/>
        <w:rPr>
          <w:b/>
          <w:bCs/>
          <w:sz w:val="28"/>
          <w:szCs w:val="36"/>
        </w:rPr>
      </w:pPr>
      <w:r>
        <w:rPr>
          <w:rFonts w:hint="eastAsia"/>
          <w:b/>
          <w:bCs/>
          <w:sz w:val="28"/>
          <w:szCs w:val="36"/>
        </w:rPr>
        <w:t>灯光系统主要配置</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38"/>
        <w:gridCol w:w="5435"/>
        <w:gridCol w:w="696"/>
        <w:gridCol w:w="696"/>
      </w:tblGrid>
      <w:tr w14:paraId="4CDA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57" w:type="dxa"/>
            <w:shd w:val="clear" w:color="auto" w:fill="auto"/>
            <w:noWrap/>
            <w:vAlign w:val="center"/>
          </w:tcPr>
          <w:p w14:paraId="5A572778">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2"/>
              </w:rPr>
              <w:t>序号</w:t>
            </w:r>
          </w:p>
        </w:tc>
        <w:tc>
          <w:tcPr>
            <w:tcW w:w="838" w:type="dxa"/>
            <w:shd w:val="clear" w:color="auto" w:fill="auto"/>
            <w:noWrap/>
            <w:vAlign w:val="center"/>
          </w:tcPr>
          <w:p w14:paraId="6C755304">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2"/>
              </w:rPr>
              <w:t>名称</w:t>
            </w:r>
          </w:p>
        </w:tc>
        <w:tc>
          <w:tcPr>
            <w:tcW w:w="5435" w:type="dxa"/>
            <w:shd w:val="clear" w:color="auto" w:fill="auto"/>
            <w:vAlign w:val="center"/>
          </w:tcPr>
          <w:p w14:paraId="314DFF01">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2"/>
              </w:rPr>
              <w:t>主要参数</w:t>
            </w:r>
          </w:p>
        </w:tc>
        <w:tc>
          <w:tcPr>
            <w:tcW w:w="696" w:type="dxa"/>
            <w:shd w:val="clear" w:color="auto" w:fill="auto"/>
            <w:noWrap/>
            <w:vAlign w:val="center"/>
          </w:tcPr>
          <w:p w14:paraId="3AF01D7B">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2"/>
              </w:rPr>
              <w:t>数量</w:t>
            </w:r>
          </w:p>
        </w:tc>
        <w:tc>
          <w:tcPr>
            <w:tcW w:w="696" w:type="dxa"/>
            <w:shd w:val="clear" w:color="auto" w:fill="auto"/>
            <w:noWrap/>
            <w:vAlign w:val="center"/>
          </w:tcPr>
          <w:p w14:paraId="20BA3BA4">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kern w:val="0"/>
                <w:sz w:val="22"/>
              </w:rPr>
              <w:t>单位</w:t>
            </w:r>
          </w:p>
        </w:tc>
      </w:tr>
      <w:tr w14:paraId="75E2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57" w:type="dxa"/>
            <w:shd w:val="clear" w:color="auto" w:fill="auto"/>
            <w:noWrap/>
            <w:vAlign w:val="center"/>
          </w:tcPr>
          <w:p w14:paraId="14D0A2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838" w:type="dxa"/>
            <w:shd w:val="clear" w:color="auto" w:fill="auto"/>
            <w:noWrap/>
            <w:vAlign w:val="center"/>
          </w:tcPr>
          <w:p w14:paraId="134708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COB四眼面光灯</w:t>
            </w:r>
          </w:p>
        </w:tc>
        <w:tc>
          <w:tcPr>
            <w:tcW w:w="5435" w:type="dxa"/>
            <w:shd w:val="clear" w:color="auto" w:fill="auto"/>
            <w:vAlign w:val="center"/>
          </w:tcPr>
          <w:p w14:paraId="2128E8F7">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1.电源：AC100-240V 50-60Hz</w:t>
            </w:r>
          </w:p>
          <w:p w14:paraId="4B3E7C14">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2.功率：</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220W</w:t>
            </w:r>
          </w:p>
          <w:p w14:paraId="1B507FF1">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3.光源：4颗50W 高亮度LED芯片组， 正白色温5600K，暖色色温3200K；</w:t>
            </w:r>
          </w:p>
          <w:p w14:paraId="45AE7D9E">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4.功能：程序自走，色温设置，菜单设置，静态设置，DMX512受控执行和主从机设置，DMX512地址码设置，DMX512通道模式设置</w:t>
            </w:r>
          </w:p>
          <w:p w14:paraId="2F6EB234">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5.显示：LCD数码显示</w:t>
            </w:r>
          </w:p>
          <w:p w14:paraId="607D0DEB">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6.控制：DMX512信号4/8通道模式可选,声控，自走，主从控制手拉手电源</w:t>
            </w:r>
          </w:p>
          <w:p w14:paraId="58373A5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7.等级：</w:t>
            </w:r>
            <w:r>
              <w:rPr>
                <w:rFonts w:hint="eastAsia" w:ascii="宋体" w:hAnsi="宋体" w:eastAsia="宋体" w:cs="宋体"/>
                <w:color w:val="000000"/>
                <w:sz w:val="22"/>
              </w:rPr>
              <w:t>≥</w:t>
            </w:r>
            <w:r>
              <w:rPr>
                <w:rFonts w:hint="eastAsia" w:ascii="宋体" w:hAnsi="宋体" w:eastAsia="宋体" w:cs="宋体"/>
                <w:color w:val="000000"/>
                <w:kern w:val="0"/>
                <w:sz w:val="24"/>
                <w:szCs w:val="24"/>
              </w:rPr>
              <w:t>IP20,风机自然散热+机体组合散热</w:t>
            </w:r>
          </w:p>
        </w:tc>
        <w:tc>
          <w:tcPr>
            <w:tcW w:w="696" w:type="dxa"/>
            <w:shd w:val="clear" w:color="auto" w:fill="auto"/>
            <w:vAlign w:val="center"/>
          </w:tcPr>
          <w:p w14:paraId="446A3B99">
            <w:pPr>
              <w:jc w:val="center"/>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696" w:type="dxa"/>
            <w:shd w:val="clear" w:color="auto" w:fill="auto"/>
            <w:vAlign w:val="center"/>
          </w:tcPr>
          <w:p w14:paraId="1B30D7FF">
            <w:pPr>
              <w:jc w:val="center"/>
              <w:rPr>
                <w:rFonts w:ascii="宋体" w:hAnsi="宋体" w:eastAsia="宋体" w:cs="宋体"/>
                <w:color w:val="000000"/>
                <w:sz w:val="24"/>
                <w:szCs w:val="24"/>
              </w:rPr>
            </w:pPr>
            <w:r>
              <w:rPr>
                <w:rFonts w:hint="eastAsia" w:ascii="宋体" w:hAnsi="宋体" w:eastAsia="宋体" w:cs="宋体"/>
                <w:color w:val="000000"/>
                <w:sz w:val="24"/>
                <w:szCs w:val="24"/>
              </w:rPr>
              <w:t>台</w:t>
            </w:r>
          </w:p>
        </w:tc>
      </w:tr>
      <w:tr w14:paraId="4CB8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857" w:type="dxa"/>
            <w:shd w:val="clear" w:color="auto" w:fill="auto"/>
            <w:noWrap/>
            <w:vAlign w:val="center"/>
          </w:tcPr>
          <w:p w14:paraId="09552A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838" w:type="dxa"/>
            <w:shd w:val="clear" w:color="auto" w:fill="auto"/>
            <w:noWrap/>
            <w:vAlign w:val="center"/>
          </w:tcPr>
          <w:p w14:paraId="53F62A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LED会议灯</w:t>
            </w:r>
          </w:p>
        </w:tc>
        <w:tc>
          <w:tcPr>
            <w:tcW w:w="5435" w:type="dxa"/>
            <w:shd w:val="clear" w:color="auto" w:fill="auto"/>
            <w:vAlign w:val="center"/>
          </w:tcPr>
          <w:p w14:paraId="6E7FD5E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1.输入电压：AC100-240V 50-60HZ</w:t>
            </w:r>
          </w:p>
          <w:p w14:paraId="2B839E52">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2.功率：</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200W</w:t>
            </w:r>
          </w:p>
          <w:p w14:paraId="51B1AC57">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3.光源：</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43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颗0.5W高亮度LED贴片灯珠</w:t>
            </w:r>
          </w:p>
          <w:p w14:paraId="5626AF4A">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4.LED寿命：</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50000小时</w:t>
            </w:r>
          </w:p>
          <w:p w14:paraId="20E81A81">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5.色温：3200K/5600K</w:t>
            </w:r>
          </w:p>
          <w:p w14:paraId="151CC8B8">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6显指：R=90</w:t>
            </w:r>
          </w:p>
          <w:p w14:paraId="13D2DEFD">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7.LED发光角度：</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120°</w:t>
            </w:r>
          </w:p>
          <w:p w14:paraId="1633CFA4">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8.效果：0-100%线性调光</w:t>
            </w:r>
          </w:p>
          <w:p w14:paraId="6698E15F">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9.协议：DMX512国际标准模式</w:t>
            </w:r>
          </w:p>
          <w:p w14:paraId="7178E56B">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10.控制模式：DMX512控制/手动/自动</w:t>
            </w:r>
          </w:p>
          <w:p w14:paraId="78BC7DA4">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11.通道：2CH通道模式</w:t>
            </w:r>
          </w:p>
          <w:p w14:paraId="3E21F18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12.保护等级：</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IP20</w:t>
            </w:r>
          </w:p>
        </w:tc>
        <w:tc>
          <w:tcPr>
            <w:tcW w:w="696" w:type="dxa"/>
            <w:shd w:val="clear" w:color="auto" w:fill="auto"/>
            <w:noWrap/>
            <w:vAlign w:val="center"/>
          </w:tcPr>
          <w:p w14:paraId="064998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5</w:t>
            </w:r>
          </w:p>
        </w:tc>
        <w:tc>
          <w:tcPr>
            <w:tcW w:w="696" w:type="dxa"/>
            <w:shd w:val="clear" w:color="auto" w:fill="auto"/>
            <w:vAlign w:val="center"/>
          </w:tcPr>
          <w:p w14:paraId="08ED2C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3E61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57" w:type="dxa"/>
            <w:shd w:val="clear" w:color="auto" w:fill="auto"/>
            <w:noWrap/>
            <w:vAlign w:val="center"/>
          </w:tcPr>
          <w:p w14:paraId="0725EA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838" w:type="dxa"/>
            <w:shd w:val="clear" w:color="auto" w:fill="auto"/>
            <w:noWrap/>
            <w:vAlign w:val="center"/>
          </w:tcPr>
          <w:p w14:paraId="136F5F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LED染色灯</w:t>
            </w:r>
          </w:p>
        </w:tc>
        <w:tc>
          <w:tcPr>
            <w:tcW w:w="5435" w:type="dxa"/>
            <w:shd w:val="clear" w:color="auto" w:fill="auto"/>
            <w:vAlign w:val="center"/>
          </w:tcPr>
          <w:p w14:paraId="320A36AD">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1.输入电压： AC100-220V,50-60/HZ 能源消耗：</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300W</w:t>
            </w:r>
          </w:p>
          <w:p w14:paraId="78C5C900">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2.光源：10W*18颗 四合一</w:t>
            </w:r>
          </w:p>
          <w:p w14:paraId="7FF06AF8">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3.控制模式：DMX512信号、主从、声控、自走</w:t>
            </w:r>
          </w:p>
          <w:p w14:paraId="68D68460">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D M X：8通道</w:t>
            </w:r>
          </w:p>
          <w:p w14:paraId="7D4F01AA">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4.透镜角度： 25°</w:t>
            </w:r>
          </w:p>
          <w:p w14:paraId="0C85C24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5.防护等级：</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IP25</w:t>
            </w:r>
          </w:p>
        </w:tc>
        <w:tc>
          <w:tcPr>
            <w:tcW w:w="696" w:type="dxa"/>
            <w:shd w:val="clear" w:color="auto" w:fill="auto"/>
            <w:noWrap/>
            <w:vAlign w:val="center"/>
          </w:tcPr>
          <w:p w14:paraId="087605EE">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64</w:t>
            </w:r>
          </w:p>
        </w:tc>
        <w:tc>
          <w:tcPr>
            <w:tcW w:w="696" w:type="dxa"/>
            <w:shd w:val="clear" w:color="auto" w:fill="auto"/>
            <w:noWrap/>
            <w:vAlign w:val="center"/>
          </w:tcPr>
          <w:p w14:paraId="59381C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24E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857" w:type="dxa"/>
            <w:shd w:val="clear" w:color="auto" w:fill="auto"/>
            <w:noWrap/>
            <w:vAlign w:val="center"/>
          </w:tcPr>
          <w:p w14:paraId="3A7419ED">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838" w:type="dxa"/>
            <w:shd w:val="clear" w:color="auto" w:fill="auto"/>
            <w:vAlign w:val="center"/>
          </w:tcPr>
          <w:p w14:paraId="6C6E92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380 光束灯</w:t>
            </w:r>
          </w:p>
        </w:tc>
        <w:tc>
          <w:tcPr>
            <w:tcW w:w="5435" w:type="dxa"/>
            <w:shd w:val="clear" w:color="auto" w:fill="auto"/>
            <w:vAlign w:val="center"/>
          </w:tcPr>
          <w:p w14:paraId="5A01AF4A">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1.功率：</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W</w:t>
            </w:r>
          </w:p>
          <w:p w14:paraId="04ECC65E">
            <w:pPr>
              <w:widowControl/>
              <w:jc w:val="left"/>
              <w:textAlignment w:val="center"/>
              <w:rPr>
                <w:rFonts w:hint="eastAsia" w:eastAsiaTheme="minorEastAsia"/>
                <w:lang w:eastAsia="zh-CN"/>
              </w:rPr>
            </w:pPr>
            <w:r>
              <w:rPr>
                <w:rFonts w:hint="eastAsia" w:ascii="宋体" w:hAnsi="宋体" w:eastAsia="宋体" w:cs="宋体"/>
                <w:color w:val="000000"/>
                <w:kern w:val="0"/>
                <w:sz w:val="24"/>
                <w:szCs w:val="24"/>
              </w:rPr>
              <w:t xml:space="preserve">2.光源：欧司朗 </w:t>
            </w:r>
          </w:p>
          <w:p w14:paraId="0C646769">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3.通道：≥16 控制通道</w:t>
            </w:r>
          </w:p>
          <w:p w14:paraId="5DB017DC">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4.LED 液晶显示</w:t>
            </w:r>
          </w:p>
          <w:p w14:paraId="14B5C806">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5.颜色：1 个颜色盘，≥14 个颜色+白光，可半色、可双向流动</w:t>
            </w:r>
          </w:p>
          <w:p w14:paraId="609C515F">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6.图案：1 个固定图案盘，≥15 种图案+白光，图案盘可抖动，可双向流动</w:t>
            </w:r>
          </w:p>
          <w:p w14:paraId="75F8950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7.防护等级：</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IP20</w:t>
            </w:r>
          </w:p>
        </w:tc>
        <w:tc>
          <w:tcPr>
            <w:tcW w:w="696" w:type="dxa"/>
            <w:shd w:val="clear" w:color="auto" w:fill="auto"/>
            <w:noWrap/>
            <w:vAlign w:val="center"/>
          </w:tcPr>
          <w:p w14:paraId="5FF501F2">
            <w:pPr>
              <w:jc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696" w:type="dxa"/>
            <w:shd w:val="clear" w:color="auto" w:fill="auto"/>
            <w:noWrap/>
            <w:vAlign w:val="center"/>
          </w:tcPr>
          <w:p w14:paraId="51F21F2D">
            <w:pPr>
              <w:jc w:val="center"/>
              <w:rPr>
                <w:rFonts w:ascii="宋体" w:hAnsi="宋体" w:eastAsia="宋体" w:cs="宋体"/>
                <w:color w:val="000000"/>
                <w:sz w:val="24"/>
                <w:szCs w:val="24"/>
              </w:rPr>
            </w:pPr>
            <w:r>
              <w:rPr>
                <w:rFonts w:hint="eastAsia" w:ascii="宋体" w:hAnsi="宋体" w:eastAsia="宋体" w:cs="宋体"/>
                <w:color w:val="000000"/>
                <w:sz w:val="24"/>
                <w:szCs w:val="24"/>
              </w:rPr>
              <w:t>台</w:t>
            </w:r>
          </w:p>
        </w:tc>
      </w:tr>
      <w:tr w14:paraId="4242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857" w:type="dxa"/>
            <w:shd w:val="clear" w:color="auto" w:fill="auto"/>
            <w:noWrap/>
            <w:vAlign w:val="center"/>
          </w:tcPr>
          <w:p w14:paraId="4CAB93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c>
          <w:tcPr>
            <w:tcW w:w="838" w:type="dxa"/>
            <w:shd w:val="clear" w:color="auto" w:fill="auto"/>
            <w:noWrap/>
            <w:vAlign w:val="center"/>
          </w:tcPr>
          <w:p w14:paraId="1B768E2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薄雾机</w:t>
            </w:r>
          </w:p>
        </w:tc>
        <w:tc>
          <w:tcPr>
            <w:tcW w:w="5435" w:type="dxa"/>
            <w:shd w:val="clear" w:color="auto" w:fill="auto"/>
            <w:vAlign w:val="center"/>
          </w:tcPr>
          <w:p w14:paraId="7C6B55E0">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1.≥1500W薄雾机的烟量和风速调到100%时连续喷1分钟可以覆盖120</w:t>
            </w:r>
            <w:r>
              <w:rPr>
                <w:rFonts w:hint="eastAsia"/>
              </w:rPr>
              <w:t>m³</w:t>
            </w:r>
            <w:r>
              <w:rPr>
                <w:rFonts w:hint="eastAsia" w:ascii="宋体" w:hAnsi="宋体" w:eastAsia="宋体" w:cs="宋体"/>
                <w:color w:val="000000"/>
                <w:kern w:val="0"/>
                <w:sz w:val="24"/>
                <w:szCs w:val="24"/>
              </w:rPr>
              <w:t>，内置常规大风机</w:t>
            </w:r>
          </w:p>
          <w:p w14:paraId="1ECD0B9D">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2.面板可调烟量大小、喷烟速度、定时定量以及间隔时间</w:t>
            </w:r>
          </w:p>
          <w:p w14:paraId="559D278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3支持DMX-512/无线遥控/面板手动设置，内置油泵保护装置，当雾油耗尽时会自动停止喷烟，可有效防止油泵抽空</w:t>
            </w:r>
          </w:p>
        </w:tc>
        <w:tc>
          <w:tcPr>
            <w:tcW w:w="696" w:type="dxa"/>
            <w:shd w:val="clear" w:color="auto" w:fill="auto"/>
            <w:noWrap/>
            <w:vAlign w:val="center"/>
          </w:tcPr>
          <w:p w14:paraId="5B65D0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696" w:type="dxa"/>
            <w:shd w:val="clear" w:color="auto" w:fill="auto"/>
            <w:noWrap/>
            <w:vAlign w:val="center"/>
          </w:tcPr>
          <w:p w14:paraId="7E897E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5BA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857" w:type="dxa"/>
            <w:shd w:val="clear" w:color="auto" w:fill="auto"/>
            <w:noWrap/>
            <w:vAlign w:val="center"/>
          </w:tcPr>
          <w:p w14:paraId="703E2E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w:t>
            </w:r>
          </w:p>
        </w:tc>
        <w:tc>
          <w:tcPr>
            <w:tcW w:w="838" w:type="dxa"/>
            <w:shd w:val="clear" w:color="auto" w:fill="auto"/>
            <w:noWrap/>
            <w:vAlign w:val="center"/>
          </w:tcPr>
          <w:p w14:paraId="161024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灯光控制台</w:t>
            </w:r>
          </w:p>
        </w:tc>
        <w:tc>
          <w:tcPr>
            <w:tcW w:w="5435" w:type="dxa"/>
            <w:shd w:val="clear" w:color="auto" w:fill="auto"/>
            <w:vAlign w:val="center"/>
          </w:tcPr>
          <w:p w14:paraId="1E19CC4B">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1.DMX512/1990标准，物理固定输出2048个DMX控制通道，可ARTNET扩展4096DMX通道</w:t>
            </w:r>
          </w:p>
          <w:p w14:paraId="2B144EF9">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2.intel CPU, ≥128G固态硬盘，≥4G内存</w:t>
            </w:r>
          </w:p>
          <w:p w14:paraId="51B2F360">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4个标准USB接口，≥4个灯具属性转轮</w:t>
            </w:r>
          </w:p>
          <w:p w14:paraId="13F3C098">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4.1个≥13寸高清电容触摸屏</w:t>
            </w:r>
          </w:p>
          <w:p w14:paraId="065603B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1个高保真音频输出口</w:t>
            </w:r>
          </w:p>
          <w:p w14:paraId="189BDF2A">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6.支持RDM双向通信协议,远程调节地址码</w:t>
            </w:r>
          </w:p>
          <w:p w14:paraId="5151C5B6">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10个场景回放推杆</w:t>
            </w:r>
          </w:p>
          <w:p w14:paraId="66AD536C">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8.可储存</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2000个场景</w:t>
            </w:r>
          </w:p>
          <w:p w14:paraId="286CDCE7">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9.可控制</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800个灯具，可存储</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200个灯具组</w:t>
            </w:r>
          </w:p>
          <w:p w14:paraId="74295442">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10.素材</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十个类别，每一类可储存200个素材。</w:t>
            </w:r>
          </w:p>
          <w:p w14:paraId="279186D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11.内置音乐播放器</w:t>
            </w:r>
          </w:p>
          <w:p w14:paraId="7138838D">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12.内置图形可自由创建并保存使用，有</w:t>
            </w:r>
            <w:r>
              <w:rPr>
                <w:rFonts w:hint="eastAsia" w:ascii="宋体" w:hAnsi="宋体" w:eastAsia="宋体" w:cs="宋体"/>
                <w:color w:val="000000"/>
                <w:kern w:val="0"/>
                <w:sz w:val="22"/>
              </w:rPr>
              <w:t>≥</w:t>
            </w:r>
            <w:r>
              <w:rPr>
                <w:rFonts w:hint="eastAsia" w:ascii="宋体" w:hAnsi="宋体" w:eastAsia="宋体" w:cs="宋体"/>
                <w:color w:val="000000"/>
                <w:kern w:val="0"/>
                <w:sz w:val="24"/>
                <w:szCs w:val="24"/>
              </w:rPr>
              <w:t>150个固定图形</w:t>
            </w:r>
          </w:p>
          <w:p w14:paraId="429DDE06">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13.可自定义菜单栏名称</w:t>
            </w:r>
          </w:p>
          <w:p w14:paraId="0420F1F7">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14.灯组，素材，场景等可自定义命名或涂鸦</w:t>
            </w:r>
          </w:p>
          <w:p w14:paraId="6B35C9A5">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15.支持自定义布局视图，摆放灯具位置和实际舞台一样</w:t>
            </w:r>
          </w:p>
          <w:p w14:paraId="1E81056D">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16.灯光秀或场景可设置开机自动运行或循环播放</w:t>
            </w:r>
          </w:p>
          <w:p w14:paraId="613E0B76">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17.支持多种UDP协议控制和其他中控系统对接</w:t>
            </w:r>
          </w:p>
          <w:p w14:paraId="032F440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18.支持移动端平板APP远程控制，无线平板控制19.支持无线端平板APP和有线端墙板APP远程同时控制。</w:t>
            </w:r>
          </w:p>
        </w:tc>
        <w:tc>
          <w:tcPr>
            <w:tcW w:w="696" w:type="dxa"/>
            <w:shd w:val="clear" w:color="auto" w:fill="auto"/>
            <w:noWrap/>
            <w:vAlign w:val="center"/>
          </w:tcPr>
          <w:p w14:paraId="5EC4F4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696" w:type="dxa"/>
            <w:shd w:val="clear" w:color="auto" w:fill="auto"/>
            <w:noWrap/>
            <w:vAlign w:val="center"/>
          </w:tcPr>
          <w:p w14:paraId="24E40D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5AC5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57" w:type="dxa"/>
            <w:shd w:val="clear" w:color="auto" w:fill="auto"/>
            <w:noWrap/>
            <w:vAlign w:val="center"/>
          </w:tcPr>
          <w:p w14:paraId="1687469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w:t>
            </w:r>
          </w:p>
        </w:tc>
        <w:tc>
          <w:tcPr>
            <w:tcW w:w="838" w:type="dxa"/>
            <w:shd w:val="clear" w:color="auto" w:fill="auto"/>
            <w:vAlign w:val="center"/>
          </w:tcPr>
          <w:p w14:paraId="5F7F4F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信号放大器</w:t>
            </w:r>
          </w:p>
        </w:tc>
        <w:tc>
          <w:tcPr>
            <w:tcW w:w="5435" w:type="dxa"/>
            <w:shd w:val="clear" w:color="auto" w:fill="auto"/>
            <w:vAlign w:val="center"/>
          </w:tcPr>
          <w:p w14:paraId="47E455A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电压输入AC220V，DMX512国际标准信号输出，放大信号驱动功率。为数字灯具提供通讯信号分配，3芯卡侬端口，信号输入/输出端口各1个，信号/电源输出端口8个。</w:t>
            </w:r>
          </w:p>
        </w:tc>
        <w:tc>
          <w:tcPr>
            <w:tcW w:w="696" w:type="dxa"/>
            <w:shd w:val="clear" w:color="auto" w:fill="auto"/>
            <w:noWrap/>
            <w:vAlign w:val="center"/>
          </w:tcPr>
          <w:p w14:paraId="60AB33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696" w:type="dxa"/>
            <w:shd w:val="clear" w:color="auto" w:fill="auto"/>
            <w:noWrap/>
            <w:vAlign w:val="center"/>
          </w:tcPr>
          <w:p w14:paraId="5A6DBF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35C6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857" w:type="dxa"/>
            <w:shd w:val="clear" w:color="auto" w:fill="auto"/>
            <w:noWrap/>
            <w:vAlign w:val="center"/>
          </w:tcPr>
          <w:p w14:paraId="69581F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838" w:type="dxa"/>
            <w:shd w:val="clear" w:color="auto" w:fill="auto"/>
            <w:vAlign w:val="center"/>
          </w:tcPr>
          <w:p w14:paraId="6BAC829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电源直通箱</w:t>
            </w:r>
          </w:p>
        </w:tc>
        <w:tc>
          <w:tcPr>
            <w:tcW w:w="5435" w:type="dxa"/>
            <w:shd w:val="clear" w:color="auto" w:fill="auto"/>
            <w:vAlign w:val="center"/>
          </w:tcPr>
          <w:p w14:paraId="53FAE8A1">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24 路电源直通箱</w:t>
            </w:r>
          </w:p>
          <w:p w14:paraId="17F0EF94">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1.前面板：总开 250A ，24 个 32A 空开，三相电流、电压表，带电源指示灯。</w:t>
            </w:r>
          </w:p>
          <w:p w14:paraId="09E7F380">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2.后面板：24 个 16A3 芯三色工业插输出，防止工人误差偏向，输入总电源为 400A 插三相五线制输入五色插头、带输入插头。</w:t>
            </w:r>
          </w:p>
          <w:p w14:paraId="255CFBF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主线 32 平方国标线，单路输出线为 4 平方国标线。航空箱为防震箱，带两侧门，带轮子</w:t>
            </w:r>
          </w:p>
        </w:tc>
        <w:tc>
          <w:tcPr>
            <w:tcW w:w="696" w:type="dxa"/>
            <w:shd w:val="clear" w:color="auto" w:fill="auto"/>
            <w:noWrap/>
            <w:vAlign w:val="center"/>
          </w:tcPr>
          <w:p w14:paraId="5C4CC3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696" w:type="dxa"/>
            <w:shd w:val="clear" w:color="auto" w:fill="auto"/>
            <w:noWrap/>
            <w:vAlign w:val="center"/>
          </w:tcPr>
          <w:p w14:paraId="077627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r>
      <w:tr w14:paraId="397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57" w:type="dxa"/>
            <w:shd w:val="clear" w:color="auto" w:fill="auto"/>
            <w:noWrap/>
            <w:vAlign w:val="center"/>
          </w:tcPr>
          <w:p w14:paraId="59D02A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838" w:type="dxa"/>
            <w:shd w:val="clear" w:color="auto" w:fill="auto"/>
            <w:noWrap/>
            <w:vAlign w:val="center"/>
          </w:tcPr>
          <w:p w14:paraId="0F168F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灯钩</w:t>
            </w:r>
          </w:p>
        </w:tc>
        <w:tc>
          <w:tcPr>
            <w:tcW w:w="5435" w:type="dxa"/>
            <w:shd w:val="clear" w:color="auto" w:fill="auto"/>
            <w:vAlign w:val="center"/>
          </w:tcPr>
          <w:p w14:paraId="1B190731">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1.材质:铝合金。</w:t>
            </w:r>
          </w:p>
          <w:p w14:paraId="04A7D45A">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2.用途:适合挂 LED 帕灯、光束灯、面光灯等舞台灯光</w:t>
            </w:r>
          </w:p>
          <w:p w14:paraId="72D3C327">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3.管径:48-51MM</w:t>
            </w:r>
          </w:p>
        </w:tc>
        <w:tc>
          <w:tcPr>
            <w:tcW w:w="696" w:type="dxa"/>
            <w:shd w:val="clear" w:color="auto" w:fill="auto"/>
            <w:noWrap/>
            <w:vAlign w:val="center"/>
          </w:tcPr>
          <w:p w14:paraId="5E28F5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173</w:t>
            </w:r>
          </w:p>
        </w:tc>
        <w:tc>
          <w:tcPr>
            <w:tcW w:w="696" w:type="dxa"/>
            <w:shd w:val="clear" w:color="auto" w:fill="auto"/>
            <w:noWrap/>
            <w:vAlign w:val="center"/>
          </w:tcPr>
          <w:p w14:paraId="4FF5FB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个</w:t>
            </w:r>
          </w:p>
        </w:tc>
      </w:tr>
      <w:tr w14:paraId="318A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7" w:type="dxa"/>
            <w:shd w:val="clear" w:color="auto" w:fill="auto"/>
            <w:noWrap/>
            <w:vAlign w:val="center"/>
          </w:tcPr>
          <w:p w14:paraId="77DE05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838" w:type="dxa"/>
            <w:shd w:val="clear" w:color="auto" w:fill="auto"/>
            <w:noWrap/>
            <w:vAlign w:val="center"/>
          </w:tcPr>
          <w:p w14:paraId="2C9C3A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薄雾油</w:t>
            </w:r>
          </w:p>
        </w:tc>
        <w:tc>
          <w:tcPr>
            <w:tcW w:w="5435" w:type="dxa"/>
            <w:shd w:val="clear" w:color="auto" w:fill="auto"/>
            <w:vAlign w:val="center"/>
          </w:tcPr>
          <w:p w14:paraId="2703BB0A">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1.适用于非加热型雾机。</w:t>
            </w:r>
          </w:p>
          <w:p w14:paraId="7309AA3D">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2.≥4.5 升</w:t>
            </w:r>
          </w:p>
        </w:tc>
        <w:tc>
          <w:tcPr>
            <w:tcW w:w="696" w:type="dxa"/>
            <w:shd w:val="clear" w:color="auto" w:fill="auto"/>
            <w:noWrap/>
            <w:vAlign w:val="center"/>
          </w:tcPr>
          <w:p w14:paraId="76165E9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696" w:type="dxa"/>
            <w:shd w:val="clear" w:color="auto" w:fill="auto"/>
            <w:noWrap/>
            <w:vAlign w:val="center"/>
          </w:tcPr>
          <w:p w14:paraId="16A6AC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桶</w:t>
            </w:r>
          </w:p>
        </w:tc>
      </w:tr>
      <w:tr w14:paraId="146B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57" w:type="dxa"/>
            <w:shd w:val="clear" w:color="auto" w:fill="auto"/>
            <w:noWrap/>
            <w:vAlign w:val="center"/>
          </w:tcPr>
          <w:p w14:paraId="1B6182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838" w:type="dxa"/>
            <w:shd w:val="clear" w:color="auto" w:fill="auto"/>
            <w:noWrap/>
            <w:vAlign w:val="center"/>
          </w:tcPr>
          <w:p w14:paraId="0C48DD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保险绳</w:t>
            </w:r>
          </w:p>
        </w:tc>
        <w:tc>
          <w:tcPr>
            <w:tcW w:w="5435" w:type="dxa"/>
            <w:shd w:val="clear" w:color="auto" w:fill="auto"/>
            <w:vAlign w:val="center"/>
          </w:tcPr>
          <w:p w14:paraId="32A5964C">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1.尺寸:5*100mm 承重:100KG</w:t>
            </w:r>
          </w:p>
          <w:p w14:paraId="3EF32558">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2.材质:钢丝</w:t>
            </w:r>
          </w:p>
          <w:p w14:paraId="137E81D6">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3.表面:包胶处理</w:t>
            </w:r>
          </w:p>
        </w:tc>
        <w:tc>
          <w:tcPr>
            <w:tcW w:w="696" w:type="dxa"/>
            <w:shd w:val="clear" w:color="auto" w:fill="auto"/>
            <w:noWrap/>
            <w:vAlign w:val="center"/>
          </w:tcPr>
          <w:p w14:paraId="47F2FB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149</w:t>
            </w:r>
          </w:p>
        </w:tc>
        <w:tc>
          <w:tcPr>
            <w:tcW w:w="696" w:type="dxa"/>
            <w:shd w:val="clear" w:color="auto" w:fill="auto"/>
            <w:noWrap/>
            <w:vAlign w:val="center"/>
          </w:tcPr>
          <w:p w14:paraId="5F9A239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条</w:t>
            </w:r>
          </w:p>
        </w:tc>
      </w:tr>
      <w:tr w14:paraId="76A3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7" w:type="dxa"/>
            <w:shd w:val="clear" w:color="auto" w:fill="auto"/>
            <w:noWrap/>
            <w:vAlign w:val="center"/>
          </w:tcPr>
          <w:p w14:paraId="728281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838" w:type="dxa"/>
            <w:shd w:val="clear" w:color="auto" w:fill="auto"/>
            <w:noWrap/>
            <w:vAlign w:val="center"/>
          </w:tcPr>
          <w:p w14:paraId="66FB3E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主电缆</w:t>
            </w:r>
          </w:p>
        </w:tc>
        <w:tc>
          <w:tcPr>
            <w:tcW w:w="5435" w:type="dxa"/>
            <w:shd w:val="clear" w:color="auto" w:fill="auto"/>
            <w:vAlign w:val="center"/>
          </w:tcPr>
          <w:p w14:paraId="1F0E35F3">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1根 25 平方火线，零线和地线都是 10 平方</w:t>
            </w:r>
          </w:p>
        </w:tc>
        <w:tc>
          <w:tcPr>
            <w:tcW w:w="696" w:type="dxa"/>
            <w:shd w:val="clear" w:color="auto" w:fill="auto"/>
            <w:noWrap/>
            <w:vAlign w:val="center"/>
          </w:tcPr>
          <w:p w14:paraId="79CDCA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696" w:type="dxa"/>
            <w:shd w:val="clear" w:color="auto" w:fill="auto"/>
            <w:noWrap/>
            <w:vAlign w:val="center"/>
          </w:tcPr>
          <w:p w14:paraId="38E40E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米</w:t>
            </w:r>
          </w:p>
        </w:tc>
      </w:tr>
      <w:tr w14:paraId="2369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7" w:type="dxa"/>
            <w:shd w:val="clear" w:color="auto" w:fill="auto"/>
            <w:noWrap/>
            <w:vAlign w:val="center"/>
          </w:tcPr>
          <w:p w14:paraId="38B2BB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838" w:type="dxa"/>
            <w:shd w:val="clear" w:color="auto" w:fill="auto"/>
            <w:noWrap/>
            <w:vAlign w:val="center"/>
          </w:tcPr>
          <w:p w14:paraId="318B8A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电源线</w:t>
            </w:r>
          </w:p>
        </w:tc>
        <w:tc>
          <w:tcPr>
            <w:tcW w:w="5435" w:type="dxa"/>
            <w:shd w:val="clear" w:color="auto" w:fill="auto"/>
            <w:vAlign w:val="center"/>
          </w:tcPr>
          <w:p w14:paraId="2F2042DD">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3 根 2.5 平方电源线</w:t>
            </w:r>
          </w:p>
        </w:tc>
        <w:tc>
          <w:tcPr>
            <w:tcW w:w="696" w:type="dxa"/>
            <w:shd w:val="clear" w:color="auto" w:fill="auto"/>
            <w:noWrap/>
            <w:vAlign w:val="center"/>
          </w:tcPr>
          <w:p w14:paraId="278D34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700</w:t>
            </w:r>
          </w:p>
        </w:tc>
        <w:tc>
          <w:tcPr>
            <w:tcW w:w="696" w:type="dxa"/>
            <w:shd w:val="clear" w:color="auto" w:fill="auto"/>
            <w:noWrap/>
            <w:vAlign w:val="center"/>
          </w:tcPr>
          <w:p w14:paraId="1DD99B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米</w:t>
            </w:r>
          </w:p>
        </w:tc>
      </w:tr>
      <w:tr w14:paraId="2B22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57" w:type="dxa"/>
            <w:shd w:val="clear" w:color="auto" w:fill="auto"/>
            <w:noWrap/>
            <w:vAlign w:val="center"/>
          </w:tcPr>
          <w:p w14:paraId="532F89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838" w:type="dxa"/>
            <w:shd w:val="clear" w:color="auto" w:fill="auto"/>
            <w:noWrap/>
            <w:vAlign w:val="center"/>
          </w:tcPr>
          <w:p w14:paraId="480327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信号线</w:t>
            </w:r>
          </w:p>
        </w:tc>
        <w:tc>
          <w:tcPr>
            <w:tcW w:w="5435" w:type="dxa"/>
            <w:shd w:val="clear" w:color="auto" w:fill="auto"/>
            <w:vAlign w:val="center"/>
          </w:tcPr>
          <w:p w14:paraId="38AE7E8E">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1.参数: 导体:28/0.12mm OFC*2C</w:t>
            </w:r>
          </w:p>
          <w:p w14:paraId="50DC3EC5">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2.绝缘:PVC 绝缘 ID:1.6mm 填充:棉纱填充</w:t>
            </w:r>
          </w:p>
          <w:p w14:paraId="5DCAE5A7">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3.铝箔:铝箔屏蔽</w:t>
            </w:r>
          </w:p>
          <w:p w14:paraId="390BAAC0">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4.屏蔽:128/0.10 裸铜编织屏蔽</w:t>
            </w:r>
          </w:p>
          <w:p w14:paraId="75B65582">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5.外被:PVCOD6.0mm</w:t>
            </w:r>
          </w:p>
        </w:tc>
        <w:tc>
          <w:tcPr>
            <w:tcW w:w="696" w:type="dxa"/>
            <w:shd w:val="clear" w:color="auto" w:fill="auto"/>
            <w:noWrap/>
            <w:vAlign w:val="center"/>
          </w:tcPr>
          <w:p w14:paraId="68EACD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600</w:t>
            </w:r>
          </w:p>
        </w:tc>
        <w:tc>
          <w:tcPr>
            <w:tcW w:w="696" w:type="dxa"/>
            <w:shd w:val="clear" w:color="auto" w:fill="auto"/>
            <w:noWrap/>
            <w:vAlign w:val="center"/>
          </w:tcPr>
          <w:p w14:paraId="37163D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米</w:t>
            </w:r>
          </w:p>
        </w:tc>
      </w:tr>
      <w:tr w14:paraId="5897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57" w:type="dxa"/>
            <w:shd w:val="clear" w:color="auto" w:fill="auto"/>
            <w:noWrap/>
            <w:vAlign w:val="center"/>
          </w:tcPr>
          <w:p w14:paraId="638E6A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838" w:type="dxa"/>
            <w:shd w:val="clear" w:color="auto" w:fill="auto"/>
            <w:noWrap/>
            <w:vAlign w:val="center"/>
          </w:tcPr>
          <w:p w14:paraId="5DE347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卡龙头公</w:t>
            </w:r>
          </w:p>
        </w:tc>
        <w:tc>
          <w:tcPr>
            <w:tcW w:w="5435" w:type="dxa"/>
            <w:shd w:val="clear" w:color="auto" w:fill="auto"/>
            <w:vAlign w:val="center"/>
          </w:tcPr>
          <w:p w14:paraId="1E7C882C">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1.线径:4.0-7.0MM</w:t>
            </w:r>
          </w:p>
          <w:p w14:paraId="54CF7591">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2.特点:高音质损耗小</w:t>
            </w:r>
          </w:p>
          <w:p w14:paraId="20F67296">
            <w:pPr>
              <w:widowControl/>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3.材质:铜镀金插针</w:t>
            </w:r>
          </w:p>
          <w:p w14:paraId="067D187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4.相互连接 三芯</w:t>
            </w:r>
          </w:p>
        </w:tc>
        <w:tc>
          <w:tcPr>
            <w:tcW w:w="696" w:type="dxa"/>
            <w:shd w:val="clear" w:color="auto" w:fill="auto"/>
            <w:noWrap/>
            <w:vAlign w:val="center"/>
          </w:tcPr>
          <w:p w14:paraId="66FB19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696" w:type="dxa"/>
            <w:shd w:val="clear" w:color="auto" w:fill="auto"/>
            <w:noWrap/>
            <w:vAlign w:val="center"/>
          </w:tcPr>
          <w:p w14:paraId="5BB345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套</w:t>
            </w:r>
          </w:p>
        </w:tc>
      </w:tr>
      <w:tr w14:paraId="1D0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7" w:type="dxa"/>
            <w:shd w:val="clear" w:color="auto" w:fill="auto"/>
            <w:noWrap/>
            <w:vAlign w:val="center"/>
          </w:tcPr>
          <w:p w14:paraId="57532A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838" w:type="dxa"/>
            <w:shd w:val="clear" w:color="auto" w:fill="auto"/>
            <w:noWrap/>
            <w:vAlign w:val="center"/>
          </w:tcPr>
          <w:p w14:paraId="64EF6A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10A电源头</w:t>
            </w:r>
          </w:p>
        </w:tc>
        <w:tc>
          <w:tcPr>
            <w:tcW w:w="5435" w:type="dxa"/>
            <w:shd w:val="clear" w:color="auto" w:fill="auto"/>
            <w:vAlign w:val="center"/>
          </w:tcPr>
          <w:p w14:paraId="0A4FDAA7">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1.220V~240V； 额定电流：</w:t>
            </w:r>
          </w:p>
          <w:p w14:paraId="50158DED">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2.插头的额定电流 10A</w:t>
            </w:r>
          </w:p>
        </w:tc>
        <w:tc>
          <w:tcPr>
            <w:tcW w:w="696" w:type="dxa"/>
            <w:shd w:val="clear" w:color="auto" w:fill="auto"/>
            <w:noWrap/>
            <w:vAlign w:val="center"/>
          </w:tcPr>
          <w:p w14:paraId="061E69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696" w:type="dxa"/>
            <w:shd w:val="clear" w:color="auto" w:fill="auto"/>
            <w:noWrap/>
            <w:vAlign w:val="center"/>
          </w:tcPr>
          <w:p w14:paraId="79A7BA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套</w:t>
            </w:r>
          </w:p>
        </w:tc>
      </w:tr>
      <w:tr w14:paraId="3C4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57" w:type="dxa"/>
            <w:shd w:val="clear" w:color="auto" w:fill="auto"/>
            <w:noWrap/>
            <w:vAlign w:val="center"/>
          </w:tcPr>
          <w:p w14:paraId="2D4346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838" w:type="dxa"/>
            <w:shd w:val="clear" w:color="auto" w:fill="auto"/>
            <w:noWrap/>
            <w:vAlign w:val="center"/>
          </w:tcPr>
          <w:p w14:paraId="3EE8F2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16A 公</w:t>
            </w:r>
          </w:p>
        </w:tc>
        <w:tc>
          <w:tcPr>
            <w:tcW w:w="5435" w:type="dxa"/>
            <w:shd w:val="clear" w:color="auto" w:fill="auto"/>
            <w:vAlign w:val="center"/>
          </w:tcPr>
          <w:p w14:paraId="291A12AC">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1.脚间距：2.00mm 额定电压 ： 250V</w:t>
            </w:r>
          </w:p>
          <w:p w14:paraId="13B6BC4D">
            <w:pPr>
              <w:widowControl/>
              <w:jc w:val="left"/>
              <w:textAlignment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2.触头材料：黄铜</w:t>
            </w:r>
          </w:p>
          <w:p w14:paraId="094D1F45">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3.额定电流：2A</w:t>
            </w:r>
          </w:p>
        </w:tc>
        <w:tc>
          <w:tcPr>
            <w:tcW w:w="696" w:type="dxa"/>
            <w:shd w:val="clear" w:color="auto" w:fill="auto"/>
            <w:noWrap/>
            <w:vAlign w:val="center"/>
          </w:tcPr>
          <w:p w14:paraId="5004F8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24</w:t>
            </w:r>
          </w:p>
        </w:tc>
        <w:tc>
          <w:tcPr>
            <w:tcW w:w="696" w:type="dxa"/>
            <w:shd w:val="clear" w:color="auto" w:fill="auto"/>
            <w:noWrap/>
            <w:vAlign w:val="center"/>
          </w:tcPr>
          <w:p w14:paraId="370088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个</w:t>
            </w:r>
          </w:p>
        </w:tc>
      </w:tr>
      <w:tr w14:paraId="40F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57" w:type="dxa"/>
            <w:shd w:val="clear" w:color="auto" w:fill="auto"/>
            <w:noWrap/>
            <w:vAlign w:val="center"/>
          </w:tcPr>
          <w:p w14:paraId="3EAADD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838" w:type="dxa"/>
            <w:shd w:val="clear" w:color="auto" w:fill="auto"/>
            <w:noWrap/>
            <w:vAlign w:val="center"/>
          </w:tcPr>
          <w:p w14:paraId="7874D6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脚手架</w:t>
            </w:r>
          </w:p>
        </w:tc>
        <w:tc>
          <w:tcPr>
            <w:tcW w:w="5435" w:type="dxa"/>
            <w:shd w:val="clear" w:color="auto" w:fill="auto"/>
            <w:vAlign w:val="center"/>
          </w:tcPr>
          <w:p w14:paraId="5E1F5470">
            <w:pPr>
              <w:widowControl/>
              <w:jc w:val="left"/>
              <w:textAlignment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1.尺寸:1.9m*1.25m*1.8m 1.7m*0.95*1.8m(最常用)</w:t>
            </w:r>
          </w:p>
          <w:p w14:paraId="6DB7BDF9">
            <w:pPr>
              <w:widowControl/>
              <w:jc w:val="left"/>
              <w:textAlignment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2.重量:90斤-120斤;70斤-120斤;50斤-60斤</w:t>
            </w:r>
          </w:p>
          <w:p w14:paraId="6B9A5912">
            <w:pPr>
              <w:widowControl/>
              <w:jc w:val="left"/>
              <w:textAlignment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3.壁厚:1.2mm，1.5mm，1.7mm，2.0mm;2.5mm</w:t>
            </w:r>
          </w:p>
          <w:p w14:paraId="7F842191">
            <w:pPr>
              <w:widowControl/>
              <w:jc w:val="left"/>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4.脚轮:普通五寸脚轮</w:t>
            </w:r>
          </w:p>
        </w:tc>
        <w:tc>
          <w:tcPr>
            <w:tcW w:w="696" w:type="dxa"/>
            <w:shd w:val="clear" w:color="auto" w:fill="auto"/>
            <w:noWrap/>
            <w:vAlign w:val="center"/>
          </w:tcPr>
          <w:p w14:paraId="7FA249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696" w:type="dxa"/>
            <w:shd w:val="clear" w:color="auto" w:fill="auto"/>
            <w:noWrap/>
            <w:vAlign w:val="center"/>
          </w:tcPr>
          <w:p w14:paraId="1EEC0D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w:t>
            </w:r>
          </w:p>
        </w:tc>
      </w:tr>
    </w:tbl>
    <w:p w14:paraId="262277A7">
      <w:pPr>
        <w:spacing w:line="360" w:lineRule="auto"/>
        <w:rPr>
          <w:rFonts w:ascii="宋体" w:hAnsi="宋体" w:eastAsia="宋体" w:cs="宋体"/>
          <w:b/>
          <w:bCs/>
          <w:sz w:val="24"/>
          <w:szCs w:val="24"/>
        </w:rPr>
      </w:pPr>
      <w:r>
        <w:rPr>
          <w:rFonts w:hint="eastAsia" w:ascii="宋体" w:hAnsi="宋体" w:eastAsia="宋体" w:cs="宋体"/>
          <w:b/>
          <w:bCs/>
          <w:sz w:val="24"/>
          <w:szCs w:val="24"/>
        </w:rPr>
        <w:t>注：以上技术参数与性能指标不允许负偏离，任意一项负偏离按无效投标处理；参数中要求提供证明材料的，应提供证明材料，未提供的或提供的证明材料低于文件规定的相应技术参数时视为负偏离。</w:t>
      </w:r>
    </w:p>
    <w:p w14:paraId="38C31615">
      <w:pPr>
        <w:pStyle w:val="2"/>
        <w:pageBreakBefore/>
        <w:ind w:firstLine="0" w:firstLineChars="0"/>
        <w:rPr>
          <w:rFonts w:ascii="宋体" w:hAnsi="宋体" w:cs="宋体"/>
          <w:sz w:val="44"/>
          <w:szCs w:val="44"/>
        </w:rPr>
      </w:pPr>
      <w:bookmarkStart w:id="63" w:name="_Toc22866"/>
      <w:bookmarkStart w:id="64" w:name="_Toc17290"/>
      <w:bookmarkStart w:id="65" w:name="_Toc2234"/>
      <w:r>
        <w:rPr>
          <w:rFonts w:hint="eastAsia" w:ascii="宋体" w:hAnsi="宋体" w:cs="宋体"/>
          <w:sz w:val="44"/>
          <w:szCs w:val="44"/>
        </w:rPr>
        <w:t>第六部分 合同条款</w:t>
      </w:r>
      <w:bookmarkEnd w:id="63"/>
      <w:bookmarkEnd w:id="64"/>
    </w:p>
    <w:p w14:paraId="7B7C4712">
      <w:pPr>
        <w:jc w:val="center"/>
        <w:rPr>
          <w:b/>
          <w:sz w:val="36"/>
          <w:szCs w:val="36"/>
        </w:rPr>
      </w:pPr>
      <w:r>
        <w:rPr>
          <w:rFonts w:hint="eastAsia"/>
          <w:b/>
          <w:sz w:val="36"/>
          <w:szCs w:val="36"/>
        </w:rPr>
        <w:t>货物类合同（模板）</w:t>
      </w:r>
    </w:p>
    <w:p w14:paraId="712E80B0">
      <w:pPr>
        <w:spacing w:line="400" w:lineRule="exact"/>
        <w:rPr>
          <w:rFonts w:hAnsi="宋体"/>
        </w:rPr>
      </w:pPr>
    </w:p>
    <w:p w14:paraId="417FAB53">
      <w:pPr>
        <w:kinsoku w:val="0"/>
        <w:spacing w:line="400" w:lineRule="exact"/>
        <w:ind w:firstLine="525" w:firstLineChars="250"/>
      </w:pPr>
      <w:r>
        <w:t>甲方：</w:t>
      </w:r>
    </w:p>
    <w:p w14:paraId="7EF51825">
      <w:pPr>
        <w:kinsoku w:val="0"/>
        <w:spacing w:line="400" w:lineRule="exact"/>
        <w:ind w:firstLine="525" w:firstLineChars="250"/>
      </w:pPr>
      <w:r>
        <w:t>乙方：</w:t>
      </w:r>
    </w:p>
    <w:p w14:paraId="0112ADEE">
      <w:pPr>
        <w:kinsoku w:val="0"/>
        <w:spacing w:line="400" w:lineRule="exact"/>
        <w:ind w:firstLine="525" w:firstLineChars="250"/>
      </w:pPr>
      <w:r>
        <w:t>根据《中华人民共和国政府采购法》、《中华人民共和国</w:t>
      </w:r>
      <w:r>
        <w:rPr>
          <w:rFonts w:hint="eastAsia"/>
        </w:rPr>
        <w:t>民法典</w:t>
      </w:r>
      <w:r>
        <w:t>》、《中华人民共和国政府采购法实施条例》等法律法规，甲方通过</w:t>
      </w:r>
      <w:r>
        <w:rPr>
          <w:rFonts w:hint="eastAsia"/>
        </w:rPr>
        <w:t>竞争性谈判</w:t>
      </w:r>
      <w:r>
        <w:t>，选定乙方为</w:t>
      </w:r>
      <w:r>
        <w:rPr>
          <w:rFonts w:hint="eastAsia"/>
        </w:rPr>
        <w:t>中标</w:t>
      </w:r>
      <w:r>
        <w:t>单位。甲、乙双方在平等基础上协商一致，达成如下合同条款</w:t>
      </w:r>
      <w:r>
        <w:rPr>
          <w:rFonts w:hint="eastAsia"/>
        </w:rPr>
        <w:t>:</w:t>
      </w:r>
    </w:p>
    <w:p w14:paraId="501E34C0">
      <w:pPr>
        <w:kinsoku w:val="0"/>
        <w:spacing w:line="400" w:lineRule="exact"/>
        <w:ind w:firstLine="525" w:firstLineChars="250"/>
      </w:pPr>
      <w:r>
        <w:t>一、</w:t>
      </w:r>
      <w:r>
        <w:rPr>
          <w:b/>
        </w:rPr>
        <w:t>合同内容项目编号/包号：</w:t>
      </w:r>
    </w:p>
    <w:tbl>
      <w:tblPr>
        <w:tblStyle w:val="24"/>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14:paraId="4BBF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noWrap/>
            <w:vAlign w:val="center"/>
          </w:tcPr>
          <w:p w14:paraId="1E34A938">
            <w:pPr>
              <w:spacing w:line="400" w:lineRule="exact"/>
              <w:jc w:val="center"/>
              <w:rPr>
                <w:b/>
              </w:rPr>
            </w:pPr>
            <w:r>
              <w:rPr>
                <w:b/>
              </w:rPr>
              <w:t>序号</w:t>
            </w:r>
          </w:p>
        </w:tc>
        <w:tc>
          <w:tcPr>
            <w:tcW w:w="1620" w:type="dxa"/>
            <w:noWrap/>
            <w:vAlign w:val="center"/>
          </w:tcPr>
          <w:p w14:paraId="290F8DF5">
            <w:pPr>
              <w:spacing w:line="400" w:lineRule="exact"/>
              <w:jc w:val="center"/>
              <w:rPr>
                <w:b/>
              </w:rPr>
            </w:pPr>
            <w:r>
              <w:rPr>
                <w:rFonts w:hint="eastAsia"/>
                <w:b/>
              </w:rPr>
              <w:t>产品</w:t>
            </w:r>
            <w:r>
              <w:rPr>
                <w:b/>
              </w:rPr>
              <w:t>名称</w:t>
            </w:r>
          </w:p>
        </w:tc>
        <w:tc>
          <w:tcPr>
            <w:tcW w:w="1260" w:type="dxa"/>
            <w:noWrap/>
            <w:vAlign w:val="center"/>
          </w:tcPr>
          <w:p w14:paraId="4C28B70F">
            <w:pPr>
              <w:spacing w:line="400" w:lineRule="exact"/>
              <w:jc w:val="center"/>
              <w:rPr>
                <w:b/>
              </w:rPr>
            </w:pPr>
            <w:r>
              <w:rPr>
                <w:b/>
              </w:rPr>
              <w:t>型号</w:t>
            </w:r>
          </w:p>
        </w:tc>
        <w:tc>
          <w:tcPr>
            <w:tcW w:w="900" w:type="dxa"/>
            <w:noWrap/>
            <w:vAlign w:val="center"/>
          </w:tcPr>
          <w:p w14:paraId="6DBB9736">
            <w:pPr>
              <w:spacing w:line="400" w:lineRule="exact"/>
              <w:jc w:val="center"/>
              <w:rPr>
                <w:b/>
              </w:rPr>
            </w:pPr>
            <w:r>
              <w:rPr>
                <w:b/>
              </w:rPr>
              <w:t>产地</w:t>
            </w:r>
          </w:p>
        </w:tc>
        <w:tc>
          <w:tcPr>
            <w:tcW w:w="900" w:type="dxa"/>
            <w:noWrap/>
            <w:vAlign w:val="center"/>
          </w:tcPr>
          <w:p w14:paraId="3C03E9EA">
            <w:pPr>
              <w:spacing w:line="400" w:lineRule="exact"/>
              <w:jc w:val="center"/>
              <w:rPr>
                <w:b/>
              </w:rPr>
            </w:pPr>
            <w:r>
              <w:rPr>
                <w:b/>
              </w:rPr>
              <w:t>数量</w:t>
            </w:r>
          </w:p>
        </w:tc>
        <w:tc>
          <w:tcPr>
            <w:tcW w:w="900" w:type="dxa"/>
            <w:noWrap/>
            <w:vAlign w:val="center"/>
          </w:tcPr>
          <w:p w14:paraId="48D39900">
            <w:pPr>
              <w:spacing w:line="400" w:lineRule="exact"/>
              <w:jc w:val="center"/>
              <w:rPr>
                <w:b/>
              </w:rPr>
            </w:pPr>
            <w:r>
              <w:rPr>
                <w:b/>
              </w:rPr>
              <w:t>单价</w:t>
            </w:r>
          </w:p>
        </w:tc>
        <w:tc>
          <w:tcPr>
            <w:tcW w:w="894" w:type="dxa"/>
            <w:noWrap/>
            <w:vAlign w:val="center"/>
          </w:tcPr>
          <w:p w14:paraId="53ABC93D">
            <w:pPr>
              <w:spacing w:line="400" w:lineRule="exact"/>
              <w:jc w:val="center"/>
              <w:rPr>
                <w:b/>
              </w:rPr>
            </w:pPr>
            <w:r>
              <w:rPr>
                <w:b/>
              </w:rPr>
              <w:t>总价</w:t>
            </w:r>
          </w:p>
        </w:tc>
        <w:tc>
          <w:tcPr>
            <w:tcW w:w="839" w:type="dxa"/>
            <w:noWrap/>
            <w:vAlign w:val="center"/>
          </w:tcPr>
          <w:p w14:paraId="42744D2C">
            <w:pPr>
              <w:spacing w:line="400" w:lineRule="exact"/>
              <w:jc w:val="center"/>
              <w:rPr>
                <w:b/>
              </w:rPr>
            </w:pPr>
            <w:r>
              <w:rPr>
                <w:b/>
              </w:rPr>
              <w:t>备注</w:t>
            </w:r>
          </w:p>
        </w:tc>
      </w:tr>
      <w:tr w14:paraId="05E7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ign w:val="center"/>
          </w:tcPr>
          <w:p w14:paraId="31508154">
            <w:pPr>
              <w:adjustRightInd w:val="0"/>
              <w:snapToGrid w:val="0"/>
              <w:jc w:val="center"/>
              <w:rPr>
                <w:szCs w:val="21"/>
              </w:rPr>
            </w:pPr>
            <w:r>
              <w:rPr>
                <w:szCs w:val="21"/>
              </w:rPr>
              <w:t>1</w:t>
            </w:r>
          </w:p>
        </w:tc>
        <w:tc>
          <w:tcPr>
            <w:tcW w:w="1620" w:type="dxa"/>
            <w:noWrap/>
            <w:vAlign w:val="center"/>
          </w:tcPr>
          <w:p w14:paraId="26FE6E8C">
            <w:pPr>
              <w:adjustRightInd w:val="0"/>
              <w:snapToGrid w:val="0"/>
              <w:jc w:val="center"/>
              <w:rPr>
                <w:szCs w:val="21"/>
              </w:rPr>
            </w:pPr>
          </w:p>
        </w:tc>
        <w:tc>
          <w:tcPr>
            <w:tcW w:w="1260" w:type="dxa"/>
            <w:noWrap/>
            <w:vAlign w:val="center"/>
          </w:tcPr>
          <w:p w14:paraId="0D058605">
            <w:pPr>
              <w:spacing w:line="400" w:lineRule="exact"/>
              <w:jc w:val="center"/>
              <w:rPr>
                <w:szCs w:val="21"/>
              </w:rPr>
            </w:pPr>
          </w:p>
        </w:tc>
        <w:tc>
          <w:tcPr>
            <w:tcW w:w="900" w:type="dxa"/>
            <w:noWrap/>
            <w:vAlign w:val="center"/>
          </w:tcPr>
          <w:p w14:paraId="287988D4">
            <w:pPr>
              <w:spacing w:line="400" w:lineRule="exact"/>
              <w:jc w:val="center"/>
              <w:rPr>
                <w:szCs w:val="21"/>
              </w:rPr>
            </w:pPr>
          </w:p>
        </w:tc>
        <w:tc>
          <w:tcPr>
            <w:tcW w:w="900" w:type="dxa"/>
            <w:noWrap/>
            <w:vAlign w:val="center"/>
          </w:tcPr>
          <w:p w14:paraId="3CA70609">
            <w:pPr>
              <w:adjustRightInd w:val="0"/>
              <w:snapToGrid w:val="0"/>
              <w:jc w:val="center"/>
              <w:rPr>
                <w:szCs w:val="21"/>
              </w:rPr>
            </w:pPr>
          </w:p>
        </w:tc>
        <w:tc>
          <w:tcPr>
            <w:tcW w:w="900" w:type="dxa"/>
            <w:noWrap/>
            <w:vAlign w:val="center"/>
          </w:tcPr>
          <w:p w14:paraId="3379E750">
            <w:pPr>
              <w:autoSpaceDN w:val="0"/>
              <w:jc w:val="center"/>
              <w:textAlignment w:val="center"/>
              <w:rPr>
                <w:szCs w:val="21"/>
              </w:rPr>
            </w:pPr>
          </w:p>
        </w:tc>
        <w:tc>
          <w:tcPr>
            <w:tcW w:w="894" w:type="dxa"/>
            <w:noWrap/>
            <w:vAlign w:val="center"/>
          </w:tcPr>
          <w:p w14:paraId="6201A69A">
            <w:pPr>
              <w:autoSpaceDN w:val="0"/>
              <w:jc w:val="center"/>
              <w:textAlignment w:val="center"/>
              <w:rPr>
                <w:szCs w:val="21"/>
              </w:rPr>
            </w:pPr>
          </w:p>
        </w:tc>
        <w:tc>
          <w:tcPr>
            <w:tcW w:w="839" w:type="dxa"/>
            <w:noWrap/>
            <w:vAlign w:val="center"/>
          </w:tcPr>
          <w:p w14:paraId="73F6D025">
            <w:pPr>
              <w:autoSpaceDN w:val="0"/>
              <w:jc w:val="center"/>
              <w:textAlignment w:val="center"/>
              <w:rPr>
                <w:szCs w:val="21"/>
              </w:rPr>
            </w:pPr>
          </w:p>
        </w:tc>
      </w:tr>
      <w:tr w14:paraId="0935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ign w:val="center"/>
          </w:tcPr>
          <w:p w14:paraId="4BB423D7">
            <w:pPr>
              <w:adjustRightInd w:val="0"/>
              <w:snapToGrid w:val="0"/>
              <w:jc w:val="center"/>
              <w:rPr>
                <w:szCs w:val="21"/>
              </w:rPr>
            </w:pPr>
          </w:p>
        </w:tc>
        <w:tc>
          <w:tcPr>
            <w:tcW w:w="1620" w:type="dxa"/>
            <w:noWrap/>
            <w:vAlign w:val="center"/>
          </w:tcPr>
          <w:p w14:paraId="734982E4">
            <w:pPr>
              <w:adjustRightInd w:val="0"/>
              <w:snapToGrid w:val="0"/>
              <w:jc w:val="center"/>
              <w:rPr>
                <w:szCs w:val="21"/>
              </w:rPr>
            </w:pPr>
          </w:p>
        </w:tc>
        <w:tc>
          <w:tcPr>
            <w:tcW w:w="1260" w:type="dxa"/>
            <w:noWrap/>
            <w:vAlign w:val="center"/>
          </w:tcPr>
          <w:p w14:paraId="65B151E1">
            <w:pPr>
              <w:spacing w:line="400" w:lineRule="exact"/>
              <w:jc w:val="center"/>
              <w:rPr>
                <w:szCs w:val="21"/>
              </w:rPr>
            </w:pPr>
          </w:p>
        </w:tc>
        <w:tc>
          <w:tcPr>
            <w:tcW w:w="900" w:type="dxa"/>
            <w:noWrap/>
            <w:vAlign w:val="center"/>
          </w:tcPr>
          <w:p w14:paraId="123E7236">
            <w:pPr>
              <w:spacing w:line="400" w:lineRule="exact"/>
              <w:jc w:val="center"/>
              <w:rPr>
                <w:szCs w:val="21"/>
              </w:rPr>
            </w:pPr>
          </w:p>
        </w:tc>
        <w:tc>
          <w:tcPr>
            <w:tcW w:w="900" w:type="dxa"/>
            <w:noWrap/>
            <w:vAlign w:val="center"/>
          </w:tcPr>
          <w:p w14:paraId="7ACC81D3">
            <w:pPr>
              <w:adjustRightInd w:val="0"/>
              <w:snapToGrid w:val="0"/>
              <w:jc w:val="center"/>
              <w:rPr>
                <w:szCs w:val="21"/>
              </w:rPr>
            </w:pPr>
          </w:p>
        </w:tc>
        <w:tc>
          <w:tcPr>
            <w:tcW w:w="900" w:type="dxa"/>
            <w:noWrap/>
            <w:vAlign w:val="center"/>
          </w:tcPr>
          <w:p w14:paraId="0D2E0F24">
            <w:pPr>
              <w:autoSpaceDN w:val="0"/>
              <w:jc w:val="center"/>
              <w:textAlignment w:val="center"/>
              <w:rPr>
                <w:szCs w:val="21"/>
              </w:rPr>
            </w:pPr>
          </w:p>
        </w:tc>
        <w:tc>
          <w:tcPr>
            <w:tcW w:w="894" w:type="dxa"/>
            <w:noWrap/>
            <w:vAlign w:val="center"/>
          </w:tcPr>
          <w:p w14:paraId="1C323C33">
            <w:pPr>
              <w:autoSpaceDN w:val="0"/>
              <w:jc w:val="center"/>
              <w:textAlignment w:val="center"/>
              <w:rPr>
                <w:szCs w:val="21"/>
              </w:rPr>
            </w:pPr>
          </w:p>
        </w:tc>
        <w:tc>
          <w:tcPr>
            <w:tcW w:w="839" w:type="dxa"/>
            <w:noWrap/>
            <w:vAlign w:val="center"/>
          </w:tcPr>
          <w:p w14:paraId="2FA009A0">
            <w:pPr>
              <w:autoSpaceDN w:val="0"/>
              <w:jc w:val="center"/>
              <w:textAlignment w:val="center"/>
              <w:rPr>
                <w:szCs w:val="21"/>
              </w:rPr>
            </w:pPr>
          </w:p>
        </w:tc>
      </w:tr>
      <w:tr w14:paraId="354A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ign w:val="center"/>
          </w:tcPr>
          <w:p w14:paraId="7A30FEDA">
            <w:pPr>
              <w:adjustRightInd w:val="0"/>
              <w:snapToGrid w:val="0"/>
              <w:jc w:val="center"/>
              <w:rPr>
                <w:szCs w:val="21"/>
              </w:rPr>
            </w:pPr>
          </w:p>
        </w:tc>
        <w:tc>
          <w:tcPr>
            <w:tcW w:w="1620" w:type="dxa"/>
            <w:noWrap/>
            <w:vAlign w:val="center"/>
          </w:tcPr>
          <w:p w14:paraId="6E58BCF5">
            <w:pPr>
              <w:adjustRightInd w:val="0"/>
              <w:snapToGrid w:val="0"/>
              <w:jc w:val="center"/>
              <w:rPr>
                <w:szCs w:val="21"/>
              </w:rPr>
            </w:pPr>
          </w:p>
        </w:tc>
        <w:tc>
          <w:tcPr>
            <w:tcW w:w="1260" w:type="dxa"/>
            <w:noWrap/>
            <w:vAlign w:val="center"/>
          </w:tcPr>
          <w:p w14:paraId="4D0C67F2">
            <w:pPr>
              <w:jc w:val="center"/>
              <w:rPr>
                <w:szCs w:val="21"/>
              </w:rPr>
            </w:pPr>
          </w:p>
        </w:tc>
        <w:tc>
          <w:tcPr>
            <w:tcW w:w="900" w:type="dxa"/>
            <w:noWrap/>
            <w:vAlign w:val="center"/>
          </w:tcPr>
          <w:p w14:paraId="115F8B02">
            <w:pPr>
              <w:spacing w:line="400" w:lineRule="exact"/>
              <w:jc w:val="center"/>
              <w:rPr>
                <w:szCs w:val="21"/>
              </w:rPr>
            </w:pPr>
          </w:p>
        </w:tc>
        <w:tc>
          <w:tcPr>
            <w:tcW w:w="900" w:type="dxa"/>
            <w:noWrap/>
            <w:vAlign w:val="center"/>
          </w:tcPr>
          <w:p w14:paraId="68B62A8C">
            <w:pPr>
              <w:adjustRightInd w:val="0"/>
              <w:snapToGrid w:val="0"/>
              <w:jc w:val="center"/>
              <w:rPr>
                <w:szCs w:val="21"/>
              </w:rPr>
            </w:pPr>
          </w:p>
        </w:tc>
        <w:tc>
          <w:tcPr>
            <w:tcW w:w="900" w:type="dxa"/>
            <w:noWrap/>
            <w:vAlign w:val="center"/>
          </w:tcPr>
          <w:p w14:paraId="7C19484A">
            <w:pPr>
              <w:autoSpaceDN w:val="0"/>
              <w:jc w:val="center"/>
              <w:textAlignment w:val="center"/>
              <w:rPr>
                <w:szCs w:val="21"/>
              </w:rPr>
            </w:pPr>
          </w:p>
        </w:tc>
        <w:tc>
          <w:tcPr>
            <w:tcW w:w="894" w:type="dxa"/>
            <w:noWrap/>
            <w:vAlign w:val="center"/>
          </w:tcPr>
          <w:p w14:paraId="3224FA6B">
            <w:pPr>
              <w:autoSpaceDN w:val="0"/>
              <w:jc w:val="center"/>
              <w:textAlignment w:val="center"/>
              <w:rPr>
                <w:szCs w:val="21"/>
              </w:rPr>
            </w:pPr>
          </w:p>
        </w:tc>
        <w:tc>
          <w:tcPr>
            <w:tcW w:w="839" w:type="dxa"/>
            <w:noWrap/>
            <w:vAlign w:val="center"/>
          </w:tcPr>
          <w:p w14:paraId="68C1319E">
            <w:pPr>
              <w:autoSpaceDN w:val="0"/>
              <w:jc w:val="center"/>
              <w:textAlignment w:val="center"/>
              <w:rPr>
                <w:szCs w:val="21"/>
              </w:rPr>
            </w:pPr>
          </w:p>
        </w:tc>
      </w:tr>
      <w:tr w14:paraId="7DA7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noWrap/>
            <w:vAlign w:val="center"/>
          </w:tcPr>
          <w:p w14:paraId="752035B5">
            <w:pPr>
              <w:adjustRightInd w:val="0"/>
              <w:snapToGrid w:val="0"/>
              <w:jc w:val="center"/>
              <w:rPr>
                <w:b/>
              </w:rPr>
            </w:pPr>
            <w:r>
              <w:rPr>
                <w:b/>
              </w:rPr>
              <w:t>总计（人民币/元）</w:t>
            </w:r>
          </w:p>
        </w:tc>
        <w:tc>
          <w:tcPr>
            <w:tcW w:w="5693" w:type="dxa"/>
            <w:gridSpan w:val="6"/>
            <w:noWrap/>
            <w:vAlign w:val="center"/>
          </w:tcPr>
          <w:p w14:paraId="7CE39C56">
            <w:pPr>
              <w:adjustRightInd w:val="0"/>
              <w:snapToGrid w:val="0"/>
              <w:rPr>
                <w:b/>
              </w:rPr>
            </w:pPr>
            <w:r>
              <w:rPr>
                <w:b/>
              </w:rPr>
              <w:t>￥：（大写）</w:t>
            </w:r>
          </w:p>
        </w:tc>
      </w:tr>
    </w:tbl>
    <w:p w14:paraId="2728239B">
      <w:pPr>
        <w:kinsoku w:val="0"/>
        <w:spacing w:line="400" w:lineRule="exact"/>
        <w:ind w:firstLine="525" w:firstLineChars="250"/>
      </w:pPr>
      <w:r>
        <w:t>（参数较多可以附件说明）</w:t>
      </w:r>
    </w:p>
    <w:p w14:paraId="086A1281">
      <w:pPr>
        <w:kinsoku w:val="0"/>
        <w:spacing w:line="400" w:lineRule="exact"/>
        <w:ind w:firstLine="525" w:firstLineChars="250"/>
      </w:pPr>
      <w:r>
        <w:t>乙方负责按以上确定的</w:t>
      </w:r>
      <w:r>
        <w:rPr>
          <w:rFonts w:hint="eastAsia"/>
        </w:rPr>
        <w:t>产品</w:t>
      </w:r>
      <w:r>
        <w:t>规格、型号及配套内容进行供货，及时运到甲方指定交货地点安装调试，确保所有</w:t>
      </w:r>
      <w:r>
        <w:rPr>
          <w:rFonts w:hint="eastAsia"/>
        </w:rPr>
        <w:t>产品</w:t>
      </w:r>
      <w:r>
        <w:t>达到最佳运行状态，负责对甲方操作、维护人员进行培训，指导操作、使用和维修保养，做好售后服务工作。</w:t>
      </w:r>
    </w:p>
    <w:p w14:paraId="6856260E">
      <w:pPr>
        <w:spacing w:line="400" w:lineRule="exact"/>
        <w:ind w:firstLine="422" w:firstLineChars="200"/>
        <w:rPr>
          <w:b/>
        </w:rPr>
      </w:pPr>
      <w:r>
        <w:rPr>
          <w:b/>
        </w:rPr>
        <w:t>二、合同价格</w:t>
      </w:r>
    </w:p>
    <w:p w14:paraId="554A18E9">
      <w:pPr>
        <w:kinsoku w:val="0"/>
        <w:spacing w:line="400" w:lineRule="exact"/>
        <w:ind w:firstLine="420" w:firstLineChars="200"/>
      </w:pPr>
      <w:r>
        <w:t>合同总价：人民币大写：</w:t>
      </w:r>
      <w:r>
        <w:rPr>
          <w:b/>
        </w:rPr>
        <w:t>元整；</w:t>
      </w:r>
      <w:r>
        <w:t>￥元。</w:t>
      </w:r>
    </w:p>
    <w:p w14:paraId="0A91E4C0">
      <w:pPr>
        <w:kinsoku w:val="0"/>
        <w:spacing w:line="400" w:lineRule="exact"/>
        <w:ind w:firstLine="420" w:firstLineChars="200"/>
      </w:pPr>
      <w:r>
        <w:t>合同总价包括：</w:t>
      </w:r>
      <w:r>
        <w:rPr>
          <w:rFonts w:hint="eastAsia"/>
        </w:rPr>
        <w:t>产品</w:t>
      </w:r>
      <w:r>
        <w:t>的供应费及所发生的运输费、杂费（含保险）、商检费、搬运费、安装调试费、培训费等，包括从产品供应地点到交货地点所包含的运一切费用。合同总价不可变更，不受市场价变化的影响，不受实际数量变化的影响。</w:t>
      </w:r>
    </w:p>
    <w:p w14:paraId="754E5902">
      <w:pPr>
        <w:spacing w:line="400" w:lineRule="exact"/>
        <w:ind w:firstLine="422" w:firstLineChars="200"/>
        <w:rPr>
          <w:b/>
        </w:rPr>
      </w:pPr>
      <w:r>
        <w:rPr>
          <w:b/>
        </w:rPr>
        <w:t>三、款项支付</w:t>
      </w:r>
    </w:p>
    <w:p w14:paraId="3BB136BA">
      <w:pPr>
        <w:kinsoku w:val="0"/>
        <w:spacing w:line="400" w:lineRule="exact"/>
        <w:ind w:firstLine="420" w:firstLineChars="200"/>
        <w:rPr>
          <w:rFonts w:ascii="Times New Roman" w:hAnsi="Times New Roman" w:eastAsia="宋体" w:cs="Times New Roman"/>
        </w:rPr>
      </w:pPr>
      <w:r>
        <w:rPr>
          <w:rFonts w:hint="eastAsia" w:ascii="Times New Roman" w:hAnsi="Times New Roman" w:eastAsia="宋体" w:cs="Times New Roman"/>
        </w:rPr>
        <w:t>1.项目验收合格后，凭供应商开具的全额增值税专用发票，30日内一次性付清合同款项。</w:t>
      </w:r>
    </w:p>
    <w:p w14:paraId="42078598">
      <w:pPr>
        <w:kinsoku w:val="0"/>
        <w:spacing w:line="400" w:lineRule="exact"/>
        <w:ind w:firstLine="422" w:firstLineChars="200"/>
        <w:rPr>
          <w:b/>
        </w:rPr>
      </w:pPr>
      <w:r>
        <w:rPr>
          <w:b/>
        </w:rPr>
        <w:t>四、交货条件</w:t>
      </w:r>
    </w:p>
    <w:p w14:paraId="6801A6EE">
      <w:pPr>
        <w:kinsoku w:val="0"/>
        <w:spacing w:line="400" w:lineRule="exact"/>
        <w:ind w:firstLine="525" w:firstLineChars="250"/>
      </w:pPr>
      <w:r>
        <w:t>1、交货地点：</w:t>
      </w:r>
    </w:p>
    <w:p w14:paraId="5AFE3448">
      <w:pPr>
        <w:kinsoku w:val="0"/>
        <w:spacing w:line="400" w:lineRule="exact"/>
        <w:ind w:firstLine="525" w:firstLineChars="250"/>
      </w:pPr>
      <w:r>
        <w:t>2、交货日期：</w:t>
      </w:r>
    </w:p>
    <w:p w14:paraId="05E9FEC2">
      <w:pPr>
        <w:spacing w:line="400" w:lineRule="exact"/>
        <w:ind w:firstLine="422" w:firstLineChars="200"/>
        <w:rPr>
          <w:b/>
        </w:rPr>
      </w:pPr>
      <w:r>
        <w:rPr>
          <w:b/>
        </w:rPr>
        <w:t>五、运输方式：</w:t>
      </w:r>
      <w:r>
        <w:t>根据产品特性，由乙方在保证产品质量的前提下，自行选择运输及包装方式，发生的一切费用全部由乙方承担。</w:t>
      </w:r>
    </w:p>
    <w:p w14:paraId="50FB4702">
      <w:pPr>
        <w:adjustRightInd w:val="0"/>
        <w:snapToGrid w:val="0"/>
        <w:spacing w:line="400" w:lineRule="exact"/>
        <w:ind w:firstLine="422" w:firstLineChars="200"/>
        <w:rPr>
          <w:b/>
        </w:rPr>
      </w:pPr>
      <w:r>
        <w:rPr>
          <w:b/>
        </w:rPr>
        <w:t>六、质量保证</w:t>
      </w:r>
    </w:p>
    <w:p w14:paraId="27A9D997">
      <w:pPr>
        <w:adjustRightInd w:val="0"/>
        <w:snapToGrid w:val="0"/>
        <w:spacing w:line="400" w:lineRule="exact"/>
        <w:ind w:firstLine="420" w:firstLineChars="200"/>
      </w:pPr>
      <w:r>
        <w:t>1、乙方保证所提供的</w:t>
      </w:r>
      <w:r>
        <w:rPr>
          <w:rFonts w:hint="eastAsia"/>
        </w:rPr>
        <w:t>产品</w:t>
      </w:r>
      <w:r>
        <w:t>质量可靠，进货渠道正常，配置合理，技术性能完全满足招标文件要求；</w:t>
      </w:r>
    </w:p>
    <w:p w14:paraId="01AAAB81">
      <w:pPr>
        <w:adjustRightInd w:val="0"/>
        <w:snapToGrid w:val="0"/>
        <w:spacing w:line="400" w:lineRule="exact"/>
        <w:ind w:firstLine="420" w:firstLineChars="200"/>
      </w:pPr>
      <w:r>
        <w:t>2、若</w:t>
      </w:r>
      <w:r>
        <w:rPr>
          <w:rFonts w:hint="eastAsia"/>
        </w:rPr>
        <w:t>产品</w:t>
      </w:r>
      <w:r>
        <w:t>所用原材料或加工工艺造成的质量和内外观缺陷问题，由乙方负责解决并承担费用。（卖方保证货物是全新的、未曾使用过的、以优质工艺及材料制造，并保证所供</w:t>
      </w:r>
      <w:r>
        <w:rPr>
          <w:rFonts w:hint="eastAsia"/>
        </w:rPr>
        <w:t>产品</w:t>
      </w:r>
      <w:r>
        <w:t>的完整性，本合同</w:t>
      </w:r>
      <w:r>
        <w:rPr>
          <w:rFonts w:hint="eastAsia"/>
        </w:rPr>
        <w:t>产品</w:t>
      </w:r>
      <w:r>
        <w:t>为成套供货，合同总价中已包括满足</w:t>
      </w:r>
      <w:r>
        <w:rPr>
          <w:rFonts w:hint="eastAsia"/>
        </w:rPr>
        <w:t>产品</w:t>
      </w:r>
      <w:r>
        <w:t>完整运行的附件，备件，配套件等，产品质量应符合国标标准和本合同附件的要求, 卖方应随机提供产品检验报告。）</w:t>
      </w:r>
    </w:p>
    <w:p w14:paraId="4D61B757">
      <w:pPr>
        <w:adjustRightInd w:val="0"/>
        <w:snapToGrid w:val="0"/>
        <w:spacing w:line="400" w:lineRule="exact"/>
        <w:ind w:firstLine="525" w:firstLineChars="250"/>
      </w:pPr>
      <w:r>
        <w:t>3、</w:t>
      </w:r>
      <w:r>
        <w:rPr>
          <w:rFonts w:hint="eastAsia"/>
        </w:rPr>
        <w:t>产品</w:t>
      </w:r>
      <w:r>
        <w:t>的质保期为</w:t>
      </w:r>
      <w:r>
        <w:rPr>
          <w:rFonts w:hint="eastAsia"/>
        </w:rPr>
        <w:t>产品</w:t>
      </w:r>
      <w:r>
        <w:t>验收合格后</w:t>
      </w:r>
      <w:r>
        <w:rPr>
          <w:rFonts w:hint="eastAsia"/>
        </w:rPr>
        <w:t>硬件</w:t>
      </w:r>
      <w:r>
        <w:t>年</w:t>
      </w:r>
      <w:r>
        <w:rPr>
          <w:rFonts w:hint="eastAsia"/>
        </w:rPr>
        <w:t>，软件</w:t>
      </w:r>
      <w:r>
        <w:t>年，质保期内若发生产品质量问题，卖方应立即免费解决；否则，甲方有权从5%质保金中支付相关费用；超过一年质保期的，按照厂家承诺进行。</w:t>
      </w:r>
    </w:p>
    <w:p w14:paraId="1D60D1EE">
      <w:pPr>
        <w:adjustRightInd w:val="0"/>
        <w:snapToGrid w:val="0"/>
        <w:spacing w:line="400" w:lineRule="exact"/>
        <w:ind w:firstLine="525" w:firstLineChars="250"/>
      </w:pPr>
      <w:r>
        <w:t>4、</w:t>
      </w:r>
      <w:r>
        <w:rPr>
          <w:rFonts w:hint="eastAsia"/>
        </w:rPr>
        <w:t>产品</w:t>
      </w:r>
      <w:r>
        <w:rPr>
          <w:bCs/>
        </w:rPr>
        <w:t>性能未达到技术要求的，乙方限期内进行整改；整改仍达不到要求的，甲方有权解除合同，保留依法索赔的权利。</w:t>
      </w:r>
    </w:p>
    <w:p w14:paraId="257D6272">
      <w:pPr>
        <w:adjustRightInd w:val="0"/>
        <w:snapToGrid w:val="0"/>
        <w:spacing w:line="400" w:lineRule="exact"/>
        <w:ind w:firstLine="314" w:firstLineChars="149"/>
        <w:rPr>
          <w:b/>
        </w:rPr>
      </w:pPr>
      <w:r>
        <w:rPr>
          <w:b/>
        </w:rPr>
        <w:t>七、安装、调试及技术服务</w:t>
      </w:r>
    </w:p>
    <w:p w14:paraId="53CF2D07">
      <w:pPr>
        <w:spacing w:line="400" w:lineRule="exact"/>
        <w:ind w:firstLine="434" w:firstLineChars="207"/>
      </w:pPr>
      <w:r>
        <w:t>1、技术资料包括：出厂检测报告、产品使用说明书、合格证等其它相关资料。</w:t>
      </w:r>
    </w:p>
    <w:p w14:paraId="1531DF18">
      <w:pPr>
        <w:spacing w:line="400" w:lineRule="exact"/>
        <w:ind w:firstLine="420" w:firstLineChars="200"/>
      </w:pPr>
      <w:r>
        <w:t>2、在质保期内（保修起始日为货到验收合格之日起），乙方在接到用户对所购</w:t>
      </w:r>
      <w:r>
        <w:rPr>
          <w:rFonts w:hint="eastAsia"/>
        </w:rPr>
        <w:t>产品</w:t>
      </w:r>
      <w:r>
        <w:t>进行维修的要求后，24小时内到用户现场进行维修服务，全部费用由乙方支付，若需将产品送回生产厂，由乙方支付维修</w:t>
      </w:r>
      <w:r>
        <w:rPr>
          <w:rFonts w:hint="eastAsia"/>
        </w:rPr>
        <w:t>产品</w:t>
      </w:r>
      <w:r>
        <w:t>所需的往返费用。</w:t>
      </w:r>
    </w:p>
    <w:p w14:paraId="7DCE7D96">
      <w:pPr>
        <w:spacing w:line="400" w:lineRule="exact"/>
        <w:ind w:firstLine="315" w:firstLineChars="150"/>
      </w:pPr>
      <w:r>
        <w:t>3、乙方保证</w:t>
      </w:r>
      <w:r>
        <w:rPr>
          <w:rFonts w:hint="eastAsia"/>
        </w:rPr>
        <w:t>产品</w:t>
      </w:r>
      <w:r>
        <w:t>完全按招标要求提供，若达不到要求，乙方须及时跟甲方沟通协商更换</w:t>
      </w:r>
      <w:r>
        <w:rPr>
          <w:rFonts w:hint="eastAsia"/>
        </w:rPr>
        <w:t>产品</w:t>
      </w:r>
      <w:r>
        <w:t>，并按照再次验收合格时间相应延长该产品保修期。</w:t>
      </w:r>
    </w:p>
    <w:p w14:paraId="503C9EDB">
      <w:pPr>
        <w:tabs>
          <w:tab w:val="left" w:pos="5355"/>
        </w:tabs>
        <w:spacing w:line="400" w:lineRule="exact"/>
        <w:ind w:firstLine="443" w:firstLineChars="210"/>
        <w:rPr>
          <w:b/>
        </w:rPr>
      </w:pPr>
      <w:r>
        <w:rPr>
          <w:b/>
        </w:rPr>
        <w:t>八、违约责任：</w:t>
      </w:r>
    </w:p>
    <w:p w14:paraId="5996A16A">
      <w:pPr>
        <w:adjustRightInd w:val="0"/>
        <w:snapToGrid w:val="0"/>
        <w:spacing w:line="400" w:lineRule="exact"/>
        <w:ind w:firstLine="420" w:firstLineChars="200"/>
      </w:pPr>
      <w:r>
        <w:t>1、按《中华人民共和国</w:t>
      </w:r>
      <w:r>
        <w:rPr>
          <w:rFonts w:hint="eastAsia"/>
        </w:rPr>
        <w:t>民法典</w:t>
      </w:r>
      <w:r>
        <w:t>》中的相关条款执行。</w:t>
      </w:r>
    </w:p>
    <w:p w14:paraId="2FC09340">
      <w:pPr>
        <w:adjustRightInd w:val="0"/>
        <w:snapToGrid w:val="0"/>
        <w:spacing w:line="400" w:lineRule="exact"/>
        <w:ind w:firstLine="420" w:firstLineChars="200"/>
      </w:pPr>
      <w:r>
        <w:t>2、未按合同要求提供产品或</w:t>
      </w:r>
      <w:r>
        <w:rPr>
          <w:rFonts w:hint="eastAsia"/>
        </w:rPr>
        <w:t>产品</w:t>
      </w:r>
      <w:r>
        <w:t>质量不能满足技术要求，甲方有权终止合同，并保留追究乙方违约责任的权利。</w:t>
      </w:r>
    </w:p>
    <w:p w14:paraId="7617B945">
      <w:pPr>
        <w:adjustRightInd w:val="0"/>
        <w:snapToGrid w:val="0"/>
        <w:spacing w:line="400" w:lineRule="exact"/>
        <w:ind w:firstLine="420" w:firstLineChars="200"/>
      </w:pPr>
      <w:r>
        <w:t>3、时间迟延的，违约方按照每天1‰向对方承担违约责任。产品质量问题违约的，除了按照迟延时间计算违约金外，另可以采取退货、换货等方式，由供方承担一切费用。</w:t>
      </w:r>
    </w:p>
    <w:p w14:paraId="4BEEC393">
      <w:pPr>
        <w:spacing w:line="400" w:lineRule="exact"/>
        <w:ind w:firstLine="532"/>
        <w:rPr>
          <w:b/>
        </w:rPr>
      </w:pPr>
      <w:r>
        <w:rPr>
          <w:b/>
        </w:rPr>
        <w:t>九、</w:t>
      </w:r>
      <w:r>
        <w:rPr>
          <w:rFonts w:hint="eastAsia"/>
          <w:b/>
        </w:rPr>
        <w:t>产品</w:t>
      </w:r>
      <w:r>
        <w:rPr>
          <w:b/>
        </w:rPr>
        <w:t>验收</w:t>
      </w:r>
    </w:p>
    <w:p w14:paraId="684865B2">
      <w:pPr>
        <w:spacing w:line="400" w:lineRule="exact"/>
        <w:ind w:firstLine="420" w:firstLineChars="200"/>
      </w:pPr>
      <w:r>
        <w:t>1、</w:t>
      </w:r>
      <w:r>
        <w:rPr>
          <w:rFonts w:hint="eastAsia"/>
        </w:rPr>
        <w:t>产品</w:t>
      </w:r>
      <w:r>
        <w:t>到货后，乙方负责安装调试，达到正常运行条件后书面通知甲方验收。</w:t>
      </w:r>
    </w:p>
    <w:p w14:paraId="3E2AB636">
      <w:pPr>
        <w:spacing w:line="400" w:lineRule="exact"/>
        <w:ind w:firstLine="420" w:firstLineChars="200"/>
      </w:pPr>
      <w:r>
        <w:t>2、安装完成后应提供详细的安装报告，并详细记录各种指示的实测数据。</w:t>
      </w:r>
    </w:p>
    <w:p w14:paraId="224E38C1">
      <w:pPr>
        <w:spacing w:line="400" w:lineRule="exact"/>
        <w:ind w:firstLine="420" w:firstLineChars="200"/>
      </w:pPr>
      <w:r>
        <w:t>3、提供完整的操作手册和安装、调试、维修手册；提供制造厂家的检验测试报告或</w:t>
      </w:r>
      <w:r>
        <w:rPr>
          <w:rFonts w:hint="eastAsia"/>
        </w:rPr>
        <w:t>产品</w:t>
      </w:r>
      <w:r>
        <w:t>出厂检测报告。</w:t>
      </w:r>
    </w:p>
    <w:p w14:paraId="779239F3">
      <w:pPr>
        <w:spacing w:line="400" w:lineRule="exact"/>
        <w:ind w:firstLine="420" w:firstLineChars="200"/>
      </w:pPr>
      <w:r>
        <w:t>4、甲方根据合同要求对</w:t>
      </w:r>
      <w:r>
        <w:rPr>
          <w:rFonts w:hint="eastAsia"/>
        </w:rPr>
        <w:t>产品</w:t>
      </w:r>
      <w:r>
        <w:t>进行验收、确认</w:t>
      </w:r>
      <w:r>
        <w:rPr>
          <w:rFonts w:hint="eastAsia"/>
        </w:rPr>
        <w:t>产品</w:t>
      </w:r>
      <w:r>
        <w:t>的产地、规格、型号和数量。验收依据为</w:t>
      </w:r>
      <w:bookmarkStart w:id="66" w:name="_Toc337393760"/>
      <w:r>
        <w:t>本合同文本、招投标文件和国内相应的标准、规范</w:t>
      </w:r>
      <w:bookmarkEnd w:id="66"/>
      <w:bookmarkStart w:id="67" w:name="_Toc337393761"/>
      <w:r>
        <w:t>。</w:t>
      </w:r>
      <w:bookmarkEnd w:id="67"/>
    </w:p>
    <w:p w14:paraId="2C6D9CF7">
      <w:pPr>
        <w:spacing w:line="400" w:lineRule="exact"/>
        <w:ind w:firstLine="420" w:firstLineChars="200"/>
      </w:pPr>
      <w:r>
        <w:t>5、验收合格后，填写</w:t>
      </w:r>
      <w:r>
        <w:rPr>
          <w:rFonts w:hint="eastAsia"/>
        </w:rPr>
        <w:t>产品</w:t>
      </w:r>
      <w:r>
        <w:t>验收单，并向甲方提交</w:t>
      </w:r>
      <w:r>
        <w:rPr>
          <w:rFonts w:hint="eastAsia"/>
        </w:rPr>
        <w:t>产品</w:t>
      </w:r>
      <w:r>
        <w:t>所包含的所有资料，以便使用单位日后管理和维护。</w:t>
      </w:r>
    </w:p>
    <w:p w14:paraId="14E490D3">
      <w:pPr>
        <w:tabs>
          <w:tab w:val="left" w:pos="5355"/>
        </w:tabs>
        <w:spacing w:line="400" w:lineRule="exact"/>
        <w:ind w:firstLine="422" w:firstLineChars="200"/>
        <w:rPr>
          <w:b/>
        </w:rPr>
      </w:pPr>
      <w:r>
        <w:rPr>
          <w:b/>
        </w:rPr>
        <w:t>十、合同争议的解决</w:t>
      </w:r>
    </w:p>
    <w:p w14:paraId="364DFFF6">
      <w:pPr>
        <w:tabs>
          <w:tab w:val="left" w:pos="5355"/>
        </w:tabs>
        <w:spacing w:line="400" w:lineRule="exact"/>
        <w:ind w:firstLine="420" w:firstLineChars="200"/>
        <w:rPr>
          <w:b/>
        </w:rPr>
      </w:pPr>
      <w:r>
        <w:t>合同一经签订，不得随意变更、中止或终止。对确需变更、调整或者中止、终止合同的，应按规定履行相应的手续。</w:t>
      </w:r>
    </w:p>
    <w:p w14:paraId="5947B956">
      <w:pPr>
        <w:tabs>
          <w:tab w:val="left" w:pos="5355"/>
        </w:tabs>
        <w:spacing w:line="400" w:lineRule="exact"/>
        <w:ind w:firstLine="420" w:firstLineChars="200"/>
      </w:pPr>
      <w:r>
        <w:t>合同执行中发生争议的，甲、乙双方应协商解决，协商达不成一致时，可向</w:t>
      </w:r>
      <w:r>
        <w:rPr>
          <w:rFonts w:hint="eastAsia"/>
        </w:rPr>
        <w:t>甲方所在</w:t>
      </w:r>
      <w:r>
        <w:t>地人民法院提请诉讼。</w:t>
      </w:r>
    </w:p>
    <w:p w14:paraId="4C019148">
      <w:pPr>
        <w:tabs>
          <w:tab w:val="left" w:pos="5355"/>
        </w:tabs>
        <w:spacing w:line="400" w:lineRule="exact"/>
        <w:ind w:firstLine="422" w:firstLineChars="200"/>
        <w:rPr>
          <w:b/>
        </w:rPr>
      </w:pPr>
      <w:r>
        <w:rPr>
          <w:b/>
        </w:rPr>
        <w:t>十一、其它事项</w:t>
      </w:r>
    </w:p>
    <w:p w14:paraId="0327104D">
      <w:pPr>
        <w:adjustRightInd w:val="0"/>
        <w:snapToGrid w:val="0"/>
        <w:spacing w:line="400" w:lineRule="exact"/>
        <w:ind w:firstLine="525" w:firstLineChars="250"/>
      </w:pPr>
      <w:r>
        <w:t>1、甲、乙双方</w:t>
      </w:r>
      <w:r>
        <w:rPr>
          <w:rFonts w:hint="eastAsia"/>
        </w:rPr>
        <w:t>作为</w:t>
      </w:r>
      <w:r>
        <w:t>合同执行的主体，有义务及时完全履行合同。</w:t>
      </w:r>
      <w:r>
        <w:rPr>
          <w:rFonts w:hint="eastAsia"/>
        </w:rPr>
        <w:t>陕西卓佲项目管理有限公司</w:t>
      </w:r>
      <w:r>
        <w:t>监督履行。</w:t>
      </w:r>
    </w:p>
    <w:p w14:paraId="2BA2787D">
      <w:pPr>
        <w:adjustRightInd w:val="0"/>
        <w:snapToGrid w:val="0"/>
        <w:spacing w:line="400" w:lineRule="exact"/>
        <w:ind w:firstLine="525" w:firstLineChars="250"/>
      </w:pPr>
      <w:r>
        <w:t>2、甲方使用部门代表学校签署合同，并随时监督合同履行情况。合同执行过程中涉及的招标问题，由使用部门会同国资处与供方解决。</w:t>
      </w:r>
    </w:p>
    <w:p w14:paraId="46B6E182">
      <w:pPr>
        <w:adjustRightInd w:val="0"/>
        <w:snapToGrid w:val="0"/>
        <w:spacing w:line="400" w:lineRule="exact"/>
        <w:ind w:firstLine="525" w:firstLineChars="250"/>
      </w:pPr>
      <w:r>
        <w:t>3、合同未尽事宜，由甲、乙双方协商，协商方案作为本合同不可分割的组成部分，与本合同具有同等法律效力。</w:t>
      </w:r>
    </w:p>
    <w:p w14:paraId="36840F61">
      <w:pPr>
        <w:adjustRightInd w:val="0"/>
        <w:snapToGrid w:val="0"/>
        <w:spacing w:line="400" w:lineRule="exact"/>
        <w:ind w:firstLine="525" w:firstLineChars="250"/>
      </w:pPr>
      <w:r>
        <w:t>4、招标文件和乙方的投标文件以及合同附件均为合同不可分割的部分。</w:t>
      </w:r>
    </w:p>
    <w:p w14:paraId="779E3D8E">
      <w:pPr>
        <w:adjustRightInd w:val="0"/>
        <w:snapToGrid w:val="0"/>
        <w:spacing w:line="400" w:lineRule="exact"/>
        <w:ind w:firstLine="525" w:firstLineChars="250"/>
      </w:pPr>
      <w:r>
        <w:t>5、合同一式陆份，甲方持肆份、乙方执</w:t>
      </w:r>
      <w:r>
        <w:rPr>
          <w:rFonts w:hint="eastAsia"/>
        </w:rPr>
        <w:t>壹</w:t>
      </w:r>
      <w:r>
        <w:t>份，招标代理机构</w:t>
      </w:r>
      <w:r>
        <w:rPr>
          <w:rFonts w:hint="eastAsia"/>
        </w:rPr>
        <w:t>壹</w:t>
      </w:r>
      <w:r>
        <w:t>份。双方签字盖章后生效，合同执行完毕自动失效。（合同的服务承诺长期有效）。</w:t>
      </w:r>
    </w:p>
    <w:p w14:paraId="7BB19084">
      <w:pPr>
        <w:tabs>
          <w:tab w:val="left" w:pos="5355"/>
        </w:tabs>
        <w:spacing w:line="400" w:lineRule="exact"/>
        <w:ind w:firstLine="420" w:firstLineChars="200"/>
      </w:pPr>
      <w:r>
        <w:t>6、使用单位收货、验货人员：____________  电话：_______________</w:t>
      </w:r>
    </w:p>
    <w:p w14:paraId="324FF790">
      <w:pPr>
        <w:tabs>
          <w:tab w:val="left" w:pos="5355"/>
        </w:tabs>
        <w:spacing w:line="500" w:lineRule="exact"/>
        <w:ind w:firstLine="105" w:firstLineChars="50"/>
      </w:pPr>
    </w:p>
    <w:p w14:paraId="36CA1962">
      <w:pPr>
        <w:tabs>
          <w:tab w:val="left" w:pos="5355"/>
        </w:tabs>
        <w:spacing w:line="500" w:lineRule="exact"/>
        <w:ind w:firstLine="105" w:firstLineChars="50"/>
      </w:pPr>
    </w:p>
    <w:p w14:paraId="631F3461">
      <w:pPr>
        <w:tabs>
          <w:tab w:val="left" w:pos="5355"/>
        </w:tabs>
        <w:spacing w:line="500" w:lineRule="exact"/>
        <w:ind w:firstLine="105" w:firstLineChars="50"/>
      </w:pPr>
    </w:p>
    <w:p w14:paraId="495EA5BB">
      <w:pPr>
        <w:tabs>
          <w:tab w:val="left" w:pos="5355"/>
        </w:tabs>
        <w:spacing w:line="500" w:lineRule="exact"/>
        <w:ind w:firstLine="105" w:firstLineChars="50"/>
      </w:pPr>
      <w:r>
        <w:t>甲方：　乙方：</w:t>
      </w:r>
    </w:p>
    <w:p w14:paraId="6919FCE9">
      <w:pPr>
        <w:tabs>
          <w:tab w:val="left" w:pos="5355"/>
        </w:tabs>
        <w:spacing w:line="500" w:lineRule="exact"/>
        <w:ind w:firstLine="105" w:firstLineChars="50"/>
      </w:pPr>
      <w:r>
        <w:t>地　址：地　址：</w:t>
      </w:r>
    </w:p>
    <w:p w14:paraId="4C34272C">
      <w:pPr>
        <w:tabs>
          <w:tab w:val="left" w:pos="5355"/>
        </w:tabs>
        <w:spacing w:line="500" w:lineRule="exact"/>
        <w:ind w:firstLine="105" w:firstLineChars="50"/>
      </w:pPr>
      <w:r>
        <w:t>代理人：　　　　　　　　　　　　　　代理人：</w:t>
      </w:r>
    </w:p>
    <w:p w14:paraId="24F71271">
      <w:pPr>
        <w:tabs>
          <w:tab w:val="left" w:pos="5355"/>
        </w:tabs>
        <w:spacing w:line="500" w:lineRule="exact"/>
        <w:ind w:firstLine="105" w:firstLineChars="50"/>
      </w:pPr>
      <w:r>
        <w:t>技术确认：技术确认：</w:t>
      </w:r>
    </w:p>
    <w:p w14:paraId="0F08C2BB">
      <w:pPr>
        <w:tabs>
          <w:tab w:val="left" w:pos="5355"/>
        </w:tabs>
        <w:spacing w:line="500" w:lineRule="exact"/>
        <w:ind w:firstLine="105" w:firstLineChars="50"/>
      </w:pPr>
      <w:r>
        <w:t>联系电话：联系电话：</w:t>
      </w:r>
    </w:p>
    <w:p w14:paraId="20ED7FF5">
      <w:pPr>
        <w:tabs>
          <w:tab w:val="left" w:pos="5355"/>
        </w:tabs>
        <w:spacing w:line="500" w:lineRule="exact"/>
        <w:ind w:firstLine="105" w:firstLineChars="50"/>
      </w:pPr>
      <w:r>
        <w:t>开户行：开户行：</w:t>
      </w:r>
    </w:p>
    <w:p w14:paraId="67649BEB">
      <w:pPr>
        <w:tabs>
          <w:tab w:val="left" w:pos="5355"/>
        </w:tabs>
        <w:spacing w:line="500" w:lineRule="exact"/>
        <w:ind w:firstLine="105" w:firstLineChars="50"/>
      </w:pPr>
      <w:r>
        <w:t>账号：账号：</w:t>
      </w:r>
    </w:p>
    <w:p w14:paraId="763BAFE1">
      <w:pPr>
        <w:tabs>
          <w:tab w:val="left" w:pos="5355"/>
        </w:tabs>
        <w:adjustRightInd w:val="0"/>
        <w:snapToGrid w:val="0"/>
        <w:spacing w:line="360" w:lineRule="auto"/>
      </w:pPr>
    </w:p>
    <w:p w14:paraId="7B2A838B">
      <w:pPr>
        <w:tabs>
          <w:tab w:val="left" w:pos="5355"/>
        </w:tabs>
        <w:adjustRightInd w:val="0"/>
        <w:snapToGrid w:val="0"/>
        <w:spacing w:line="360" w:lineRule="auto"/>
        <w:ind w:firstLine="210" w:firstLineChars="100"/>
        <w:rPr>
          <w:rFonts w:ascii="宋体" w:hAnsi="宋体" w:cs="宋体"/>
          <w:sz w:val="24"/>
          <w:szCs w:val="24"/>
        </w:rPr>
      </w:pPr>
      <w:r>
        <w:t>时间：时间：</w:t>
      </w:r>
    </w:p>
    <w:p w14:paraId="00A1F94F">
      <w:pPr>
        <w:tabs>
          <w:tab w:val="left" w:pos="5355"/>
        </w:tabs>
        <w:adjustRightInd w:val="0"/>
        <w:snapToGrid w:val="0"/>
        <w:spacing w:line="360" w:lineRule="auto"/>
        <w:ind w:firstLine="480" w:firstLineChars="200"/>
        <w:rPr>
          <w:rFonts w:ascii="宋体" w:hAnsi="宋体" w:cs="宋体"/>
          <w:sz w:val="24"/>
          <w:szCs w:val="24"/>
        </w:rPr>
      </w:pPr>
    </w:p>
    <w:p w14:paraId="00B743A9">
      <w:pPr>
        <w:pStyle w:val="2"/>
        <w:pageBreakBefore/>
        <w:ind w:firstLine="883"/>
        <w:rPr>
          <w:rFonts w:ascii="宋体" w:hAnsi="宋体" w:cs="宋体"/>
          <w:sz w:val="44"/>
          <w:szCs w:val="44"/>
        </w:rPr>
      </w:pPr>
      <w:bookmarkStart w:id="68" w:name="_Toc30205"/>
      <w:r>
        <w:rPr>
          <w:rFonts w:hint="eastAsia" w:ascii="宋体" w:hAnsi="宋体" w:cs="宋体"/>
          <w:sz w:val="44"/>
          <w:szCs w:val="44"/>
        </w:rPr>
        <w:t>第七部分  响应文件格式</w:t>
      </w:r>
      <w:bookmarkEnd w:id="65"/>
      <w:bookmarkEnd w:id="68"/>
    </w:p>
    <w:p w14:paraId="1094F63C">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ZMZB2025SNY-120R</w:t>
      </w:r>
      <w:r>
        <w:rPr>
          <w:rFonts w:hint="eastAsia" w:ascii="宋体" w:hAnsi="宋体" w:eastAsia="宋体" w:cs="宋体"/>
          <w:b/>
          <w:w w:val="120"/>
          <w:sz w:val="28"/>
          <w:szCs w:val="28"/>
        </w:rPr>
        <w:t>（正本或副本）</w:t>
      </w:r>
    </w:p>
    <w:p w14:paraId="4F80D42B">
      <w:pPr>
        <w:adjustRightInd w:val="0"/>
        <w:snapToGrid w:val="0"/>
        <w:spacing w:line="360" w:lineRule="auto"/>
        <w:jc w:val="left"/>
        <w:rPr>
          <w:rFonts w:ascii="宋体" w:hAnsi="宋体" w:eastAsia="宋体" w:cs="宋体"/>
          <w:bCs/>
          <w:spacing w:val="-34"/>
          <w:w w:val="120"/>
          <w:sz w:val="34"/>
        </w:rPr>
      </w:pPr>
    </w:p>
    <w:p w14:paraId="62497F1D">
      <w:pPr>
        <w:adjustRightInd w:val="0"/>
        <w:snapToGrid w:val="0"/>
        <w:spacing w:line="360" w:lineRule="auto"/>
        <w:jc w:val="center"/>
        <w:rPr>
          <w:rFonts w:ascii="宋体" w:hAnsi="宋体" w:eastAsia="宋体" w:cs="宋体"/>
          <w:b/>
          <w:sz w:val="56"/>
          <w:szCs w:val="48"/>
        </w:rPr>
      </w:pPr>
    </w:p>
    <w:p w14:paraId="5CDBC2AD">
      <w:pPr>
        <w:adjustRightInd w:val="0"/>
        <w:snapToGrid w:val="0"/>
        <w:spacing w:line="360" w:lineRule="auto"/>
        <w:jc w:val="center"/>
        <w:rPr>
          <w:rFonts w:ascii="宋体" w:hAnsi="宋体" w:eastAsia="宋体" w:cs="宋体"/>
          <w:b/>
          <w:sz w:val="56"/>
          <w:szCs w:val="48"/>
        </w:rPr>
      </w:pPr>
      <w:r>
        <w:rPr>
          <w:rFonts w:hint="eastAsia" w:ascii="宋体" w:hAnsi="宋体" w:eastAsia="宋体" w:cs="宋体"/>
          <w:b/>
          <w:sz w:val="56"/>
          <w:szCs w:val="48"/>
        </w:rPr>
        <w:t>陕西能源职业技术学院大学生</w:t>
      </w:r>
    </w:p>
    <w:p w14:paraId="69424225">
      <w:pPr>
        <w:adjustRightInd w:val="0"/>
        <w:snapToGrid w:val="0"/>
        <w:spacing w:line="360" w:lineRule="auto"/>
        <w:jc w:val="center"/>
        <w:rPr>
          <w:rFonts w:ascii="宋体" w:hAnsi="宋体" w:eastAsia="宋体" w:cs="宋体"/>
          <w:b/>
          <w:sz w:val="56"/>
          <w:szCs w:val="48"/>
        </w:rPr>
      </w:pPr>
      <w:r>
        <w:rPr>
          <w:rFonts w:hint="eastAsia" w:ascii="宋体" w:hAnsi="宋体" w:eastAsia="宋体" w:cs="宋体"/>
          <w:b/>
          <w:sz w:val="56"/>
          <w:szCs w:val="48"/>
        </w:rPr>
        <w:t>活动中心灯光音响系统改造项目（二次）</w:t>
      </w:r>
    </w:p>
    <w:p w14:paraId="22171E7B">
      <w:pPr>
        <w:adjustRightInd w:val="0"/>
        <w:snapToGrid w:val="0"/>
        <w:spacing w:line="480" w:lineRule="auto"/>
        <w:jc w:val="center"/>
        <w:rPr>
          <w:rFonts w:ascii="宋体" w:hAnsi="宋体" w:eastAsia="宋体" w:cs="宋体"/>
          <w:b/>
          <w:sz w:val="52"/>
          <w:szCs w:val="52"/>
        </w:rPr>
      </w:pPr>
    </w:p>
    <w:p w14:paraId="59B857CC">
      <w:pPr>
        <w:adjustRightInd w:val="0"/>
        <w:snapToGrid w:val="0"/>
        <w:spacing w:line="480" w:lineRule="auto"/>
        <w:jc w:val="center"/>
        <w:rPr>
          <w:rFonts w:ascii="宋体" w:hAnsi="宋体" w:eastAsia="宋体" w:cs="宋体"/>
          <w:b/>
          <w:sz w:val="72"/>
          <w:szCs w:val="72"/>
        </w:rPr>
      </w:pPr>
      <w:r>
        <w:rPr>
          <w:rFonts w:hint="eastAsia" w:ascii="宋体" w:hAnsi="宋体" w:eastAsia="宋体" w:cs="宋体"/>
          <w:b/>
          <w:sz w:val="60"/>
          <w:szCs w:val="60"/>
        </w:rPr>
        <w:t>响应文件</w:t>
      </w:r>
    </w:p>
    <w:p w14:paraId="3E062632">
      <w:pPr>
        <w:snapToGrid w:val="0"/>
        <w:spacing w:line="360" w:lineRule="auto"/>
        <w:jc w:val="left"/>
        <w:rPr>
          <w:rFonts w:ascii="宋体" w:hAnsi="宋体" w:cs="宋体"/>
          <w:sz w:val="32"/>
          <w:szCs w:val="32"/>
          <w:lang w:val="zh-CN"/>
        </w:rPr>
      </w:pPr>
    </w:p>
    <w:p w14:paraId="116C8C6D">
      <w:pPr>
        <w:snapToGrid w:val="0"/>
        <w:spacing w:line="360" w:lineRule="auto"/>
        <w:jc w:val="left"/>
        <w:rPr>
          <w:rFonts w:ascii="宋体" w:hAnsi="宋体" w:cs="宋体"/>
          <w:sz w:val="32"/>
          <w:szCs w:val="32"/>
          <w:lang w:val="zh-CN"/>
        </w:rPr>
      </w:pPr>
    </w:p>
    <w:p w14:paraId="2FB6F9EB">
      <w:pPr>
        <w:snapToGrid w:val="0"/>
        <w:spacing w:line="360" w:lineRule="auto"/>
        <w:jc w:val="left"/>
        <w:rPr>
          <w:rFonts w:ascii="宋体" w:hAnsi="宋体" w:cs="宋体"/>
          <w:sz w:val="32"/>
          <w:szCs w:val="32"/>
          <w:lang w:val="zh-CN"/>
        </w:rPr>
      </w:pPr>
    </w:p>
    <w:p w14:paraId="7F566574">
      <w:pPr>
        <w:snapToGrid w:val="0"/>
        <w:spacing w:line="360" w:lineRule="auto"/>
        <w:jc w:val="left"/>
        <w:rPr>
          <w:rFonts w:ascii="宋体" w:hAnsi="宋体" w:eastAsia="宋体" w:cs="宋体"/>
          <w:sz w:val="32"/>
          <w:szCs w:val="32"/>
          <w:lang w:val="zh-CN"/>
        </w:rPr>
      </w:pPr>
    </w:p>
    <w:p w14:paraId="36F85BF9">
      <w:pPr>
        <w:snapToGrid w:val="0"/>
        <w:spacing w:line="360" w:lineRule="auto"/>
        <w:ind w:firstLine="640" w:firstLineChars="200"/>
        <w:jc w:val="left"/>
        <w:rPr>
          <w:rFonts w:ascii="宋体" w:hAnsi="宋体" w:eastAsia="宋体" w:cs="宋体"/>
          <w:sz w:val="32"/>
          <w:szCs w:val="32"/>
          <w:u w:val="single"/>
        </w:rPr>
      </w:pPr>
      <w:r>
        <w:rPr>
          <w:rFonts w:hint="eastAsia" w:ascii="宋体" w:hAnsi="宋体" w:eastAsia="宋体" w:cs="宋体"/>
          <w:sz w:val="32"/>
          <w:szCs w:val="32"/>
          <w:lang w:val="zh-CN"/>
        </w:rPr>
        <w:t>供应商（单位名称）：</w:t>
      </w:r>
      <w:r>
        <w:rPr>
          <w:rFonts w:hint="eastAsia" w:ascii="宋体" w:hAnsi="宋体" w:eastAsia="宋体" w:cs="宋体"/>
          <w:sz w:val="32"/>
          <w:szCs w:val="32"/>
        </w:rPr>
        <w:t>______________</w:t>
      </w:r>
    </w:p>
    <w:p w14:paraId="7E50F089">
      <w:pPr>
        <w:snapToGrid w:val="0"/>
        <w:spacing w:line="360" w:lineRule="auto"/>
        <w:ind w:firstLine="640" w:firstLineChars="200"/>
        <w:jc w:val="left"/>
        <w:rPr>
          <w:rFonts w:ascii="宋体" w:hAnsi="宋体" w:eastAsia="宋体" w:cs="宋体"/>
          <w:sz w:val="32"/>
          <w:szCs w:val="32"/>
          <w:u w:val="single"/>
        </w:rPr>
      </w:pPr>
      <w:r>
        <w:rPr>
          <w:rFonts w:hint="eastAsia" w:ascii="宋体" w:hAnsi="宋体" w:eastAsia="宋体" w:cs="宋体"/>
          <w:sz w:val="32"/>
          <w:szCs w:val="32"/>
        </w:rPr>
        <w:t>日期</w:t>
      </w:r>
      <w:r>
        <w:rPr>
          <w:rFonts w:hint="eastAsia" w:ascii="宋体" w:hAnsi="宋体" w:eastAsia="宋体" w:cs="宋体"/>
          <w:sz w:val="32"/>
          <w:szCs w:val="32"/>
          <w:lang w:val="zh-CN"/>
        </w:rPr>
        <w:t>：</w:t>
      </w:r>
      <w:r>
        <w:rPr>
          <w:rFonts w:hint="eastAsia" w:ascii="宋体" w:hAnsi="宋体" w:eastAsia="宋体" w:cs="宋体"/>
          <w:sz w:val="32"/>
          <w:szCs w:val="32"/>
        </w:rPr>
        <w:t>______</w:t>
      </w:r>
    </w:p>
    <w:p w14:paraId="243947C1">
      <w:pPr>
        <w:pageBreakBefore/>
        <w:ind w:firstLine="1004" w:firstLineChars="200"/>
        <w:jc w:val="center"/>
        <w:rPr>
          <w:rFonts w:ascii="宋体" w:hAnsi="宋体" w:eastAsia="宋体" w:cs="宋体"/>
          <w:b/>
          <w:sz w:val="50"/>
        </w:rPr>
      </w:pPr>
      <w:r>
        <w:rPr>
          <w:rFonts w:hint="eastAsia" w:ascii="宋体" w:hAnsi="宋体" w:eastAsia="宋体" w:cs="宋体"/>
          <w:b/>
          <w:sz w:val="50"/>
        </w:rPr>
        <w:t>目录</w:t>
      </w:r>
    </w:p>
    <w:p w14:paraId="3E5371F2">
      <w:pPr>
        <w:ind w:firstLine="1004" w:firstLineChars="200"/>
        <w:jc w:val="left"/>
        <w:rPr>
          <w:rFonts w:ascii="宋体" w:hAnsi="宋体" w:eastAsia="宋体" w:cs="宋体"/>
          <w:b/>
          <w:sz w:val="50"/>
        </w:rPr>
      </w:pPr>
    </w:p>
    <w:p w14:paraId="4775E3CA">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第一部分   响应函</w:t>
      </w:r>
    </w:p>
    <w:p w14:paraId="17ABD888">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第二部分   响应一览表 </w:t>
      </w:r>
    </w:p>
    <w:p w14:paraId="156E27E4">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   商务及技术响应说明</w:t>
      </w:r>
    </w:p>
    <w:p w14:paraId="359C00ED">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第四部分   供应商资格要求</w:t>
      </w:r>
    </w:p>
    <w:p w14:paraId="2F929D7B">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第五部分   技术与服务方案</w:t>
      </w:r>
    </w:p>
    <w:p w14:paraId="57D228DA">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14:paraId="6E1FC1D1">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业绩一览表</w:t>
      </w:r>
    </w:p>
    <w:p w14:paraId="27425085">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第八部分   供应商有必要说明的其他问题</w:t>
      </w:r>
    </w:p>
    <w:p w14:paraId="711AB84D">
      <w:pPr>
        <w:snapToGrid w:val="0"/>
        <w:spacing w:line="480" w:lineRule="auto"/>
        <w:ind w:firstLine="562" w:firstLineChars="200"/>
        <w:jc w:val="left"/>
        <w:rPr>
          <w:rFonts w:ascii="宋体" w:hAnsi="宋体" w:eastAsia="宋体" w:cs="宋体"/>
          <w:b/>
          <w:bCs/>
          <w:sz w:val="28"/>
          <w:szCs w:val="28"/>
        </w:rPr>
      </w:pPr>
    </w:p>
    <w:p w14:paraId="3A44C8FF">
      <w:pPr>
        <w:pStyle w:val="3"/>
        <w:pageBreakBefore/>
        <w:rPr>
          <w:rFonts w:ascii="宋体" w:hAnsi="宋体" w:cs="宋体"/>
          <w:sz w:val="44"/>
          <w:szCs w:val="44"/>
        </w:rPr>
      </w:pPr>
      <w:bookmarkStart w:id="69" w:name="_Toc2536"/>
      <w:bookmarkStart w:id="70" w:name="_Toc18468"/>
      <w:r>
        <w:rPr>
          <w:rFonts w:hint="eastAsia" w:ascii="宋体" w:hAnsi="宋体" w:cs="宋体"/>
          <w:sz w:val="44"/>
          <w:szCs w:val="44"/>
        </w:rPr>
        <w:t>第一部分 响应函</w:t>
      </w:r>
      <w:bookmarkEnd w:id="69"/>
      <w:bookmarkEnd w:id="70"/>
    </w:p>
    <w:p w14:paraId="1902CCD1">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14:paraId="689038D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ZMZB2025SNY-120R</w:t>
      </w:r>
      <w:r>
        <w:rPr>
          <w:rFonts w:hint="eastAsia" w:ascii="宋体" w:hAnsi="宋体" w:eastAsia="宋体" w:cs="宋体"/>
          <w:sz w:val="24"/>
        </w:rPr>
        <w:t>的竞争性谈判文件，经详细研究，我公司决定参加本次谈判活动。为此，我方郑重承诺以下诸点，并负法律责任。</w:t>
      </w:r>
    </w:p>
    <w:p w14:paraId="2CD8C58C">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一、愿意按照竞争性谈判文件中的全部要求，提供合格的产品及完善的技术服务，履行合同的责任和义务。</w:t>
      </w:r>
    </w:p>
    <w:p w14:paraId="00E75718">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二、我方提交的响应文件正本____份、副本____份，电子文档____份、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14:paraId="752F3F71">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三、我们已详细阅读了竞争性谈判文件，完全理解并同意放弃提出含糊不清和误解问题的权利。</w:t>
      </w:r>
    </w:p>
    <w:p w14:paraId="2972F9E4">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四、如果我方在谈判后到规定的响应有效期内撤回响应文件及承诺，我们的保证金将被对方没收。</w:t>
      </w:r>
    </w:p>
    <w:p w14:paraId="47AA0605">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五、同意向贵方提供贵方可能要求的、与本次谈判有关的任何证据资料。</w:t>
      </w:r>
    </w:p>
    <w:p w14:paraId="4B61E231">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六、我方承诺响应有效期为谈判之日起日历日内有效。</w:t>
      </w:r>
    </w:p>
    <w:p w14:paraId="5760D871">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七、所有关于本次谈判的函电，请按下列地址联系：</w:t>
      </w:r>
    </w:p>
    <w:p w14:paraId="43BD980B">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14:paraId="4CABA18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14:paraId="79E4C172">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14:paraId="4D3EE99D">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14:paraId="120D7F4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账    号：________________________</w:t>
      </w:r>
    </w:p>
    <w:p w14:paraId="3532556F">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14:paraId="595E93DB">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14:paraId="0C987335">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14:paraId="4E6E19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7FE52D75">
      <w:pPr>
        <w:widowControl/>
        <w:spacing w:line="460" w:lineRule="exact"/>
        <w:ind w:firstLine="720" w:firstLineChars="200"/>
        <w:jc w:val="left"/>
        <w:rPr>
          <w:rFonts w:ascii="宋体" w:hAnsi="宋体" w:eastAsia="宋体" w:cs="宋体"/>
          <w:sz w:val="36"/>
          <w:szCs w:val="36"/>
          <w:u w:val="single"/>
        </w:rPr>
      </w:pPr>
    </w:p>
    <w:p w14:paraId="65895795">
      <w:pPr>
        <w:pStyle w:val="3"/>
        <w:rPr>
          <w:rFonts w:ascii="宋体" w:hAnsi="宋体" w:cs="宋体"/>
        </w:rPr>
        <w:sectPr>
          <w:footerReference r:id="rId10" w:type="default"/>
          <w:pgSz w:w="11906" w:h="16838"/>
          <w:pgMar w:top="1440" w:right="1803" w:bottom="1440" w:left="1803" w:header="851" w:footer="992" w:gutter="0"/>
          <w:cols w:space="720" w:num="1"/>
          <w:docGrid w:type="lines" w:linePitch="319" w:charSpace="0"/>
        </w:sectPr>
      </w:pPr>
      <w:bookmarkStart w:id="71" w:name="_Toc28494"/>
    </w:p>
    <w:p w14:paraId="1A55CF4B">
      <w:pPr>
        <w:pStyle w:val="3"/>
        <w:pageBreakBefore/>
        <w:rPr>
          <w:rFonts w:ascii="宋体" w:hAnsi="宋体" w:cs="宋体"/>
          <w:sz w:val="44"/>
          <w:szCs w:val="44"/>
        </w:rPr>
      </w:pPr>
      <w:bookmarkStart w:id="72" w:name="_Toc16299"/>
      <w:r>
        <w:rPr>
          <w:rFonts w:hint="eastAsia" w:ascii="宋体" w:hAnsi="宋体" w:cs="宋体"/>
          <w:sz w:val="44"/>
          <w:szCs w:val="44"/>
        </w:rPr>
        <w:t>第二部分</w:t>
      </w:r>
      <w:bookmarkEnd w:id="71"/>
      <w:r>
        <w:rPr>
          <w:rFonts w:hint="eastAsia" w:ascii="宋体" w:hAnsi="宋体" w:cs="宋体"/>
          <w:sz w:val="44"/>
          <w:szCs w:val="44"/>
        </w:rPr>
        <w:t xml:space="preserve"> 响应一览表</w:t>
      </w:r>
      <w:bookmarkEnd w:id="72"/>
    </w:p>
    <w:p w14:paraId="7D86FB52">
      <w:pPr>
        <w:widowControl/>
        <w:wordWrap w:val="0"/>
        <w:spacing w:line="480" w:lineRule="auto"/>
        <w:jc w:val="left"/>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rPr>
        <w:t>陕西能源职业技术学院</w:t>
      </w:r>
      <w:r>
        <w:rPr>
          <w:rFonts w:hint="eastAsia" w:ascii="宋体" w:hAnsi="宋体" w:eastAsia="宋体" w:cs="宋体"/>
          <w:sz w:val="24"/>
          <w:u w:val="single"/>
          <w:lang w:eastAsia="zh-CN"/>
        </w:rPr>
        <w:t>大学生活动中心灯光音响系统改造项目（二次）</w:t>
      </w:r>
    </w:p>
    <w:p w14:paraId="6945DE6F">
      <w:pPr>
        <w:widowControl/>
        <w:wordWrap w:val="0"/>
        <w:spacing w:line="480" w:lineRule="auto"/>
        <w:jc w:val="left"/>
        <w:rPr>
          <w:rFonts w:ascii="宋体" w:hAnsi="宋体" w:eastAsia="宋体" w:cs="宋体"/>
          <w:sz w:val="24"/>
        </w:rPr>
      </w:pPr>
      <w:r>
        <w:rPr>
          <w:rFonts w:hint="eastAsia" w:ascii="宋体" w:hAnsi="宋体" w:eastAsia="宋体" w:cs="宋体"/>
          <w:sz w:val="24"/>
        </w:rPr>
        <w:t>单    位：元</w:t>
      </w:r>
    </w:p>
    <w:tbl>
      <w:tblPr>
        <w:tblStyle w:val="24"/>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156"/>
      </w:tblGrid>
      <w:tr w14:paraId="2363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3209" w:type="dxa"/>
            <w:tcBorders>
              <w:tl2br w:val="single" w:color="auto" w:sz="4" w:space="0"/>
            </w:tcBorders>
            <w:noWrap/>
            <w:vAlign w:val="center"/>
          </w:tcPr>
          <w:p w14:paraId="75F9F2CD">
            <w:pPr>
              <w:kinsoku w:val="0"/>
              <w:spacing w:line="360" w:lineRule="auto"/>
              <w:jc w:val="right"/>
              <w:rPr>
                <w:rFonts w:ascii="宋体" w:hAnsi="宋体" w:eastAsia="宋体" w:cs="宋体"/>
                <w:sz w:val="24"/>
                <w:szCs w:val="24"/>
              </w:rPr>
            </w:pPr>
            <w:r>
              <w:rPr>
                <w:rFonts w:hint="eastAsia" w:ascii="宋体" w:hAnsi="宋体" w:eastAsia="宋体" w:cs="宋体"/>
                <w:sz w:val="24"/>
                <w:szCs w:val="24"/>
              </w:rPr>
              <w:t>报价内容</w:t>
            </w:r>
          </w:p>
          <w:p w14:paraId="3590668E">
            <w:pPr>
              <w:kinsoku w:val="0"/>
              <w:spacing w:line="360" w:lineRule="auto"/>
              <w:jc w:val="center"/>
              <w:rPr>
                <w:rFonts w:ascii="宋体" w:hAnsi="宋体" w:eastAsia="宋体" w:cs="宋体"/>
                <w:sz w:val="24"/>
                <w:szCs w:val="24"/>
              </w:rPr>
            </w:pPr>
          </w:p>
          <w:p w14:paraId="25D6A5A1">
            <w:pPr>
              <w:kinsoku w:val="0"/>
              <w:spacing w:line="360" w:lineRule="auto"/>
              <w:rPr>
                <w:rFonts w:ascii="宋体" w:hAnsi="宋体" w:eastAsia="宋体" w:cs="宋体"/>
                <w:sz w:val="24"/>
                <w:szCs w:val="24"/>
              </w:rPr>
            </w:pPr>
            <w:r>
              <w:rPr>
                <w:rFonts w:hint="eastAsia" w:ascii="宋体" w:hAnsi="宋体" w:eastAsia="宋体" w:cs="宋体"/>
                <w:sz w:val="24"/>
                <w:szCs w:val="24"/>
              </w:rPr>
              <w:t>投标内容</w:t>
            </w:r>
          </w:p>
        </w:tc>
        <w:tc>
          <w:tcPr>
            <w:tcW w:w="5156" w:type="dxa"/>
            <w:noWrap/>
            <w:vAlign w:val="center"/>
          </w:tcPr>
          <w:p w14:paraId="5D94F283">
            <w:pPr>
              <w:kinsoku w:val="0"/>
              <w:spacing w:line="360" w:lineRule="auto"/>
              <w:jc w:val="center"/>
              <w:rPr>
                <w:rFonts w:ascii="宋体" w:hAnsi="宋体" w:eastAsia="宋体" w:cs="宋体"/>
                <w:sz w:val="24"/>
                <w:szCs w:val="24"/>
              </w:rPr>
            </w:pPr>
            <w:r>
              <w:rPr>
                <w:rFonts w:hint="eastAsia" w:ascii="宋体" w:hAnsi="宋体" w:eastAsia="宋体" w:cs="宋体"/>
                <w:sz w:val="24"/>
                <w:szCs w:val="24"/>
              </w:rPr>
              <w:t>总报价</w:t>
            </w:r>
          </w:p>
          <w:p w14:paraId="5B8AAF60">
            <w:pPr>
              <w:kinsoku w:val="0"/>
              <w:spacing w:line="360" w:lineRule="auto"/>
              <w:jc w:val="center"/>
              <w:rPr>
                <w:rFonts w:ascii="宋体" w:hAnsi="宋体" w:eastAsia="宋体" w:cs="宋体"/>
                <w:sz w:val="24"/>
                <w:szCs w:val="24"/>
              </w:rPr>
            </w:pPr>
            <w:r>
              <w:rPr>
                <w:rFonts w:hint="eastAsia" w:ascii="宋体" w:hAnsi="宋体" w:eastAsia="宋体" w:cs="宋体"/>
                <w:sz w:val="24"/>
                <w:szCs w:val="24"/>
              </w:rPr>
              <w:t>（元）</w:t>
            </w:r>
          </w:p>
          <w:p w14:paraId="67695885">
            <w:pPr>
              <w:kinsoku w:val="0"/>
              <w:spacing w:line="360" w:lineRule="auto"/>
              <w:jc w:val="center"/>
              <w:rPr>
                <w:rFonts w:ascii="宋体" w:hAnsi="宋体" w:eastAsia="宋体" w:cs="宋体"/>
                <w:sz w:val="24"/>
                <w:szCs w:val="24"/>
              </w:rPr>
            </w:pPr>
          </w:p>
        </w:tc>
      </w:tr>
      <w:tr w14:paraId="62A2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3209" w:type="dxa"/>
            <w:noWrap/>
            <w:vAlign w:val="center"/>
          </w:tcPr>
          <w:p w14:paraId="275FA32A">
            <w:pPr>
              <w:kinsoku w:val="0"/>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rPr>
              <w:t>陕西能源职业技术学院</w:t>
            </w:r>
            <w:r>
              <w:rPr>
                <w:rFonts w:hint="eastAsia" w:ascii="宋体" w:hAnsi="宋体" w:eastAsia="宋体" w:cs="宋体"/>
                <w:sz w:val="24"/>
                <w:szCs w:val="24"/>
                <w:lang w:eastAsia="zh-CN"/>
              </w:rPr>
              <w:t>大学生活动中心灯光音响系统改造项目（二次）</w:t>
            </w:r>
          </w:p>
        </w:tc>
        <w:tc>
          <w:tcPr>
            <w:tcW w:w="5156" w:type="dxa"/>
            <w:noWrap/>
            <w:vAlign w:val="center"/>
          </w:tcPr>
          <w:p w14:paraId="528F2EFB">
            <w:pPr>
              <w:kinsoku w:val="0"/>
              <w:spacing w:line="480" w:lineRule="auto"/>
              <w:jc w:val="left"/>
              <w:rPr>
                <w:rFonts w:ascii="宋体" w:hAnsi="宋体" w:eastAsia="宋体" w:cs="宋体"/>
                <w:sz w:val="24"/>
                <w:szCs w:val="24"/>
              </w:rPr>
            </w:pPr>
            <w:r>
              <w:rPr>
                <w:rFonts w:hint="eastAsia" w:ascii="宋体" w:hAnsi="宋体" w:eastAsia="宋体" w:cs="宋体"/>
                <w:sz w:val="24"/>
                <w:szCs w:val="24"/>
              </w:rPr>
              <w:t>（大写）</w:t>
            </w:r>
          </w:p>
          <w:p w14:paraId="3646626F">
            <w:pPr>
              <w:kinsoku w:val="0"/>
              <w:spacing w:line="480" w:lineRule="auto"/>
              <w:jc w:val="left"/>
              <w:rPr>
                <w:rFonts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w:t>
            </w:r>
          </w:p>
        </w:tc>
      </w:tr>
      <w:tr w14:paraId="3620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365" w:type="dxa"/>
            <w:gridSpan w:val="2"/>
            <w:noWrap/>
            <w:vAlign w:val="center"/>
          </w:tcPr>
          <w:p w14:paraId="34CAC117">
            <w:pPr>
              <w:kinsoku w:val="0"/>
              <w:spacing w:line="480" w:lineRule="auto"/>
              <w:jc w:val="left"/>
              <w:rPr>
                <w:rFonts w:ascii="宋体" w:hAnsi="宋体" w:eastAsia="宋体" w:cs="宋体"/>
                <w:sz w:val="24"/>
                <w:szCs w:val="24"/>
              </w:rPr>
            </w:pPr>
            <w:r>
              <w:rPr>
                <w:rFonts w:hint="eastAsia" w:ascii="宋体" w:hAnsi="宋体" w:eastAsia="宋体" w:cs="宋体"/>
                <w:sz w:val="24"/>
                <w:szCs w:val="24"/>
              </w:rPr>
              <w:t>备注：表内报价内容以元为单位，精确到小数点后两位；</w:t>
            </w:r>
          </w:p>
        </w:tc>
      </w:tr>
    </w:tbl>
    <w:p w14:paraId="4FE07A48">
      <w:pPr>
        <w:widowControl/>
        <w:tabs>
          <w:tab w:val="left" w:pos="4000"/>
        </w:tabs>
        <w:snapToGrid w:val="0"/>
        <w:spacing w:line="300" w:lineRule="auto"/>
        <w:jc w:val="left"/>
        <w:rPr>
          <w:rFonts w:ascii="宋体" w:hAnsi="宋体" w:cs="宋体"/>
          <w:b/>
          <w:bCs/>
          <w:spacing w:val="20"/>
          <w:kern w:val="0"/>
          <w:sz w:val="24"/>
          <w:szCs w:val="24"/>
        </w:rPr>
      </w:pPr>
    </w:p>
    <w:p w14:paraId="54DBFD3E">
      <w:pPr>
        <w:widowControl/>
        <w:tabs>
          <w:tab w:val="left" w:pos="4000"/>
        </w:tabs>
        <w:snapToGrid w:val="0"/>
        <w:spacing w:line="300" w:lineRule="auto"/>
        <w:jc w:val="left"/>
        <w:rPr>
          <w:rFonts w:ascii="宋体" w:hAnsi="宋体" w:cs="宋体"/>
          <w:b/>
          <w:bCs/>
          <w:spacing w:val="20"/>
          <w:kern w:val="0"/>
          <w:sz w:val="24"/>
          <w:szCs w:val="24"/>
        </w:rPr>
      </w:pPr>
    </w:p>
    <w:p w14:paraId="60E47719">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14:paraId="4AEAA6F9">
      <w:pPr>
        <w:adjustRightInd w:val="0"/>
        <w:snapToGrid w:val="0"/>
        <w:spacing w:line="480" w:lineRule="auto"/>
        <w:jc w:val="left"/>
        <w:rPr>
          <w:rFonts w:ascii="宋体" w:hAnsi="宋体" w:eastAsia="宋体" w:cs="宋体"/>
          <w:sz w:val="24"/>
        </w:rPr>
      </w:pPr>
    </w:p>
    <w:p w14:paraId="6F5160DD">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0A32A5A7">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5B5D7114">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日    期：_____年_____月_____日</w:t>
      </w:r>
    </w:p>
    <w:p w14:paraId="498C2699">
      <w:pPr>
        <w:rPr>
          <w:rFonts w:ascii="宋体" w:hAnsi="宋体" w:eastAsia="宋体" w:cs="宋体"/>
        </w:rPr>
      </w:pPr>
    </w:p>
    <w:p w14:paraId="3ECCB5B9">
      <w:pPr>
        <w:pStyle w:val="11"/>
      </w:pPr>
    </w:p>
    <w:p w14:paraId="4DB047A8">
      <w:pPr>
        <w:pStyle w:val="11"/>
      </w:pPr>
    </w:p>
    <w:p w14:paraId="2F193830">
      <w:pPr>
        <w:pStyle w:val="11"/>
      </w:pPr>
    </w:p>
    <w:p w14:paraId="1C041A11">
      <w:pPr>
        <w:pStyle w:val="11"/>
      </w:pPr>
    </w:p>
    <w:p w14:paraId="57662963">
      <w:pPr>
        <w:pStyle w:val="33"/>
        <w:sectPr>
          <w:pgSz w:w="11906" w:h="16838"/>
          <w:pgMar w:top="1440" w:right="1803" w:bottom="1440" w:left="1803" w:header="851" w:footer="992" w:gutter="0"/>
          <w:cols w:space="720" w:num="1"/>
          <w:docGrid w:type="lines" w:linePitch="319" w:charSpace="0"/>
        </w:sectPr>
      </w:pPr>
      <w:bookmarkStart w:id="73" w:name="_Toc2154417"/>
      <w:r>
        <w:br w:type="page"/>
      </w:r>
      <w:bookmarkEnd w:id="73"/>
    </w:p>
    <w:p w14:paraId="65171C25">
      <w:pPr>
        <w:jc w:val="center"/>
        <w:rPr>
          <w:rFonts w:ascii="宋体" w:hAnsi="宋体" w:cs="宋体"/>
          <w:sz w:val="36"/>
          <w:szCs w:val="36"/>
        </w:rPr>
      </w:pPr>
      <w:bookmarkStart w:id="74" w:name="_Toc14444"/>
      <w:bookmarkStart w:id="75" w:name="OLE_LINK1"/>
      <w:bookmarkStart w:id="76" w:name="_Toc11309"/>
      <w:r>
        <w:rPr>
          <w:rFonts w:hint="eastAsia" w:ascii="宋体" w:hAnsi="宋体" w:cs="宋体"/>
          <w:sz w:val="36"/>
          <w:szCs w:val="36"/>
        </w:rPr>
        <w:t>分项报价表</w:t>
      </w:r>
      <w:bookmarkEnd w:id="74"/>
    </w:p>
    <w:p w14:paraId="48E903DF">
      <w:pPr>
        <w:pStyle w:val="9"/>
        <w:rPr>
          <w:rFonts w:hint="eastAsia" w:ascii="宋体" w:hAnsi="宋体" w:cs="宋体" w:eastAsiaTheme="minorEastAsia"/>
          <w:sz w:val="24"/>
          <w:lang w:eastAsia="zh-CN"/>
        </w:rPr>
      </w:pPr>
      <w:r>
        <w:rPr>
          <w:rFonts w:hint="eastAsia" w:ascii="宋体" w:hAnsi="宋体" w:cs="宋体"/>
          <w:sz w:val="24"/>
        </w:rPr>
        <w:t>项目名称：陕西能源职业技术学院</w:t>
      </w:r>
      <w:r>
        <w:rPr>
          <w:rFonts w:hint="eastAsia" w:ascii="宋体" w:hAnsi="宋体" w:cs="宋体"/>
          <w:sz w:val="24"/>
          <w:lang w:eastAsia="zh-CN"/>
        </w:rPr>
        <w:t>大学生活动中心灯光音响系统改造项目（二次）</w:t>
      </w:r>
    </w:p>
    <w:p w14:paraId="502C5526">
      <w:pPr>
        <w:pStyle w:val="9"/>
        <w:rPr>
          <w:rFonts w:hint="eastAsia" w:eastAsiaTheme="minorEastAsia"/>
          <w:lang w:eastAsia="zh-CN"/>
        </w:rPr>
      </w:pPr>
      <w:r>
        <w:rPr>
          <w:rFonts w:hint="eastAsia" w:ascii="宋体" w:hAnsi="宋体" w:cs="宋体"/>
          <w:sz w:val="24"/>
        </w:rPr>
        <w:t>项目编号：</w:t>
      </w:r>
      <w:r>
        <w:rPr>
          <w:rFonts w:hint="eastAsia" w:ascii="宋体" w:hAnsi="宋体" w:cs="宋体"/>
          <w:sz w:val="24"/>
          <w:lang w:eastAsia="zh-CN"/>
        </w:rPr>
        <w:t>ZMZB2025SNY-120R</w:t>
      </w:r>
    </w:p>
    <w:tbl>
      <w:tblPr>
        <w:tblStyle w:val="24"/>
        <w:tblpPr w:leftFromText="180" w:rightFromText="180" w:vertAnchor="text" w:horzAnchor="page" w:tblpX="1534" w:tblpY="373"/>
        <w:tblOverlap w:val="never"/>
        <w:tblW w:w="8699" w:type="dxa"/>
        <w:tblInd w:w="0" w:type="dxa"/>
        <w:tblLayout w:type="fixed"/>
        <w:tblCellMar>
          <w:top w:w="0" w:type="dxa"/>
          <w:left w:w="28" w:type="dxa"/>
          <w:bottom w:w="0" w:type="dxa"/>
          <w:right w:w="28" w:type="dxa"/>
        </w:tblCellMar>
      </w:tblPr>
      <w:tblGrid>
        <w:gridCol w:w="979"/>
        <w:gridCol w:w="452"/>
        <w:gridCol w:w="673"/>
        <w:gridCol w:w="502"/>
        <w:gridCol w:w="821"/>
        <w:gridCol w:w="1339"/>
        <w:gridCol w:w="824"/>
        <w:gridCol w:w="1154"/>
        <w:gridCol w:w="983"/>
        <w:gridCol w:w="972"/>
      </w:tblGrid>
      <w:tr w14:paraId="71F295AF">
        <w:tblPrEx>
          <w:tblCellMar>
            <w:top w:w="0" w:type="dxa"/>
            <w:left w:w="28" w:type="dxa"/>
            <w:bottom w:w="0" w:type="dxa"/>
            <w:right w:w="28" w:type="dxa"/>
          </w:tblCellMar>
        </w:tblPrEx>
        <w:trPr>
          <w:trHeight w:val="875" w:hRule="atLeast"/>
        </w:trPr>
        <w:tc>
          <w:tcPr>
            <w:tcW w:w="979" w:type="dxa"/>
            <w:vMerge w:val="restart"/>
            <w:tcBorders>
              <w:top w:val="single" w:color="auto" w:sz="6" w:space="0"/>
              <w:left w:val="single" w:color="auto" w:sz="6" w:space="0"/>
              <w:right w:val="single" w:color="auto" w:sz="4" w:space="0"/>
            </w:tcBorders>
            <w:vAlign w:val="center"/>
          </w:tcPr>
          <w:p w14:paraId="2CF8A86C">
            <w:pPr>
              <w:jc w:val="left"/>
              <w:rPr>
                <w:rFonts w:ascii="宋体" w:hAnsi="宋体" w:eastAsia="宋体" w:cs="宋体"/>
                <w:sz w:val="24"/>
                <w:szCs w:val="24"/>
              </w:rPr>
            </w:pPr>
            <w:r>
              <w:rPr>
                <w:rFonts w:hint="eastAsia" w:ascii="宋体" w:hAnsi="宋体" w:eastAsia="宋体" w:cs="宋体"/>
                <w:sz w:val="24"/>
                <w:szCs w:val="24"/>
              </w:rPr>
              <w:t>产品</w:t>
            </w:r>
          </w:p>
          <w:p w14:paraId="5901C56B">
            <w:pPr>
              <w:jc w:val="left"/>
              <w:rPr>
                <w:rFonts w:ascii="宋体" w:hAnsi="宋体" w:eastAsia="宋体" w:cs="宋体"/>
                <w:sz w:val="24"/>
                <w:szCs w:val="24"/>
              </w:rPr>
            </w:pPr>
            <w:r>
              <w:rPr>
                <w:rFonts w:hint="eastAsia" w:ascii="宋体" w:hAnsi="宋体" w:eastAsia="宋体" w:cs="宋体"/>
                <w:sz w:val="24"/>
                <w:szCs w:val="24"/>
              </w:rPr>
              <w:t>费用</w:t>
            </w:r>
          </w:p>
        </w:tc>
        <w:tc>
          <w:tcPr>
            <w:tcW w:w="452" w:type="dxa"/>
            <w:tcBorders>
              <w:top w:val="single" w:color="auto" w:sz="6" w:space="0"/>
              <w:left w:val="single" w:color="auto" w:sz="4" w:space="0"/>
              <w:bottom w:val="single" w:color="auto" w:sz="6" w:space="0"/>
            </w:tcBorders>
            <w:vAlign w:val="center"/>
          </w:tcPr>
          <w:p w14:paraId="6460E79C">
            <w:pPr>
              <w:spacing w:after="120"/>
              <w:jc w:val="center"/>
              <w:rPr>
                <w:rFonts w:ascii="宋体" w:hAnsi="宋体" w:eastAsia="宋体" w:cs="宋体"/>
                <w:sz w:val="24"/>
                <w:szCs w:val="24"/>
              </w:rPr>
            </w:pPr>
            <w:r>
              <w:rPr>
                <w:rFonts w:hint="eastAsia" w:ascii="宋体" w:hAnsi="宋体" w:eastAsia="宋体" w:cs="宋体"/>
                <w:sz w:val="24"/>
                <w:szCs w:val="24"/>
              </w:rPr>
              <w:t>序号</w:t>
            </w:r>
          </w:p>
        </w:tc>
        <w:tc>
          <w:tcPr>
            <w:tcW w:w="673" w:type="dxa"/>
            <w:tcBorders>
              <w:top w:val="single" w:color="auto" w:sz="6" w:space="0"/>
              <w:left w:val="single" w:color="auto" w:sz="6" w:space="0"/>
              <w:bottom w:val="single" w:color="auto" w:sz="6" w:space="0"/>
              <w:right w:val="single" w:color="auto" w:sz="6" w:space="0"/>
            </w:tcBorders>
            <w:vAlign w:val="center"/>
          </w:tcPr>
          <w:p w14:paraId="4C59D1C4">
            <w:pPr>
              <w:spacing w:after="120"/>
              <w:jc w:val="center"/>
              <w:rPr>
                <w:rFonts w:ascii="宋体" w:hAnsi="宋体" w:eastAsia="宋体" w:cs="宋体"/>
                <w:sz w:val="24"/>
                <w:szCs w:val="24"/>
              </w:rPr>
            </w:pPr>
            <w:r>
              <w:rPr>
                <w:rFonts w:hint="eastAsia" w:ascii="宋体" w:hAnsi="宋体" w:eastAsia="宋体" w:cs="宋体"/>
                <w:sz w:val="24"/>
                <w:szCs w:val="24"/>
              </w:rPr>
              <w:t>名称</w:t>
            </w:r>
          </w:p>
        </w:tc>
        <w:tc>
          <w:tcPr>
            <w:tcW w:w="502" w:type="dxa"/>
            <w:tcBorders>
              <w:top w:val="single" w:color="auto" w:sz="6" w:space="0"/>
              <w:left w:val="single" w:color="auto" w:sz="6" w:space="0"/>
              <w:bottom w:val="single" w:color="auto" w:sz="6" w:space="0"/>
              <w:right w:val="single" w:color="auto" w:sz="4" w:space="0"/>
            </w:tcBorders>
            <w:vAlign w:val="center"/>
          </w:tcPr>
          <w:p w14:paraId="4426E0DB">
            <w:pPr>
              <w:spacing w:after="120"/>
              <w:jc w:val="center"/>
              <w:rPr>
                <w:rFonts w:ascii="宋体" w:hAnsi="宋体" w:eastAsia="宋体" w:cs="宋体"/>
                <w:sz w:val="24"/>
                <w:szCs w:val="24"/>
              </w:rPr>
            </w:pPr>
            <w:r>
              <w:rPr>
                <w:rFonts w:hint="eastAsia" w:ascii="宋体" w:hAnsi="宋体" w:eastAsia="宋体" w:cs="宋体"/>
                <w:sz w:val="24"/>
                <w:szCs w:val="24"/>
              </w:rPr>
              <w:t>品牌</w:t>
            </w:r>
          </w:p>
        </w:tc>
        <w:tc>
          <w:tcPr>
            <w:tcW w:w="821" w:type="dxa"/>
            <w:tcBorders>
              <w:top w:val="single" w:color="auto" w:sz="6" w:space="0"/>
              <w:left w:val="single" w:color="auto" w:sz="4" w:space="0"/>
              <w:bottom w:val="single" w:color="auto" w:sz="6" w:space="0"/>
              <w:right w:val="single" w:color="auto" w:sz="6" w:space="0"/>
            </w:tcBorders>
            <w:vAlign w:val="center"/>
          </w:tcPr>
          <w:p w14:paraId="2DA8784C">
            <w:pPr>
              <w:spacing w:after="120"/>
              <w:jc w:val="center"/>
              <w:rPr>
                <w:rFonts w:ascii="宋体" w:hAnsi="宋体" w:eastAsia="宋体" w:cs="宋体"/>
                <w:sz w:val="24"/>
                <w:szCs w:val="24"/>
              </w:rPr>
            </w:pPr>
            <w:r>
              <w:rPr>
                <w:rFonts w:hint="eastAsia" w:ascii="宋体" w:hAnsi="宋体" w:eastAsia="宋体" w:cs="宋体"/>
                <w:sz w:val="24"/>
                <w:szCs w:val="24"/>
              </w:rPr>
              <w:t>型号和规格</w:t>
            </w:r>
          </w:p>
        </w:tc>
        <w:tc>
          <w:tcPr>
            <w:tcW w:w="1339" w:type="dxa"/>
            <w:tcBorders>
              <w:top w:val="single" w:color="auto" w:sz="6" w:space="0"/>
              <w:left w:val="single" w:color="auto" w:sz="6" w:space="0"/>
              <w:bottom w:val="single" w:color="auto" w:sz="6" w:space="0"/>
              <w:right w:val="single" w:color="auto" w:sz="6" w:space="0"/>
            </w:tcBorders>
            <w:vAlign w:val="center"/>
          </w:tcPr>
          <w:p w14:paraId="006AD267">
            <w:pPr>
              <w:spacing w:beforeLines="50" w:after="120"/>
              <w:jc w:val="center"/>
              <w:rPr>
                <w:rFonts w:ascii="宋体" w:hAnsi="宋体" w:eastAsia="宋体" w:cs="宋体"/>
                <w:sz w:val="24"/>
                <w:szCs w:val="24"/>
              </w:rPr>
            </w:pPr>
            <w:r>
              <w:rPr>
                <w:rFonts w:hint="eastAsia" w:ascii="宋体" w:hAnsi="宋体" w:eastAsia="宋体" w:cs="宋体"/>
                <w:sz w:val="24"/>
                <w:szCs w:val="24"/>
              </w:rPr>
              <w:t>原产地及制造厂名</w:t>
            </w:r>
          </w:p>
        </w:tc>
        <w:tc>
          <w:tcPr>
            <w:tcW w:w="824" w:type="dxa"/>
            <w:tcBorders>
              <w:top w:val="single" w:color="auto" w:sz="6" w:space="0"/>
              <w:left w:val="single" w:color="auto" w:sz="6" w:space="0"/>
              <w:bottom w:val="single" w:color="auto" w:sz="6" w:space="0"/>
              <w:right w:val="single" w:color="auto" w:sz="6" w:space="0"/>
            </w:tcBorders>
            <w:vAlign w:val="center"/>
          </w:tcPr>
          <w:p w14:paraId="59DFAE6A">
            <w:pPr>
              <w:spacing w:after="120"/>
              <w:jc w:val="center"/>
              <w:rPr>
                <w:rFonts w:ascii="宋体" w:hAnsi="宋体" w:eastAsia="宋体" w:cs="宋体"/>
                <w:sz w:val="24"/>
                <w:szCs w:val="24"/>
              </w:rPr>
            </w:pPr>
            <w:r>
              <w:rPr>
                <w:rFonts w:hint="eastAsia" w:ascii="宋体" w:hAnsi="宋体" w:eastAsia="宋体" w:cs="宋体"/>
                <w:sz w:val="24"/>
                <w:szCs w:val="24"/>
              </w:rPr>
              <w:t>数量</w:t>
            </w:r>
          </w:p>
        </w:tc>
        <w:tc>
          <w:tcPr>
            <w:tcW w:w="1154" w:type="dxa"/>
            <w:tcBorders>
              <w:top w:val="single" w:color="auto" w:sz="6" w:space="0"/>
              <w:left w:val="single" w:color="auto" w:sz="6" w:space="0"/>
              <w:bottom w:val="single" w:color="auto" w:sz="6" w:space="0"/>
              <w:right w:val="single" w:color="auto" w:sz="6" w:space="0"/>
            </w:tcBorders>
            <w:vAlign w:val="center"/>
          </w:tcPr>
          <w:p w14:paraId="40613450">
            <w:pPr>
              <w:spacing w:after="120"/>
              <w:jc w:val="center"/>
              <w:rPr>
                <w:rFonts w:ascii="宋体" w:hAnsi="宋体" w:eastAsia="宋体" w:cs="宋体"/>
                <w:bCs/>
                <w:sz w:val="24"/>
                <w:szCs w:val="24"/>
              </w:rPr>
            </w:pPr>
            <w:r>
              <w:rPr>
                <w:rFonts w:hint="eastAsia" w:ascii="宋体" w:hAnsi="宋体" w:eastAsia="宋体" w:cs="宋体"/>
                <w:sz w:val="24"/>
                <w:szCs w:val="24"/>
              </w:rPr>
              <w:t>单位</w:t>
            </w:r>
          </w:p>
        </w:tc>
        <w:tc>
          <w:tcPr>
            <w:tcW w:w="983" w:type="dxa"/>
            <w:tcBorders>
              <w:top w:val="single" w:color="auto" w:sz="6" w:space="0"/>
              <w:left w:val="single" w:color="auto" w:sz="6" w:space="0"/>
              <w:bottom w:val="single" w:color="auto" w:sz="6" w:space="0"/>
              <w:right w:val="single" w:color="auto" w:sz="6" w:space="0"/>
            </w:tcBorders>
            <w:vAlign w:val="center"/>
          </w:tcPr>
          <w:p w14:paraId="693A34B5">
            <w:pPr>
              <w:spacing w:after="120"/>
              <w:jc w:val="center"/>
              <w:rPr>
                <w:rFonts w:ascii="宋体" w:hAnsi="宋体" w:eastAsia="宋体" w:cs="宋体"/>
                <w:sz w:val="24"/>
                <w:szCs w:val="24"/>
              </w:rPr>
            </w:pPr>
            <w:r>
              <w:rPr>
                <w:rFonts w:hint="eastAsia" w:ascii="宋体" w:hAnsi="宋体" w:eastAsia="宋体" w:cs="宋体"/>
                <w:sz w:val="24"/>
                <w:szCs w:val="24"/>
              </w:rPr>
              <w:t>单价</w:t>
            </w:r>
          </w:p>
          <w:p w14:paraId="7C81BC2C">
            <w:pPr>
              <w:spacing w:after="120"/>
              <w:jc w:val="center"/>
              <w:rPr>
                <w:rFonts w:ascii="宋体" w:hAnsi="宋体" w:eastAsia="宋体" w:cs="宋体"/>
                <w:bCs/>
                <w:sz w:val="24"/>
                <w:szCs w:val="24"/>
              </w:rPr>
            </w:pPr>
            <w:r>
              <w:rPr>
                <w:rFonts w:hint="eastAsia" w:ascii="宋体" w:hAnsi="宋体" w:eastAsia="宋体" w:cs="宋体"/>
                <w:sz w:val="24"/>
                <w:szCs w:val="24"/>
              </w:rPr>
              <w:t>（元）</w:t>
            </w:r>
          </w:p>
        </w:tc>
        <w:tc>
          <w:tcPr>
            <w:tcW w:w="972" w:type="dxa"/>
            <w:tcBorders>
              <w:top w:val="single" w:color="auto" w:sz="6" w:space="0"/>
              <w:left w:val="single" w:color="auto" w:sz="6" w:space="0"/>
              <w:bottom w:val="single" w:color="auto" w:sz="6" w:space="0"/>
              <w:right w:val="single" w:color="auto" w:sz="6" w:space="0"/>
            </w:tcBorders>
            <w:vAlign w:val="center"/>
          </w:tcPr>
          <w:p w14:paraId="7BE98CAA">
            <w:pPr>
              <w:spacing w:after="120"/>
              <w:jc w:val="center"/>
              <w:rPr>
                <w:rFonts w:ascii="宋体" w:hAnsi="宋体" w:eastAsia="宋体" w:cs="宋体"/>
                <w:bCs/>
                <w:sz w:val="24"/>
                <w:szCs w:val="24"/>
              </w:rPr>
            </w:pPr>
            <w:r>
              <w:rPr>
                <w:rFonts w:hint="eastAsia" w:ascii="宋体" w:hAnsi="宋体" w:eastAsia="宋体" w:cs="宋体"/>
                <w:bCs/>
                <w:sz w:val="24"/>
                <w:szCs w:val="24"/>
              </w:rPr>
              <w:t>总价</w:t>
            </w:r>
          </w:p>
          <w:p w14:paraId="01577D63">
            <w:pPr>
              <w:spacing w:after="120"/>
              <w:jc w:val="center"/>
              <w:rPr>
                <w:rFonts w:ascii="宋体" w:hAnsi="宋体" w:eastAsia="宋体" w:cs="宋体"/>
                <w:bCs/>
                <w:sz w:val="24"/>
                <w:szCs w:val="24"/>
              </w:rPr>
            </w:pPr>
            <w:r>
              <w:rPr>
                <w:rFonts w:hint="eastAsia" w:ascii="宋体" w:hAnsi="宋体" w:eastAsia="宋体" w:cs="宋体"/>
                <w:bCs/>
                <w:sz w:val="24"/>
                <w:szCs w:val="24"/>
              </w:rPr>
              <w:t>（元）</w:t>
            </w:r>
          </w:p>
        </w:tc>
      </w:tr>
      <w:tr w14:paraId="58E08C1F">
        <w:tblPrEx>
          <w:tblCellMar>
            <w:top w:w="0" w:type="dxa"/>
            <w:left w:w="28" w:type="dxa"/>
            <w:bottom w:w="0" w:type="dxa"/>
            <w:right w:w="28" w:type="dxa"/>
          </w:tblCellMar>
        </w:tblPrEx>
        <w:trPr>
          <w:trHeight w:val="612" w:hRule="atLeast"/>
        </w:trPr>
        <w:tc>
          <w:tcPr>
            <w:tcW w:w="979" w:type="dxa"/>
            <w:vMerge w:val="continue"/>
            <w:tcBorders>
              <w:left w:val="single" w:color="auto" w:sz="6" w:space="0"/>
              <w:right w:val="single" w:color="auto" w:sz="4" w:space="0"/>
            </w:tcBorders>
            <w:vAlign w:val="center"/>
          </w:tcPr>
          <w:p w14:paraId="13BE20C8">
            <w:pPr>
              <w:spacing w:beforeLines="100"/>
              <w:jc w:val="center"/>
              <w:rPr>
                <w:rFonts w:ascii="宋体" w:hAnsi="宋体" w:eastAsia="宋体" w:cs="宋体"/>
                <w:sz w:val="24"/>
                <w:szCs w:val="24"/>
              </w:rPr>
            </w:pPr>
          </w:p>
        </w:tc>
        <w:tc>
          <w:tcPr>
            <w:tcW w:w="452" w:type="dxa"/>
            <w:tcBorders>
              <w:top w:val="single" w:color="auto" w:sz="6" w:space="0"/>
              <w:left w:val="single" w:color="auto" w:sz="4" w:space="0"/>
              <w:bottom w:val="single" w:color="auto" w:sz="4" w:space="0"/>
            </w:tcBorders>
            <w:vAlign w:val="center"/>
          </w:tcPr>
          <w:p w14:paraId="47936A28">
            <w:pPr>
              <w:spacing w:beforeLines="100"/>
              <w:jc w:val="center"/>
              <w:rPr>
                <w:rFonts w:ascii="宋体" w:hAnsi="宋体" w:eastAsia="宋体" w:cs="宋体"/>
                <w:sz w:val="24"/>
                <w:szCs w:val="24"/>
              </w:rPr>
            </w:pPr>
            <w:r>
              <w:rPr>
                <w:rFonts w:hint="eastAsia" w:ascii="宋体" w:hAnsi="宋体" w:eastAsia="宋体" w:cs="宋体"/>
                <w:sz w:val="24"/>
                <w:szCs w:val="24"/>
              </w:rPr>
              <w:t>1</w:t>
            </w:r>
          </w:p>
        </w:tc>
        <w:tc>
          <w:tcPr>
            <w:tcW w:w="673" w:type="dxa"/>
            <w:tcBorders>
              <w:top w:val="single" w:color="auto" w:sz="6" w:space="0"/>
              <w:left w:val="single" w:color="auto" w:sz="6" w:space="0"/>
              <w:bottom w:val="single" w:color="auto" w:sz="4" w:space="0"/>
              <w:right w:val="single" w:color="auto" w:sz="6" w:space="0"/>
            </w:tcBorders>
            <w:vAlign w:val="center"/>
          </w:tcPr>
          <w:p w14:paraId="753C6715">
            <w:pPr>
              <w:spacing w:beforeLines="50"/>
              <w:jc w:val="center"/>
              <w:rPr>
                <w:rFonts w:ascii="宋体" w:hAnsi="宋体" w:eastAsia="宋体" w:cs="宋体"/>
                <w:sz w:val="24"/>
                <w:szCs w:val="24"/>
              </w:rPr>
            </w:pPr>
          </w:p>
        </w:tc>
        <w:tc>
          <w:tcPr>
            <w:tcW w:w="502" w:type="dxa"/>
            <w:tcBorders>
              <w:top w:val="single" w:color="auto" w:sz="6" w:space="0"/>
              <w:left w:val="single" w:color="auto" w:sz="6" w:space="0"/>
              <w:bottom w:val="single" w:color="auto" w:sz="4" w:space="0"/>
              <w:right w:val="single" w:color="auto" w:sz="4" w:space="0"/>
            </w:tcBorders>
            <w:vAlign w:val="center"/>
          </w:tcPr>
          <w:p w14:paraId="2EC1B882">
            <w:pPr>
              <w:spacing w:beforeLines="50"/>
              <w:jc w:val="center"/>
              <w:rPr>
                <w:rFonts w:ascii="宋体" w:hAnsi="宋体" w:eastAsia="宋体" w:cs="宋体"/>
                <w:sz w:val="24"/>
                <w:szCs w:val="24"/>
              </w:rPr>
            </w:pPr>
          </w:p>
        </w:tc>
        <w:tc>
          <w:tcPr>
            <w:tcW w:w="821" w:type="dxa"/>
            <w:tcBorders>
              <w:top w:val="single" w:color="auto" w:sz="6" w:space="0"/>
              <w:left w:val="single" w:color="auto" w:sz="4" w:space="0"/>
              <w:bottom w:val="single" w:color="auto" w:sz="4" w:space="0"/>
              <w:right w:val="single" w:color="auto" w:sz="6" w:space="0"/>
            </w:tcBorders>
            <w:vAlign w:val="center"/>
          </w:tcPr>
          <w:p w14:paraId="5F5C44D9">
            <w:pPr>
              <w:spacing w:beforeLines="50"/>
              <w:jc w:val="center"/>
              <w:rPr>
                <w:rFonts w:ascii="宋体" w:hAnsi="宋体" w:eastAsia="宋体" w:cs="宋体"/>
                <w:sz w:val="24"/>
                <w:szCs w:val="24"/>
              </w:rPr>
            </w:pPr>
          </w:p>
        </w:tc>
        <w:tc>
          <w:tcPr>
            <w:tcW w:w="1339" w:type="dxa"/>
            <w:tcBorders>
              <w:top w:val="single" w:color="auto" w:sz="6" w:space="0"/>
              <w:left w:val="single" w:color="auto" w:sz="6" w:space="0"/>
              <w:bottom w:val="single" w:color="auto" w:sz="4" w:space="0"/>
              <w:right w:val="single" w:color="auto" w:sz="6" w:space="0"/>
            </w:tcBorders>
            <w:vAlign w:val="center"/>
          </w:tcPr>
          <w:p w14:paraId="67A1C7BB">
            <w:pPr>
              <w:spacing w:beforeLines="50"/>
              <w:jc w:val="center"/>
              <w:rPr>
                <w:rFonts w:ascii="宋体" w:hAnsi="宋体" w:eastAsia="宋体" w:cs="宋体"/>
                <w:sz w:val="24"/>
                <w:szCs w:val="24"/>
              </w:rPr>
            </w:pPr>
          </w:p>
        </w:tc>
        <w:tc>
          <w:tcPr>
            <w:tcW w:w="824" w:type="dxa"/>
            <w:tcBorders>
              <w:top w:val="single" w:color="auto" w:sz="6" w:space="0"/>
              <w:left w:val="single" w:color="auto" w:sz="6" w:space="0"/>
              <w:bottom w:val="single" w:color="auto" w:sz="4" w:space="0"/>
              <w:right w:val="single" w:color="auto" w:sz="6" w:space="0"/>
            </w:tcBorders>
            <w:vAlign w:val="center"/>
          </w:tcPr>
          <w:p w14:paraId="0F4EDB0D">
            <w:pPr>
              <w:spacing w:beforeLines="50"/>
              <w:jc w:val="center"/>
              <w:rPr>
                <w:rFonts w:ascii="宋体" w:hAnsi="宋体" w:eastAsia="宋体" w:cs="宋体"/>
                <w:sz w:val="24"/>
                <w:szCs w:val="24"/>
              </w:rPr>
            </w:pPr>
          </w:p>
        </w:tc>
        <w:tc>
          <w:tcPr>
            <w:tcW w:w="1154" w:type="dxa"/>
            <w:tcBorders>
              <w:top w:val="single" w:color="auto" w:sz="6" w:space="0"/>
              <w:left w:val="single" w:color="auto" w:sz="6" w:space="0"/>
              <w:bottom w:val="single" w:color="auto" w:sz="4" w:space="0"/>
              <w:right w:val="single" w:color="auto" w:sz="6" w:space="0"/>
            </w:tcBorders>
            <w:vAlign w:val="center"/>
          </w:tcPr>
          <w:p w14:paraId="4DE31695">
            <w:pPr>
              <w:spacing w:beforeLines="50"/>
              <w:jc w:val="center"/>
              <w:rPr>
                <w:rFonts w:ascii="宋体" w:hAnsi="宋体" w:eastAsia="宋体" w:cs="宋体"/>
                <w:sz w:val="24"/>
                <w:szCs w:val="24"/>
              </w:rPr>
            </w:pPr>
          </w:p>
        </w:tc>
        <w:tc>
          <w:tcPr>
            <w:tcW w:w="983" w:type="dxa"/>
            <w:tcBorders>
              <w:top w:val="single" w:color="auto" w:sz="6" w:space="0"/>
              <w:left w:val="single" w:color="auto" w:sz="6" w:space="0"/>
              <w:bottom w:val="single" w:color="auto" w:sz="4" w:space="0"/>
              <w:right w:val="single" w:color="auto" w:sz="6" w:space="0"/>
            </w:tcBorders>
            <w:vAlign w:val="center"/>
          </w:tcPr>
          <w:p w14:paraId="1AEA7E43">
            <w:pPr>
              <w:spacing w:beforeLines="50"/>
              <w:jc w:val="center"/>
              <w:rPr>
                <w:rFonts w:ascii="宋体" w:hAnsi="宋体" w:eastAsia="宋体" w:cs="宋体"/>
                <w:sz w:val="24"/>
                <w:szCs w:val="24"/>
              </w:rPr>
            </w:pPr>
          </w:p>
        </w:tc>
        <w:tc>
          <w:tcPr>
            <w:tcW w:w="972" w:type="dxa"/>
            <w:tcBorders>
              <w:top w:val="single" w:color="auto" w:sz="6" w:space="0"/>
              <w:left w:val="single" w:color="auto" w:sz="6" w:space="0"/>
              <w:bottom w:val="single" w:color="auto" w:sz="4" w:space="0"/>
              <w:right w:val="single" w:color="auto" w:sz="6" w:space="0"/>
            </w:tcBorders>
            <w:vAlign w:val="center"/>
          </w:tcPr>
          <w:p w14:paraId="0CD27DEE">
            <w:pPr>
              <w:spacing w:beforeLines="50"/>
              <w:jc w:val="center"/>
              <w:rPr>
                <w:rFonts w:ascii="宋体" w:hAnsi="宋体" w:eastAsia="宋体" w:cs="宋体"/>
                <w:sz w:val="24"/>
                <w:szCs w:val="24"/>
              </w:rPr>
            </w:pPr>
          </w:p>
        </w:tc>
      </w:tr>
      <w:tr w14:paraId="59F79CD8">
        <w:tblPrEx>
          <w:tblCellMar>
            <w:top w:w="0" w:type="dxa"/>
            <w:left w:w="28" w:type="dxa"/>
            <w:bottom w:w="0" w:type="dxa"/>
            <w:right w:w="28" w:type="dxa"/>
          </w:tblCellMar>
        </w:tblPrEx>
        <w:trPr>
          <w:trHeight w:val="608" w:hRule="atLeast"/>
        </w:trPr>
        <w:tc>
          <w:tcPr>
            <w:tcW w:w="979" w:type="dxa"/>
            <w:vMerge w:val="continue"/>
            <w:tcBorders>
              <w:left w:val="single" w:color="auto" w:sz="6" w:space="0"/>
              <w:right w:val="single" w:color="auto" w:sz="4" w:space="0"/>
            </w:tcBorders>
            <w:vAlign w:val="center"/>
          </w:tcPr>
          <w:p w14:paraId="72043F6C">
            <w:pPr>
              <w:spacing w:beforeLines="100"/>
              <w:jc w:val="center"/>
              <w:rPr>
                <w:rFonts w:ascii="宋体" w:hAnsi="宋体" w:eastAsia="宋体" w:cs="宋体"/>
                <w:sz w:val="24"/>
                <w:szCs w:val="24"/>
              </w:rPr>
            </w:pPr>
          </w:p>
        </w:tc>
        <w:tc>
          <w:tcPr>
            <w:tcW w:w="452" w:type="dxa"/>
            <w:tcBorders>
              <w:top w:val="single" w:color="auto" w:sz="4" w:space="0"/>
              <w:left w:val="single" w:color="auto" w:sz="4" w:space="0"/>
              <w:bottom w:val="single" w:color="auto" w:sz="6" w:space="0"/>
            </w:tcBorders>
            <w:vAlign w:val="center"/>
          </w:tcPr>
          <w:p w14:paraId="7F837F3C">
            <w:pPr>
              <w:spacing w:beforeLines="100"/>
              <w:jc w:val="center"/>
              <w:rPr>
                <w:rFonts w:ascii="宋体" w:hAnsi="宋体" w:eastAsia="宋体" w:cs="宋体"/>
                <w:sz w:val="24"/>
                <w:szCs w:val="24"/>
              </w:rPr>
            </w:pPr>
            <w:r>
              <w:rPr>
                <w:rFonts w:hint="eastAsia" w:ascii="宋体" w:hAnsi="宋体" w:eastAsia="宋体" w:cs="宋体"/>
                <w:sz w:val="24"/>
                <w:szCs w:val="24"/>
              </w:rPr>
              <w:t>2</w:t>
            </w:r>
          </w:p>
        </w:tc>
        <w:tc>
          <w:tcPr>
            <w:tcW w:w="673" w:type="dxa"/>
            <w:tcBorders>
              <w:top w:val="single" w:color="auto" w:sz="4" w:space="0"/>
              <w:left w:val="single" w:color="auto" w:sz="6" w:space="0"/>
              <w:bottom w:val="single" w:color="auto" w:sz="6" w:space="0"/>
              <w:right w:val="single" w:color="auto" w:sz="6" w:space="0"/>
            </w:tcBorders>
            <w:vAlign w:val="center"/>
          </w:tcPr>
          <w:p w14:paraId="4B102693">
            <w:pPr>
              <w:spacing w:beforeLines="100"/>
              <w:jc w:val="center"/>
              <w:rPr>
                <w:rFonts w:ascii="宋体" w:hAnsi="宋体" w:eastAsia="宋体" w:cs="宋体"/>
                <w:sz w:val="24"/>
                <w:szCs w:val="24"/>
              </w:rPr>
            </w:pPr>
          </w:p>
        </w:tc>
        <w:tc>
          <w:tcPr>
            <w:tcW w:w="502" w:type="dxa"/>
            <w:tcBorders>
              <w:top w:val="single" w:color="auto" w:sz="4" w:space="0"/>
              <w:left w:val="single" w:color="auto" w:sz="6" w:space="0"/>
              <w:bottom w:val="single" w:color="auto" w:sz="6" w:space="0"/>
              <w:right w:val="single" w:color="auto" w:sz="4" w:space="0"/>
            </w:tcBorders>
            <w:vAlign w:val="center"/>
          </w:tcPr>
          <w:p w14:paraId="5548C56A">
            <w:pPr>
              <w:spacing w:beforeLines="50"/>
              <w:jc w:val="center"/>
              <w:rPr>
                <w:rFonts w:ascii="宋体" w:hAnsi="宋体" w:eastAsia="宋体" w:cs="宋体"/>
                <w:sz w:val="24"/>
                <w:szCs w:val="24"/>
              </w:rPr>
            </w:pPr>
          </w:p>
        </w:tc>
        <w:tc>
          <w:tcPr>
            <w:tcW w:w="821" w:type="dxa"/>
            <w:tcBorders>
              <w:top w:val="single" w:color="auto" w:sz="4" w:space="0"/>
              <w:left w:val="single" w:color="auto" w:sz="4" w:space="0"/>
              <w:bottom w:val="single" w:color="auto" w:sz="6" w:space="0"/>
              <w:right w:val="single" w:color="auto" w:sz="6" w:space="0"/>
            </w:tcBorders>
            <w:vAlign w:val="center"/>
          </w:tcPr>
          <w:p w14:paraId="54A5DB44">
            <w:pPr>
              <w:spacing w:beforeLines="50"/>
              <w:jc w:val="center"/>
              <w:rPr>
                <w:rFonts w:ascii="宋体" w:hAnsi="宋体" w:eastAsia="宋体" w:cs="宋体"/>
                <w:sz w:val="24"/>
                <w:szCs w:val="24"/>
              </w:rPr>
            </w:pPr>
          </w:p>
        </w:tc>
        <w:tc>
          <w:tcPr>
            <w:tcW w:w="1339" w:type="dxa"/>
            <w:tcBorders>
              <w:top w:val="single" w:color="auto" w:sz="4" w:space="0"/>
              <w:left w:val="single" w:color="auto" w:sz="6" w:space="0"/>
              <w:bottom w:val="single" w:color="auto" w:sz="6" w:space="0"/>
              <w:right w:val="single" w:color="auto" w:sz="6" w:space="0"/>
            </w:tcBorders>
            <w:vAlign w:val="center"/>
          </w:tcPr>
          <w:p w14:paraId="2BAC9DDE">
            <w:pPr>
              <w:spacing w:beforeLines="50"/>
              <w:jc w:val="center"/>
              <w:rPr>
                <w:rFonts w:ascii="宋体" w:hAnsi="宋体" w:eastAsia="宋体" w:cs="宋体"/>
                <w:sz w:val="24"/>
                <w:szCs w:val="24"/>
              </w:rPr>
            </w:pPr>
          </w:p>
        </w:tc>
        <w:tc>
          <w:tcPr>
            <w:tcW w:w="824" w:type="dxa"/>
            <w:tcBorders>
              <w:top w:val="single" w:color="auto" w:sz="4" w:space="0"/>
              <w:left w:val="single" w:color="auto" w:sz="6" w:space="0"/>
              <w:bottom w:val="single" w:color="auto" w:sz="6" w:space="0"/>
              <w:right w:val="single" w:color="auto" w:sz="6" w:space="0"/>
            </w:tcBorders>
            <w:vAlign w:val="center"/>
          </w:tcPr>
          <w:p w14:paraId="0E62FCDC">
            <w:pPr>
              <w:spacing w:beforeLines="50"/>
              <w:jc w:val="center"/>
              <w:rPr>
                <w:rFonts w:ascii="宋体" w:hAnsi="宋体" w:eastAsia="宋体" w:cs="宋体"/>
                <w:sz w:val="24"/>
                <w:szCs w:val="24"/>
              </w:rPr>
            </w:pPr>
          </w:p>
        </w:tc>
        <w:tc>
          <w:tcPr>
            <w:tcW w:w="1154" w:type="dxa"/>
            <w:tcBorders>
              <w:top w:val="single" w:color="auto" w:sz="4" w:space="0"/>
              <w:left w:val="single" w:color="auto" w:sz="6" w:space="0"/>
              <w:bottom w:val="single" w:color="auto" w:sz="6" w:space="0"/>
              <w:right w:val="single" w:color="auto" w:sz="6" w:space="0"/>
            </w:tcBorders>
            <w:vAlign w:val="center"/>
          </w:tcPr>
          <w:p w14:paraId="40FE434E">
            <w:pPr>
              <w:spacing w:beforeLines="50"/>
              <w:jc w:val="center"/>
              <w:rPr>
                <w:rFonts w:ascii="宋体" w:hAnsi="宋体" w:eastAsia="宋体" w:cs="宋体"/>
                <w:sz w:val="24"/>
                <w:szCs w:val="24"/>
              </w:rPr>
            </w:pPr>
          </w:p>
        </w:tc>
        <w:tc>
          <w:tcPr>
            <w:tcW w:w="983" w:type="dxa"/>
            <w:tcBorders>
              <w:top w:val="single" w:color="auto" w:sz="4" w:space="0"/>
              <w:left w:val="single" w:color="auto" w:sz="6" w:space="0"/>
              <w:bottom w:val="single" w:color="auto" w:sz="6" w:space="0"/>
              <w:right w:val="single" w:color="auto" w:sz="6" w:space="0"/>
            </w:tcBorders>
            <w:vAlign w:val="center"/>
          </w:tcPr>
          <w:p w14:paraId="52E5FF32">
            <w:pPr>
              <w:spacing w:beforeLines="50"/>
              <w:jc w:val="center"/>
              <w:rPr>
                <w:rFonts w:ascii="宋体" w:hAnsi="宋体" w:eastAsia="宋体" w:cs="宋体"/>
                <w:sz w:val="24"/>
                <w:szCs w:val="24"/>
              </w:rPr>
            </w:pPr>
          </w:p>
        </w:tc>
        <w:tc>
          <w:tcPr>
            <w:tcW w:w="972" w:type="dxa"/>
            <w:tcBorders>
              <w:top w:val="single" w:color="auto" w:sz="4" w:space="0"/>
              <w:left w:val="single" w:color="auto" w:sz="6" w:space="0"/>
              <w:bottom w:val="single" w:color="auto" w:sz="6" w:space="0"/>
              <w:right w:val="single" w:color="auto" w:sz="6" w:space="0"/>
            </w:tcBorders>
            <w:vAlign w:val="center"/>
          </w:tcPr>
          <w:p w14:paraId="760BFFB2">
            <w:pPr>
              <w:spacing w:beforeLines="50"/>
              <w:jc w:val="center"/>
              <w:rPr>
                <w:rFonts w:ascii="宋体" w:hAnsi="宋体" w:eastAsia="宋体" w:cs="宋体"/>
                <w:sz w:val="24"/>
                <w:szCs w:val="24"/>
              </w:rPr>
            </w:pPr>
          </w:p>
        </w:tc>
      </w:tr>
      <w:tr w14:paraId="43501D91">
        <w:tblPrEx>
          <w:tblCellMar>
            <w:top w:w="0" w:type="dxa"/>
            <w:left w:w="28" w:type="dxa"/>
            <w:bottom w:w="0" w:type="dxa"/>
            <w:right w:w="28" w:type="dxa"/>
          </w:tblCellMar>
        </w:tblPrEx>
        <w:trPr>
          <w:trHeight w:val="612" w:hRule="atLeast"/>
        </w:trPr>
        <w:tc>
          <w:tcPr>
            <w:tcW w:w="979" w:type="dxa"/>
            <w:vMerge w:val="continue"/>
            <w:tcBorders>
              <w:left w:val="single" w:color="auto" w:sz="6" w:space="0"/>
              <w:right w:val="single" w:color="auto" w:sz="4" w:space="0"/>
            </w:tcBorders>
            <w:vAlign w:val="center"/>
          </w:tcPr>
          <w:p w14:paraId="1EFD028D">
            <w:pPr>
              <w:spacing w:beforeLines="100"/>
              <w:jc w:val="center"/>
              <w:rPr>
                <w:rFonts w:ascii="宋体" w:hAnsi="宋体" w:eastAsia="宋体" w:cs="宋体"/>
                <w:sz w:val="24"/>
                <w:szCs w:val="24"/>
              </w:rPr>
            </w:pPr>
          </w:p>
        </w:tc>
        <w:tc>
          <w:tcPr>
            <w:tcW w:w="452" w:type="dxa"/>
            <w:tcBorders>
              <w:top w:val="single" w:color="auto" w:sz="4" w:space="0"/>
              <w:left w:val="single" w:color="auto" w:sz="4" w:space="0"/>
              <w:bottom w:val="single" w:color="auto" w:sz="6" w:space="0"/>
            </w:tcBorders>
            <w:vAlign w:val="center"/>
          </w:tcPr>
          <w:p w14:paraId="51D4D53C">
            <w:pPr>
              <w:spacing w:beforeLines="100"/>
              <w:jc w:val="center"/>
              <w:rPr>
                <w:rFonts w:ascii="宋体" w:hAnsi="宋体" w:eastAsia="宋体" w:cs="宋体"/>
                <w:sz w:val="24"/>
                <w:szCs w:val="24"/>
              </w:rPr>
            </w:pPr>
            <w:r>
              <w:rPr>
                <w:rFonts w:hint="eastAsia" w:ascii="宋体" w:hAnsi="宋体" w:eastAsia="宋体" w:cs="宋体"/>
                <w:sz w:val="24"/>
                <w:szCs w:val="24"/>
              </w:rPr>
              <w:t>3</w:t>
            </w:r>
          </w:p>
        </w:tc>
        <w:tc>
          <w:tcPr>
            <w:tcW w:w="673" w:type="dxa"/>
            <w:tcBorders>
              <w:top w:val="single" w:color="auto" w:sz="4" w:space="0"/>
              <w:left w:val="single" w:color="auto" w:sz="6" w:space="0"/>
              <w:bottom w:val="single" w:color="auto" w:sz="6" w:space="0"/>
              <w:right w:val="single" w:color="auto" w:sz="6" w:space="0"/>
            </w:tcBorders>
            <w:vAlign w:val="center"/>
          </w:tcPr>
          <w:p w14:paraId="1FF772E6">
            <w:pPr>
              <w:spacing w:beforeLines="100"/>
              <w:jc w:val="center"/>
              <w:rPr>
                <w:rFonts w:ascii="宋体" w:hAnsi="宋体" w:eastAsia="宋体" w:cs="宋体"/>
                <w:sz w:val="24"/>
                <w:szCs w:val="24"/>
              </w:rPr>
            </w:pPr>
          </w:p>
        </w:tc>
        <w:tc>
          <w:tcPr>
            <w:tcW w:w="502" w:type="dxa"/>
            <w:tcBorders>
              <w:top w:val="single" w:color="auto" w:sz="4" w:space="0"/>
              <w:left w:val="single" w:color="auto" w:sz="6" w:space="0"/>
              <w:bottom w:val="single" w:color="auto" w:sz="6" w:space="0"/>
              <w:right w:val="single" w:color="auto" w:sz="4" w:space="0"/>
            </w:tcBorders>
            <w:vAlign w:val="center"/>
          </w:tcPr>
          <w:p w14:paraId="3C0B38DD">
            <w:pPr>
              <w:spacing w:beforeLines="50"/>
              <w:jc w:val="center"/>
              <w:rPr>
                <w:rFonts w:ascii="宋体" w:hAnsi="宋体" w:eastAsia="宋体" w:cs="宋体"/>
                <w:sz w:val="24"/>
                <w:szCs w:val="24"/>
              </w:rPr>
            </w:pPr>
          </w:p>
        </w:tc>
        <w:tc>
          <w:tcPr>
            <w:tcW w:w="821" w:type="dxa"/>
            <w:tcBorders>
              <w:top w:val="single" w:color="auto" w:sz="4" w:space="0"/>
              <w:left w:val="single" w:color="auto" w:sz="4" w:space="0"/>
              <w:bottom w:val="single" w:color="auto" w:sz="6" w:space="0"/>
              <w:right w:val="single" w:color="auto" w:sz="6" w:space="0"/>
            </w:tcBorders>
            <w:vAlign w:val="center"/>
          </w:tcPr>
          <w:p w14:paraId="7090509B">
            <w:pPr>
              <w:spacing w:beforeLines="50"/>
              <w:jc w:val="center"/>
              <w:rPr>
                <w:rFonts w:ascii="宋体" w:hAnsi="宋体" w:eastAsia="宋体" w:cs="宋体"/>
                <w:sz w:val="24"/>
                <w:szCs w:val="24"/>
              </w:rPr>
            </w:pPr>
          </w:p>
        </w:tc>
        <w:tc>
          <w:tcPr>
            <w:tcW w:w="1339" w:type="dxa"/>
            <w:tcBorders>
              <w:top w:val="single" w:color="auto" w:sz="4" w:space="0"/>
              <w:left w:val="single" w:color="auto" w:sz="6" w:space="0"/>
              <w:bottom w:val="single" w:color="auto" w:sz="6" w:space="0"/>
              <w:right w:val="single" w:color="auto" w:sz="6" w:space="0"/>
            </w:tcBorders>
            <w:vAlign w:val="center"/>
          </w:tcPr>
          <w:p w14:paraId="57FFBC2C">
            <w:pPr>
              <w:spacing w:beforeLines="50"/>
              <w:jc w:val="center"/>
              <w:rPr>
                <w:rFonts w:ascii="宋体" w:hAnsi="宋体" w:eastAsia="宋体" w:cs="宋体"/>
                <w:sz w:val="24"/>
                <w:szCs w:val="24"/>
              </w:rPr>
            </w:pPr>
          </w:p>
        </w:tc>
        <w:tc>
          <w:tcPr>
            <w:tcW w:w="824" w:type="dxa"/>
            <w:tcBorders>
              <w:top w:val="single" w:color="auto" w:sz="4" w:space="0"/>
              <w:left w:val="single" w:color="auto" w:sz="6" w:space="0"/>
              <w:bottom w:val="single" w:color="auto" w:sz="6" w:space="0"/>
              <w:right w:val="single" w:color="auto" w:sz="6" w:space="0"/>
            </w:tcBorders>
            <w:vAlign w:val="center"/>
          </w:tcPr>
          <w:p w14:paraId="27471E36">
            <w:pPr>
              <w:spacing w:beforeLines="50"/>
              <w:jc w:val="center"/>
              <w:rPr>
                <w:rFonts w:ascii="宋体" w:hAnsi="宋体" w:eastAsia="宋体" w:cs="宋体"/>
                <w:sz w:val="24"/>
                <w:szCs w:val="24"/>
              </w:rPr>
            </w:pPr>
          </w:p>
        </w:tc>
        <w:tc>
          <w:tcPr>
            <w:tcW w:w="1154" w:type="dxa"/>
            <w:tcBorders>
              <w:top w:val="single" w:color="auto" w:sz="4" w:space="0"/>
              <w:left w:val="single" w:color="auto" w:sz="6" w:space="0"/>
              <w:bottom w:val="single" w:color="auto" w:sz="6" w:space="0"/>
              <w:right w:val="single" w:color="auto" w:sz="6" w:space="0"/>
            </w:tcBorders>
            <w:vAlign w:val="center"/>
          </w:tcPr>
          <w:p w14:paraId="0109EF9E">
            <w:pPr>
              <w:spacing w:beforeLines="50"/>
              <w:jc w:val="center"/>
              <w:rPr>
                <w:rFonts w:ascii="宋体" w:hAnsi="宋体" w:eastAsia="宋体" w:cs="宋体"/>
                <w:sz w:val="24"/>
                <w:szCs w:val="24"/>
              </w:rPr>
            </w:pPr>
          </w:p>
        </w:tc>
        <w:tc>
          <w:tcPr>
            <w:tcW w:w="983" w:type="dxa"/>
            <w:tcBorders>
              <w:top w:val="single" w:color="auto" w:sz="4" w:space="0"/>
              <w:left w:val="single" w:color="auto" w:sz="6" w:space="0"/>
              <w:bottom w:val="single" w:color="auto" w:sz="6" w:space="0"/>
              <w:right w:val="single" w:color="auto" w:sz="6" w:space="0"/>
            </w:tcBorders>
            <w:vAlign w:val="center"/>
          </w:tcPr>
          <w:p w14:paraId="16F13B34">
            <w:pPr>
              <w:spacing w:beforeLines="50"/>
              <w:jc w:val="center"/>
              <w:rPr>
                <w:rFonts w:ascii="宋体" w:hAnsi="宋体" w:eastAsia="宋体" w:cs="宋体"/>
                <w:sz w:val="24"/>
                <w:szCs w:val="24"/>
              </w:rPr>
            </w:pPr>
          </w:p>
        </w:tc>
        <w:tc>
          <w:tcPr>
            <w:tcW w:w="972" w:type="dxa"/>
            <w:tcBorders>
              <w:top w:val="single" w:color="auto" w:sz="4" w:space="0"/>
              <w:left w:val="single" w:color="auto" w:sz="6" w:space="0"/>
              <w:bottom w:val="single" w:color="auto" w:sz="6" w:space="0"/>
              <w:right w:val="single" w:color="auto" w:sz="6" w:space="0"/>
            </w:tcBorders>
            <w:vAlign w:val="center"/>
          </w:tcPr>
          <w:p w14:paraId="4E73ED7B">
            <w:pPr>
              <w:spacing w:beforeLines="50"/>
              <w:jc w:val="center"/>
              <w:rPr>
                <w:rFonts w:ascii="宋体" w:hAnsi="宋体" w:eastAsia="宋体" w:cs="宋体"/>
                <w:sz w:val="24"/>
                <w:szCs w:val="24"/>
              </w:rPr>
            </w:pPr>
          </w:p>
        </w:tc>
      </w:tr>
      <w:tr w14:paraId="17D989F0">
        <w:tblPrEx>
          <w:tblCellMar>
            <w:top w:w="0" w:type="dxa"/>
            <w:left w:w="28" w:type="dxa"/>
            <w:bottom w:w="0" w:type="dxa"/>
            <w:right w:w="28" w:type="dxa"/>
          </w:tblCellMar>
        </w:tblPrEx>
        <w:trPr>
          <w:trHeight w:val="823" w:hRule="atLeast"/>
        </w:trPr>
        <w:tc>
          <w:tcPr>
            <w:tcW w:w="979" w:type="dxa"/>
            <w:vMerge w:val="continue"/>
            <w:tcBorders>
              <w:left w:val="single" w:color="auto" w:sz="6" w:space="0"/>
              <w:right w:val="single" w:color="auto" w:sz="4" w:space="0"/>
            </w:tcBorders>
            <w:vAlign w:val="center"/>
          </w:tcPr>
          <w:p w14:paraId="3872D5AD">
            <w:pPr>
              <w:spacing w:beforeLines="100"/>
              <w:jc w:val="center"/>
              <w:rPr>
                <w:rFonts w:ascii="宋体" w:hAnsi="宋体" w:eastAsia="宋体" w:cs="宋体"/>
                <w:sz w:val="24"/>
                <w:szCs w:val="24"/>
              </w:rPr>
            </w:pPr>
          </w:p>
        </w:tc>
        <w:tc>
          <w:tcPr>
            <w:tcW w:w="452" w:type="dxa"/>
            <w:tcBorders>
              <w:top w:val="single" w:color="auto" w:sz="4" w:space="0"/>
              <w:left w:val="single" w:color="auto" w:sz="4" w:space="0"/>
              <w:bottom w:val="single" w:color="auto" w:sz="6" w:space="0"/>
            </w:tcBorders>
            <w:vAlign w:val="center"/>
          </w:tcPr>
          <w:p w14:paraId="684DFCC3">
            <w:pPr>
              <w:spacing w:beforeLines="100"/>
              <w:jc w:val="center"/>
              <w:rPr>
                <w:rFonts w:ascii="宋体" w:hAnsi="宋体" w:eastAsia="宋体" w:cs="宋体"/>
                <w:sz w:val="24"/>
                <w:szCs w:val="24"/>
              </w:rPr>
            </w:pPr>
            <w:r>
              <w:rPr>
                <w:rFonts w:hint="eastAsia" w:ascii="宋体" w:hAnsi="宋体" w:eastAsia="宋体" w:cs="宋体"/>
                <w:sz w:val="24"/>
                <w:szCs w:val="24"/>
              </w:rPr>
              <w:t>…</w:t>
            </w:r>
          </w:p>
        </w:tc>
        <w:tc>
          <w:tcPr>
            <w:tcW w:w="673" w:type="dxa"/>
            <w:tcBorders>
              <w:top w:val="single" w:color="auto" w:sz="4" w:space="0"/>
              <w:left w:val="single" w:color="auto" w:sz="6" w:space="0"/>
              <w:bottom w:val="single" w:color="auto" w:sz="6" w:space="0"/>
              <w:right w:val="single" w:color="auto" w:sz="6" w:space="0"/>
            </w:tcBorders>
            <w:vAlign w:val="center"/>
          </w:tcPr>
          <w:p w14:paraId="158EFEF3">
            <w:pPr>
              <w:spacing w:beforeLines="50"/>
              <w:jc w:val="center"/>
              <w:rPr>
                <w:rFonts w:ascii="宋体" w:hAnsi="宋体" w:eastAsia="宋体" w:cs="宋体"/>
                <w:sz w:val="24"/>
                <w:szCs w:val="24"/>
              </w:rPr>
            </w:pPr>
          </w:p>
        </w:tc>
        <w:tc>
          <w:tcPr>
            <w:tcW w:w="502" w:type="dxa"/>
            <w:tcBorders>
              <w:top w:val="single" w:color="auto" w:sz="4" w:space="0"/>
              <w:left w:val="single" w:color="auto" w:sz="6" w:space="0"/>
              <w:bottom w:val="single" w:color="auto" w:sz="6" w:space="0"/>
              <w:right w:val="single" w:color="auto" w:sz="4" w:space="0"/>
            </w:tcBorders>
            <w:vAlign w:val="center"/>
          </w:tcPr>
          <w:p w14:paraId="4F120DC9">
            <w:pPr>
              <w:spacing w:beforeLines="50"/>
              <w:jc w:val="center"/>
              <w:rPr>
                <w:rFonts w:ascii="宋体" w:hAnsi="宋体" w:eastAsia="宋体" w:cs="宋体"/>
                <w:sz w:val="24"/>
                <w:szCs w:val="24"/>
              </w:rPr>
            </w:pPr>
          </w:p>
        </w:tc>
        <w:tc>
          <w:tcPr>
            <w:tcW w:w="821" w:type="dxa"/>
            <w:tcBorders>
              <w:top w:val="single" w:color="auto" w:sz="4" w:space="0"/>
              <w:left w:val="single" w:color="auto" w:sz="4" w:space="0"/>
              <w:bottom w:val="single" w:color="auto" w:sz="6" w:space="0"/>
              <w:right w:val="single" w:color="auto" w:sz="6" w:space="0"/>
            </w:tcBorders>
            <w:vAlign w:val="center"/>
          </w:tcPr>
          <w:p w14:paraId="748AF67A">
            <w:pPr>
              <w:spacing w:beforeLines="50"/>
              <w:jc w:val="center"/>
              <w:rPr>
                <w:rFonts w:ascii="宋体" w:hAnsi="宋体" w:eastAsia="宋体" w:cs="宋体"/>
                <w:sz w:val="24"/>
                <w:szCs w:val="24"/>
              </w:rPr>
            </w:pPr>
          </w:p>
        </w:tc>
        <w:tc>
          <w:tcPr>
            <w:tcW w:w="1339" w:type="dxa"/>
            <w:tcBorders>
              <w:top w:val="single" w:color="auto" w:sz="4" w:space="0"/>
              <w:left w:val="single" w:color="auto" w:sz="6" w:space="0"/>
              <w:bottom w:val="single" w:color="auto" w:sz="6" w:space="0"/>
              <w:right w:val="single" w:color="auto" w:sz="6" w:space="0"/>
            </w:tcBorders>
            <w:vAlign w:val="center"/>
          </w:tcPr>
          <w:p w14:paraId="75732237">
            <w:pPr>
              <w:spacing w:beforeLines="50"/>
              <w:jc w:val="center"/>
              <w:rPr>
                <w:rFonts w:ascii="宋体" w:hAnsi="宋体" w:eastAsia="宋体" w:cs="宋体"/>
                <w:sz w:val="24"/>
                <w:szCs w:val="24"/>
              </w:rPr>
            </w:pPr>
          </w:p>
        </w:tc>
        <w:tc>
          <w:tcPr>
            <w:tcW w:w="824" w:type="dxa"/>
            <w:tcBorders>
              <w:top w:val="single" w:color="auto" w:sz="4" w:space="0"/>
              <w:left w:val="single" w:color="auto" w:sz="6" w:space="0"/>
              <w:bottom w:val="single" w:color="auto" w:sz="6" w:space="0"/>
              <w:right w:val="single" w:color="auto" w:sz="6" w:space="0"/>
            </w:tcBorders>
            <w:vAlign w:val="center"/>
          </w:tcPr>
          <w:p w14:paraId="404353D5">
            <w:pPr>
              <w:spacing w:beforeLines="50"/>
              <w:jc w:val="center"/>
              <w:rPr>
                <w:rFonts w:ascii="宋体" w:hAnsi="宋体" w:eastAsia="宋体" w:cs="宋体"/>
                <w:sz w:val="24"/>
                <w:szCs w:val="24"/>
              </w:rPr>
            </w:pPr>
          </w:p>
        </w:tc>
        <w:tc>
          <w:tcPr>
            <w:tcW w:w="1154" w:type="dxa"/>
            <w:tcBorders>
              <w:top w:val="single" w:color="auto" w:sz="4" w:space="0"/>
              <w:left w:val="single" w:color="auto" w:sz="6" w:space="0"/>
              <w:bottom w:val="single" w:color="auto" w:sz="6" w:space="0"/>
              <w:right w:val="single" w:color="auto" w:sz="6" w:space="0"/>
            </w:tcBorders>
            <w:vAlign w:val="center"/>
          </w:tcPr>
          <w:p w14:paraId="0929416A">
            <w:pPr>
              <w:spacing w:beforeLines="50"/>
              <w:jc w:val="center"/>
              <w:rPr>
                <w:rFonts w:ascii="宋体" w:hAnsi="宋体" w:eastAsia="宋体" w:cs="宋体"/>
                <w:sz w:val="24"/>
                <w:szCs w:val="24"/>
              </w:rPr>
            </w:pPr>
          </w:p>
        </w:tc>
        <w:tc>
          <w:tcPr>
            <w:tcW w:w="983" w:type="dxa"/>
            <w:tcBorders>
              <w:top w:val="single" w:color="auto" w:sz="4" w:space="0"/>
              <w:left w:val="single" w:color="auto" w:sz="6" w:space="0"/>
              <w:bottom w:val="single" w:color="auto" w:sz="6" w:space="0"/>
              <w:right w:val="single" w:color="auto" w:sz="6" w:space="0"/>
            </w:tcBorders>
            <w:vAlign w:val="center"/>
          </w:tcPr>
          <w:p w14:paraId="59307683">
            <w:pPr>
              <w:spacing w:beforeLines="50"/>
              <w:jc w:val="center"/>
              <w:rPr>
                <w:rFonts w:ascii="宋体" w:hAnsi="宋体" w:eastAsia="宋体" w:cs="宋体"/>
                <w:sz w:val="24"/>
                <w:szCs w:val="24"/>
              </w:rPr>
            </w:pPr>
          </w:p>
        </w:tc>
        <w:tc>
          <w:tcPr>
            <w:tcW w:w="972" w:type="dxa"/>
            <w:tcBorders>
              <w:top w:val="single" w:color="auto" w:sz="4" w:space="0"/>
              <w:left w:val="single" w:color="auto" w:sz="6" w:space="0"/>
              <w:bottom w:val="single" w:color="auto" w:sz="6" w:space="0"/>
              <w:right w:val="single" w:color="auto" w:sz="6" w:space="0"/>
            </w:tcBorders>
            <w:vAlign w:val="center"/>
          </w:tcPr>
          <w:p w14:paraId="27D88C2F">
            <w:pPr>
              <w:spacing w:beforeLines="50"/>
              <w:jc w:val="center"/>
              <w:rPr>
                <w:rFonts w:ascii="宋体" w:hAnsi="宋体" w:eastAsia="宋体" w:cs="宋体"/>
                <w:sz w:val="24"/>
                <w:szCs w:val="24"/>
              </w:rPr>
            </w:pPr>
          </w:p>
        </w:tc>
      </w:tr>
      <w:tr w14:paraId="0C1D4461">
        <w:tblPrEx>
          <w:tblCellMar>
            <w:top w:w="0" w:type="dxa"/>
            <w:left w:w="28" w:type="dxa"/>
            <w:bottom w:w="0" w:type="dxa"/>
            <w:right w:w="28" w:type="dxa"/>
          </w:tblCellMar>
        </w:tblPrEx>
        <w:trPr>
          <w:trHeight w:val="823" w:hRule="atLeast"/>
        </w:trPr>
        <w:tc>
          <w:tcPr>
            <w:tcW w:w="979" w:type="dxa"/>
            <w:vMerge w:val="continue"/>
            <w:tcBorders>
              <w:left w:val="single" w:color="auto" w:sz="6" w:space="0"/>
              <w:bottom w:val="single" w:color="auto" w:sz="6" w:space="0"/>
              <w:right w:val="single" w:color="auto" w:sz="4" w:space="0"/>
            </w:tcBorders>
            <w:vAlign w:val="center"/>
          </w:tcPr>
          <w:p w14:paraId="7B00BD1D">
            <w:pPr>
              <w:spacing w:beforeLines="100"/>
              <w:jc w:val="center"/>
              <w:rPr>
                <w:rFonts w:ascii="宋体" w:hAnsi="宋体" w:eastAsia="宋体" w:cs="宋体"/>
                <w:sz w:val="24"/>
                <w:szCs w:val="24"/>
              </w:rPr>
            </w:pPr>
          </w:p>
        </w:tc>
        <w:tc>
          <w:tcPr>
            <w:tcW w:w="452" w:type="dxa"/>
            <w:tcBorders>
              <w:top w:val="single" w:color="auto" w:sz="4" w:space="0"/>
              <w:left w:val="single" w:color="auto" w:sz="4" w:space="0"/>
              <w:bottom w:val="single" w:color="auto" w:sz="6" w:space="0"/>
            </w:tcBorders>
            <w:vAlign w:val="center"/>
          </w:tcPr>
          <w:p w14:paraId="4A437619">
            <w:pPr>
              <w:spacing w:beforeLines="100"/>
              <w:jc w:val="center"/>
              <w:rPr>
                <w:rFonts w:ascii="宋体" w:hAnsi="宋体" w:eastAsia="宋体" w:cs="宋体"/>
                <w:b/>
                <w:sz w:val="24"/>
                <w:szCs w:val="24"/>
              </w:rPr>
            </w:pPr>
            <w:r>
              <w:rPr>
                <w:rFonts w:hint="eastAsia" w:ascii="宋体" w:hAnsi="宋体" w:eastAsia="宋体" w:cs="宋体"/>
                <w:sz w:val="24"/>
                <w:szCs w:val="24"/>
              </w:rPr>
              <w:t>…</w:t>
            </w:r>
          </w:p>
        </w:tc>
        <w:tc>
          <w:tcPr>
            <w:tcW w:w="673" w:type="dxa"/>
            <w:tcBorders>
              <w:top w:val="single" w:color="auto" w:sz="4" w:space="0"/>
              <w:left w:val="single" w:color="auto" w:sz="6" w:space="0"/>
              <w:bottom w:val="single" w:color="auto" w:sz="6" w:space="0"/>
              <w:right w:val="single" w:color="auto" w:sz="6" w:space="0"/>
            </w:tcBorders>
            <w:vAlign w:val="center"/>
          </w:tcPr>
          <w:p w14:paraId="6B327D41">
            <w:pPr>
              <w:spacing w:beforeLines="50"/>
              <w:jc w:val="center"/>
              <w:rPr>
                <w:rFonts w:ascii="宋体" w:hAnsi="宋体" w:eastAsia="宋体" w:cs="宋体"/>
                <w:sz w:val="24"/>
                <w:szCs w:val="24"/>
              </w:rPr>
            </w:pPr>
          </w:p>
        </w:tc>
        <w:tc>
          <w:tcPr>
            <w:tcW w:w="502" w:type="dxa"/>
            <w:tcBorders>
              <w:top w:val="single" w:color="auto" w:sz="4" w:space="0"/>
              <w:left w:val="single" w:color="auto" w:sz="6" w:space="0"/>
              <w:bottom w:val="single" w:color="auto" w:sz="6" w:space="0"/>
              <w:right w:val="single" w:color="auto" w:sz="4" w:space="0"/>
            </w:tcBorders>
            <w:vAlign w:val="center"/>
          </w:tcPr>
          <w:p w14:paraId="075CDAB3">
            <w:pPr>
              <w:spacing w:beforeLines="50"/>
              <w:jc w:val="center"/>
              <w:rPr>
                <w:rFonts w:ascii="宋体" w:hAnsi="宋体" w:eastAsia="宋体" w:cs="宋体"/>
                <w:sz w:val="24"/>
                <w:szCs w:val="24"/>
              </w:rPr>
            </w:pPr>
          </w:p>
        </w:tc>
        <w:tc>
          <w:tcPr>
            <w:tcW w:w="821" w:type="dxa"/>
            <w:tcBorders>
              <w:top w:val="single" w:color="auto" w:sz="4" w:space="0"/>
              <w:left w:val="single" w:color="auto" w:sz="4" w:space="0"/>
              <w:bottom w:val="single" w:color="auto" w:sz="6" w:space="0"/>
              <w:right w:val="single" w:color="auto" w:sz="6" w:space="0"/>
            </w:tcBorders>
            <w:vAlign w:val="center"/>
          </w:tcPr>
          <w:p w14:paraId="0C86BF1C">
            <w:pPr>
              <w:spacing w:beforeLines="50"/>
              <w:jc w:val="center"/>
              <w:rPr>
                <w:rFonts w:ascii="宋体" w:hAnsi="宋体" w:eastAsia="宋体" w:cs="宋体"/>
                <w:sz w:val="24"/>
                <w:szCs w:val="24"/>
              </w:rPr>
            </w:pPr>
          </w:p>
        </w:tc>
        <w:tc>
          <w:tcPr>
            <w:tcW w:w="1339" w:type="dxa"/>
            <w:tcBorders>
              <w:top w:val="single" w:color="auto" w:sz="4" w:space="0"/>
              <w:left w:val="single" w:color="auto" w:sz="6" w:space="0"/>
              <w:bottom w:val="single" w:color="auto" w:sz="6" w:space="0"/>
              <w:right w:val="single" w:color="auto" w:sz="6" w:space="0"/>
            </w:tcBorders>
            <w:vAlign w:val="center"/>
          </w:tcPr>
          <w:p w14:paraId="145B009C">
            <w:pPr>
              <w:spacing w:beforeLines="50"/>
              <w:jc w:val="center"/>
              <w:rPr>
                <w:rFonts w:ascii="宋体" w:hAnsi="宋体" w:eastAsia="宋体" w:cs="宋体"/>
                <w:sz w:val="24"/>
                <w:szCs w:val="24"/>
              </w:rPr>
            </w:pPr>
          </w:p>
        </w:tc>
        <w:tc>
          <w:tcPr>
            <w:tcW w:w="824" w:type="dxa"/>
            <w:tcBorders>
              <w:top w:val="single" w:color="auto" w:sz="4" w:space="0"/>
              <w:left w:val="single" w:color="auto" w:sz="6" w:space="0"/>
              <w:bottom w:val="single" w:color="auto" w:sz="6" w:space="0"/>
              <w:right w:val="single" w:color="auto" w:sz="6" w:space="0"/>
            </w:tcBorders>
            <w:vAlign w:val="center"/>
          </w:tcPr>
          <w:p w14:paraId="33072AA2">
            <w:pPr>
              <w:spacing w:beforeLines="50"/>
              <w:jc w:val="center"/>
              <w:rPr>
                <w:rFonts w:ascii="宋体" w:hAnsi="宋体" w:eastAsia="宋体" w:cs="宋体"/>
                <w:sz w:val="24"/>
                <w:szCs w:val="24"/>
              </w:rPr>
            </w:pPr>
          </w:p>
        </w:tc>
        <w:tc>
          <w:tcPr>
            <w:tcW w:w="1154" w:type="dxa"/>
            <w:tcBorders>
              <w:top w:val="single" w:color="auto" w:sz="4" w:space="0"/>
              <w:left w:val="single" w:color="auto" w:sz="6" w:space="0"/>
              <w:bottom w:val="single" w:color="auto" w:sz="6" w:space="0"/>
              <w:right w:val="single" w:color="auto" w:sz="6" w:space="0"/>
            </w:tcBorders>
            <w:vAlign w:val="center"/>
          </w:tcPr>
          <w:p w14:paraId="355BDADF">
            <w:pPr>
              <w:spacing w:beforeLines="50"/>
              <w:jc w:val="center"/>
              <w:rPr>
                <w:rFonts w:ascii="宋体" w:hAnsi="宋体" w:eastAsia="宋体" w:cs="宋体"/>
                <w:sz w:val="24"/>
                <w:szCs w:val="24"/>
              </w:rPr>
            </w:pPr>
          </w:p>
        </w:tc>
        <w:tc>
          <w:tcPr>
            <w:tcW w:w="983" w:type="dxa"/>
            <w:tcBorders>
              <w:top w:val="single" w:color="auto" w:sz="4" w:space="0"/>
              <w:left w:val="single" w:color="auto" w:sz="6" w:space="0"/>
              <w:bottom w:val="single" w:color="auto" w:sz="6" w:space="0"/>
              <w:right w:val="single" w:color="auto" w:sz="6" w:space="0"/>
            </w:tcBorders>
            <w:vAlign w:val="center"/>
          </w:tcPr>
          <w:p w14:paraId="33FD840D">
            <w:pPr>
              <w:spacing w:beforeLines="50"/>
              <w:jc w:val="center"/>
              <w:rPr>
                <w:rFonts w:ascii="宋体" w:hAnsi="宋体" w:eastAsia="宋体" w:cs="宋体"/>
                <w:sz w:val="24"/>
                <w:szCs w:val="24"/>
              </w:rPr>
            </w:pPr>
          </w:p>
        </w:tc>
        <w:tc>
          <w:tcPr>
            <w:tcW w:w="972" w:type="dxa"/>
            <w:tcBorders>
              <w:top w:val="single" w:color="auto" w:sz="4" w:space="0"/>
              <w:left w:val="single" w:color="auto" w:sz="6" w:space="0"/>
              <w:bottom w:val="single" w:color="auto" w:sz="6" w:space="0"/>
              <w:right w:val="single" w:color="auto" w:sz="6" w:space="0"/>
            </w:tcBorders>
            <w:vAlign w:val="center"/>
          </w:tcPr>
          <w:p w14:paraId="616C2FF1">
            <w:pPr>
              <w:spacing w:beforeLines="50"/>
              <w:jc w:val="center"/>
              <w:rPr>
                <w:rFonts w:ascii="宋体" w:hAnsi="宋体" w:eastAsia="宋体" w:cs="宋体"/>
                <w:sz w:val="24"/>
                <w:szCs w:val="24"/>
              </w:rPr>
            </w:pPr>
          </w:p>
        </w:tc>
      </w:tr>
      <w:tr w14:paraId="7FACE9E4">
        <w:tblPrEx>
          <w:tblCellMar>
            <w:top w:w="0" w:type="dxa"/>
            <w:left w:w="28" w:type="dxa"/>
            <w:bottom w:w="0" w:type="dxa"/>
            <w:right w:w="28" w:type="dxa"/>
          </w:tblCellMar>
        </w:tblPrEx>
        <w:trPr>
          <w:trHeight w:val="515" w:hRule="atLeast"/>
        </w:trPr>
        <w:tc>
          <w:tcPr>
            <w:tcW w:w="1431" w:type="dxa"/>
            <w:gridSpan w:val="2"/>
            <w:tcBorders>
              <w:top w:val="single" w:color="auto" w:sz="4" w:space="0"/>
              <w:left w:val="single" w:color="auto" w:sz="6" w:space="0"/>
              <w:bottom w:val="single" w:color="auto" w:sz="6" w:space="0"/>
            </w:tcBorders>
            <w:vAlign w:val="center"/>
          </w:tcPr>
          <w:p w14:paraId="6521EAC9">
            <w:pPr>
              <w:jc w:val="center"/>
              <w:rPr>
                <w:rFonts w:ascii="宋体" w:hAnsi="宋体" w:eastAsia="宋体" w:cs="宋体"/>
                <w:sz w:val="24"/>
                <w:szCs w:val="24"/>
              </w:rPr>
            </w:pPr>
            <w:r>
              <w:rPr>
                <w:rFonts w:hint="eastAsia" w:ascii="宋体" w:hAnsi="宋体" w:eastAsia="宋体" w:cs="宋体"/>
                <w:sz w:val="24"/>
                <w:szCs w:val="24"/>
              </w:rPr>
              <w:t>投标总报价</w:t>
            </w:r>
          </w:p>
        </w:tc>
        <w:tc>
          <w:tcPr>
            <w:tcW w:w="7268" w:type="dxa"/>
            <w:gridSpan w:val="8"/>
            <w:tcBorders>
              <w:top w:val="single" w:color="auto" w:sz="4" w:space="0"/>
              <w:left w:val="single" w:color="auto" w:sz="6" w:space="0"/>
              <w:bottom w:val="single" w:color="auto" w:sz="6" w:space="0"/>
              <w:right w:val="single" w:color="auto" w:sz="6" w:space="0"/>
            </w:tcBorders>
            <w:vAlign w:val="center"/>
          </w:tcPr>
          <w:p w14:paraId="4A270E35">
            <w:pPr>
              <w:spacing w:beforeLines="50"/>
              <w:jc w:val="left"/>
              <w:rPr>
                <w:rFonts w:ascii="宋体" w:hAnsi="宋体" w:eastAsia="宋体" w:cs="宋体"/>
                <w:sz w:val="24"/>
                <w:szCs w:val="24"/>
              </w:rPr>
            </w:pPr>
            <w:r>
              <w:rPr>
                <w:rFonts w:hint="eastAsia" w:ascii="宋体" w:hAnsi="宋体" w:eastAsia="宋体" w:cs="宋体"/>
                <w:sz w:val="24"/>
                <w:szCs w:val="24"/>
              </w:rPr>
              <w:t xml:space="preserve">大写：                                 小写：            </w:t>
            </w:r>
          </w:p>
        </w:tc>
      </w:tr>
      <w:tr w14:paraId="2ADD9EE5">
        <w:tblPrEx>
          <w:tblCellMar>
            <w:top w:w="0" w:type="dxa"/>
            <w:left w:w="28" w:type="dxa"/>
            <w:bottom w:w="0" w:type="dxa"/>
            <w:right w:w="28" w:type="dxa"/>
          </w:tblCellMar>
        </w:tblPrEx>
        <w:trPr>
          <w:trHeight w:val="577" w:hRule="atLeast"/>
        </w:trPr>
        <w:tc>
          <w:tcPr>
            <w:tcW w:w="1431" w:type="dxa"/>
            <w:gridSpan w:val="2"/>
            <w:tcBorders>
              <w:top w:val="single" w:color="auto" w:sz="4" w:space="0"/>
              <w:left w:val="single" w:color="auto" w:sz="6" w:space="0"/>
              <w:bottom w:val="single" w:color="auto" w:sz="6" w:space="0"/>
            </w:tcBorders>
            <w:vAlign w:val="center"/>
          </w:tcPr>
          <w:p w14:paraId="0F5EF6C2">
            <w:pPr>
              <w:jc w:val="center"/>
              <w:rPr>
                <w:rFonts w:ascii="宋体" w:hAnsi="宋体" w:eastAsia="宋体" w:cs="宋体"/>
                <w:sz w:val="24"/>
                <w:szCs w:val="24"/>
              </w:rPr>
            </w:pPr>
            <w:r>
              <w:rPr>
                <w:rFonts w:hint="eastAsia" w:ascii="宋体" w:hAnsi="宋体" w:eastAsia="宋体" w:cs="宋体"/>
                <w:sz w:val="24"/>
                <w:szCs w:val="24"/>
              </w:rPr>
              <w:t>备注</w:t>
            </w:r>
          </w:p>
        </w:tc>
        <w:tc>
          <w:tcPr>
            <w:tcW w:w="7268" w:type="dxa"/>
            <w:gridSpan w:val="8"/>
            <w:tcBorders>
              <w:top w:val="single" w:color="auto" w:sz="4" w:space="0"/>
              <w:left w:val="single" w:color="auto" w:sz="6" w:space="0"/>
              <w:bottom w:val="single" w:color="auto" w:sz="6" w:space="0"/>
              <w:right w:val="single" w:color="auto" w:sz="6" w:space="0"/>
            </w:tcBorders>
            <w:vAlign w:val="center"/>
          </w:tcPr>
          <w:p w14:paraId="06D61156">
            <w:pPr>
              <w:spacing w:beforeLines="50"/>
              <w:jc w:val="center"/>
              <w:rPr>
                <w:rFonts w:ascii="宋体" w:hAnsi="宋体" w:eastAsia="宋体" w:cs="宋体"/>
                <w:spacing w:val="-6"/>
                <w:sz w:val="24"/>
                <w:szCs w:val="24"/>
              </w:rPr>
            </w:pPr>
            <w:r>
              <w:rPr>
                <w:rFonts w:hint="eastAsia" w:ascii="宋体" w:hAnsi="宋体" w:eastAsia="宋体" w:cs="宋体"/>
                <w:spacing w:val="-6"/>
                <w:sz w:val="24"/>
                <w:szCs w:val="24"/>
              </w:rPr>
              <w:t>保留小数点后两位。</w:t>
            </w:r>
          </w:p>
        </w:tc>
      </w:tr>
    </w:tbl>
    <w:p w14:paraId="02BBF3B7">
      <w:pPr>
        <w:adjustRightInd w:val="0"/>
        <w:snapToGrid w:val="0"/>
        <w:spacing w:line="480" w:lineRule="auto"/>
        <w:rPr>
          <w:rFonts w:ascii="宋体" w:hAnsi="宋体" w:cs="宋体"/>
          <w:sz w:val="24"/>
          <w:szCs w:val="24"/>
        </w:rPr>
      </w:pPr>
    </w:p>
    <w:p w14:paraId="1D7C441B">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供应商（单位名称及公章）：____________________</w:t>
      </w:r>
    </w:p>
    <w:p w14:paraId="1022BDBE">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w:t>
      </w:r>
    </w:p>
    <w:p w14:paraId="7B492C64">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日    期：  ______ 年______月______日</w:t>
      </w:r>
    </w:p>
    <w:p w14:paraId="23DA1284">
      <w:pPr>
        <w:pStyle w:val="3"/>
        <w:rPr>
          <w:rFonts w:ascii="宋体" w:hAnsi="宋体" w:cs="宋体"/>
        </w:rPr>
        <w:sectPr>
          <w:pgSz w:w="11906" w:h="16838"/>
          <w:pgMar w:top="1440" w:right="1803" w:bottom="1440" w:left="1803" w:header="851" w:footer="992" w:gutter="0"/>
          <w:cols w:space="720" w:num="1"/>
          <w:docGrid w:type="lines" w:linePitch="319" w:charSpace="0"/>
        </w:sectPr>
      </w:pPr>
    </w:p>
    <w:p w14:paraId="651D4CFC">
      <w:pPr>
        <w:pStyle w:val="3"/>
        <w:pageBreakBefore/>
        <w:rPr>
          <w:rFonts w:ascii="宋体" w:hAnsi="宋体" w:cs="宋体"/>
          <w:sz w:val="44"/>
          <w:szCs w:val="44"/>
        </w:rPr>
      </w:pPr>
      <w:bookmarkStart w:id="77" w:name="_Toc7122"/>
      <w:r>
        <w:rPr>
          <w:rFonts w:hint="eastAsia" w:ascii="宋体" w:hAnsi="宋体" w:cs="宋体"/>
          <w:sz w:val="44"/>
          <w:szCs w:val="44"/>
        </w:rPr>
        <w:t>第三部分 商务及技术响应说明</w:t>
      </w:r>
      <w:bookmarkEnd w:id="77"/>
    </w:p>
    <w:p w14:paraId="5F5D9C8B">
      <w:pPr>
        <w:pStyle w:val="7"/>
        <w:ind w:firstLine="0"/>
        <w:rPr>
          <w:rFonts w:ascii="宋体" w:hAnsi="宋体" w:eastAsia="宋体" w:cs="宋体"/>
        </w:rPr>
      </w:pPr>
    </w:p>
    <w:p w14:paraId="6A945CD2">
      <w:pPr>
        <w:jc w:val="center"/>
        <w:rPr>
          <w:rFonts w:ascii="宋体" w:hAnsi="宋体" w:eastAsia="宋体" w:cs="宋体"/>
          <w:b/>
          <w:bCs/>
          <w:sz w:val="28"/>
          <w:szCs w:val="32"/>
        </w:rPr>
      </w:pPr>
      <w:r>
        <w:rPr>
          <w:rFonts w:hint="eastAsia" w:ascii="宋体" w:hAnsi="宋体" w:eastAsia="宋体" w:cs="宋体"/>
          <w:b/>
          <w:bCs/>
          <w:sz w:val="28"/>
          <w:szCs w:val="32"/>
        </w:rPr>
        <w:t>商务偏离表</w:t>
      </w:r>
    </w:p>
    <w:tbl>
      <w:tblPr>
        <w:tblStyle w:val="24"/>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6372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4DE655EA">
            <w:pPr>
              <w:pStyle w:val="11"/>
              <w:jc w:val="center"/>
              <w:rPr>
                <w:rFonts w:eastAsia="宋体" w:cs="宋体"/>
                <w:b w:val="0"/>
                <w:bCs w:val="0"/>
                <w:color w:val="auto"/>
                <w:szCs w:val="24"/>
              </w:rPr>
            </w:pPr>
            <w:r>
              <w:rPr>
                <w:rFonts w:hint="eastAsia" w:eastAsia="宋体" w:cs="宋体"/>
                <w:b w:val="0"/>
                <w:bCs w:val="0"/>
                <w:color w:val="auto"/>
                <w:szCs w:val="24"/>
              </w:rPr>
              <w:t>序号</w:t>
            </w:r>
          </w:p>
        </w:tc>
        <w:tc>
          <w:tcPr>
            <w:tcW w:w="1521" w:type="dxa"/>
            <w:vAlign w:val="center"/>
          </w:tcPr>
          <w:p w14:paraId="3959A7FC">
            <w:pPr>
              <w:pStyle w:val="11"/>
              <w:jc w:val="center"/>
              <w:rPr>
                <w:rFonts w:eastAsia="宋体" w:cs="宋体"/>
                <w:b w:val="0"/>
                <w:bCs w:val="0"/>
                <w:color w:val="auto"/>
                <w:szCs w:val="24"/>
              </w:rPr>
            </w:pPr>
            <w:r>
              <w:rPr>
                <w:rFonts w:hint="eastAsia" w:eastAsia="宋体" w:cs="宋体"/>
                <w:b w:val="0"/>
                <w:bCs w:val="0"/>
                <w:color w:val="auto"/>
                <w:szCs w:val="24"/>
              </w:rPr>
              <w:t>商务条款</w:t>
            </w:r>
          </w:p>
        </w:tc>
        <w:tc>
          <w:tcPr>
            <w:tcW w:w="1600" w:type="dxa"/>
            <w:vAlign w:val="center"/>
          </w:tcPr>
          <w:p w14:paraId="6D61371B">
            <w:pPr>
              <w:pStyle w:val="11"/>
              <w:jc w:val="center"/>
              <w:rPr>
                <w:rFonts w:eastAsia="宋体" w:cs="宋体"/>
                <w:b w:val="0"/>
                <w:bCs w:val="0"/>
                <w:color w:val="auto"/>
                <w:szCs w:val="24"/>
              </w:rPr>
            </w:pPr>
            <w:r>
              <w:rPr>
                <w:rFonts w:hint="eastAsia" w:eastAsia="宋体" w:cs="宋体"/>
                <w:b w:val="0"/>
                <w:bCs w:val="0"/>
                <w:color w:val="auto"/>
                <w:szCs w:val="24"/>
              </w:rPr>
              <w:t>商务要求</w:t>
            </w:r>
          </w:p>
          <w:p w14:paraId="3FA6CD49">
            <w:pPr>
              <w:pStyle w:val="11"/>
              <w:jc w:val="center"/>
              <w:rPr>
                <w:rFonts w:eastAsia="宋体" w:cs="宋体"/>
                <w:b w:val="0"/>
                <w:bCs w:val="0"/>
                <w:color w:val="auto"/>
                <w:szCs w:val="24"/>
              </w:rPr>
            </w:pPr>
            <w:r>
              <w:rPr>
                <w:rFonts w:hint="eastAsia" w:eastAsia="宋体" w:cs="宋体"/>
                <w:b w:val="0"/>
                <w:bCs w:val="0"/>
                <w:color w:val="auto"/>
                <w:szCs w:val="24"/>
              </w:rPr>
              <w:t>内容</w:t>
            </w:r>
          </w:p>
        </w:tc>
        <w:tc>
          <w:tcPr>
            <w:tcW w:w="1938" w:type="dxa"/>
            <w:vAlign w:val="center"/>
          </w:tcPr>
          <w:p w14:paraId="472B0A12">
            <w:pPr>
              <w:pStyle w:val="11"/>
              <w:jc w:val="center"/>
              <w:rPr>
                <w:rFonts w:eastAsia="宋体" w:cs="宋体"/>
                <w:b w:val="0"/>
                <w:bCs w:val="0"/>
                <w:color w:val="auto"/>
                <w:szCs w:val="24"/>
              </w:rPr>
            </w:pPr>
            <w:r>
              <w:rPr>
                <w:rFonts w:hint="eastAsia" w:eastAsia="宋体" w:cs="宋体"/>
                <w:b w:val="0"/>
                <w:bCs w:val="0"/>
                <w:color w:val="auto"/>
                <w:szCs w:val="24"/>
              </w:rPr>
              <w:t>响应文件</w:t>
            </w:r>
          </w:p>
          <w:p w14:paraId="40C76F9A">
            <w:pPr>
              <w:pStyle w:val="11"/>
              <w:jc w:val="center"/>
              <w:rPr>
                <w:rFonts w:eastAsia="宋体" w:cs="宋体"/>
                <w:b w:val="0"/>
                <w:bCs w:val="0"/>
                <w:color w:val="auto"/>
                <w:szCs w:val="24"/>
              </w:rPr>
            </w:pPr>
            <w:r>
              <w:rPr>
                <w:rFonts w:hint="eastAsia" w:eastAsia="宋体" w:cs="宋体"/>
                <w:b w:val="0"/>
                <w:bCs w:val="0"/>
                <w:color w:val="auto"/>
                <w:szCs w:val="24"/>
              </w:rPr>
              <w:t>响应商务内容</w:t>
            </w:r>
          </w:p>
        </w:tc>
        <w:tc>
          <w:tcPr>
            <w:tcW w:w="1410" w:type="dxa"/>
            <w:vAlign w:val="center"/>
          </w:tcPr>
          <w:p w14:paraId="1B6D22D6">
            <w:pPr>
              <w:pStyle w:val="11"/>
              <w:jc w:val="center"/>
              <w:rPr>
                <w:rFonts w:eastAsia="宋体" w:cs="宋体"/>
                <w:b w:val="0"/>
                <w:bCs w:val="0"/>
                <w:color w:val="auto"/>
                <w:szCs w:val="24"/>
              </w:rPr>
            </w:pPr>
            <w:r>
              <w:rPr>
                <w:rFonts w:hint="eastAsia" w:eastAsia="宋体" w:cs="宋体"/>
                <w:b w:val="0"/>
                <w:bCs w:val="0"/>
                <w:color w:val="auto"/>
                <w:szCs w:val="24"/>
              </w:rPr>
              <w:t>偏离情况</w:t>
            </w:r>
          </w:p>
        </w:tc>
        <w:tc>
          <w:tcPr>
            <w:tcW w:w="1356" w:type="dxa"/>
            <w:vAlign w:val="center"/>
          </w:tcPr>
          <w:p w14:paraId="723EE448">
            <w:pPr>
              <w:pStyle w:val="11"/>
              <w:jc w:val="center"/>
              <w:rPr>
                <w:rFonts w:eastAsia="宋体" w:cs="宋体"/>
                <w:b w:val="0"/>
                <w:bCs w:val="0"/>
                <w:color w:val="auto"/>
                <w:szCs w:val="24"/>
              </w:rPr>
            </w:pPr>
            <w:r>
              <w:rPr>
                <w:rFonts w:hint="eastAsia" w:eastAsia="宋体" w:cs="宋体"/>
                <w:b w:val="0"/>
                <w:bCs w:val="0"/>
                <w:color w:val="auto"/>
                <w:szCs w:val="24"/>
              </w:rPr>
              <w:t>说明</w:t>
            </w:r>
          </w:p>
        </w:tc>
      </w:tr>
      <w:tr w14:paraId="0E69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706CF60">
            <w:pPr>
              <w:pStyle w:val="11"/>
              <w:rPr>
                <w:rFonts w:eastAsia="宋体" w:cs="宋体"/>
                <w:szCs w:val="24"/>
              </w:rPr>
            </w:pPr>
          </w:p>
        </w:tc>
        <w:tc>
          <w:tcPr>
            <w:tcW w:w="1521" w:type="dxa"/>
          </w:tcPr>
          <w:p w14:paraId="7E90F870">
            <w:pPr>
              <w:pStyle w:val="11"/>
              <w:rPr>
                <w:rFonts w:eastAsia="宋体" w:cs="宋体"/>
                <w:szCs w:val="24"/>
              </w:rPr>
            </w:pPr>
          </w:p>
        </w:tc>
        <w:tc>
          <w:tcPr>
            <w:tcW w:w="1600" w:type="dxa"/>
            <w:vAlign w:val="center"/>
          </w:tcPr>
          <w:p w14:paraId="33C4E793">
            <w:pPr>
              <w:pStyle w:val="11"/>
              <w:rPr>
                <w:rFonts w:eastAsia="宋体" w:cs="宋体"/>
                <w:szCs w:val="24"/>
              </w:rPr>
            </w:pPr>
          </w:p>
        </w:tc>
        <w:tc>
          <w:tcPr>
            <w:tcW w:w="1938" w:type="dxa"/>
            <w:vAlign w:val="center"/>
          </w:tcPr>
          <w:p w14:paraId="12186CDA">
            <w:pPr>
              <w:pStyle w:val="11"/>
              <w:rPr>
                <w:rFonts w:eastAsia="宋体" w:cs="宋体"/>
                <w:szCs w:val="24"/>
              </w:rPr>
            </w:pPr>
          </w:p>
        </w:tc>
        <w:tc>
          <w:tcPr>
            <w:tcW w:w="1410" w:type="dxa"/>
            <w:vAlign w:val="center"/>
          </w:tcPr>
          <w:p w14:paraId="1F5E5EB3">
            <w:pPr>
              <w:pStyle w:val="11"/>
              <w:rPr>
                <w:rFonts w:eastAsia="宋体" w:cs="宋体"/>
                <w:szCs w:val="24"/>
              </w:rPr>
            </w:pPr>
          </w:p>
        </w:tc>
        <w:tc>
          <w:tcPr>
            <w:tcW w:w="1356" w:type="dxa"/>
            <w:vAlign w:val="center"/>
          </w:tcPr>
          <w:p w14:paraId="4F6AC6E3">
            <w:pPr>
              <w:pStyle w:val="11"/>
              <w:rPr>
                <w:rFonts w:eastAsia="宋体" w:cs="宋体"/>
                <w:szCs w:val="24"/>
              </w:rPr>
            </w:pPr>
          </w:p>
        </w:tc>
      </w:tr>
      <w:tr w14:paraId="68B9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7DBB1BB">
            <w:pPr>
              <w:pStyle w:val="11"/>
              <w:rPr>
                <w:rFonts w:eastAsia="宋体" w:cs="宋体"/>
                <w:szCs w:val="24"/>
              </w:rPr>
            </w:pPr>
          </w:p>
        </w:tc>
        <w:tc>
          <w:tcPr>
            <w:tcW w:w="1521" w:type="dxa"/>
          </w:tcPr>
          <w:p w14:paraId="78E841EC">
            <w:pPr>
              <w:pStyle w:val="11"/>
              <w:rPr>
                <w:rFonts w:eastAsia="宋体" w:cs="宋体"/>
                <w:szCs w:val="24"/>
              </w:rPr>
            </w:pPr>
          </w:p>
        </w:tc>
        <w:tc>
          <w:tcPr>
            <w:tcW w:w="1600" w:type="dxa"/>
          </w:tcPr>
          <w:p w14:paraId="4C68A095">
            <w:pPr>
              <w:pStyle w:val="11"/>
              <w:rPr>
                <w:rFonts w:eastAsia="宋体" w:cs="宋体"/>
                <w:szCs w:val="24"/>
              </w:rPr>
            </w:pPr>
          </w:p>
        </w:tc>
        <w:tc>
          <w:tcPr>
            <w:tcW w:w="1938" w:type="dxa"/>
          </w:tcPr>
          <w:p w14:paraId="4BEEEDF7">
            <w:pPr>
              <w:pStyle w:val="11"/>
              <w:rPr>
                <w:rFonts w:eastAsia="宋体" w:cs="宋体"/>
                <w:szCs w:val="24"/>
              </w:rPr>
            </w:pPr>
          </w:p>
        </w:tc>
        <w:tc>
          <w:tcPr>
            <w:tcW w:w="1410" w:type="dxa"/>
          </w:tcPr>
          <w:p w14:paraId="2069F829">
            <w:pPr>
              <w:pStyle w:val="11"/>
              <w:rPr>
                <w:rFonts w:eastAsia="宋体" w:cs="宋体"/>
                <w:szCs w:val="24"/>
              </w:rPr>
            </w:pPr>
          </w:p>
        </w:tc>
        <w:tc>
          <w:tcPr>
            <w:tcW w:w="1356" w:type="dxa"/>
          </w:tcPr>
          <w:p w14:paraId="2C76EA8D">
            <w:pPr>
              <w:pStyle w:val="11"/>
              <w:rPr>
                <w:rFonts w:eastAsia="宋体" w:cs="宋体"/>
                <w:szCs w:val="24"/>
              </w:rPr>
            </w:pPr>
          </w:p>
        </w:tc>
      </w:tr>
      <w:tr w14:paraId="3A1B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B9D0660">
            <w:pPr>
              <w:pStyle w:val="11"/>
              <w:rPr>
                <w:rFonts w:eastAsia="宋体" w:cs="宋体"/>
                <w:szCs w:val="24"/>
              </w:rPr>
            </w:pPr>
          </w:p>
        </w:tc>
        <w:tc>
          <w:tcPr>
            <w:tcW w:w="1521" w:type="dxa"/>
          </w:tcPr>
          <w:p w14:paraId="024C64C6">
            <w:pPr>
              <w:pStyle w:val="11"/>
              <w:rPr>
                <w:rFonts w:eastAsia="宋体" w:cs="宋体"/>
                <w:szCs w:val="24"/>
              </w:rPr>
            </w:pPr>
          </w:p>
        </w:tc>
        <w:tc>
          <w:tcPr>
            <w:tcW w:w="1600" w:type="dxa"/>
          </w:tcPr>
          <w:p w14:paraId="74C3B867">
            <w:pPr>
              <w:pStyle w:val="11"/>
              <w:rPr>
                <w:rFonts w:eastAsia="宋体" w:cs="宋体"/>
                <w:szCs w:val="24"/>
              </w:rPr>
            </w:pPr>
          </w:p>
        </w:tc>
        <w:tc>
          <w:tcPr>
            <w:tcW w:w="1938" w:type="dxa"/>
          </w:tcPr>
          <w:p w14:paraId="763A54D6">
            <w:pPr>
              <w:pStyle w:val="11"/>
              <w:rPr>
                <w:rFonts w:eastAsia="宋体" w:cs="宋体"/>
                <w:szCs w:val="24"/>
              </w:rPr>
            </w:pPr>
          </w:p>
        </w:tc>
        <w:tc>
          <w:tcPr>
            <w:tcW w:w="1410" w:type="dxa"/>
          </w:tcPr>
          <w:p w14:paraId="45924559">
            <w:pPr>
              <w:pStyle w:val="11"/>
              <w:rPr>
                <w:rFonts w:eastAsia="宋体" w:cs="宋体"/>
                <w:szCs w:val="24"/>
              </w:rPr>
            </w:pPr>
          </w:p>
        </w:tc>
        <w:tc>
          <w:tcPr>
            <w:tcW w:w="1356" w:type="dxa"/>
          </w:tcPr>
          <w:p w14:paraId="1DC98BBD">
            <w:pPr>
              <w:pStyle w:val="11"/>
              <w:rPr>
                <w:rFonts w:eastAsia="宋体" w:cs="宋体"/>
                <w:szCs w:val="24"/>
              </w:rPr>
            </w:pPr>
          </w:p>
        </w:tc>
      </w:tr>
      <w:tr w14:paraId="150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0E88077">
            <w:pPr>
              <w:pStyle w:val="11"/>
              <w:rPr>
                <w:rFonts w:eastAsia="宋体" w:cs="宋体"/>
                <w:szCs w:val="24"/>
              </w:rPr>
            </w:pPr>
          </w:p>
        </w:tc>
        <w:tc>
          <w:tcPr>
            <w:tcW w:w="1521" w:type="dxa"/>
          </w:tcPr>
          <w:p w14:paraId="38877B4B">
            <w:pPr>
              <w:pStyle w:val="11"/>
              <w:rPr>
                <w:rFonts w:eastAsia="宋体" w:cs="宋体"/>
                <w:szCs w:val="24"/>
              </w:rPr>
            </w:pPr>
          </w:p>
        </w:tc>
        <w:tc>
          <w:tcPr>
            <w:tcW w:w="1600" w:type="dxa"/>
          </w:tcPr>
          <w:p w14:paraId="44E48178">
            <w:pPr>
              <w:pStyle w:val="11"/>
              <w:rPr>
                <w:rFonts w:eastAsia="宋体" w:cs="宋体"/>
                <w:szCs w:val="24"/>
              </w:rPr>
            </w:pPr>
          </w:p>
        </w:tc>
        <w:tc>
          <w:tcPr>
            <w:tcW w:w="1938" w:type="dxa"/>
          </w:tcPr>
          <w:p w14:paraId="0DCA145D">
            <w:pPr>
              <w:pStyle w:val="11"/>
              <w:rPr>
                <w:rFonts w:eastAsia="宋体" w:cs="宋体"/>
                <w:szCs w:val="24"/>
              </w:rPr>
            </w:pPr>
          </w:p>
        </w:tc>
        <w:tc>
          <w:tcPr>
            <w:tcW w:w="1410" w:type="dxa"/>
          </w:tcPr>
          <w:p w14:paraId="72813979">
            <w:pPr>
              <w:pStyle w:val="11"/>
              <w:rPr>
                <w:rFonts w:eastAsia="宋体" w:cs="宋体"/>
                <w:szCs w:val="24"/>
              </w:rPr>
            </w:pPr>
          </w:p>
        </w:tc>
        <w:tc>
          <w:tcPr>
            <w:tcW w:w="1356" w:type="dxa"/>
          </w:tcPr>
          <w:p w14:paraId="17AEFB45">
            <w:pPr>
              <w:pStyle w:val="11"/>
              <w:rPr>
                <w:rFonts w:eastAsia="宋体" w:cs="宋体"/>
                <w:szCs w:val="24"/>
              </w:rPr>
            </w:pPr>
          </w:p>
        </w:tc>
      </w:tr>
      <w:tr w14:paraId="035C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7A8D6E1">
            <w:pPr>
              <w:pStyle w:val="11"/>
              <w:rPr>
                <w:rFonts w:eastAsia="宋体" w:cs="宋体"/>
                <w:szCs w:val="24"/>
              </w:rPr>
            </w:pPr>
          </w:p>
        </w:tc>
        <w:tc>
          <w:tcPr>
            <w:tcW w:w="1521" w:type="dxa"/>
          </w:tcPr>
          <w:p w14:paraId="2BCD9E2C">
            <w:pPr>
              <w:pStyle w:val="11"/>
              <w:rPr>
                <w:rFonts w:eastAsia="宋体" w:cs="宋体"/>
                <w:szCs w:val="24"/>
              </w:rPr>
            </w:pPr>
          </w:p>
        </w:tc>
        <w:tc>
          <w:tcPr>
            <w:tcW w:w="1600" w:type="dxa"/>
          </w:tcPr>
          <w:p w14:paraId="4FA05A79">
            <w:pPr>
              <w:pStyle w:val="11"/>
              <w:rPr>
                <w:rFonts w:eastAsia="宋体" w:cs="宋体"/>
                <w:szCs w:val="24"/>
              </w:rPr>
            </w:pPr>
          </w:p>
        </w:tc>
        <w:tc>
          <w:tcPr>
            <w:tcW w:w="1938" w:type="dxa"/>
          </w:tcPr>
          <w:p w14:paraId="17B210AB">
            <w:pPr>
              <w:pStyle w:val="11"/>
              <w:rPr>
                <w:rFonts w:eastAsia="宋体" w:cs="宋体"/>
                <w:szCs w:val="24"/>
              </w:rPr>
            </w:pPr>
          </w:p>
        </w:tc>
        <w:tc>
          <w:tcPr>
            <w:tcW w:w="1410" w:type="dxa"/>
          </w:tcPr>
          <w:p w14:paraId="6A338FCE">
            <w:pPr>
              <w:pStyle w:val="11"/>
              <w:rPr>
                <w:rFonts w:eastAsia="宋体" w:cs="宋体"/>
                <w:szCs w:val="24"/>
              </w:rPr>
            </w:pPr>
          </w:p>
        </w:tc>
        <w:tc>
          <w:tcPr>
            <w:tcW w:w="1356" w:type="dxa"/>
          </w:tcPr>
          <w:p w14:paraId="021A385C">
            <w:pPr>
              <w:pStyle w:val="11"/>
              <w:rPr>
                <w:rFonts w:eastAsia="宋体" w:cs="宋体"/>
                <w:szCs w:val="24"/>
              </w:rPr>
            </w:pPr>
          </w:p>
        </w:tc>
      </w:tr>
      <w:tr w14:paraId="4922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DEF6311">
            <w:pPr>
              <w:pStyle w:val="11"/>
              <w:rPr>
                <w:rFonts w:eastAsia="宋体" w:cs="宋体"/>
                <w:szCs w:val="24"/>
              </w:rPr>
            </w:pPr>
          </w:p>
        </w:tc>
        <w:tc>
          <w:tcPr>
            <w:tcW w:w="1521" w:type="dxa"/>
          </w:tcPr>
          <w:p w14:paraId="3F9711FD">
            <w:pPr>
              <w:pStyle w:val="11"/>
              <w:rPr>
                <w:rFonts w:eastAsia="宋体" w:cs="宋体"/>
                <w:szCs w:val="24"/>
              </w:rPr>
            </w:pPr>
          </w:p>
        </w:tc>
        <w:tc>
          <w:tcPr>
            <w:tcW w:w="1600" w:type="dxa"/>
          </w:tcPr>
          <w:p w14:paraId="3025D9E9">
            <w:pPr>
              <w:pStyle w:val="11"/>
              <w:rPr>
                <w:rFonts w:eastAsia="宋体" w:cs="宋体"/>
                <w:szCs w:val="24"/>
              </w:rPr>
            </w:pPr>
          </w:p>
        </w:tc>
        <w:tc>
          <w:tcPr>
            <w:tcW w:w="1938" w:type="dxa"/>
          </w:tcPr>
          <w:p w14:paraId="51DDC42A">
            <w:pPr>
              <w:pStyle w:val="11"/>
              <w:rPr>
                <w:rFonts w:eastAsia="宋体" w:cs="宋体"/>
                <w:szCs w:val="24"/>
              </w:rPr>
            </w:pPr>
          </w:p>
        </w:tc>
        <w:tc>
          <w:tcPr>
            <w:tcW w:w="1410" w:type="dxa"/>
          </w:tcPr>
          <w:p w14:paraId="2C09CE1A">
            <w:pPr>
              <w:pStyle w:val="11"/>
              <w:rPr>
                <w:rFonts w:eastAsia="宋体" w:cs="宋体"/>
                <w:szCs w:val="24"/>
              </w:rPr>
            </w:pPr>
          </w:p>
        </w:tc>
        <w:tc>
          <w:tcPr>
            <w:tcW w:w="1356" w:type="dxa"/>
          </w:tcPr>
          <w:p w14:paraId="4B494E16">
            <w:pPr>
              <w:pStyle w:val="11"/>
              <w:rPr>
                <w:rFonts w:eastAsia="宋体" w:cs="宋体"/>
                <w:szCs w:val="24"/>
              </w:rPr>
            </w:pPr>
          </w:p>
        </w:tc>
      </w:tr>
      <w:tr w14:paraId="4530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24E9C69">
            <w:pPr>
              <w:pStyle w:val="11"/>
              <w:rPr>
                <w:rFonts w:eastAsia="宋体" w:cs="宋体"/>
                <w:szCs w:val="24"/>
              </w:rPr>
            </w:pPr>
          </w:p>
        </w:tc>
        <w:tc>
          <w:tcPr>
            <w:tcW w:w="1521" w:type="dxa"/>
          </w:tcPr>
          <w:p w14:paraId="7B856DAE">
            <w:pPr>
              <w:pStyle w:val="11"/>
              <w:rPr>
                <w:rFonts w:eastAsia="宋体" w:cs="宋体"/>
                <w:szCs w:val="24"/>
              </w:rPr>
            </w:pPr>
          </w:p>
        </w:tc>
        <w:tc>
          <w:tcPr>
            <w:tcW w:w="1600" w:type="dxa"/>
          </w:tcPr>
          <w:p w14:paraId="3B1FF8AC">
            <w:pPr>
              <w:pStyle w:val="11"/>
              <w:rPr>
                <w:rFonts w:eastAsia="宋体" w:cs="宋体"/>
                <w:szCs w:val="24"/>
              </w:rPr>
            </w:pPr>
          </w:p>
        </w:tc>
        <w:tc>
          <w:tcPr>
            <w:tcW w:w="1938" w:type="dxa"/>
          </w:tcPr>
          <w:p w14:paraId="7BBE1FFD">
            <w:pPr>
              <w:pStyle w:val="11"/>
              <w:rPr>
                <w:rFonts w:eastAsia="宋体" w:cs="宋体"/>
                <w:szCs w:val="24"/>
              </w:rPr>
            </w:pPr>
          </w:p>
        </w:tc>
        <w:tc>
          <w:tcPr>
            <w:tcW w:w="1410" w:type="dxa"/>
          </w:tcPr>
          <w:p w14:paraId="236C0BD4">
            <w:pPr>
              <w:pStyle w:val="11"/>
              <w:rPr>
                <w:rFonts w:eastAsia="宋体" w:cs="宋体"/>
                <w:szCs w:val="24"/>
              </w:rPr>
            </w:pPr>
          </w:p>
        </w:tc>
        <w:tc>
          <w:tcPr>
            <w:tcW w:w="1356" w:type="dxa"/>
          </w:tcPr>
          <w:p w14:paraId="34540545">
            <w:pPr>
              <w:pStyle w:val="11"/>
              <w:rPr>
                <w:rFonts w:eastAsia="宋体" w:cs="宋体"/>
                <w:szCs w:val="24"/>
              </w:rPr>
            </w:pPr>
          </w:p>
        </w:tc>
      </w:tr>
      <w:tr w14:paraId="2B7C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6C668DE6">
            <w:pPr>
              <w:pStyle w:val="11"/>
              <w:rPr>
                <w:rFonts w:eastAsia="宋体" w:cs="宋体"/>
                <w:szCs w:val="24"/>
              </w:rPr>
            </w:pPr>
          </w:p>
        </w:tc>
        <w:tc>
          <w:tcPr>
            <w:tcW w:w="1521" w:type="dxa"/>
          </w:tcPr>
          <w:p w14:paraId="62F7F48E">
            <w:pPr>
              <w:pStyle w:val="11"/>
              <w:rPr>
                <w:rFonts w:eastAsia="宋体" w:cs="宋体"/>
                <w:szCs w:val="24"/>
              </w:rPr>
            </w:pPr>
          </w:p>
        </w:tc>
        <w:tc>
          <w:tcPr>
            <w:tcW w:w="1600" w:type="dxa"/>
          </w:tcPr>
          <w:p w14:paraId="2006DCFF">
            <w:pPr>
              <w:pStyle w:val="11"/>
              <w:rPr>
                <w:rFonts w:eastAsia="宋体" w:cs="宋体"/>
                <w:szCs w:val="24"/>
              </w:rPr>
            </w:pPr>
          </w:p>
        </w:tc>
        <w:tc>
          <w:tcPr>
            <w:tcW w:w="1938" w:type="dxa"/>
          </w:tcPr>
          <w:p w14:paraId="24C23E0C">
            <w:pPr>
              <w:pStyle w:val="11"/>
              <w:rPr>
                <w:rFonts w:eastAsia="宋体" w:cs="宋体"/>
                <w:szCs w:val="24"/>
              </w:rPr>
            </w:pPr>
          </w:p>
        </w:tc>
        <w:tc>
          <w:tcPr>
            <w:tcW w:w="1410" w:type="dxa"/>
          </w:tcPr>
          <w:p w14:paraId="3362C2FB">
            <w:pPr>
              <w:pStyle w:val="11"/>
              <w:rPr>
                <w:rFonts w:eastAsia="宋体" w:cs="宋体"/>
                <w:szCs w:val="24"/>
              </w:rPr>
            </w:pPr>
          </w:p>
        </w:tc>
        <w:tc>
          <w:tcPr>
            <w:tcW w:w="1356" w:type="dxa"/>
          </w:tcPr>
          <w:p w14:paraId="4EECF8AA">
            <w:pPr>
              <w:pStyle w:val="11"/>
              <w:rPr>
                <w:rFonts w:eastAsia="宋体" w:cs="宋体"/>
                <w:szCs w:val="24"/>
              </w:rPr>
            </w:pPr>
          </w:p>
        </w:tc>
      </w:tr>
    </w:tbl>
    <w:p w14:paraId="397C88A2">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1.本表须按“供应商须知前附表”中所列商务条款进行比较和响应；</w:t>
      </w:r>
    </w:p>
    <w:p w14:paraId="57C6AE1D">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14:paraId="7288391E">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3.该表可扩展。</w:t>
      </w:r>
    </w:p>
    <w:p w14:paraId="2220FBC5">
      <w:pPr>
        <w:pStyle w:val="7"/>
        <w:spacing w:line="360" w:lineRule="auto"/>
        <w:ind w:left="140" w:firstLine="0"/>
        <w:rPr>
          <w:rFonts w:ascii="宋体" w:hAnsi="宋体" w:eastAsia="宋体" w:cs="宋体"/>
          <w:b/>
          <w:bCs/>
          <w:sz w:val="28"/>
          <w:szCs w:val="28"/>
        </w:rPr>
      </w:pPr>
      <w:r>
        <w:rPr>
          <w:rFonts w:hint="eastAsia" w:ascii="宋体" w:hAnsi="宋体" w:eastAsia="宋体" w:cs="宋体"/>
          <w:b/>
          <w:bCs/>
          <w:sz w:val="24"/>
          <w:szCs w:val="24"/>
        </w:rPr>
        <w:t>商务条款不允许负偏离；</w:t>
      </w:r>
    </w:p>
    <w:p w14:paraId="75E81C92">
      <w:pPr>
        <w:pStyle w:val="7"/>
        <w:ind w:firstLine="0"/>
        <w:rPr>
          <w:rFonts w:ascii="宋体" w:hAnsi="宋体" w:eastAsia="宋体" w:cs="宋体"/>
          <w:sz w:val="28"/>
          <w:szCs w:val="28"/>
        </w:rPr>
      </w:pPr>
    </w:p>
    <w:p w14:paraId="3C7F1D2F">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59FD49BE">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3100926C">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日    期： _____年_____ 月_____日</w:t>
      </w:r>
    </w:p>
    <w:p w14:paraId="15A4FFD6">
      <w:pPr>
        <w:jc w:val="center"/>
        <w:rPr>
          <w:rFonts w:ascii="宋体" w:hAnsi="宋体" w:eastAsia="宋体" w:cs="宋体"/>
          <w:b/>
          <w:bCs/>
          <w:sz w:val="28"/>
          <w:szCs w:val="32"/>
        </w:rPr>
        <w:sectPr>
          <w:pgSz w:w="11906" w:h="16838"/>
          <w:pgMar w:top="1440" w:right="1803" w:bottom="1440" w:left="1803" w:header="851" w:footer="992" w:gutter="0"/>
          <w:cols w:space="720" w:num="1"/>
          <w:docGrid w:type="lines" w:linePitch="319" w:charSpace="0"/>
        </w:sectPr>
      </w:pPr>
    </w:p>
    <w:p w14:paraId="7056FE4B">
      <w:pPr>
        <w:jc w:val="center"/>
        <w:rPr>
          <w:rFonts w:ascii="宋体" w:hAnsi="宋体" w:eastAsia="宋体" w:cs="宋体"/>
          <w:b/>
          <w:bCs/>
          <w:sz w:val="28"/>
          <w:szCs w:val="32"/>
        </w:rPr>
      </w:pPr>
      <w:r>
        <w:rPr>
          <w:rFonts w:hint="eastAsia" w:ascii="宋体" w:hAnsi="宋体" w:eastAsia="宋体" w:cs="宋体"/>
          <w:b/>
          <w:bCs/>
          <w:sz w:val="28"/>
          <w:szCs w:val="32"/>
        </w:rPr>
        <w:t>技术偏离表</w:t>
      </w:r>
    </w:p>
    <w:p w14:paraId="714BF6FD">
      <w:pPr>
        <w:pStyle w:val="7"/>
        <w:ind w:firstLine="0"/>
        <w:rPr>
          <w:rFonts w:ascii="宋体" w:hAnsi="宋体" w:eastAsia="宋体" w:cs="宋体"/>
        </w:rPr>
      </w:pPr>
    </w:p>
    <w:tbl>
      <w:tblPr>
        <w:tblStyle w:val="24"/>
        <w:tblW w:w="869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29"/>
        <w:gridCol w:w="1853"/>
        <w:gridCol w:w="1494"/>
        <w:gridCol w:w="1333"/>
        <w:gridCol w:w="1282"/>
      </w:tblGrid>
      <w:tr w14:paraId="622C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05" w:type="dxa"/>
            <w:vAlign w:val="center"/>
          </w:tcPr>
          <w:p w14:paraId="16ACA099">
            <w:pPr>
              <w:pStyle w:val="11"/>
              <w:jc w:val="center"/>
              <w:rPr>
                <w:rFonts w:eastAsia="宋体" w:cs="宋体"/>
                <w:b w:val="0"/>
                <w:bCs w:val="0"/>
                <w:color w:val="auto"/>
                <w:szCs w:val="24"/>
              </w:rPr>
            </w:pPr>
            <w:r>
              <w:rPr>
                <w:rFonts w:hint="eastAsia" w:eastAsia="宋体" w:cs="宋体"/>
                <w:b w:val="0"/>
                <w:bCs w:val="0"/>
                <w:color w:val="auto"/>
                <w:szCs w:val="24"/>
              </w:rPr>
              <w:t>序号</w:t>
            </w:r>
          </w:p>
        </w:tc>
        <w:tc>
          <w:tcPr>
            <w:tcW w:w="1429" w:type="dxa"/>
            <w:vAlign w:val="center"/>
          </w:tcPr>
          <w:p w14:paraId="6175C487">
            <w:pPr>
              <w:spacing w:line="500" w:lineRule="exact"/>
              <w:jc w:val="center"/>
              <w:rPr>
                <w:rFonts w:ascii="宋体" w:hAnsi="宋体" w:eastAsia="宋体" w:cs="宋体"/>
                <w:sz w:val="24"/>
                <w:szCs w:val="24"/>
              </w:rPr>
            </w:pPr>
            <w:r>
              <w:rPr>
                <w:rFonts w:hint="eastAsia" w:ascii="宋体" w:hAnsi="宋体" w:eastAsia="宋体" w:cs="宋体"/>
                <w:sz w:val="24"/>
                <w:szCs w:val="24"/>
              </w:rPr>
              <w:t>产品名称</w:t>
            </w:r>
          </w:p>
        </w:tc>
        <w:tc>
          <w:tcPr>
            <w:tcW w:w="1853" w:type="dxa"/>
            <w:vAlign w:val="center"/>
          </w:tcPr>
          <w:p w14:paraId="18D4DC77">
            <w:pPr>
              <w:spacing w:line="500" w:lineRule="exact"/>
              <w:jc w:val="center"/>
              <w:rPr>
                <w:rFonts w:ascii="宋体" w:hAnsi="宋体" w:eastAsia="宋体" w:cs="宋体"/>
                <w:sz w:val="24"/>
                <w:szCs w:val="24"/>
              </w:rPr>
            </w:pPr>
            <w:r>
              <w:rPr>
                <w:rFonts w:hint="eastAsia" w:ascii="宋体" w:hAnsi="宋体" w:eastAsia="宋体" w:cs="宋体"/>
                <w:sz w:val="24"/>
                <w:szCs w:val="24"/>
              </w:rPr>
              <w:t>采购文件</w:t>
            </w:r>
          </w:p>
          <w:p w14:paraId="1172FD00">
            <w:pPr>
              <w:spacing w:line="500" w:lineRule="exact"/>
              <w:jc w:val="center"/>
              <w:rPr>
                <w:rFonts w:ascii="宋体" w:hAnsi="宋体" w:eastAsia="宋体" w:cs="宋体"/>
                <w:sz w:val="24"/>
                <w:szCs w:val="24"/>
              </w:rPr>
            </w:pPr>
            <w:r>
              <w:rPr>
                <w:rFonts w:hint="eastAsia" w:ascii="宋体" w:hAnsi="宋体" w:eastAsia="宋体" w:cs="宋体"/>
                <w:sz w:val="24"/>
                <w:szCs w:val="24"/>
              </w:rPr>
              <w:t>技术要求</w:t>
            </w:r>
          </w:p>
        </w:tc>
        <w:tc>
          <w:tcPr>
            <w:tcW w:w="1494" w:type="dxa"/>
            <w:vAlign w:val="center"/>
          </w:tcPr>
          <w:p w14:paraId="38560CD4">
            <w:pPr>
              <w:spacing w:line="500" w:lineRule="exact"/>
              <w:jc w:val="center"/>
              <w:rPr>
                <w:rFonts w:ascii="宋体" w:hAnsi="宋体" w:eastAsia="宋体" w:cs="宋体"/>
                <w:sz w:val="24"/>
                <w:szCs w:val="24"/>
              </w:rPr>
            </w:pPr>
            <w:r>
              <w:rPr>
                <w:rFonts w:hint="eastAsia" w:ascii="宋体" w:hAnsi="宋体" w:eastAsia="宋体" w:cs="宋体"/>
                <w:sz w:val="24"/>
                <w:szCs w:val="24"/>
              </w:rPr>
              <w:t>响应技术</w:t>
            </w:r>
          </w:p>
          <w:p w14:paraId="435718E9">
            <w:pPr>
              <w:spacing w:line="500" w:lineRule="exact"/>
              <w:jc w:val="center"/>
              <w:rPr>
                <w:rFonts w:ascii="宋体" w:hAnsi="宋体" w:eastAsia="宋体" w:cs="宋体"/>
                <w:sz w:val="24"/>
                <w:szCs w:val="24"/>
              </w:rPr>
            </w:pPr>
            <w:r>
              <w:rPr>
                <w:rFonts w:hint="eastAsia" w:ascii="宋体" w:hAnsi="宋体" w:eastAsia="宋体" w:cs="宋体"/>
                <w:sz w:val="24"/>
                <w:szCs w:val="24"/>
              </w:rPr>
              <w:t>内容</w:t>
            </w:r>
          </w:p>
        </w:tc>
        <w:tc>
          <w:tcPr>
            <w:tcW w:w="1333" w:type="dxa"/>
            <w:vAlign w:val="center"/>
          </w:tcPr>
          <w:p w14:paraId="046FCC24">
            <w:pPr>
              <w:spacing w:line="500" w:lineRule="exact"/>
              <w:jc w:val="center"/>
              <w:rPr>
                <w:rFonts w:ascii="宋体" w:hAnsi="宋体" w:eastAsia="宋体" w:cs="宋体"/>
                <w:sz w:val="24"/>
                <w:szCs w:val="24"/>
              </w:rPr>
            </w:pPr>
            <w:r>
              <w:rPr>
                <w:rFonts w:hint="eastAsia" w:ascii="宋体" w:hAnsi="宋体" w:eastAsia="宋体" w:cs="宋体"/>
                <w:sz w:val="24"/>
                <w:szCs w:val="24"/>
              </w:rPr>
              <w:t>偏离说明</w:t>
            </w:r>
          </w:p>
        </w:tc>
        <w:tc>
          <w:tcPr>
            <w:tcW w:w="1282" w:type="dxa"/>
            <w:vAlign w:val="center"/>
          </w:tcPr>
          <w:p w14:paraId="5AA2C22A">
            <w:pPr>
              <w:pStyle w:val="11"/>
              <w:jc w:val="center"/>
              <w:rPr>
                <w:rFonts w:eastAsia="宋体" w:cs="宋体"/>
                <w:b w:val="0"/>
                <w:bCs w:val="0"/>
                <w:color w:val="auto"/>
                <w:szCs w:val="24"/>
              </w:rPr>
            </w:pPr>
            <w:r>
              <w:rPr>
                <w:rFonts w:hint="eastAsia" w:eastAsia="宋体" w:cs="宋体"/>
                <w:b w:val="0"/>
                <w:bCs w:val="0"/>
                <w:color w:val="auto"/>
                <w:szCs w:val="24"/>
              </w:rPr>
              <w:t>说明</w:t>
            </w:r>
          </w:p>
        </w:tc>
      </w:tr>
      <w:tr w14:paraId="1A51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0D18FD09">
            <w:pPr>
              <w:pStyle w:val="11"/>
              <w:rPr>
                <w:rFonts w:eastAsia="宋体" w:cs="宋体"/>
                <w:szCs w:val="24"/>
              </w:rPr>
            </w:pPr>
          </w:p>
        </w:tc>
        <w:tc>
          <w:tcPr>
            <w:tcW w:w="1429" w:type="dxa"/>
            <w:vAlign w:val="center"/>
          </w:tcPr>
          <w:p w14:paraId="10E1A729">
            <w:pPr>
              <w:pStyle w:val="11"/>
              <w:rPr>
                <w:rFonts w:eastAsia="宋体" w:cs="宋体"/>
                <w:szCs w:val="24"/>
              </w:rPr>
            </w:pPr>
          </w:p>
        </w:tc>
        <w:tc>
          <w:tcPr>
            <w:tcW w:w="1853" w:type="dxa"/>
            <w:vAlign w:val="center"/>
          </w:tcPr>
          <w:p w14:paraId="480539F4">
            <w:pPr>
              <w:pStyle w:val="11"/>
              <w:rPr>
                <w:rFonts w:eastAsia="宋体" w:cs="宋体"/>
                <w:szCs w:val="24"/>
              </w:rPr>
            </w:pPr>
          </w:p>
        </w:tc>
        <w:tc>
          <w:tcPr>
            <w:tcW w:w="1494" w:type="dxa"/>
            <w:vAlign w:val="center"/>
          </w:tcPr>
          <w:p w14:paraId="3E9E784A">
            <w:pPr>
              <w:pStyle w:val="11"/>
              <w:rPr>
                <w:rFonts w:eastAsia="宋体" w:cs="宋体"/>
                <w:szCs w:val="24"/>
              </w:rPr>
            </w:pPr>
          </w:p>
        </w:tc>
        <w:tc>
          <w:tcPr>
            <w:tcW w:w="1333" w:type="dxa"/>
            <w:vAlign w:val="center"/>
          </w:tcPr>
          <w:p w14:paraId="683DC0D4">
            <w:pPr>
              <w:pStyle w:val="11"/>
              <w:rPr>
                <w:rFonts w:eastAsia="宋体" w:cs="宋体"/>
                <w:szCs w:val="24"/>
              </w:rPr>
            </w:pPr>
          </w:p>
        </w:tc>
        <w:tc>
          <w:tcPr>
            <w:tcW w:w="1282" w:type="dxa"/>
            <w:vAlign w:val="center"/>
          </w:tcPr>
          <w:p w14:paraId="494D5399">
            <w:pPr>
              <w:pStyle w:val="11"/>
              <w:rPr>
                <w:rFonts w:eastAsia="宋体" w:cs="宋体"/>
                <w:szCs w:val="24"/>
              </w:rPr>
            </w:pPr>
          </w:p>
        </w:tc>
      </w:tr>
      <w:tr w14:paraId="536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10198AE8">
            <w:pPr>
              <w:pStyle w:val="11"/>
              <w:rPr>
                <w:rFonts w:eastAsia="宋体" w:cs="宋体"/>
                <w:szCs w:val="24"/>
              </w:rPr>
            </w:pPr>
          </w:p>
        </w:tc>
        <w:tc>
          <w:tcPr>
            <w:tcW w:w="1429" w:type="dxa"/>
          </w:tcPr>
          <w:p w14:paraId="2FB9FCE5">
            <w:pPr>
              <w:pStyle w:val="11"/>
              <w:rPr>
                <w:rFonts w:eastAsia="宋体" w:cs="宋体"/>
                <w:szCs w:val="24"/>
              </w:rPr>
            </w:pPr>
          </w:p>
        </w:tc>
        <w:tc>
          <w:tcPr>
            <w:tcW w:w="1853" w:type="dxa"/>
          </w:tcPr>
          <w:p w14:paraId="0920642A">
            <w:pPr>
              <w:pStyle w:val="11"/>
              <w:rPr>
                <w:rFonts w:eastAsia="宋体" w:cs="宋体"/>
                <w:szCs w:val="24"/>
              </w:rPr>
            </w:pPr>
          </w:p>
        </w:tc>
        <w:tc>
          <w:tcPr>
            <w:tcW w:w="1494" w:type="dxa"/>
          </w:tcPr>
          <w:p w14:paraId="6E149C6B">
            <w:pPr>
              <w:pStyle w:val="11"/>
              <w:rPr>
                <w:rFonts w:eastAsia="宋体" w:cs="宋体"/>
                <w:szCs w:val="24"/>
              </w:rPr>
            </w:pPr>
          </w:p>
        </w:tc>
        <w:tc>
          <w:tcPr>
            <w:tcW w:w="1333" w:type="dxa"/>
          </w:tcPr>
          <w:p w14:paraId="0239D471">
            <w:pPr>
              <w:pStyle w:val="11"/>
              <w:rPr>
                <w:rFonts w:eastAsia="宋体" w:cs="宋体"/>
                <w:szCs w:val="24"/>
              </w:rPr>
            </w:pPr>
          </w:p>
        </w:tc>
        <w:tc>
          <w:tcPr>
            <w:tcW w:w="1282" w:type="dxa"/>
          </w:tcPr>
          <w:p w14:paraId="04EAEE2C">
            <w:pPr>
              <w:pStyle w:val="11"/>
              <w:rPr>
                <w:rFonts w:eastAsia="宋体" w:cs="宋体"/>
                <w:szCs w:val="24"/>
              </w:rPr>
            </w:pPr>
          </w:p>
        </w:tc>
      </w:tr>
      <w:tr w14:paraId="78AD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33AD9E11">
            <w:pPr>
              <w:pStyle w:val="11"/>
              <w:rPr>
                <w:rFonts w:eastAsia="宋体" w:cs="宋体"/>
                <w:szCs w:val="24"/>
              </w:rPr>
            </w:pPr>
          </w:p>
        </w:tc>
        <w:tc>
          <w:tcPr>
            <w:tcW w:w="1429" w:type="dxa"/>
          </w:tcPr>
          <w:p w14:paraId="48DBD713">
            <w:pPr>
              <w:pStyle w:val="11"/>
              <w:rPr>
                <w:rFonts w:eastAsia="宋体" w:cs="宋体"/>
                <w:szCs w:val="24"/>
              </w:rPr>
            </w:pPr>
          </w:p>
        </w:tc>
        <w:tc>
          <w:tcPr>
            <w:tcW w:w="1853" w:type="dxa"/>
          </w:tcPr>
          <w:p w14:paraId="2D8743D3">
            <w:pPr>
              <w:pStyle w:val="11"/>
              <w:rPr>
                <w:rFonts w:eastAsia="宋体" w:cs="宋体"/>
                <w:szCs w:val="24"/>
              </w:rPr>
            </w:pPr>
          </w:p>
        </w:tc>
        <w:tc>
          <w:tcPr>
            <w:tcW w:w="1494" w:type="dxa"/>
          </w:tcPr>
          <w:p w14:paraId="3B807A27">
            <w:pPr>
              <w:pStyle w:val="11"/>
              <w:rPr>
                <w:rFonts w:eastAsia="宋体" w:cs="宋体"/>
                <w:szCs w:val="24"/>
              </w:rPr>
            </w:pPr>
          </w:p>
        </w:tc>
        <w:tc>
          <w:tcPr>
            <w:tcW w:w="1333" w:type="dxa"/>
          </w:tcPr>
          <w:p w14:paraId="75C423AC">
            <w:pPr>
              <w:pStyle w:val="11"/>
              <w:rPr>
                <w:rFonts w:eastAsia="宋体" w:cs="宋体"/>
                <w:szCs w:val="24"/>
              </w:rPr>
            </w:pPr>
          </w:p>
        </w:tc>
        <w:tc>
          <w:tcPr>
            <w:tcW w:w="1282" w:type="dxa"/>
          </w:tcPr>
          <w:p w14:paraId="72A428CC">
            <w:pPr>
              <w:pStyle w:val="11"/>
              <w:rPr>
                <w:rFonts w:eastAsia="宋体" w:cs="宋体"/>
                <w:szCs w:val="24"/>
              </w:rPr>
            </w:pPr>
          </w:p>
        </w:tc>
      </w:tr>
      <w:tr w14:paraId="655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1018955A">
            <w:pPr>
              <w:pStyle w:val="11"/>
              <w:rPr>
                <w:rFonts w:eastAsia="宋体" w:cs="宋体"/>
                <w:szCs w:val="24"/>
              </w:rPr>
            </w:pPr>
          </w:p>
        </w:tc>
        <w:tc>
          <w:tcPr>
            <w:tcW w:w="1429" w:type="dxa"/>
          </w:tcPr>
          <w:p w14:paraId="58EDEB60">
            <w:pPr>
              <w:pStyle w:val="11"/>
              <w:rPr>
                <w:rFonts w:eastAsia="宋体" w:cs="宋体"/>
                <w:szCs w:val="24"/>
              </w:rPr>
            </w:pPr>
          </w:p>
        </w:tc>
        <w:tc>
          <w:tcPr>
            <w:tcW w:w="1853" w:type="dxa"/>
          </w:tcPr>
          <w:p w14:paraId="3DFB237C">
            <w:pPr>
              <w:pStyle w:val="11"/>
              <w:rPr>
                <w:rFonts w:eastAsia="宋体" w:cs="宋体"/>
                <w:szCs w:val="24"/>
              </w:rPr>
            </w:pPr>
          </w:p>
        </w:tc>
        <w:tc>
          <w:tcPr>
            <w:tcW w:w="1494" w:type="dxa"/>
          </w:tcPr>
          <w:p w14:paraId="5F818396">
            <w:pPr>
              <w:pStyle w:val="11"/>
              <w:rPr>
                <w:rFonts w:eastAsia="宋体" w:cs="宋体"/>
                <w:szCs w:val="24"/>
              </w:rPr>
            </w:pPr>
          </w:p>
        </w:tc>
        <w:tc>
          <w:tcPr>
            <w:tcW w:w="1333" w:type="dxa"/>
          </w:tcPr>
          <w:p w14:paraId="477D0590">
            <w:pPr>
              <w:pStyle w:val="11"/>
              <w:rPr>
                <w:rFonts w:eastAsia="宋体" w:cs="宋体"/>
                <w:szCs w:val="24"/>
              </w:rPr>
            </w:pPr>
          </w:p>
        </w:tc>
        <w:tc>
          <w:tcPr>
            <w:tcW w:w="1282" w:type="dxa"/>
          </w:tcPr>
          <w:p w14:paraId="7B5D353E">
            <w:pPr>
              <w:pStyle w:val="11"/>
              <w:rPr>
                <w:rFonts w:eastAsia="宋体" w:cs="宋体"/>
                <w:szCs w:val="24"/>
              </w:rPr>
            </w:pPr>
          </w:p>
        </w:tc>
      </w:tr>
      <w:tr w14:paraId="56C3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7AF52E91">
            <w:pPr>
              <w:pStyle w:val="11"/>
              <w:rPr>
                <w:rFonts w:eastAsia="宋体" w:cs="宋体"/>
                <w:szCs w:val="24"/>
              </w:rPr>
            </w:pPr>
          </w:p>
        </w:tc>
        <w:tc>
          <w:tcPr>
            <w:tcW w:w="1429" w:type="dxa"/>
          </w:tcPr>
          <w:p w14:paraId="4D7BF7A4">
            <w:pPr>
              <w:pStyle w:val="11"/>
              <w:rPr>
                <w:rFonts w:eastAsia="宋体" w:cs="宋体"/>
                <w:szCs w:val="24"/>
              </w:rPr>
            </w:pPr>
          </w:p>
        </w:tc>
        <w:tc>
          <w:tcPr>
            <w:tcW w:w="1853" w:type="dxa"/>
          </w:tcPr>
          <w:p w14:paraId="5B157696">
            <w:pPr>
              <w:pStyle w:val="11"/>
              <w:rPr>
                <w:rFonts w:eastAsia="宋体" w:cs="宋体"/>
                <w:szCs w:val="24"/>
              </w:rPr>
            </w:pPr>
          </w:p>
        </w:tc>
        <w:tc>
          <w:tcPr>
            <w:tcW w:w="1494" w:type="dxa"/>
          </w:tcPr>
          <w:p w14:paraId="358D3528">
            <w:pPr>
              <w:pStyle w:val="11"/>
              <w:rPr>
                <w:rFonts w:eastAsia="宋体" w:cs="宋体"/>
                <w:szCs w:val="24"/>
              </w:rPr>
            </w:pPr>
          </w:p>
        </w:tc>
        <w:tc>
          <w:tcPr>
            <w:tcW w:w="1333" w:type="dxa"/>
          </w:tcPr>
          <w:p w14:paraId="466393C8">
            <w:pPr>
              <w:pStyle w:val="11"/>
              <w:rPr>
                <w:rFonts w:eastAsia="宋体" w:cs="宋体"/>
                <w:szCs w:val="24"/>
              </w:rPr>
            </w:pPr>
          </w:p>
        </w:tc>
        <w:tc>
          <w:tcPr>
            <w:tcW w:w="1282" w:type="dxa"/>
          </w:tcPr>
          <w:p w14:paraId="3CF36BBE">
            <w:pPr>
              <w:pStyle w:val="11"/>
              <w:rPr>
                <w:rFonts w:eastAsia="宋体" w:cs="宋体"/>
                <w:szCs w:val="24"/>
              </w:rPr>
            </w:pPr>
          </w:p>
        </w:tc>
      </w:tr>
      <w:tr w14:paraId="058C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1ED52A4A">
            <w:pPr>
              <w:pStyle w:val="11"/>
              <w:rPr>
                <w:rFonts w:eastAsia="宋体" w:cs="宋体"/>
                <w:szCs w:val="24"/>
              </w:rPr>
            </w:pPr>
          </w:p>
        </w:tc>
        <w:tc>
          <w:tcPr>
            <w:tcW w:w="1429" w:type="dxa"/>
          </w:tcPr>
          <w:p w14:paraId="6CBEAF25">
            <w:pPr>
              <w:pStyle w:val="11"/>
              <w:rPr>
                <w:rFonts w:eastAsia="宋体" w:cs="宋体"/>
                <w:szCs w:val="24"/>
              </w:rPr>
            </w:pPr>
          </w:p>
        </w:tc>
        <w:tc>
          <w:tcPr>
            <w:tcW w:w="1853" w:type="dxa"/>
          </w:tcPr>
          <w:p w14:paraId="4F6E7E23">
            <w:pPr>
              <w:pStyle w:val="11"/>
              <w:rPr>
                <w:rFonts w:eastAsia="宋体" w:cs="宋体"/>
                <w:szCs w:val="24"/>
              </w:rPr>
            </w:pPr>
          </w:p>
        </w:tc>
        <w:tc>
          <w:tcPr>
            <w:tcW w:w="1494" w:type="dxa"/>
          </w:tcPr>
          <w:p w14:paraId="5341AA38">
            <w:pPr>
              <w:pStyle w:val="11"/>
              <w:rPr>
                <w:rFonts w:eastAsia="宋体" w:cs="宋体"/>
                <w:szCs w:val="24"/>
              </w:rPr>
            </w:pPr>
          </w:p>
        </w:tc>
        <w:tc>
          <w:tcPr>
            <w:tcW w:w="1333" w:type="dxa"/>
          </w:tcPr>
          <w:p w14:paraId="467EE5EA">
            <w:pPr>
              <w:pStyle w:val="11"/>
              <w:rPr>
                <w:rFonts w:eastAsia="宋体" w:cs="宋体"/>
                <w:szCs w:val="24"/>
              </w:rPr>
            </w:pPr>
          </w:p>
        </w:tc>
        <w:tc>
          <w:tcPr>
            <w:tcW w:w="1282" w:type="dxa"/>
          </w:tcPr>
          <w:p w14:paraId="56F1B9A6">
            <w:pPr>
              <w:pStyle w:val="11"/>
              <w:rPr>
                <w:rFonts w:eastAsia="宋体" w:cs="宋体"/>
                <w:szCs w:val="24"/>
              </w:rPr>
            </w:pPr>
          </w:p>
        </w:tc>
      </w:tr>
      <w:tr w14:paraId="11DB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05" w:type="dxa"/>
          </w:tcPr>
          <w:p w14:paraId="5962AE91">
            <w:pPr>
              <w:pStyle w:val="11"/>
              <w:rPr>
                <w:rFonts w:eastAsia="宋体" w:cs="宋体"/>
                <w:szCs w:val="24"/>
              </w:rPr>
            </w:pPr>
          </w:p>
        </w:tc>
        <w:tc>
          <w:tcPr>
            <w:tcW w:w="1429" w:type="dxa"/>
          </w:tcPr>
          <w:p w14:paraId="29AB3FE2">
            <w:pPr>
              <w:pStyle w:val="11"/>
              <w:rPr>
                <w:rFonts w:eastAsia="宋体" w:cs="宋体"/>
                <w:szCs w:val="24"/>
              </w:rPr>
            </w:pPr>
          </w:p>
        </w:tc>
        <w:tc>
          <w:tcPr>
            <w:tcW w:w="1853" w:type="dxa"/>
          </w:tcPr>
          <w:p w14:paraId="47B3879F">
            <w:pPr>
              <w:pStyle w:val="11"/>
              <w:rPr>
                <w:rFonts w:eastAsia="宋体" w:cs="宋体"/>
                <w:szCs w:val="24"/>
              </w:rPr>
            </w:pPr>
          </w:p>
        </w:tc>
        <w:tc>
          <w:tcPr>
            <w:tcW w:w="1494" w:type="dxa"/>
          </w:tcPr>
          <w:p w14:paraId="075CF563">
            <w:pPr>
              <w:pStyle w:val="11"/>
              <w:rPr>
                <w:rFonts w:eastAsia="宋体" w:cs="宋体"/>
                <w:szCs w:val="24"/>
              </w:rPr>
            </w:pPr>
          </w:p>
        </w:tc>
        <w:tc>
          <w:tcPr>
            <w:tcW w:w="1333" w:type="dxa"/>
          </w:tcPr>
          <w:p w14:paraId="3D52339F">
            <w:pPr>
              <w:pStyle w:val="11"/>
              <w:rPr>
                <w:rFonts w:eastAsia="宋体" w:cs="宋体"/>
                <w:szCs w:val="24"/>
              </w:rPr>
            </w:pPr>
          </w:p>
        </w:tc>
        <w:tc>
          <w:tcPr>
            <w:tcW w:w="1282" w:type="dxa"/>
          </w:tcPr>
          <w:p w14:paraId="0C8352BE">
            <w:pPr>
              <w:pStyle w:val="11"/>
              <w:rPr>
                <w:rFonts w:eastAsia="宋体" w:cs="宋体"/>
                <w:szCs w:val="24"/>
              </w:rPr>
            </w:pPr>
          </w:p>
        </w:tc>
      </w:tr>
      <w:tr w14:paraId="2A17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05" w:type="dxa"/>
          </w:tcPr>
          <w:p w14:paraId="796B72BC">
            <w:pPr>
              <w:pStyle w:val="11"/>
              <w:rPr>
                <w:rFonts w:eastAsia="宋体" w:cs="宋体"/>
                <w:szCs w:val="24"/>
              </w:rPr>
            </w:pPr>
          </w:p>
        </w:tc>
        <w:tc>
          <w:tcPr>
            <w:tcW w:w="1429" w:type="dxa"/>
          </w:tcPr>
          <w:p w14:paraId="5B893C16">
            <w:pPr>
              <w:pStyle w:val="11"/>
              <w:rPr>
                <w:rFonts w:eastAsia="宋体" w:cs="宋体"/>
                <w:szCs w:val="24"/>
              </w:rPr>
            </w:pPr>
          </w:p>
        </w:tc>
        <w:tc>
          <w:tcPr>
            <w:tcW w:w="1853" w:type="dxa"/>
          </w:tcPr>
          <w:p w14:paraId="25FAC624">
            <w:pPr>
              <w:pStyle w:val="11"/>
              <w:rPr>
                <w:rFonts w:eastAsia="宋体" w:cs="宋体"/>
                <w:szCs w:val="24"/>
              </w:rPr>
            </w:pPr>
          </w:p>
        </w:tc>
        <w:tc>
          <w:tcPr>
            <w:tcW w:w="1494" w:type="dxa"/>
          </w:tcPr>
          <w:p w14:paraId="02E09205">
            <w:pPr>
              <w:pStyle w:val="11"/>
              <w:rPr>
                <w:rFonts w:eastAsia="宋体" w:cs="宋体"/>
                <w:szCs w:val="24"/>
              </w:rPr>
            </w:pPr>
          </w:p>
        </w:tc>
        <w:tc>
          <w:tcPr>
            <w:tcW w:w="1333" w:type="dxa"/>
          </w:tcPr>
          <w:p w14:paraId="174EE3BF">
            <w:pPr>
              <w:pStyle w:val="11"/>
              <w:rPr>
                <w:rFonts w:eastAsia="宋体" w:cs="宋体"/>
                <w:szCs w:val="24"/>
              </w:rPr>
            </w:pPr>
          </w:p>
        </w:tc>
        <w:tc>
          <w:tcPr>
            <w:tcW w:w="1282" w:type="dxa"/>
          </w:tcPr>
          <w:p w14:paraId="5B69E875">
            <w:pPr>
              <w:pStyle w:val="11"/>
              <w:rPr>
                <w:rFonts w:eastAsia="宋体" w:cs="宋体"/>
                <w:szCs w:val="24"/>
              </w:rPr>
            </w:pPr>
          </w:p>
        </w:tc>
      </w:tr>
    </w:tbl>
    <w:p w14:paraId="55E79355">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14:paraId="2CA78DD4">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14:paraId="335E958C">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14:paraId="39CD86E7">
      <w:pPr>
        <w:pStyle w:val="7"/>
        <w:ind w:firstLine="0"/>
        <w:rPr>
          <w:rFonts w:ascii="宋体" w:hAnsi="宋体" w:eastAsia="宋体" w:cs="宋体"/>
          <w:sz w:val="28"/>
          <w:szCs w:val="28"/>
        </w:rPr>
      </w:pPr>
    </w:p>
    <w:p w14:paraId="08074EC8">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2EEDFACA">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0AB13A62">
      <w:pPr>
        <w:adjustRightInd w:val="0"/>
        <w:snapToGrid w:val="0"/>
        <w:spacing w:line="480" w:lineRule="auto"/>
        <w:ind w:firstLine="480" w:firstLineChars="200"/>
        <w:jc w:val="left"/>
        <w:rPr>
          <w:rFonts w:ascii="宋体" w:hAnsi="宋体" w:eastAsia="宋体" w:cs="宋体"/>
          <w:sz w:val="24"/>
          <w:szCs w:val="24"/>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日    期： _____年_____ 月_____日</w:t>
      </w:r>
    </w:p>
    <w:p w14:paraId="6B18B17F">
      <w:pPr>
        <w:pStyle w:val="3"/>
        <w:pageBreakBefore/>
        <w:rPr>
          <w:rFonts w:ascii="宋体" w:hAnsi="宋体" w:cs="宋体"/>
          <w:sz w:val="44"/>
          <w:szCs w:val="44"/>
        </w:rPr>
      </w:pPr>
      <w:bookmarkStart w:id="78" w:name="_Toc22805"/>
      <w:r>
        <w:rPr>
          <w:rFonts w:hint="eastAsia" w:ascii="宋体" w:hAnsi="宋体" w:cs="宋体"/>
          <w:sz w:val="44"/>
          <w:szCs w:val="44"/>
        </w:rPr>
        <w:t>第四部分</w:t>
      </w:r>
      <w:bookmarkEnd w:id="75"/>
      <w:bookmarkEnd w:id="76"/>
      <w:r>
        <w:rPr>
          <w:rFonts w:hint="eastAsia" w:ascii="宋体" w:hAnsi="宋体" w:cs="宋体"/>
          <w:sz w:val="44"/>
          <w:szCs w:val="44"/>
        </w:rPr>
        <w:t xml:space="preserve"> 供应商资格要求</w:t>
      </w:r>
      <w:bookmarkEnd w:id="78"/>
    </w:p>
    <w:p w14:paraId="7F84B9B4">
      <w:pPr>
        <w:snapToGrid w:val="0"/>
        <w:spacing w:line="360" w:lineRule="auto"/>
        <w:ind w:right="-199" w:rightChars="-95"/>
        <w:jc w:val="left"/>
        <w:rPr>
          <w:rFonts w:ascii="宋体" w:hAnsi="宋体" w:eastAsia="宋体" w:cs="宋体"/>
          <w:bCs/>
          <w:kern w:val="0"/>
          <w:sz w:val="24"/>
          <w:szCs w:val="24"/>
        </w:rPr>
      </w:pPr>
    </w:p>
    <w:p w14:paraId="3758DBE5">
      <w:pPr>
        <w:snapToGrid w:val="0"/>
        <w:spacing w:line="360" w:lineRule="auto"/>
        <w:ind w:right="-199" w:rightChars="-95"/>
        <w:jc w:val="left"/>
        <w:rPr>
          <w:rFonts w:ascii="宋体" w:hAnsi="宋体" w:cs="宋体"/>
          <w:b/>
          <w:bCs/>
          <w:sz w:val="36"/>
          <w:szCs w:val="36"/>
        </w:rPr>
      </w:pPr>
      <w:bookmarkStart w:id="79" w:name="_Toc1408"/>
      <w:r>
        <w:rPr>
          <w:rFonts w:hint="eastAsia" w:ascii="宋体" w:hAnsi="宋体" w:cs="宋体"/>
          <w:kern w:val="0"/>
          <w:sz w:val="24"/>
          <w:szCs w:val="24"/>
        </w:rPr>
        <w:t>供应商根据采购文件公告资格要求内容附资格证明文件。</w:t>
      </w:r>
    </w:p>
    <w:p w14:paraId="2432B58F">
      <w:pPr>
        <w:rPr>
          <w:rFonts w:ascii="宋体" w:hAnsi="宋体" w:cs="宋体"/>
          <w:sz w:val="24"/>
          <w:szCs w:val="24"/>
        </w:rPr>
        <w:sectPr>
          <w:pgSz w:w="11906" w:h="16838"/>
          <w:pgMar w:top="1440" w:right="1803" w:bottom="1440" w:left="1803" w:header="851" w:footer="992" w:gutter="0"/>
          <w:cols w:space="720" w:num="1"/>
          <w:docGrid w:type="lines" w:linePitch="319" w:charSpace="0"/>
        </w:sectPr>
      </w:pPr>
    </w:p>
    <w:p w14:paraId="224F79D7">
      <w:pPr>
        <w:spacing w:line="480" w:lineRule="auto"/>
        <w:rPr>
          <w:rFonts w:ascii="宋体" w:cs="宋体"/>
          <w:sz w:val="24"/>
          <w:szCs w:val="24"/>
        </w:rPr>
      </w:pPr>
      <w:r>
        <w:rPr>
          <w:rFonts w:hint="eastAsia" w:ascii="宋体" w:hAnsi="宋体" w:cs="宋体"/>
          <w:sz w:val="24"/>
          <w:szCs w:val="24"/>
        </w:rPr>
        <w:t>特定资格条件：</w:t>
      </w:r>
    </w:p>
    <w:p w14:paraId="4BB2A5B8">
      <w:pPr>
        <w:spacing w:line="500" w:lineRule="exact"/>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14:paraId="54BD92EC">
      <w:pPr>
        <w:spacing w:line="480" w:lineRule="auto"/>
        <w:ind w:firstLine="480" w:firstLineChars="200"/>
        <w:rPr>
          <w:rFonts w:ascii="宋体" w:hAnsi="宋体" w:cs="宋体"/>
          <w:sz w:val="24"/>
          <w:szCs w:val="24"/>
        </w:rPr>
      </w:pPr>
      <w:r>
        <w:rPr>
          <w:rFonts w:hint="eastAsia" w:ascii="宋体" w:hAnsi="宋体" w:cs="宋体"/>
          <w:sz w:val="24"/>
          <w:szCs w:val="24"/>
        </w:rPr>
        <w:t>2、财务状况证明：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p w14:paraId="4CCA6D21">
      <w:pPr>
        <w:pStyle w:val="20"/>
        <w:spacing w:beforeAutospacing="0" w:afterAutospacing="0" w:line="480" w:lineRule="auto"/>
        <w:ind w:firstLine="420"/>
        <w:sectPr>
          <w:pgSz w:w="11906" w:h="16838"/>
          <w:pgMar w:top="1440" w:right="1803" w:bottom="1440" w:left="1803" w:header="851" w:footer="992" w:gutter="0"/>
          <w:cols w:space="720" w:num="1"/>
          <w:docGrid w:type="lines" w:linePitch="319" w:charSpace="0"/>
        </w:sectPr>
      </w:pPr>
    </w:p>
    <w:p w14:paraId="6E493B05">
      <w:pPr>
        <w:keepNext/>
        <w:keepLines/>
        <w:spacing w:line="480" w:lineRule="auto"/>
        <w:jc w:val="center"/>
        <w:rPr>
          <w:rFonts w:ascii="宋体" w:hAnsi="宋体" w:cs="宋体"/>
          <w:sz w:val="24"/>
          <w:szCs w:val="24"/>
        </w:rPr>
      </w:pPr>
      <w:r>
        <w:rPr>
          <w:rFonts w:hint="eastAsia" w:ascii="宋体" w:hAnsi="宋体" w:cs="宋体"/>
          <w:sz w:val="24"/>
          <w:szCs w:val="24"/>
        </w:rPr>
        <w:t>3、履行合同所必需的设备和专业技术能力声明</w:t>
      </w:r>
    </w:p>
    <w:p w14:paraId="5732FD4A">
      <w:pPr>
        <w:spacing w:line="480" w:lineRule="auto"/>
        <w:rPr>
          <w:rFonts w:ascii="宋体" w:hAnsi="宋体" w:cs="宋体"/>
        </w:rPr>
      </w:pPr>
    </w:p>
    <w:p w14:paraId="31DA0222">
      <w:pPr>
        <w:widowControl/>
        <w:adjustRightInd w:val="0"/>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14:paraId="7DB21061">
      <w:pPr>
        <w:widowControl/>
        <w:adjustRightInd w:val="0"/>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我单位参与陕西卓佲项目管理有限公司组织的____________________（项目名称）竞争性谈判，我单位郑重声明：我方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14:paraId="1EAD3856">
      <w:pPr>
        <w:widowControl/>
        <w:adjustRightInd w:val="0"/>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14:paraId="04C00231">
      <w:pPr>
        <w:pStyle w:val="11"/>
        <w:adjustRightInd w:val="0"/>
        <w:snapToGrid w:val="0"/>
        <w:spacing w:line="480" w:lineRule="auto"/>
        <w:ind w:firstLine="482" w:firstLineChars="200"/>
      </w:pPr>
    </w:p>
    <w:p w14:paraId="004F92FE">
      <w:pPr>
        <w:pStyle w:val="11"/>
        <w:adjustRightInd w:val="0"/>
        <w:snapToGrid w:val="0"/>
        <w:spacing w:line="480" w:lineRule="auto"/>
        <w:ind w:firstLine="482" w:firstLineChars="200"/>
      </w:pPr>
    </w:p>
    <w:p w14:paraId="6E10D798">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1E82FEC6">
      <w:pPr>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06671A46">
      <w:pPr>
        <w:adjustRightInd w:val="0"/>
        <w:snapToGrid w:val="0"/>
        <w:spacing w:line="480" w:lineRule="auto"/>
        <w:ind w:firstLine="480" w:firstLineChars="200"/>
        <w:jc w:val="left"/>
        <w:rPr>
          <w:rFonts w:ascii="宋体" w:hAnsi="宋体" w:eastAsia="宋体" w:cs="宋体"/>
          <w:sz w:val="24"/>
          <w:szCs w:val="24"/>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日期：_______年________月_______日</w:t>
      </w:r>
    </w:p>
    <w:p w14:paraId="3FC478AF">
      <w:pPr>
        <w:spacing w:line="360" w:lineRule="auto"/>
        <w:ind w:firstLine="480" w:firstLineChars="200"/>
        <w:rPr>
          <w:rFonts w:ascii="宋体" w:hAnsi="宋体" w:cs="宋体"/>
          <w:sz w:val="24"/>
          <w:szCs w:val="24"/>
        </w:rPr>
      </w:pPr>
      <w:r>
        <w:rPr>
          <w:rFonts w:hint="eastAsia" w:ascii="宋体" w:hAnsi="宋体" w:cs="宋体"/>
          <w:sz w:val="24"/>
          <w:szCs w:val="24"/>
        </w:rPr>
        <w:t>4、税收缴纳证明：提供2024年6月（含6月）以来任意时间段的依法缴纳税收的相关凭据（时间以税款所属时期为准），凭据应有税务机关或代收机关的公章或业务专用章。依法免税或无须缴纳税收的供应商应提供相应证明文件；</w:t>
      </w:r>
    </w:p>
    <w:p w14:paraId="4144532D">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社会保障资金缴纳证明：提供2024年6月（含6月）以来任意时间段的社会保障资金缴存单据或社保机构开具的社会保险参保缴费情况证明。依法不需要缴纳社会保障资金的供应商应提供相关文件证明；</w:t>
      </w:r>
    </w:p>
    <w:p w14:paraId="78AA9E91">
      <w:pPr>
        <w:spacing w:line="480" w:lineRule="auto"/>
        <w:ind w:firstLine="480" w:firstLineChars="200"/>
        <w:rPr>
          <w:rFonts w:ascii="宋体" w:hAnsi="宋体" w:cs="宋体"/>
          <w:sz w:val="24"/>
          <w:szCs w:val="24"/>
        </w:rPr>
      </w:pPr>
    </w:p>
    <w:p w14:paraId="79EF28E2">
      <w:pPr>
        <w:spacing w:line="480" w:lineRule="auto"/>
        <w:ind w:firstLine="480" w:firstLineChars="200"/>
        <w:rPr>
          <w:rFonts w:ascii="宋体" w:hAnsi="宋体" w:cs="宋体"/>
          <w:sz w:val="24"/>
          <w:szCs w:val="24"/>
        </w:rPr>
      </w:pPr>
    </w:p>
    <w:p w14:paraId="2B9C0302">
      <w:pPr>
        <w:pStyle w:val="22"/>
        <w:spacing w:line="480" w:lineRule="auto"/>
        <w:ind w:firstLine="0" w:firstLineChars="0"/>
        <w:sectPr>
          <w:pgSz w:w="11906" w:h="16838"/>
          <w:pgMar w:top="1440" w:right="1803" w:bottom="1440" w:left="1803" w:header="851" w:footer="992" w:gutter="0"/>
          <w:cols w:space="720" w:num="1"/>
          <w:docGrid w:type="lines" w:linePitch="319" w:charSpace="0"/>
        </w:sectPr>
      </w:pPr>
    </w:p>
    <w:p w14:paraId="45E310C2">
      <w:pPr>
        <w:keepNext/>
        <w:keepLines/>
        <w:spacing w:line="480" w:lineRule="auto"/>
        <w:jc w:val="center"/>
        <w:rPr>
          <w:rFonts w:ascii="宋体" w:hAnsi="宋体" w:cs="宋体"/>
          <w:sz w:val="24"/>
          <w:szCs w:val="24"/>
        </w:rPr>
      </w:pPr>
      <w:r>
        <w:rPr>
          <w:rFonts w:hint="eastAsia" w:ascii="宋体" w:hAnsi="宋体" w:cs="宋体"/>
          <w:sz w:val="24"/>
          <w:szCs w:val="24"/>
        </w:rPr>
        <w:t>6、无重大违法记录声明</w:t>
      </w:r>
    </w:p>
    <w:p w14:paraId="79AC482A">
      <w:pPr>
        <w:widowControl/>
        <w:snapToGrid w:val="0"/>
        <w:spacing w:line="480" w:lineRule="auto"/>
        <w:jc w:val="left"/>
        <w:rPr>
          <w:rFonts w:ascii="宋体" w:hAnsi="宋体" w:cs="宋体"/>
          <w:kern w:val="0"/>
          <w:sz w:val="24"/>
          <w:szCs w:val="24"/>
        </w:rPr>
      </w:pPr>
    </w:p>
    <w:p w14:paraId="6A0898D6">
      <w:pPr>
        <w:widowControl/>
        <w:adjustRightInd w:val="0"/>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14:paraId="0ADF61FF">
      <w:pPr>
        <w:widowControl/>
        <w:adjustRightInd w:val="0"/>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竞争性谈判，我单位郑重声明：我方参加本项目政府采购活动前三年内无重大违法活动记录，符合《中华人民共和国政府采购法》规定的供应商资格条件，我方对此声明负全部法律责任。</w:t>
      </w:r>
    </w:p>
    <w:p w14:paraId="262C81F9">
      <w:pPr>
        <w:widowControl/>
        <w:adjustRightInd w:val="0"/>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14:paraId="04C6A4B9">
      <w:pPr>
        <w:pStyle w:val="11"/>
        <w:adjustRightInd w:val="0"/>
        <w:snapToGrid w:val="0"/>
        <w:spacing w:line="480" w:lineRule="auto"/>
        <w:ind w:firstLine="482" w:firstLineChars="200"/>
      </w:pPr>
    </w:p>
    <w:p w14:paraId="33CAC82E">
      <w:pPr>
        <w:pStyle w:val="11"/>
        <w:adjustRightInd w:val="0"/>
        <w:snapToGrid w:val="0"/>
        <w:spacing w:line="480" w:lineRule="auto"/>
        <w:ind w:firstLine="482" w:firstLineChars="200"/>
      </w:pPr>
    </w:p>
    <w:p w14:paraId="3BF15950">
      <w:pPr>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08B7E3EE">
      <w:pPr>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645C8915">
      <w:pPr>
        <w:adjustRightInd w:val="0"/>
        <w:snapToGrid w:val="0"/>
        <w:spacing w:line="480" w:lineRule="auto"/>
        <w:jc w:val="left"/>
        <w:rPr>
          <w:rFonts w:ascii="宋体" w:hAnsi="宋体" w:eastAsia="宋体" w:cs="宋体"/>
          <w:sz w:val="24"/>
          <w:szCs w:val="24"/>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日期：_______年________月_______日</w:t>
      </w:r>
    </w:p>
    <w:p w14:paraId="59ED385B">
      <w:pPr>
        <w:ind w:left="420"/>
        <w:jc w:val="center"/>
        <w:rPr>
          <w:rFonts w:ascii="宋体" w:hAnsi="宋体" w:eastAsia="宋体" w:cs="宋体"/>
          <w:sz w:val="24"/>
          <w:szCs w:val="24"/>
        </w:rPr>
      </w:pPr>
      <w:r>
        <w:rPr>
          <w:rFonts w:hint="eastAsia" w:ascii="宋体" w:hAnsi="宋体" w:eastAsia="宋体" w:cs="宋体"/>
          <w:sz w:val="24"/>
          <w:szCs w:val="24"/>
        </w:rPr>
        <w:t>7、法定代表人证明书（法定代表人参加时提供）</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14:paraId="68BA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14:paraId="7F301F76">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14:paraId="00BB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29A10724">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14:paraId="070220CE">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14:paraId="19C55CE0">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14:paraId="5D873B64">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14:paraId="28EA8F00">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14:paraId="1BF2BCF8">
            <w:pPr>
              <w:tabs>
                <w:tab w:val="left" w:pos="210"/>
              </w:tabs>
              <w:spacing w:line="360" w:lineRule="auto"/>
              <w:jc w:val="left"/>
              <w:rPr>
                <w:rFonts w:ascii="宋体" w:hAnsi="宋体" w:cs="宋体"/>
                <w:kern w:val="0"/>
                <w:szCs w:val="21"/>
              </w:rPr>
            </w:pPr>
          </w:p>
        </w:tc>
      </w:tr>
      <w:tr w14:paraId="2D3A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33B5ED1E">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3E7C615D">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14:paraId="0CFECA89">
            <w:pPr>
              <w:tabs>
                <w:tab w:val="left" w:pos="210"/>
              </w:tabs>
              <w:spacing w:line="360" w:lineRule="auto"/>
              <w:jc w:val="left"/>
              <w:rPr>
                <w:rFonts w:ascii="宋体" w:hAnsi="宋体" w:cs="宋体"/>
                <w:kern w:val="0"/>
                <w:szCs w:val="21"/>
              </w:rPr>
            </w:pPr>
          </w:p>
        </w:tc>
      </w:tr>
      <w:tr w14:paraId="1C0C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59719E64">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557E8602">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14:paraId="541DA07C">
            <w:pPr>
              <w:tabs>
                <w:tab w:val="left" w:pos="210"/>
              </w:tabs>
              <w:spacing w:line="360" w:lineRule="auto"/>
              <w:jc w:val="left"/>
              <w:rPr>
                <w:rFonts w:ascii="宋体" w:hAnsi="宋体" w:cs="宋体"/>
                <w:kern w:val="0"/>
                <w:szCs w:val="21"/>
              </w:rPr>
            </w:pPr>
          </w:p>
        </w:tc>
      </w:tr>
      <w:tr w14:paraId="1C2C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6DECAC93">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6649CFAA">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14:paraId="22A02E1D">
            <w:pPr>
              <w:tabs>
                <w:tab w:val="left" w:pos="210"/>
              </w:tabs>
              <w:spacing w:line="360" w:lineRule="auto"/>
              <w:jc w:val="left"/>
              <w:rPr>
                <w:rFonts w:ascii="宋体" w:hAnsi="宋体" w:cs="宋体"/>
                <w:kern w:val="0"/>
                <w:szCs w:val="21"/>
              </w:rPr>
            </w:pPr>
          </w:p>
        </w:tc>
      </w:tr>
      <w:tr w14:paraId="470E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2242937C">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15C88E1E">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14:paraId="638A549E">
            <w:pPr>
              <w:tabs>
                <w:tab w:val="left" w:pos="210"/>
              </w:tabs>
              <w:spacing w:line="360" w:lineRule="auto"/>
              <w:jc w:val="left"/>
              <w:rPr>
                <w:rFonts w:ascii="宋体" w:hAnsi="宋体" w:cs="宋体"/>
                <w:kern w:val="0"/>
                <w:szCs w:val="21"/>
              </w:rPr>
            </w:pPr>
          </w:p>
        </w:tc>
      </w:tr>
      <w:tr w14:paraId="3A60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5A4224B4">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14:paraId="63B21857">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14:paraId="19F0CF6E">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14:paraId="7F97A0B7">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14:paraId="7887471C">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14:paraId="0257762F">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14:paraId="7E230AD8">
            <w:pPr>
              <w:tabs>
                <w:tab w:val="left" w:pos="210"/>
              </w:tabs>
              <w:spacing w:line="360" w:lineRule="auto"/>
              <w:ind w:firstLine="420" w:firstLineChars="200"/>
              <w:jc w:val="left"/>
              <w:rPr>
                <w:rFonts w:ascii="宋体" w:hAnsi="宋体" w:cs="宋体"/>
                <w:kern w:val="0"/>
                <w:szCs w:val="21"/>
              </w:rPr>
            </w:pPr>
          </w:p>
        </w:tc>
        <w:tc>
          <w:tcPr>
            <w:tcW w:w="2156" w:type="dxa"/>
            <w:vAlign w:val="center"/>
          </w:tcPr>
          <w:p w14:paraId="3E7C620B">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14:paraId="6D70274B">
            <w:pPr>
              <w:tabs>
                <w:tab w:val="left" w:pos="210"/>
              </w:tabs>
              <w:spacing w:line="360" w:lineRule="auto"/>
              <w:ind w:firstLine="420" w:firstLineChars="200"/>
              <w:jc w:val="left"/>
              <w:rPr>
                <w:rFonts w:ascii="宋体" w:hAnsi="宋体" w:cs="宋体"/>
                <w:kern w:val="0"/>
                <w:szCs w:val="21"/>
              </w:rPr>
            </w:pPr>
          </w:p>
        </w:tc>
      </w:tr>
      <w:tr w14:paraId="097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08158B89">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0D0C9888">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14:paraId="3A74E72D">
            <w:pPr>
              <w:tabs>
                <w:tab w:val="left" w:pos="210"/>
              </w:tabs>
              <w:spacing w:line="360" w:lineRule="auto"/>
              <w:jc w:val="left"/>
              <w:rPr>
                <w:rFonts w:ascii="宋体" w:hAnsi="宋体" w:cs="宋体"/>
                <w:kern w:val="0"/>
                <w:szCs w:val="21"/>
              </w:rPr>
            </w:pPr>
          </w:p>
        </w:tc>
        <w:tc>
          <w:tcPr>
            <w:tcW w:w="2156" w:type="dxa"/>
            <w:vAlign w:val="center"/>
          </w:tcPr>
          <w:p w14:paraId="40D6388C">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14:paraId="6543EDDB">
            <w:pPr>
              <w:tabs>
                <w:tab w:val="left" w:pos="210"/>
              </w:tabs>
              <w:spacing w:line="360" w:lineRule="auto"/>
              <w:ind w:firstLine="420" w:firstLineChars="200"/>
              <w:jc w:val="left"/>
              <w:rPr>
                <w:rFonts w:ascii="宋体" w:hAnsi="宋体" w:cs="宋体"/>
                <w:kern w:val="0"/>
                <w:szCs w:val="21"/>
              </w:rPr>
            </w:pPr>
          </w:p>
        </w:tc>
      </w:tr>
      <w:tr w14:paraId="2B06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14:paraId="0AA65E53">
            <w:pPr>
              <w:tabs>
                <w:tab w:val="left" w:pos="210"/>
              </w:tabs>
              <w:spacing w:line="360" w:lineRule="auto"/>
              <w:ind w:firstLine="420" w:firstLineChars="200"/>
              <w:jc w:val="center"/>
              <w:rPr>
                <w:rFonts w:ascii="宋体" w:hAnsi="宋体" w:cs="宋体"/>
                <w:kern w:val="0"/>
                <w:szCs w:val="21"/>
              </w:rPr>
            </w:pPr>
          </w:p>
        </w:tc>
        <w:tc>
          <w:tcPr>
            <w:tcW w:w="2160" w:type="dxa"/>
            <w:vAlign w:val="center"/>
          </w:tcPr>
          <w:p w14:paraId="72A4B8F0">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14:paraId="56BD5CEB">
            <w:pPr>
              <w:tabs>
                <w:tab w:val="left" w:pos="210"/>
              </w:tabs>
              <w:spacing w:line="360" w:lineRule="auto"/>
              <w:jc w:val="left"/>
              <w:rPr>
                <w:rFonts w:ascii="宋体" w:hAnsi="宋体" w:cs="宋体"/>
                <w:kern w:val="0"/>
                <w:szCs w:val="21"/>
              </w:rPr>
            </w:pPr>
          </w:p>
        </w:tc>
      </w:tr>
      <w:tr w14:paraId="01A3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735D6466">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14:paraId="434693AF">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14:paraId="6839444C">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14:paraId="5AFE37DD">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14:paraId="4E04A9C1">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14:paraId="0F7157F8">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14:paraId="1B82DB12">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14:paraId="41D6D3F9">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14:paraId="015DE90D">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14:paraId="5A23CB47">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14:paraId="191A61ED">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14:paraId="328D2445">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14:paraId="051342FE">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14:paraId="3C74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25370A32">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14:paraId="2370C9B8">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14:paraId="13C50D1D">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14:paraId="7E494FE4">
            <w:pPr>
              <w:tabs>
                <w:tab w:val="left" w:pos="210"/>
              </w:tabs>
              <w:spacing w:line="360" w:lineRule="auto"/>
              <w:jc w:val="left"/>
              <w:rPr>
                <w:rFonts w:ascii="宋体" w:hAnsi="宋体" w:cs="宋体"/>
                <w:kern w:val="0"/>
                <w:szCs w:val="21"/>
              </w:rPr>
            </w:pPr>
          </w:p>
          <w:p w14:paraId="02CFB0D9">
            <w:pPr>
              <w:tabs>
                <w:tab w:val="left" w:pos="210"/>
              </w:tabs>
              <w:spacing w:line="360" w:lineRule="auto"/>
              <w:jc w:val="left"/>
              <w:rPr>
                <w:rFonts w:ascii="宋体" w:hAnsi="宋体" w:cs="宋体"/>
                <w:kern w:val="0"/>
                <w:szCs w:val="21"/>
              </w:rPr>
            </w:pPr>
          </w:p>
          <w:p w14:paraId="4F675CD8">
            <w:pPr>
              <w:tabs>
                <w:tab w:val="left" w:pos="210"/>
              </w:tabs>
              <w:spacing w:line="360" w:lineRule="auto"/>
              <w:jc w:val="left"/>
              <w:rPr>
                <w:rFonts w:ascii="宋体" w:hAnsi="宋体" w:cs="宋体"/>
                <w:kern w:val="0"/>
                <w:szCs w:val="21"/>
              </w:rPr>
            </w:pPr>
          </w:p>
          <w:p w14:paraId="52949FCE">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14:paraId="2B62630E">
      <w:pPr>
        <w:pStyle w:val="5"/>
        <w:rPr>
          <w:rFonts w:hint="default"/>
        </w:rPr>
        <w:sectPr>
          <w:pgSz w:w="11906" w:h="16838"/>
          <w:pgMar w:top="1440" w:right="1803" w:bottom="1440" w:left="1803" w:header="851" w:footer="992" w:gutter="0"/>
          <w:cols w:space="720" w:num="1"/>
          <w:docGrid w:type="lines" w:linePitch="319" w:charSpace="0"/>
        </w:sectPr>
      </w:pPr>
    </w:p>
    <w:p w14:paraId="6B3354D2">
      <w:pPr>
        <w:pStyle w:val="11"/>
        <w:jc w:val="center"/>
        <w:rPr>
          <w:b w:val="0"/>
          <w:bCs w:val="0"/>
          <w:color w:val="auto"/>
        </w:rPr>
      </w:pPr>
      <w:r>
        <w:rPr>
          <w:rFonts w:hint="eastAsia"/>
          <w:b w:val="0"/>
          <w:bCs w:val="0"/>
          <w:color w:val="auto"/>
        </w:rPr>
        <w:t>法定代表人授权书（被授权人参加时提供）</w:t>
      </w:r>
    </w:p>
    <w:p w14:paraId="2526F9EC">
      <w:pPr>
        <w:pStyle w:val="11"/>
        <w:rPr>
          <w:rFonts w:eastAsia="宋体" w:cs="宋体"/>
          <w:b w:val="0"/>
          <w:bCs w:val="0"/>
          <w:color w:val="auto"/>
          <w:szCs w:val="24"/>
        </w:rPr>
      </w:pPr>
      <w:r>
        <w:rPr>
          <w:rFonts w:hint="eastAsia" w:eastAsia="宋体" w:cs="宋体"/>
          <w:b w:val="0"/>
          <w:bCs w:val="0"/>
          <w:color w:val="auto"/>
          <w:szCs w:val="24"/>
        </w:rPr>
        <w:t>陕西卓佲项目管理有限公司：</w:t>
      </w:r>
    </w:p>
    <w:p w14:paraId="7C153B92">
      <w:pPr>
        <w:tabs>
          <w:tab w:val="left" w:pos="8820"/>
        </w:tabs>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的法定代表人，现代表公司授权</w:t>
      </w:r>
      <w:r>
        <w:rPr>
          <w:rFonts w:hint="eastAsia" w:ascii="宋体" w:hAnsi="宋体" w:eastAsia="宋体" w:cs="宋体"/>
          <w:sz w:val="24"/>
          <w:szCs w:val="24"/>
          <w:u w:val="single"/>
        </w:rPr>
        <w:t xml:space="preserve">（被授权人的姓名、职务）   </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（项目名称） （项目编号）   </w:t>
      </w:r>
      <w:r>
        <w:rPr>
          <w:rFonts w:hint="eastAsia" w:ascii="宋体" w:hAnsi="宋体" w:eastAsia="宋体" w:cs="宋体"/>
          <w:sz w:val="24"/>
          <w:szCs w:val="24"/>
        </w:rPr>
        <w:t>的采购活动。以我方名义全权处理该项目有关谈判、签订合同以及执行合同等一切事宜。</w:t>
      </w:r>
    </w:p>
    <w:p w14:paraId="1464E3B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本授权书自响应文件递交截止之日生效，有效期与响应有效期一致，特此声明。</w:t>
      </w:r>
    </w:p>
    <w:p w14:paraId="04E5A02D">
      <w:pPr>
        <w:pStyle w:val="11"/>
        <w:ind w:firstLine="480" w:firstLineChars="200"/>
        <w:rPr>
          <w:rFonts w:eastAsia="宋体" w:cs="宋体"/>
          <w:b w:val="0"/>
          <w:bCs w:val="0"/>
          <w:color w:val="auto"/>
          <w:szCs w:val="24"/>
        </w:rPr>
      </w:pPr>
      <w:r>
        <w:rPr>
          <w:rFonts w:hint="eastAsia" w:eastAsia="宋体" w:cs="宋体"/>
          <w:b w:val="0"/>
          <w:bCs w:val="0"/>
          <w:color w:val="auto"/>
          <w:szCs w:val="24"/>
        </w:rPr>
        <w:t>供应商（单位名称及公章）：</w:t>
      </w:r>
    </w:p>
    <w:p w14:paraId="6759E34D">
      <w:pPr>
        <w:pStyle w:val="11"/>
        <w:ind w:firstLine="480" w:firstLineChars="200"/>
        <w:rPr>
          <w:rFonts w:eastAsia="宋体" w:cs="宋体"/>
          <w:b w:val="0"/>
          <w:bCs w:val="0"/>
          <w:color w:val="auto"/>
          <w:szCs w:val="24"/>
        </w:rPr>
      </w:pPr>
      <w:r>
        <w:rPr>
          <w:rFonts w:hint="eastAsia" w:eastAsia="宋体" w:cs="宋体"/>
          <w:b w:val="0"/>
          <w:bCs w:val="0"/>
          <w:color w:val="auto"/>
          <w:szCs w:val="24"/>
        </w:rPr>
        <w:t>法定代表人（签字或盖章）：</w:t>
      </w:r>
    </w:p>
    <w:p w14:paraId="087EB3B1">
      <w:pPr>
        <w:pStyle w:val="11"/>
        <w:ind w:firstLine="480" w:firstLineChars="200"/>
        <w:rPr>
          <w:rFonts w:eastAsia="宋体" w:cs="宋体"/>
          <w:b w:val="0"/>
          <w:bCs w:val="0"/>
          <w:color w:val="auto"/>
          <w:szCs w:val="24"/>
        </w:rPr>
      </w:pPr>
      <w:r>
        <w:rPr>
          <w:rFonts w:hint="eastAsia" w:eastAsia="宋体" w:cs="宋体"/>
          <w:b w:val="0"/>
          <w:bCs w:val="0"/>
          <w:color w:val="auto"/>
          <w:szCs w:val="24"/>
        </w:rPr>
        <w:t>被授权人性别：职务：</w:t>
      </w:r>
    </w:p>
    <w:p w14:paraId="4DE8A581">
      <w:pPr>
        <w:pStyle w:val="11"/>
        <w:ind w:firstLine="480" w:firstLineChars="200"/>
        <w:rPr>
          <w:rFonts w:eastAsia="宋体" w:cs="宋体"/>
          <w:b w:val="0"/>
          <w:bCs w:val="0"/>
          <w:color w:val="auto"/>
          <w:szCs w:val="24"/>
        </w:rPr>
      </w:pPr>
      <w:r>
        <w:rPr>
          <w:rFonts w:hint="eastAsia" w:eastAsia="宋体" w:cs="宋体"/>
          <w:b w:val="0"/>
          <w:bCs w:val="0"/>
          <w:color w:val="auto"/>
          <w:szCs w:val="24"/>
        </w:rPr>
        <w:t>联系地址：</w:t>
      </w:r>
    </w:p>
    <w:p w14:paraId="74B78B90">
      <w:pPr>
        <w:pStyle w:val="11"/>
        <w:ind w:firstLine="480" w:firstLineChars="200"/>
        <w:rPr>
          <w:rFonts w:eastAsia="宋体" w:cs="宋体"/>
          <w:b w:val="0"/>
          <w:bCs w:val="0"/>
          <w:color w:val="auto"/>
          <w:szCs w:val="24"/>
        </w:rPr>
      </w:pPr>
      <w:r>
        <w:rPr>
          <w:rFonts w:hint="eastAsia" w:eastAsia="宋体" w:cs="宋体"/>
          <w:b w:val="0"/>
          <w:bCs w:val="0"/>
          <w:color w:val="auto"/>
          <w:szCs w:val="24"/>
        </w:rPr>
        <w:t>联系电话：</w:t>
      </w:r>
    </w:p>
    <w:p w14:paraId="1B85DE92">
      <w:pPr>
        <w:pStyle w:val="11"/>
        <w:ind w:firstLine="480" w:firstLineChars="200"/>
        <w:rPr>
          <w:rFonts w:eastAsia="宋体" w:cs="宋体"/>
          <w:b w:val="0"/>
          <w:bCs w:val="0"/>
          <w:color w:val="auto"/>
          <w:szCs w:val="24"/>
        </w:rPr>
      </w:pPr>
      <w:r>
        <w:rPr>
          <w:rFonts w:hint="eastAsia" w:eastAsia="宋体" w:cs="宋体"/>
          <w:b w:val="0"/>
          <w:bCs w:val="0"/>
          <w:color w:val="auto"/>
          <w:szCs w:val="24"/>
        </w:rPr>
        <w:t>法定代表人及被授权人身份证复印件或扫描件</w:t>
      </w:r>
    </w:p>
    <w:tbl>
      <w:tblPr>
        <w:tblStyle w:val="24"/>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14:paraId="1EEE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14:paraId="51F160D5">
            <w:pPr>
              <w:pStyle w:val="11"/>
              <w:rPr>
                <w:b w:val="0"/>
                <w:bCs w:val="0"/>
                <w:color w:val="auto"/>
                <w:shd w:val="pct10" w:color="auto" w:fill="FFFFFF"/>
              </w:rPr>
            </w:pPr>
            <w:r>
              <w:rPr>
                <w:rFonts w:hint="eastAsia"/>
                <w:b w:val="0"/>
                <w:bCs w:val="0"/>
                <w:color w:val="auto"/>
                <w:shd w:val="pct10" w:color="auto" w:fill="FFFFFF"/>
              </w:rPr>
              <w:t>法定代表人身份证复印件或扫描件</w:t>
            </w:r>
          </w:p>
          <w:p w14:paraId="2EA9DFF5">
            <w:pPr>
              <w:pStyle w:val="11"/>
              <w:rPr>
                <w:b w:val="0"/>
                <w:bCs w:val="0"/>
                <w:color w:val="auto"/>
                <w:shd w:val="pct10" w:color="auto" w:fill="FFFFFF"/>
              </w:rPr>
            </w:pPr>
            <w:r>
              <w:rPr>
                <w:rFonts w:hint="eastAsia"/>
                <w:b w:val="0"/>
                <w:bCs w:val="0"/>
                <w:color w:val="auto"/>
                <w:shd w:val="pct10" w:color="auto" w:fill="FFFFFF"/>
              </w:rPr>
              <w:t>（正反面）</w:t>
            </w:r>
          </w:p>
          <w:p w14:paraId="4A4A2AC7">
            <w:pPr>
              <w:pStyle w:val="11"/>
              <w:rPr>
                <w:b w:val="0"/>
                <w:bCs w:val="0"/>
                <w:color w:val="auto"/>
                <w:shd w:val="pct10" w:color="auto" w:fill="FFFFFF"/>
              </w:rPr>
            </w:pPr>
          </w:p>
        </w:tc>
        <w:tc>
          <w:tcPr>
            <w:tcW w:w="4546" w:type="dxa"/>
            <w:shd w:val="clear" w:color="auto" w:fill="D9D9D9"/>
            <w:vAlign w:val="center"/>
          </w:tcPr>
          <w:p w14:paraId="48D3ECEF">
            <w:pPr>
              <w:pStyle w:val="11"/>
              <w:rPr>
                <w:b w:val="0"/>
                <w:bCs w:val="0"/>
                <w:color w:val="auto"/>
                <w:shd w:val="pct10" w:color="auto" w:fill="FFFFFF"/>
              </w:rPr>
            </w:pPr>
            <w:r>
              <w:rPr>
                <w:rFonts w:hint="eastAsia"/>
                <w:b w:val="0"/>
                <w:bCs w:val="0"/>
                <w:color w:val="auto"/>
                <w:shd w:val="pct10" w:color="auto" w:fill="FFFFFF"/>
              </w:rPr>
              <w:t>被授权人身份证复印件或扫描件</w:t>
            </w:r>
          </w:p>
          <w:p w14:paraId="0B356C37">
            <w:pPr>
              <w:pStyle w:val="11"/>
              <w:rPr>
                <w:b w:val="0"/>
                <w:bCs w:val="0"/>
                <w:color w:val="auto"/>
                <w:shd w:val="pct10" w:color="auto" w:fill="FFFFFF"/>
              </w:rPr>
            </w:pPr>
            <w:r>
              <w:rPr>
                <w:rFonts w:hint="eastAsia"/>
                <w:b w:val="0"/>
                <w:bCs w:val="0"/>
                <w:color w:val="auto"/>
                <w:shd w:val="pct10" w:color="auto" w:fill="FFFFFF"/>
              </w:rPr>
              <w:t>（正反面）</w:t>
            </w:r>
          </w:p>
          <w:p w14:paraId="5D433D07">
            <w:pPr>
              <w:pStyle w:val="11"/>
              <w:rPr>
                <w:b w:val="0"/>
                <w:bCs w:val="0"/>
                <w:color w:val="auto"/>
                <w:shd w:val="pct10" w:color="auto" w:fill="FFFFFF"/>
              </w:rPr>
            </w:pPr>
          </w:p>
        </w:tc>
      </w:tr>
    </w:tbl>
    <w:p w14:paraId="21D73F1C">
      <w:pPr>
        <w:rPr>
          <w:rFonts w:hAnsi="宋体" w:cs="宋体"/>
          <w:sz w:val="24"/>
          <w:szCs w:val="24"/>
        </w:rPr>
      </w:pPr>
    </w:p>
    <w:p w14:paraId="60E285F0">
      <w:pPr>
        <w:keepNext/>
        <w:keepLines/>
        <w:spacing w:line="413" w:lineRule="auto"/>
        <w:ind w:firstLine="640" w:firstLineChars="200"/>
        <w:rPr>
          <w:rFonts w:ascii="宋体" w:hAnsi="宋体" w:cs="宋体"/>
          <w:sz w:val="32"/>
          <w:szCs w:val="24"/>
        </w:rPr>
        <w:sectPr>
          <w:pgSz w:w="11906" w:h="16838"/>
          <w:pgMar w:top="1440" w:right="1803" w:bottom="1440" w:left="1803" w:header="851" w:footer="992" w:gutter="0"/>
          <w:cols w:space="720" w:num="1"/>
          <w:docGrid w:type="lines" w:linePitch="319" w:charSpace="0"/>
        </w:sectPr>
      </w:pPr>
    </w:p>
    <w:p w14:paraId="668558DE">
      <w:pPr>
        <w:numPr>
          <w:ilvl w:val="0"/>
          <w:numId w:val="3"/>
        </w:numPr>
        <w:adjustRightInd w:val="0"/>
        <w:spacing w:line="416" w:lineRule="atLeast"/>
        <w:jc w:val="center"/>
        <w:textAlignment w:val="baseline"/>
        <w:rPr>
          <w:rFonts w:ascii="宋体" w:hAnsi="宋体" w:cs="宋体"/>
          <w:sz w:val="24"/>
          <w:szCs w:val="24"/>
        </w:rPr>
      </w:pPr>
      <w:r>
        <w:rPr>
          <w:rFonts w:hint="eastAsia" w:ascii="宋体" w:hAnsi="宋体" w:cs="宋体"/>
          <w:sz w:val="24"/>
          <w:szCs w:val="24"/>
        </w:rPr>
        <w:t>本项目专门面向中小企业采购，供应商须提供中小企业声明函；</w:t>
      </w:r>
    </w:p>
    <w:p w14:paraId="44A8626E">
      <w:pPr>
        <w:adjustRightInd w:val="0"/>
        <w:spacing w:line="416" w:lineRule="atLeast"/>
        <w:jc w:val="center"/>
        <w:textAlignment w:val="baseline"/>
        <w:rPr>
          <w:rFonts w:ascii="宋体" w:hAnsi="宋体" w:cs="宋体"/>
          <w:b/>
          <w:bCs/>
          <w:sz w:val="24"/>
          <w:szCs w:val="28"/>
        </w:rPr>
      </w:pPr>
      <w:r>
        <w:rPr>
          <w:rFonts w:hint="eastAsia" w:ascii="宋体" w:hAnsi="宋体" w:cs="宋体"/>
          <w:b/>
          <w:bCs/>
          <w:sz w:val="24"/>
          <w:szCs w:val="28"/>
        </w:rPr>
        <w:t>中小企业声明函（货物）</w:t>
      </w:r>
    </w:p>
    <w:p w14:paraId="0F99EB6B">
      <w:pPr>
        <w:spacing w:line="588" w:lineRule="exact"/>
        <w:ind w:firstLine="504" w:firstLineChars="200"/>
        <w:rPr>
          <w:rFonts w:ascii="宋体" w:hAnsi="宋体" w:cs="宋体"/>
          <w:spacing w:val="6"/>
          <w:sz w:val="24"/>
        </w:rPr>
      </w:pPr>
      <w:r>
        <w:rPr>
          <w:rFonts w:hint="eastAsia" w:ascii="宋体" w:hAnsi="宋体" w:cs="宋体"/>
          <w:spacing w:val="6"/>
          <w:sz w:val="24"/>
        </w:rPr>
        <w:t>根据《政府采购促进中小企业发展管理办法》（财库﹝2020﹞46 号）的规定，由供应商自行声明并对真实性负责。如有虚假，将依法承担相应责任。</w:t>
      </w:r>
    </w:p>
    <w:p w14:paraId="022975B0">
      <w:pPr>
        <w:spacing w:line="588" w:lineRule="exact"/>
        <w:jc w:val="center"/>
        <w:rPr>
          <w:rFonts w:ascii="宋体" w:hAnsi="宋体" w:cs="宋体"/>
          <w:b/>
          <w:spacing w:val="6"/>
          <w:sz w:val="24"/>
          <w:szCs w:val="24"/>
        </w:rPr>
      </w:pPr>
      <w:r>
        <w:rPr>
          <w:rFonts w:hint="eastAsia" w:ascii="宋体" w:hAnsi="宋体" w:cs="宋体"/>
          <w:b/>
          <w:spacing w:val="6"/>
          <w:sz w:val="24"/>
          <w:szCs w:val="24"/>
        </w:rPr>
        <w:t>中小企业声明函</w:t>
      </w:r>
    </w:p>
    <w:p w14:paraId="129D2165">
      <w:pPr>
        <w:spacing w:line="588" w:lineRule="exact"/>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采购活动，提供的货物全部由符合政策要求的中小企业制造。相关企业（含联合体中的中小企业、签订分包意向协议的中小企业）的具体情况如下：</w:t>
      </w:r>
    </w:p>
    <w:p w14:paraId="27EBDA2E">
      <w:pPr>
        <w:spacing w:line="588" w:lineRule="exact"/>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w:t>
      </w:r>
      <w:r>
        <w:rPr>
          <w:rFonts w:hint="eastAsia" w:ascii="宋体" w:hAnsi="宋体" w:cs="宋体"/>
          <w:spacing w:val="6"/>
          <w:sz w:val="24"/>
          <w:u w:val="single"/>
        </w:rPr>
        <w:t>（企业名称）</w:t>
      </w:r>
      <w:r>
        <w:rPr>
          <w:rFonts w:hint="eastAsia" w:ascii="宋体" w:hAnsi="宋体" w:cs="宋体"/>
          <w:spacing w:val="6"/>
          <w:sz w:val="24"/>
        </w:rPr>
        <w:t>，从业人员人，营业收入为万元，资产总额为万元，属于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4049599D">
      <w:pPr>
        <w:spacing w:line="588" w:lineRule="exact"/>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；制造商为（企业名称），从业人员人，营业收入为万元，资产总额为万元，属于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09F6D357">
      <w:pPr>
        <w:spacing w:line="588" w:lineRule="exact"/>
        <w:ind w:firstLine="504" w:firstLineChars="200"/>
        <w:rPr>
          <w:rFonts w:ascii="宋体" w:hAnsi="宋体" w:cs="宋体"/>
          <w:spacing w:val="6"/>
          <w:sz w:val="24"/>
        </w:rPr>
      </w:pPr>
      <w:r>
        <w:rPr>
          <w:rFonts w:hint="eastAsia" w:ascii="宋体" w:hAnsi="宋体" w:cs="宋体"/>
          <w:spacing w:val="6"/>
          <w:sz w:val="24"/>
        </w:rPr>
        <w:t>……</w:t>
      </w:r>
    </w:p>
    <w:p w14:paraId="39185977">
      <w:pPr>
        <w:spacing w:line="588" w:lineRule="exact"/>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0033E2D1">
      <w:pPr>
        <w:spacing w:line="588" w:lineRule="exact"/>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0CD0AA0E">
      <w:pPr>
        <w:spacing w:line="588" w:lineRule="exact"/>
        <w:ind w:firstLine="504" w:firstLineChars="200"/>
        <w:jc w:val="right"/>
        <w:rPr>
          <w:rFonts w:ascii="宋体" w:hAnsi="宋体" w:cs="宋体"/>
          <w:spacing w:val="6"/>
          <w:sz w:val="24"/>
        </w:rPr>
      </w:pPr>
      <w:r>
        <w:rPr>
          <w:rFonts w:hint="eastAsia" w:ascii="宋体" w:hAnsi="宋体" w:cs="宋体"/>
          <w:spacing w:val="6"/>
          <w:sz w:val="24"/>
        </w:rPr>
        <w:t>企业名称（盖章）：</w:t>
      </w:r>
    </w:p>
    <w:p w14:paraId="6EA3F56B">
      <w:pPr>
        <w:pStyle w:val="11"/>
        <w:ind w:firstLine="6000" w:firstLineChars="2500"/>
        <w:rPr>
          <w:color w:val="auto"/>
        </w:rPr>
      </w:pPr>
      <w:r>
        <w:rPr>
          <w:rFonts w:hint="eastAsia"/>
          <w:b w:val="0"/>
          <w:bCs w:val="0"/>
          <w:color w:val="auto"/>
        </w:rPr>
        <w:t>日期：</w:t>
      </w:r>
    </w:p>
    <w:p w14:paraId="1DF61BF7">
      <w:pPr>
        <w:pStyle w:val="11"/>
        <w:rPr>
          <w:color w:val="auto"/>
        </w:rPr>
      </w:pPr>
      <w:r>
        <w:rPr>
          <w:rFonts w:hint="eastAsia"/>
          <w:color w:val="auto"/>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61643AE3">
      <w:pPr>
        <w:pStyle w:val="11"/>
        <w:rPr>
          <w:color w:val="auto"/>
        </w:rPr>
      </w:pPr>
      <w:r>
        <w:rPr>
          <w:rFonts w:hint="eastAsia"/>
          <w:color w:val="auto"/>
        </w:rPr>
        <w:t xml:space="preserve">    2.从业人员、营业收入、资产总额填报上一年度数据，无上一年度数据的新成立企业可不填报。</w:t>
      </w:r>
    </w:p>
    <w:p w14:paraId="1287D250">
      <w:pPr>
        <w:spacing w:line="588" w:lineRule="exact"/>
        <w:ind w:firstLine="504" w:firstLineChars="200"/>
        <w:jc w:val="right"/>
        <w:rPr>
          <w:rFonts w:ascii="宋体" w:hAnsi="宋体" w:cs="宋体"/>
          <w:spacing w:val="6"/>
          <w:sz w:val="24"/>
        </w:rPr>
        <w:sectPr>
          <w:footerReference r:id="rId11" w:type="default"/>
          <w:pgSz w:w="11906" w:h="16838"/>
          <w:pgMar w:top="1440" w:right="1803" w:bottom="1440" w:left="1803" w:header="851" w:footer="992" w:gutter="0"/>
          <w:cols w:space="720" w:num="1"/>
          <w:docGrid w:type="lines" w:linePitch="319" w:charSpace="0"/>
        </w:sectPr>
      </w:pPr>
    </w:p>
    <w:p w14:paraId="6D34537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9、本项目不接受联合体响应</w:t>
      </w:r>
    </w:p>
    <w:p w14:paraId="39E65041">
      <w:pPr>
        <w:pStyle w:val="7"/>
        <w:ind w:left="420" w:leftChars="200" w:firstLine="0"/>
        <w:rPr>
          <w:rFonts w:ascii="宋体" w:hAnsi="宋体" w:cs="宋体"/>
        </w:rPr>
      </w:pPr>
    </w:p>
    <w:p w14:paraId="3FB01555">
      <w:pPr>
        <w:pStyle w:val="23"/>
        <w:spacing w:line="480" w:lineRule="auto"/>
        <w:rPr>
          <w:rFonts w:ascii="宋体" w:hAnsi="宋体" w:cs="宋体"/>
        </w:rPr>
      </w:pPr>
    </w:p>
    <w:p w14:paraId="40954402">
      <w:pPr>
        <w:widowControl/>
        <w:adjustRightInd w:val="0"/>
        <w:snapToGrid w:val="0"/>
        <w:spacing w:line="480" w:lineRule="auto"/>
        <w:ind w:left="420" w:firstLine="480" w:firstLineChars="200"/>
        <w:jc w:val="center"/>
        <w:rPr>
          <w:rFonts w:ascii="宋体" w:hAnsi="宋体" w:cs="宋体"/>
          <w:sz w:val="24"/>
          <w:szCs w:val="24"/>
        </w:rPr>
      </w:pPr>
      <w:r>
        <w:rPr>
          <w:rFonts w:hint="eastAsia" w:ascii="宋体" w:hAnsi="宋体" w:cs="宋体"/>
          <w:sz w:val="24"/>
          <w:szCs w:val="24"/>
        </w:rPr>
        <w:t>非联合体响应声明</w:t>
      </w:r>
    </w:p>
    <w:p w14:paraId="21F2FD0F">
      <w:pPr>
        <w:widowControl/>
        <w:adjustRightInd w:val="0"/>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14:paraId="3805E390">
      <w:pPr>
        <w:widowControl/>
        <w:adjustRightInd w:val="0"/>
        <w:snapToGrid w:val="0"/>
        <w:spacing w:line="480" w:lineRule="auto"/>
        <w:ind w:firstLine="480" w:firstLineChars="20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我单位参与陕西卓佲项目管理有限公司组织的____________________（项目名称）竞争性谈判，我单位郑重声明：我方非联合体响应，如有虚假，承担相应责任。</w:t>
      </w:r>
    </w:p>
    <w:p w14:paraId="4DFCE3EC">
      <w:pPr>
        <w:widowControl/>
        <w:adjustRightInd w:val="0"/>
        <w:snapToGrid w:val="0"/>
        <w:spacing w:line="480" w:lineRule="auto"/>
        <w:ind w:firstLine="480" w:firstLineChars="200"/>
        <w:rPr>
          <w:rFonts w:ascii="宋体" w:hAnsi="宋体" w:cs="宋体"/>
          <w:kern w:val="0"/>
          <w:sz w:val="24"/>
          <w:szCs w:val="24"/>
        </w:rPr>
      </w:pPr>
      <w:r>
        <w:rPr>
          <w:rFonts w:hint="eastAsia" w:ascii="宋体" w:hAnsi="宋体" w:cs="宋体"/>
          <w:kern w:val="0"/>
          <w:sz w:val="24"/>
          <w:szCs w:val="24"/>
        </w:rPr>
        <w:t>特此声明！</w:t>
      </w:r>
    </w:p>
    <w:p w14:paraId="6155B67D">
      <w:pPr>
        <w:pStyle w:val="11"/>
        <w:adjustRightInd w:val="0"/>
        <w:snapToGrid w:val="0"/>
        <w:spacing w:line="480" w:lineRule="auto"/>
        <w:ind w:firstLine="480" w:firstLineChars="200"/>
        <w:rPr>
          <w:b w:val="0"/>
          <w:bCs w:val="0"/>
          <w:color w:val="auto"/>
        </w:rPr>
      </w:pPr>
    </w:p>
    <w:p w14:paraId="4849F226">
      <w:pPr>
        <w:pStyle w:val="11"/>
        <w:adjustRightInd w:val="0"/>
        <w:snapToGrid w:val="0"/>
        <w:spacing w:line="480" w:lineRule="auto"/>
        <w:ind w:firstLine="480" w:firstLineChars="200"/>
        <w:rPr>
          <w:b w:val="0"/>
          <w:bCs w:val="0"/>
          <w:color w:val="auto"/>
        </w:rPr>
      </w:pPr>
    </w:p>
    <w:p w14:paraId="1BC74420">
      <w:pPr>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供应商（单位名称及公章）：______________________</w:t>
      </w:r>
    </w:p>
    <w:p w14:paraId="326116BB">
      <w:pPr>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法定代表人或被授权人（签字或盖章）：______________________</w:t>
      </w:r>
    </w:p>
    <w:p w14:paraId="6E466FAD">
      <w:pPr>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日期：_______年________月_______日</w:t>
      </w:r>
    </w:p>
    <w:p w14:paraId="5AF4120B">
      <w:pPr>
        <w:pStyle w:val="9"/>
        <w:adjustRightInd w:val="0"/>
        <w:snapToGrid w:val="0"/>
        <w:spacing w:line="480" w:lineRule="auto"/>
        <w:ind w:firstLine="420" w:firstLineChars="200"/>
        <w:sectPr>
          <w:headerReference r:id="rId12" w:type="default"/>
          <w:footerReference r:id="rId13" w:type="default"/>
          <w:pgSz w:w="11906" w:h="16838"/>
          <w:pgMar w:top="1440" w:right="1803" w:bottom="1440" w:left="1803" w:header="851" w:footer="992" w:gutter="0"/>
          <w:cols w:space="720" w:num="1"/>
          <w:docGrid w:type="lines" w:linePitch="319" w:charSpace="0"/>
        </w:sectPr>
      </w:pPr>
    </w:p>
    <w:p w14:paraId="73451212">
      <w:pPr>
        <w:pStyle w:val="3"/>
        <w:pageBreakBefore/>
        <w:rPr>
          <w:rFonts w:ascii="宋体" w:hAnsi="宋体" w:cs="宋体"/>
          <w:sz w:val="44"/>
          <w:szCs w:val="44"/>
        </w:rPr>
      </w:pPr>
      <w:bookmarkStart w:id="80" w:name="_Toc7767"/>
      <w:r>
        <w:rPr>
          <w:rFonts w:hint="eastAsia" w:ascii="宋体" w:hAnsi="宋体" w:cs="宋体"/>
          <w:sz w:val="44"/>
          <w:szCs w:val="44"/>
        </w:rPr>
        <w:t>第五部分</w:t>
      </w:r>
      <w:bookmarkEnd w:id="79"/>
      <w:r>
        <w:rPr>
          <w:rFonts w:hint="eastAsia" w:ascii="宋体" w:hAnsi="宋体" w:cs="宋体"/>
          <w:sz w:val="44"/>
          <w:szCs w:val="44"/>
        </w:rPr>
        <w:t xml:space="preserve"> 技术与服务方案</w:t>
      </w:r>
      <w:bookmarkEnd w:id="80"/>
    </w:p>
    <w:p w14:paraId="5B7CD46A">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14:paraId="5C224648">
      <w:pPr>
        <w:sectPr>
          <w:headerReference r:id="rId14" w:type="default"/>
          <w:pgSz w:w="11906" w:h="16838"/>
          <w:pgMar w:top="1440" w:right="1800" w:bottom="1440" w:left="1800" w:header="851" w:footer="992" w:gutter="0"/>
          <w:cols w:space="720" w:num="1"/>
          <w:docGrid w:type="lines" w:linePitch="312" w:charSpace="0"/>
        </w:sectPr>
      </w:pPr>
    </w:p>
    <w:p w14:paraId="67883670">
      <w:pPr>
        <w:pStyle w:val="3"/>
        <w:pageBreakBefore/>
        <w:rPr>
          <w:rFonts w:ascii="宋体" w:hAnsi="宋体" w:cs="宋体"/>
          <w:sz w:val="44"/>
          <w:szCs w:val="44"/>
        </w:rPr>
      </w:pPr>
      <w:bookmarkStart w:id="81" w:name="_Toc10667"/>
      <w:bookmarkStart w:id="82" w:name="_Toc11906"/>
      <w:bookmarkStart w:id="83" w:name="_Toc10530"/>
      <w:bookmarkStart w:id="84" w:name="_Toc27213"/>
      <w:bookmarkStart w:id="85" w:name="_Toc8571"/>
      <w:bookmarkStart w:id="86" w:name="_Toc498694581"/>
      <w:bookmarkStart w:id="87" w:name="七"/>
      <w:bookmarkStart w:id="88" w:name="_Toc23535"/>
      <w:bookmarkStart w:id="89" w:name="_Toc16606"/>
      <w:r>
        <w:rPr>
          <w:rFonts w:hint="eastAsia" w:ascii="宋体" w:hAnsi="宋体" w:cs="宋体"/>
          <w:sz w:val="44"/>
          <w:szCs w:val="44"/>
        </w:rPr>
        <w:t xml:space="preserve">第六部分  </w:t>
      </w:r>
      <w:bookmarkEnd w:id="81"/>
      <w:bookmarkEnd w:id="82"/>
      <w:bookmarkEnd w:id="83"/>
      <w:bookmarkEnd w:id="84"/>
      <w:bookmarkEnd w:id="85"/>
      <w:bookmarkEnd w:id="86"/>
      <w:bookmarkEnd w:id="87"/>
      <w:bookmarkEnd w:id="88"/>
      <w:r>
        <w:rPr>
          <w:rFonts w:hint="eastAsia" w:ascii="宋体" w:hAnsi="宋体" w:cs="宋体"/>
          <w:sz w:val="44"/>
          <w:szCs w:val="44"/>
        </w:rPr>
        <w:t>服务承诺</w:t>
      </w:r>
      <w:bookmarkEnd w:id="89"/>
    </w:p>
    <w:p w14:paraId="7374B91F">
      <w:pPr>
        <w:adjustRightInd w:val="0"/>
        <w:snapToGrid w:val="0"/>
        <w:spacing w:line="480" w:lineRule="auto"/>
        <w:jc w:val="left"/>
        <w:rPr>
          <w:rFonts w:ascii="宋体" w:hAnsi="宋体" w:eastAsia="宋体" w:cs="宋体"/>
          <w:b/>
          <w:bCs/>
          <w:sz w:val="20"/>
          <w:szCs w:val="20"/>
        </w:rPr>
      </w:pPr>
      <w:r>
        <w:rPr>
          <w:rFonts w:hint="eastAsia" w:ascii="宋体" w:hAnsi="宋体" w:cs="宋体"/>
          <w:b/>
          <w:bCs/>
          <w:sz w:val="24"/>
          <w:szCs w:val="24"/>
        </w:rPr>
        <w:t>服务承诺由供应商自行编写，无具体格式。</w:t>
      </w:r>
    </w:p>
    <w:p w14:paraId="33C1EAFA">
      <w:pPr>
        <w:spacing w:line="360" w:lineRule="auto"/>
        <w:jc w:val="left"/>
        <w:rPr>
          <w:rFonts w:ascii="宋体" w:hAnsi="宋体" w:cs="宋体"/>
        </w:rPr>
        <w:sectPr>
          <w:pgSz w:w="11906" w:h="16838"/>
          <w:pgMar w:top="1440" w:right="1803" w:bottom="1440" w:left="1803" w:header="851" w:footer="992" w:gutter="0"/>
          <w:cols w:space="720" w:num="1"/>
          <w:docGrid w:type="lines" w:linePitch="319" w:charSpace="0"/>
        </w:sectPr>
      </w:pPr>
    </w:p>
    <w:p w14:paraId="75B6B4A7">
      <w:pPr>
        <w:pStyle w:val="3"/>
        <w:pageBreakBefore/>
        <w:rPr>
          <w:rFonts w:ascii="宋体" w:hAnsi="宋体" w:cs="宋体"/>
          <w:sz w:val="44"/>
          <w:szCs w:val="44"/>
        </w:rPr>
      </w:pPr>
      <w:bookmarkStart w:id="90" w:name="_Toc1553"/>
      <w:bookmarkStart w:id="91" w:name="_Toc11150"/>
      <w:r>
        <w:rPr>
          <w:rFonts w:hint="eastAsia" w:ascii="宋体" w:hAnsi="宋体" w:cs="宋体"/>
          <w:sz w:val="44"/>
          <w:szCs w:val="44"/>
        </w:rPr>
        <w:t>第七部分  业绩一览表</w:t>
      </w:r>
      <w:bookmarkEnd w:id="90"/>
      <w:bookmarkEnd w:id="9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7"/>
        <w:gridCol w:w="1614"/>
        <w:gridCol w:w="1479"/>
        <w:gridCol w:w="1496"/>
        <w:gridCol w:w="1589"/>
        <w:gridCol w:w="1172"/>
      </w:tblGrid>
      <w:tr w14:paraId="7200E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807" w:type="dxa"/>
            <w:tcBorders>
              <w:top w:val="single" w:color="auto" w:sz="4" w:space="0"/>
            </w:tcBorders>
            <w:vAlign w:val="center"/>
          </w:tcPr>
          <w:p w14:paraId="5F750C75">
            <w:pPr>
              <w:spacing w:line="400" w:lineRule="exact"/>
              <w:jc w:val="center"/>
              <w:rPr>
                <w:rFonts w:ascii="宋体" w:hAnsi="宋体" w:cs="宋体"/>
              </w:rPr>
            </w:pPr>
            <w:r>
              <w:rPr>
                <w:rFonts w:hint="eastAsia" w:ascii="宋体" w:hAnsi="宋体" w:cs="宋体"/>
              </w:rPr>
              <w:t>年份</w:t>
            </w:r>
          </w:p>
        </w:tc>
        <w:tc>
          <w:tcPr>
            <w:tcW w:w="1614" w:type="dxa"/>
            <w:tcBorders>
              <w:top w:val="single" w:color="auto" w:sz="4" w:space="0"/>
            </w:tcBorders>
            <w:vAlign w:val="center"/>
          </w:tcPr>
          <w:p w14:paraId="191742A4">
            <w:pPr>
              <w:spacing w:line="400" w:lineRule="exact"/>
              <w:jc w:val="center"/>
              <w:rPr>
                <w:rFonts w:ascii="宋体" w:hAnsi="宋体" w:cs="宋体"/>
              </w:rPr>
            </w:pPr>
            <w:r>
              <w:rPr>
                <w:rFonts w:hint="eastAsia" w:ascii="宋体" w:hAnsi="宋体" w:cs="宋体"/>
              </w:rPr>
              <w:t>用户名称</w:t>
            </w:r>
          </w:p>
        </w:tc>
        <w:tc>
          <w:tcPr>
            <w:tcW w:w="1479" w:type="dxa"/>
            <w:tcBorders>
              <w:top w:val="single" w:color="auto" w:sz="4" w:space="0"/>
            </w:tcBorders>
            <w:vAlign w:val="center"/>
          </w:tcPr>
          <w:p w14:paraId="68720AD8">
            <w:pPr>
              <w:spacing w:line="400" w:lineRule="exact"/>
              <w:jc w:val="center"/>
              <w:rPr>
                <w:rFonts w:ascii="宋体" w:hAnsi="宋体" w:cs="宋体"/>
              </w:rPr>
            </w:pPr>
            <w:r>
              <w:rPr>
                <w:rFonts w:hint="eastAsia" w:ascii="宋体" w:hAnsi="宋体" w:cs="宋体"/>
              </w:rPr>
              <w:t>项目名称</w:t>
            </w:r>
          </w:p>
        </w:tc>
        <w:tc>
          <w:tcPr>
            <w:tcW w:w="1496" w:type="dxa"/>
            <w:tcBorders>
              <w:top w:val="single" w:color="auto" w:sz="4" w:space="0"/>
            </w:tcBorders>
            <w:vAlign w:val="center"/>
          </w:tcPr>
          <w:p w14:paraId="7C4FB8E3">
            <w:pPr>
              <w:spacing w:line="400" w:lineRule="exact"/>
              <w:jc w:val="center"/>
              <w:rPr>
                <w:rFonts w:ascii="宋体" w:hAnsi="宋体" w:cs="宋体"/>
              </w:rPr>
            </w:pPr>
            <w:r>
              <w:rPr>
                <w:rFonts w:hint="eastAsia" w:ascii="宋体" w:hAnsi="宋体" w:cs="宋体"/>
              </w:rPr>
              <w:t>合同签订时间</w:t>
            </w:r>
          </w:p>
        </w:tc>
        <w:tc>
          <w:tcPr>
            <w:tcW w:w="1589" w:type="dxa"/>
            <w:tcBorders>
              <w:top w:val="single" w:color="auto" w:sz="4" w:space="0"/>
            </w:tcBorders>
            <w:vAlign w:val="center"/>
          </w:tcPr>
          <w:p w14:paraId="3098ED4A">
            <w:pPr>
              <w:spacing w:line="400" w:lineRule="exact"/>
              <w:ind w:firstLine="105" w:firstLineChars="50"/>
              <w:jc w:val="center"/>
              <w:rPr>
                <w:rFonts w:ascii="宋体" w:hAnsi="宋体" w:cs="宋体"/>
              </w:rPr>
            </w:pPr>
            <w:r>
              <w:rPr>
                <w:rFonts w:hint="eastAsia" w:ascii="宋体" w:hAnsi="宋体" w:cs="宋体"/>
              </w:rPr>
              <w:t>合同金额</w:t>
            </w:r>
          </w:p>
        </w:tc>
        <w:tc>
          <w:tcPr>
            <w:tcW w:w="1172" w:type="dxa"/>
            <w:tcBorders>
              <w:top w:val="single" w:color="auto" w:sz="4" w:space="0"/>
              <w:left w:val="single" w:color="auto" w:sz="4" w:space="0"/>
            </w:tcBorders>
            <w:vAlign w:val="center"/>
          </w:tcPr>
          <w:p w14:paraId="504A9B3E">
            <w:pPr>
              <w:spacing w:line="400" w:lineRule="exact"/>
              <w:rPr>
                <w:rFonts w:ascii="宋体" w:hAnsi="宋体" w:cs="宋体"/>
              </w:rPr>
            </w:pPr>
            <w:r>
              <w:rPr>
                <w:rFonts w:hint="eastAsia" w:ascii="宋体" w:hAnsi="宋体" w:cs="宋体"/>
              </w:rPr>
              <w:t xml:space="preserve">  备注</w:t>
            </w:r>
          </w:p>
        </w:tc>
      </w:tr>
      <w:tr w14:paraId="6EC90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7262CC27">
            <w:pPr>
              <w:spacing w:line="400" w:lineRule="exact"/>
              <w:jc w:val="center"/>
              <w:rPr>
                <w:rFonts w:ascii="宋体" w:hAnsi="宋体" w:cs="宋体"/>
              </w:rPr>
            </w:pPr>
          </w:p>
        </w:tc>
        <w:tc>
          <w:tcPr>
            <w:tcW w:w="1614" w:type="dxa"/>
            <w:vAlign w:val="center"/>
          </w:tcPr>
          <w:p w14:paraId="6FCB1571">
            <w:pPr>
              <w:spacing w:line="400" w:lineRule="exact"/>
              <w:jc w:val="center"/>
              <w:rPr>
                <w:rFonts w:ascii="宋体" w:hAnsi="宋体" w:cs="宋体"/>
              </w:rPr>
            </w:pPr>
          </w:p>
        </w:tc>
        <w:tc>
          <w:tcPr>
            <w:tcW w:w="1479" w:type="dxa"/>
            <w:vAlign w:val="center"/>
          </w:tcPr>
          <w:p w14:paraId="59F8F277">
            <w:pPr>
              <w:spacing w:line="400" w:lineRule="exact"/>
              <w:jc w:val="center"/>
              <w:rPr>
                <w:rFonts w:ascii="宋体" w:hAnsi="宋体" w:cs="宋体"/>
              </w:rPr>
            </w:pPr>
          </w:p>
        </w:tc>
        <w:tc>
          <w:tcPr>
            <w:tcW w:w="1496" w:type="dxa"/>
            <w:vAlign w:val="center"/>
          </w:tcPr>
          <w:p w14:paraId="3B2A7F60">
            <w:pPr>
              <w:spacing w:line="400" w:lineRule="exact"/>
              <w:jc w:val="center"/>
              <w:rPr>
                <w:rFonts w:ascii="宋体" w:hAnsi="宋体" w:cs="宋体"/>
              </w:rPr>
            </w:pPr>
          </w:p>
        </w:tc>
        <w:tc>
          <w:tcPr>
            <w:tcW w:w="1589" w:type="dxa"/>
            <w:vAlign w:val="center"/>
          </w:tcPr>
          <w:p w14:paraId="47917108">
            <w:pPr>
              <w:spacing w:line="400" w:lineRule="exact"/>
              <w:jc w:val="center"/>
              <w:rPr>
                <w:rFonts w:ascii="宋体" w:hAnsi="宋体" w:cs="宋体"/>
              </w:rPr>
            </w:pPr>
          </w:p>
        </w:tc>
        <w:tc>
          <w:tcPr>
            <w:tcW w:w="1172" w:type="dxa"/>
            <w:tcBorders>
              <w:left w:val="single" w:color="auto" w:sz="4" w:space="0"/>
            </w:tcBorders>
            <w:vAlign w:val="center"/>
          </w:tcPr>
          <w:p w14:paraId="05008B20">
            <w:pPr>
              <w:spacing w:line="400" w:lineRule="exact"/>
              <w:jc w:val="center"/>
              <w:rPr>
                <w:rFonts w:ascii="宋体" w:hAnsi="宋体" w:cs="宋体"/>
              </w:rPr>
            </w:pPr>
          </w:p>
        </w:tc>
      </w:tr>
      <w:tr w14:paraId="7FBDF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33BB926D">
            <w:pPr>
              <w:spacing w:line="400" w:lineRule="exact"/>
              <w:jc w:val="center"/>
              <w:rPr>
                <w:rFonts w:ascii="宋体" w:hAnsi="宋体" w:cs="宋体"/>
              </w:rPr>
            </w:pPr>
          </w:p>
        </w:tc>
        <w:tc>
          <w:tcPr>
            <w:tcW w:w="1614" w:type="dxa"/>
            <w:vAlign w:val="center"/>
          </w:tcPr>
          <w:p w14:paraId="67491E4F">
            <w:pPr>
              <w:spacing w:line="400" w:lineRule="exact"/>
              <w:jc w:val="center"/>
              <w:rPr>
                <w:rFonts w:ascii="宋体" w:hAnsi="宋体" w:cs="宋体"/>
              </w:rPr>
            </w:pPr>
          </w:p>
        </w:tc>
        <w:tc>
          <w:tcPr>
            <w:tcW w:w="1479" w:type="dxa"/>
            <w:vAlign w:val="center"/>
          </w:tcPr>
          <w:p w14:paraId="63AE6EEC">
            <w:pPr>
              <w:spacing w:line="400" w:lineRule="exact"/>
              <w:jc w:val="center"/>
              <w:rPr>
                <w:rFonts w:ascii="宋体" w:hAnsi="宋体" w:cs="宋体"/>
              </w:rPr>
            </w:pPr>
          </w:p>
        </w:tc>
        <w:tc>
          <w:tcPr>
            <w:tcW w:w="1496" w:type="dxa"/>
            <w:vAlign w:val="center"/>
          </w:tcPr>
          <w:p w14:paraId="24CDDD77">
            <w:pPr>
              <w:spacing w:line="400" w:lineRule="exact"/>
              <w:jc w:val="center"/>
              <w:rPr>
                <w:rFonts w:ascii="宋体" w:hAnsi="宋体" w:cs="宋体"/>
              </w:rPr>
            </w:pPr>
          </w:p>
        </w:tc>
        <w:tc>
          <w:tcPr>
            <w:tcW w:w="1589" w:type="dxa"/>
            <w:vAlign w:val="center"/>
          </w:tcPr>
          <w:p w14:paraId="54DE8998">
            <w:pPr>
              <w:spacing w:line="400" w:lineRule="exact"/>
              <w:jc w:val="center"/>
              <w:rPr>
                <w:rFonts w:ascii="宋体" w:hAnsi="宋体" w:cs="宋体"/>
              </w:rPr>
            </w:pPr>
          </w:p>
        </w:tc>
        <w:tc>
          <w:tcPr>
            <w:tcW w:w="1172" w:type="dxa"/>
            <w:tcBorders>
              <w:left w:val="single" w:color="auto" w:sz="4" w:space="0"/>
            </w:tcBorders>
            <w:vAlign w:val="center"/>
          </w:tcPr>
          <w:p w14:paraId="0D45D483">
            <w:pPr>
              <w:spacing w:line="400" w:lineRule="exact"/>
              <w:jc w:val="center"/>
              <w:rPr>
                <w:rFonts w:ascii="宋体" w:hAnsi="宋体" w:cs="宋体"/>
              </w:rPr>
            </w:pPr>
          </w:p>
        </w:tc>
      </w:tr>
      <w:tr w14:paraId="209BF5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1FAC4424">
            <w:pPr>
              <w:spacing w:line="400" w:lineRule="exact"/>
              <w:jc w:val="center"/>
              <w:rPr>
                <w:rFonts w:ascii="宋体" w:hAnsi="宋体" w:cs="宋体"/>
              </w:rPr>
            </w:pPr>
          </w:p>
        </w:tc>
        <w:tc>
          <w:tcPr>
            <w:tcW w:w="1614" w:type="dxa"/>
            <w:vAlign w:val="center"/>
          </w:tcPr>
          <w:p w14:paraId="16257E38">
            <w:pPr>
              <w:spacing w:line="400" w:lineRule="exact"/>
              <w:jc w:val="center"/>
              <w:rPr>
                <w:rFonts w:ascii="宋体" w:hAnsi="宋体" w:cs="宋体"/>
              </w:rPr>
            </w:pPr>
          </w:p>
        </w:tc>
        <w:tc>
          <w:tcPr>
            <w:tcW w:w="1479" w:type="dxa"/>
            <w:vAlign w:val="center"/>
          </w:tcPr>
          <w:p w14:paraId="24E5E2F3">
            <w:pPr>
              <w:spacing w:line="400" w:lineRule="exact"/>
              <w:jc w:val="center"/>
              <w:rPr>
                <w:rFonts w:ascii="宋体" w:hAnsi="宋体" w:cs="宋体"/>
              </w:rPr>
            </w:pPr>
          </w:p>
        </w:tc>
        <w:tc>
          <w:tcPr>
            <w:tcW w:w="1496" w:type="dxa"/>
            <w:vAlign w:val="center"/>
          </w:tcPr>
          <w:p w14:paraId="470EA990">
            <w:pPr>
              <w:spacing w:line="400" w:lineRule="exact"/>
              <w:jc w:val="center"/>
              <w:rPr>
                <w:rFonts w:ascii="宋体" w:hAnsi="宋体" w:cs="宋体"/>
              </w:rPr>
            </w:pPr>
          </w:p>
        </w:tc>
        <w:tc>
          <w:tcPr>
            <w:tcW w:w="1589" w:type="dxa"/>
            <w:vAlign w:val="center"/>
          </w:tcPr>
          <w:p w14:paraId="0D69BB7D">
            <w:pPr>
              <w:spacing w:line="400" w:lineRule="exact"/>
              <w:jc w:val="center"/>
              <w:rPr>
                <w:rFonts w:ascii="宋体" w:hAnsi="宋体" w:cs="宋体"/>
              </w:rPr>
            </w:pPr>
          </w:p>
        </w:tc>
        <w:tc>
          <w:tcPr>
            <w:tcW w:w="1172" w:type="dxa"/>
            <w:tcBorders>
              <w:left w:val="single" w:color="auto" w:sz="4" w:space="0"/>
            </w:tcBorders>
            <w:vAlign w:val="center"/>
          </w:tcPr>
          <w:p w14:paraId="34D76E93">
            <w:pPr>
              <w:spacing w:line="400" w:lineRule="exact"/>
              <w:jc w:val="center"/>
              <w:rPr>
                <w:rFonts w:ascii="宋体" w:hAnsi="宋体" w:cs="宋体"/>
              </w:rPr>
            </w:pPr>
          </w:p>
        </w:tc>
      </w:tr>
      <w:tr w14:paraId="4CAB9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31A38954">
            <w:pPr>
              <w:spacing w:line="400" w:lineRule="exact"/>
              <w:jc w:val="center"/>
              <w:rPr>
                <w:rFonts w:ascii="宋体" w:hAnsi="宋体" w:cs="宋体"/>
              </w:rPr>
            </w:pPr>
          </w:p>
        </w:tc>
        <w:tc>
          <w:tcPr>
            <w:tcW w:w="1614" w:type="dxa"/>
            <w:tcBorders>
              <w:right w:val="single" w:color="auto" w:sz="4" w:space="0"/>
            </w:tcBorders>
            <w:vAlign w:val="center"/>
          </w:tcPr>
          <w:p w14:paraId="139A97D8">
            <w:pPr>
              <w:spacing w:line="400" w:lineRule="exact"/>
              <w:jc w:val="center"/>
              <w:rPr>
                <w:rFonts w:ascii="宋体" w:hAnsi="宋体" w:cs="宋体"/>
              </w:rPr>
            </w:pPr>
          </w:p>
        </w:tc>
        <w:tc>
          <w:tcPr>
            <w:tcW w:w="1479" w:type="dxa"/>
            <w:tcBorders>
              <w:left w:val="single" w:color="auto" w:sz="4" w:space="0"/>
            </w:tcBorders>
            <w:vAlign w:val="center"/>
          </w:tcPr>
          <w:p w14:paraId="45D9FD22">
            <w:pPr>
              <w:spacing w:line="400" w:lineRule="exact"/>
              <w:jc w:val="center"/>
              <w:rPr>
                <w:rFonts w:ascii="宋体" w:hAnsi="宋体" w:cs="宋体"/>
              </w:rPr>
            </w:pPr>
          </w:p>
        </w:tc>
        <w:tc>
          <w:tcPr>
            <w:tcW w:w="1496" w:type="dxa"/>
            <w:vAlign w:val="center"/>
          </w:tcPr>
          <w:p w14:paraId="0A087582">
            <w:pPr>
              <w:spacing w:line="400" w:lineRule="exact"/>
              <w:jc w:val="center"/>
              <w:rPr>
                <w:rFonts w:ascii="宋体" w:hAnsi="宋体" w:cs="宋体"/>
              </w:rPr>
            </w:pPr>
          </w:p>
        </w:tc>
        <w:tc>
          <w:tcPr>
            <w:tcW w:w="1589" w:type="dxa"/>
            <w:vAlign w:val="center"/>
          </w:tcPr>
          <w:p w14:paraId="7F890E83">
            <w:pPr>
              <w:spacing w:line="400" w:lineRule="exact"/>
              <w:jc w:val="center"/>
              <w:rPr>
                <w:rFonts w:ascii="宋体" w:hAnsi="宋体" w:cs="宋体"/>
              </w:rPr>
            </w:pPr>
          </w:p>
        </w:tc>
        <w:tc>
          <w:tcPr>
            <w:tcW w:w="1172" w:type="dxa"/>
            <w:tcBorders>
              <w:left w:val="single" w:color="auto" w:sz="4" w:space="0"/>
            </w:tcBorders>
            <w:vAlign w:val="center"/>
          </w:tcPr>
          <w:p w14:paraId="7FC46C0B">
            <w:pPr>
              <w:spacing w:line="400" w:lineRule="exact"/>
              <w:jc w:val="center"/>
              <w:rPr>
                <w:rFonts w:ascii="宋体" w:hAnsi="宋体" w:cs="宋体"/>
              </w:rPr>
            </w:pPr>
          </w:p>
        </w:tc>
      </w:tr>
      <w:tr w14:paraId="7591A1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tcBorders>
              <w:right w:val="single" w:color="auto" w:sz="4" w:space="0"/>
            </w:tcBorders>
            <w:vAlign w:val="center"/>
          </w:tcPr>
          <w:p w14:paraId="0EAB3C4C">
            <w:pPr>
              <w:spacing w:line="400" w:lineRule="exact"/>
              <w:rPr>
                <w:rFonts w:ascii="宋体" w:hAnsi="宋体" w:cs="宋体"/>
              </w:rPr>
            </w:pPr>
          </w:p>
        </w:tc>
        <w:tc>
          <w:tcPr>
            <w:tcW w:w="1614" w:type="dxa"/>
            <w:tcBorders>
              <w:left w:val="single" w:color="auto" w:sz="4" w:space="0"/>
              <w:right w:val="single" w:color="auto" w:sz="4" w:space="0"/>
            </w:tcBorders>
            <w:vAlign w:val="center"/>
          </w:tcPr>
          <w:p w14:paraId="31E95FE8">
            <w:pPr>
              <w:spacing w:line="400" w:lineRule="exact"/>
              <w:rPr>
                <w:rFonts w:ascii="宋体" w:hAnsi="宋体" w:cs="宋体"/>
              </w:rPr>
            </w:pPr>
          </w:p>
        </w:tc>
        <w:tc>
          <w:tcPr>
            <w:tcW w:w="1479" w:type="dxa"/>
            <w:tcBorders>
              <w:left w:val="single" w:color="auto" w:sz="4" w:space="0"/>
              <w:right w:val="single" w:color="auto" w:sz="4" w:space="0"/>
            </w:tcBorders>
            <w:vAlign w:val="center"/>
          </w:tcPr>
          <w:p w14:paraId="0473F829">
            <w:pPr>
              <w:spacing w:line="400" w:lineRule="exact"/>
              <w:rPr>
                <w:rFonts w:ascii="宋体" w:hAnsi="宋体" w:cs="宋体"/>
              </w:rPr>
            </w:pPr>
          </w:p>
        </w:tc>
        <w:tc>
          <w:tcPr>
            <w:tcW w:w="1496" w:type="dxa"/>
            <w:tcBorders>
              <w:left w:val="single" w:color="auto" w:sz="4" w:space="0"/>
              <w:right w:val="single" w:color="auto" w:sz="4" w:space="0"/>
            </w:tcBorders>
            <w:vAlign w:val="center"/>
          </w:tcPr>
          <w:p w14:paraId="3D90C733">
            <w:pPr>
              <w:spacing w:line="400" w:lineRule="exact"/>
              <w:rPr>
                <w:rFonts w:ascii="宋体" w:hAnsi="宋体" w:cs="宋体"/>
              </w:rPr>
            </w:pPr>
          </w:p>
        </w:tc>
        <w:tc>
          <w:tcPr>
            <w:tcW w:w="1589" w:type="dxa"/>
            <w:tcBorders>
              <w:left w:val="single" w:color="auto" w:sz="4" w:space="0"/>
              <w:right w:val="single" w:color="auto" w:sz="4" w:space="0"/>
            </w:tcBorders>
            <w:vAlign w:val="center"/>
          </w:tcPr>
          <w:p w14:paraId="23CB5787">
            <w:pPr>
              <w:spacing w:line="400" w:lineRule="exact"/>
              <w:rPr>
                <w:rFonts w:ascii="宋体" w:hAnsi="宋体" w:cs="宋体"/>
              </w:rPr>
            </w:pPr>
          </w:p>
        </w:tc>
        <w:tc>
          <w:tcPr>
            <w:tcW w:w="1172" w:type="dxa"/>
            <w:tcBorders>
              <w:left w:val="single" w:color="auto" w:sz="4" w:space="0"/>
            </w:tcBorders>
            <w:vAlign w:val="center"/>
          </w:tcPr>
          <w:p w14:paraId="69D8F3AF">
            <w:pPr>
              <w:spacing w:line="400" w:lineRule="exact"/>
              <w:rPr>
                <w:rFonts w:ascii="宋体" w:hAnsi="宋体" w:cs="宋体"/>
              </w:rPr>
            </w:pPr>
          </w:p>
        </w:tc>
      </w:tr>
      <w:tr w14:paraId="7AFE6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067576BE">
            <w:pPr>
              <w:spacing w:line="400" w:lineRule="exact"/>
              <w:rPr>
                <w:rFonts w:ascii="宋体" w:hAnsi="宋体" w:cs="宋体"/>
              </w:rPr>
            </w:pPr>
          </w:p>
        </w:tc>
        <w:tc>
          <w:tcPr>
            <w:tcW w:w="1614" w:type="dxa"/>
            <w:vAlign w:val="center"/>
          </w:tcPr>
          <w:p w14:paraId="3C556EA8">
            <w:pPr>
              <w:spacing w:line="400" w:lineRule="exact"/>
              <w:rPr>
                <w:rFonts w:ascii="宋体" w:hAnsi="宋体" w:cs="宋体"/>
              </w:rPr>
            </w:pPr>
          </w:p>
        </w:tc>
        <w:tc>
          <w:tcPr>
            <w:tcW w:w="1479" w:type="dxa"/>
            <w:vAlign w:val="center"/>
          </w:tcPr>
          <w:p w14:paraId="659C61C6">
            <w:pPr>
              <w:spacing w:line="400" w:lineRule="exact"/>
              <w:rPr>
                <w:rFonts w:ascii="宋体" w:hAnsi="宋体" w:cs="宋体"/>
              </w:rPr>
            </w:pPr>
          </w:p>
        </w:tc>
        <w:tc>
          <w:tcPr>
            <w:tcW w:w="1496" w:type="dxa"/>
            <w:vAlign w:val="center"/>
          </w:tcPr>
          <w:p w14:paraId="3DDF2DEE">
            <w:pPr>
              <w:spacing w:line="400" w:lineRule="exact"/>
              <w:rPr>
                <w:rFonts w:ascii="宋体" w:hAnsi="宋体" w:cs="宋体"/>
              </w:rPr>
            </w:pPr>
          </w:p>
        </w:tc>
        <w:tc>
          <w:tcPr>
            <w:tcW w:w="1589" w:type="dxa"/>
            <w:tcBorders>
              <w:right w:val="single" w:color="auto" w:sz="4" w:space="0"/>
            </w:tcBorders>
            <w:vAlign w:val="center"/>
          </w:tcPr>
          <w:p w14:paraId="7E67DDAF">
            <w:pPr>
              <w:spacing w:line="400" w:lineRule="exact"/>
              <w:rPr>
                <w:rFonts w:ascii="宋体" w:hAnsi="宋体" w:cs="宋体"/>
              </w:rPr>
            </w:pPr>
          </w:p>
        </w:tc>
        <w:tc>
          <w:tcPr>
            <w:tcW w:w="1172" w:type="dxa"/>
            <w:tcBorders>
              <w:left w:val="single" w:color="auto" w:sz="4" w:space="0"/>
            </w:tcBorders>
            <w:vAlign w:val="center"/>
          </w:tcPr>
          <w:p w14:paraId="01962F06">
            <w:pPr>
              <w:spacing w:line="400" w:lineRule="exact"/>
              <w:rPr>
                <w:rFonts w:ascii="宋体" w:hAnsi="宋体" w:cs="宋体"/>
              </w:rPr>
            </w:pPr>
          </w:p>
        </w:tc>
      </w:tr>
      <w:tr w14:paraId="0FF145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807" w:type="dxa"/>
            <w:tcBorders>
              <w:bottom w:val="single" w:color="auto" w:sz="4" w:space="0"/>
            </w:tcBorders>
            <w:vAlign w:val="center"/>
          </w:tcPr>
          <w:p w14:paraId="63D34CD8">
            <w:pPr>
              <w:spacing w:line="400" w:lineRule="exact"/>
              <w:jc w:val="center"/>
              <w:rPr>
                <w:rFonts w:ascii="宋体" w:hAnsi="宋体" w:cs="宋体"/>
              </w:rPr>
            </w:pPr>
          </w:p>
        </w:tc>
        <w:tc>
          <w:tcPr>
            <w:tcW w:w="1614" w:type="dxa"/>
            <w:tcBorders>
              <w:bottom w:val="single" w:color="auto" w:sz="4" w:space="0"/>
            </w:tcBorders>
            <w:vAlign w:val="center"/>
          </w:tcPr>
          <w:p w14:paraId="585C07F2">
            <w:pPr>
              <w:spacing w:line="400" w:lineRule="exact"/>
              <w:jc w:val="center"/>
              <w:rPr>
                <w:rFonts w:ascii="宋体" w:hAnsi="宋体" w:cs="宋体"/>
              </w:rPr>
            </w:pPr>
          </w:p>
        </w:tc>
        <w:tc>
          <w:tcPr>
            <w:tcW w:w="1479" w:type="dxa"/>
            <w:tcBorders>
              <w:bottom w:val="single" w:color="auto" w:sz="4" w:space="0"/>
            </w:tcBorders>
            <w:vAlign w:val="center"/>
          </w:tcPr>
          <w:p w14:paraId="07F5A141">
            <w:pPr>
              <w:spacing w:line="400" w:lineRule="exact"/>
              <w:jc w:val="center"/>
              <w:rPr>
                <w:rFonts w:ascii="宋体" w:hAnsi="宋体" w:cs="宋体"/>
              </w:rPr>
            </w:pPr>
          </w:p>
        </w:tc>
        <w:tc>
          <w:tcPr>
            <w:tcW w:w="1496" w:type="dxa"/>
            <w:tcBorders>
              <w:bottom w:val="single" w:color="auto" w:sz="4" w:space="0"/>
            </w:tcBorders>
            <w:vAlign w:val="center"/>
          </w:tcPr>
          <w:p w14:paraId="0EEDFE02">
            <w:pPr>
              <w:spacing w:line="400" w:lineRule="exact"/>
              <w:jc w:val="center"/>
              <w:rPr>
                <w:rFonts w:ascii="宋体" w:hAnsi="宋体" w:cs="宋体"/>
              </w:rPr>
            </w:pPr>
          </w:p>
        </w:tc>
        <w:tc>
          <w:tcPr>
            <w:tcW w:w="1589" w:type="dxa"/>
            <w:tcBorders>
              <w:bottom w:val="single" w:color="auto" w:sz="4" w:space="0"/>
              <w:right w:val="single" w:color="auto" w:sz="4" w:space="0"/>
            </w:tcBorders>
            <w:vAlign w:val="center"/>
          </w:tcPr>
          <w:p w14:paraId="48B31ECF">
            <w:pPr>
              <w:spacing w:line="400" w:lineRule="exact"/>
              <w:jc w:val="center"/>
              <w:rPr>
                <w:rFonts w:ascii="宋体" w:hAnsi="宋体" w:cs="宋体"/>
              </w:rPr>
            </w:pPr>
          </w:p>
        </w:tc>
        <w:tc>
          <w:tcPr>
            <w:tcW w:w="1172" w:type="dxa"/>
            <w:tcBorders>
              <w:left w:val="single" w:color="auto" w:sz="4" w:space="0"/>
              <w:bottom w:val="single" w:color="auto" w:sz="4" w:space="0"/>
            </w:tcBorders>
            <w:vAlign w:val="center"/>
          </w:tcPr>
          <w:p w14:paraId="728B3F3D">
            <w:pPr>
              <w:spacing w:line="400" w:lineRule="exact"/>
              <w:jc w:val="center"/>
              <w:rPr>
                <w:rFonts w:ascii="宋体" w:hAnsi="宋体" w:cs="宋体"/>
              </w:rPr>
            </w:pPr>
          </w:p>
        </w:tc>
      </w:tr>
    </w:tbl>
    <w:p w14:paraId="29A4EFDE">
      <w:pPr>
        <w:rPr>
          <w:rFonts w:ascii="宋体" w:hAnsi="宋体" w:cs="宋体"/>
        </w:rPr>
      </w:pPr>
    </w:p>
    <w:p w14:paraId="3F657537">
      <w:pPr>
        <w:rPr>
          <w:rFonts w:ascii="宋体" w:hAnsi="宋体" w:cs="宋体"/>
        </w:rPr>
      </w:pPr>
    </w:p>
    <w:p w14:paraId="3E3DBA1D">
      <w:pPr>
        <w:spacing w:line="360" w:lineRule="auto"/>
        <w:ind w:left="360"/>
        <w:jc w:val="left"/>
        <w:rPr>
          <w:rFonts w:ascii="宋体" w:hAnsi="宋体" w:cs="宋体"/>
          <w:sz w:val="24"/>
          <w:szCs w:val="24"/>
        </w:rPr>
      </w:pPr>
      <w:r>
        <w:rPr>
          <w:rFonts w:hint="eastAsia" w:ascii="宋体" w:hAnsi="宋体" w:cs="宋体"/>
          <w:sz w:val="24"/>
          <w:szCs w:val="24"/>
        </w:rPr>
        <w:t>后附合同复印件</w:t>
      </w:r>
    </w:p>
    <w:p w14:paraId="15E5B23D">
      <w:pPr>
        <w:adjustRightInd w:val="0"/>
        <w:snapToGrid w:val="0"/>
        <w:spacing w:line="480" w:lineRule="auto"/>
        <w:jc w:val="left"/>
        <w:rPr>
          <w:rFonts w:ascii="宋体" w:hAnsi="宋体" w:cs="宋体"/>
          <w:sz w:val="24"/>
          <w:szCs w:val="24"/>
        </w:rPr>
      </w:pPr>
    </w:p>
    <w:p w14:paraId="434BC948">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供应商（单位名称及公章）：_________________________</w:t>
      </w:r>
    </w:p>
    <w:p w14:paraId="69B3DB98">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法定代表人或被授权人（签字或盖章）：_____________________</w:t>
      </w:r>
    </w:p>
    <w:p w14:paraId="69B5B41C">
      <w:pPr>
        <w:pStyle w:val="23"/>
        <w:ind w:left="0" w:leftChars="0" w:firstLine="0" w:firstLineChars="0"/>
        <w:sectPr>
          <w:footerReference r:id="rId15" w:type="default"/>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日    期：_____年_____月_____日</w:t>
      </w:r>
    </w:p>
    <w:p w14:paraId="43F539A2">
      <w:pPr>
        <w:jc w:val="center"/>
        <w:outlineLvl w:val="1"/>
        <w:rPr>
          <w:rFonts w:ascii="宋体" w:hAnsi="宋体" w:eastAsia="宋体" w:cs="宋体"/>
          <w:b/>
          <w:sz w:val="44"/>
          <w:szCs w:val="44"/>
        </w:rPr>
      </w:pPr>
      <w:bookmarkStart w:id="92" w:name="_Toc25871"/>
      <w:r>
        <w:rPr>
          <w:rFonts w:hint="eastAsia" w:ascii="宋体" w:hAnsi="宋体" w:eastAsia="宋体" w:cs="宋体"/>
          <w:b/>
          <w:sz w:val="44"/>
          <w:szCs w:val="44"/>
        </w:rPr>
        <w:t>第八部分 供应商有必要说明的其他问题</w:t>
      </w:r>
      <w:bookmarkEnd w:id="92"/>
    </w:p>
    <w:p w14:paraId="3E94B997">
      <w:pPr>
        <w:rPr>
          <w:b/>
          <w:bCs/>
          <w:sz w:val="24"/>
          <w:szCs w:val="28"/>
        </w:rPr>
      </w:pPr>
    </w:p>
    <w:p w14:paraId="31313FC9">
      <w:pPr>
        <w:rPr>
          <w:sz w:val="24"/>
          <w:szCs w:val="28"/>
        </w:rPr>
      </w:pPr>
      <w:r>
        <w:rPr>
          <w:rFonts w:hint="eastAsia"/>
          <w:b/>
          <w:bCs/>
          <w:sz w:val="24"/>
          <w:szCs w:val="28"/>
        </w:rPr>
        <w:t>例如：保证金缴纳凭证。</w:t>
      </w:r>
    </w:p>
    <w:p w14:paraId="2141B94E">
      <w:pPr>
        <w:widowControl/>
        <w:spacing w:line="360" w:lineRule="auto"/>
        <w:ind w:left="420" w:leftChars="200"/>
        <w:jc w:val="left"/>
        <w:rPr>
          <w:rFonts w:ascii="宋体" w:hAnsi="宋体" w:cs="宋体"/>
          <w:sz w:val="24"/>
          <w:szCs w:val="24"/>
        </w:rPr>
        <w:sectPr>
          <w:pgSz w:w="11906" w:h="16838"/>
          <w:pgMar w:top="1440" w:right="1803" w:bottom="1440" w:left="1803" w:header="851" w:footer="992" w:gutter="0"/>
          <w:cols w:space="720" w:num="1"/>
          <w:docGrid w:type="lines" w:linePitch="319" w:charSpace="0"/>
        </w:sectPr>
      </w:pPr>
    </w:p>
    <w:p w14:paraId="764B2459">
      <w:pPr>
        <w:pStyle w:val="3"/>
        <w:adjustRightInd w:val="0"/>
        <w:spacing w:line="416" w:lineRule="atLeast"/>
        <w:textAlignment w:val="baseline"/>
        <w:rPr>
          <w:rFonts w:ascii="宋体" w:cs="宋体"/>
        </w:rPr>
      </w:pPr>
      <w:bookmarkStart w:id="93" w:name="_Toc14910"/>
      <w:bookmarkStart w:id="94" w:name="_Toc23937"/>
      <w:bookmarkStart w:id="95" w:name="_Toc13574"/>
      <w:bookmarkStart w:id="96" w:name="_Toc3008"/>
      <w:bookmarkStart w:id="97" w:name="_Toc20374"/>
      <w:bookmarkStart w:id="98" w:name="_Toc1641"/>
      <w:bookmarkStart w:id="99" w:name="_Toc18633"/>
      <w:bookmarkStart w:id="100" w:name="_Toc15467"/>
      <w:bookmarkStart w:id="101" w:name="_Toc8177"/>
      <w:bookmarkStart w:id="102" w:name="_Toc20088"/>
      <w:bookmarkStart w:id="103" w:name="_Toc30536"/>
      <w:bookmarkStart w:id="104" w:name="_Toc30870"/>
      <w:bookmarkStart w:id="105" w:name="_Toc17991"/>
      <w:bookmarkStart w:id="106" w:name="_Toc2630"/>
      <w:bookmarkStart w:id="107" w:name="_Toc30485"/>
      <w:bookmarkStart w:id="108" w:name="_Toc11632"/>
      <w:bookmarkStart w:id="109" w:name="_Toc18884"/>
      <w:bookmarkStart w:id="110" w:name="_Toc13303"/>
      <w:bookmarkStart w:id="111" w:name="_Toc22153"/>
      <w:bookmarkStart w:id="112" w:name="_Toc14361"/>
      <w:r>
        <w:rPr>
          <w:rFonts w:hint="eastAsia" w:ascii="宋体" w:hAnsi="宋体" w:cs="宋体"/>
        </w:rPr>
        <w:t>附件一、封袋正面标识式样</w:t>
      </w:r>
      <w:bookmarkEnd w:id="93"/>
      <w:bookmarkEnd w:id="94"/>
      <w:bookmarkEnd w:id="95"/>
    </w:p>
    <w:p w14:paraId="349938B0">
      <w:pPr>
        <w:spacing w:line="460" w:lineRule="exact"/>
        <w:ind w:firstLine="482" w:firstLineChars="200"/>
        <w:jc w:val="center"/>
        <w:rPr>
          <w:rFonts w:ascii="宋体" w:cs="宋体"/>
          <w:b/>
          <w:sz w:val="24"/>
        </w:rPr>
      </w:pPr>
      <w:r>
        <w:rPr>
          <w:rFonts w:hint="eastAsia" w:ascii="宋体" w:hAnsi="宋体" w:cs="宋体"/>
          <w:b/>
          <w:sz w:val="24"/>
        </w:rPr>
        <w:t>响应文件正本封袋正面标识式样</w:t>
      </w:r>
    </w:p>
    <w:p w14:paraId="33E4CF72">
      <w:pPr>
        <w:spacing w:line="460" w:lineRule="exact"/>
        <w:ind w:firstLine="420" w:firstLineChars="200"/>
        <w:jc w:val="center"/>
        <w:rPr>
          <w:rFonts w:ascii="宋体" w:cs="宋体"/>
          <w:b/>
          <w:sz w:val="24"/>
        </w:rPr>
      </w:pPr>
      <w:r>
        <mc:AlternateContent>
          <mc:Choice Requires="wps">
            <w:drawing>
              <wp:anchor distT="0" distB="0" distL="114300" distR="114300" simplePos="0" relativeHeight="251665408" behindDoc="0" locked="0" layoutInCell="1" allowOverlap="1">
                <wp:simplePos x="0" y="0"/>
                <wp:positionH relativeFrom="column">
                  <wp:posOffset>-315595</wp:posOffset>
                </wp:positionH>
                <wp:positionV relativeFrom="paragraph">
                  <wp:posOffset>18415</wp:posOffset>
                </wp:positionV>
                <wp:extent cx="5676265" cy="3399155"/>
                <wp:effectExtent l="4445" t="4445" r="15240" b="6350"/>
                <wp:wrapNone/>
                <wp:docPr id="6" name="文本框 6"/>
                <wp:cNvGraphicFramePr/>
                <a:graphic xmlns:a="http://schemas.openxmlformats.org/drawingml/2006/main">
                  <a:graphicData uri="http://schemas.microsoft.com/office/word/2010/wordprocessingShape">
                    <wps:wsp>
                      <wps:cNvSpPr txBox="1"/>
                      <wps:spPr>
                        <a:xfrm>
                          <a:off x="0" y="0"/>
                          <a:ext cx="5676265" cy="3399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975D7A">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7E21C916">
                            <w:pPr>
                              <w:rPr>
                                <w:rFonts w:hint="eastAsia" w:eastAsiaTheme="minorEastAsia"/>
                                <w:b/>
                                <w:sz w:val="44"/>
                                <w:szCs w:val="44"/>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7B249B58">
                            <w:pPr>
                              <w:jc w:val="center"/>
                              <w:rPr>
                                <w:b/>
                                <w:sz w:val="44"/>
                                <w:szCs w:val="44"/>
                              </w:rPr>
                            </w:pPr>
                            <w:r>
                              <w:rPr>
                                <w:rFonts w:hint="eastAsia"/>
                                <w:b/>
                                <w:sz w:val="44"/>
                                <w:szCs w:val="44"/>
                              </w:rPr>
                              <w:t>响应文件（正本）</w:t>
                            </w:r>
                          </w:p>
                          <w:p w14:paraId="409683C6">
                            <w:pPr>
                              <w:jc w:val="center"/>
                              <w:rPr>
                                <w:sz w:val="28"/>
                                <w:szCs w:val="28"/>
                              </w:rPr>
                            </w:pPr>
                            <w:r>
                              <w:rPr>
                                <w:rFonts w:hint="eastAsia"/>
                                <w:sz w:val="28"/>
                                <w:szCs w:val="28"/>
                              </w:rPr>
                              <w:t>（非谈判会议不得启封）</w:t>
                            </w:r>
                          </w:p>
                          <w:p w14:paraId="11AB1604">
                            <w:pPr>
                              <w:rPr>
                                <w:sz w:val="28"/>
                                <w:szCs w:val="28"/>
                              </w:rPr>
                            </w:pPr>
                            <w:r>
                              <w:rPr>
                                <w:rFonts w:hint="eastAsia"/>
                                <w:sz w:val="28"/>
                                <w:szCs w:val="28"/>
                              </w:rPr>
                              <w:t>供应商（公章）：_______________</w:t>
                            </w:r>
                          </w:p>
                          <w:p w14:paraId="51E226EE">
                            <w:pPr>
                              <w:rPr>
                                <w:sz w:val="28"/>
                                <w:szCs w:val="28"/>
                              </w:rPr>
                            </w:pPr>
                            <w:r>
                              <w:rPr>
                                <w:rFonts w:hint="eastAsia"/>
                                <w:sz w:val="28"/>
                                <w:szCs w:val="28"/>
                              </w:rPr>
                              <w:t>法定代表人或被授权人（签字或盖章）：_____________</w:t>
                            </w:r>
                          </w:p>
                          <w:p w14:paraId="50AB2E45">
                            <w:pPr>
                              <w:rPr>
                                <w:sz w:val="28"/>
                                <w:szCs w:val="28"/>
                              </w:rPr>
                            </w:pPr>
                            <w:r>
                              <w:rPr>
                                <w:rFonts w:hint="eastAsia"/>
                                <w:sz w:val="28"/>
                                <w:szCs w:val="28"/>
                              </w:rPr>
                              <w:t>时间：_______年_______月______日</w:t>
                            </w:r>
                          </w:p>
                          <w:p w14:paraId="0D4E0813">
                            <w:pPr>
                              <w:jc w:val="center"/>
                              <w:rPr>
                                <w:sz w:val="28"/>
                                <w:szCs w:val="28"/>
                              </w:rPr>
                            </w:pPr>
                          </w:p>
                        </w:txbxContent>
                      </wps:txbx>
                      <wps:bodyPr upright="1"/>
                    </wps:wsp>
                  </a:graphicData>
                </a:graphic>
              </wp:anchor>
            </w:drawing>
          </mc:Choice>
          <mc:Fallback>
            <w:pict>
              <v:shape id="_x0000_s1026" o:spid="_x0000_s1026" o:spt="202" type="#_x0000_t202" style="position:absolute;left:0pt;margin-left:-24.85pt;margin-top:1.45pt;height:267.65pt;width:446.95pt;z-index:251665408;mso-width-relative:page;mso-height-relative:page;" fillcolor="#FFFFFF" filled="t" stroked="t" coordsize="21600,21600" o:gfxdata="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SzPq2QAAAAkBAAAPAAAAAAAA&#10;AAEAIAAAACIAAABkcnMvZG93bnJldi54bWxQSwECFAAUAAAACACHTuJAi89/HxECAABFBAAADgAA&#10;AAAAAAABACAAAAAoAQAAZHJzL2Uyb0RvYy54bWxQSwUGAAAAAAYABgBZAQAAqwUAAAAA&#10;">
                <v:fill on="t" focussize="0,0"/>
                <v:stroke color="#000000" joinstyle="miter"/>
                <v:imagedata o:title=""/>
                <o:lock v:ext="edit" aspectratio="f"/>
                <v:textbox>
                  <w:txbxContent>
                    <w:p w14:paraId="1C975D7A">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7E21C916">
                      <w:pPr>
                        <w:rPr>
                          <w:rFonts w:hint="eastAsia" w:eastAsiaTheme="minorEastAsia"/>
                          <w:b/>
                          <w:sz w:val="44"/>
                          <w:szCs w:val="44"/>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7B249B58">
                      <w:pPr>
                        <w:jc w:val="center"/>
                        <w:rPr>
                          <w:b/>
                          <w:sz w:val="44"/>
                          <w:szCs w:val="44"/>
                        </w:rPr>
                      </w:pPr>
                      <w:r>
                        <w:rPr>
                          <w:rFonts w:hint="eastAsia"/>
                          <w:b/>
                          <w:sz w:val="44"/>
                          <w:szCs w:val="44"/>
                        </w:rPr>
                        <w:t>响应文件（正本）</w:t>
                      </w:r>
                    </w:p>
                    <w:p w14:paraId="409683C6">
                      <w:pPr>
                        <w:jc w:val="center"/>
                        <w:rPr>
                          <w:sz w:val="28"/>
                          <w:szCs w:val="28"/>
                        </w:rPr>
                      </w:pPr>
                      <w:r>
                        <w:rPr>
                          <w:rFonts w:hint="eastAsia"/>
                          <w:sz w:val="28"/>
                          <w:szCs w:val="28"/>
                        </w:rPr>
                        <w:t>（非谈判会议不得启封）</w:t>
                      </w:r>
                    </w:p>
                    <w:p w14:paraId="11AB1604">
                      <w:pPr>
                        <w:rPr>
                          <w:sz w:val="28"/>
                          <w:szCs w:val="28"/>
                        </w:rPr>
                      </w:pPr>
                      <w:r>
                        <w:rPr>
                          <w:rFonts w:hint="eastAsia"/>
                          <w:sz w:val="28"/>
                          <w:szCs w:val="28"/>
                        </w:rPr>
                        <w:t>供应商（公章）：_______________</w:t>
                      </w:r>
                    </w:p>
                    <w:p w14:paraId="51E226EE">
                      <w:pPr>
                        <w:rPr>
                          <w:sz w:val="28"/>
                          <w:szCs w:val="28"/>
                        </w:rPr>
                      </w:pPr>
                      <w:r>
                        <w:rPr>
                          <w:rFonts w:hint="eastAsia"/>
                          <w:sz w:val="28"/>
                          <w:szCs w:val="28"/>
                        </w:rPr>
                        <w:t>法定代表人或被授权人（签字或盖章）：_____________</w:t>
                      </w:r>
                    </w:p>
                    <w:p w14:paraId="50AB2E45">
                      <w:pPr>
                        <w:rPr>
                          <w:sz w:val="28"/>
                          <w:szCs w:val="28"/>
                        </w:rPr>
                      </w:pPr>
                      <w:r>
                        <w:rPr>
                          <w:rFonts w:hint="eastAsia"/>
                          <w:sz w:val="28"/>
                          <w:szCs w:val="28"/>
                        </w:rPr>
                        <w:t>时间：_______年_______月______日</w:t>
                      </w:r>
                    </w:p>
                    <w:p w14:paraId="0D4E0813">
                      <w:pPr>
                        <w:jc w:val="center"/>
                        <w:rPr>
                          <w:sz w:val="28"/>
                          <w:szCs w:val="28"/>
                        </w:rPr>
                      </w:pPr>
                    </w:p>
                  </w:txbxContent>
                </v:textbox>
              </v:shape>
            </w:pict>
          </mc:Fallback>
        </mc:AlternateContent>
      </w:r>
    </w:p>
    <w:p w14:paraId="1CE13FA9">
      <w:pPr>
        <w:spacing w:line="460" w:lineRule="exact"/>
        <w:ind w:firstLine="482" w:firstLineChars="200"/>
        <w:jc w:val="center"/>
        <w:rPr>
          <w:rFonts w:ascii="宋体" w:cs="宋体"/>
          <w:b/>
          <w:sz w:val="24"/>
        </w:rPr>
      </w:pPr>
    </w:p>
    <w:p w14:paraId="719524F4">
      <w:pPr>
        <w:spacing w:line="460" w:lineRule="exact"/>
        <w:ind w:firstLine="482" w:firstLineChars="200"/>
        <w:jc w:val="center"/>
        <w:rPr>
          <w:rFonts w:ascii="宋体" w:cs="宋体"/>
          <w:b/>
          <w:sz w:val="24"/>
        </w:rPr>
      </w:pPr>
    </w:p>
    <w:p w14:paraId="1FAFE87B">
      <w:pPr>
        <w:spacing w:line="460" w:lineRule="exact"/>
        <w:ind w:firstLine="482" w:firstLineChars="200"/>
        <w:jc w:val="center"/>
        <w:rPr>
          <w:rFonts w:ascii="宋体" w:cs="宋体"/>
          <w:b/>
          <w:sz w:val="24"/>
        </w:rPr>
      </w:pPr>
    </w:p>
    <w:p w14:paraId="670BE1EB">
      <w:pPr>
        <w:spacing w:line="460" w:lineRule="exact"/>
        <w:ind w:firstLine="482" w:firstLineChars="200"/>
        <w:jc w:val="center"/>
        <w:rPr>
          <w:rFonts w:ascii="宋体" w:cs="宋体"/>
          <w:b/>
          <w:sz w:val="24"/>
        </w:rPr>
      </w:pPr>
    </w:p>
    <w:p w14:paraId="03872BFF">
      <w:pPr>
        <w:spacing w:line="460" w:lineRule="exact"/>
        <w:ind w:firstLine="482" w:firstLineChars="200"/>
        <w:jc w:val="center"/>
        <w:rPr>
          <w:rFonts w:ascii="宋体" w:cs="宋体"/>
          <w:b/>
          <w:sz w:val="24"/>
        </w:rPr>
      </w:pPr>
    </w:p>
    <w:p w14:paraId="000A956B">
      <w:pPr>
        <w:spacing w:line="460" w:lineRule="exact"/>
        <w:ind w:firstLine="482" w:firstLineChars="200"/>
        <w:jc w:val="center"/>
        <w:rPr>
          <w:rFonts w:ascii="宋体" w:cs="宋体"/>
          <w:b/>
          <w:sz w:val="24"/>
        </w:rPr>
      </w:pPr>
    </w:p>
    <w:p w14:paraId="70D1BDD3">
      <w:pPr>
        <w:spacing w:line="460" w:lineRule="exact"/>
        <w:ind w:firstLine="482" w:firstLineChars="200"/>
        <w:jc w:val="center"/>
        <w:rPr>
          <w:rFonts w:ascii="宋体" w:cs="宋体"/>
          <w:b/>
          <w:sz w:val="24"/>
        </w:rPr>
      </w:pPr>
    </w:p>
    <w:p w14:paraId="6B48F74E">
      <w:pPr>
        <w:spacing w:line="460" w:lineRule="exact"/>
        <w:ind w:firstLine="482" w:firstLineChars="200"/>
        <w:jc w:val="center"/>
        <w:rPr>
          <w:rFonts w:ascii="宋体" w:cs="宋体"/>
          <w:b/>
          <w:sz w:val="24"/>
        </w:rPr>
      </w:pPr>
    </w:p>
    <w:p w14:paraId="0EA85183">
      <w:pPr>
        <w:spacing w:line="460" w:lineRule="exact"/>
        <w:ind w:firstLine="482" w:firstLineChars="200"/>
        <w:jc w:val="center"/>
        <w:rPr>
          <w:rFonts w:ascii="宋体" w:cs="宋体"/>
          <w:b/>
          <w:sz w:val="24"/>
        </w:rPr>
      </w:pPr>
    </w:p>
    <w:p w14:paraId="7D179AD1">
      <w:pPr>
        <w:spacing w:line="460" w:lineRule="exact"/>
        <w:ind w:firstLine="482" w:firstLineChars="200"/>
        <w:jc w:val="center"/>
        <w:rPr>
          <w:rFonts w:ascii="宋体" w:cs="宋体"/>
          <w:b/>
          <w:sz w:val="24"/>
        </w:rPr>
      </w:pPr>
    </w:p>
    <w:p w14:paraId="076A744C">
      <w:pPr>
        <w:spacing w:line="460" w:lineRule="exact"/>
        <w:ind w:firstLine="482" w:firstLineChars="200"/>
        <w:jc w:val="center"/>
        <w:rPr>
          <w:rFonts w:ascii="宋体" w:cs="宋体"/>
          <w:b/>
          <w:sz w:val="24"/>
        </w:rPr>
      </w:pPr>
    </w:p>
    <w:p w14:paraId="049757DC">
      <w:pPr>
        <w:spacing w:line="460" w:lineRule="exact"/>
        <w:ind w:firstLine="482" w:firstLineChars="200"/>
        <w:jc w:val="center"/>
        <w:rPr>
          <w:rFonts w:ascii="宋体" w:hAnsi="宋体" w:cs="宋体"/>
          <w:b/>
          <w:sz w:val="24"/>
        </w:rPr>
      </w:pPr>
    </w:p>
    <w:p w14:paraId="7FD4843A">
      <w:pPr>
        <w:spacing w:line="460" w:lineRule="exact"/>
        <w:ind w:firstLine="482" w:firstLineChars="200"/>
        <w:jc w:val="center"/>
        <w:rPr>
          <w:rFonts w:ascii="宋体" w:cs="宋体"/>
          <w:b/>
          <w:sz w:val="24"/>
        </w:rPr>
      </w:pPr>
      <w:r>
        <w:rPr>
          <w:rFonts w:hint="eastAsia" w:ascii="宋体" w:hAnsi="宋体" w:cs="宋体"/>
          <w:b/>
          <w:sz w:val="24"/>
        </w:rPr>
        <w:t>响应文件副本封袋正面标识式样</w:t>
      </w:r>
    </w:p>
    <w:p w14:paraId="3037AE9B">
      <w:pPr>
        <w:tabs>
          <w:tab w:val="left" w:pos="8280"/>
        </w:tabs>
        <w:spacing w:line="460" w:lineRule="exact"/>
        <w:ind w:firstLine="420" w:firstLineChars="200"/>
        <w:jc w:val="center"/>
        <w:rPr>
          <w:rFonts w:ascii="宋体" w:cs="宋体"/>
          <w:b/>
          <w:sz w:val="24"/>
        </w:rPr>
      </w:pPr>
      <w:r>
        <mc:AlternateContent>
          <mc:Choice Requires="wps">
            <w:drawing>
              <wp:anchor distT="0" distB="0" distL="114300" distR="114300" simplePos="0" relativeHeight="251666432" behindDoc="0" locked="0" layoutInCell="1" allowOverlap="1">
                <wp:simplePos x="0" y="0"/>
                <wp:positionH relativeFrom="column">
                  <wp:posOffset>-317500</wp:posOffset>
                </wp:positionH>
                <wp:positionV relativeFrom="paragraph">
                  <wp:posOffset>217805</wp:posOffset>
                </wp:positionV>
                <wp:extent cx="5635625" cy="3306445"/>
                <wp:effectExtent l="4445" t="4445" r="17780" b="22860"/>
                <wp:wrapNone/>
                <wp:docPr id="7" name="文本框 7"/>
                <wp:cNvGraphicFramePr/>
                <a:graphic xmlns:a="http://schemas.openxmlformats.org/drawingml/2006/main">
                  <a:graphicData uri="http://schemas.microsoft.com/office/word/2010/wordprocessingShape">
                    <wps:wsp>
                      <wps:cNvSpPr txBox="1"/>
                      <wps:spPr>
                        <a:xfrm>
                          <a:off x="0" y="0"/>
                          <a:ext cx="5635625" cy="330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EF6EEB">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64D57C30">
                            <w:pPr>
                              <w:rPr>
                                <w:rFonts w:hint="eastAsia" w:eastAsiaTheme="minorEastAsia"/>
                                <w:b/>
                                <w:sz w:val="44"/>
                                <w:szCs w:val="44"/>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265141AA">
                            <w:pPr>
                              <w:jc w:val="center"/>
                              <w:rPr>
                                <w:b/>
                                <w:sz w:val="44"/>
                                <w:szCs w:val="44"/>
                              </w:rPr>
                            </w:pPr>
                            <w:r>
                              <w:rPr>
                                <w:rFonts w:hint="eastAsia"/>
                                <w:b/>
                                <w:sz w:val="44"/>
                                <w:szCs w:val="44"/>
                              </w:rPr>
                              <w:t>响应文件（副本）</w:t>
                            </w:r>
                          </w:p>
                          <w:p w14:paraId="14C01A4E">
                            <w:pPr>
                              <w:jc w:val="center"/>
                              <w:rPr>
                                <w:sz w:val="28"/>
                                <w:szCs w:val="28"/>
                              </w:rPr>
                            </w:pPr>
                            <w:r>
                              <w:rPr>
                                <w:rFonts w:hint="eastAsia"/>
                                <w:sz w:val="28"/>
                                <w:szCs w:val="28"/>
                              </w:rPr>
                              <w:t>（非谈判会议不得启封）</w:t>
                            </w:r>
                          </w:p>
                          <w:p w14:paraId="783034C0">
                            <w:pPr>
                              <w:rPr>
                                <w:sz w:val="28"/>
                                <w:szCs w:val="28"/>
                              </w:rPr>
                            </w:pPr>
                            <w:r>
                              <w:rPr>
                                <w:rFonts w:hint="eastAsia"/>
                                <w:sz w:val="28"/>
                                <w:szCs w:val="28"/>
                              </w:rPr>
                              <w:t>供应商（公章）：_______________</w:t>
                            </w:r>
                          </w:p>
                          <w:p w14:paraId="6018FB22">
                            <w:pPr>
                              <w:rPr>
                                <w:sz w:val="28"/>
                                <w:szCs w:val="28"/>
                              </w:rPr>
                            </w:pPr>
                            <w:r>
                              <w:rPr>
                                <w:rFonts w:hint="eastAsia"/>
                                <w:sz w:val="28"/>
                                <w:szCs w:val="28"/>
                              </w:rPr>
                              <w:t>法定代表人或被授权人（签字或盖章）：_____________</w:t>
                            </w:r>
                          </w:p>
                          <w:p w14:paraId="1543A507">
                            <w:pPr>
                              <w:rPr>
                                <w:sz w:val="28"/>
                                <w:szCs w:val="28"/>
                              </w:rPr>
                            </w:pPr>
                            <w:r>
                              <w:rPr>
                                <w:rFonts w:hint="eastAsia"/>
                                <w:sz w:val="28"/>
                                <w:szCs w:val="28"/>
                              </w:rPr>
                              <w:t>时间：_______年_______月______日</w:t>
                            </w:r>
                          </w:p>
                          <w:p w14:paraId="617F5F9A">
                            <w:pPr>
                              <w:rPr>
                                <w:sz w:val="28"/>
                                <w:szCs w:val="28"/>
                              </w:rPr>
                            </w:pPr>
                          </w:p>
                        </w:txbxContent>
                      </wps:txbx>
                      <wps:bodyPr upright="1"/>
                    </wps:wsp>
                  </a:graphicData>
                </a:graphic>
              </wp:anchor>
            </w:drawing>
          </mc:Choice>
          <mc:Fallback>
            <w:pict>
              <v:shape id="_x0000_s1026" o:spid="_x0000_s1026" o:spt="202" type="#_x0000_t202" style="position:absolute;left:0pt;margin-left:-25pt;margin-top:17.15pt;height:260.35pt;width:443.75pt;z-index:251666432;mso-width-relative:page;mso-height-relative:page;" fillcolor="#FFFFFF" filled="t" stroked="t" coordsize="21600,21600" o:gfxdata="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9X252QAAAAoBAAAPAAAAAAAA&#10;AAEAIAAAACIAAABkcnMvZG93bnJldi54bWxQSwECFAAUAAAACACHTuJACdxpIRECAABFBAAADgAA&#10;AAAAAAABACAAAAAoAQAAZHJzL2Uyb0RvYy54bWxQSwUGAAAAAAYABgBZAQAAqwUAAAAA&#10;">
                <v:fill on="t" focussize="0,0"/>
                <v:stroke color="#000000" joinstyle="miter"/>
                <v:imagedata o:title=""/>
                <o:lock v:ext="edit" aspectratio="f"/>
                <v:textbox>
                  <w:txbxContent>
                    <w:p w14:paraId="59EF6EEB">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64D57C30">
                      <w:pPr>
                        <w:rPr>
                          <w:rFonts w:hint="eastAsia" w:eastAsiaTheme="minorEastAsia"/>
                          <w:b/>
                          <w:sz w:val="44"/>
                          <w:szCs w:val="44"/>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265141AA">
                      <w:pPr>
                        <w:jc w:val="center"/>
                        <w:rPr>
                          <w:b/>
                          <w:sz w:val="44"/>
                          <w:szCs w:val="44"/>
                        </w:rPr>
                      </w:pPr>
                      <w:r>
                        <w:rPr>
                          <w:rFonts w:hint="eastAsia"/>
                          <w:b/>
                          <w:sz w:val="44"/>
                          <w:szCs w:val="44"/>
                        </w:rPr>
                        <w:t>响应文件（副本）</w:t>
                      </w:r>
                    </w:p>
                    <w:p w14:paraId="14C01A4E">
                      <w:pPr>
                        <w:jc w:val="center"/>
                        <w:rPr>
                          <w:sz w:val="28"/>
                          <w:szCs w:val="28"/>
                        </w:rPr>
                      </w:pPr>
                      <w:r>
                        <w:rPr>
                          <w:rFonts w:hint="eastAsia"/>
                          <w:sz w:val="28"/>
                          <w:szCs w:val="28"/>
                        </w:rPr>
                        <w:t>（非谈判会议不得启封）</w:t>
                      </w:r>
                    </w:p>
                    <w:p w14:paraId="783034C0">
                      <w:pPr>
                        <w:rPr>
                          <w:sz w:val="28"/>
                          <w:szCs w:val="28"/>
                        </w:rPr>
                      </w:pPr>
                      <w:r>
                        <w:rPr>
                          <w:rFonts w:hint="eastAsia"/>
                          <w:sz w:val="28"/>
                          <w:szCs w:val="28"/>
                        </w:rPr>
                        <w:t>供应商（公章）：_______________</w:t>
                      </w:r>
                    </w:p>
                    <w:p w14:paraId="6018FB22">
                      <w:pPr>
                        <w:rPr>
                          <w:sz w:val="28"/>
                          <w:szCs w:val="28"/>
                        </w:rPr>
                      </w:pPr>
                      <w:r>
                        <w:rPr>
                          <w:rFonts w:hint="eastAsia"/>
                          <w:sz w:val="28"/>
                          <w:szCs w:val="28"/>
                        </w:rPr>
                        <w:t>法定代表人或被授权人（签字或盖章）：_____________</w:t>
                      </w:r>
                    </w:p>
                    <w:p w14:paraId="1543A507">
                      <w:pPr>
                        <w:rPr>
                          <w:sz w:val="28"/>
                          <w:szCs w:val="28"/>
                        </w:rPr>
                      </w:pPr>
                      <w:r>
                        <w:rPr>
                          <w:rFonts w:hint="eastAsia"/>
                          <w:sz w:val="28"/>
                          <w:szCs w:val="28"/>
                        </w:rPr>
                        <w:t>时间：_______年_______月______日</w:t>
                      </w:r>
                    </w:p>
                    <w:p w14:paraId="617F5F9A">
                      <w:pPr>
                        <w:rPr>
                          <w:sz w:val="28"/>
                          <w:szCs w:val="28"/>
                        </w:rPr>
                      </w:pPr>
                    </w:p>
                  </w:txbxContent>
                </v:textbox>
              </v:shape>
            </w:pict>
          </mc:Fallback>
        </mc:AlternateContent>
      </w:r>
    </w:p>
    <w:p w14:paraId="31FEB227">
      <w:pPr>
        <w:ind w:firstLine="420" w:firstLineChars="200"/>
        <w:jc w:val="center"/>
        <w:rPr>
          <w:rFonts w:ascii="宋体" w:cs="宋体"/>
        </w:rPr>
      </w:pPr>
    </w:p>
    <w:p w14:paraId="512D7C92">
      <w:pPr>
        <w:ind w:firstLine="420" w:firstLineChars="200"/>
        <w:jc w:val="center"/>
        <w:rPr>
          <w:rFonts w:ascii="宋体" w:cs="宋体"/>
        </w:rPr>
      </w:pPr>
    </w:p>
    <w:p w14:paraId="2C010CD8">
      <w:pPr>
        <w:ind w:firstLine="420" w:firstLineChars="200"/>
        <w:jc w:val="center"/>
        <w:rPr>
          <w:rFonts w:ascii="宋体" w:cs="宋体"/>
        </w:rPr>
      </w:pPr>
    </w:p>
    <w:p w14:paraId="34D683A7">
      <w:pPr>
        <w:ind w:firstLine="420" w:firstLineChars="200"/>
        <w:jc w:val="center"/>
        <w:rPr>
          <w:rFonts w:ascii="宋体" w:cs="宋体"/>
        </w:rPr>
      </w:pPr>
    </w:p>
    <w:p w14:paraId="67EBBE3C">
      <w:pPr>
        <w:ind w:firstLine="420" w:firstLineChars="200"/>
        <w:jc w:val="center"/>
        <w:rPr>
          <w:rFonts w:ascii="宋体" w:cs="宋体"/>
        </w:rPr>
      </w:pPr>
    </w:p>
    <w:p w14:paraId="419511BC">
      <w:pPr>
        <w:ind w:firstLine="420" w:firstLineChars="200"/>
        <w:jc w:val="center"/>
        <w:rPr>
          <w:rFonts w:ascii="宋体" w:cs="宋体"/>
        </w:rPr>
      </w:pPr>
    </w:p>
    <w:p w14:paraId="6530FF1B">
      <w:pPr>
        <w:ind w:firstLine="420" w:firstLineChars="200"/>
        <w:jc w:val="center"/>
        <w:rPr>
          <w:rFonts w:ascii="宋体" w:cs="宋体"/>
        </w:rPr>
      </w:pPr>
    </w:p>
    <w:p w14:paraId="78C4B07A">
      <w:pPr>
        <w:ind w:firstLine="420" w:firstLineChars="200"/>
        <w:jc w:val="center"/>
        <w:rPr>
          <w:rFonts w:ascii="宋体" w:cs="宋体"/>
        </w:rPr>
      </w:pPr>
    </w:p>
    <w:p w14:paraId="2E3552BC">
      <w:pPr>
        <w:ind w:firstLine="420" w:firstLineChars="200"/>
        <w:jc w:val="center"/>
        <w:rPr>
          <w:rFonts w:ascii="宋体" w:cs="宋体"/>
        </w:rPr>
      </w:pPr>
    </w:p>
    <w:p w14:paraId="074A3162">
      <w:pPr>
        <w:ind w:firstLine="420" w:firstLineChars="200"/>
        <w:jc w:val="center"/>
        <w:rPr>
          <w:rFonts w:ascii="宋体" w:cs="宋体"/>
        </w:rPr>
      </w:pPr>
    </w:p>
    <w:p w14:paraId="79A7E0AC">
      <w:pPr>
        <w:ind w:firstLine="420" w:firstLineChars="200"/>
        <w:jc w:val="center"/>
        <w:rPr>
          <w:rFonts w:ascii="宋体" w:cs="宋体"/>
        </w:rPr>
      </w:pPr>
    </w:p>
    <w:p w14:paraId="1EDCE9E8">
      <w:pPr>
        <w:ind w:firstLine="1004" w:firstLineChars="200"/>
        <w:jc w:val="center"/>
        <w:rPr>
          <w:rFonts w:ascii="宋体" w:cs="宋体"/>
          <w:b/>
          <w:sz w:val="50"/>
        </w:rPr>
      </w:pPr>
    </w:p>
    <w:p w14:paraId="275ED0DD">
      <w:pPr>
        <w:widowControl/>
        <w:spacing w:line="460" w:lineRule="exact"/>
        <w:ind w:firstLine="480" w:firstLineChars="200"/>
        <w:jc w:val="center"/>
        <w:rPr>
          <w:rFonts w:ascii="宋体" w:cs="宋体"/>
          <w:sz w:val="24"/>
          <w:szCs w:val="28"/>
        </w:rPr>
        <w:sectPr>
          <w:pgSz w:w="11906" w:h="16838"/>
          <w:pgMar w:top="1440" w:right="1803" w:bottom="1440" w:left="1803" w:header="851" w:footer="992" w:gutter="0"/>
          <w:cols w:space="720" w:num="1"/>
          <w:docGrid w:type="lines" w:linePitch="319" w:charSpace="0"/>
        </w:sectPr>
      </w:pPr>
    </w:p>
    <w:p w14:paraId="556590F5">
      <w:pPr>
        <w:spacing w:line="460" w:lineRule="exact"/>
        <w:ind w:firstLine="482" w:firstLineChars="200"/>
        <w:jc w:val="center"/>
        <w:rPr>
          <w:rFonts w:ascii="宋体" w:cs="宋体"/>
          <w:b/>
          <w:sz w:val="24"/>
        </w:rPr>
      </w:pPr>
      <w:r>
        <w:rPr>
          <w:rFonts w:hint="eastAsia" w:ascii="宋体" w:hAnsi="宋体" w:cs="宋体"/>
          <w:b/>
          <w:sz w:val="24"/>
        </w:rPr>
        <w:t>响应一览表封袋正面标识式样</w:t>
      </w:r>
    </w:p>
    <w:p w14:paraId="13D579B5">
      <w:pPr>
        <w:spacing w:line="460" w:lineRule="exact"/>
        <w:ind w:firstLine="420" w:firstLineChars="200"/>
        <w:jc w:val="center"/>
        <w:rPr>
          <w:rFonts w:ascii="宋体" w:cs="宋体"/>
          <w:b/>
          <w:sz w:val="24"/>
        </w:rPr>
      </w:pPr>
      <w:r>
        <mc:AlternateContent>
          <mc:Choice Requires="wps">
            <w:drawing>
              <wp:anchor distT="0" distB="0" distL="114300" distR="114300" simplePos="0" relativeHeight="251667456" behindDoc="0" locked="0" layoutInCell="1" allowOverlap="1">
                <wp:simplePos x="0" y="0"/>
                <wp:positionH relativeFrom="column">
                  <wp:posOffset>-325755</wp:posOffset>
                </wp:positionH>
                <wp:positionV relativeFrom="paragraph">
                  <wp:posOffset>191135</wp:posOffset>
                </wp:positionV>
                <wp:extent cx="5765800" cy="3519805"/>
                <wp:effectExtent l="4445" t="4445" r="20955" b="19050"/>
                <wp:wrapNone/>
                <wp:docPr id="8" name="文本框 8"/>
                <wp:cNvGraphicFramePr/>
                <a:graphic xmlns:a="http://schemas.openxmlformats.org/drawingml/2006/main">
                  <a:graphicData uri="http://schemas.microsoft.com/office/word/2010/wordprocessingShape">
                    <wps:wsp>
                      <wps:cNvSpPr txBox="1"/>
                      <wps:spPr>
                        <a:xfrm>
                          <a:off x="0" y="0"/>
                          <a:ext cx="5765800" cy="3519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290DF9">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1E0CBC1C">
                            <w:pPr>
                              <w:rPr>
                                <w:b/>
                                <w:sz w:val="44"/>
                                <w:szCs w:val="44"/>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05411733">
                            <w:pPr>
                              <w:jc w:val="center"/>
                              <w:rPr>
                                <w:b/>
                                <w:sz w:val="44"/>
                                <w:szCs w:val="44"/>
                              </w:rPr>
                            </w:pPr>
                            <w:r>
                              <w:rPr>
                                <w:rFonts w:hint="eastAsia"/>
                                <w:b/>
                                <w:sz w:val="44"/>
                                <w:szCs w:val="44"/>
                              </w:rPr>
                              <w:t>响应一览表</w:t>
                            </w:r>
                          </w:p>
                          <w:p w14:paraId="4287C55C">
                            <w:pPr>
                              <w:jc w:val="center"/>
                              <w:rPr>
                                <w:sz w:val="28"/>
                                <w:szCs w:val="28"/>
                              </w:rPr>
                            </w:pPr>
                            <w:r>
                              <w:rPr>
                                <w:rFonts w:hint="eastAsia"/>
                                <w:sz w:val="28"/>
                                <w:szCs w:val="28"/>
                              </w:rPr>
                              <w:t>（非谈判会议不得启封）</w:t>
                            </w:r>
                          </w:p>
                          <w:p w14:paraId="6EDAF624">
                            <w:pPr>
                              <w:rPr>
                                <w:sz w:val="28"/>
                                <w:szCs w:val="28"/>
                              </w:rPr>
                            </w:pPr>
                            <w:r>
                              <w:rPr>
                                <w:rFonts w:hint="eastAsia"/>
                                <w:sz w:val="28"/>
                                <w:szCs w:val="28"/>
                              </w:rPr>
                              <w:t>供应商（公章）：_______________</w:t>
                            </w:r>
                          </w:p>
                          <w:p w14:paraId="30797A90">
                            <w:pPr>
                              <w:rPr>
                                <w:sz w:val="28"/>
                                <w:szCs w:val="28"/>
                              </w:rPr>
                            </w:pPr>
                            <w:r>
                              <w:rPr>
                                <w:rFonts w:hint="eastAsia"/>
                                <w:sz w:val="28"/>
                                <w:szCs w:val="28"/>
                              </w:rPr>
                              <w:t>法定代表人或被授权人（签字或盖章）：_____________</w:t>
                            </w:r>
                          </w:p>
                          <w:p w14:paraId="1F0BBF56">
                            <w:pPr>
                              <w:rPr>
                                <w:sz w:val="28"/>
                                <w:szCs w:val="28"/>
                              </w:rPr>
                            </w:pPr>
                            <w:r>
                              <w:rPr>
                                <w:rFonts w:hint="eastAsia"/>
                                <w:sz w:val="28"/>
                                <w:szCs w:val="28"/>
                              </w:rPr>
                              <w:t>时间：_______年_______月______日</w:t>
                            </w:r>
                          </w:p>
                        </w:txbxContent>
                      </wps:txbx>
                      <wps:bodyPr upright="1"/>
                    </wps:wsp>
                  </a:graphicData>
                </a:graphic>
              </wp:anchor>
            </w:drawing>
          </mc:Choice>
          <mc:Fallback>
            <w:pict>
              <v:shape id="_x0000_s1026" o:spid="_x0000_s1026" o:spt="202" type="#_x0000_t202" style="position:absolute;left:0pt;margin-left:-25.65pt;margin-top:15.05pt;height:277.15pt;width:454pt;z-index:251667456;mso-width-relative:page;mso-height-relative:page;" fillcolor="#FFFFFF" filled="t" stroked="t" coordsize="21600,21600" o:gfxdata="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FK612gAAAAoBAAAPAAAAAAAA&#10;AAEAIAAAACIAAABkcnMvZG93bnJldi54bWxQSwECFAAUAAAACACHTuJAPoToyRACAABFBAAADgAA&#10;AAAAAAABACAAAAApAQAAZHJzL2Uyb0RvYy54bWxQSwUGAAAAAAYABgBZAQAAqwUAAAAA&#10;">
                <v:fill on="t" focussize="0,0"/>
                <v:stroke color="#000000" joinstyle="miter"/>
                <v:imagedata o:title=""/>
                <o:lock v:ext="edit" aspectratio="f"/>
                <v:textbox>
                  <w:txbxContent>
                    <w:p w14:paraId="24290DF9">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1E0CBC1C">
                      <w:pPr>
                        <w:rPr>
                          <w:b/>
                          <w:sz w:val="44"/>
                          <w:szCs w:val="44"/>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05411733">
                      <w:pPr>
                        <w:jc w:val="center"/>
                        <w:rPr>
                          <w:b/>
                          <w:sz w:val="44"/>
                          <w:szCs w:val="44"/>
                        </w:rPr>
                      </w:pPr>
                      <w:r>
                        <w:rPr>
                          <w:rFonts w:hint="eastAsia"/>
                          <w:b/>
                          <w:sz w:val="44"/>
                          <w:szCs w:val="44"/>
                        </w:rPr>
                        <w:t>响应一览表</w:t>
                      </w:r>
                    </w:p>
                    <w:p w14:paraId="4287C55C">
                      <w:pPr>
                        <w:jc w:val="center"/>
                        <w:rPr>
                          <w:sz w:val="28"/>
                          <w:szCs w:val="28"/>
                        </w:rPr>
                      </w:pPr>
                      <w:r>
                        <w:rPr>
                          <w:rFonts w:hint="eastAsia"/>
                          <w:sz w:val="28"/>
                          <w:szCs w:val="28"/>
                        </w:rPr>
                        <w:t>（非谈判会议不得启封）</w:t>
                      </w:r>
                    </w:p>
                    <w:p w14:paraId="6EDAF624">
                      <w:pPr>
                        <w:rPr>
                          <w:sz w:val="28"/>
                          <w:szCs w:val="28"/>
                        </w:rPr>
                      </w:pPr>
                      <w:r>
                        <w:rPr>
                          <w:rFonts w:hint="eastAsia"/>
                          <w:sz w:val="28"/>
                          <w:szCs w:val="28"/>
                        </w:rPr>
                        <w:t>供应商（公章）：_______________</w:t>
                      </w:r>
                    </w:p>
                    <w:p w14:paraId="30797A90">
                      <w:pPr>
                        <w:rPr>
                          <w:sz w:val="28"/>
                          <w:szCs w:val="28"/>
                        </w:rPr>
                      </w:pPr>
                      <w:r>
                        <w:rPr>
                          <w:rFonts w:hint="eastAsia"/>
                          <w:sz w:val="28"/>
                          <w:szCs w:val="28"/>
                        </w:rPr>
                        <w:t>法定代表人或被授权人（签字或盖章）：_____________</w:t>
                      </w:r>
                    </w:p>
                    <w:p w14:paraId="1F0BBF56">
                      <w:pPr>
                        <w:rPr>
                          <w:sz w:val="28"/>
                          <w:szCs w:val="28"/>
                        </w:rPr>
                      </w:pPr>
                      <w:r>
                        <w:rPr>
                          <w:rFonts w:hint="eastAsia"/>
                          <w:sz w:val="28"/>
                          <w:szCs w:val="28"/>
                        </w:rPr>
                        <w:t>时间：_______年_______月______日</w:t>
                      </w:r>
                    </w:p>
                  </w:txbxContent>
                </v:textbox>
              </v:shape>
            </w:pict>
          </mc:Fallback>
        </mc:AlternateContent>
      </w:r>
    </w:p>
    <w:p w14:paraId="35D5BA68">
      <w:pPr>
        <w:spacing w:line="460" w:lineRule="exact"/>
        <w:ind w:firstLine="482" w:firstLineChars="200"/>
        <w:jc w:val="center"/>
        <w:rPr>
          <w:rFonts w:ascii="宋体" w:cs="宋体"/>
          <w:b/>
          <w:sz w:val="24"/>
        </w:rPr>
      </w:pPr>
    </w:p>
    <w:p w14:paraId="02959693">
      <w:pPr>
        <w:spacing w:line="460" w:lineRule="exact"/>
        <w:ind w:firstLine="482" w:firstLineChars="200"/>
        <w:jc w:val="center"/>
        <w:rPr>
          <w:rFonts w:ascii="宋体" w:cs="宋体"/>
          <w:b/>
          <w:sz w:val="24"/>
        </w:rPr>
      </w:pPr>
    </w:p>
    <w:p w14:paraId="5F66D97E">
      <w:pPr>
        <w:spacing w:line="460" w:lineRule="exact"/>
        <w:ind w:firstLine="482" w:firstLineChars="200"/>
        <w:jc w:val="center"/>
        <w:rPr>
          <w:rFonts w:ascii="宋体" w:cs="宋体"/>
          <w:b/>
          <w:sz w:val="24"/>
        </w:rPr>
      </w:pPr>
    </w:p>
    <w:p w14:paraId="6C6BA31B">
      <w:pPr>
        <w:spacing w:line="460" w:lineRule="exact"/>
        <w:ind w:firstLine="482" w:firstLineChars="200"/>
        <w:jc w:val="center"/>
        <w:rPr>
          <w:rFonts w:ascii="宋体" w:cs="宋体"/>
          <w:b/>
          <w:sz w:val="24"/>
        </w:rPr>
      </w:pPr>
    </w:p>
    <w:p w14:paraId="2BFD61FD">
      <w:pPr>
        <w:spacing w:line="460" w:lineRule="exact"/>
        <w:ind w:firstLine="482" w:firstLineChars="200"/>
        <w:jc w:val="center"/>
        <w:rPr>
          <w:rFonts w:ascii="宋体" w:cs="宋体"/>
          <w:b/>
          <w:sz w:val="24"/>
        </w:rPr>
      </w:pPr>
    </w:p>
    <w:p w14:paraId="7C359FF9">
      <w:pPr>
        <w:spacing w:line="460" w:lineRule="exact"/>
        <w:ind w:firstLine="482" w:firstLineChars="200"/>
        <w:jc w:val="center"/>
        <w:rPr>
          <w:rFonts w:ascii="宋体" w:cs="宋体"/>
          <w:b/>
          <w:sz w:val="24"/>
        </w:rPr>
      </w:pPr>
    </w:p>
    <w:p w14:paraId="7875F02E">
      <w:pPr>
        <w:spacing w:line="460" w:lineRule="exact"/>
        <w:ind w:firstLine="482" w:firstLineChars="200"/>
        <w:jc w:val="center"/>
        <w:rPr>
          <w:rFonts w:ascii="宋体" w:cs="宋体"/>
          <w:b/>
          <w:sz w:val="24"/>
        </w:rPr>
      </w:pPr>
    </w:p>
    <w:p w14:paraId="118070E9">
      <w:pPr>
        <w:spacing w:line="460" w:lineRule="exact"/>
        <w:ind w:firstLine="482" w:firstLineChars="200"/>
        <w:jc w:val="center"/>
        <w:rPr>
          <w:rFonts w:ascii="宋体" w:cs="宋体"/>
          <w:b/>
          <w:sz w:val="24"/>
        </w:rPr>
      </w:pPr>
    </w:p>
    <w:p w14:paraId="2961134E">
      <w:pPr>
        <w:spacing w:line="460" w:lineRule="exact"/>
        <w:ind w:firstLine="482" w:firstLineChars="200"/>
        <w:jc w:val="center"/>
        <w:rPr>
          <w:rFonts w:ascii="宋体" w:cs="宋体"/>
          <w:b/>
          <w:sz w:val="24"/>
        </w:rPr>
      </w:pPr>
    </w:p>
    <w:p w14:paraId="5346629E">
      <w:pPr>
        <w:spacing w:line="460" w:lineRule="exact"/>
        <w:jc w:val="center"/>
        <w:rPr>
          <w:rFonts w:ascii="宋体" w:cs="宋体"/>
          <w:b/>
          <w:sz w:val="24"/>
        </w:rPr>
      </w:pPr>
    </w:p>
    <w:p w14:paraId="2BDAAD58">
      <w:pPr>
        <w:spacing w:line="460" w:lineRule="exact"/>
        <w:jc w:val="center"/>
        <w:rPr>
          <w:rFonts w:ascii="宋体" w:cs="宋体"/>
          <w:b/>
          <w:sz w:val="24"/>
        </w:rPr>
      </w:pPr>
    </w:p>
    <w:p w14:paraId="22F55CEF">
      <w:pPr>
        <w:spacing w:line="460" w:lineRule="exact"/>
        <w:jc w:val="center"/>
        <w:rPr>
          <w:rFonts w:ascii="宋体" w:cs="宋体"/>
          <w:b/>
          <w:sz w:val="24"/>
        </w:rPr>
      </w:pPr>
    </w:p>
    <w:p w14:paraId="33A59B42">
      <w:pPr>
        <w:spacing w:line="460" w:lineRule="exact"/>
        <w:jc w:val="center"/>
        <w:rPr>
          <w:rFonts w:ascii="宋体" w:cs="宋体"/>
          <w:b/>
          <w:sz w:val="24"/>
        </w:rPr>
      </w:pPr>
      <w:r>
        <w:rPr>
          <w:rFonts w:hint="eastAsia" w:ascii="宋体" w:hAnsi="宋体" w:cs="宋体"/>
          <w:b/>
          <w:sz w:val="24"/>
        </w:rPr>
        <w:t>电子文档封袋正面标识式样</w:t>
      </w:r>
    </w:p>
    <w:p w14:paraId="0751E4B9">
      <w:pPr>
        <w:tabs>
          <w:tab w:val="left" w:pos="8280"/>
        </w:tabs>
        <w:spacing w:line="460" w:lineRule="exact"/>
        <w:ind w:firstLine="420" w:firstLineChars="200"/>
        <w:jc w:val="center"/>
        <w:rPr>
          <w:rFonts w:ascii="宋体" w:cs="宋体"/>
          <w:b/>
          <w:sz w:val="24"/>
        </w:rPr>
      </w:pPr>
      <w:r>
        <mc:AlternateContent>
          <mc:Choice Requires="wps">
            <w:drawing>
              <wp:anchor distT="0" distB="0" distL="114300" distR="114300" simplePos="0" relativeHeight="251668480" behindDoc="0" locked="0" layoutInCell="1" allowOverlap="1">
                <wp:simplePos x="0" y="0"/>
                <wp:positionH relativeFrom="column">
                  <wp:posOffset>-360045</wp:posOffset>
                </wp:positionH>
                <wp:positionV relativeFrom="paragraph">
                  <wp:posOffset>132715</wp:posOffset>
                </wp:positionV>
                <wp:extent cx="5739130" cy="3686810"/>
                <wp:effectExtent l="4445" t="4445" r="9525" b="23495"/>
                <wp:wrapNone/>
                <wp:docPr id="10" name="文本框 10"/>
                <wp:cNvGraphicFramePr/>
                <a:graphic xmlns:a="http://schemas.openxmlformats.org/drawingml/2006/main">
                  <a:graphicData uri="http://schemas.microsoft.com/office/word/2010/wordprocessingShape">
                    <wps:wsp>
                      <wps:cNvSpPr txBox="1"/>
                      <wps:spPr>
                        <a:xfrm>
                          <a:off x="0" y="0"/>
                          <a:ext cx="5739130" cy="3686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391DFE">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00504CAA">
                            <w:pPr>
                              <w:rPr>
                                <w:rFonts w:hint="eastAsia" w:eastAsiaTheme="minorEastAsia"/>
                                <w:sz w:val="28"/>
                                <w:szCs w:val="28"/>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2E17AB76">
                            <w:pPr>
                              <w:jc w:val="center"/>
                              <w:rPr>
                                <w:b/>
                                <w:sz w:val="44"/>
                                <w:szCs w:val="44"/>
                              </w:rPr>
                            </w:pPr>
                          </w:p>
                          <w:p w14:paraId="70877518">
                            <w:pPr>
                              <w:jc w:val="center"/>
                              <w:rPr>
                                <w:b/>
                                <w:sz w:val="44"/>
                                <w:szCs w:val="44"/>
                              </w:rPr>
                            </w:pPr>
                            <w:r>
                              <w:rPr>
                                <w:rFonts w:hint="eastAsia"/>
                                <w:b/>
                                <w:sz w:val="44"/>
                                <w:szCs w:val="44"/>
                              </w:rPr>
                              <w:t>电子文档</w:t>
                            </w:r>
                          </w:p>
                          <w:p w14:paraId="44A8B49A">
                            <w:pPr>
                              <w:jc w:val="center"/>
                              <w:rPr>
                                <w:sz w:val="28"/>
                                <w:szCs w:val="28"/>
                              </w:rPr>
                            </w:pPr>
                            <w:r>
                              <w:rPr>
                                <w:rFonts w:hint="eastAsia"/>
                                <w:sz w:val="28"/>
                                <w:szCs w:val="28"/>
                              </w:rPr>
                              <w:t>（非谈判会议不得启封）</w:t>
                            </w:r>
                          </w:p>
                          <w:p w14:paraId="3BC98FE8">
                            <w:pPr>
                              <w:rPr>
                                <w:sz w:val="28"/>
                                <w:szCs w:val="28"/>
                              </w:rPr>
                            </w:pPr>
                            <w:r>
                              <w:rPr>
                                <w:rFonts w:hint="eastAsia"/>
                                <w:sz w:val="28"/>
                                <w:szCs w:val="28"/>
                              </w:rPr>
                              <w:t>供应商（公章）：_______________</w:t>
                            </w:r>
                          </w:p>
                          <w:p w14:paraId="6FD4E9DC">
                            <w:pPr>
                              <w:rPr>
                                <w:sz w:val="28"/>
                                <w:szCs w:val="28"/>
                              </w:rPr>
                            </w:pPr>
                            <w:r>
                              <w:rPr>
                                <w:rFonts w:hint="eastAsia"/>
                                <w:sz w:val="28"/>
                                <w:szCs w:val="28"/>
                              </w:rPr>
                              <w:t>法定代表人或被授权人（签字或盖章）：_____________</w:t>
                            </w:r>
                          </w:p>
                          <w:p w14:paraId="7C77312E">
                            <w:pPr>
                              <w:rPr>
                                <w:sz w:val="28"/>
                                <w:szCs w:val="28"/>
                              </w:rPr>
                            </w:pPr>
                            <w:r>
                              <w:rPr>
                                <w:rFonts w:hint="eastAsia"/>
                                <w:sz w:val="28"/>
                                <w:szCs w:val="28"/>
                              </w:rPr>
                              <w:t>时间：_______年_______月______日</w:t>
                            </w:r>
                          </w:p>
                        </w:txbxContent>
                      </wps:txbx>
                      <wps:bodyPr upright="1"/>
                    </wps:wsp>
                  </a:graphicData>
                </a:graphic>
              </wp:anchor>
            </w:drawing>
          </mc:Choice>
          <mc:Fallback>
            <w:pict>
              <v:shape id="_x0000_s1026" o:spid="_x0000_s1026" o:spt="202" type="#_x0000_t202" style="position:absolute;left:0pt;margin-left:-28.35pt;margin-top:10.45pt;height:290.3pt;width:451.9pt;z-index:251668480;mso-width-relative:page;mso-height-relative:page;" fillcolor="#FFFFFF" filled="t" stroked="t" coordsize="21600,21600" o:gfxdata="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X7a2gAAAAoBAAAPAAAA&#10;AAAAAAEAIAAAACIAAABkcnMvZG93bnJldi54bWxQSwECFAAUAAAACACHTuJAXX31XhMCAABHBAAA&#10;DgAAAAAAAAABACAAAAApAQAAZHJzL2Uyb0RvYy54bWxQSwUGAAAAAAYABgBZAQAArgUAAAAA&#10;">
                <v:fill on="t" focussize="0,0"/>
                <v:stroke color="#000000" joinstyle="miter"/>
                <v:imagedata o:title=""/>
                <o:lock v:ext="edit" aspectratio="f"/>
                <v:textbox>
                  <w:txbxContent>
                    <w:p w14:paraId="68391DFE">
                      <w:pPr>
                        <w:adjustRightInd w:val="0"/>
                        <w:snapToGrid w:val="0"/>
                        <w:spacing w:line="360" w:lineRule="auto"/>
                        <w:jc w:val="left"/>
                        <w:rPr>
                          <w:rFonts w:hint="eastAsia" w:eastAsiaTheme="minorEastAsia"/>
                          <w:sz w:val="28"/>
                          <w:szCs w:val="28"/>
                          <w:highlight w:val="yellow"/>
                          <w:lang w:eastAsia="zh-CN"/>
                        </w:rPr>
                      </w:pPr>
                      <w:r>
                        <w:rPr>
                          <w:rFonts w:hint="eastAsia"/>
                          <w:sz w:val="28"/>
                          <w:szCs w:val="28"/>
                        </w:rPr>
                        <w:t>致：陕西卓佲项目管理有限公司     项目编号：</w:t>
                      </w:r>
                      <w:r>
                        <w:rPr>
                          <w:rFonts w:hint="eastAsia"/>
                          <w:sz w:val="28"/>
                          <w:szCs w:val="28"/>
                          <w:lang w:eastAsia="zh-CN"/>
                        </w:rPr>
                        <w:t>ZMZB2025SNY-120R</w:t>
                      </w:r>
                    </w:p>
                    <w:p w14:paraId="00504CAA">
                      <w:pPr>
                        <w:rPr>
                          <w:rFonts w:hint="eastAsia" w:eastAsiaTheme="minorEastAsia"/>
                          <w:sz w:val="28"/>
                          <w:szCs w:val="28"/>
                          <w:lang w:eastAsia="zh-CN"/>
                        </w:rPr>
                      </w:pPr>
                      <w:r>
                        <w:rPr>
                          <w:spacing w:val="-6"/>
                          <w:sz w:val="28"/>
                          <w:szCs w:val="28"/>
                        </w:rPr>
                        <w:t>项目名称：陕西能源职业技术学院</w:t>
                      </w:r>
                      <w:r>
                        <w:rPr>
                          <w:rFonts w:hint="eastAsia"/>
                          <w:spacing w:val="-6"/>
                          <w:sz w:val="28"/>
                          <w:szCs w:val="28"/>
                          <w:lang w:eastAsia="zh-CN"/>
                        </w:rPr>
                        <w:t>大学生活动中心灯光音响系统改造项目（二次）</w:t>
                      </w:r>
                    </w:p>
                    <w:p w14:paraId="2E17AB76">
                      <w:pPr>
                        <w:jc w:val="center"/>
                        <w:rPr>
                          <w:b/>
                          <w:sz w:val="44"/>
                          <w:szCs w:val="44"/>
                        </w:rPr>
                      </w:pPr>
                    </w:p>
                    <w:p w14:paraId="70877518">
                      <w:pPr>
                        <w:jc w:val="center"/>
                        <w:rPr>
                          <w:b/>
                          <w:sz w:val="44"/>
                          <w:szCs w:val="44"/>
                        </w:rPr>
                      </w:pPr>
                      <w:r>
                        <w:rPr>
                          <w:rFonts w:hint="eastAsia"/>
                          <w:b/>
                          <w:sz w:val="44"/>
                          <w:szCs w:val="44"/>
                        </w:rPr>
                        <w:t>电子文档</w:t>
                      </w:r>
                    </w:p>
                    <w:p w14:paraId="44A8B49A">
                      <w:pPr>
                        <w:jc w:val="center"/>
                        <w:rPr>
                          <w:sz w:val="28"/>
                          <w:szCs w:val="28"/>
                        </w:rPr>
                      </w:pPr>
                      <w:r>
                        <w:rPr>
                          <w:rFonts w:hint="eastAsia"/>
                          <w:sz w:val="28"/>
                          <w:szCs w:val="28"/>
                        </w:rPr>
                        <w:t>（非谈判会议不得启封）</w:t>
                      </w:r>
                    </w:p>
                    <w:p w14:paraId="3BC98FE8">
                      <w:pPr>
                        <w:rPr>
                          <w:sz w:val="28"/>
                          <w:szCs w:val="28"/>
                        </w:rPr>
                      </w:pPr>
                      <w:r>
                        <w:rPr>
                          <w:rFonts w:hint="eastAsia"/>
                          <w:sz w:val="28"/>
                          <w:szCs w:val="28"/>
                        </w:rPr>
                        <w:t>供应商（公章）：_______________</w:t>
                      </w:r>
                    </w:p>
                    <w:p w14:paraId="6FD4E9DC">
                      <w:pPr>
                        <w:rPr>
                          <w:sz w:val="28"/>
                          <w:szCs w:val="28"/>
                        </w:rPr>
                      </w:pPr>
                      <w:r>
                        <w:rPr>
                          <w:rFonts w:hint="eastAsia"/>
                          <w:sz w:val="28"/>
                          <w:szCs w:val="28"/>
                        </w:rPr>
                        <w:t>法定代表人或被授权人（签字或盖章）：_____________</w:t>
                      </w:r>
                    </w:p>
                    <w:p w14:paraId="7C77312E">
                      <w:pPr>
                        <w:rPr>
                          <w:sz w:val="28"/>
                          <w:szCs w:val="28"/>
                        </w:rPr>
                      </w:pPr>
                      <w:r>
                        <w:rPr>
                          <w:rFonts w:hint="eastAsia"/>
                          <w:sz w:val="28"/>
                          <w:szCs w:val="28"/>
                        </w:rPr>
                        <w:t>时间：_______年_______月______日</w:t>
                      </w:r>
                    </w:p>
                  </w:txbxContent>
                </v:textbox>
              </v:shape>
            </w:pict>
          </mc:Fallback>
        </mc:AlternateContent>
      </w:r>
    </w:p>
    <w:p w14:paraId="61D95522">
      <w:pPr>
        <w:ind w:firstLine="420" w:firstLineChars="200"/>
        <w:jc w:val="center"/>
        <w:rPr>
          <w:rFonts w:ascii="宋体" w:cs="宋体"/>
        </w:rPr>
      </w:pPr>
    </w:p>
    <w:p w14:paraId="317C6F4E">
      <w:pPr>
        <w:ind w:firstLine="420" w:firstLineChars="200"/>
        <w:jc w:val="center"/>
        <w:rPr>
          <w:rFonts w:ascii="宋体" w:cs="宋体"/>
        </w:rPr>
      </w:pPr>
    </w:p>
    <w:p w14:paraId="3E3E147A">
      <w:pPr>
        <w:ind w:firstLine="420" w:firstLineChars="200"/>
        <w:jc w:val="center"/>
        <w:rPr>
          <w:rFonts w:ascii="宋体" w:cs="宋体"/>
        </w:rPr>
      </w:pPr>
    </w:p>
    <w:p w14:paraId="5AE071DE">
      <w:pPr>
        <w:ind w:firstLine="420" w:firstLineChars="200"/>
        <w:jc w:val="center"/>
        <w:rPr>
          <w:rFonts w:ascii="宋体" w:cs="宋体"/>
        </w:rPr>
      </w:pPr>
    </w:p>
    <w:p w14:paraId="3985ECA5">
      <w:pPr>
        <w:ind w:firstLine="420" w:firstLineChars="200"/>
        <w:jc w:val="center"/>
        <w:rPr>
          <w:rFonts w:ascii="宋体" w:cs="宋体"/>
        </w:rPr>
      </w:pPr>
    </w:p>
    <w:p w14:paraId="529AAA35">
      <w:pPr>
        <w:ind w:firstLine="420" w:firstLineChars="200"/>
        <w:jc w:val="center"/>
        <w:rPr>
          <w:rFonts w:ascii="宋体" w:cs="宋体"/>
        </w:rPr>
      </w:pPr>
    </w:p>
    <w:p w14:paraId="0E51D0AA">
      <w:pPr>
        <w:ind w:firstLine="420" w:firstLineChars="200"/>
        <w:jc w:val="center"/>
        <w:rPr>
          <w:rFonts w:ascii="宋体" w:cs="宋体"/>
        </w:rPr>
      </w:pPr>
    </w:p>
    <w:p w14:paraId="68307C9A">
      <w:pPr>
        <w:ind w:firstLine="420" w:firstLineChars="200"/>
        <w:jc w:val="center"/>
        <w:rPr>
          <w:rFonts w:ascii="宋体" w:cs="宋体"/>
        </w:rPr>
      </w:pPr>
    </w:p>
    <w:p w14:paraId="7E476165">
      <w:pPr>
        <w:ind w:firstLine="420" w:firstLineChars="200"/>
        <w:jc w:val="center"/>
        <w:rPr>
          <w:rFonts w:ascii="宋体" w:cs="宋体"/>
        </w:rPr>
      </w:pPr>
    </w:p>
    <w:p w14:paraId="6E480B8E">
      <w:pPr>
        <w:ind w:firstLine="420" w:firstLineChars="200"/>
        <w:jc w:val="center"/>
        <w:rPr>
          <w:rFonts w:ascii="宋体" w:cs="宋体"/>
        </w:rPr>
      </w:pPr>
    </w:p>
    <w:p w14:paraId="71B91661">
      <w:pPr>
        <w:ind w:firstLine="420" w:firstLineChars="200"/>
        <w:jc w:val="center"/>
        <w:rPr>
          <w:rFonts w:ascii="宋体" w:cs="宋体"/>
        </w:rPr>
      </w:pPr>
    </w:p>
    <w:p w14:paraId="232D007B">
      <w:pPr>
        <w:ind w:firstLine="1004" w:firstLineChars="200"/>
        <w:jc w:val="center"/>
        <w:rPr>
          <w:rFonts w:ascii="宋体" w:cs="宋体"/>
          <w:b/>
          <w:sz w:val="50"/>
        </w:rPr>
      </w:pPr>
    </w:p>
    <w:p w14:paraId="26116561">
      <w:pPr>
        <w:pageBreakBefore/>
        <w:spacing w:line="420" w:lineRule="auto"/>
        <w:jc w:val="center"/>
        <w:rPr>
          <w:rFonts w:ascii="宋体" w:cs="宋体"/>
          <w:b/>
          <w:bCs/>
          <w:sz w:val="36"/>
          <w:szCs w:val="36"/>
        </w:rPr>
        <w:sectPr>
          <w:pgSz w:w="11906" w:h="16838"/>
          <w:pgMar w:top="1440" w:right="1803" w:bottom="1440" w:left="1803" w:header="851" w:footer="992" w:gutter="0"/>
          <w:cols w:space="720" w:num="1"/>
          <w:docGrid w:type="lines" w:linePitch="319" w:charSpace="0"/>
        </w:sectPr>
      </w:pPr>
    </w:p>
    <w:p w14:paraId="203484E5">
      <w:pPr>
        <w:pStyle w:val="3"/>
        <w:adjustRightInd w:val="0"/>
        <w:spacing w:line="416" w:lineRule="atLeast"/>
        <w:textAlignment w:val="baseline"/>
        <w:rPr>
          <w:rFonts w:ascii="宋体" w:hAnsi="宋体" w:cs="宋体"/>
        </w:rPr>
      </w:pPr>
      <w:bookmarkStart w:id="113" w:name="_Toc4184"/>
      <w:r>
        <w:rPr>
          <w:rFonts w:hint="eastAsia" w:ascii="宋体" w:hAnsi="宋体" w:cs="宋体"/>
        </w:rPr>
        <w:t>附件二、</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cs="宋体"/>
        </w:rPr>
        <w:t>中小企业声明函（货物）</w:t>
      </w:r>
      <w:bookmarkEnd w:id="113"/>
    </w:p>
    <w:p w14:paraId="393447E2">
      <w:pPr>
        <w:spacing w:line="588" w:lineRule="exact"/>
        <w:ind w:firstLine="504" w:firstLineChars="200"/>
        <w:rPr>
          <w:rFonts w:ascii="宋体" w:hAnsi="宋体" w:cs="宋体"/>
          <w:spacing w:val="6"/>
          <w:sz w:val="24"/>
        </w:rPr>
      </w:pPr>
      <w:r>
        <w:rPr>
          <w:rFonts w:hint="eastAsia" w:ascii="宋体" w:hAnsi="宋体" w:cs="宋体"/>
          <w:spacing w:val="6"/>
          <w:sz w:val="24"/>
        </w:rPr>
        <w:t>根据《政府采购促进中小企业发展管理办法》（财库﹝2020﹞46 号）的规定，由供应商自行声明并对真实性负责。如有虚假，将依法承担相应责任。</w:t>
      </w:r>
    </w:p>
    <w:p w14:paraId="1A257926">
      <w:pPr>
        <w:spacing w:line="588" w:lineRule="exact"/>
        <w:jc w:val="center"/>
        <w:rPr>
          <w:rFonts w:ascii="宋体" w:hAnsi="宋体" w:cs="宋体"/>
          <w:b/>
          <w:spacing w:val="6"/>
          <w:sz w:val="24"/>
          <w:szCs w:val="24"/>
        </w:rPr>
      </w:pPr>
      <w:r>
        <w:rPr>
          <w:rFonts w:hint="eastAsia" w:ascii="宋体" w:hAnsi="宋体" w:cs="宋体"/>
          <w:b/>
          <w:spacing w:val="6"/>
          <w:sz w:val="24"/>
          <w:szCs w:val="24"/>
        </w:rPr>
        <w:t>中小企业声明函</w:t>
      </w:r>
    </w:p>
    <w:p w14:paraId="7BC8CD2F">
      <w:pPr>
        <w:spacing w:line="588" w:lineRule="exact"/>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采购活动，提供的货物全部由符合政策要求的中小企业制造。相关企业（含联合体中的中小企业、签订分包意向协议的中小企业）的具体情况如下：</w:t>
      </w:r>
    </w:p>
    <w:p w14:paraId="2F189CD5">
      <w:pPr>
        <w:spacing w:line="588" w:lineRule="exact"/>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w:t>
      </w:r>
      <w:r>
        <w:rPr>
          <w:rFonts w:hint="eastAsia" w:ascii="宋体" w:hAnsi="宋体" w:cs="宋体"/>
          <w:spacing w:val="6"/>
          <w:sz w:val="24"/>
          <w:u w:val="single"/>
        </w:rPr>
        <w:t>（企业名称）</w:t>
      </w:r>
      <w:r>
        <w:rPr>
          <w:rFonts w:hint="eastAsia" w:ascii="宋体" w:hAnsi="宋体" w:cs="宋体"/>
          <w:spacing w:val="6"/>
          <w:sz w:val="24"/>
        </w:rPr>
        <w:t>，从业人员人，营业收入为万元，资产总额为万元，属于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50E7E7BE">
      <w:pPr>
        <w:spacing w:line="588" w:lineRule="exact"/>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；制造商为（企业名称），从业人员人，营业收入为万元，资产总额为万元，属于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660A216F">
      <w:pPr>
        <w:spacing w:line="588" w:lineRule="exact"/>
        <w:ind w:firstLine="504" w:firstLineChars="200"/>
        <w:rPr>
          <w:rFonts w:ascii="宋体" w:hAnsi="宋体" w:cs="宋体"/>
          <w:spacing w:val="6"/>
          <w:sz w:val="24"/>
        </w:rPr>
      </w:pPr>
      <w:r>
        <w:rPr>
          <w:rFonts w:hint="eastAsia" w:ascii="宋体" w:hAnsi="宋体" w:cs="宋体"/>
          <w:spacing w:val="6"/>
          <w:sz w:val="24"/>
        </w:rPr>
        <w:t>……</w:t>
      </w:r>
    </w:p>
    <w:p w14:paraId="420A15BB">
      <w:pPr>
        <w:spacing w:line="588" w:lineRule="exact"/>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25BBA952">
      <w:pPr>
        <w:spacing w:line="588" w:lineRule="exact"/>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31DDEA9A">
      <w:pPr>
        <w:spacing w:line="588" w:lineRule="exact"/>
        <w:ind w:firstLine="504" w:firstLineChars="200"/>
        <w:jc w:val="right"/>
        <w:rPr>
          <w:rFonts w:ascii="宋体" w:hAnsi="宋体" w:cs="宋体"/>
          <w:spacing w:val="6"/>
          <w:sz w:val="24"/>
        </w:rPr>
      </w:pPr>
      <w:r>
        <w:rPr>
          <w:rFonts w:hint="eastAsia" w:ascii="宋体" w:hAnsi="宋体" w:cs="宋体"/>
          <w:spacing w:val="6"/>
          <w:sz w:val="24"/>
        </w:rPr>
        <w:t>企业名称（盖章）：</w:t>
      </w:r>
    </w:p>
    <w:p w14:paraId="2960BD61">
      <w:pPr>
        <w:pStyle w:val="11"/>
        <w:ind w:firstLine="6000" w:firstLineChars="2500"/>
        <w:rPr>
          <w:color w:val="auto"/>
        </w:rPr>
      </w:pPr>
      <w:r>
        <w:rPr>
          <w:rFonts w:hint="eastAsia"/>
          <w:b w:val="0"/>
          <w:bCs w:val="0"/>
          <w:color w:val="auto"/>
        </w:rPr>
        <w:t>日期：</w:t>
      </w:r>
    </w:p>
    <w:p w14:paraId="322D66F1">
      <w:pPr>
        <w:pStyle w:val="11"/>
        <w:rPr>
          <w:color w:val="auto"/>
        </w:rPr>
      </w:pPr>
      <w:r>
        <w:rPr>
          <w:rFonts w:hint="eastAsia"/>
          <w:color w:val="auto"/>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11244DB4">
      <w:pPr>
        <w:pStyle w:val="11"/>
        <w:rPr>
          <w:color w:val="auto"/>
        </w:rPr>
      </w:pPr>
      <w:r>
        <w:rPr>
          <w:rFonts w:hint="eastAsia"/>
          <w:color w:val="auto"/>
        </w:rPr>
        <w:t xml:space="preserve">    2.从业人员、营业收入、资产总额填报上一年度数据，无上一年度数据的新成立企业可不填报。</w:t>
      </w:r>
    </w:p>
    <w:p w14:paraId="6DBE4A83">
      <w:pPr>
        <w:spacing w:line="588" w:lineRule="exact"/>
        <w:ind w:firstLine="504" w:firstLineChars="200"/>
        <w:jc w:val="right"/>
        <w:rPr>
          <w:rFonts w:ascii="宋体" w:hAnsi="宋体" w:cs="宋体"/>
          <w:spacing w:val="6"/>
          <w:sz w:val="24"/>
        </w:rPr>
        <w:sectPr>
          <w:footerReference r:id="rId16" w:type="default"/>
          <w:pgSz w:w="11906" w:h="16838"/>
          <w:pgMar w:top="1440" w:right="1803" w:bottom="1440" w:left="1803" w:header="851" w:footer="992" w:gutter="0"/>
          <w:cols w:space="720" w:num="1"/>
          <w:docGrid w:type="lines" w:linePitch="319" w:charSpace="0"/>
        </w:sectPr>
      </w:pPr>
    </w:p>
    <w:p w14:paraId="3B7EEDF3">
      <w:pPr>
        <w:pStyle w:val="11"/>
        <w:jc w:val="center"/>
        <w:rPr>
          <w:color w:val="auto"/>
        </w:rPr>
      </w:pPr>
      <w:r>
        <w:rPr>
          <w:rFonts w:hint="eastAsia"/>
          <w:color w:val="auto"/>
          <w:shd w:val="clear" w:color="auto" w:fill="FFFFFF"/>
        </w:rPr>
        <w:t>关于印发中小企业划型标准规定的通知</w:t>
      </w:r>
    </w:p>
    <w:p w14:paraId="0789C63F">
      <w:pPr>
        <w:pStyle w:val="20"/>
        <w:rPr>
          <w:color w:val="000000"/>
          <w:shd w:val="clear" w:color="auto" w:fill="FFFFFF"/>
        </w:rPr>
      </w:pPr>
      <w:r>
        <w:rPr>
          <w:rFonts w:hint="eastAsia"/>
          <w:color w:val="000000"/>
          <w:shd w:val="clear" w:color="auto" w:fill="FFFFFF"/>
        </w:rPr>
        <w:t>各省、自治区、直辖市人民政府，国务院各部委、各直属机构及有关单位：</w:t>
      </w:r>
    </w:p>
    <w:p w14:paraId="7B100CE6">
      <w:pPr>
        <w:pStyle w:val="20"/>
        <w:rPr>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CB40420">
      <w:pPr>
        <w:pStyle w:val="20"/>
        <w:rPr>
          <w:color w:val="000000"/>
          <w:shd w:val="clear" w:color="auto" w:fill="FFFFFF"/>
        </w:rPr>
      </w:pPr>
      <w:r>
        <w:rPr>
          <w:rFonts w:hint="eastAsia"/>
          <w:color w:val="000000"/>
          <w:shd w:val="clear" w:color="auto" w:fill="FFFFFF"/>
        </w:rPr>
        <w:t>　　　　　　　　　　　　　　　　　　　　　工业和信息化部　国家统计局</w:t>
      </w:r>
    </w:p>
    <w:p w14:paraId="1BD4B775">
      <w:pPr>
        <w:pStyle w:val="20"/>
        <w:rPr>
          <w:color w:val="000000"/>
          <w:shd w:val="clear" w:color="auto" w:fill="FFFFFF"/>
        </w:rPr>
      </w:pPr>
      <w:r>
        <w:rPr>
          <w:rFonts w:hint="eastAsia"/>
          <w:color w:val="000000"/>
          <w:shd w:val="clear" w:color="auto" w:fill="FFFFFF"/>
        </w:rPr>
        <w:t>　　　　　　　　　　　　　　　　　　　　国家发展和改革委员会　财政部</w:t>
      </w:r>
    </w:p>
    <w:p w14:paraId="4B1EC662">
      <w:pPr>
        <w:pStyle w:val="20"/>
        <w:rPr>
          <w:color w:val="000000"/>
        </w:rPr>
      </w:pPr>
      <w:r>
        <w:rPr>
          <w:rFonts w:hint="eastAsia"/>
          <w:color w:val="000000"/>
          <w:shd w:val="clear" w:color="auto" w:fill="FFFFFF"/>
        </w:rPr>
        <w:t>　　　　　　　　　　　　　　　　　　　　　　　　二○一一年六月十八日</w:t>
      </w:r>
    </w:p>
    <w:p w14:paraId="030B732A">
      <w:pPr>
        <w:pStyle w:val="20"/>
        <w:rPr>
          <w:color w:val="000000"/>
        </w:rPr>
      </w:pPr>
      <w:r>
        <w:rPr>
          <w:rFonts w:hint="eastAsia"/>
          <w:color w:val="000000"/>
          <w:shd w:val="clear" w:color="auto" w:fill="FFFFFF"/>
        </w:rPr>
        <w:t> </w:t>
      </w:r>
    </w:p>
    <w:p w14:paraId="6ADC939D">
      <w:pPr>
        <w:pStyle w:val="20"/>
        <w:jc w:val="center"/>
        <w:rPr>
          <w:rStyle w:val="27"/>
          <w:color w:val="000000"/>
          <w:sz w:val="36"/>
          <w:szCs w:val="36"/>
          <w:shd w:val="clear" w:color="auto" w:fill="FFFFFF"/>
        </w:rPr>
      </w:pPr>
      <w:r>
        <w:rPr>
          <w:rStyle w:val="27"/>
          <w:rFonts w:hint="eastAsia"/>
          <w:color w:val="000000"/>
          <w:sz w:val="36"/>
          <w:szCs w:val="36"/>
          <w:shd w:val="clear" w:color="auto" w:fill="FFFFFF"/>
        </w:rPr>
        <w:t>中小企业划型标准规定</w:t>
      </w:r>
    </w:p>
    <w:p w14:paraId="2FFCBEAF">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一、根据《中华人民共和国中小企业促进法》和《国务院关于进一步促进中小企业发展的若干意见》（国发〔2009〕36号），制定本规定。</w:t>
      </w:r>
    </w:p>
    <w:p w14:paraId="642EE94C">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二、中小企业划分为中型、小型、微型三种类型，具体标准根据企业从业人员、营业收入、资产总额等指标，结合行业特点制定。</w:t>
      </w:r>
    </w:p>
    <w:p w14:paraId="0E4CF2E9">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2D7290">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四、各行业划型标准为：</w:t>
      </w:r>
    </w:p>
    <w:p w14:paraId="0F244500">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0C0AD129">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52C6AC">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4CB147">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04A5F7">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41131A">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98E397">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C23572">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042A05B">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0437C4">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A7C793">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87AA81">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BA2C96">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EA1CF5">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BF7244">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472A81">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14:paraId="5A71D280">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五、企业类型的划分以统计部门的统计数据为依据。</w:t>
      </w:r>
    </w:p>
    <w:p w14:paraId="6FC442B5">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六、本规定适用于在中华人民共和国境内依法设立的各类所有制和各种组织形式的企业。个体工商户和本规定以外的行业，参照本规定进行划型。</w:t>
      </w:r>
    </w:p>
    <w:p w14:paraId="5A9A9331">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62E7111D">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八、本规定由工业和信息化部、国家统计局会同有关部门根据《国民经济行业分类》修订情况和企业发展变化情况适时修订。</w:t>
      </w:r>
    </w:p>
    <w:p w14:paraId="0106D417">
      <w:pPr>
        <w:spacing w:line="360" w:lineRule="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九、本规定由工业和信息化部、国家统计局会同有关部门负责解释。</w:t>
      </w:r>
    </w:p>
    <w:p w14:paraId="2D5F4E3F">
      <w:pPr>
        <w:spacing w:line="360" w:lineRule="auto"/>
        <w:sectPr>
          <w:footerReference r:id="rId17" w:type="default"/>
          <w:pgSz w:w="11906" w:h="16838"/>
          <w:pgMar w:top="1440" w:right="1803" w:bottom="1440" w:left="1803" w:header="851" w:footer="992" w:gutter="0"/>
          <w:cols w:space="720" w:num="1"/>
          <w:docGrid w:type="lines" w:linePitch="319" w:charSpace="0"/>
        </w:sectPr>
      </w:pPr>
      <w:r>
        <w:rPr>
          <w:rFonts w:hint="eastAsia" w:ascii="宋体" w:hAnsi="宋体" w:cs="宋体"/>
          <w:color w:val="000000"/>
          <w:sz w:val="24"/>
          <w:szCs w:val="24"/>
          <w:shd w:val="clear" w:color="auto" w:fill="FFFFFF"/>
        </w:rPr>
        <w:t>　　十、本规定自发布之日起执行，原国家经贸委、原国家计委、财政部和国家统计局2003年颁布的《中小企业标准暂行规定》同时废止。</w:t>
      </w:r>
    </w:p>
    <w:p w14:paraId="1FFF0719">
      <w:pPr>
        <w:pStyle w:val="3"/>
        <w:rPr>
          <w:rFonts w:ascii="宋体" w:hAnsi="宋体" w:cs="宋体"/>
        </w:rPr>
      </w:pPr>
      <w:bookmarkStart w:id="114" w:name="_Toc19970"/>
      <w:r>
        <w:rPr>
          <w:rFonts w:hint="eastAsia" w:ascii="宋体" w:hAnsi="宋体" w:cs="宋体"/>
        </w:rPr>
        <w:t>附件三、残疾人福利性单位声明</w:t>
      </w:r>
      <w:bookmarkEnd w:id="109"/>
      <w:bookmarkEnd w:id="114"/>
    </w:p>
    <w:p w14:paraId="004C452B">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14:paraId="37A9A008">
      <w:pPr>
        <w:rPr>
          <w:rFonts w:ascii="宋体" w:hAnsi="宋体" w:cs="宋体"/>
        </w:rPr>
      </w:pPr>
    </w:p>
    <w:p w14:paraId="2DAF9B2F">
      <w:pPr>
        <w:pStyle w:val="3"/>
        <w:rPr>
          <w:rFonts w:ascii="宋体" w:hAnsi="宋体" w:cs="宋体"/>
        </w:rPr>
      </w:pPr>
      <w:bookmarkStart w:id="115" w:name="_Toc21093"/>
      <w:bookmarkStart w:id="116" w:name="_Toc3053"/>
      <w:bookmarkStart w:id="117" w:name="_Toc25235"/>
      <w:bookmarkStart w:id="118" w:name="_Toc2723"/>
      <w:bookmarkStart w:id="119" w:name="_Toc26509"/>
      <w:r>
        <w:rPr>
          <w:rFonts w:hint="eastAsia" w:ascii="宋体" w:hAnsi="宋体" w:cs="宋体"/>
        </w:rPr>
        <w:t>附件四、监狱企业证明文件</w:t>
      </w:r>
      <w:bookmarkEnd w:id="115"/>
      <w:bookmarkEnd w:id="116"/>
      <w:bookmarkEnd w:id="117"/>
      <w:bookmarkEnd w:id="118"/>
      <w:bookmarkEnd w:id="119"/>
    </w:p>
    <w:p w14:paraId="443C4680">
      <w:pPr>
        <w:rPr>
          <w:rFonts w:ascii="宋体" w:hAnsi="宋体" w:cs="宋体"/>
        </w:rPr>
      </w:pPr>
    </w:p>
    <w:p w14:paraId="684A1F22">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5659E41">
      <w:pPr>
        <w:pStyle w:val="3"/>
        <w:adjustRightInd w:val="0"/>
        <w:spacing w:line="416" w:lineRule="atLeast"/>
        <w:textAlignment w:val="baseline"/>
        <w:rPr>
          <w:rFonts w:ascii="宋体" w:hAnsi="宋体" w:cs="宋体"/>
        </w:rPr>
      </w:pPr>
      <w:bookmarkStart w:id="120" w:name="_Toc13122"/>
      <w:bookmarkStart w:id="121" w:name="_Toc3267"/>
      <w:bookmarkStart w:id="122" w:name="_Toc25479"/>
      <w:bookmarkStart w:id="123" w:name="_Toc11969"/>
      <w:bookmarkStart w:id="124" w:name="_Toc563"/>
      <w:bookmarkStart w:id="125" w:name="_Toc19198"/>
      <w:bookmarkStart w:id="126" w:name="_Toc3398"/>
      <w:bookmarkStart w:id="127" w:name="_Toc2126"/>
      <w:r>
        <w:rPr>
          <w:rFonts w:hint="eastAsia" w:ascii="宋体" w:hAnsi="宋体" w:cs="宋体"/>
        </w:rPr>
        <w:t>附件五、“节能产品”“环境标志产品”证明材料</w:t>
      </w:r>
      <w:bookmarkEnd w:id="120"/>
      <w:bookmarkEnd w:id="121"/>
      <w:bookmarkEnd w:id="122"/>
      <w:bookmarkEnd w:id="123"/>
      <w:bookmarkEnd w:id="124"/>
      <w:bookmarkEnd w:id="125"/>
      <w:bookmarkEnd w:id="126"/>
      <w:bookmarkEnd w:id="127"/>
    </w:p>
    <w:p w14:paraId="40C455F7">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1.供应商提供的产品属于“节能产品”“环境标志产品”，应提供产品列入“节能产品”“环境标志产品”相应产品的国家确定的认证机构出具的、处于有效期内的节能产品、环境标志产品认证证书。</w:t>
      </w:r>
    </w:p>
    <w:p w14:paraId="2FBFC4DA">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2.未按照上述要求提供的，评审时不予考虑。</w:t>
      </w:r>
    </w:p>
    <w:p w14:paraId="10A3E4B5">
      <w:pPr>
        <w:snapToGrid w:val="0"/>
        <w:spacing w:line="360" w:lineRule="auto"/>
        <w:ind w:firstLine="480" w:firstLineChars="200"/>
        <w:rPr>
          <w:rFonts w:ascii="宋体" w:hAnsi="宋体" w:cs="宋体"/>
          <w:sz w:val="24"/>
          <w:szCs w:val="24"/>
        </w:rPr>
      </w:pPr>
    </w:p>
    <w:p w14:paraId="611FE2EE">
      <w:pPr>
        <w:spacing w:line="588" w:lineRule="exact"/>
        <w:ind w:firstLine="504" w:firstLineChars="200"/>
        <w:rPr>
          <w:rFonts w:ascii="宋体" w:hAnsi="宋体" w:cs="宋体"/>
          <w:spacing w:val="6"/>
          <w:sz w:val="24"/>
          <w:szCs w:val="24"/>
        </w:rPr>
      </w:pPr>
    </w:p>
    <w:p w14:paraId="061BB9A0">
      <w:pPr>
        <w:pStyle w:val="3"/>
        <w:adjustRightInd w:val="0"/>
        <w:spacing w:line="416" w:lineRule="atLeast"/>
        <w:textAlignment w:val="baseline"/>
        <w:rPr>
          <w:rFonts w:ascii="宋体" w:hAnsi="宋体" w:cs="宋体"/>
        </w:rPr>
        <w:sectPr>
          <w:footerReference r:id="rId18" w:type="default"/>
          <w:pgSz w:w="11906" w:h="16838"/>
          <w:pgMar w:top="1440" w:right="1803" w:bottom="1440" w:left="1803" w:header="851" w:footer="992" w:gutter="0"/>
          <w:cols w:space="720" w:num="1"/>
          <w:docGrid w:type="lines" w:linePitch="319" w:charSpace="0"/>
        </w:sectPr>
      </w:pPr>
    </w:p>
    <w:p w14:paraId="250B9908">
      <w:pPr>
        <w:pStyle w:val="3"/>
        <w:rPr>
          <w:rFonts w:ascii="宋体" w:hAnsi="宋体" w:cs="宋体"/>
        </w:rPr>
      </w:pPr>
      <w:bookmarkStart w:id="128" w:name="_Toc4414"/>
      <w:bookmarkStart w:id="129" w:name="_Toc2461"/>
      <w:bookmarkStart w:id="130" w:name="_Toc24855"/>
      <w:bookmarkStart w:id="131" w:name="_Toc23799"/>
      <w:bookmarkStart w:id="132" w:name="_Toc26351"/>
      <w:bookmarkStart w:id="133" w:name="_Toc17401"/>
      <w:r>
        <w:rPr>
          <w:rFonts w:hint="eastAsia" w:ascii="宋体" w:hAnsi="宋体" w:cs="宋体"/>
        </w:rPr>
        <w:t>附件六、质疑函范本</w:t>
      </w:r>
      <w:bookmarkEnd w:id="128"/>
      <w:bookmarkEnd w:id="129"/>
      <w:bookmarkEnd w:id="130"/>
      <w:bookmarkEnd w:id="131"/>
      <w:bookmarkEnd w:id="132"/>
      <w:bookmarkEnd w:id="133"/>
    </w:p>
    <w:p w14:paraId="0733E51F">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14:paraId="77F2AA29">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14:paraId="3BC122AB">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14:paraId="11519D2A">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14:paraId="37853651">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14:paraId="07A3DC18">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14:paraId="6BF0772E">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14:paraId="7182C67E">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14:paraId="35438DCE">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14:paraId="298E7D37">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14:paraId="2DBC24F7">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14:paraId="223750AE">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14:paraId="1822C33B">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14:paraId="5B99773D">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14:paraId="6FBFC855">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14:paraId="159A717A">
      <w:pPr>
        <w:widowControl/>
        <w:spacing w:line="360" w:lineRule="auto"/>
        <w:ind w:left="420" w:leftChars="200"/>
        <w:rPr>
          <w:rFonts w:ascii="宋体" w:hAnsi="宋体" w:cs="宋体"/>
          <w:sz w:val="24"/>
          <w:szCs w:val="24"/>
        </w:rPr>
      </w:pPr>
    </w:p>
    <w:p w14:paraId="0909DCB2">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14:paraId="52D048D3">
      <w:pPr>
        <w:widowControl/>
        <w:spacing w:line="360" w:lineRule="auto"/>
        <w:ind w:left="420" w:leftChars="200"/>
        <w:rPr>
          <w:rFonts w:ascii="宋体" w:hAnsi="宋体" w:cs="宋体"/>
          <w:sz w:val="24"/>
          <w:szCs w:val="24"/>
        </w:rPr>
      </w:pPr>
    </w:p>
    <w:p w14:paraId="5ACF0D4B">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14:paraId="679F2257">
      <w:pPr>
        <w:widowControl/>
        <w:spacing w:line="360" w:lineRule="auto"/>
        <w:ind w:left="420" w:leftChars="200"/>
        <w:rPr>
          <w:rFonts w:ascii="宋体" w:hAnsi="宋体" w:cs="宋体"/>
          <w:sz w:val="24"/>
          <w:szCs w:val="24"/>
        </w:rPr>
      </w:pPr>
      <w:r>
        <w:rPr>
          <w:rFonts w:hint="eastAsia" w:ascii="宋体" w:hAnsi="宋体" w:cs="宋体"/>
          <w:sz w:val="24"/>
          <w:szCs w:val="24"/>
        </w:rPr>
        <w:t>……</w:t>
      </w:r>
    </w:p>
    <w:p w14:paraId="01029441">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14:paraId="5C01EF77">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14:paraId="526691CC">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14:paraId="6EB6C88C">
      <w:pPr>
        <w:widowControl/>
        <w:spacing w:line="360" w:lineRule="auto"/>
        <w:ind w:left="420" w:leftChars="200"/>
        <w:rPr>
          <w:rFonts w:ascii="宋体" w:hAnsi="宋体" w:cs="宋体"/>
        </w:rPr>
      </w:pPr>
      <w:r>
        <w:rPr>
          <w:rFonts w:hint="eastAsia" w:ascii="宋体" w:hAnsi="宋体" w:cs="宋体"/>
          <w:sz w:val="24"/>
          <w:szCs w:val="24"/>
        </w:rPr>
        <w:t xml:space="preserve">日期：    </w:t>
      </w:r>
    </w:p>
    <w:p w14:paraId="011B85D9">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14:paraId="162DA3A9">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14:paraId="30B3C693">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14:paraId="2B489017">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25BF7C">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14:paraId="6A01BC46">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02C837AD">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14:paraId="43DE66FA">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14:paraId="00DB6271">
      <w:pPr>
        <w:pStyle w:val="3"/>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p w14:paraId="70CE7F23">
      <w:pPr>
        <w:pStyle w:val="3"/>
        <w:adjustRightInd w:val="0"/>
        <w:spacing w:line="416" w:lineRule="atLeast"/>
        <w:jc w:val="left"/>
        <w:textAlignment w:val="baseline"/>
        <w:rPr>
          <w:rFonts w:ascii="宋体" w:hAnsi="宋体" w:cs="宋体"/>
        </w:rPr>
      </w:pPr>
      <w:bookmarkStart w:id="134" w:name="_Toc27538"/>
      <w:r>
        <w:rPr>
          <w:rFonts w:hint="eastAsia" w:ascii="宋体" w:hAnsi="宋体" w:cs="宋体"/>
        </w:rPr>
        <w:t>附件</w:t>
      </w:r>
      <w:bookmarkEnd w:id="110"/>
      <w:bookmarkEnd w:id="111"/>
      <w:r>
        <w:rPr>
          <w:rFonts w:hint="eastAsia" w:ascii="宋体" w:hAnsi="宋体" w:cs="宋体"/>
        </w:rPr>
        <w:t>七、保证金退还账户信息确认表</w:t>
      </w:r>
      <w:bookmarkEnd w:id="112"/>
      <w:bookmarkEnd w:id="134"/>
      <w:bookmarkStart w:id="135" w:name="_Toc378248335"/>
    </w:p>
    <w:p w14:paraId="7858FFFF">
      <w:pPr>
        <w:rPr>
          <w:rFonts w:ascii="宋体" w:hAnsi="宋体" w:eastAsia="宋体" w:cs="宋体"/>
        </w:rPr>
      </w:pPr>
    </w:p>
    <w:bookmarkEnd w:id="0"/>
    <w:bookmarkEnd w:id="135"/>
    <w:p w14:paraId="58E0C049">
      <w:pPr>
        <w:rPr>
          <w:rFonts w:ascii="宋体" w:hAnsi="宋体" w:cs="宋体"/>
          <w:sz w:val="28"/>
          <w:szCs w:val="28"/>
        </w:rPr>
      </w:pPr>
      <w:bookmarkStart w:id="136" w:name="_Toc27416"/>
      <w:r>
        <w:rPr>
          <w:rFonts w:hint="eastAsia" w:ascii="宋体" w:hAnsi="宋体" w:cs="宋体"/>
          <w:sz w:val="28"/>
          <w:szCs w:val="28"/>
        </w:rPr>
        <w:t>项目名称：</w:t>
      </w:r>
      <w:r>
        <w:rPr>
          <w:rFonts w:hint="eastAsia" w:ascii="宋体" w:hAnsi="宋体" w:cs="宋体"/>
          <w:kern w:val="0"/>
          <w:sz w:val="24"/>
          <w:szCs w:val="24"/>
        </w:rPr>
        <w:t>_____________________________</w:t>
      </w:r>
      <w:bookmarkEnd w:id="136"/>
    </w:p>
    <w:p w14:paraId="08B82816">
      <w:pPr>
        <w:tabs>
          <w:tab w:val="center" w:pos="4150"/>
        </w:tabs>
        <w:rPr>
          <w:rFonts w:ascii="宋体" w:hAnsi="宋体" w:cs="宋体"/>
          <w:sz w:val="28"/>
          <w:szCs w:val="28"/>
        </w:rPr>
      </w:pPr>
      <w:bookmarkStart w:id="137" w:name="_Toc14801"/>
      <w:r>
        <w:rPr>
          <w:rFonts w:hint="eastAsia" w:ascii="宋体" w:hAnsi="宋体" w:cs="宋体"/>
          <w:sz w:val="28"/>
          <w:szCs w:val="28"/>
        </w:rPr>
        <w:t>项目编号：</w:t>
      </w:r>
      <w:r>
        <w:rPr>
          <w:rFonts w:hint="eastAsia" w:ascii="宋体" w:hAnsi="宋体" w:cs="宋体"/>
          <w:kern w:val="0"/>
          <w:sz w:val="24"/>
          <w:szCs w:val="24"/>
        </w:rPr>
        <w:t>_____________________________</w:t>
      </w:r>
      <w:bookmarkEnd w:id="137"/>
      <w:r>
        <w:rPr>
          <w:rFonts w:hint="eastAsia" w:ascii="宋体" w:hAnsi="宋体" w:cs="宋体"/>
          <w:sz w:val="28"/>
          <w:szCs w:val="28"/>
        </w:rPr>
        <w:tab/>
      </w:r>
    </w:p>
    <w:p w14:paraId="5251ADA9">
      <w:pPr>
        <w:pStyle w:val="22"/>
        <w:ind w:firstLine="210"/>
      </w:pPr>
    </w:p>
    <w:tbl>
      <w:tblPr>
        <w:tblStyle w:val="24"/>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14:paraId="5F7D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14:paraId="0227FB7A">
            <w:pPr>
              <w:jc w:val="center"/>
              <w:rPr>
                <w:rFonts w:ascii="宋体" w:hAnsi="宋体" w:cs="宋体"/>
                <w:sz w:val="24"/>
                <w:szCs w:val="24"/>
              </w:rPr>
            </w:pPr>
            <w:r>
              <w:rPr>
                <w:rFonts w:hint="eastAsia" w:ascii="宋体" w:hAnsi="宋体" w:cs="宋体"/>
                <w:sz w:val="24"/>
                <w:szCs w:val="24"/>
              </w:rPr>
              <w:t>应退响应保证金</w:t>
            </w:r>
          </w:p>
        </w:tc>
        <w:tc>
          <w:tcPr>
            <w:tcW w:w="6372" w:type="dxa"/>
            <w:gridSpan w:val="2"/>
          </w:tcPr>
          <w:p w14:paraId="2C083C89">
            <w:pPr>
              <w:rPr>
                <w:rFonts w:ascii="宋体" w:hAnsi="宋体" w:cs="宋体"/>
                <w:sz w:val="24"/>
                <w:szCs w:val="24"/>
              </w:rPr>
            </w:pPr>
            <w:r>
              <w:rPr>
                <w:rFonts w:hint="eastAsia" w:ascii="宋体" w:hAnsi="宋体" w:cs="宋体"/>
                <w:sz w:val="24"/>
                <w:szCs w:val="24"/>
              </w:rPr>
              <w:t>小  写：</w:t>
            </w:r>
          </w:p>
        </w:tc>
      </w:tr>
      <w:tr w14:paraId="42BA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14:paraId="1F0204CF">
            <w:pPr>
              <w:rPr>
                <w:rFonts w:ascii="宋体" w:hAnsi="宋体" w:cs="宋体"/>
                <w:sz w:val="24"/>
                <w:szCs w:val="24"/>
              </w:rPr>
            </w:pPr>
          </w:p>
        </w:tc>
        <w:tc>
          <w:tcPr>
            <w:tcW w:w="6372" w:type="dxa"/>
            <w:gridSpan w:val="2"/>
          </w:tcPr>
          <w:p w14:paraId="6D6C21DF">
            <w:pPr>
              <w:rPr>
                <w:rFonts w:ascii="宋体" w:hAnsi="宋体" w:cs="宋体"/>
                <w:sz w:val="24"/>
                <w:szCs w:val="24"/>
              </w:rPr>
            </w:pPr>
            <w:r>
              <w:rPr>
                <w:rFonts w:hint="eastAsia" w:ascii="宋体" w:hAnsi="宋体" w:cs="宋体"/>
                <w:sz w:val="24"/>
                <w:szCs w:val="24"/>
              </w:rPr>
              <w:t>大  写：</w:t>
            </w:r>
          </w:p>
        </w:tc>
      </w:tr>
      <w:tr w14:paraId="77E7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14:paraId="4D0C4574">
            <w:pPr>
              <w:rPr>
                <w:rFonts w:ascii="宋体" w:hAnsi="宋体" w:cs="宋体"/>
              </w:rPr>
            </w:pPr>
            <w:r>
              <w:rPr>
                <w:rFonts w:hint="eastAsia" w:ascii="宋体" w:hAnsi="宋体" w:cs="宋体"/>
              </w:rPr>
              <w:t>收款单位（盖章）</w:t>
            </w:r>
          </w:p>
        </w:tc>
        <w:tc>
          <w:tcPr>
            <w:tcW w:w="2370" w:type="dxa"/>
            <w:vAlign w:val="center"/>
          </w:tcPr>
          <w:p w14:paraId="153AFE47">
            <w:pPr>
              <w:jc w:val="center"/>
              <w:rPr>
                <w:rFonts w:ascii="宋体" w:hAnsi="宋体" w:cs="宋体"/>
                <w:sz w:val="24"/>
                <w:szCs w:val="24"/>
              </w:rPr>
            </w:pPr>
            <w:r>
              <w:rPr>
                <w:rFonts w:hint="eastAsia" w:ascii="宋体" w:hAnsi="宋体" w:cs="宋体"/>
                <w:sz w:val="24"/>
                <w:szCs w:val="24"/>
              </w:rPr>
              <w:t>单  位 名 称</w:t>
            </w:r>
          </w:p>
        </w:tc>
        <w:tc>
          <w:tcPr>
            <w:tcW w:w="4002" w:type="dxa"/>
          </w:tcPr>
          <w:p w14:paraId="4FF034E9">
            <w:pPr>
              <w:rPr>
                <w:rFonts w:ascii="宋体" w:hAnsi="宋体" w:cs="宋体"/>
                <w:sz w:val="24"/>
                <w:szCs w:val="24"/>
              </w:rPr>
            </w:pPr>
          </w:p>
        </w:tc>
      </w:tr>
      <w:tr w14:paraId="184ED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14:paraId="4BFE621D">
            <w:pPr>
              <w:rPr>
                <w:rFonts w:ascii="宋体" w:hAnsi="宋体" w:cs="宋体"/>
                <w:sz w:val="24"/>
                <w:szCs w:val="24"/>
              </w:rPr>
            </w:pPr>
          </w:p>
        </w:tc>
        <w:tc>
          <w:tcPr>
            <w:tcW w:w="2370" w:type="dxa"/>
            <w:vAlign w:val="center"/>
          </w:tcPr>
          <w:p w14:paraId="70754980">
            <w:pPr>
              <w:jc w:val="center"/>
              <w:rPr>
                <w:rFonts w:ascii="宋体" w:hAnsi="宋体" w:cs="宋体"/>
                <w:sz w:val="24"/>
                <w:szCs w:val="24"/>
              </w:rPr>
            </w:pPr>
            <w:r>
              <w:rPr>
                <w:rFonts w:hint="eastAsia" w:ascii="宋体" w:hAnsi="宋体" w:cs="宋体"/>
                <w:sz w:val="24"/>
                <w:szCs w:val="24"/>
              </w:rPr>
              <w:t>开   户   行</w:t>
            </w:r>
          </w:p>
        </w:tc>
        <w:tc>
          <w:tcPr>
            <w:tcW w:w="4002" w:type="dxa"/>
          </w:tcPr>
          <w:p w14:paraId="60BB1523">
            <w:pPr>
              <w:rPr>
                <w:rFonts w:ascii="宋体" w:hAnsi="宋体" w:cs="宋体"/>
                <w:sz w:val="24"/>
                <w:szCs w:val="24"/>
              </w:rPr>
            </w:pPr>
          </w:p>
        </w:tc>
      </w:tr>
      <w:tr w14:paraId="2DB70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14:paraId="133DA1E9">
            <w:pPr>
              <w:rPr>
                <w:rFonts w:ascii="宋体" w:hAnsi="宋体" w:cs="宋体"/>
                <w:sz w:val="24"/>
                <w:szCs w:val="24"/>
              </w:rPr>
            </w:pPr>
          </w:p>
        </w:tc>
        <w:tc>
          <w:tcPr>
            <w:tcW w:w="2370" w:type="dxa"/>
            <w:vAlign w:val="center"/>
          </w:tcPr>
          <w:p w14:paraId="3105F6AD">
            <w:pPr>
              <w:jc w:val="center"/>
              <w:rPr>
                <w:rFonts w:ascii="宋体" w:hAnsi="宋体" w:cs="宋体"/>
                <w:sz w:val="24"/>
                <w:szCs w:val="24"/>
              </w:rPr>
            </w:pPr>
            <w:r>
              <w:rPr>
                <w:rFonts w:hint="eastAsia" w:ascii="宋体" w:hAnsi="宋体" w:cs="宋体"/>
                <w:sz w:val="24"/>
                <w:szCs w:val="24"/>
              </w:rPr>
              <w:t>账        号</w:t>
            </w:r>
          </w:p>
        </w:tc>
        <w:tc>
          <w:tcPr>
            <w:tcW w:w="4002" w:type="dxa"/>
          </w:tcPr>
          <w:p w14:paraId="316FA533">
            <w:pPr>
              <w:rPr>
                <w:rFonts w:ascii="宋体" w:hAnsi="宋体" w:cs="宋体"/>
                <w:sz w:val="24"/>
                <w:szCs w:val="24"/>
              </w:rPr>
            </w:pPr>
          </w:p>
        </w:tc>
      </w:tr>
      <w:tr w14:paraId="7F8DA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14:paraId="666CE8C0">
            <w:pPr>
              <w:rPr>
                <w:rFonts w:ascii="宋体" w:hAnsi="宋体" w:cs="宋体"/>
                <w:sz w:val="24"/>
                <w:szCs w:val="24"/>
              </w:rPr>
            </w:pPr>
          </w:p>
        </w:tc>
        <w:tc>
          <w:tcPr>
            <w:tcW w:w="2370" w:type="dxa"/>
            <w:vAlign w:val="center"/>
          </w:tcPr>
          <w:p w14:paraId="7E0D6A0E">
            <w:pPr>
              <w:jc w:val="center"/>
              <w:rPr>
                <w:rFonts w:ascii="宋体" w:hAnsi="宋体" w:cs="宋体"/>
                <w:sz w:val="24"/>
                <w:szCs w:val="24"/>
              </w:rPr>
            </w:pPr>
            <w:r>
              <w:rPr>
                <w:rFonts w:hint="eastAsia" w:ascii="宋体" w:hAnsi="宋体" w:cs="宋体"/>
                <w:sz w:val="24"/>
                <w:szCs w:val="24"/>
              </w:rPr>
              <w:t>联系人及电话</w:t>
            </w:r>
          </w:p>
        </w:tc>
        <w:tc>
          <w:tcPr>
            <w:tcW w:w="4002" w:type="dxa"/>
          </w:tcPr>
          <w:p w14:paraId="5F0595B9">
            <w:pPr>
              <w:rPr>
                <w:rFonts w:ascii="宋体" w:hAnsi="宋体" w:cs="宋体"/>
                <w:sz w:val="24"/>
                <w:szCs w:val="24"/>
              </w:rPr>
            </w:pPr>
          </w:p>
        </w:tc>
      </w:tr>
    </w:tbl>
    <w:p w14:paraId="5B92B520">
      <w:pPr>
        <w:keepNext/>
        <w:keepLines/>
        <w:adjustRightInd w:val="0"/>
        <w:spacing w:line="480" w:lineRule="auto"/>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w:t>
      </w:r>
    </w:p>
    <w:p w14:paraId="20B6DA51">
      <w:pPr>
        <w:adjustRightInd w:val="0"/>
        <w:snapToGrid w:val="0"/>
        <w:spacing w:line="480" w:lineRule="auto"/>
        <w:rPr>
          <w:rFonts w:ascii="宋体" w:hAnsi="宋体" w:cs="宋体"/>
          <w:b/>
          <w:bCs/>
          <w:sz w:val="24"/>
          <w:szCs w:val="24"/>
        </w:rPr>
      </w:pPr>
    </w:p>
    <w:p w14:paraId="2B41809C">
      <w:pPr>
        <w:adjustRightInd w:val="0"/>
        <w:snapToGrid w:val="0"/>
        <w:spacing w:line="48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保证金汇款凭证复印件加盖公章一并交给工作人员，当天未提交保证金退还账户信息确认表与保证金汇款凭证复印件加盖公章的供应商，在开标后自行找财务办理保证金退还手续。</w:t>
      </w:r>
    </w:p>
    <w:p w14:paraId="24F3D64E">
      <w:pPr>
        <w:ind w:firstLine="819" w:firstLineChars="100"/>
        <w:jc w:val="left"/>
        <w:rPr>
          <w:rFonts w:ascii="宋体" w:hAnsi="宋体" w:cs="宋体"/>
          <w:b/>
          <w:spacing w:val="48"/>
          <w:sz w:val="72"/>
          <w:szCs w:val="72"/>
        </w:rPr>
        <w:sectPr>
          <w:headerReference r:id="rId19" w:type="default"/>
          <w:footerReference r:id="rId20" w:type="default"/>
          <w:pgSz w:w="11906" w:h="16838"/>
          <w:pgMar w:top="1440" w:right="1803" w:bottom="1440" w:left="1803" w:header="851" w:footer="992" w:gutter="0"/>
          <w:cols w:space="720" w:num="1"/>
          <w:docGrid w:type="lines" w:linePitch="319" w:charSpace="0"/>
        </w:sectPr>
      </w:pPr>
    </w:p>
    <w:p w14:paraId="5043C8B8">
      <w:pPr>
        <w:ind w:firstLine="819" w:firstLineChars="100"/>
        <w:jc w:val="left"/>
        <w:rPr>
          <w:rFonts w:ascii="宋体" w:cs="宋体"/>
          <w:b/>
          <w:spacing w:val="48"/>
          <w:sz w:val="72"/>
          <w:szCs w:val="72"/>
        </w:rPr>
      </w:pPr>
      <w:r>
        <w:rPr>
          <w:rFonts w:hint="eastAsia" w:ascii="宋体" w:hAnsi="宋体" w:cs="宋体"/>
          <w:b/>
          <w:spacing w:val="48"/>
          <w:sz w:val="72"/>
          <w:szCs w:val="72"/>
        </w:rPr>
        <w:t>公平       公正</w:t>
      </w:r>
    </w:p>
    <w:p w14:paraId="751F5363">
      <w:pPr>
        <w:jc w:val="left"/>
        <w:rPr>
          <w:rFonts w:ascii="宋体" w:cs="宋体"/>
          <w:b/>
          <w:spacing w:val="48"/>
          <w:sz w:val="72"/>
          <w:szCs w:val="72"/>
        </w:rPr>
      </w:pPr>
    </w:p>
    <w:p w14:paraId="773FF3B0">
      <w:pPr>
        <w:rPr>
          <w:rFonts w:ascii="宋体" w:cs="宋体"/>
          <w:spacing w:val="48"/>
          <w:sz w:val="72"/>
          <w:szCs w:val="72"/>
        </w:rPr>
      </w:pPr>
    </w:p>
    <w:p w14:paraId="085E2188"/>
    <w:p w14:paraId="7CC49153">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14:paraId="6550DB79">
      <w:pPr>
        <w:rPr>
          <w:rFonts w:ascii="宋体" w:hAnsi="宋体" w:cs="宋体"/>
          <w:spacing w:val="48"/>
          <w:sz w:val="72"/>
          <w:szCs w:val="72"/>
        </w:rPr>
      </w:pPr>
    </w:p>
    <w:p w14:paraId="34DF8DB6">
      <w:pPr>
        <w:rPr>
          <w:rFonts w:ascii="宋体" w:hAnsi="宋体" w:cs="宋体"/>
          <w:spacing w:val="48"/>
          <w:sz w:val="72"/>
          <w:szCs w:val="72"/>
        </w:rPr>
      </w:pPr>
    </w:p>
    <w:p w14:paraId="41488E33">
      <w:pPr>
        <w:pStyle w:val="9"/>
        <w:rPr>
          <w:rFonts w:ascii="宋体" w:hAnsi="宋体" w:cs="宋体"/>
          <w:spacing w:val="48"/>
          <w:sz w:val="72"/>
          <w:szCs w:val="72"/>
        </w:rPr>
      </w:pPr>
    </w:p>
    <w:p w14:paraId="591D13F2">
      <w:pPr>
        <w:rPr>
          <w:rFonts w:ascii="宋体" w:hAnsi="宋体" w:cs="宋体"/>
          <w:spacing w:val="48"/>
          <w:sz w:val="72"/>
          <w:szCs w:val="72"/>
        </w:rPr>
      </w:pPr>
    </w:p>
    <w:p w14:paraId="57E4B3D9">
      <w:pPr>
        <w:pStyle w:val="9"/>
        <w:rPr>
          <w:rFonts w:ascii="宋体" w:hAnsi="宋体" w:cs="宋体"/>
          <w:spacing w:val="48"/>
          <w:sz w:val="72"/>
          <w:szCs w:val="72"/>
        </w:rPr>
      </w:pPr>
    </w:p>
    <w:p w14:paraId="142FC4B5"/>
    <w:p w14:paraId="14EF18DA"/>
    <w:p w14:paraId="45162655">
      <w:pPr>
        <w:pStyle w:val="5"/>
        <w:rPr>
          <w:rFonts w:hint="default"/>
        </w:rPr>
      </w:pPr>
    </w:p>
    <w:p w14:paraId="271A9F6B"/>
    <w:p w14:paraId="57010C06">
      <w:pPr>
        <w:rPr>
          <w:rFonts w:ascii="宋体" w:cs="宋体"/>
          <w:b/>
          <w:sz w:val="28"/>
          <w:szCs w:val="28"/>
        </w:rPr>
      </w:pPr>
      <w:r>
        <w:rPr>
          <w:rFonts w:hint="eastAsia" w:ascii="宋体" w:hAnsi="宋体" w:cs="宋体"/>
          <w:b/>
          <w:sz w:val="28"/>
          <w:szCs w:val="28"/>
        </w:rPr>
        <w:t>企业名称：陕西卓佲项目管理有限公司</w:t>
      </w:r>
    </w:p>
    <w:p w14:paraId="0170B1F4">
      <w:pPr>
        <w:rPr>
          <w:rFonts w:ascii="宋体" w:cs="宋体"/>
          <w:b/>
          <w:sz w:val="28"/>
          <w:szCs w:val="28"/>
        </w:rPr>
      </w:pPr>
      <w:r>
        <w:rPr>
          <w:rFonts w:hint="eastAsia" w:ascii="宋体" w:hAnsi="宋体" w:cs="宋体"/>
          <w:b/>
          <w:sz w:val="28"/>
          <w:szCs w:val="28"/>
        </w:rPr>
        <w:t>地址：西安市雁塔区科技路 30号合力紫郡B座21层</w:t>
      </w:r>
    </w:p>
    <w:p w14:paraId="63576BE1">
      <w:pPr>
        <w:rPr>
          <w:rFonts w:ascii="宋体" w:cs="宋体"/>
          <w:b/>
          <w:sz w:val="28"/>
          <w:szCs w:val="28"/>
        </w:rPr>
      </w:pPr>
      <w:r>
        <w:rPr>
          <w:rFonts w:hint="eastAsia" w:ascii="宋体" w:hAnsi="宋体" w:cs="宋体"/>
          <w:b/>
          <w:sz w:val="28"/>
          <w:szCs w:val="28"/>
        </w:rPr>
        <w:t>邮政编码：</w:t>
      </w:r>
      <w:r>
        <w:rPr>
          <w:rFonts w:ascii="宋体" w:hAnsi="宋体" w:cs="宋体"/>
          <w:b/>
          <w:sz w:val="28"/>
          <w:szCs w:val="28"/>
        </w:rPr>
        <w:t>7100</w:t>
      </w:r>
      <w:r>
        <w:rPr>
          <w:rFonts w:hint="eastAsia" w:ascii="宋体" w:hAnsi="宋体" w:cs="宋体"/>
          <w:b/>
          <w:sz w:val="28"/>
          <w:szCs w:val="28"/>
        </w:rPr>
        <w:t>65</w:t>
      </w:r>
    </w:p>
    <w:p w14:paraId="41E7D03C">
      <w:pPr>
        <w:rPr>
          <w:rFonts w:ascii="宋体" w:cs="宋体"/>
          <w:b/>
          <w:sz w:val="28"/>
          <w:szCs w:val="28"/>
        </w:rPr>
      </w:pPr>
      <w:r>
        <w:rPr>
          <w:rFonts w:hint="eastAsia" w:ascii="宋体" w:hAnsi="宋体" w:cs="宋体"/>
          <w:b/>
          <w:sz w:val="28"/>
          <w:szCs w:val="28"/>
        </w:rPr>
        <w:t>电话：029-81875979</w:t>
      </w:r>
    </w:p>
    <w:p w14:paraId="3E0DCC3D">
      <w:pPr>
        <w:rPr>
          <w:rFonts w:ascii="宋体" w:hAnsi="宋体" w:eastAsia="宋体" w:cs="宋体"/>
          <w:sz w:val="20"/>
          <w:szCs w:val="21"/>
        </w:rPr>
      </w:pPr>
      <w:r>
        <w:rPr>
          <w:rFonts w:hint="eastAsia" w:ascii="宋体" w:hAnsi="宋体" w:cs="宋体"/>
          <w:b/>
          <w:sz w:val="28"/>
          <w:szCs w:val="28"/>
        </w:rPr>
        <w:t>传真：029-81875979</w:t>
      </w:r>
    </w:p>
    <w:sectPr>
      <w:footerReference r:id="rId21"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2AAE">
    <w:pPr>
      <w:pStyle w:val="14"/>
      <w:jc w:val="right"/>
      <w:rPr>
        <w:rFonts w:ascii="宋体" w:hAnsi="宋体" w:cs="宋体"/>
      </w:rPr>
    </w:pP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6A1B">
    <w:pPr>
      <w:pStyle w:val="14"/>
      <w:tabs>
        <w:tab w:val="center" w:pos="4150"/>
        <w:tab w:val="right" w:pos="8420"/>
        <w:tab w:val="clear" w:pos="4153"/>
      </w:tabs>
      <w:rPr>
        <w:rFonts w:ascii="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C6820">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0CC6820">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2B6D">
    <w:pPr>
      <w:pStyle w:val="14"/>
      <w:tabs>
        <w:tab w:val="center" w:pos="4150"/>
        <w:tab w:val="right" w:pos="8420"/>
        <w:tab w:val="clear" w:pos="4153"/>
      </w:tabs>
      <w:rPr>
        <w:rFonts w:ascii="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64E62">
                          <w:pPr>
                            <w:pStyle w:val="14"/>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3064E62">
                    <w:pPr>
                      <w:pStyle w:val="14"/>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D2D9">
    <w:pPr>
      <w:pStyle w:val="14"/>
      <w:tabs>
        <w:tab w:val="center" w:pos="4150"/>
        <w:tab w:val="right" w:pos="8420"/>
        <w:tab w:val="clear" w:pos="4153"/>
      </w:tabs>
      <w:rPr>
        <w:rFonts w:asci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92A90E">
                          <w:pPr>
                            <w:pStyle w:val="14"/>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1292A90E">
                    <w:pPr>
                      <w:pStyle w:val="14"/>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F817">
    <w:pPr>
      <w:pStyle w:val="14"/>
      <w:tabs>
        <w:tab w:val="center" w:pos="4150"/>
        <w:tab w:val="right" w:pos="8420"/>
        <w:tab w:val="clear" w:pos="4153"/>
      </w:tabs>
      <w:rPr>
        <w:rFonts w:ascii="宋体" w:cs="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01B251">
                          <w:pPr>
                            <w:pStyle w:val="14"/>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1801B251">
                    <w:pPr>
                      <w:pStyle w:val="14"/>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1BA6">
    <w:pPr>
      <w:pStyle w:val="14"/>
      <w:tabs>
        <w:tab w:val="center" w:pos="4150"/>
        <w:tab w:val="right" w:pos="8420"/>
        <w:tab w:val="clear" w:pos="4153"/>
      </w:tabs>
      <w:rPr>
        <w:rFonts w:ascii="宋体" w:cs="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7A1D10">
                          <w:pPr>
                            <w:pStyle w:val="14"/>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467A1D10">
                    <w:pPr>
                      <w:pStyle w:val="14"/>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4981">
    <w:pPr>
      <w:pStyle w:val="14"/>
      <w:tabs>
        <w:tab w:val="right" w:pos="8426"/>
      </w:tabs>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2DF4">
    <w:pPr>
      <w:pStyle w:val="14"/>
      <w:tabs>
        <w:tab w:val="right" w:pos="8426"/>
      </w:tabs>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0C2028">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C0C2028">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FE0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56C7F0">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956C7F0">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494A">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D13C59">
                          <w:pPr>
                            <w:pStyle w:val="14"/>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9D13C59">
                    <w:pPr>
                      <w:pStyle w:val="14"/>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3723">
    <w:pPr>
      <w:pStyle w:val="14"/>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63F113">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1D63F113">
                    <w:pPr>
                      <w:pStyle w:val="14"/>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5D80">
    <w:pPr>
      <w:pStyle w:val="14"/>
      <w:tabs>
        <w:tab w:val="center" w:pos="4150"/>
        <w:tab w:val="right" w:pos="8420"/>
        <w:tab w:val="clear" w:pos="4153"/>
      </w:tabs>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44F740">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944F740">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A7BA">
    <w:pPr>
      <w:pStyle w:val="14"/>
      <w:tabs>
        <w:tab w:val="center" w:pos="4150"/>
        <w:tab w:val="right" w:pos="8420"/>
        <w:tab w:val="clear" w:pos="4153"/>
      </w:tabs>
      <w:rPr>
        <w:rFonts w:asci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A03D8B">
                          <w:pPr>
                            <w:pStyle w:val="14"/>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08A03D8B">
                    <w:pPr>
                      <w:pStyle w:val="14"/>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9541">
    <w:pPr>
      <w:pStyle w:val="14"/>
      <w:tabs>
        <w:tab w:val="center" w:pos="4150"/>
        <w:tab w:val="right" w:pos="8420"/>
        <w:tab w:val="clear" w:pos="4153"/>
      </w:tabs>
      <w:rPr>
        <w:rFonts w:asci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B08281">
                          <w:pPr>
                            <w:pStyle w:val="14"/>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12B08281">
                    <w:pPr>
                      <w:pStyle w:val="14"/>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r>
      <w:rPr>
        <w:rFonts w:ascii="宋体"/>
      </w:rPr>
      <w:tab/>
    </w:r>
    <w:r>
      <w:rPr>
        <w:rFonts w:asci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CD0C">
    <w:pPr>
      <w:adjustRightInd w:val="0"/>
      <w:snapToGrid w:val="0"/>
      <w:spacing w:line="360" w:lineRule="auto"/>
      <w:jc w:val="left"/>
    </w:pPr>
    <w:r>
      <w:rPr>
        <w:rFonts w:hint="eastAsia" w:ascii="宋体" w:hAnsi="宋体" w:cs="宋体"/>
        <w:sz w:val="15"/>
        <w:szCs w:val="15"/>
        <w:u w:val="single"/>
      </w:rPr>
      <w:t>陕西开放大学气相色谱仪采购项目                                                     ZMZB2025HKXY-46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F39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9440">
    <w:pPr>
      <w:adjustRightInd w:val="0"/>
      <w:snapToGrid w:val="0"/>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EFEC">
    <w:pPr>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9F62">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8D586"/>
    <w:multiLevelType w:val="singleLevel"/>
    <w:tmpl w:val="D6D8D586"/>
    <w:lvl w:ilvl="0" w:tentative="0">
      <w:start w:val="8"/>
      <w:numFmt w:val="decimal"/>
      <w:suff w:val="nothing"/>
      <w:lvlText w:val="%1、"/>
      <w:lvlJc w:val="left"/>
    </w:lvl>
  </w:abstractNum>
  <w:abstractNum w:abstractNumId="1">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2">
    <w:nsid w:val="58BE4ABA"/>
    <w:multiLevelType w:val="singleLevel"/>
    <w:tmpl w:val="58BE4ABA"/>
    <w:lvl w:ilvl="0" w:tentative="0">
      <w:start w:val="1"/>
      <w:numFmt w:val="decimal"/>
      <w:pStyle w:val="4"/>
      <w:suff w:val="nothing"/>
      <w:lvlText w:val="%1、"/>
      <w:lvlJc w:val="left"/>
      <w:pPr>
        <w:ind w:left="0" w:firstLine="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TZmMjFkMmJiNDk4NmZjYzQ4MjNjZTBlY2VmMWUifQ=="/>
    <w:docVar w:name="KSO_WPS_MARK_KEY" w:val="0e3daa21-eab4-401c-b079-ece77c093f42"/>
  </w:docVars>
  <w:rsids>
    <w:rsidRoot w:val="73D96FF7"/>
    <w:rsid w:val="000211C9"/>
    <w:rsid w:val="000231DC"/>
    <w:rsid w:val="00023390"/>
    <w:rsid w:val="000238BB"/>
    <w:rsid w:val="00033E46"/>
    <w:rsid w:val="00034CB8"/>
    <w:rsid w:val="000447C6"/>
    <w:rsid w:val="00050E3A"/>
    <w:rsid w:val="00051C70"/>
    <w:rsid w:val="0006579C"/>
    <w:rsid w:val="00067E50"/>
    <w:rsid w:val="0007496A"/>
    <w:rsid w:val="00075A4D"/>
    <w:rsid w:val="00084123"/>
    <w:rsid w:val="0009091C"/>
    <w:rsid w:val="000930F9"/>
    <w:rsid w:val="00093688"/>
    <w:rsid w:val="00094D6D"/>
    <w:rsid w:val="00096BFC"/>
    <w:rsid w:val="000A28E9"/>
    <w:rsid w:val="000B2B5F"/>
    <w:rsid w:val="000B54D7"/>
    <w:rsid w:val="000C078D"/>
    <w:rsid w:val="000C494B"/>
    <w:rsid w:val="000D07D2"/>
    <w:rsid w:val="000D77B0"/>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C6002"/>
    <w:rsid w:val="001D7C98"/>
    <w:rsid w:val="0020496B"/>
    <w:rsid w:val="002056B6"/>
    <w:rsid w:val="002129A4"/>
    <w:rsid w:val="00215036"/>
    <w:rsid w:val="0021740C"/>
    <w:rsid w:val="00217AC1"/>
    <w:rsid w:val="00223417"/>
    <w:rsid w:val="00231B14"/>
    <w:rsid w:val="00235885"/>
    <w:rsid w:val="00270726"/>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773D"/>
    <w:rsid w:val="0035259F"/>
    <w:rsid w:val="00353817"/>
    <w:rsid w:val="003572BD"/>
    <w:rsid w:val="003612FE"/>
    <w:rsid w:val="00366AA2"/>
    <w:rsid w:val="0038235A"/>
    <w:rsid w:val="003862A4"/>
    <w:rsid w:val="00393768"/>
    <w:rsid w:val="003A607D"/>
    <w:rsid w:val="003E23A6"/>
    <w:rsid w:val="003E3530"/>
    <w:rsid w:val="003F3F76"/>
    <w:rsid w:val="003F6452"/>
    <w:rsid w:val="00405C58"/>
    <w:rsid w:val="00440843"/>
    <w:rsid w:val="00442960"/>
    <w:rsid w:val="00463043"/>
    <w:rsid w:val="0046375D"/>
    <w:rsid w:val="00483AF6"/>
    <w:rsid w:val="0048715E"/>
    <w:rsid w:val="004A6288"/>
    <w:rsid w:val="004B74EA"/>
    <w:rsid w:val="004C20E4"/>
    <w:rsid w:val="004E0DB0"/>
    <w:rsid w:val="004E1511"/>
    <w:rsid w:val="004E727F"/>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B0FDD"/>
    <w:rsid w:val="005C3C4A"/>
    <w:rsid w:val="005C70B4"/>
    <w:rsid w:val="005D2B92"/>
    <w:rsid w:val="005E2DE4"/>
    <w:rsid w:val="005F155C"/>
    <w:rsid w:val="005F7BCF"/>
    <w:rsid w:val="006050B9"/>
    <w:rsid w:val="0061645E"/>
    <w:rsid w:val="00622B85"/>
    <w:rsid w:val="006266A4"/>
    <w:rsid w:val="0062740F"/>
    <w:rsid w:val="00627D03"/>
    <w:rsid w:val="006553C8"/>
    <w:rsid w:val="00672E94"/>
    <w:rsid w:val="006742B1"/>
    <w:rsid w:val="00676AE8"/>
    <w:rsid w:val="00687D5E"/>
    <w:rsid w:val="00696708"/>
    <w:rsid w:val="006A08BB"/>
    <w:rsid w:val="006A0EE3"/>
    <w:rsid w:val="006A3EA7"/>
    <w:rsid w:val="006B5E79"/>
    <w:rsid w:val="006C1797"/>
    <w:rsid w:val="006C2480"/>
    <w:rsid w:val="006C6460"/>
    <w:rsid w:val="006D0D2F"/>
    <w:rsid w:val="006D1BC7"/>
    <w:rsid w:val="006D2940"/>
    <w:rsid w:val="006D460F"/>
    <w:rsid w:val="006E0B29"/>
    <w:rsid w:val="006E40E0"/>
    <w:rsid w:val="006F3C69"/>
    <w:rsid w:val="006F5317"/>
    <w:rsid w:val="006F5396"/>
    <w:rsid w:val="006F5D6F"/>
    <w:rsid w:val="006F6DCE"/>
    <w:rsid w:val="00714BDE"/>
    <w:rsid w:val="0072263E"/>
    <w:rsid w:val="007312B5"/>
    <w:rsid w:val="00732B2E"/>
    <w:rsid w:val="00734FA9"/>
    <w:rsid w:val="0073574E"/>
    <w:rsid w:val="00736C47"/>
    <w:rsid w:val="00765CB7"/>
    <w:rsid w:val="00772F53"/>
    <w:rsid w:val="00792EC9"/>
    <w:rsid w:val="007971D3"/>
    <w:rsid w:val="007A7755"/>
    <w:rsid w:val="007B0C1D"/>
    <w:rsid w:val="007B1DB3"/>
    <w:rsid w:val="007B3CC8"/>
    <w:rsid w:val="007B3DE2"/>
    <w:rsid w:val="007B710E"/>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408C9"/>
    <w:rsid w:val="00A438FC"/>
    <w:rsid w:val="00A44779"/>
    <w:rsid w:val="00A46C3A"/>
    <w:rsid w:val="00A50364"/>
    <w:rsid w:val="00A536EE"/>
    <w:rsid w:val="00A55CE7"/>
    <w:rsid w:val="00A70F35"/>
    <w:rsid w:val="00A93A06"/>
    <w:rsid w:val="00A955D8"/>
    <w:rsid w:val="00AA033B"/>
    <w:rsid w:val="00AA4076"/>
    <w:rsid w:val="00AA607D"/>
    <w:rsid w:val="00AB0507"/>
    <w:rsid w:val="00AB1511"/>
    <w:rsid w:val="00AD6B7E"/>
    <w:rsid w:val="00AE5665"/>
    <w:rsid w:val="00AE78B4"/>
    <w:rsid w:val="00AF3A88"/>
    <w:rsid w:val="00AF3FFC"/>
    <w:rsid w:val="00B17480"/>
    <w:rsid w:val="00B208CC"/>
    <w:rsid w:val="00B22AA5"/>
    <w:rsid w:val="00B32208"/>
    <w:rsid w:val="00B5790B"/>
    <w:rsid w:val="00B61634"/>
    <w:rsid w:val="00B63E6C"/>
    <w:rsid w:val="00B6588D"/>
    <w:rsid w:val="00B92C9A"/>
    <w:rsid w:val="00B94DB5"/>
    <w:rsid w:val="00BA6328"/>
    <w:rsid w:val="00BA7223"/>
    <w:rsid w:val="00BB63E2"/>
    <w:rsid w:val="00BC7B00"/>
    <w:rsid w:val="00BD20A7"/>
    <w:rsid w:val="00BD21CE"/>
    <w:rsid w:val="00BE0B22"/>
    <w:rsid w:val="00BF25D2"/>
    <w:rsid w:val="00C0007F"/>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752E3"/>
    <w:rsid w:val="00D8338D"/>
    <w:rsid w:val="00D9385B"/>
    <w:rsid w:val="00DB2477"/>
    <w:rsid w:val="00DB7527"/>
    <w:rsid w:val="00DC68B6"/>
    <w:rsid w:val="00DE0A1E"/>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1859"/>
    <w:rsid w:val="00E661CC"/>
    <w:rsid w:val="00E72E0D"/>
    <w:rsid w:val="00E73867"/>
    <w:rsid w:val="00E75DBC"/>
    <w:rsid w:val="00E814EC"/>
    <w:rsid w:val="00E844BB"/>
    <w:rsid w:val="00E86E4B"/>
    <w:rsid w:val="00E90711"/>
    <w:rsid w:val="00EA2EE5"/>
    <w:rsid w:val="00EA7A49"/>
    <w:rsid w:val="00EB54D7"/>
    <w:rsid w:val="00F1148E"/>
    <w:rsid w:val="00F11A9A"/>
    <w:rsid w:val="00F1478D"/>
    <w:rsid w:val="00F1601A"/>
    <w:rsid w:val="00F35029"/>
    <w:rsid w:val="00F465E3"/>
    <w:rsid w:val="00F549A0"/>
    <w:rsid w:val="00F572F6"/>
    <w:rsid w:val="00F61A0D"/>
    <w:rsid w:val="00F65CA7"/>
    <w:rsid w:val="00F66EB2"/>
    <w:rsid w:val="00F7126A"/>
    <w:rsid w:val="00F74AE3"/>
    <w:rsid w:val="00F83468"/>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C6285"/>
    <w:rsid w:val="01905D4E"/>
    <w:rsid w:val="01BF446B"/>
    <w:rsid w:val="01C33E75"/>
    <w:rsid w:val="01CF4650"/>
    <w:rsid w:val="01DC4B6D"/>
    <w:rsid w:val="01DE0A3D"/>
    <w:rsid w:val="01FF0589"/>
    <w:rsid w:val="021A2C53"/>
    <w:rsid w:val="02262629"/>
    <w:rsid w:val="023D07CA"/>
    <w:rsid w:val="024B29A8"/>
    <w:rsid w:val="025B2BDD"/>
    <w:rsid w:val="025C1F43"/>
    <w:rsid w:val="02691867"/>
    <w:rsid w:val="0288005D"/>
    <w:rsid w:val="02BC1EC1"/>
    <w:rsid w:val="02C33764"/>
    <w:rsid w:val="02D80A95"/>
    <w:rsid w:val="02DD6925"/>
    <w:rsid w:val="02FB3B23"/>
    <w:rsid w:val="030A3205"/>
    <w:rsid w:val="03366953"/>
    <w:rsid w:val="034A7BA5"/>
    <w:rsid w:val="034C23A0"/>
    <w:rsid w:val="0353555C"/>
    <w:rsid w:val="036C5F1A"/>
    <w:rsid w:val="037E757B"/>
    <w:rsid w:val="038E1A4F"/>
    <w:rsid w:val="03A35E51"/>
    <w:rsid w:val="03B24429"/>
    <w:rsid w:val="03C26D87"/>
    <w:rsid w:val="03CF2F3E"/>
    <w:rsid w:val="03E47515"/>
    <w:rsid w:val="040403C7"/>
    <w:rsid w:val="040E0152"/>
    <w:rsid w:val="04166D26"/>
    <w:rsid w:val="043A7A3B"/>
    <w:rsid w:val="043B3CAF"/>
    <w:rsid w:val="044A6352"/>
    <w:rsid w:val="044B32DE"/>
    <w:rsid w:val="046924E7"/>
    <w:rsid w:val="048D0480"/>
    <w:rsid w:val="04966E04"/>
    <w:rsid w:val="04B42133"/>
    <w:rsid w:val="04BA794E"/>
    <w:rsid w:val="04C31C0F"/>
    <w:rsid w:val="04C37E19"/>
    <w:rsid w:val="04D12D71"/>
    <w:rsid w:val="04FD40F2"/>
    <w:rsid w:val="05372DA4"/>
    <w:rsid w:val="054A41B7"/>
    <w:rsid w:val="0555442A"/>
    <w:rsid w:val="05741D34"/>
    <w:rsid w:val="05A50E7C"/>
    <w:rsid w:val="06023542"/>
    <w:rsid w:val="063F5626"/>
    <w:rsid w:val="067C233D"/>
    <w:rsid w:val="06937984"/>
    <w:rsid w:val="06967A3F"/>
    <w:rsid w:val="06A628AE"/>
    <w:rsid w:val="06C771A3"/>
    <w:rsid w:val="06FB686B"/>
    <w:rsid w:val="0708350A"/>
    <w:rsid w:val="0711360B"/>
    <w:rsid w:val="072B23BE"/>
    <w:rsid w:val="073C007C"/>
    <w:rsid w:val="077274B4"/>
    <w:rsid w:val="07812625"/>
    <w:rsid w:val="07A01238"/>
    <w:rsid w:val="07CB6CD5"/>
    <w:rsid w:val="07D05206"/>
    <w:rsid w:val="08140636"/>
    <w:rsid w:val="081A04E8"/>
    <w:rsid w:val="084166EA"/>
    <w:rsid w:val="088A04F0"/>
    <w:rsid w:val="088A3FB8"/>
    <w:rsid w:val="08DD6A7A"/>
    <w:rsid w:val="093C0A37"/>
    <w:rsid w:val="09B0067D"/>
    <w:rsid w:val="09DC53A7"/>
    <w:rsid w:val="0A450BAB"/>
    <w:rsid w:val="0A6E15A5"/>
    <w:rsid w:val="0A874C05"/>
    <w:rsid w:val="0A8F50B9"/>
    <w:rsid w:val="0A9E0AC8"/>
    <w:rsid w:val="0ACD7171"/>
    <w:rsid w:val="0AE15B50"/>
    <w:rsid w:val="0AF807D7"/>
    <w:rsid w:val="0B0F5C9F"/>
    <w:rsid w:val="0B4B1E06"/>
    <w:rsid w:val="0B532BA8"/>
    <w:rsid w:val="0B6A5D37"/>
    <w:rsid w:val="0B7C3EA1"/>
    <w:rsid w:val="0B9E269F"/>
    <w:rsid w:val="0BAB4E0E"/>
    <w:rsid w:val="0BAD6248"/>
    <w:rsid w:val="0BAF4CCB"/>
    <w:rsid w:val="0BB73761"/>
    <w:rsid w:val="0BBA3C56"/>
    <w:rsid w:val="0C0309BA"/>
    <w:rsid w:val="0C59040C"/>
    <w:rsid w:val="0C665824"/>
    <w:rsid w:val="0C8A110C"/>
    <w:rsid w:val="0C8D1F69"/>
    <w:rsid w:val="0C9310A3"/>
    <w:rsid w:val="0C984361"/>
    <w:rsid w:val="0CB03CD2"/>
    <w:rsid w:val="0CE41B31"/>
    <w:rsid w:val="0CF301A5"/>
    <w:rsid w:val="0CFD04BC"/>
    <w:rsid w:val="0D14341E"/>
    <w:rsid w:val="0D182362"/>
    <w:rsid w:val="0D204A5D"/>
    <w:rsid w:val="0D323FC1"/>
    <w:rsid w:val="0D514FF5"/>
    <w:rsid w:val="0D614C51"/>
    <w:rsid w:val="0D751E61"/>
    <w:rsid w:val="0D8777F6"/>
    <w:rsid w:val="0DB713C3"/>
    <w:rsid w:val="0DC62A71"/>
    <w:rsid w:val="0DFA0F36"/>
    <w:rsid w:val="0E3D6A8E"/>
    <w:rsid w:val="0E4076C5"/>
    <w:rsid w:val="0E431475"/>
    <w:rsid w:val="0E837DDF"/>
    <w:rsid w:val="0E9E3572"/>
    <w:rsid w:val="0EA53C5A"/>
    <w:rsid w:val="0EB5635E"/>
    <w:rsid w:val="0EB8754C"/>
    <w:rsid w:val="0EEB7659"/>
    <w:rsid w:val="0EFB59A3"/>
    <w:rsid w:val="0F01175D"/>
    <w:rsid w:val="0F025BAA"/>
    <w:rsid w:val="0F237DA5"/>
    <w:rsid w:val="0F740650"/>
    <w:rsid w:val="0F7B63A0"/>
    <w:rsid w:val="0F7B7C0B"/>
    <w:rsid w:val="0F9A317D"/>
    <w:rsid w:val="0F9C0159"/>
    <w:rsid w:val="0FA362B3"/>
    <w:rsid w:val="0FC04A43"/>
    <w:rsid w:val="0FDA6AD2"/>
    <w:rsid w:val="0FDE1D4E"/>
    <w:rsid w:val="0FE60143"/>
    <w:rsid w:val="0FE6342C"/>
    <w:rsid w:val="101476C3"/>
    <w:rsid w:val="10170212"/>
    <w:rsid w:val="101E422A"/>
    <w:rsid w:val="10275AEB"/>
    <w:rsid w:val="103067B5"/>
    <w:rsid w:val="10690039"/>
    <w:rsid w:val="1080507E"/>
    <w:rsid w:val="108064F2"/>
    <w:rsid w:val="10821A66"/>
    <w:rsid w:val="109B45F4"/>
    <w:rsid w:val="10A56817"/>
    <w:rsid w:val="10B4058D"/>
    <w:rsid w:val="10C35B5C"/>
    <w:rsid w:val="10D77C07"/>
    <w:rsid w:val="112F00E3"/>
    <w:rsid w:val="113277FB"/>
    <w:rsid w:val="11611D49"/>
    <w:rsid w:val="11674F3D"/>
    <w:rsid w:val="11694370"/>
    <w:rsid w:val="117141C3"/>
    <w:rsid w:val="118F1C4B"/>
    <w:rsid w:val="11915752"/>
    <w:rsid w:val="11A54DB1"/>
    <w:rsid w:val="11C473B7"/>
    <w:rsid w:val="11D263D2"/>
    <w:rsid w:val="11F93CC8"/>
    <w:rsid w:val="12081207"/>
    <w:rsid w:val="121D5AA7"/>
    <w:rsid w:val="12262EA6"/>
    <w:rsid w:val="123E07AF"/>
    <w:rsid w:val="128A5D21"/>
    <w:rsid w:val="128B082A"/>
    <w:rsid w:val="12914B30"/>
    <w:rsid w:val="12AB56A1"/>
    <w:rsid w:val="12AE5F56"/>
    <w:rsid w:val="12B17AA6"/>
    <w:rsid w:val="12D76A20"/>
    <w:rsid w:val="12F46E80"/>
    <w:rsid w:val="132A4818"/>
    <w:rsid w:val="13581385"/>
    <w:rsid w:val="136B5FEA"/>
    <w:rsid w:val="13A46767"/>
    <w:rsid w:val="13A91C52"/>
    <w:rsid w:val="13D83775"/>
    <w:rsid w:val="13EC7D20"/>
    <w:rsid w:val="13ED1D45"/>
    <w:rsid w:val="141D790D"/>
    <w:rsid w:val="144B4EFE"/>
    <w:rsid w:val="145910E0"/>
    <w:rsid w:val="147501D3"/>
    <w:rsid w:val="14B06F9F"/>
    <w:rsid w:val="15007ACD"/>
    <w:rsid w:val="150C6A6E"/>
    <w:rsid w:val="151D5E70"/>
    <w:rsid w:val="151F4732"/>
    <w:rsid w:val="15372FA4"/>
    <w:rsid w:val="153A1F28"/>
    <w:rsid w:val="153F05C2"/>
    <w:rsid w:val="15565AEA"/>
    <w:rsid w:val="158F403B"/>
    <w:rsid w:val="159076D6"/>
    <w:rsid w:val="15C11B01"/>
    <w:rsid w:val="15CE0A89"/>
    <w:rsid w:val="15E3346A"/>
    <w:rsid w:val="162A541E"/>
    <w:rsid w:val="166B472B"/>
    <w:rsid w:val="16704C68"/>
    <w:rsid w:val="16B877F8"/>
    <w:rsid w:val="16BB3416"/>
    <w:rsid w:val="16BC52DE"/>
    <w:rsid w:val="171A2CB4"/>
    <w:rsid w:val="171B2434"/>
    <w:rsid w:val="172A3039"/>
    <w:rsid w:val="172E3D9A"/>
    <w:rsid w:val="173C04C3"/>
    <w:rsid w:val="173E2A85"/>
    <w:rsid w:val="174D3ABB"/>
    <w:rsid w:val="174F42B2"/>
    <w:rsid w:val="17577BA6"/>
    <w:rsid w:val="176652E8"/>
    <w:rsid w:val="176D7F26"/>
    <w:rsid w:val="176F4594"/>
    <w:rsid w:val="17915A7E"/>
    <w:rsid w:val="17D17D7B"/>
    <w:rsid w:val="181803D7"/>
    <w:rsid w:val="18196EE4"/>
    <w:rsid w:val="184433FB"/>
    <w:rsid w:val="184D4A07"/>
    <w:rsid w:val="188C4E41"/>
    <w:rsid w:val="18C56911"/>
    <w:rsid w:val="18CB0D78"/>
    <w:rsid w:val="18E447E1"/>
    <w:rsid w:val="18F1275C"/>
    <w:rsid w:val="19145E8E"/>
    <w:rsid w:val="19217C54"/>
    <w:rsid w:val="19247ED6"/>
    <w:rsid w:val="194E4D9E"/>
    <w:rsid w:val="196B2692"/>
    <w:rsid w:val="198C2B7E"/>
    <w:rsid w:val="19947705"/>
    <w:rsid w:val="19B368EA"/>
    <w:rsid w:val="19B86659"/>
    <w:rsid w:val="19B95A0C"/>
    <w:rsid w:val="19CF036F"/>
    <w:rsid w:val="19F02A92"/>
    <w:rsid w:val="19F70E42"/>
    <w:rsid w:val="1A0F24DC"/>
    <w:rsid w:val="1A195EF1"/>
    <w:rsid w:val="1A1B111D"/>
    <w:rsid w:val="1A4E3356"/>
    <w:rsid w:val="1A5D78BC"/>
    <w:rsid w:val="1A681627"/>
    <w:rsid w:val="1A7847F0"/>
    <w:rsid w:val="1A7B4DAB"/>
    <w:rsid w:val="1AAB623F"/>
    <w:rsid w:val="1ACD364A"/>
    <w:rsid w:val="1AD42DE7"/>
    <w:rsid w:val="1AD80FFE"/>
    <w:rsid w:val="1ADD5B4A"/>
    <w:rsid w:val="1AE678F5"/>
    <w:rsid w:val="1B117444"/>
    <w:rsid w:val="1B242D7C"/>
    <w:rsid w:val="1B3B3097"/>
    <w:rsid w:val="1B5148C2"/>
    <w:rsid w:val="1B5D0A58"/>
    <w:rsid w:val="1B8018C9"/>
    <w:rsid w:val="1B9A5644"/>
    <w:rsid w:val="1BAB764D"/>
    <w:rsid w:val="1BE374A9"/>
    <w:rsid w:val="1C1C3E85"/>
    <w:rsid w:val="1C28519B"/>
    <w:rsid w:val="1C4A3C3B"/>
    <w:rsid w:val="1C4F3974"/>
    <w:rsid w:val="1C8C2322"/>
    <w:rsid w:val="1C926A0B"/>
    <w:rsid w:val="1CA52C2F"/>
    <w:rsid w:val="1CAF7990"/>
    <w:rsid w:val="1CC33031"/>
    <w:rsid w:val="1CD157D9"/>
    <w:rsid w:val="1CDF1CFC"/>
    <w:rsid w:val="1CF173C5"/>
    <w:rsid w:val="1D063AAC"/>
    <w:rsid w:val="1D3B78D9"/>
    <w:rsid w:val="1D7840F1"/>
    <w:rsid w:val="1D836679"/>
    <w:rsid w:val="1D927B8A"/>
    <w:rsid w:val="1D9D3D4A"/>
    <w:rsid w:val="1DC96E12"/>
    <w:rsid w:val="1E0D50FB"/>
    <w:rsid w:val="1E352C70"/>
    <w:rsid w:val="1E4574C2"/>
    <w:rsid w:val="1E536B13"/>
    <w:rsid w:val="1E5545E4"/>
    <w:rsid w:val="1E557FB0"/>
    <w:rsid w:val="1E853844"/>
    <w:rsid w:val="1E9D58D6"/>
    <w:rsid w:val="1EE51DD3"/>
    <w:rsid w:val="1F066F88"/>
    <w:rsid w:val="1F21349C"/>
    <w:rsid w:val="1F254E7A"/>
    <w:rsid w:val="1F772657"/>
    <w:rsid w:val="1FA62D37"/>
    <w:rsid w:val="1FB168A4"/>
    <w:rsid w:val="1FC658C9"/>
    <w:rsid w:val="1FCA7CDE"/>
    <w:rsid w:val="1FE3716A"/>
    <w:rsid w:val="1FED24E5"/>
    <w:rsid w:val="202D7E73"/>
    <w:rsid w:val="202F4E7D"/>
    <w:rsid w:val="2037677D"/>
    <w:rsid w:val="206007DE"/>
    <w:rsid w:val="206B4F6D"/>
    <w:rsid w:val="207D383C"/>
    <w:rsid w:val="20851F20"/>
    <w:rsid w:val="20B42211"/>
    <w:rsid w:val="20BA0299"/>
    <w:rsid w:val="20C47A5B"/>
    <w:rsid w:val="20E6100E"/>
    <w:rsid w:val="20F52E31"/>
    <w:rsid w:val="20FA64C2"/>
    <w:rsid w:val="21283873"/>
    <w:rsid w:val="21430515"/>
    <w:rsid w:val="214E24EE"/>
    <w:rsid w:val="216C5F29"/>
    <w:rsid w:val="21805ABF"/>
    <w:rsid w:val="21A32829"/>
    <w:rsid w:val="21A47267"/>
    <w:rsid w:val="21A85F9F"/>
    <w:rsid w:val="21B5407C"/>
    <w:rsid w:val="21BC252B"/>
    <w:rsid w:val="21CA7177"/>
    <w:rsid w:val="21DD6CCE"/>
    <w:rsid w:val="21F15373"/>
    <w:rsid w:val="221710F1"/>
    <w:rsid w:val="224A5BE0"/>
    <w:rsid w:val="224F3B68"/>
    <w:rsid w:val="22547778"/>
    <w:rsid w:val="22745C5B"/>
    <w:rsid w:val="227F1D33"/>
    <w:rsid w:val="22A56E76"/>
    <w:rsid w:val="22B25267"/>
    <w:rsid w:val="22C07F4A"/>
    <w:rsid w:val="22C84DCC"/>
    <w:rsid w:val="231A43B2"/>
    <w:rsid w:val="23280C8D"/>
    <w:rsid w:val="232910C4"/>
    <w:rsid w:val="23302798"/>
    <w:rsid w:val="23423B80"/>
    <w:rsid w:val="236915C9"/>
    <w:rsid w:val="239E1028"/>
    <w:rsid w:val="23A139B1"/>
    <w:rsid w:val="23B41069"/>
    <w:rsid w:val="23C22EFD"/>
    <w:rsid w:val="23CB460C"/>
    <w:rsid w:val="23DD33CC"/>
    <w:rsid w:val="23E16E04"/>
    <w:rsid w:val="23EB433F"/>
    <w:rsid w:val="240C32C9"/>
    <w:rsid w:val="24132D46"/>
    <w:rsid w:val="242817F7"/>
    <w:rsid w:val="243865C5"/>
    <w:rsid w:val="244F371F"/>
    <w:rsid w:val="2465351D"/>
    <w:rsid w:val="24681476"/>
    <w:rsid w:val="248E37F3"/>
    <w:rsid w:val="249220C6"/>
    <w:rsid w:val="24A9239B"/>
    <w:rsid w:val="24AA65D4"/>
    <w:rsid w:val="24C85D1D"/>
    <w:rsid w:val="24D526FD"/>
    <w:rsid w:val="24E76BE8"/>
    <w:rsid w:val="25035A1C"/>
    <w:rsid w:val="25070CC1"/>
    <w:rsid w:val="252B0BB3"/>
    <w:rsid w:val="252E7189"/>
    <w:rsid w:val="25513E86"/>
    <w:rsid w:val="255C02B9"/>
    <w:rsid w:val="25645475"/>
    <w:rsid w:val="25722BAF"/>
    <w:rsid w:val="258E7B7F"/>
    <w:rsid w:val="259B0C90"/>
    <w:rsid w:val="25A55A28"/>
    <w:rsid w:val="26023E12"/>
    <w:rsid w:val="262A3084"/>
    <w:rsid w:val="262C35F3"/>
    <w:rsid w:val="26574779"/>
    <w:rsid w:val="26720AE8"/>
    <w:rsid w:val="26722DF5"/>
    <w:rsid w:val="26850A44"/>
    <w:rsid w:val="26A42276"/>
    <w:rsid w:val="26A95916"/>
    <w:rsid w:val="26AC2D46"/>
    <w:rsid w:val="26AF01F4"/>
    <w:rsid w:val="26B048CF"/>
    <w:rsid w:val="26BC75B0"/>
    <w:rsid w:val="26CC00D1"/>
    <w:rsid w:val="26D95C81"/>
    <w:rsid w:val="271375AF"/>
    <w:rsid w:val="27200E83"/>
    <w:rsid w:val="27226628"/>
    <w:rsid w:val="27240C26"/>
    <w:rsid w:val="27272B7E"/>
    <w:rsid w:val="272804A6"/>
    <w:rsid w:val="273F53E1"/>
    <w:rsid w:val="27685E57"/>
    <w:rsid w:val="277327DA"/>
    <w:rsid w:val="277A6499"/>
    <w:rsid w:val="27AD4732"/>
    <w:rsid w:val="27EF5D71"/>
    <w:rsid w:val="27FC6AB7"/>
    <w:rsid w:val="281A3B7F"/>
    <w:rsid w:val="281B52A4"/>
    <w:rsid w:val="281D4CB6"/>
    <w:rsid w:val="28225114"/>
    <w:rsid w:val="28266EC2"/>
    <w:rsid w:val="28414907"/>
    <w:rsid w:val="285223EF"/>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840596"/>
    <w:rsid w:val="298C53B4"/>
    <w:rsid w:val="29C966E1"/>
    <w:rsid w:val="2A066D84"/>
    <w:rsid w:val="2A1F0EA2"/>
    <w:rsid w:val="2A8B74F7"/>
    <w:rsid w:val="2A9C4475"/>
    <w:rsid w:val="2AA03DAB"/>
    <w:rsid w:val="2AB526BC"/>
    <w:rsid w:val="2ADB2B70"/>
    <w:rsid w:val="2AE74455"/>
    <w:rsid w:val="2AEE3A39"/>
    <w:rsid w:val="2B333009"/>
    <w:rsid w:val="2B4D7F9A"/>
    <w:rsid w:val="2B8048A2"/>
    <w:rsid w:val="2B81314E"/>
    <w:rsid w:val="2B9E76FA"/>
    <w:rsid w:val="2BB704E0"/>
    <w:rsid w:val="2BE42ED0"/>
    <w:rsid w:val="2BE84F13"/>
    <w:rsid w:val="2C0C1A2C"/>
    <w:rsid w:val="2C16182F"/>
    <w:rsid w:val="2C253078"/>
    <w:rsid w:val="2C494E79"/>
    <w:rsid w:val="2C4E2C7E"/>
    <w:rsid w:val="2C4F375B"/>
    <w:rsid w:val="2C682DF7"/>
    <w:rsid w:val="2C6C1C2D"/>
    <w:rsid w:val="2C6C1EF3"/>
    <w:rsid w:val="2C7A1C78"/>
    <w:rsid w:val="2C8E168F"/>
    <w:rsid w:val="2CB07168"/>
    <w:rsid w:val="2CB62549"/>
    <w:rsid w:val="2CDC63DA"/>
    <w:rsid w:val="2CDF0540"/>
    <w:rsid w:val="2CE77F81"/>
    <w:rsid w:val="2CEA061D"/>
    <w:rsid w:val="2CF32391"/>
    <w:rsid w:val="2D114186"/>
    <w:rsid w:val="2D1A6B8B"/>
    <w:rsid w:val="2D2A56E9"/>
    <w:rsid w:val="2D37282D"/>
    <w:rsid w:val="2D3C7A1B"/>
    <w:rsid w:val="2D400C03"/>
    <w:rsid w:val="2D4B72A4"/>
    <w:rsid w:val="2D527FBC"/>
    <w:rsid w:val="2D9B2B4F"/>
    <w:rsid w:val="2DA35BC4"/>
    <w:rsid w:val="2DAA3BA2"/>
    <w:rsid w:val="2DC3526B"/>
    <w:rsid w:val="2DCF7CDF"/>
    <w:rsid w:val="2DF511F5"/>
    <w:rsid w:val="2E004BE0"/>
    <w:rsid w:val="2E084B99"/>
    <w:rsid w:val="2E084EDE"/>
    <w:rsid w:val="2E0A0C1A"/>
    <w:rsid w:val="2E0C25A2"/>
    <w:rsid w:val="2E6D2D7A"/>
    <w:rsid w:val="2E762A5E"/>
    <w:rsid w:val="2E762EEB"/>
    <w:rsid w:val="2E9236A2"/>
    <w:rsid w:val="2E9B4165"/>
    <w:rsid w:val="2EA1604F"/>
    <w:rsid w:val="2EC94570"/>
    <w:rsid w:val="2EE74309"/>
    <w:rsid w:val="2EF82D13"/>
    <w:rsid w:val="2F06540D"/>
    <w:rsid w:val="2F2919D0"/>
    <w:rsid w:val="2F362D1D"/>
    <w:rsid w:val="2F3E1D3D"/>
    <w:rsid w:val="2F4537BA"/>
    <w:rsid w:val="2F520D6A"/>
    <w:rsid w:val="2F631E0B"/>
    <w:rsid w:val="2F983C4C"/>
    <w:rsid w:val="2FD35FF4"/>
    <w:rsid w:val="301E0417"/>
    <w:rsid w:val="302A4909"/>
    <w:rsid w:val="30405287"/>
    <w:rsid w:val="306E5BF5"/>
    <w:rsid w:val="30811BCF"/>
    <w:rsid w:val="30852C88"/>
    <w:rsid w:val="309E3F2C"/>
    <w:rsid w:val="30A41A34"/>
    <w:rsid w:val="30E33E00"/>
    <w:rsid w:val="312225A7"/>
    <w:rsid w:val="313A1FDF"/>
    <w:rsid w:val="313F45C2"/>
    <w:rsid w:val="314E5250"/>
    <w:rsid w:val="316B4950"/>
    <w:rsid w:val="31776BDA"/>
    <w:rsid w:val="31AA7C21"/>
    <w:rsid w:val="31B643EF"/>
    <w:rsid w:val="31CE030D"/>
    <w:rsid w:val="31D27253"/>
    <w:rsid w:val="31D811CD"/>
    <w:rsid w:val="31D90966"/>
    <w:rsid w:val="31E70161"/>
    <w:rsid w:val="31F66D75"/>
    <w:rsid w:val="32042F99"/>
    <w:rsid w:val="324C33B5"/>
    <w:rsid w:val="324C7ED8"/>
    <w:rsid w:val="32A51B90"/>
    <w:rsid w:val="32E77D37"/>
    <w:rsid w:val="33137B9F"/>
    <w:rsid w:val="33415A8D"/>
    <w:rsid w:val="33446DD8"/>
    <w:rsid w:val="336361E8"/>
    <w:rsid w:val="337B73ED"/>
    <w:rsid w:val="33803480"/>
    <w:rsid w:val="3385457C"/>
    <w:rsid w:val="339A55B4"/>
    <w:rsid w:val="339E2468"/>
    <w:rsid w:val="33A91D17"/>
    <w:rsid w:val="33B44E41"/>
    <w:rsid w:val="33CC4CB4"/>
    <w:rsid w:val="34041022"/>
    <w:rsid w:val="34395956"/>
    <w:rsid w:val="344420BF"/>
    <w:rsid w:val="346059E8"/>
    <w:rsid w:val="34756687"/>
    <w:rsid w:val="34A66303"/>
    <w:rsid w:val="34AC3731"/>
    <w:rsid w:val="34BF7AA6"/>
    <w:rsid w:val="34EF0B9B"/>
    <w:rsid w:val="350668B2"/>
    <w:rsid w:val="351211E7"/>
    <w:rsid w:val="35335936"/>
    <w:rsid w:val="355557F2"/>
    <w:rsid w:val="3562627B"/>
    <w:rsid w:val="357709D0"/>
    <w:rsid w:val="357C0F75"/>
    <w:rsid w:val="35A15EAA"/>
    <w:rsid w:val="35B82A73"/>
    <w:rsid w:val="35C70E9A"/>
    <w:rsid w:val="35D02EC3"/>
    <w:rsid w:val="35F965A0"/>
    <w:rsid w:val="360C4565"/>
    <w:rsid w:val="36124F93"/>
    <w:rsid w:val="36304EC1"/>
    <w:rsid w:val="363C784E"/>
    <w:rsid w:val="36514DFC"/>
    <w:rsid w:val="365A592A"/>
    <w:rsid w:val="3671559A"/>
    <w:rsid w:val="36815F72"/>
    <w:rsid w:val="368645BD"/>
    <w:rsid w:val="368C4D1E"/>
    <w:rsid w:val="36A56CB5"/>
    <w:rsid w:val="36A73099"/>
    <w:rsid w:val="36E253DC"/>
    <w:rsid w:val="36F339C4"/>
    <w:rsid w:val="37257AC4"/>
    <w:rsid w:val="37324847"/>
    <w:rsid w:val="37412069"/>
    <w:rsid w:val="375F69DD"/>
    <w:rsid w:val="3776777C"/>
    <w:rsid w:val="378D6FA0"/>
    <w:rsid w:val="37A07100"/>
    <w:rsid w:val="37A406E4"/>
    <w:rsid w:val="37CF183F"/>
    <w:rsid w:val="37D6300B"/>
    <w:rsid w:val="37F60FE9"/>
    <w:rsid w:val="38010FF7"/>
    <w:rsid w:val="381553B2"/>
    <w:rsid w:val="38217B55"/>
    <w:rsid w:val="385345AE"/>
    <w:rsid w:val="3869690E"/>
    <w:rsid w:val="386C12AB"/>
    <w:rsid w:val="38750FF3"/>
    <w:rsid w:val="38756D44"/>
    <w:rsid w:val="38845C7E"/>
    <w:rsid w:val="38B60A2B"/>
    <w:rsid w:val="38BD74B9"/>
    <w:rsid w:val="38EE156D"/>
    <w:rsid w:val="38F37C80"/>
    <w:rsid w:val="39015C75"/>
    <w:rsid w:val="391D14E6"/>
    <w:rsid w:val="39340E5C"/>
    <w:rsid w:val="393B5AA8"/>
    <w:rsid w:val="39A0438C"/>
    <w:rsid w:val="39A45056"/>
    <w:rsid w:val="39C63022"/>
    <w:rsid w:val="39E45A40"/>
    <w:rsid w:val="39FE6570"/>
    <w:rsid w:val="39FE7EC6"/>
    <w:rsid w:val="3A345DF9"/>
    <w:rsid w:val="3A444D54"/>
    <w:rsid w:val="3A5B049C"/>
    <w:rsid w:val="3A8B5D1B"/>
    <w:rsid w:val="3AB25A48"/>
    <w:rsid w:val="3AC85F3C"/>
    <w:rsid w:val="3AD64B79"/>
    <w:rsid w:val="3AEC2F68"/>
    <w:rsid w:val="3B0F229E"/>
    <w:rsid w:val="3B2D369C"/>
    <w:rsid w:val="3B4018AB"/>
    <w:rsid w:val="3B5062F7"/>
    <w:rsid w:val="3B577533"/>
    <w:rsid w:val="3B5A317F"/>
    <w:rsid w:val="3B642937"/>
    <w:rsid w:val="3B745C0D"/>
    <w:rsid w:val="3B7F35FD"/>
    <w:rsid w:val="3B94140D"/>
    <w:rsid w:val="3BBE43C5"/>
    <w:rsid w:val="3BC96A15"/>
    <w:rsid w:val="3BCF39B2"/>
    <w:rsid w:val="3BE01215"/>
    <w:rsid w:val="3BEC7103"/>
    <w:rsid w:val="3BEF6065"/>
    <w:rsid w:val="3C015CC0"/>
    <w:rsid w:val="3C016AC1"/>
    <w:rsid w:val="3C02534D"/>
    <w:rsid w:val="3C3F4224"/>
    <w:rsid w:val="3C62595E"/>
    <w:rsid w:val="3C720169"/>
    <w:rsid w:val="3CB274A9"/>
    <w:rsid w:val="3CBE566C"/>
    <w:rsid w:val="3CD66166"/>
    <w:rsid w:val="3D0C725A"/>
    <w:rsid w:val="3D7822ED"/>
    <w:rsid w:val="3D7B3BE0"/>
    <w:rsid w:val="3DA24227"/>
    <w:rsid w:val="3DA93405"/>
    <w:rsid w:val="3DC6046B"/>
    <w:rsid w:val="3DD55229"/>
    <w:rsid w:val="3DDA621C"/>
    <w:rsid w:val="3DDF7E2A"/>
    <w:rsid w:val="3E142590"/>
    <w:rsid w:val="3E2E7EBE"/>
    <w:rsid w:val="3E521D31"/>
    <w:rsid w:val="3E6727A9"/>
    <w:rsid w:val="3E7976CC"/>
    <w:rsid w:val="3E8C6133"/>
    <w:rsid w:val="3E8D2978"/>
    <w:rsid w:val="3ED668C3"/>
    <w:rsid w:val="3F281DC2"/>
    <w:rsid w:val="3F297732"/>
    <w:rsid w:val="3F4732B9"/>
    <w:rsid w:val="3F4944A8"/>
    <w:rsid w:val="3F503F29"/>
    <w:rsid w:val="3F5605BF"/>
    <w:rsid w:val="3F5807E0"/>
    <w:rsid w:val="3F5E1222"/>
    <w:rsid w:val="3FB50150"/>
    <w:rsid w:val="3FCC7B66"/>
    <w:rsid w:val="3FFA4413"/>
    <w:rsid w:val="3FFE3678"/>
    <w:rsid w:val="40046540"/>
    <w:rsid w:val="401972B4"/>
    <w:rsid w:val="40477F08"/>
    <w:rsid w:val="40487D82"/>
    <w:rsid w:val="404B17A6"/>
    <w:rsid w:val="405B5800"/>
    <w:rsid w:val="4081762B"/>
    <w:rsid w:val="40A01669"/>
    <w:rsid w:val="41072E0E"/>
    <w:rsid w:val="41252929"/>
    <w:rsid w:val="413B3F1A"/>
    <w:rsid w:val="41480453"/>
    <w:rsid w:val="416B49EF"/>
    <w:rsid w:val="41735FD8"/>
    <w:rsid w:val="41831D25"/>
    <w:rsid w:val="41A40996"/>
    <w:rsid w:val="41B60876"/>
    <w:rsid w:val="41CB616E"/>
    <w:rsid w:val="41CE5748"/>
    <w:rsid w:val="41DD2167"/>
    <w:rsid w:val="41F93484"/>
    <w:rsid w:val="41FC0FA7"/>
    <w:rsid w:val="421D11FF"/>
    <w:rsid w:val="423F1CC9"/>
    <w:rsid w:val="424B600F"/>
    <w:rsid w:val="42515F96"/>
    <w:rsid w:val="42637D55"/>
    <w:rsid w:val="42843695"/>
    <w:rsid w:val="42BF2FF3"/>
    <w:rsid w:val="42C10E48"/>
    <w:rsid w:val="42CA44EA"/>
    <w:rsid w:val="42CC7831"/>
    <w:rsid w:val="42D3676F"/>
    <w:rsid w:val="42EF792C"/>
    <w:rsid w:val="431123CE"/>
    <w:rsid w:val="431E55F4"/>
    <w:rsid w:val="432D2509"/>
    <w:rsid w:val="4338080B"/>
    <w:rsid w:val="4365744A"/>
    <w:rsid w:val="436D3273"/>
    <w:rsid w:val="4370627C"/>
    <w:rsid w:val="437D03C2"/>
    <w:rsid w:val="439E46C5"/>
    <w:rsid w:val="43E52ADD"/>
    <w:rsid w:val="43F354D7"/>
    <w:rsid w:val="440139FF"/>
    <w:rsid w:val="440A1946"/>
    <w:rsid w:val="44162084"/>
    <w:rsid w:val="44190B72"/>
    <w:rsid w:val="44627A06"/>
    <w:rsid w:val="44752DC1"/>
    <w:rsid w:val="44832F7B"/>
    <w:rsid w:val="44947BD4"/>
    <w:rsid w:val="44AA3750"/>
    <w:rsid w:val="44B52CB1"/>
    <w:rsid w:val="44C804E0"/>
    <w:rsid w:val="44CB55AC"/>
    <w:rsid w:val="44F22B38"/>
    <w:rsid w:val="4507271E"/>
    <w:rsid w:val="45226E5D"/>
    <w:rsid w:val="455A64B5"/>
    <w:rsid w:val="455C5643"/>
    <w:rsid w:val="45965327"/>
    <w:rsid w:val="45BA248B"/>
    <w:rsid w:val="460B0946"/>
    <w:rsid w:val="460B7E0C"/>
    <w:rsid w:val="461812ED"/>
    <w:rsid w:val="46223A8A"/>
    <w:rsid w:val="46314DBD"/>
    <w:rsid w:val="4643282A"/>
    <w:rsid w:val="466730B2"/>
    <w:rsid w:val="4682603A"/>
    <w:rsid w:val="46A0669A"/>
    <w:rsid w:val="46B957D3"/>
    <w:rsid w:val="46C633A0"/>
    <w:rsid w:val="46D908D3"/>
    <w:rsid w:val="46FE3A16"/>
    <w:rsid w:val="47101887"/>
    <w:rsid w:val="472813A6"/>
    <w:rsid w:val="47752F9E"/>
    <w:rsid w:val="47785BF2"/>
    <w:rsid w:val="477A01FD"/>
    <w:rsid w:val="47801AB2"/>
    <w:rsid w:val="4780267D"/>
    <w:rsid w:val="47813E6C"/>
    <w:rsid w:val="4795235B"/>
    <w:rsid w:val="47D0440C"/>
    <w:rsid w:val="47E567CE"/>
    <w:rsid w:val="4821136D"/>
    <w:rsid w:val="486A14E7"/>
    <w:rsid w:val="486D6717"/>
    <w:rsid w:val="48894303"/>
    <w:rsid w:val="48D8792A"/>
    <w:rsid w:val="49072A64"/>
    <w:rsid w:val="491E3D88"/>
    <w:rsid w:val="493731EA"/>
    <w:rsid w:val="496B237A"/>
    <w:rsid w:val="49804F26"/>
    <w:rsid w:val="49956188"/>
    <w:rsid w:val="49990406"/>
    <w:rsid w:val="49AF4B75"/>
    <w:rsid w:val="49D47304"/>
    <w:rsid w:val="49D946ED"/>
    <w:rsid w:val="4A17122B"/>
    <w:rsid w:val="4A192915"/>
    <w:rsid w:val="4A343D33"/>
    <w:rsid w:val="4A4679EC"/>
    <w:rsid w:val="4A522936"/>
    <w:rsid w:val="4A7D62A7"/>
    <w:rsid w:val="4A8166C5"/>
    <w:rsid w:val="4A8803F3"/>
    <w:rsid w:val="4A9F523E"/>
    <w:rsid w:val="4A9F776C"/>
    <w:rsid w:val="4ABE5F7D"/>
    <w:rsid w:val="4AC95516"/>
    <w:rsid w:val="4ADC34C0"/>
    <w:rsid w:val="4B0706EF"/>
    <w:rsid w:val="4B151CDA"/>
    <w:rsid w:val="4B2E5F87"/>
    <w:rsid w:val="4B3423D0"/>
    <w:rsid w:val="4B5A78D4"/>
    <w:rsid w:val="4B7C57A9"/>
    <w:rsid w:val="4B9535D0"/>
    <w:rsid w:val="4BBC282B"/>
    <w:rsid w:val="4BCC547D"/>
    <w:rsid w:val="4BF65473"/>
    <w:rsid w:val="4C1C5ED1"/>
    <w:rsid w:val="4C296DFE"/>
    <w:rsid w:val="4C4308E7"/>
    <w:rsid w:val="4C5F554A"/>
    <w:rsid w:val="4C674BE3"/>
    <w:rsid w:val="4C796238"/>
    <w:rsid w:val="4C83051A"/>
    <w:rsid w:val="4C8D7864"/>
    <w:rsid w:val="4CA2136F"/>
    <w:rsid w:val="4CC330C3"/>
    <w:rsid w:val="4CD07A2A"/>
    <w:rsid w:val="4CF25575"/>
    <w:rsid w:val="4CFE48B1"/>
    <w:rsid w:val="4D01600E"/>
    <w:rsid w:val="4D042A23"/>
    <w:rsid w:val="4D146BD4"/>
    <w:rsid w:val="4D36558C"/>
    <w:rsid w:val="4D6543A8"/>
    <w:rsid w:val="4D8409ED"/>
    <w:rsid w:val="4D8D7BF0"/>
    <w:rsid w:val="4DBB674D"/>
    <w:rsid w:val="4DEE42BB"/>
    <w:rsid w:val="4E296E9F"/>
    <w:rsid w:val="4E41681A"/>
    <w:rsid w:val="4E4C2F10"/>
    <w:rsid w:val="4E50554E"/>
    <w:rsid w:val="4E9614A2"/>
    <w:rsid w:val="4E9E4D53"/>
    <w:rsid w:val="4EA253CD"/>
    <w:rsid w:val="4EA62219"/>
    <w:rsid w:val="4EA8070C"/>
    <w:rsid w:val="4EB9101B"/>
    <w:rsid w:val="4ECC459F"/>
    <w:rsid w:val="4EDF533B"/>
    <w:rsid w:val="4EE80E4C"/>
    <w:rsid w:val="4F046328"/>
    <w:rsid w:val="4F0A38E9"/>
    <w:rsid w:val="4F0C1D27"/>
    <w:rsid w:val="4F0C6D7F"/>
    <w:rsid w:val="4F1763A9"/>
    <w:rsid w:val="4F3139CE"/>
    <w:rsid w:val="4F3F4AE5"/>
    <w:rsid w:val="4F4641AC"/>
    <w:rsid w:val="4F813436"/>
    <w:rsid w:val="4F9A2F39"/>
    <w:rsid w:val="4FA52BCF"/>
    <w:rsid w:val="4FE60EDF"/>
    <w:rsid w:val="4FF5614D"/>
    <w:rsid w:val="500A38BB"/>
    <w:rsid w:val="50456945"/>
    <w:rsid w:val="50527BFF"/>
    <w:rsid w:val="507C0F0A"/>
    <w:rsid w:val="50987303"/>
    <w:rsid w:val="509A5FF6"/>
    <w:rsid w:val="50B21FB5"/>
    <w:rsid w:val="50D065F5"/>
    <w:rsid w:val="50EA598E"/>
    <w:rsid w:val="511B537F"/>
    <w:rsid w:val="51316B91"/>
    <w:rsid w:val="513D7C0C"/>
    <w:rsid w:val="514A4278"/>
    <w:rsid w:val="51550A01"/>
    <w:rsid w:val="51580D72"/>
    <w:rsid w:val="516B7014"/>
    <w:rsid w:val="516F5BB5"/>
    <w:rsid w:val="517A72F6"/>
    <w:rsid w:val="51876787"/>
    <w:rsid w:val="519120EE"/>
    <w:rsid w:val="51D514A1"/>
    <w:rsid w:val="51E86261"/>
    <w:rsid w:val="51F60FA4"/>
    <w:rsid w:val="523429DF"/>
    <w:rsid w:val="526762D2"/>
    <w:rsid w:val="528C2DEB"/>
    <w:rsid w:val="529725B6"/>
    <w:rsid w:val="52A10892"/>
    <w:rsid w:val="52B256B5"/>
    <w:rsid w:val="52B453D9"/>
    <w:rsid w:val="52B925C9"/>
    <w:rsid w:val="52D02076"/>
    <w:rsid w:val="52D27B57"/>
    <w:rsid w:val="52D76D05"/>
    <w:rsid w:val="52DA0145"/>
    <w:rsid w:val="52EF5B8A"/>
    <w:rsid w:val="53157BAA"/>
    <w:rsid w:val="532100DD"/>
    <w:rsid w:val="532631EC"/>
    <w:rsid w:val="535B075B"/>
    <w:rsid w:val="53B65679"/>
    <w:rsid w:val="53C82084"/>
    <w:rsid w:val="53F56162"/>
    <w:rsid w:val="543437C0"/>
    <w:rsid w:val="54407DB7"/>
    <w:rsid w:val="544736AD"/>
    <w:rsid w:val="54476E39"/>
    <w:rsid w:val="545170B4"/>
    <w:rsid w:val="54572022"/>
    <w:rsid w:val="54581443"/>
    <w:rsid w:val="545E3D46"/>
    <w:rsid w:val="5478018A"/>
    <w:rsid w:val="54993A1A"/>
    <w:rsid w:val="54AA6DEE"/>
    <w:rsid w:val="54D142AB"/>
    <w:rsid w:val="54EB48D8"/>
    <w:rsid w:val="550012B8"/>
    <w:rsid w:val="552C3E22"/>
    <w:rsid w:val="553E1633"/>
    <w:rsid w:val="554910C3"/>
    <w:rsid w:val="555342F0"/>
    <w:rsid w:val="55582AEC"/>
    <w:rsid w:val="5565794F"/>
    <w:rsid w:val="55866B82"/>
    <w:rsid w:val="55AC70FA"/>
    <w:rsid w:val="55B3036F"/>
    <w:rsid w:val="55B66503"/>
    <w:rsid w:val="55CC7FEC"/>
    <w:rsid w:val="55F95A0A"/>
    <w:rsid w:val="56130B60"/>
    <w:rsid w:val="562A4F52"/>
    <w:rsid w:val="562D14FF"/>
    <w:rsid w:val="56312E45"/>
    <w:rsid w:val="5660269B"/>
    <w:rsid w:val="567815A1"/>
    <w:rsid w:val="56864EC0"/>
    <w:rsid w:val="56C1389A"/>
    <w:rsid w:val="56C70E4C"/>
    <w:rsid w:val="56DA0379"/>
    <w:rsid w:val="56E61DD1"/>
    <w:rsid w:val="56E629BF"/>
    <w:rsid w:val="571A3316"/>
    <w:rsid w:val="57700F1E"/>
    <w:rsid w:val="57743876"/>
    <w:rsid w:val="57820578"/>
    <w:rsid w:val="5788259C"/>
    <w:rsid w:val="57BA6A69"/>
    <w:rsid w:val="57C96BB6"/>
    <w:rsid w:val="57D60F67"/>
    <w:rsid w:val="58873070"/>
    <w:rsid w:val="58BD13B3"/>
    <w:rsid w:val="590239D6"/>
    <w:rsid w:val="590717A7"/>
    <w:rsid w:val="59074258"/>
    <w:rsid w:val="597F386C"/>
    <w:rsid w:val="599260CF"/>
    <w:rsid w:val="59A374A2"/>
    <w:rsid w:val="59A6390C"/>
    <w:rsid w:val="59A85A0F"/>
    <w:rsid w:val="59BF4E8F"/>
    <w:rsid w:val="59DE576D"/>
    <w:rsid w:val="59FF3DD5"/>
    <w:rsid w:val="5A061F05"/>
    <w:rsid w:val="5A242E1F"/>
    <w:rsid w:val="5A2D5907"/>
    <w:rsid w:val="5A8450FB"/>
    <w:rsid w:val="5A9E14BA"/>
    <w:rsid w:val="5AA51BCD"/>
    <w:rsid w:val="5AAF18B6"/>
    <w:rsid w:val="5AE01549"/>
    <w:rsid w:val="5AF25320"/>
    <w:rsid w:val="5B0C3813"/>
    <w:rsid w:val="5B5D0668"/>
    <w:rsid w:val="5B8027F4"/>
    <w:rsid w:val="5B954541"/>
    <w:rsid w:val="5B9736F3"/>
    <w:rsid w:val="5BA849E6"/>
    <w:rsid w:val="5BD67C2C"/>
    <w:rsid w:val="5BDA6D7F"/>
    <w:rsid w:val="5BE119C8"/>
    <w:rsid w:val="5C2476C6"/>
    <w:rsid w:val="5C2B4972"/>
    <w:rsid w:val="5C312F2C"/>
    <w:rsid w:val="5C625955"/>
    <w:rsid w:val="5C6F688B"/>
    <w:rsid w:val="5CA54AB0"/>
    <w:rsid w:val="5D002351"/>
    <w:rsid w:val="5D002A38"/>
    <w:rsid w:val="5D177993"/>
    <w:rsid w:val="5D207458"/>
    <w:rsid w:val="5D254707"/>
    <w:rsid w:val="5D390E27"/>
    <w:rsid w:val="5D3B7CB5"/>
    <w:rsid w:val="5D560EE3"/>
    <w:rsid w:val="5D584373"/>
    <w:rsid w:val="5D754025"/>
    <w:rsid w:val="5D9B3801"/>
    <w:rsid w:val="5DAA2406"/>
    <w:rsid w:val="5DB01940"/>
    <w:rsid w:val="5DD45079"/>
    <w:rsid w:val="5DE272CE"/>
    <w:rsid w:val="5DE646D3"/>
    <w:rsid w:val="5E0B1330"/>
    <w:rsid w:val="5E1A1A2D"/>
    <w:rsid w:val="5E1A2D19"/>
    <w:rsid w:val="5E7B078E"/>
    <w:rsid w:val="5E822A4A"/>
    <w:rsid w:val="5EBF22BC"/>
    <w:rsid w:val="5EFD63A0"/>
    <w:rsid w:val="5F114066"/>
    <w:rsid w:val="5F6A2CAD"/>
    <w:rsid w:val="5F7D52C6"/>
    <w:rsid w:val="5F7FA9EE"/>
    <w:rsid w:val="5F8E65CB"/>
    <w:rsid w:val="5F93366B"/>
    <w:rsid w:val="5FA35C95"/>
    <w:rsid w:val="601C7C43"/>
    <w:rsid w:val="60247767"/>
    <w:rsid w:val="60734876"/>
    <w:rsid w:val="6080180A"/>
    <w:rsid w:val="60934D78"/>
    <w:rsid w:val="60A22725"/>
    <w:rsid w:val="60F04887"/>
    <w:rsid w:val="60F90953"/>
    <w:rsid w:val="60FD7201"/>
    <w:rsid w:val="61054C82"/>
    <w:rsid w:val="610C7077"/>
    <w:rsid w:val="61343B02"/>
    <w:rsid w:val="613D6DF3"/>
    <w:rsid w:val="61497B2C"/>
    <w:rsid w:val="616A3F2E"/>
    <w:rsid w:val="616D1CC8"/>
    <w:rsid w:val="618427EF"/>
    <w:rsid w:val="61B94090"/>
    <w:rsid w:val="61E82848"/>
    <w:rsid w:val="61F53810"/>
    <w:rsid w:val="61F931FF"/>
    <w:rsid w:val="62225E76"/>
    <w:rsid w:val="62254142"/>
    <w:rsid w:val="622E05F6"/>
    <w:rsid w:val="62400FB9"/>
    <w:rsid w:val="62436AF8"/>
    <w:rsid w:val="626744CC"/>
    <w:rsid w:val="6273108A"/>
    <w:rsid w:val="6286335F"/>
    <w:rsid w:val="62BD06F1"/>
    <w:rsid w:val="62F345C8"/>
    <w:rsid w:val="6319602F"/>
    <w:rsid w:val="63263B2D"/>
    <w:rsid w:val="63400ABB"/>
    <w:rsid w:val="63737E4E"/>
    <w:rsid w:val="63846BFA"/>
    <w:rsid w:val="63B1112C"/>
    <w:rsid w:val="63D802E2"/>
    <w:rsid w:val="63DC2FBF"/>
    <w:rsid w:val="63E72F74"/>
    <w:rsid w:val="63F55F8B"/>
    <w:rsid w:val="64081316"/>
    <w:rsid w:val="64147933"/>
    <w:rsid w:val="642D1726"/>
    <w:rsid w:val="64523C1E"/>
    <w:rsid w:val="64820E7F"/>
    <w:rsid w:val="64A1252C"/>
    <w:rsid w:val="64E9238A"/>
    <w:rsid w:val="64EF0725"/>
    <w:rsid w:val="651D5CB3"/>
    <w:rsid w:val="652D7AB2"/>
    <w:rsid w:val="6533475E"/>
    <w:rsid w:val="6567363D"/>
    <w:rsid w:val="65A74A29"/>
    <w:rsid w:val="65E567ED"/>
    <w:rsid w:val="65F3104F"/>
    <w:rsid w:val="66067D9A"/>
    <w:rsid w:val="6655160C"/>
    <w:rsid w:val="666351EC"/>
    <w:rsid w:val="668039D7"/>
    <w:rsid w:val="66930774"/>
    <w:rsid w:val="66986334"/>
    <w:rsid w:val="669F75AA"/>
    <w:rsid w:val="66AB7437"/>
    <w:rsid w:val="66B44E00"/>
    <w:rsid w:val="66B81ECD"/>
    <w:rsid w:val="66C80FC5"/>
    <w:rsid w:val="66D974CE"/>
    <w:rsid w:val="66F9067A"/>
    <w:rsid w:val="67005B01"/>
    <w:rsid w:val="6747420D"/>
    <w:rsid w:val="674E6DCA"/>
    <w:rsid w:val="67573614"/>
    <w:rsid w:val="677C6D6C"/>
    <w:rsid w:val="678C3314"/>
    <w:rsid w:val="67B20FA6"/>
    <w:rsid w:val="67B31EED"/>
    <w:rsid w:val="67CA4E64"/>
    <w:rsid w:val="67F379B8"/>
    <w:rsid w:val="67F97C4C"/>
    <w:rsid w:val="67FD04D0"/>
    <w:rsid w:val="680B1697"/>
    <w:rsid w:val="6821718F"/>
    <w:rsid w:val="68260326"/>
    <w:rsid w:val="68595677"/>
    <w:rsid w:val="68891211"/>
    <w:rsid w:val="688E2440"/>
    <w:rsid w:val="68B17662"/>
    <w:rsid w:val="68C609BD"/>
    <w:rsid w:val="68F63219"/>
    <w:rsid w:val="69346EC6"/>
    <w:rsid w:val="69556DF3"/>
    <w:rsid w:val="69AA76EB"/>
    <w:rsid w:val="69C85763"/>
    <w:rsid w:val="69FD3262"/>
    <w:rsid w:val="6A010FA4"/>
    <w:rsid w:val="6A121C16"/>
    <w:rsid w:val="6A18437A"/>
    <w:rsid w:val="6A2161D7"/>
    <w:rsid w:val="6A2E1384"/>
    <w:rsid w:val="6A333D09"/>
    <w:rsid w:val="6A364250"/>
    <w:rsid w:val="6A670669"/>
    <w:rsid w:val="6A8F05CE"/>
    <w:rsid w:val="6AD31ED3"/>
    <w:rsid w:val="6AEF48D3"/>
    <w:rsid w:val="6AF30FB6"/>
    <w:rsid w:val="6B196B05"/>
    <w:rsid w:val="6B336FB1"/>
    <w:rsid w:val="6B471B73"/>
    <w:rsid w:val="6B931956"/>
    <w:rsid w:val="6BD6293B"/>
    <w:rsid w:val="6BD7264C"/>
    <w:rsid w:val="6BD834E5"/>
    <w:rsid w:val="6C17681A"/>
    <w:rsid w:val="6C3A74B7"/>
    <w:rsid w:val="6C7D7C51"/>
    <w:rsid w:val="6C96341D"/>
    <w:rsid w:val="6CAB48F3"/>
    <w:rsid w:val="6CB00BC9"/>
    <w:rsid w:val="6CD51390"/>
    <w:rsid w:val="6CDD4ECA"/>
    <w:rsid w:val="6D054E50"/>
    <w:rsid w:val="6D1D796E"/>
    <w:rsid w:val="6D306281"/>
    <w:rsid w:val="6D4570DF"/>
    <w:rsid w:val="6D87602D"/>
    <w:rsid w:val="6D8B0645"/>
    <w:rsid w:val="6DA8216A"/>
    <w:rsid w:val="6DD0372E"/>
    <w:rsid w:val="6E0063F0"/>
    <w:rsid w:val="6E014F3D"/>
    <w:rsid w:val="6E0A3EFC"/>
    <w:rsid w:val="6E2D1BCD"/>
    <w:rsid w:val="6E677B1D"/>
    <w:rsid w:val="6E694D2F"/>
    <w:rsid w:val="6E8D18D4"/>
    <w:rsid w:val="6E996F51"/>
    <w:rsid w:val="6E9C5B3F"/>
    <w:rsid w:val="6EDE238A"/>
    <w:rsid w:val="6EEE0563"/>
    <w:rsid w:val="6EFC154D"/>
    <w:rsid w:val="6EFC2AE2"/>
    <w:rsid w:val="6F0A255F"/>
    <w:rsid w:val="6F1E04BD"/>
    <w:rsid w:val="6F1E3EFE"/>
    <w:rsid w:val="6F40256E"/>
    <w:rsid w:val="6F7234D3"/>
    <w:rsid w:val="6F8B4B86"/>
    <w:rsid w:val="6F9279EB"/>
    <w:rsid w:val="6FAF3FAC"/>
    <w:rsid w:val="6FBE188C"/>
    <w:rsid w:val="6FBE5187"/>
    <w:rsid w:val="6FC53187"/>
    <w:rsid w:val="6FCE4375"/>
    <w:rsid w:val="6FD3032B"/>
    <w:rsid w:val="6FDB55D0"/>
    <w:rsid w:val="6FE4396C"/>
    <w:rsid w:val="6FE93249"/>
    <w:rsid w:val="6FFB3479"/>
    <w:rsid w:val="6FFD7709"/>
    <w:rsid w:val="7001090D"/>
    <w:rsid w:val="700910BA"/>
    <w:rsid w:val="702D6286"/>
    <w:rsid w:val="706247DB"/>
    <w:rsid w:val="706B3EB8"/>
    <w:rsid w:val="707149A2"/>
    <w:rsid w:val="70812FE7"/>
    <w:rsid w:val="70827D2B"/>
    <w:rsid w:val="709779C9"/>
    <w:rsid w:val="70982A51"/>
    <w:rsid w:val="70DF36C1"/>
    <w:rsid w:val="70E05BBA"/>
    <w:rsid w:val="71041996"/>
    <w:rsid w:val="71341527"/>
    <w:rsid w:val="71383E8B"/>
    <w:rsid w:val="713E4E22"/>
    <w:rsid w:val="71455E8F"/>
    <w:rsid w:val="71551D80"/>
    <w:rsid w:val="719B43F2"/>
    <w:rsid w:val="719D4AD1"/>
    <w:rsid w:val="71C44FBC"/>
    <w:rsid w:val="71F50C85"/>
    <w:rsid w:val="7240030F"/>
    <w:rsid w:val="72417AB9"/>
    <w:rsid w:val="72613DF1"/>
    <w:rsid w:val="727A7061"/>
    <w:rsid w:val="72953A77"/>
    <w:rsid w:val="72C60B5E"/>
    <w:rsid w:val="72CD7E53"/>
    <w:rsid w:val="72D51A93"/>
    <w:rsid w:val="72DB4CD1"/>
    <w:rsid w:val="72DC52F8"/>
    <w:rsid w:val="72F51C1D"/>
    <w:rsid w:val="73031B08"/>
    <w:rsid w:val="73162AB8"/>
    <w:rsid w:val="731F509A"/>
    <w:rsid w:val="73345818"/>
    <w:rsid w:val="73443457"/>
    <w:rsid w:val="735E50FB"/>
    <w:rsid w:val="73782115"/>
    <w:rsid w:val="7383797D"/>
    <w:rsid w:val="73A23474"/>
    <w:rsid w:val="73B57597"/>
    <w:rsid w:val="73C910A3"/>
    <w:rsid w:val="73D96FF7"/>
    <w:rsid w:val="741F2B6E"/>
    <w:rsid w:val="74261FB2"/>
    <w:rsid w:val="743B0372"/>
    <w:rsid w:val="74556998"/>
    <w:rsid w:val="745B2C64"/>
    <w:rsid w:val="747F7695"/>
    <w:rsid w:val="74815C6A"/>
    <w:rsid w:val="74934DDC"/>
    <w:rsid w:val="74B22566"/>
    <w:rsid w:val="74B577C1"/>
    <w:rsid w:val="74DB41A1"/>
    <w:rsid w:val="75157A83"/>
    <w:rsid w:val="751C658E"/>
    <w:rsid w:val="75254F5B"/>
    <w:rsid w:val="752862B7"/>
    <w:rsid w:val="75333069"/>
    <w:rsid w:val="753A2F94"/>
    <w:rsid w:val="753D49D9"/>
    <w:rsid w:val="75492238"/>
    <w:rsid w:val="75984460"/>
    <w:rsid w:val="75A04D5B"/>
    <w:rsid w:val="75A72CCB"/>
    <w:rsid w:val="75DD0B81"/>
    <w:rsid w:val="761634C4"/>
    <w:rsid w:val="76406639"/>
    <w:rsid w:val="7641097A"/>
    <w:rsid w:val="76437287"/>
    <w:rsid w:val="76797FDB"/>
    <w:rsid w:val="76875D36"/>
    <w:rsid w:val="76B34156"/>
    <w:rsid w:val="76E72756"/>
    <w:rsid w:val="77104A47"/>
    <w:rsid w:val="772A02CD"/>
    <w:rsid w:val="77660698"/>
    <w:rsid w:val="77701812"/>
    <w:rsid w:val="77950C6E"/>
    <w:rsid w:val="77A34B0F"/>
    <w:rsid w:val="77AA1EDD"/>
    <w:rsid w:val="77C1059D"/>
    <w:rsid w:val="77DF75E0"/>
    <w:rsid w:val="77F34632"/>
    <w:rsid w:val="77F67257"/>
    <w:rsid w:val="77FC131B"/>
    <w:rsid w:val="780358A9"/>
    <w:rsid w:val="78143870"/>
    <w:rsid w:val="783D58E3"/>
    <w:rsid w:val="78A546FD"/>
    <w:rsid w:val="78A830C7"/>
    <w:rsid w:val="78AB4BB7"/>
    <w:rsid w:val="78D0048E"/>
    <w:rsid w:val="78E05550"/>
    <w:rsid w:val="78E05C43"/>
    <w:rsid w:val="78E125CE"/>
    <w:rsid w:val="78E536C4"/>
    <w:rsid w:val="78F348F2"/>
    <w:rsid w:val="79201FA7"/>
    <w:rsid w:val="792213E1"/>
    <w:rsid w:val="792B2D45"/>
    <w:rsid w:val="793B4D24"/>
    <w:rsid w:val="794B7537"/>
    <w:rsid w:val="798F2AF2"/>
    <w:rsid w:val="799631B9"/>
    <w:rsid w:val="79970C64"/>
    <w:rsid w:val="79A947AE"/>
    <w:rsid w:val="79AC3305"/>
    <w:rsid w:val="79B43785"/>
    <w:rsid w:val="79CE6DF0"/>
    <w:rsid w:val="7A1C17B7"/>
    <w:rsid w:val="7A1E34AC"/>
    <w:rsid w:val="7A204F4D"/>
    <w:rsid w:val="7A2C501E"/>
    <w:rsid w:val="7A301ED1"/>
    <w:rsid w:val="7A5B6EF4"/>
    <w:rsid w:val="7A9573C9"/>
    <w:rsid w:val="7A98733C"/>
    <w:rsid w:val="7AB00950"/>
    <w:rsid w:val="7AB578FC"/>
    <w:rsid w:val="7AB93AD6"/>
    <w:rsid w:val="7ABF22A2"/>
    <w:rsid w:val="7AE371F5"/>
    <w:rsid w:val="7AE8618D"/>
    <w:rsid w:val="7B0A4D75"/>
    <w:rsid w:val="7B460C77"/>
    <w:rsid w:val="7B4B04E9"/>
    <w:rsid w:val="7B5468E1"/>
    <w:rsid w:val="7B5615C9"/>
    <w:rsid w:val="7B5F8CF6"/>
    <w:rsid w:val="7B676B0E"/>
    <w:rsid w:val="7B866719"/>
    <w:rsid w:val="7B876E2F"/>
    <w:rsid w:val="7B9B51CE"/>
    <w:rsid w:val="7BBC7F06"/>
    <w:rsid w:val="7BC97788"/>
    <w:rsid w:val="7BE06E4C"/>
    <w:rsid w:val="7BE76AAF"/>
    <w:rsid w:val="7BEB5F65"/>
    <w:rsid w:val="7C22419B"/>
    <w:rsid w:val="7C292921"/>
    <w:rsid w:val="7C3359C2"/>
    <w:rsid w:val="7C414133"/>
    <w:rsid w:val="7C4C5556"/>
    <w:rsid w:val="7C4F5DA0"/>
    <w:rsid w:val="7C754ED8"/>
    <w:rsid w:val="7C8F32DA"/>
    <w:rsid w:val="7CAE6553"/>
    <w:rsid w:val="7CB14210"/>
    <w:rsid w:val="7CE706DB"/>
    <w:rsid w:val="7CF17FFD"/>
    <w:rsid w:val="7D0A274B"/>
    <w:rsid w:val="7D29174B"/>
    <w:rsid w:val="7D32766A"/>
    <w:rsid w:val="7D332ACA"/>
    <w:rsid w:val="7D684372"/>
    <w:rsid w:val="7D6A2B5F"/>
    <w:rsid w:val="7DB16FCC"/>
    <w:rsid w:val="7DBB1D68"/>
    <w:rsid w:val="7DC55C93"/>
    <w:rsid w:val="7DD601AF"/>
    <w:rsid w:val="7DDF2D9D"/>
    <w:rsid w:val="7DDF67F2"/>
    <w:rsid w:val="7E1B7F2D"/>
    <w:rsid w:val="7E31544E"/>
    <w:rsid w:val="7E42189C"/>
    <w:rsid w:val="7E440313"/>
    <w:rsid w:val="7E4A3DEF"/>
    <w:rsid w:val="7E5B6364"/>
    <w:rsid w:val="7E6F4FD0"/>
    <w:rsid w:val="7E7062A0"/>
    <w:rsid w:val="7EB0669D"/>
    <w:rsid w:val="7EC60394"/>
    <w:rsid w:val="7EF012D1"/>
    <w:rsid w:val="7EFD6E57"/>
    <w:rsid w:val="7F112ED5"/>
    <w:rsid w:val="7F4208C6"/>
    <w:rsid w:val="7F7165C8"/>
    <w:rsid w:val="7F816F43"/>
    <w:rsid w:val="7F850E80"/>
    <w:rsid w:val="7FE74168"/>
    <w:rsid w:val="FFFB5E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snapToGrid w:val="0"/>
      <w:spacing w:line="360" w:lineRule="auto"/>
      <w:ind w:firstLine="602" w:firstLineChars="200"/>
      <w:jc w:val="center"/>
      <w:outlineLvl w:val="0"/>
    </w:pPr>
    <w:rPr>
      <w:rFonts w:ascii="Times New Roman" w:hAnsi="Times New Roman" w:eastAsia="宋体"/>
      <w:b/>
      <w:kern w:val="44"/>
      <w:sz w:val="32"/>
    </w:rPr>
  </w:style>
  <w:style w:type="paragraph" w:styleId="3">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4">
    <w:name w:val="heading 3"/>
    <w:basedOn w:val="1"/>
    <w:next w:val="1"/>
    <w:unhideWhenUsed/>
    <w:qFormat/>
    <w:uiPriority w:val="0"/>
    <w:pPr>
      <w:keepNext/>
      <w:keepLines/>
      <w:numPr>
        <w:ilvl w:val="0"/>
        <w:numId w:val="1"/>
      </w:numPr>
      <w:adjustRightInd w:val="0"/>
      <w:snapToGrid w:val="0"/>
      <w:spacing w:line="360" w:lineRule="auto"/>
      <w:ind w:firstLine="602" w:firstLineChars="200"/>
      <w:outlineLvl w:val="2"/>
    </w:pPr>
    <w:rPr>
      <w:b/>
      <w:sz w:val="32"/>
    </w:rPr>
  </w:style>
  <w:style w:type="paragraph" w:styleId="5">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annotation text"/>
    <w:basedOn w:val="1"/>
    <w:link w:val="48"/>
    <w:qFormat/>
    <w:uiPriority w:val="0"/>
    <w:pPr>
      <w:jc w:val="left"/>
    </w:pPr>
  </w:style>
  <w:style w:type="paragraph" w:styleId="9">
    <w:name w:val="Body Text"/>
    <w:basedOn w:val="1"/>
    <w:next w:val="1"/>
    <w:qFormat/>
    <w:uiPriority w:val="99"/>
  </w:style>
  <w:style w:type="paragraph" w:styleId="10">
    <w:name w:val="Body Text Indent"/>
    <w:basedOn w:val="1"/>
    <w:qFormat/>
    <w:uiPriority w:val="0"/>
    <w:pPr>
      <w:spacing w:after="120"/>
      <w:ind w:left="420" w:leftChars="200"/>
    </w:pPr>
  </w:style>
  <w:style w:type="paragraph" w:styleId="11">
    <w:name w:val="Plain Text"/>
    <w:basedOn w:val="1"/>
    <w:link w:val="36"/>
    <w:qFormat/>
    <w:uiPriority w:val="0"/>
    <w:pPr>
      <w:spacing w:line="360" w:lineRule="auto"/>
    </w:pPr>
    <w:rPr>
      <w:rFonts w:ascii="宋体" w:hAnsi="宋体" w:cs="Courier New"/>
      <w:b/>
      <w:bCs/>
      <w:color w:val="FF0000"/>
      <w:sz w:val="24"/>
      <w:szCs w:val="21"/>
    </w:r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4"/>
    <w:basedOn w:val="1"/>
    <w:next w:val="1"/>
    <w:unhideWhenUsed/>
    <w:qFormat/>
    <w:uiPriority w:val="39"/>
    <w:pPr>
      <w:ind w:left="1260" w:leftChars="600"/>
    </w:pPr>
    <w:rPr>
      <w:szCs w:val="24"/>
    </w:rPr>
  </w:style>
  <w:style w:type="paragraph" w:styleId="18">
    <w:name w:val="Body Text Indent 3"/>
    <w:basedOn w:val="1"/>
    <w:qFormat/>
    <w:uiPriority w:val="0"/>
    <w:pPr>
      <w:topLinePunct/>
      <w:spacing w:line="360" w:lineRule="auto"/>
      <w:ind w:left="199" w:leftChars="95" w:firstLine="210" w:firstLineChars="100"/>
    </w:pPr>
    <w:rPr>
      <w:color w:val="000000"/>
    </w:rPr>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8"/>
    <w:next w:val="8"/>
    <w:link w:val="49"/>
    <w:qFormat/>
    <w:uiPriority w:val="0"/>
    <w:rPr>
      <w:b/>
      <w:bCs/>
    </w:rPr>
  </w:style>
  <w:style w:type="paragraph" w:styleId="22">
    <w:name w:val="Body Text First Indent"/>
    <w:basedOn w:val="9"/>
    <w:next w:val="1"/>
    <w:qFormat/>
    <w:uiPriority w:val="99"/>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sz w:val="24"/>
      <w:szCs w:val="24"/>
    </w:rPr>
  </w:style>
  <w:style w:type="character" w:styleId="28">
    <w:name w:val="page number"/>
    <w:basedOn w:val="26"/>
    <w:qFormat/>
    <w:uiPriority w:val="0"/>
  </w:style>
  <w:style w:type="character" w:styleId="29">
    <w:name w:val="FollowedHyperlink"/>
    <w:basedOn w:val="26"/>
    <w:qFormat/>
    <w:uiPriority w:val="0"/>
    <w:rPr>
      <w:rFonts w:hint="eastAsia" w:ascii="宋体" w:hAnsi="宋体" w:eastAsia="宋体" w:cs="宋体"/>
      <w:color w:val="000000"/>
      <w:sz w:val="18"/>
      <w:szCs w:val="18"/>
      <w:u w:val="none"/>
    </w:rPr>
  </w:style>
  <w:style w:type="character" w:styleId="30">
    <w:name w:val="Hyperlink"/>
    <w:basedOn w:val="26"/>
    <w:qFormat/>
    <w:uiPriority w:val="0"/>
    <w:rPr>
      <w:rFonts w:hint="eastAsia" w:ascii="宋体" w:hAnsi="宋体" w:eastAsia="宋体" w:cs="宋体"/>
      <w:color w:val="000000"/>
      <w:sz w:val="18"/>
      <w:szCs w:val="18"/>
      <w:u w:val="none"/>
    </w:rPr>
  </w:style>
  <w:style w:type="character" w:styleId="31">
    <w:name w:val="annotation reference"/>
    <w:basedOn w:val="26"/>
    <w:qFormat/>
    <w:uiPriority w:val="0"/>
    <w:rPr>
      <w:sz w:val="21"/>
      <w:szCs w:val="21"/>
    </w:rPr>
  </w:style>
  <w:style w:type="paragraph" w:customStyle="1" w:styleId="32">
    <w:name w:val="Heading4"/>
    <w:basedOn w:val="1"/>
    <w:next w:val="1"/>
    <w:qFormat/>
    <w:uiPriority w:val="0"/>
    <w:pPr>
      <w:keepNext/>
      <w:textAlignment w:val="baseline"/>
    </w:pPr>
    <w:rPr>
      <w:color w:val="FF0000"/>
      <w:sz w:val="28"/>
      <w:u w:val="single"/>
    </w:rPr>
  </w:style>
  <w:style w:type="paragraph" w:customStyle="1" w:styleId="33">
    <w:name w:val="列表段落1"/>
    <w:basedOn w:val="1"/>
    <w:qFormat/>
    <w:uiPriority w:val="34"/>
    <w:pPr>
      <w:ind w:firstLine="420" w:firstLineChars="200"/>
    </w:pPr>
  </w:style>
  <w:style w:type="paragraph" w:customStyle="1" w:styleId="34">
    <w:name w:val="MessageHeader"/>
    <w:basedOn w:val="1"/>
    <w:next w:val="35"/>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sz w:val="28"/>
    </w:rPr>
  </w:style>
  <w:style w:type="paragraph" w:customStyle="1" w:styleId="35">
    <w:name w:val="BodyText"/>
    <w:basedOn w:val="1"/>
    <w:next w:val="1"/>
    <w:qFormat/>
    <w:uiPriority w:val="0"/>
    <w:pPr>
      <w:jc w:val="center"/>
      <w:textAlignment w:val="baseline"/>
    </w:pPr>
  </w:style>
  <w:style w:type="character" w:customStyle="1" w:styleId="36">
    <w:name w:val="纯文本 Char"/>
    <w:link w:val="11"/>
    <w:qFormat/>
    <w:uiPriority w:val="0"/>
    <w:rPr>
      <w:rFonts w:ascii="宋体" w:hAnsi="宋体" w:cs="Courier New" w:eastAsiaTheme="minorEastAsia"/>
      <w:b/>
      <w:bCs/>
      <w:color w:val="FF0000"/>
      <w:kern w:val="2"/>
      <w:sz w:val="24"/>
      <w:szCs w:val="21"/>
    </w:rPr>
  </w:style>
  <w:style w:type="character" w:customStyle="1" w:styleId="37">
    <w:name w:val="font41"/>
    <w:basedOn w:val="26"/>
    <w:qFormat/>
    <w:uiPriority w:val="0"/>
    <w:rPr>
      <w:rFonts w:hint="eastAsia" w:ascii="宋体" w:hAnsi="宋体" w:eastAsia="宋体" w:cs="宋体"/>
      <w:color w:val="000000"/>
      <w:sz w:val="22"/>
      <w:szCs w:val="22"/>
      <w:u w:val="none"/>
    </w:rPr>
  </w:style>
  <w:style w:type="character" w:customStyle="1" w:styleId="38">
    <w:name w:val="font11"/>
    <w:basedOn w:val="26"/>
    <w:qFormat/>
    <w:uiPriority w:val="0"/>
    <w:rPr>
      <w:rFonts w:hint="eastAsia" w:ascii="宋体" w:hAnsi="宋体" w:eastAsia="宋体" w:cs="宋体"/>
      <w:b/>
      <w:color w:val="000000"/>
      <w:sz w:val="22"/>
      <w:szCs w:val="22"/>
      <w:u w:val="none"/>
    </w:rPr>
  </w:style>
  <w:style w:type="paragraph" w:customStyle="1" w:styleId="39">
    <w:name w:val="列出段落1"/>
    <w:basedOn w:val="1"/>
    <w:unhideWhenUsed/>
    <w:qFormat/>
    <w:uiPriority w:val="99"/>
    <w:pPr>
      <w:ind w:firstLine="420" w:firstLineChars="200"/>
    </w:pPr>
  </w:style>
  <w:style w:type="character" w:customStyle="1" w:styleId="40">
    <w:name w:val="apple-converted-space"/>
    <w:basedOn w:val="26"/>
    <w:qFormat/>
    <w:uiPriority w:val="0"/>
  </w:style>
  <w:style w:type="character" w:customStyle="1" w:styleId="41">
    <w:name w:val="font31"/>
    <w:basedOn w:val="26"/>
    <w:qFormat/>
    <w:uiPriority w:val="0"/>
    <w:rPr>
      <w:rFonts w:hint="eastAsia" w:ascii="宋体" w:hAnsi="宋体" w:eastAsia="宋体" w:cs="宋体"/>
      <w:color w:val="000000"/>
      <w:sz w:val="22"/>
      <w:szCs w:val="22"/>
      <w:u w:val="none"/>
    </w:rPr>
  </w:style>
  <w:style w:type="paragraph" w:customStyle="1" w:styleId="42">
    <w:name w:val="1正文"/>
    <w:basedOn w:val="1"/>
    <w:qFormat/>
    <w:uiPriority w:val="0"/>
    <w:pPr>
      <w:spacing w:line="360" w:lineRule="auto"/>
      <w:ind w:firstLine="424" w:firstLineChars="202"/>
    </w:pPr>
    <w:rPr>
      <w:rFonts w:ascii="黑体" w:hAnsi="宋体" w:eastAsia="黑体"/>
      <w:kern w:val="0"/>
      <w:sz w:val="20"/>
    </w:rPr>
  </w:style>
  <w:style w:type="paragraph" w:customStyle="1" w:styleId="4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44">
    <w:name w:val="样式 首行缩进:  2 字符"/>
    <w:basedOn w:val="1"/>
    <w:qFormat/>
    <w:uiPriority w:val="0"/>
    <w:pPr>
      <w:ind w:firstLine="560"/>
    </w:pPr>
    <w:rPr>
      <w:rFonts w:eastAsia="仿宋_GB2312" w:cs="宋体"/>
      <w:sz w:val="24"/>
      <w:szCs w:val="20"/>
    </w:rPr>
  </w:style>
  <w:style w:type="paragraph" w:customStyle="1" w:styleId="45">
    <w:name w:val="样式9 Char"/>
    <w:basedOn w:val="1"/>
    <w:qFormat/>
    <w:uiPriority w:val="0"/>
    <w:pPr>
      <w:spacing w:line="440" w:lineRule="exact"/>
      <w:ind w:firstLine="200" w:firstLineChars="200"/>
    </w:pPr>
    <w:rPr>
      <w:spacing w:val="6"/>
      <w:szCs w:val="20"/>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批注框文本 Char"/>
    <w:basedOn w:val="26"/>
    <w:link w:val="13"/>
    <w:qFormat/>
    <w:uiPriority w:val="0"/>
    <w:rPr>
      <w:rFonts w:asciiTheme="minorHAnsi" w:hAnsiTheme="minorHAnsi" w:eastAsiaTheme="minorEastAsia" w:cstheme="minorBidi"/>
      <w:kern w:val="2"/>
      <w:sz w:val="18"/>
      <w:szCs w:val="18"/>
    </w:rPr>
  </w:style>
  <w:style w:type="character" w:customStyle="1" w:styleId="48">
    <w:name w:val="批注文字 Char"/>
    <w:basedOn w:val="26"/>
    <w:link w:val="8"/>
    <w:qFormat/>
    <w:uiPriority w:val="0"/>
    <w:rPr>
      <w:rFonts w:asciiTheme="minorHAnsi" w:hAnsiTheme="minorHAnsi" w:eastAsiaTheme="minorEastAsia" w:cstheme="minorBidi"/>
      <w:kern w:val="2"/>
      <w:sz w:val="21"/>
      <w:szCs w:val="22"/>
    </w:rPr>
  </w:style>
  <w:style w:type="character" w:customStyle="1" w:styleId="49">
    <w:name w:val="批注主题 Char"/>
    <w:basedOn w:val="48"/>
    <w:link w:val="21"/>
    <w:qFormat/>
    <w:uiPriority w:val="0"/>
    <w:rPr>
      <w:rFonts w:asciiTheme="minorHAnsi" w:hAnsiTheme="minorHAnsi" w:eastAsiaTheme="minorEastAsia" w:cstheme="minorBidi"/>
      <w:b/>
      <w:bCs/>
      <w:kern w:val="2"/>
      <w:sz w:val="21"/>
      <w:szCs w:val="22"/>
    </w:rPr>
  </w:style>
  <w:style w:type="paragraph" w:customStyle="1" w:styleId="50">
    <w:name w:val="_Style 3"/>
    <w:basedOn w:val="1"/>
    <w:qFormat/>
    <w:uiPriority w:val="34"/>
    <w:pPr>
      <w:ind w:firstLine="420" w:firstLineChars="200"/>
    </w:pPr>
  </w:style>
  <w:style w:type="character" w:customStyle="1" w:styleId="51">
    <w:name w:val="NormalCharacter"/>
    <w:qFormat/>
    <w:uiPriority w:val="0"/>
  </w:style>
  <w:style w:type="paragraph" w:customStyle="1" w:styleId="52">
    <w:name w:val="Table Paragraph"/>
    <w:basedOn w:val="1"/>
    <w:qFormat/>
    <w:uiPriority w:val="1"/>
    <w:rPr>
      <w:rFonts w:ascii="宋体" w:hAnsi="宋体" w:eastAsia="宋体" w:cs="宋体"/>
      <w:lang w:val="zh-CN" w:bidi="zh-CN"/>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13375</Words>
  <Characters>14295</Characters>
  <Lines>264</Lines>
  <Paragraphs>74</Paragraphs>
  <TotalTime>2</TotalTime>
  <ScaleCrop>false</ScaleCrop>
  <LinksUpToDate>false</LinksUpToDate>
  <CharactersWithSpaces>14564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2025-06-16T03:25:00Z</dcterms:created>
  <dc:creator>Administrator</dc:creator>
  <cp:lastModifiedBy>趁早</cp:lastModifiedBy>
  <cp:lastPrinted>2024-09-18T02:05:00Z</cp:lastPrinted>
  <dcterms:modified xsi:type="dcterms:W3CDTF">2025-07-01T07:45:20Z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A6BF4950C54D4140AD89DE1F1BACA44D</vt:lpwstr>
  </property>
  <property fmtid="{D5CDD505-2E9C-101B-9397-08002B2CF9AE}" pid="4" name="KSOTemplateDocerSaveRecord">
    <vt:lpwstr>eyJoZGlkIjoiYjZiYjcxNGE4NjViOGViYzVmNDI4NDA5ZjQ4NDY4OWUiLCJ1c2VySWQiOiIyNDE1Nzk0OTUifQ==</vt:lpwstr>
  </property>
</Properties>
</file>