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5A8AA">
      <w:pPr>
        <w:spacing w:line="336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采购需求</w:t>
      </w:r>
    </w:p>
    <w:p w14:paraId="7B0BB04E">
      <w:pPr>
        <w:spacing w:line="336" w:lineRule="auto"/>
        <w:rPr>
          <w:rFonts w:hint="eastAsia" w:ascii="仿宋" w:hAnsi="仿宋" w:eastAsia="仿宋" w:cs="仿宋"/>
          <w:b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一．招标内容</w:t>
      </w:r>
    </w:p>
    <w:p w14:paraId="41C7FD67">
      <w:pPr>
        <w:spacing w:line="336" w:lineRule="auto"/>
        <w:rPr>
          <w:rFonts w:hint="eastAsia" w:ascii="仿宋" w:hAnsi="仿宋" w:eastAsia="仿宋" w:cs="仿宋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sz w:val="20"/>
          <w:szCs w:val="20"/>
          <w:highlight w:val="none"/>
        </w:rPr>
        <w:t>1、项目名称：2025年烈属、军属和退役军人等家庭悬挂光荣牌项目</w:t>
      </w:r>
    </w:p>
    <w:p w14:paraId="0F9656A0">
      <w:pPr>
        <w:spacing w:line="336" w:lineRule="auto"/>
        <w:rPr>
          <w:rFonts w:hint="eastAsia" w:ascii="仿宋" w:hAnsi="仿宋" w:eastAsia="仿宋" w:cs="仿宋"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highlight w:val="none"/>
        </w:rPr>
        <w:t>2、交货期：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lang w:eastAsia="zh-CN"/>
        </w:rPr>
        <w:t>合同签订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lang w:val="en-US" w:eastAsia="zh-CN"/>
        </w:rPr>
        <w:t>后15个工作日内。</w:t>
      </w:r>
    </w:p>
    <w:p w14:paraId="02316507">
      <w:pPr>
        <w:spacing w:line="336" w:lineRule="auto"/>
        <w:rPr>
          <w:rFonts w:hint="eastAsia" w:ascii="仿宋" w:hAnsi="仿宋" w:eastAsia="仿宋" w:cs="仿宋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sz w:val="20"/>
          <w:szCs w:val="20"/>
          <w:highlight w:val="none"/>
        </w:rPr>
        <w:t>3、交货地点：配送至采购人指定地点</w:t>
      </w:r>
    </w:p>
    <w:p w14:paraId="421DB1DC">
      <w:pPr>
        <w:spacing w:line="336" w:lineRule="auto"/>
        <w:rPr>
          <w:rFonts w:hint="eastAsia" w:ascii="仿宋" w:hAnsi="仿宋" w:eastAsia="仿宋" w:cs="仿宋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highlight w:val="none"/>
          <w:lang w:val="en-US" w:eastAsia="zh-CN"/>
        </w:rPr>
        <w:t>4、项目预算：500000.00元</w:t>
      </w:r>
    </w:p>
    <w:p w14:paraId="2FF0E6C4">
      <w:pPr>
        <w:spacing w:line="336" w:lineRule="auto"/>
        <w:rPr>
          <w:rFonts w:hint="default" w:ascii="仿宋" w:hAnsi="仿宋" w:eastAsia="仿宋" w:cs="仿宋"/>
          <w:b/>
          <w:bCs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  <w:lang w:val="en-US" w:eastAsia="zh-CN"/>
        </w:rPr>
        <w:t>5、本项目为单价采购，单价最高限价为20元/个</w:t>
      </w:r>
    </w:p>
    <w:p w14:paraId="358F2803">
      <w:pPr>
        <w:spacing w:line="336" w:lineRule="auto"/>
        <w:rPr>
          <w:rFonts w:hint="eastAsia" w:ascii="仿宋" w:hAnsi="仿宋" w:eastAsia="仿宋" w:cs="仿宋"/>
          <w:b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二．技术要求</w:t>
      </w:r>
    </w:p>
    <w:p w14:paraId="0E28649D">
      <w:pPr>
        <w:spacing w:line="336" w:lineRule="auto"/>
        <w:rPr>
          <w:rFonts w:hint="eastAsia" w:ascii="仿宋" w:hAnsi="仿宋" w:eastAsia="仿宋" w:cs="仿宋"/>
          <w:b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</w:rPr>
        <w:t>（一）光荣</w:t>
      </w: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牌制作技术要求</w:t>
      </w:r>
    </w:p>
    <w:p w14:paraId="2AF53BBE">
      <w:pPr>
        <w:autoSpaceDE w:val="0"/>
        <w:autoSpaceDN w:val="0"/>
        <w:spacing w:line="336" w:lineRule="auto"/>
        <w:ind w:firstLine="201" w:firstLineChars="100"/>
        <w:jc w:val="left"/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</w:rPr>
        <w:t>1、品名:</w:t>
      </w: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t>“光荣之家”牌匾。</w:t>
      </w:r>
    </w:p>
    <w:p w14:paraId="1A24D25D">
      <w:pPr>
        <w:autoSpaceDE w:val="0"/>
        <w:autoSpaceDN w:val="0"/>
        <w:spacing w:line="336" w:lineRule="auto"/>
        <w:ind w:firstLine="201" w:firstLineChars="100"/>
        <w:jc w:val="left"/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0"/>
          <w:szCs w:val="20"/>
          <w:highlight w:val="none"/>
        </w:rPr>
        <w:t>2、</w:t>
      </w: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</w:rPr>
        <w:t>规格要求：</w:t>
      </w: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t>280毫米×135毫米，厚度1毫米。</w:t>
      </w:r>
    </w:p>
    <w:p w14:paraId="34DE1A5F">
      <w:pPr>
        <w:autoSpaceDE w:val="0"/>
        <w:autoSpaceDN w:val="0"/>
        <w:spacing w:line="336" w:lineRule="auto"/>
        <w:ind w:firstLine="201" w:firstLineChars="100"/>
        <w:jc w:val="left"/>
        <w:rPr>
          <w:rFonts w:hint="eastAsia" w:ascii="仿宋" w:hAnsi="仿宋" w:eastAsia="仿宋" w:cs="仿宋"/>
          <w:b w:val="0"/>
          <w:bCs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20"/>
          <w:szCs w:val="20"/>
          <w:highlight w:val="none"/>
          <w:lang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sz w:val="20"/>
          <w:szCs w:val="20"/>
          <w:highlight w:val="none"/>
        </w:rPr>
        <w:t>、材质及质量要求：</w:t>
      </w:r>
      <w:r>
        <w:rPr>
          <w:rFonts w:hint="eastAsia" w:ascii="仿宋" w:hAnsi="仿宋" w:eastAsia="仿宋" w:cs="仿宋"/>
          <w:b w:val="0"/>
          <w:bCs/>
          <w:color w:val="000000"/>
          <w:sz w:val="20"/>
          <w:szCs w:val="20"/>
          <w:highlight w:val="none"/>
        </w:rPr>
        <w:t>光荣牌（样式图附后）材质为钛金牌，底色为金黄色、沙底镀金；表面光泽，图案和字迹鲜艳、清晰、防腐蚀、防掉色、防褪色。</w:t>
      </w:r>
    </w:p>
    <w:p w14:paraId="6C94601E">
      <w:pPr>
        <w:autoSpaceDE w:val="0"/>
        <w:autoSpaceDN w:val="0"/>
        <w:spacing w:line="336" w:lineRule="auto"/>
        <w:ind w:firstLine="201" w:firstLineChars="100"/>
        <w:jc w:val="left"/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  <w:lang w:eastAsia="zh-CN"/>
        </w:rPr>
        <w:t>4</w:t>
      </w: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</w:rPr>
        <w:t>、工艺细节要求：</w:t>
      </w:r>
      <w:r>
        <w:rPr>
          <w:rFonts w:hint="eastAsia" w:ascii="仿宋" w:hAnsi="仿宋" w:eastAsia="仿宋" w:cs="仿宋"/>
          <w:b w:val="0"/>
          <w:bCs/>
          <w:color w:val="000000"/>
          <w:sz w:val="20"/>
          <w:szCs w:val="20"/>
          <w:highlight w:val="none"/>
        </w:rPr>
        <w:t>“光荣之家”字样为红色套亮金边，方正魏碑简体132号字，四个字规格为202毫米×43毫米，距上边31毫米，左右居中；“陕西省人民政府”字样为方正宋体黑色32号简体字，规格为82毫米×11毫米，距下边29毫米，距右边32毫米；左下角配长城图案、亮金色，规格为155毫米×36毫米，距下边15毫米，距左边16毫米；红色花边宽4毫米，距边缘10毫米，花边内线粗0.7毫米，花边外线粗1毫米。右下花边内“退役军人事务部监制”字样为方正宋体黑色20号字，规格为73毫米×6.8毫米，距下边16.5毫米，与“ 陕西省人民政府”右端对齐</w:t>
      </w: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t>。</w:t>
      </w:r>
    </w:p>
    <w:p w14:paraId="694CC920">
      <w:pPr>
        <w:spacing w:line="336" w:lineRule="auto"/>
        <w:ind w:firstLine="201" w:firstLineChars="100"/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  <w:lang w:eastAsia="zh-CN"/>
        </w:rPr>
        <w:t>5</w:t>
      </w: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</w:rPr>
        <w:t>、装订要求：</w:t>
      </w: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t xml:space="preserve">钉装、胶粘两用挂装装置；四角内工艺镙钉，钉眼光滑处理，每块光荣牌配备4枚钉子颜色与钛金板颜色一致钢钉（样式图附后）；背面用防水强力双面胶全覆盖。 </w:t>
      </w:r>
    </w:p>
    <w:p w14:paraId="2606E36E">
      <w:pPr>
        <w:autoSpaceDE w:val="0"/>
        <w:autoSpaceDN w:val="0"/>
        <w:spacing w:line="336" w:lineRule="auto"/>
        <w:ind w:firstLine="201" w:firstLineChars="100"/>
        <w:jc w:val="left"/>
        <w:rPr>
          <w:rFonts w:hint="eastAsia" w:ascii="仿宋" w:hAnsi="仿宋" w:eastAsia="仿宋" w:cs="仿宋"/>
          <w:color w:val="000000"/>
          <w:sz w:val="20"/>
          <w:szCs w:val="2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  <w:lang w:eastAsia="zh-CN"/>
        </w:rPr>
        <w:t>6</w:t>
      </w:r>
      <w:r>
        <w:rPr>
          <w:rFonts w:hint="eastAsia" w:ascii="仿宋" w:hAnsi="仿宋" w:eastAsia="仿宋" w:cs="仿宋"/>
          <w:b/>
          <w:color w:val="000000"/>
          <w:sz w:val="20"/>
          <w:szCs w:val="20"/>
          <w:highlight w:val="none"/>
        </w:rPr>
        <w:t>、包装要求：</w:t>
      </w:r>
      <w:r>
        <w:rPr>
          <w:rFonts w:hint="eastAsia" w:ascii="仿宋" w:hAnsi="仿宋" w:eastAsia="仿宋" w:cs="仿宋"/>
          <w:sz w:val="20"/>
          <w:szCs w:val="20"/>
          <w:highlight w:val="none"/>
        </w:rPr>
        <w:t>投标人应提供完备的技术资料、装箱单和合格证等，</w:t>
      </w: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t>每个光荣牌采用高档PE共挤膜气泡信封独立包装。50个一箱，箱子有防雨、防潮、防锈、防震保护。</w:t>
      </w:r>
    </w:p>
    <w:p w14:paraId="1A9AC851">
      <w:pPr>
        <w:spacing w:line="336" w:lineRule="auto"/>
        <w:rPr>
          <w:rFonts w:hint="eastAsia" w:ascii="仿宋" w:hAnsi="仿宋" w:eastAsia="仿宋" w:cs="仿宋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（</w:t>
      </w:r>
      <w:r>
        <w:rPr>
          <w:rFonts w:hint="eastAsia" w:ascii="仿宋" w:hAnsi="仿宋" w:eastAsia="仿宋" w:cs="仿宋"/>
          <w:b/>
          <w:sz w:val="20"/>
          <w:szCs w:val="20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）</w:t>
      </w:r>
      <w:r>
        <w:rPr>
          <w:rFonts w:hint="eastAsia" w:ascii="仿宋" w:hAnsi="仿宋" w:eastAsia="仿宋" w:cs="仿宋"/>
          <w:sz w:val="20"/>
          <w:szCs w:val="20"/>
          <w:highlight w:val="none"/>
        </w:rPr>
        <w:t>如所供货物出现质量问题，采购人在付款期内随时有权停止付款，待投标人对该货物满足采购人条件后再行付款。付款的时间则相应顺延。</w:t>
      </w:r>
    </w:p>
    <w:p w14:paraId="32FA9568">
      <w:pPr>
        <w:spacing w:line="336" w:lineRule="auto"/>
        <w:rPr>
          <w:rFonts w:hint="eastAsia" w:ascii="仿宋" w:hAnsi="仿宋" w:eastAsia="仿宋" w:cs="仿宋"/>
          <w:b/>
          <w:bCs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0"/>
          <w:szCs w:val="20"/>
          <w:highlight w:val="none"/>
        </w:rPr>
        <w:t>（</w:t>
      </w:r>
      <w:r>
        <w:rPr>
          <w:rFonts w:hint="eastAsia" w:ascii="仿宋" w:hAnsi="仿宋" w:eastAsia="仿宋" w:cs="仿宋"/>
          <w:b/>
          <w:bCs w:val="0"/>
          <w:sz w:val="20"/>
          <w:szCs w:val="20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0"/>
          <w:szCs w:val="20"/>
          <w:highlight w:val="none"/>
        </w:rPr>
        <w:t>）其他要求</w:t>
      </w:r>
    </w:p>
    <w:p w14:paraId="033CD7C4">
      <w:pPr>
        <w:spacing w:line="336" w:lineRule="auto"/>
        <w:rPr>
          <w:rFonts w:hint="eastAsia" w:ascii="仿宋" w:hAnsi="仿宋" w:eastAsia="仿宋" w:cs="仿宋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1、产品质量检验：</w:t>
      </w:r>
      <w:r>
        <w:rPr>
          <w:rFonts w:hint="eastAsia" w:ascii="仿宋" w:hAnsi="仿宋" w:eastAsia="仿宋" w:cs="仿宋"/>
          <w:sz w:val="20"/>
          <w:szCs w:val="20"/>
          <w:highlight w:val="none"/>
        </w:rPr>
        <w:t>光荣牌质量须符合招标文件中规定的技术规范参数。</w:t>
      </w:r>
    </w:p>
    <w:p w14:paraId="72DD4F0E">
      <w:pPr>
        <w:spacing w:line="336" w:lineRule="auto"/>
        <w:rPr>
          <w:rFonts w:hint="eastAsia" w:ascii="仿宋" w:hAnsi="仿宋" w:eastAsia="仿宋" w:cs="仿宋"/>
          <w:b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2、废品销毁：</w:t>
      </w:r>
    </w:p>
    <w:p w14:paraId="2C4C32DE">
      <w:pPr>
        <w:spacing w:line="336" w:lineRule="auto"/>
        <w:rPr>
          <w:rFonts w:hint="eastAsia" w:ascii="仿宋" w:hAnsi="仿宋" w:eastAsia="仿宋" w:cs="仿宋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0"/>
          <w:szCs w:val="20"/>
          <w:highlight w:val="none"/>
        </w:rPr>
        <w:t>（1）如果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产品质量与合同规定的标准不符，由投标人负责更换，如更换后仍不能达到规定标准，采购人有权退货。</w:t>
      </w:r>
    </w:p>
    <w:p w14:paraId="66CD4DB3">
      <w:pPr>
        <w:spacing w:line="336" w:lineRule="auto"/>
        <w:rPr>
          <w:rFonts w:hint="eastAsia" w:ascii="仿宋" w:hAnsi="仿宋" w:eastAsia="仿宋" w:cs="仿宋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（2）投标人生产过程中产生的不合格产品，以及后续因质量不合格需更换的产品，在采购人监督下实行废品销毁制度，严格杜绝流入市场。如若违约，须承担相应法律责任。</w:t>
      </w:r>
    </w:p>
    <w:p w14:paraId="57AA9091">
      <w:pPr>
        <w:spacing w:line="336" w:lineRule="auto"/>
        <w:rPr>
          <w:rFonts w:hint="default" w:ascii="仿宋" w:hAnsi="仿宋" w:eastAsia="仿宋" w:cs="仿宋"/>
          <w:b w:val="0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3、投标报价包含完成该项目工作所发生的全部费用，包括但不限于供应商利润、货物包装价格、货物运送到甲方指定现场的运费、税金和政策性文件规定及合同包含的所有风险、责任等一切费用。</w:t>
      </w:r>
    </w:p>
    <w:p w14:paraId="564CC979">
      <w:pPr>
        <w:spacing w:line="336" w:lineRule="auto"/>
        <w:rPr>
          <w:rFonts w:hint="eastAsia" w:ascii="仿宋" w:hAnsi="仿宋" w:eastAsia="仿宋" w:cs="仿宋"/>
          <w:b w:val="0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4、付款方式：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签订合同后，达到付款条件起15日内，支付合同总金额的50.00%；项目完成并经采购人验收合格后 ，达到付款条件起 15日内，支付合同总金额的 50.00%。</w:t>
      </w:r>
    </w:p>
    <w:p w14:paraId="07FDC5E5">
      <w:pPr>
        <w:rPr>
          <w:rFonts w:hint="eastAsia" w:ascii="仿宋" w:hAnsi="仿宋" w:eastAsia="仿宋" w:cs="仿宋"/>
          <w:b/>
          <w:bCs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>、光荣牌样式图</w:t>
      </w: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>螺钉参考图</w:t>
      </w: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  <w:lang w:eastAsia="zh-CN"/>
        </w:rPr>
        <w:t>、胀管参考图</w:t>
      </w: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  <w:lang w:val="en-US" w:eastAsia="zh-CN"/>
        </w:rPr>
        <w:t>详见附件</w:t>
      </w:r>
    </w:p>
    <w:p w14:paraId="52FFE0D1">
      <w:pP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>（1）附图1</w:t>
      </w:r>
    </w:p>
    <w:p w14:paraId="2CA4263B">
      <w:pPr>
        <w:snapToGrid w:val="0"/>
        <w:spacing w:line="590" w:lineRule="exact"/>
        <w:jc w:val="center"/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 xml:space="preserve">光荣牌样式图 </w:t>
      </w:r>
    </w:p>
    <w:p w14:paraId="66225694">
      <w:pP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drawing>
          <wp:inline distT="0" distB="0" distL="0" distR="0">
            <wp:extent cx="5274310" cy="2966720"/>
            <wp:effectExtent l="0" t="0" r="2540" b="5080"/>
            <wp:docPr id="7" name="图片 1" descr="https://app.www.gov.cn/govdata/gov/201807/31/427581/picture_246520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https://app.www.gov.cn/govdata/gov/201807/31/427581/picture_246520@2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A6F1">
      <w:pPr>
        <w:rPr>
          <w:rFonts w:hint="eastAsia" w:ascii="仿宋" w:hAnsi="仿宋" w:eastAsia="仿宋" w:cs="仿宋"/>
          <w:sz w:val="20"/>
          <w:szCs w:val="20"/>
          <w:highlight w:val="none"/>
        </w:rPr>
      </w:pPr>
    </w:p>
    <w:p w14:paraId="2D0E40C0">
      <w:pPr>
        <w:rPr>
          <w:rFonts w:hint="eastAsia" w:ascii="仿宋" w:hAnsi="仿宋" w:eastAsia="仿宋" w:cs="仿宋"/>
          <w:b/>
          <w:bCs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 xml:space="preserve">（2） 附图2 </w:t>
      </w:r>
    </w:p>
    <w:p w14:paraId="2341D945">
      <w:pPr>
        <w:jc w:val="center"/>
        <w:rPr>
          <w:rFonts w:hint="eastAsia" w:ascii="仿宋" w:hAnsi="仿宋" w:eastAsia="仿宋" w:cs="仿宋"/>
          <w:b/>
          <w:bCs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>螺钉参考图</w:t>
      </w:r>
    </w:p>
    <w:p w14:paraId="0EF5781B">
      <w:pPr>
        <w:jc w:val="center"/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drawing>
          <wp:inline distT="0" distB="0" distL="114300" distR="114300">
            <wp:extent cx="3041650" cy="16192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r="27991" b="-98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960B">
      <w:pPr>
        <w:rPr>
          <w:rFonts w:hint="eastAsia" w:ascii="仿宋" w:hAnsi="仿宋" w:eastAsia="仿宋" w:cs="仿宋"/>
          <w:sz w:val="20"/>
          <w:szCs w:val="20"/>
          <w:highlight w:val="none"/>
        </w:rPr>
      </w:pPr>
    </w:p>
    <w:p w14:paraId="1248762F">
      <w:pPr>
        <w:rPr>
          <w:rFonts w:hint="eastAsia" w:ascii="仿宋" w:hAnsi="仿宋" w:eastAsia="仿宋" w:cs="仿宋"/>
          <w:sz w:val="20"/>
          <w:szCs w:val="20"/>
          <w:highlight w:val="none"/>
        </w:rPr>
      </w:pPr>
    </w:p>
    <w:p w14:paraId="4E9112EB">
      <w:pPr>
        <w:rPr>
          <w:rFonts w:hint="eastAsia" w:ascii="仿宋" w:hAnsi="仿宋" w:eastAsia="仿宋" w:cs="仿宋"/>
          <w:b/>
          <w:bCs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>(3)附图3</w:t>
      </w:r>
    </w:p>
    <w:p w14:paraId="24370B4A">
      <w:pPr>
        <w:jc w:val="center"/>
        <w:rPr>
          <w:rFonts w:hint="eastAsia" w:ascii="仿宋" w:hAnsi="仿宋" w:eastAsia="仿宋" w:cs="仿宋"/>
          <w:b/>
          <w:bCs/>
          <w:color w:val="00000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highlight w:val="none"/>
        </w:rPr>
        <w:t>胀管参考图</w:t>
      </w:r>
    </w:p>
    <w:p w14:paraId="2E152DC0">
      <w:pPr>
        <w:jc w:val="center"/>
      </w:pPr>
      <w:r>
        <w:rPr>
          <w:rFonts w:hint="eastAsia" w:ascii="仿宋" w:hAnsi="仿宋" w:eastAsia="仿宋" w:cs="仿宋"/>
          <w:color w:val="000000"/>
          <w:sz w:val="20"/>
          <w:szCs w:val="20"/>
          <w:highlight w:val="none"/>
        </w:rPr>
        <w:drawing>
          <wp:inline distT="0" distB="0" distL="114300" distR="114300">
            <wp:extent cx="3009900" cy="17843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1C62">
      <w:pPr>
        <w:rPr>
          <w:rFonts w:hint="default" w:ascii="仿宋" w:hAnsi="仿宋" w:eastAsia="仿宋" w:cs="仿宋"/>
          <w:b/>
          <w:bCs/>
          <w:sz w:val="20"/>
          <w:szCs w:val="20"/>
          <w:highlight w:val="none"/>
          <w:lang w:val="en-US" w:eastAsia="zh-CN"/>
        </w:rPr>
      </w:pPr>
    </w:p>
    <w:p w14:paraId="1DDC2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 w:val="0"/>
          <w:kern w:val="44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（</w:t>
      </w:r>
      <w:r>
        <w:rPr>
          <w:rFonts w:hint="eastAsia" w:ascii="仿宋" w:hAnsi="仿宋" w:eastAsia="仿宋" w:cs="仿宋"/>
          <w:b/>
          <w:sz w:val="20"/>
          <w:szCs w:val="20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0"/>
          <w:szCs w:val="20"/>
          <w:highlight w:val="none"/>
        </w:rPr>
        <w:t>）</w:t>
      </w:r>
      <w:r>
        <w:rPr>
          <w:rFonts w:hint="eastAsia" w:ascii="仿宋" w:hAnsi="仿宋" w:eastAsia="仿宋" w:cs="仿宋"/>
          <w:b/>
          <w:bCs w:val="0"/>
          <w:kern w:val="44"/>
          <w:sz w:val="20"/>
          <w:szCs w:val="20"/>
          <w:highlight w:val="none"/>
          <w:lang w:val="en-US" w:eastAsia="zh-CN" w:bidi="ar-SA"/>
        </w:rPr>
        <w:t>样品递交要求</w:t>
      </w:r>
    </w:p>
    <w:p w14:paraId="2B10421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5"/>
        <w:jc w:val="left"/>
        <w:textAlignment w:val="auto"/>
        <w:rPr>
          <w:rFonts w:hint="eastAsia" w:ascii="仿宋" w:hAnsi="仿宋" w:eastAsia="仿宋" w:cs="仿宋"/>
          <w:b/>
          <w:bCs w:val="0"/>
          <w:kern w:val="44"/>
          <w:sz w:val="20"/>
          <w:szCs w:val="20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20"/>
          <w:szCs w:val="20"/>
          <w:highlight w:val="none"/>
          <w:lang w:val="en-US" w:eastAsia="zh-CN" w:bidi="ar-SA"/>
        </w:rPr>
        <w:t>1.投标人须按要求提供样品（数量：1套），</w:t>
      </w:r>
      <w:r>
        <w:rPr>
          <w:rFonts w:hint="eastAsia" w:ascii="仿宋" w:hAnsi="仿宋" w:eastAsia="仿宋" w:cs="仿宋"/>
          <w:b/>
          <w:bCs w:val="0"/>
          <w:sz w:val="20"/>
          <w:szCs w:val="20"/>
          <w:highlight w:val="none"/>
        </w:rPr>
        <w:t>须包括光荣牌（两块，一块背面用防水强力双面胶全覆盖，一块无须粘胶）</w:t>
      </w:r>
      <w:r>
        <w:rPr>
          <w:rFonts w:hint="eastAsia" w:ascii="仿宋" w:hAnsi="仿宋" w:eastAsia="仿宋" w:cs="仿宋"/>
          <w:b/>
          <w:bCs w:val="0"/>
          <w:sz w:val="20"/>
          <w:szCs w:val="20"/>
          <w:highlight w:val="none"/>
          <w:lang w:eastAsia="zh-CN"/>
        </w:rPr>
        <w:t>、安装辅材（钉装、胶粘）、</w:t>
      </w:r>
      <w:r>
        <w:rPr>
          <w:rFonts w:hint="eastAsia" w:ascii="仿宋" w:hAnsi="仿宋" w:eastAsia="仿宋" w:cs="仿宋"/>
          <w:b/>
          <w:bCs w:val="0"/>
          <w:sz w:val="20"/>
          <w:szCs w:val="20"/>
          <w:highlight w:val="none"/>
        </w:rPr>
        <w:t>每个光荣牌的包装材料（高档PE共挤膜气泡信封）及外包装箱子。</w:t>
      </w:r>
    </w:p>
    <w:p w14:paraId="163D1A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5"/>
        <w:jc w:val="left"/>
        <w:textAlignment w:val="auto"/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  <w:t>2.样品递交要求：</w:t>
      </w:r>
    </w:p>
    <w:p w14:paraId="2B3D7D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5"/>
        <w:jc w:val="left"/>
        <w:textAlignment w:val="auto"/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  <w:t>（1）递交样品截止时间：同投标文件递交截止时间一致，逾期未交的，视为放弃递交样品；</w:t>
      </w:r>
    </w:p>
    <w:p w14:paraId="12C148F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5"/>
        <w:jc w:val="left"/>
        <w:textAlignment w:val="auto"/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  <w:t>（2）样品递交地点：西安市唐延路37号class公馆B栋1103室；</w:t>
      </w:r>
    </w:p>
    <w:p w14:paraId="5A2FBB7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5"/>
        <w:jc w:val="left"/>
        <w:textAlignment w:val="auto"/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  <w:t>（3）样品需要统一密封，并注明投标人名称及产品清单。（格式见招标文件第六章附件）</w:t>
      </w:r>
    </w:p>
    <w:p w14:paraId="5F112EE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05"/>
        <w:jc w:val="left"/>
        <w:textAlignment w:val="auto"/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  <w:t>（4）评审时需打开样品外包装，查看其材质、性能等是否符合采购需求，由此造成的损失由投标人自行承担；</w:t>
      </w:r>
    </w:p>
    <w:p w14:paraId="402ABFE4">
      <w:r>
        <w:rPr>
          <w:rFonts w:hint="eastAsia" w:ascii="仿宋" w:hAnsi="仿宋" w:eastAsia="仿宋" w:cs="仿宋"/>
          <w:bCs/>
          <w:kern w:val="44"/>
          <w:sz w:val="20"/>
          <w:szCs w:val="20"/>
          <w:highlight w:val="none"/>
          <w:lang w:val="en-US" w:eastAsia="zh-CN" w:bidi="ar-SA"/>
        </w:rPr>
        <w:t>（5）样品在招标大会结束后统一封存，公示期结束后，未中标人可领取样品，中标人的样品由采购人保存，作为供货验收的依据。如中标人所提供的产品与样品不一致时，采购人将予以追究该单位的违约责任和经济赔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F4E6B"/>
    <w:rsid w:val="14DF4E6B"/>
    <w:rsid w:val="41B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1509</Characters>
  <Lines>0</Lines>
  <Paragraphs>0</Paragraphs>
  <TotalTime>0</TotalTime>
  <ScaleCrop>false</ScaleCrop>
  <LinksUpToDate>false</LinksUpToDate>
  <CharactersWithSpaces>1517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2025-07-07T09:18:00Z</dcterms:created>
  <dc:creator>德仁招标</dc:creator>
  <cp:lastModifiedBy>德仁招标</cp:lastModifiedBy>
  <dcterms:modified xsi:type="dcterms:W3CDTF">2025-07-07T09:19:53Z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72DEA6EE36F843489F29872459052E29_11</vt:lpwstr>
  </property>
  <property fmtid="{D5CDD505-2E9C-101B-9397-08002B2CF9AE}" pid="4" name="KSOTemplateDocerSaveRecord">
    <vt:lpwstr>eyJoZGlkIjoiNzNmNDZlOGE4YzBiODhkNTY3NTdiYjNiMTljZmEwZTciLCJ1c2VySWQiOiIxMTk3NzI3MDgzIn0=</vt:lpwstr>
  </property>
</Properties>
</file>