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版本号：SXDXYZB2025-006-320250701001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地图导向牌设施维护及新增设施安装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SXDXYZB2025-006-3</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地图导向牌设施维护及新增设施安装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地图导向牌设施维护及新增设施安装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地图导向牌设施维护及新增设施安装。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采购包1（地图导向牌设施维护及新增设施安装）：属于专门面向中小企业采购。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9、供应商应具备下列专业资质：供应商具有测绘资质乙级及以上资质，专业范围涵盖地图编制。</w:t>
      </w:r>
    </w:p>
    <w:p>
      <w:pPr>
        <w:pStyle w:val="null3"/>
      </w:pPr>
      <w:r>
        <w:rPr>
          <w:rFonts w:ascii="仿宋_GB2312" w:hAnsi="仿宋_GB2312" w:cs="仿宋_GB2312" w:eastAsia="仿宋_GB2312"/>
        </w:rPr>
        <w:t>10、不接受联合体相关要求：本项目不接受联合体响应，不允许分包。</w:t>
      </w:r>
    </w:p>
    <w:p>
      <w:pPr>
        <w:pStyle w:val="null3"/>
      </w:pPr>
      <w:r>
        <w:rPr>
          <w:rFonts w:ascii="仿宋_GB2312" w:hAnsi="仿宋_GB2312" w:cs="仿宋_GB2312" w:eastAsia="仿宋_GB2312"/>
        </w:rPr>
        <w:t>11、关联声明：单位负责人为同一人或者存在直接控股、管理关系的不同供应商，不得同时参加本项目采购活动。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029-88410235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代理服务费收费标准：代理服务费参照《国家计委关于印发&lt;招标代理服务收费管理暂行办法&gt;的通知》（计价格[2002]1980号）规定标准下浮10%收取。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地图导向牌设施维护及新增设施安装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1,035,500.00</w:t>
      </w:r>
    </w:p>
    <w:p>
      <w:pPr>
        <w:pStyle w:val="null3"/>
      </w:pPr>
      <w:r>
        <w:rPr>
          <w:rFonts w:ascii="仿宋_GB2312" w:hAnsi="仿宋_GB2312" w:cs="仿宋_GB2312" w:eastAsia="仿宋_GB2312"/>
        </w:rPr>
        <w:t>采购包最高限价（元）: 1,035,500.00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地图导向牌设施维护及新增设施安装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1,035,500.00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标的名称：地图导向牌设施维护及新增设施安装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一、项目名称</w:t>
            </w:r>
          </w:p>
          <w:p>
            <w:pPr>
              <w:pStyle w:val="null3"/>
            </w:pPr>
            <w:r>
              <w:rPr>
                <w:rFonts w:ascii="仿宋_GB2312" w:hAnsi="仿宋_GB2312" w:cs="仿宋_GB2312" w:eastAsia="仿宋_GB2312"/>
              </w:rPr>
              <w:t>地图导向牌设施维护及新增设施安装</w:t>
            </w:r>
          </w:p>
          <w:p>
            <w:pPr>
              <w:pStyle w:val="null3"/>
            </w:pPr>
            <w:r>
              <w:rPr>
                <w:rFonts w:ascii="仿宋_GB2312" w:hAnsi="仿宋_GB2312" w:cs="仿宋_GB2312" w:eastAsia="仿宋_GB2312"/>
              </w:rPr>
              <w:t>二、</w:t>
            </w:r>
            <w:r>
              <w:rPr>
                <w:rFonts w:ascii="仿宋_GB2312" w:hAnsi="仿宋_GB2312" w:cs="仿宋_GB2312" w:eastAsia="仿宋_GB2312"/>
              </w:rPr>
              <w:t>采购需求</w:t>
            </w:r>
          </w:p>
          <w:p>
            <w:pPr>
              <w:pStyle w:val="null3"/>
            </w:pPr>
            <w:r>
              <w:rPr>
                <w:rFonts w:ascii="仿宋_GB2312" w:hAnsi="仿宋_GB2312" w:cs="仿宋_GB2312" w:eastAsia="仿宋_GB2312"/>
              </w:rPr>
              <w:t>1.</w:t>
            </w:r>
            <w:r>
              <w:rPr>
                <w:rFonts w:ascii="仿宋_GB2312" w:hAnsi="仿宋_GB2312" w:cs="仿宋_GB2312" w:eastAsia="仿宋_GB2312"/>
              </w:rPr>
              <w:t>采购数量：</w:t>
            </w:r>
          </w:p>
          <w:p>
            <w:pPr>
              <w:pStyle w:val="null3"/>
            </w:pPr>
            <w:r>
              <w:rPr>
                <w:rFonts w:ascii="仿宋_GB2312" w:hAnsi="仿宋_GB2312" w:cs="仿宋_GB2312" w:eastAsia="仿宋_GB2312"/>
              </w:rPr>
              <w:t>1.1</w:t>
            </w:r>
            <w:r>
              <w:rPr>
                <w:rFonts w:ascii="仿宋_GB2312" w:hAnsi="仿宋_GB2312" w:cs="仿宋_GB2312" w:eastAsia="仿宋_GB2312"/>
              </w:rPr>
              <w:t>钟楼地下通道地图导向牌设施维护：</w:t>
            </w:r>
          </w:p>
          <w:p>
            <w:pPr>
              <w:pStyle w:val="null3"/>
            </w:pPr>
            <w:r>
              <w:rPr>
                <w:rFonts w:ascii="仿宋_GB2312" w:hAnsi="仿宋_GB2312" w:cs="仿宋_GB2312" w:eastAsia="仿宋_GB2312"/>
              </w:rPr>
              <w:t>地图导向牌及导视牌维护。</w:t>
            </w:r>
          </w:p>
          <w:p>
            <w:pPr>
              <w:pStyle w:val="null3"/>
            </w:pPr>
            <w:r>
              <w:rPr>
                <w:rFonts w:ascii="仿宋_GB2312" w:hAnsi="仿宋_GB2312" w:cs="仿宋_GB2312" w:eastAsia="仿宋_GB2312"/>
              </w:rPr>
              <w:t>1.2</w:t>
            </w:r>
            <w:r>
              <w:rPr>
                <w:rFonts w:ascii="仿宋_GB2312" w:hAnsi="仿宋_GB2312" w:cs="仿宋_GB2312" w:eastAsia="仿宋_GB2312"/>
              </w:rPr>
              <w:t>导向牌新增安装项目</w:t>
            </w:r>
          </w:p>
          <w:p>
            <w:pPr>
              <w:pStyle w:val="null3"/>
            </w:pPr>
            <w:r>
              <w:rPr>
                <w:rFonts w:ascii="仿宋_GB2312" w:hAnsi="仿宋_GB2312" w:cs="仿宋_GB2312" w:eastAsia="仿宋_GB2312"/>
              </w:rPr>
              <w:t>新增城区</w:t>
            </w:r>
            <w:r>
              <w:rPr>
                <w:rFonts w:ascii="仿宋_GB2312" w:hAnsi="仿宋_GB2312" w:cs="仿宋_GB2312" w:eastAsia="仿宋_GB2312"/>
              </w:rPr>
              <w:t>6</w:t>
            </w:r>
            <w:r>
              <w:rPr>
                <w:rFonts w:ascii="仿宋_GB2312" w:hAnsi="仿宋_GB2312" w:cs="仿宋_GB2312" w:eastAsia="仿宋_GB2312"/>
              </w:rPr>
              <w:t>个通道墙面地图</w:t>
            </w:r>
            <w:r>
              <w:rPr>
                <w:rFonts w:ascii="仿宋_GB2312" w:hAnsi="仿宋_GB2312" w:cs="仿宋_GB2312" w:eastAsia="仿宋_GB2312"/>
              </w:rPr>
              <w:t>导向</w:t>
            </w:r>
            <w:r>
              <w:rPr>
                <w:rFonts w:ascii="仿宋_GB2312" w:hAnsi="仿宋_GB2312" w:cs="仿宋_GB2312" w:eastAsia="仿宋_GB2312"/>
              </w:rPr>
              <w:t>灯箱及</w:t>
            </w:r>
            <w:r>
              <w:rPr>
                <w:rFonts w:ascii="仿宋_GB2312" w:hAnsi="仿宋_GB2312" w:cs="仿宋_GB2312" w:eastAsia="仿宋_GB2312"/>
              </w:rPr>
              <w:t>墙面</w:t>
            </w:r>
            <w:r>
              <w:rPr>
                <w:rFonts w:ascii="仿宋_GB2312" w:hAnsi="仿宋_GB2312" w:cs="仿宋_GB2312" w:eastAsia="仿宋_GB2312"/>
              </w:rPr>
              <w:t>导视牌牌体</w:t>
            </w:r>
            <w:r>
              <w:rPr>
                <w:rFonts w:ascii="仿宋_GB2312" w:hAnsi="仿宋_GB2312" w:cs="仿宋_GB2312" w:eastAsia="仿宋_GB2312"/>
              </w:rPr>
              <w:t>的规划、设计、制作、安装、维护项目</w:t>
            </w:r>
            <w:r>
              <w:rPr>
                <w:rFonts w:ascii="仿宋_GB2312" w:hAnsi="仿宋_GB2312" w:cs="仿宋_GB2312" w:eastAsia="仿宋_GB2312"/>
              </w:rPr>
              <w:t>，位置分别为南大街、桥梓口、端履门、东新街、西京医院、交大一附院</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采购内容：</w:t>
            </w:r>
          </w:p>
          <w:p>
            <w:pPr>
              <w:pStyle w:val="null3"/>
            </w:pPr>
            <w:r>
              <w:rPr>
                <w:rFonts w:ascii="仿宋_GB2312" w:hAnsi="仿宋_GB2312" w:cs="仿宋_GB2312" w:eastAsia="仿宋_GB2312"/>
              </w:rPr>
              <w:t>2.1</w:t>
            </w:r>
            <w:r>
              <w:rPr>
                <w:rFonts w:ascii="仿宋_GB2312" w:hAnsi="仿宋_GB2312" w:cs="仿宋_GB2312" w:eastAsia="仿宋_GB2312"/>
              </w:rPr>
              <w:t>新增六个通道的导向牌项目，要求参照国内外地下通道导视牌设计优秀案例，满足市民出行指南需求，现场踏勘，合理规划并设计、制作、安装、维护地图导向牌及墙面导向牌，要有具体位置和形式、数量分布效果图，符合实用、高端大气上档次及人体</w:t>
            </w:r>
            <w:r>
              <w:rPr>
                <w:rFonts w:ascii="仿宋_GB2312" w:hAnsi="仿宋_GB2312" w:cs="仿宋_GB2312" w:eastAsia="仿宋_GB2312"/>
              </w:rPr>
              <w:t>工</w:t>
            </w:r>
            <w:r>
              <w:rPr>
                <w:rFonts w:ascii="仿宋_GB2312" w:hAnsi="仿宋_GB2312" w:cs="仿宋_GB2312" w:eastAsia="仿宋_GB2312"/>
              </w:rPr>
              <w:t>学要求。</w:t>
            </w:r>
          </w:p>
          <w:p>
            <w:pPr>
              <w:pStyle w:val="null3"/>
            </w:pPr>
            <w:r>
              <w:rPr>
                <w:rFonts w:ascii="仿宋_GB2312" w:hAnsi="仿宋_GB2312" w:cs="仿宋_GB2312" w:eastAsia="仿宋_GB2312"/>
              </w:rPr>
              <w:t xml:space="preserve">2.2 </w:t>
            </w:r>
            <w:r>
              <w:rPr>
                <w:rFonts w:ascii="仿宋_GB2312" w:hAnsi="仿宋_GB2312" w:cs="仿宋_GB2312" w:eastAsia="仿宋_GB2312"/>
              </w:rPr>
              <w:t>钟楼盘道及新增导向牌维护导向内容及维护要求</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2.1</w:t>
            </w:r>
            <w:r>
              <w:rPr>
                <w:rFonts w:ascii="仿宋_GB2312" w:hAnsi="仿宋_GB2312" w:cs="仿宋_GB2312" w:eastAsia="仿宋_GB2312"/>
              </w:rPr>
              <w:t>调绘</w:t>
            </w:r>
            <w:r>
              <w:rPr>
                <w:rFonts w:ascii="仿宋_GB2312" w:hAnsi="仿宋_GB2312" w:cs="仿宋_GB2312" w:eastAsia="仿宋_GB2312"/>
              </w:rPr>
              <w:t>各个</w:t>
            </w:r>
            <w:r>
              <w:rPr>
                <w:rFonts w:ascii="仿宋_GB2312" w:hAnsi="仿宋_GB2312" w:cs="仿宋_GB2312" w:eastAsia="仿宋_GB2312"/>
              </w:rPr>
              <w:t>地下通道周边地理信息，绘制以盘道为中心，周边一定范围内的街区地图，内容包含道路、公交、地铁及其他公共服务场所或地标单位，要求地图内容能够准确反映现势，所有信息（尤其是公交信息），一旦调绘中发现有变化，随时更新设计新的地图数据并制作安装到位；</w:t>
            </w:r>
            <w:r>
              <w:rPr>
                <w:rFonts w:ascii="仿宋_GB2312" w:hAnsi="仿宋_GB2312" w:cs="仿宋_GB2312" w:eastAsia="仿宋_GB2312"/>
              </w:rPr>
              <w:t>新增的</w:t>
            </w:r>
            <w:r>
              <w:rPr>
                <w:rFonts w:ascii="仿宋_GB2312" w:hAnsi="仿宋_GB2312" w:cs="仿宋_GB2312" w:eastAsia="仿宋_GB2312"/>
              </w:rPr>
              <w:t>6</w:t>
            </w:r>
            <w:r>
              <w:rPr>
                <w:rFonts w:ascii="仿宋_GB2312" w:hAnsi="仿宋_GB2312" w:cs="仿宋_GB2312" w:eastAsia="仿宋_GB2312"/>
              </w:rPr>
              <w:t>个通道内容包含：现场踏勘、地图内容设计、周边信息采集、制作安装及维护。</w:t>
            </w:r>
          </w:p>
          <w:p>
            <w:pPr>
              <w:pStyle w:val="null3"/>
            </w:pPr>
            <w:r>
              <w:rPr>
                <w:rFonts w:ascii="仿宋_GB2312" w:hAnsi="仿宋_GB2312" w:cs="仿宋_GB2312" w:eastAsia="仿宋_GB2312"/>
              </w:rPr>
              <w:t>2.</w:t>
            </w:r>
            <w:r>
              <w:rPr>
                <w:rFonts w:ascii="仿宋_GB2312" w:hAnsi="仿宋_GB2312" w:cs="仿宋_GB2312" w:eastAsia="仿宋_GB2312"/>
              </w:rPr>
              <w:t>2.2</w:t>
            </w:r>
            <w:r>
              <w:rPr>
                <w:rFonts w:ascii="仿宋_GB2312" w:hAnsi="仿宋_GB2312" w:cs="仿宋_GB2312" w:eastAsia="仿宋_GB2312"/>
              </w:rPr>
              <w:t>对通道配置的西安城区交通线路图，要将所有主干道和绕城高速、旅游景点、地铁线路、党政机关、交通枢纽等进行调绘，原则上地铁所覆盖范围的地图区域都要进行调绘和绘制，以方便市民和广大游客查找位置，提前导引方向，减少因问询通道工作人员而产生的拥堵。同时，地图编制单位具有相应的地图编制资质，成果需报请相关主管部门，刊登地图审图号</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2.3</w:t>
            </w:r>
            <w:r>
              <w:rPr>
                <w:rFonts w:ascii="仿宋_GB2312" w:hAnsi="仿宋_GB2312" w:cs="仿宋_GB2312" w:eastAsia="仿宋_GB2312"/>
              </w:rPr>
              <w:t>服务期限内的重要节假日（春节、端午节、五一、中秋节、国庆节等）、重大活动期间以及认为的其他必要的日期（如配合服务提升、检查、优化升级、公益宣传等）和公交等周边信息有变化时，都需要对地图进行设计更新并重新安装上刊。供应商应根据需求，设计多套全新的版面内容和宣传画面备用</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2.4</w:t>
            </w:r>
            <w:r>
              <w:rPr>
                <w:rFonts w:ascii="仿宋_GB2312" w:hAnsi="仿宋_GB2312" w:cs="仿宋_GB2312" w:eastAsia="仿宋_GB2312"/>
              </w:rPr>
              <w:t>地下通道</w:t>
            </w:r>
            <w:r>
              <w:rPr>
                <w:rFonts w:ascii="仿宋_GB2312" w:hAnsi="仿宋_GB2312" w:cs="仿宋_GB2312" w:eastAsia="仿宋_GB2312"/>
              </w:rPr>
              <w:t>内各类地图内容，包括但不限于公交内容进行定期更新，每月至少一次信息调绘及更新服务，要求地图内容准确无误，如发生信息变更，在服务期限内提供不限次的地图信息变更及上下刊服务</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2.5</w:t>
            </w:r>
            <w:r>
              <w:rPr>
                <w:rFonts w:ascii="仿宋_GB2312" w:hAnsi="仿宋_GB2312" w:cs="仿宋_GB2312" w:eastAsia="仿宋_GB2312"/>
              </w:rPr>
              <w:t>定期对</w:t>
            </w:r>
            <w:r>
              <w:rPr>
                <w:rFonts w:ascii="仿宋_GB2312" w:hAnsi="仿宋_GB2312" w:cs="仿宋_GB2312" w:eastAsia="仿宋_GB2312"/>
              </w:rPr>
              <w:t>钟楼地下通道</w:t>
            </w:r>
            <w:r>
              <w:rPr>
                <w:rFonts w:ascii="仿宋_GB2312" w:hAnsi="仿宋_GB2312" w:cs="仿宋_GB2312" w:eastAsia="仿宋_GB2312"/>
              </w:rPr>
              <w:t>内各类地图导向、路名及方位导向灯箱进行维护、检修服务，要求每周不低于</w:t>
            </w:r>
            <w:r>
              <w:rPr>
                <w:rFonts w:ascii="仿宋_GB2312" w:hAnsi="仿宋_GB2312" w:cs="仿宋_GB2312" w:eastAsia="仿宋_GB2312"/>
              </w:rPr>
              <w:t>2</w:t>
            </w:r>
            <w:r>
              <w:rPr>
                <w:rFonts w:ascii="仿宋_GB2312" w:hAnsi="仿宋_GB2312" w:cs="仿宋_GB2312" w:eastAsia="仿宋_GB2312"/>
              </w:rPr>
              <w:t>次的日常维护、每月至少一次的全面检修服务；</w:t>
            </w:r>
            <w:r>
              <w:rPr>
                <w:rFonts w:ascii="仿宋_GB2312" w:hAnsi="仿宋_GB2312" w:cs="仿宋_GB2312" w:eastAsia="仿宋_GB2312"/>
              </w:rPr>
              <w:t>新增导向牌质保期一年。</w:t>
            </w:r>
          </w:p>
          <w:p>
            <w:pPr>
              <w:pStyle w:val="null3"/>
            </w:pPr>
            <w:r>
              <w:rPr>
                <w:rFonts w:ascii="仿宋_GB2312" w:hAnsi="仿宋_GB2312" w:cs="仿宋_GB2312" w:eastAsia="仿宋_GB2312"/>
              </w:rPr>
              <w:t>2.</w:t>
            </w:r>
            <w:r>
              <w:rPr>
                <w:rFonts w:ascii="仿宋_GB2312" w:hAnsi="仿宋_GB2312" w:cs="仿宋_GB2312" w:eastAsia="仿宋_GB2312"/>
              </w:rPr>
              <w:t>2.6</w:t>
            </w:r>
            <w:r>
              <w:rPr>
                <w:rFonts w:ascii="仿宋_GB2312" w:hAnsi="仿宋_GB2312" w:cs="仿宋_GB2312" w:eastAsia="仿宋_GB2312"/>
              </w:rPr>
              <w:t>灯箱维护中所有辅料、配件均由维护方负责费用，要求所使用的配件、辅料等符合国家及行业标准，提供合格产品。</w:t>
            </w:r>
          </w:p>
          <w:p>
            <w:pPr>
              <w:pStyle w:val="null3"/>
            </w:pPr>
            <w:r>
              <w:rPr>
                <w:rFonts w:ascii="仿宋_GB2312" w:hAnsi="仿宋_GB2312" w:cs="仿宋_GB2312" w:eastAsia="仿宋_GB2312"/>
              </w:rPr>
              <w:t>2.</w:t>
            </w:r>
            <w:r>
              <w:rPr>
                <w:rFonts w:ascii="仿宋_GB2312" w:hAnsi="仿宋_GB2312" w:cs="仿宋_GB2312" w:eastAsia="仿宋_GB2312"/>
              </w:rPr>
              <w:t>2.7</w:t>
            </w:r>
            <w:r>
              <w:rPr>
                <w:rFonts w:ascii="仿宋_GB2312" w:hAnsi="仿宋_GB2312" w:cs="仿宋_GB2312" w:eastAsia="仿宋_GB2312"/>
              </w:rPr>
              <w:t>画面采用户外加厚</w:t>
            </w:r>
            <w:r>
              <w:rPr>
                <w:rFonts w:ascii="仿宋_GB2312" w:hAnsi="仿宋_GB2312" w:cs="仿宋_GB2312" w:eastAsia="仿宋_GB2312"/>
              </w:rPr>
              <w:t>PET</w:t>
            </w:r>
            <w:r>
              <w:rPr>
                <w:rFonts w:ascii="仿宋_GB2312" w:hAnsi="仿宋_GB2312" w:cs="仿宋_GB2312" w:eastAsia="仿宋_GB2312"/>
              </w:rPr>
              <w:t>或其他</w:t>
            </w:r>
            <w:r>
              <w:rPr>
                <w:rFonts w:ascii="仿宋_GB2312" w:hAnsi="仿宋_GB2312" w:cs="仿宋_GB2312" w:eastAsia="仿宋_GB2312"/>
              </w:rPr>
              <w:t>同等</w:t>
            </w:r>
            <w:r>
              <w:rPr>
                <w:rFonts w:ascii="仿宋_GB2312" w:hAnsi="仿宋_GB2312" w:cs="仿宋_GB2312" w:eastAsia="仿宋_GB2312"/>
              </w:rPr>
              <w:t>质量的材质，工艺采用高精度喷绘、或</w:t>
            </w:r>
            <w:r>
              <w:rPr>
                <w:rFonts w:ascii="仿宋_GB2312" w:hAnsi="仿宋_GB2312" w:cs="仿宋_GB2312" w:eastAsia="仿宋_GB2312"/>
              </w:rPr>
              <w:t>UV</w:t>
            </w:r>
            <w:r>
              <w:rPr>
                <w:rFonts w:ascii="仿宋_GB2312" w:hAnsi="仿宋_GB2312" w:cs="仿宋_GB2312" w:eastAsia="仿宋_GB2312"/>
              </w:rPr>
              <w:t>打印，画面清晰，安装平整、无褶皱、无漏光。</w:t>
            </w:r>
          </w:p>
          <w:p>
            <w:pPr>
              <w:pStyle w:val="null3"/>
            </w:pPr>
            <w:r>
              <w:rPr>
                <w:rFonts w:ascii="仿宋_GB2312" w:hAnsi="仿宋_GB2312" w:cs="仿宋_GB2312" w:eastAsia="仿宋_GB2312"/>
              </w:rPr>
              <w:t>（一）</w:t>
            </w:r>
            <w:r>
              <w:rPr>
                <w:rFonts w:ascii="仿宋_GB2312" w:hAnsi="仿宋_GB2312" w:cs="仿宋_GB2312" w:eastAsia="仿宋_GB2312"/>
              </w:rPr>
              <w:t>主要功能或目标：</w:t>
            </w:r>
            <w:r>
              <w:rPr>
                <w:rFonts w:ascii="仿宋_GB2312" w:hAnsi="仿宋_GB2312" w:cs="仿宋_GB2312" w:eastAsia="仿宋_GB2312"/>
              </w:rPr>
              <w:t>新增完善通道导视牌灯箱、</w:t>
            </w:r>
            <w:r>
              <w:rPr>
                <w:rFonts w:ascii="仿宋_GB2312" w:hAnsi="仿宋_GB2312" w:cs="仿宋_GB2312" w:eastAsia="仿宋_GB2312"/>
              </w:rPr>
              <w:t>维护公共设施，为市民提供便利</w:t>
            </w:r>
            <w:r>
              <w:rPr>
                <w:rFonts w:ascii="仿宋_GB2312" w:hAnsi="仿宋_GB2312" w:cs="仿宋_GB2312" w:eastAsia="仿宋_GB2312"/>
              </w:rPr>
              <w:t>，提升通道服务质量。</w:t>
            </w:r>
          </w:p>
          <w:p>
            <w:pPr>
              <w:pStyle w:val="null3"/>
            </w:pPr>
            <w:r>
              <w:rPr>
                <w:rFonts w:ascii="仿宋_GB2312" w:hAnsi="仿宋_GB2312" w:cs="仿宋_GB2312" w:eastAsia="仿宋_GB2312"/>
              </w:rPr>
              <w:t>（二）</w:t>
            </w:r>
            <w:r>
              <w:rPr>
                <w:rFonts w:ascii="仿宋_GB2312" w:hAnsi="仿宋_GB2312" w:cs="仿宋_GB2312" w:eastAsia="仿宋_GB2312"/>
              </w:rPr>
              <w:t>需满足的要求：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地图导向牌维护服务主要是地图信息及导向标识系统的设计、完善、补充、更新及卫生打扫、日常维护等工作；遵照以人为本的服务理念，体现人文关怀的设计思路，满足公共需求，以优质、高效、便捷、精细化的服务为前提和切入点，深入调研和挖掘市民及游客的实际需求，根据不同出入口人流量及周边市民及来往游客诉求类别，</w:t>
            </w:r>
            <w:r>
              <w:rPr>
                <w:rFonts w:ascii="仿宋_GB2312" w:hAnsi="仿宋_GB2312" w:cs="仿宋_GB2312" w:eastAsia="仿宋_GB2312"/>
              </w:rPr>
              <w:t>“因口制宜”，提高地下通道地图导向标识牌设计的合理性、实用性，满足多样化的需求。</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城区</w:t>
            </w:r>
            <w:r>
              <w:rPr>
                <w:rFonts w:ascii="仿宋_GB2312" w:hAnsi="仿宋_GB2312" w:cs="仿宋_GB2312" w:eastAsia="仿宋_GB2312"/>
              </w:rPr>
              <w:t>地下通道的导向标识牌灯箱内导向信息的采集、更新、优化及卫生打扫、日常维护工作，需切实为市民和游客提供通行指南便利，与地图导向牌要求一样，须确保以最佳状态，随时满足市民和游客导向需求以及各种服务检查、优化提升工作。</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地下通道</w:t>
            </w:r>
            <w:r>
              <w:rPr>
                <w:rFonts w:ascii="仿宋_GB2312" w:hAnsi="仿宋_GB2312" w:cs="仿宋_GB2312" w:eastAsia="仿宋_GB2312"/>
              </w:rPr>
              <w:t>内地图导向、路名导向等内容的设计需满足市民、游客出行需求，并根据现势变化情况以及国内外最新的地图、导向标识设计理念，优化并实施设计方案，向市民、游客提供更优质的出行服务。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负责地图导向牌和导向信息牌的电路安全以及电气设备更换、更新有关的全部工作，所涉及的所有人工费和材料费均由中标单位自行负责，并配备持证的专业电工，定期进行电路检修和日常维护工作。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维护企业需达到半小时内响应服务，更换画面及维护设备等作业需夜间施工（</w:t>
            </w:r>
            <w:r>
              <w:rPr>
                <w:rFonts w:ascii="仿宋_GB2312" w:hAnsi="仿宋_GB2312" w:cs="仿宋_GB2312" w:eastAsia="仿宋_GB2312"/>
              </w:rPr>
              <w:t>24</w:t>
            </w:r>
            <w:r>
              <w:rPr>
                <w:rFonts w:ascii="仿宋_GB2312" w:hAnsi="仿宋_GB2312" w:cs="仿宋_GB2312" w:eastAsia="仿宋_GB2312"/>
              </w:rPr>
              <w:t>点到次日</w:t>
            </w:r>
            <w:r>
              <w:rPr>
                <w:rFonts w:ascii="仿宋_GB2312" w:hAnsi="仿宋_GB2312" w:cs="仿宋_GB2312" w:eastAsia="仿宋_GB2312"/>
              </w:rPr>
              <w:t>6</w:t>
            </w:r>
            <w:r>
              <w:rPr>
                <w:rFonts w:ascii="仿宋_GB2312" w:hAnsi="仿宋_GB2312" w:cs="仿宋_GB2312" w:eastAsia="仿宋_GB2312"/>
              </w:rPr>
              <w:t>点）</w:t>
            </w:r>
          </w:p>
          <w:p>
            <w:pPr>
              <w:pStyle w:val="null3"/>
            </w:pP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其他要求</w:t>
            </w:r>
          </w:p>
          <w:p>
            <w:pPr>
              <w:pStyle w:val="null3"/>
            </w:pPr>
            <w:r>
              <w:rPr>
                <w:rFonts w:ascii="仿宋_GB2312" w:hAnsi="仿宋_GB2312" w:cs="仿宋_GB2312" w:eastAsia="仿宋_GB2312"/>
              </w:rPr>
              <w:t>1.</w:t>
            </w:r>
            <w:r>
              <w:rPr>
                <w:rFonts w:ascii="仿宋_GB2312" w:hAnsi="仿宋_GB2312" w:cs="仿宋_GB2312" w:eastAsia="仿宋_GB2312"/>
              </w:rPr>
              <w:t>服务期限：</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付款方式：</w:t>
            </w:r>
            <w:r>
              <w:rPr>
                <w:rFonts w:ascii="仿宋_GB2312" w:hAnsi="仿宋_GB2312" w:cs="仿宋_GB2312" w:eastAsia="仿宋_GB2312"/>
              </w:rPr>
              <w:t>合同签订后，达到付款条件起</w:t>
            </w:r>
            <w:r>
              <w:rPr>
                <w:rFonts w:ascii="仿宋_GB2312" w:hAnsi="仿宋_GB2312" w:cs="仿宋_GB2312" w:eastAsia="仿宋_GB2312"/>
              </w:rPr>
              <w:t>30</w:t>
            </w:r>
            <w:r>
              <w:rPr>
                <w:rFonts w:ascii="仿宋_GB2312" w:hAnsi="仿宋_GB2312" w:cs="仿宋_GB2312" w:eastAsia="仿宋_GB2312"/>
              </w:rPr>
              <w:t>日内，支付合同价款的</w:t>
            </w:r>
            <w:r>
              <w:rPr>
                <w:rFonts w:ascii="仿宋_GB2312" w:hAnsi="仿宋_GB2312" w:cs="仿宋_GB2312" w:eastAsia="仿宋_GB2312"/>
              </w:rPr>
              <w:t>50%</w:t>
            </w:r>
            <w:r>
              <w:rPr>
                <w:rFonts w:ascii="仿宋_GB2312" w:hAnsi="仿宋_GB2312" w:cs="仿宋_GB2312" w:eastAsia="仿宋_GB2312"/>
              </w:rPr>
              <w:t>。</w:t>
            </w:r>
          </w:p>
          <w:p>
            <w:pPr>
              <w:pStyle w:val="null3"/>
            </w:pPr>
            <w:r>
              <w:rPr>
                <w:rFonts w:ascii="仿宋_GB2312" w:hAnsi="仿宋_GB2312" w:cs="仿宋_GB2312" w:eastAsia="仿宋_GB2312"/>
              </w:rPr>
              <w:t>项目完工经验收合格后，达到付款条件起</w:t>
            </w:r>
            <w:r>
              <w:rPr>
                <w:rFonts w:ascii="仿宋_GB2312" w:hAnsi="仿宋_GB2312" w:cs="仿宋_GB2312" w:eastAsia="仿宋_GB2312"/>
              </w:rPr>
              <w:t>30</w:t>
            </w:r>
            <w:r>
              <w:rPr>
                <w:rFonts w:ascii="仿宋_GB2312" w:hAnsi="仿宋_GB2312" w:cs="仿宋_GB2312" w:eastAsia="仿宋_GB2312"/>
              </w:rPr>
              <w:t>日内，支付剩余合同总金额的</w:t>
            </w:r>
            <w:r>
              <w:rPr>
                <w:rFonts w:ascii="仿宋_GB2312" w:hAnsi="仿宋_GB2312" w:cs="仿宋_GB2312" w:eastAsia="仿宋_GB2312"/>
              </w:rPr>
              <w:t>50%</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sz w:val="21"/>
              </w:rPr>
              <w:t>结算方式：银行转账。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供应商应具备下列专业资质</w:t>
            </w:r>
          </w:p>
        </w:tc>
        <w:tc>
          <w:tcPr>
            <w:tcW w:type="dxa" w:w="3322"/>
          </w:tcPr>
          <w:p>
            <w:pPr>
              <w:pStyle w:val="null3"/>
            </w:pPr>
            <w:r>
              <w:rPr>
                <w:rFonts w:ascii="仿宋_GB2312" w:hAnsi="仿宋_GB2312" w:cs="仿宋_GB2312" w:eastAsia="仿宋_GB2312"/>
              </w:rPr>
              <w:t>供应商具有测绘资质乙级及以上资质，专业范围涵盖地图编制。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根据供应商提供的整体方案进行评审，包含但不限于：①设计思路及理念；②导向牌制作的位置规划、数量及形式；③导向地图内容及形式；④人性化设计亮点展示；⑤导向牌及地图具体形式的设计样图。 以上五项设计方案无缺项，设计思路清晰、方案新颖，符合项目要求，专门针对本项目编制，能够保障项目顺利实施的得25分。 每有一项内容缺失或者内容非针对于本项目扣5分或者不得分，以上服务内容每有一项缺陷扣2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要求服务内容提供的质量保障措施，包含但不限于：①设计方案质量保障措施；②制作方案质量保障措施（生产工艺及标准、产品主材质量）；③施工及安装质量保障措施；④安全文明施工及环境保护措施；⑤组织进度安排、时间节点控制措施；⑥机械配备和材料投入计划保障措施。 以上内容无缺项，专门针对本项目编制，符合本项目实际情况，能够保障项目顺利实施的得18分。 每有一项内容缺失或者内容非针对于本项目扣3分。以上服务内容每有一项缺陷扣1分，扣完为止。 （缺陷是指：技术组织措施内容不完整、缺少关键点、针对性不强、内容表述前后不一致、现有技术条件下不可能出现的及其他不利于项目实施的情形等任意一种情形）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实施方案和项目管理措施</w:t>
            </w:r>
          </w:p>
        </w:tc>
        <w:tc>
          <w:tcPr>
            <w:tcW w:type="dxa" w:w="2492"/>
          </w:tcPr>
          <w:p>
            <w:pPr>
              <w:pStyle w:val="null3"/>
            </w:pPr>
            <w:r>
              <w:rPr>
                <w:rFonts w:ascii="仿宋_GB2312" w:hAnsi="仿宋_GB2312" w:cs="仿宋_GB2312" w:eastAsia="仿宋_GB2312"/>
              </w:rPr>
              <w:t>根据供应商针对本项目提供的实施方案和项目管理措施进行综合评审，方案包含但不限于：①针对本项目拟定的各项管理制度（项目管理制度、岗位管理制度、奖惩考核制度等）；②施工维修制度及操作规范；③售后服务制度（售后服务制度健全、有专人负责维修并定期进行维护，能够满足货物正常使用）。 以上服务内容无缺项，专门针对本项目编制，符合本项目实际情况，能够保障项目顺利实施的得12分。 每有一项内容缺失或者内容非针对于本项目扣4分。以上服务内容每有一项缺陷扣2分，扣完为止。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根据供应商针对本项目提供的应急响应方案进行综合评审，方案包含但不限于：①应急响应时间预案（供应商必须设立24小时维保值班电话，接到故障报告后，维修人员抵达现场时间不得超过30分钟）；②针对突发事件有具体可行的应急处理预案。 以上内容无缺项，专门针对本项目编制，符合本项目实际情况，具体可行能够保障项目顺利实施的得4分。 每有一项内容缺失或者内容非针对于本项目扣2分。以上服务内容每有一项缺陷扣1分，扣完为止。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根据供应商针对本项目提供的施工服务重点、难点分析方案进行综合评审，方案包含但不限于：①项目实施过程中的重点、难点理解分析；②关键性技术问题分析及应对措施。 以上内容无缺项，专门针对本项目编制，符合本项目实际情况，能够保障项目顺利实施的得8分。 每有一项内容缺失或者内容非针对于本项目扣4分，以上服务内容每有一项缺陷扣2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备设置合理，主要管理人员及班组专业人员配备齐全、分工明确、职责清晰。①项目负责人具备3年及以上项目管理经验，且具有测绘类中级及以上职称得2分；②项目技术负责人具备2年及以上技术管理经验，且具有测绘类中级及以上职称得2分；③拟派服务班组人员：安装维护班组人员配置不得少于8人，人员组织架构满足8人且有测绘行业相关证件的得2分，每增加1人加0.5分（提供人员相应证件），满分5分。 评审依据：以上人员提供相关资格证书复印件或扫描件并加盖公章作为证明材料。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供应商针对本项目提供的服务承诺及合理化建议包含但不限于：①服务质量、服务期限、服务进度等具体明确的措施及承诺；②针对本项目提出有利于采购人或者项目实施的合理化建议。 以上内容无缺项，专门针对本项目编制，符合本项目实际情况，能够保障项目顺利实施的得4分。 每有一项内容缺失或者内容非针对于本项目扣2分。以上服务内容每有一项缺陷扣1分，扣完为止。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供应商2020年6月1日至今类似项目业绩（包含地图编制），每提供一个类似项目业绩计2分，最高计10分。 （业绩资料提供合同复印件或扫描件加盖公章，提供合同期内任意一次收款发票复印件或扫描件及国家税务总局全国增值税发票查验平台查询截图作为评审依据）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