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color w:val="auto"/>
          <w:sz w:val="52"/>
          <w:szCs w:val="52"/>
        </w:rPr>
      </w:pPr>
    </w:p>
    <w:p>
      <w:pPr>
        <w:spacing w:line="240" w:lineRule="auto"/>
        <w:jc w:val="both"/>
        <w:rPr>
          <w:color w:val="auto"/>
          <w:sz w:val="52"/>
          <w:szCs w:val="52"/>
        </w:rPr>
      </w:pPr>
    </w:p>
    <w:p>
      <w:pPr>
        <w:spacing w:line="240" w:lineRule="auto"/>
        <w:jc w:val="center"/>
        <w:rPr>
          <w:rFonts w:hint="eastAsia" w:ascii="方正小标宋简体" w:hAnsi="方正小标宋简体" w:eastAsia="方正小标宋简体" w:cs="方正小标宋简体"/>
          <w:b w:val="0"/>
          <w:bCs/>
          <w:color w:val="auto"/>
          <w:sz w:val="52"/>
          <w:szCs w:val="52"/>
        </w:rPr>
      </w:pPr>
      <w:r>
        <w:rPr>
          <w:rFonts w:hint="eastAsia" w:ascii="方正小标宋简体" w:hAnsi="方正小标宋简体" w:eastAsia="方正小标宋简体" w:cs="方正小标宋简体"/>
          <w:b w:val="0"/>
          <w:bCs/>
          <w:color w:val="auto"/>
          <w:kern w:val="0"/>
          <w:sz w:val="96"/>
          <w:szCs w:val="96"/>
          <w:lang w:val="en-US" w:eastAsia="zh-CN"/>
        </w:rPr>
        <w:t>汉中市</w:t>
      </w:r>
      <w:r>
        <w:rPr>
          <w:rFonts w:hint="eastAsia" w:ascii="方正小标宋简体" w:hAnsi="方正小标宋简体" w:eastAsia="方正小标宋简体" w:cs="方正小标宋简体"/>
          <w:b w:val="0"/>
          <w:bCs/>
          <w:color w:val="auto"/>
          <w:kern w:val="0"/>
          <w:sz w:val="96"/>
          <w:szCs w:val="96"/>
        </w:rPr>
        <w:t>政府采购中心</w:t>
      </w:r>
    </w:p>
    <w:p>
      <w:pPr>
        <w:spacing w:line="240" w:lineRule="auto"/>
        <w:jc w:val="center"/>
        <w:rPr>
          <w:rFonts w:ascii="黑体" w:hAnsi="黑体" w:eastAsia="黑体" w:cs="黑体"/>
          <w:b w:val="0"/>
          <w:bCs/>
          <w:color w:val="auto"/>
          <w:sz w:val="96"/>
          <w:szCs w:val="96"/>
        </w:rPr>
      </w:pPr>
      <w:r>
        <w:rPr>
          <w:rFonts w:hint="eastAsia" w:ascii="方正小标宋简体" w:hAnsi="方正小标宋简体" w:eastAsia="方正小标宋简体" w:cs="方正小标宋简体"/>
          <w:b w:val="0"/>
          <w:bCs/>
          <w:color w:val="auto"/>
          <w:kern w:val="0"/>
          <w:sz w:val="96"/>
          <w:szCs w:val="96"/>
        </w:rPr>
        <w:t>竞争性磋商文件</w:t>
      </w:r>
    </w:p>
    <w:p>
      <w:pPr>
        <w:pStyle w:val="37"/>
        <w:spacing w:line="240" w:lineRule="auto"/>
        <w:ind w:left="0" w:leftChars="0" w:right="424" w:rightChars="150" w:firstLine="0" w:firstLineChars="0"/>
        <w:jc w:val="center"/>
        <w:rPr>
          <w:rFonts w:hint="eastAsia" w:ascii="仿宋_GB2312" w:hAnsi="仿宋_GB2312" w:eastAsia="仿宋_GB2312" w:cs="仿宋_GB2312"/>
          <w:color w:val="auto"/>
          <w:sz w:val="36"/>
          <w:szCs w:val="36"/>
          <w:lang w:eastAsia="zh-CN"/>
        </w:rPr>
      </w:pPr>
      <w:r>
        <w:rPr>
          <w:rFonts w:hint="eastAsia" w:ascii="仿宋_GB2312" w:hAnsi="仿宋_GB2312" w:eastAsia="仿宋_GB2312" w:cs="仿宋_GB2312"/>
          <w:color w:val="auto"/>
          <w:sz w:val="44"/>
          <w:szCs w:val="44"/>
          <w:lang w:eastAsia="zh-CN"/>
        </w:rPr>
        <w:t>（</w:t>
      </w:r>
      <w:r>
        <w:rPr>
          <w:rFonts w:hint="eastAsia" w:ascii="仿宋_GB2312" w:hAnsi="仿宋_GB2312" w:eastAsia="仿宋_GB2312" w:cs="仿宋_GB2312"/>
          <w:b/>
          <w:bCs/>
          <w:sz w:val="44"/>
          <w:szCs w:val="44"/>
          <w:lang w:val="en-US" w:eastAsia="zh-CN"/>
        </w:rPr>
        <w:t>专门面向中小企业采购</w:t>
      </w:r>
      <w:r>
        <w:rPr>
          <w:rFonts w:hint="eastAsia" w:ascii="仿宋_GB2312" w:hAnsi="仿宋_GB2312" w:eastAsia="仿宋_GB2312" w:cs="仿宋_GB2312"/>
          <w:color w:val="auto"/>
          <w:sz w:val="44"/>
          <w:szCs w:val="44"/>
          <w:lang w:eastAsia="zh-CN"/>
        </w:rPr>
        <w:t>）</w:t>
      </w:r>
    </w:p>
    <w:p>
      <w:pPr>
        <w:spacing w:line="240" w:lineRule="auto"/>
        <w:ind w:left="2539" w:leftChars="256" w:right="707" w:rightChars="250" w:hanging="1815" w:hangingChars="500"/>
        <w:jc w:val="left"/>
        <w:rPr>
          <w:rFonts w:hint="eastAsia" w:ascii="仿宋_GB2312" w:hAnsi="仿宋_GB2312" w:eastAsia="仿宋_GB2312" w:cs="仿宋_GB2312"/>
          <w:b w:val="0"/>
          <w:bCs w:val="0"/>
          <w:color w:val="auto"/>
          <w:w w:val="100"/>
          <w:sz w:val="36"/>
          <w:szCs w:val="36"/>
        </w:rPr>
      </w:pPr>
    </w:p>
    <w:p>
      <w:pPr>
        <w:keepNext w:val="0"/>
        <w:keepLines w:val="0"/>
        <w:pageBreakBefore w:val="0"/>
        <w:widowControl/>
        <w:kinsoku/>
        <w:wordWrap/>
        <w:overflowPunct/>
        <w:topLinePunct w:val="0"/>
        <w:autoSpaceDE/>
        <w:autoSpaceDN/>
        <w:bidi w:val="0"/>
        <w:adjustRightInd/>
        <w:snapToGrid/>
        <w:spacing w:line="600" w:lineRule="exact"/>
        <w:ind w:left="2539" w:leftChars="256" w:right="707" w:rightChars="250" w:hanging="1815" w:hangingChars="500"/>
        <w:jc w:val="left"/>
        <w:textAlignment w:val="auto"/>
        <w:rPr>
          <w:rFonts w:hint="eastAsia" w:ascii="仿宋_GB2312" w:hAnsi="仿宋_GB2312" w:eastAsia="仿宋_GB2312" w:cs="仿宋_GB2312"/>
          <w:b w:val="0"/>
          <w:bCs w:val="0"/>
          <w:color w:val="auto"/>
          <w:spacing w:val="28"/>
          <w:sz w:val="36"/>
          <w:szCs w:val="36"/>
          <w:u w:val="single"/>
          <w:lang w:val="en-US" w:eastAsia="zh-CN"/>
        </w:rPr>
      </w:pPr>
      <w:r>
        <w:rPr>
          <w:rFonts w:hint="eastAsia" w:ascii="仿宋_GB2312" w:hAnsi="仿宋_GB2312" w:eastAsia="仿宋_GB2312" w:cs="仿宋_GB2312"/>
          <w:b w:val="0"/>
          <w:bCs w:val="0"/>
          <w:color w:val="auto"/>
          <w:w w:val="100"/>
          <w:sz w:val="36"/>
          <w:szCs w:val="36"/>
        </w:rPr>
        <w:t>项目名称：</w:t>
      </w:r>
      <w:r>
        <w:rPr>
          <w:rFonts w:hint="eastAsia" w:ascii="仿宋_GB2312" w:hAnsi="仿宋_GB2312" w:eastAsia="仿宋_GB2312" w:cs="仿宋_GB2312"/>
          <w:b w:val="0"/>
          <w:bCs w:val="0"/>
          <w:color w:val="auto"/>
          <w:sz w:val="36"/>
          <w:szCs w:val="36"/>
          <w:u w:val="single"/>
          <w:lang w:val="en-US" w:eastAsia="zh-CN"/>
        </w:rPr>
        <w:t>陕西理工大学南校区</w:t>
      </w:r>
      <w:r>
        <w:rPr>
          <w:rFonts w:hint="eastAsia" w:ascii="仿宋_GB2312" w:hAnsi="仿宋_GB2312" w:eastAsia="仿宋_GB2312" w:cs="仿宋_GB2312"/>
          <w:b w:val="0"/>
          <w:bCs w:val="0"/>
          <w:color w:val="auto"/>
          <w:spacing w:val="28"/>
          <w:sz w:val="36"/>
          <w:szCs w:val="36"/>
          <w:u w:val="single"/>
          <w:lang w:val="en-US" w:eastAsia="zh-CN"/>
        </w:rPr>
        <w:t>保安服务外包采购项目</w:t>
      </w:r>
    </w:p>
    <w:p>
      <w:pPr>
        <w:spacing w:line="240" w:lineRule="auto"/>
        <w:ind w:left="2539" w:leftChars="256" w:right="707" w:rightChars="250" w:hanging="1815" w:hangingChars="500"/>
        <w:jc w:val="left"/>
        <w:rPr>
          <w:rFonts w:hint="default" w:ascii="仿宋_GB2312" w:hAnsi="仿宋_GB2312" w:eastAsia="仿宋_GB2312" w:cs="仿宋_GB2312"/>
          <w:b w:val="0"/>
          <w:bCs w:val="0"/>
          <w:color w:val="auto"/>
          <w:sz w:val="36"/>
          <w:szCs w:val="36"/>
          <w:u w:val="single"/>
          <w:lang w:val="en-US"/>
        </w:rPr>
      </w:pPr>
      <w:r>
        <w:rPr>
          <w:rFonts w:hint="eastAsia" w:ascii="仿宋_GB2312" w:hAnsi="仿宋_GB2312" w:eastAsia="仿宋_GB2312" w:cs="仿宋_GB2312"/>
          <w:b w:val="0"/>
          <w:bCs w:val="0"/>
          <w:color w:val="auto"/>
          <w:sz w:val="36"/>
          <w:szCs w:val="36"/>
        </w:rPr>
        <w:t>项目编号：</w:t>
      </w:r>
      <w:r>
        <w:rPr>
          <w:rFonts w:hint="eastAsia" w:ascii="仿宋_GB2312" w:hAnsi="仿宋_GB2312" w:eastAsia="仿宋_GB2312" w:cs="仿宋_GB2312"/>
          <w:b w:val="0"/>
          <w:bCs w:val="0"/>
          <w:color w:val="auto"/>
          <w:sz w:val="36"/>
          <w:szCs w:val="36"/>
          <w:u w:val="single"/>
          <w:lang w:val="en-US" w:eastAsia="zh-CN"/>
        </w:rPr>
        <w:t>汉采FW【2025】21号</w:t>
      </w:r>
    </w:p>
    <w:p>
      <w:pPr>
        <w:spacing w:line="240" w:lineRule="auto"/>
        <w:ind w:right="424" w:rightChars="150" w:firstLine="726" w:firstLineChars="200"/>
        <w:rPr>
          <w:rFonts w:hint="eastAsia" w:ascii="仿宋_GB2312" w:hAnsi="仿宋_GB2312" w:eastAsia="仿宋_GB2312" w:cs="仿宋_GB2312"/>
          <w:b w:val="0"/>
          <w:bCs w:val="0"/>
          <w:color w:val="auto"/>
          <w:sz w:val="36"/>
          <w:szCs w:val="36"/>
        </w:rPr>
      </w:pPr>
    </w:p>
    <w:p>
      <w:pPr>
        <w:spacing w:line="240" w:lineRule="auto"/>
        <w:jc w:val="center"/>
        <w:rPr>
          <w:rFonts w:hint="eastAsia" w:ascii="仿宋_GB2312" w:hAnsi="仿宋_GB2312" w:eastAsia="仿宋_GB2312" w:cs="仿宋_GB2312"/>
          <w:b w:val="0"/>
          <w:bCs w:val="0"/>
          <w:color w:val="auto"/>
          <w:sz w:val="36"/>
          <w:szCs w:val="36"/>
        </w:rPr>
      </w:pPr>
    </w:p>
    <w:p>
      <w:pPr>
        <w:pStyle w:val="8"/>
        <w:rPr>
          <w:rFonts w:hint="eastAsia" w:ascii="仿宋_GB2312" w:hAnsi="仿宋_GB2312" w:eastAsia="仿宋_GB2312" w:cs="仿宋_GB2312"/>
          <w:b w:val="0"/>
          <w:bCs w:val="0"/>
          <w:color w:val="auto"/>
          <w:sz w:val="36"/>
          <w:szCs w:val="36"/>
        </w:rPr>
      </w:pPr>
    </w:p>
    <w:p>
      <w:pPr>
        <w:rPr>
          <w:rFonts w:hint="eastAsia" w:ascii="仿宋_GB2312" w:hAnsi="仿宋_GB2312" w:eastAsia="仿宋_GB2312" w:cs="仿宋_GB2312"/>
          <w:b w:val="0"/>
          <w:bCs w:val="0"/>
          <w:color w:val="auto"/>
          <w:sz w:val="36"/>
          <w:szCs w:val="36"/>
        </w:rPr>
      </w:pPr>
    </w:p>
    <w:p>
      <w:pPr>
        <w:rPr>
          <w:rFonts w:hint="eastAsia" w:ascii="仿宋_GB2312" w:hAnsi="仿宋_GB2312" w:eastAsia="仿宋_GB2312" w:cs="仿宋_GB2312"/>
          <w:b w:val="0"/>
          <w:bCs w:val="0"/>
          <w:color w:val="auto"/>
        </w:rPr>
      </w:pPr>
    </w:p>
    <w:p>
      <w:pPr>
        <w:spacing w:line="240" w:lineRule="auto"/>
        <w:jc w:val="center"/>
        <w:rPr>
          <w:rFonts w:hint="eastAsia" w:ascii="仿宋_GB2312" w:hAnsi="仿宋_GB2312" w:eastAsia="仿宋_GB2312" w:cs="仿宋_GB2312"/>
          <w:b w:val="0"/>
          <w:bCs w:val="0"/>
          <w:color w:val="auto"/>
          <w:sz w:val="36"/>
          <w:szCs w:val="36"/>
        </w:rPr>
      </w:pPr>
    </w:p>
    <w:p>
      <w:pPr>
        <w:spacing w:line="240" w:lineRule="auto"/>
        <w:jc w:val="center"/>
        <w:rPr>
          <w:rFonts w:hint="eastAsia" w:ascii="仿宋_GB2312" w:hAnsi="仿宋_GB2312" w:eastAsia="仿宋_GB2312" w:cs="仿宋_GB2312"/>
          <w:b w:val="0"/>
          <w:bCs w:val="0"/>
          <w:color w:val="auto"/>
          <w:sz w:val="44"/>
          <w:szCs w:val="44"/>
        </w:rPr>
      </w:pPr>
      <w:r>
        <w:rPr>
          <w:rFonts w:hint="eastAsia" w:ascii="仿宋_GB2312" w:hAnsi="仿宋_GB2312" w:eastAsia="仿宋_GB2312" w:cs="仿宋_GB2312"/>
          <w:b w:val="0"/>
          <w:bCs w:val="0"/>
          <w:color w:val="auto"/>
          <w:sz w:val="44"/>
          <w:szCs w:val="44"/>
        </w:rPr>
        <w:t>202</w:t>
      </w:r>
      <w:r>
        <w:rPr>
          <w:rFonts w:hint="eastAsia" w:ascii="仿宋_GB2312" w:hAnsi="仿宋_GB2312" w:eastAsia="仿宋_GB2312" w:cs="仿宋_GB2312"/>
          <w:b w:val="0"/>
          <w:bCs w:val="0"/>
          <w:color w:val="auto"/>
          <w:sz w:val="44"/>
          <w:szCs w:val="44"/>
          <w:lang w:val="en-US" w:eastAsia="zh-CN"/>
        </w:rPr>
        <w:t>5</w:t>
      </w:r>
      <w:r>
        <w:rPr>
          <w:rFonts w:hint="eastAsia" w:ascii="仿宋_GB2312" w:hAnsi="仿宋_GB2312" w:eastAsia="仿宋_GB2312" w:cs="仿宋_GB2312"/>
          <w:b w:val="0"/>
          <w:bCs w:val="0"/>
          <w:color w:val="auto"/>
          <w:sz w:val="44"/>
          <w:szCs w:val="44"/>
        </w:rPr>
        <w:t>年</w:t>
      </w:r>
      <w:r>
        <w:rPr>
          <w:rFonts w:hint="eastAsia" w:ascii="仿宋_GB2312" w:hAnsi="仿宋_GB2312" w:eastAsia="仿宋_GB2312" w:cs="仿宋_GB2312"/>
          <w:b w:val="0"/>
          <w:bCs w:val="0"/>
          <w:color w:val="auto"/>
          <w:sz w:val="44"/>
          <w:szCs w:val="44"/>
          <w:highlight w:val="none"/>
          <w:lang w:val="en-US" w:eastAsia="zh-CN"/>
        </w:rPr>
        <w:t xml:space="preserve"> 6 </w:t>
      </w:r>
      <w:r>
        <w:rPr>
          <w:rFonts w:hint="eastAsia" w:ascii="仿宋_GB2312" w:hAnsi="仿宋_GB2312" w:eastAsia="仿宋_GB2312" w:cs="仿宋_GB2312"/>
          <w:b w:val="0"/>
          <w:bCs w:val="0"/>
          <w:color w:val="auto"/>
          <w:sz w:val="44"/>
          <w:szCs w:val="44"/>
          <w:highlight w:val="none"/>
        </w:rPr>
        <w:t>月</w:t>
      </w:r>
      <w:r>
        <w:rPr>
          <w:rFonts w:hint="eastAsia" w:ascii="仿宋_GB2312" w:hAnsi="仿宋_GB2312" w:eastAsia="仿宋_GB2312" w:cs="仿宋_GB2312"/>
          <w:b w:val="0"/>
          <w:bCs w:val="0"/>
          <w:color w:val="auto"/>
          <w:sz w:val="44"/>
          <w:szCs w:val="44"/>
          <w:highlight w:val="none"/>
          <w:lang w:val="en-US" w:eastAsia="zh-CN"/>
        </w:rPr>
        <w:t xml:space="preserve"> 24 </w:t>
      </w:r>
      <w:r>
        <w:rPr>
          <w:rFonts w:hint="eastAsia" w:ascii="仿宋_GB2312" w:hAnsi="仿宋_GB2312" w:eastAsia="仿宋_GB2312" w:cs="仿宋_GB2312"/>
          <w:b w:val="0"/>
          <w:bCs w:val="0"/>
          <w:color w:val="auto"/>
          <w:sz w:val="44"/>
          <w:szCs w:val="44"/>
        </w:rPr>
        <w:t>日</w:t>
      </w:r>
      <w:bookmarkStart w:id="0" w:name="_Toc30340_WPSOffice_Level1"/>
      <w:bookmarkStart w:id="1" w:name="_Toc30102_WPSOffice_Level1"/>
      <w:bookmarkStart w:id="2" w:name="_Toc10222_WPSOffice_Level1"/>
    </w:p>
    <w:p>
      <w:pPr>
        <w:pStyle w:val="8"/>
        <w:rPr>
          <w:rFonts w:hint="eastAsia"/>
          <w:color w:val="auto"/>
        </w:rPr>
      </w:pPr>
    </w:p>
    <w:p>
      <w:pPr>
        <w:pStyle w:val="15"/>
        <w:tabs>
          <w:tab w:val="right" w:leader="dot" w:pos="9072"/>
        </w:tabs>
        <w:spacing w:before="190" w:beforeLines="50" w:after="190" w:afterLines="50" w:line="500" w:lineRule="exact"/>
        <w:jc w:val="center"/>
        <w:rPr>
          <w:rFonts w:hint="eastAsia" w:ascii="仿宋" w:hAnsi="仿宋" w:eastAsia="仿宋" w:cs="仿宋"/>
          <w:color w:val="auto"/>
          <w:sz w:val="44"/>
          <w:szCs w:val="44"/>
        </w:rPr>
        <w:sectPr>
          <w:footerReference r:id="rId5" w:type="default"/>
          <w:pgSz w:w="11906" w:h="16838"/>
          <w:pgMar w:top="1417" w:right="1417" w:bottom="1417" w:left="1417" w:header="850" w:footer="992" w:gutter="0"/>
          <w:pgBorders>
            <w:top w:val="none" w:sz="0" w:space="0"/>
            <w:left w:val="none" w:sz="0" w:space="0"/>
            <w:bottom w:val="none" w:sz="0" w:space="0"/>
            <w:right w:val="none" w:sz="0" w:space="0"/>
          </w:pgBorders>
          <w:pgNumType w:fmt="decimal" w:start="1"/>
          <w:cols w:space="720" w:num="1"/>
          <w:docGrid w:type="linesAndChars" w:linePitch="381" w:charSpace="704"/>
        </w:sectPr>
      </w:pPr>
    </w:p>
    <w:p>
      <w:pPr>
        <w:tabs>
          <w:tab w:val="right" w:leader="hyphen" w:pos="8504"/>
        </w:tabs>
        <w:spacing w:after="381" w:afterLines="100" w:line="240" w:lineRule="auto"/>
        <w:ind w:left="567" w:right="566" w:rightChars="200"/>
        <w:jc w:val="center"/>
        <w:rPr>
          <w:rFonts w:ascii="仿宋" w:hAnsi="仿宋" w:eastAsia="仿宋"/>
          <w:b w:val="0"/>
          <w:bCs/>
          <w:color w:val="auto"/>
          <w:sz w:val="44"/>
        </w:rPr>
      </w:pPr>
      <w:r>
        <w:rPr>
          <w:rFonts w:hint="eastAsia" w:ascii="黑体" w:hAnsi="黑体" w:eastAsia="黑体" w:cs="黑体"/>
          <w:b w:val="0"/>
          <w:bCs/>
          <w:color w:val="auto"/>
          <w:sz w:val="44"/>
        </w:rPr>
        <w:t>目  录</w:t>
      </w:r>
    </w:p>
    <w:p>
      <w:pPr>
        <w:pStyle w:val="13"/>
        <w:rPr>
          <w:color w:val="auto"/>
          <w:highlight w:val="yellow"/>
        </w:rPr>
      </w:pPr>
    </w:p>
    <w:p>
      <w:pPr>
        <w:pStyle w:val="15"/>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default"/>
          <w:color w:val="auto"/>
          <w:sz w:val="32"/>
          <w:szCs w:val="32"/>
          <w:lang w:val="en-US" w:eastAsia="zh-CN"/>
        </w:rPr>
        <w:fldChar w:fldCharType="begin"/>
      </w:r>
      <w:r>
        <w:rPr>
          <w:rFonts w:hint="default"/>
          <w:color w:val="auto"/>
          <w:sz w:val="32"/>
          <w:szCs w:val="32"/>
          <w:lang w:val="en-US" w:eastAsia="zh-CN"/>
        </w:rPr>
        <w:instrText xml:space="preserve">TOC \o "1-2" \u </w:instrText>
      </w:r>
      <w:r>
        <w:rPr>
          <w:rFonts w:hint="default"/>
          <w:color w:val="auto"/>
          <w:sz w:val="32"/>
          <w:szCs w:val="32"/>
          <w:lang w:val="en-US" w:eastAsia="zh-CN"/>
        </w:rPr>
        <w:fldChar w:fldCharType="separate"/>
      </w:r>
      <w:r>
        <w:rPr>
          <w:rFonts w:hint="eastAsia" w:ascii="黑体" w:hAnsi="黑体" w:eastAsia="黑体" w:cs="黑体"/>
          <w:color w:val="auto"/>
          <w:sz w:val="32"/>
          <w:szCs w:val="32"/>
        </w:rPr>
        <w:t>第一章 磋商邀请函</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_Toc8073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fldChar w:fldCharType="end"/>
      </w:r>
    </w:p>
    <w:p>
      <w:pPr>
        <w:pStyle w:val="15"/>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黑体" w:hAnsi="黑体" w:eastAsia="黑体" w:cs="黑体"/>
          <w:bCs/>
          <w:color w:val="auto"/>
          <w:sz w:val="32"/>
          <w:szCs w:val="32"/>
        </w:rPr>
        <w:t>第二章 供应商须知</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_Toc9601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一、定义</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_Toc3062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二、供应商注意事项</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_Toc24646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三、磋商文件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_Toc3130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、磋商报价</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_Toc3559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、响应文件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_Toc12154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响应文件开启</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_Toc17536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12</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、组织评审</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_Toc31905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14</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、成交</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val="en-US" w:eastAsia="zh-CN"/>
        </w:rPr>
        <w:t>30</w:t>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、签订</w:t>
      </w:r>
      <w:r>
        <w:rPr>
          <w:rFonts w:hint="eastAsia" w:ascii="仿宋_GB2312" w:hAnsi="仿宋_GB2312" w:eastAsia="仿宋_GB2312" w:cs="仿宋_GB2312"/>
          <w:color w:val="auto"/>
          <w:kern w:val="0"/>
          <w:sz w:val="32"/>
          <w:szCs w:val="32"/>
        </w:rPr>
        <w:t>政府采购合同</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val="en-US" w:eastAsia="zh-CN"/>
        </w:rPr>
        <w:t>31</w:t>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采购代理服务费</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val="en-US" w:eastAsia="zh-CN"/>
        </w:rPr>
        <w:t>31</w:t>
      </w:r>
    </w:p>
    <w:p>
      <w:pPr>
        <w:pStyle w:val="15"/>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default" w:ascii="黑体" w:hAnsi="黑体" w:eastAsia="仿宋_GB2312" w:cs="黑体"/>
          <w:color w:val="auto"/>
          <w:sz w:val="32"/>
          <w:szCs w:val="32"/>
          <w:lang w:val="en-US" w:eastAsia="zh-CN"/>
        </w:rPr>
      </w:pPr>
      <w:r>
        <w:rPr>
          <w:rFonts w:hint="eastAsia" w:ascii="黑体" w:hAnsi="黑体" w:eastAsia="黑体" w:cs="黑体"/>
          <w:bCs/>
          <w:color w:val="auto"/>
          <w:sz w:val="32"/>
          <w:szCs w:val="32"/>
        </w:rPr>
        <w:t>第三章  磋商内容及采购要求</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val="en-US" w:eastAsia="zh-CN"/>
        </w:rPr>
        <w:t>32</w:t>
      </w:r>
    </w:p>
    <w:p>
      <w:pPr>
        <w:pStyle w:val="15"/>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 xml:space="preserve">第四章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合同</w:t>
      </w:r>
      <w:r>
        <w:rPr>
          <w:rFonts w:hint="eastAsia" w:ascii="黑体" w:hAnsi="黑体" w:eastAsia="黑体" w:cs="黑体"/>
          <w:color w:val="auto"/>
          <w:sz w:val="32"/>
          <w:szCs w:val="32"/>
          <w:lang w:val="en-US" w:eastAsia="zh-CN"/>
        </w:rPr>
        <w:t>草案</w:t>
      </w:r>
      <w:r>
        <w:rPr>
          <w:rFonts w:hint="eastAsia" w:ascii="黑体" w:hAnsi="黑体" w:eastAsia="黑体" w:cs="黑体"/>
          <w:color w:val="auto"/>
          <w:sz w:val="32"/>
          <w:szCs w:val="32"/>
        </w:rPr>
        <w:t>条款</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_Toc10371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36</w:t>
      </w:r>
      <w:r>
        <w:rPr>
          <w:rFonts w:hint="eastAsia" w:ascii="仿宋_GB2312" w:hAnsi="仿宋_GB2312" w:eastAsia="仿宋_GB2312" w:cs="仿宋_GB2312"/>
          <w:color w:val="auto"/>
          <w:sz w:val="32"/>
          <w:szCs w:val="32"/>
        </w:rPr>
        <w:fldChar w:fldCharType="end"/>
      </w:r>
    </w:p>
    <w:p>
      <w:pPr>
        <w:pStyle w:val="15"/>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default" w:ascii="黑体" w:hAnsi="黑体" w:eastAsia="仿宋_GB2312" w:cs="黑体"/>
          <w:color w:val="auto"/>
          <w:sz w:val="32"/>
          <w:szCs w:val="32"/>
          <w:lang w:val="en-US" w:eastAsia="zh-CN"/>
        </w:rPr>
      </w:pPr>
      <w:r>
        <w:rPr>
          <w:rFonts w:hint="eastAsia" w:ascii="黑体" w:hAnsi="黑体" w:eastAsia="黑体" w:cs="黑体"/>
          <w:bCs/>
          <w:color w:val="auto"/>
          <w:sz w:val="32"/>
          <w:szCs w:val="32"/>
        </w:rPr>
        <w:t>第五章  响应文件构成及格式</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val="en-US" w:eastAsia="zh-CN"/>
        </w:rPr>
        <w:t>42</w:t>
      </w:r>
    </w:p>
    <w:p>
      <w:pPr>
        <w:pStyle w:val="15"/>
        <w:keepNext w:val="0"/>
        <w:keepLines w:val="0"/>
        <w:pageBreakBefore w:val="0"/>
        <w:widowControl/>
        <w:tabs>
          <w:tab w:val="right" w:leader="dot" w:pos="9072"/>
        </w:tabs>
        <w:kinsoku/>
        <w:wordWrap/>
        <w:overflowPunct/>
        <w:topLinePunct w:val="0"/>
        <w:autoSpaceDE/>
        <w:autoSpaceDN/>
        <w:bidi w:val="0"/>
        <w:adjustRightInd/>
        <w:snapToGrid/>
        <w:spacing w:line="560" w:lineRule="exact"/>
        <w:ind w:firstLine="646" w:firstLineChars="200"/>
        <w:textAlignment w:val="auto"/>
        <w:rPr>
          <w:rFonts w:hint="default" w:ascii="黑体" w:hAnsi="黑体" w:eastAsia="仿宋_GB2312" w:cs="黑体"/>
          <w:color w:val="auto"/>
          <w:sz w:val="32"/>
          <w:szCs w:val="32"/>
          <w:lang w:val="en-US" w:eastAsia="zh-CN"/>
        </w:rPr>
      </w:pPr>
      <w:r>
        <w:rPr>
          <w:rFonts w:hint="eastAsia" w:ascii="黑体" w:hAnsi="黑体" w:eastAsia="黑体" w:cs="黑体"/>
          <w:bCs/>
          <w:color w:val="auto"/>
          <w:sz w:val="32"/>
          <w:szCs w:val="32"/>
        </w:rPr>
        <w:t>第一部分  资格证明文件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val="en-US" w:eastAsia="zh-CN"/>
        </w:rPr>
        <w:t>45</w:t>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rPr>
        <w:t>第二部分  符合性证明文件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val="en-US" w:eastAsia="zh-CN"/>
        </w:rPr>
        <w:t>50</w:t>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default" w:ascii="黑体" w:hAnsi="黑体" w:eastAsia="仿宋_GB2312" w:cs="黑体"/>
          <w:color w:val="auto"/>
          <w:sz w:val="32"/>
          <w:szCs w:val="32"/>
          <w:lang w:val="en-US" w:eastAsia="zh-CN"/>
        </w:rPr>
      </w:pPr>
      <w:r>
        <w:rPr>
          <w:rFonts w:hint="eastAsia" w:ascii="黑体" w:hAnsi="黑体" w:eastAsia="黑体" w:cs="黑体"/>
          <w:bCs w:val="0"/>
          <w:color w:val="auto"/>
          <w:sz w:val="32"/>
          <w:szCs w:val="32"/>
        </w:rPr>
        <w:t>第三部分  响应方案</w:t>
      </w:r>
      <w:r>
        <w:rPr>
          <w:rFonts w:hint="eastAsia" w:ascii="黑体" w:hAnsi="黑体" w:eastAsia="黑体" w:cs="黑体"/>
          <w:bCs w:val="0"/>
          <w:color w:val="auto"/>
          <w:sz w:val="32"/>
          <w:szCs w:val="32"/>
          <w:lang w:val="en-US" w:eastAsia="zh-CN"/>
        </w:rPr>
        <w:t>..</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val="en-US" w:eastAsia="zh-CN"/>
        </w:rPr>
        <w:t>57</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color w:val="auto"/>
          <w:lang w:val="en-US" w:eastAsia="zh-CN"/>
        </w:rPr>
      </w:pPr>
      <w:r>
        <w:rPr>
          <w:rFonts w:hint="default"/>
          <w:color w:val="auto"/>
          <w:sz w:val="32"/>
          <w:szCs w:val="32"/>
          <w:lang w:val="en-US" w:eastAsia="zh-CN"/>
        </w:rPr>
        <w:fldChar w:fldCharType="end"/>
      </w:r>
    </w:p>
    <w:p>
      <w:pPr>
        <w:pageBreakBefore w:val="0"/>
        <w:kinsoku/>
        <w:wordWrap/>
        <w:overflowPunct/>
        <w:topLinePunct w:val="0"/>
        <w:bidi w:val="0"/>
        <w:snapToGrid/>
        <w:spacing w:line="560" w:lineRule="exact"/>
        <w:textAlignment w:val="auto"/>
        <w:rPr>
          <w:color w:val="auto"/>
        </w:rPr>
      </w:pPr>
    </w:p>
    <w:p>
      <w:pPr>
        <w:pStyle w:val="3"/>
        <w:pageBreakBefore w:val="0"/>
        <w:kinsoku/>
        <w:wordWrap/>
        <w:overflowPunct/>
        <w:topLinePunct w:val="0"/>
        <w:bidi w:val="0"/>
        <w:snapToGrid/>
        <w:spacing w:line="560" w:lineRule="exact"/>
        <w:textAlignment w:val="auto"/>
        <w:rPr>
          <w:rFonts w:ascii="黑体" w:hAnsi="黑体" w:eastAsia="黑体"/>
          <w:b w:val="0"/>
          <w:color w:val="auto"/>
          <w:sz w:val="32"/>
          <w:szCs w:val="32"/>
        </w:rPr>
        <w:sectPr>
          <w:footerReference r:id="rId6" w:type="default"/>
          <w:pgSz w:w="11906" w:h="16838"/>
          <w:pgMar w:top="1417" w:right="1417" w:bottom="1417" w:left="1417" w:header="850" w:footer="992" w:gutter="0"/>
          <w:pgBorders>
            <w:top w:val="none" w:sz="0" w:space="0"/>
            <w:left w:val="none" w:sz="0" w:space="0"/>
            <w:bottom w:val="none" w:sz="0" w:space="0"/>
            <w:right w:val="none" w:sz="0" w:space="0"/>
          </w:pgBorders>
          <w:pgNumType w:fmt="decimal" w:start="1"/>
          <w:cols w:space="720" w:num="1"/>
          <w:docGrid w:type="linesAndChars" w:linePitch="381" w:charSpace="704"/>
        </w:sectPr>
      </w:pPr>
    </w:p>
    <w:p>
      <w:pPr>
        <w:pStyle w:val="3"/>
        <w:pageBreakBefore w:val="0"/>
        <w:numPr>
          <w:ilvl w:val="0"/>
          <w:numId w:val="1"/>
        </w:numPr>
        <w:kinsoku/>
        <w:wordWrap/>
        <w:overflowPunct/>
        <w:topLinePunct w:val="0"/>
        <w:bidi w:val="0"/>
        <w:snapToGrid/>
        <w:spacing w:line="560" w:lineRule="exact"/>
        <w:textAlignment w:val="auto"/>
        <w:rPr>
          <w:rFonts w:ascii="黑体" w:hAnsi="黑体" w:eastAsia="黑体"/>
          <w:b w:val="0"/>
          <w:color w:val="auto"/>
          <w:sz w:val="32"/>
          <w:szCs w:val="32"/>
        </w:rPr>
      </w:pPr>
      <w:bookmarkStart w:id="3" w:name="_Toc26235"/>
      <w:bookmarkStart w:id="4" w:name="_Toc5655"/>
      <w:bookmarkStart w:id="5" w:name="_Toc21489"/>
      <w:r>
        <w:rPr>
          <w:rFonts w:ascii="黑体" w:hAnsi="黑体" w:eastAsia="黑体"/>
          <w:b w:val="0"/>
          <w:color w:val="auto"/>
          <w:sz w:val="32"/>
          <w:szCs w:val="32"/>
        </w:rPr>
        <w:t xml:space="preserve"> </w:t>
      </w:r>
      <w:bookmarkStart w:id="6" w:name="_Toc8073"/>
      <w:r>
        <w:rPr>
          <w:rFonts w:hint="eastAsia" w:ascii="黑体" w:hAnsi="黑体" w:eastAsia="黑体"/>
          <w:b w:val="0"/>
          <w:color w:val="auto"/>
          <w:sz w:val="32"/>
          <w:szCs w:val="32"/>
        </w:rPr>
        <w:t>磋商</w:t>
      </w:r>
      <w:r>
        <w:rPr>
          <w:rFonts w:ascii="黑体" w:hAnsi="黑体" w:eastAsia="黑体"/>
          <w:b w:val="0"/>
          <w:color w:val="auto"/>
          <w:sz w:val="32"/>
          <w:szCs w:val="32"/>
        </w:rPr>
        <w:t>邀请函</w:t>
      </w:r>
      <w:bookmarkEnd w:id="0"/>
      <w:bookmarkEnd w:id="1"/>
      <w:bookmarkEnd w:id="2"/>
      <w:bookmarkEnd w:id="3"/>
      <w:bookmarkEnd w:id="4"/>
      <w:bookmarkEnd w:id="5"/>
      <w:bookmarkEnd w:id="6"/>
    </w:p>
    <w:p>
      <w:pPr>
        <w:keepLines w:val="0"/>
        <w:pageBreakBefore w:val="0"/>
        <w:widowControl w:val="0"/>
        <w:kinsoku/>
        <w:wordWrap/>
        <w:overflowPunct/>
        <w:topLinePunct w:val="0"/>
        <w:bidi w:val="0"/>
        <w:snapToGrid/>
        <w:spacing w:line="500" w:lineRule="exact"/>
        <w:textAlignment w:val="auto"/>
        <w:rPr>
          <w:rFonts w:hint="eastAsia" w:ascii="仿宋_GB2312" w:hAnsi="仿宋_GB2312" w:eastAsia="仿宋_GB2312" w:cs="仿宋_GB2312"/>
          <w:color w:val="auto"/>
          <w:sz w:val="28"/>
          <w:szCs w:val="28"/>
        </w:rPr>
      </w:pPr>
    </w:p>
    <w:p>
      <w:pPr>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项目概况</w:t>
      </w:r>
    </w:p>
    <w:p>
      <w:pPr>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highlight w:val="none"/>
          <w:u w:val="single"/>
          <w:lang w:val="en-US" w:eastAsia="zh-CN"/>
        </w:rPr>
        <w:t>陕西理工大学南校区保安服务外包</w:t>
      </w:r>
      <w:r>
        <w:rPr>
          <w:rFonts w:hint="eastAsia" w:ascii="仿宋_GB2312" w:hAnsi="仿宋_GB2312" w:eastAsia="仿宋_GB2312" w:cs="仿宋_GB2312"/>
          <w:color w:val="auto"/>
          <w:sz w:val="28"/>
          <w:szCs w:val="28"/>
        </w:rPr>
        <w:t>采购项目的潜在供应商应在</w:t>
      </w:r>
      <w:r>
        <w:rPr>
          <w:rFonts w:hint="eastAsia" w:ascii="仿宋_GB2312" w:hAnsi="仿宋_GB2312" w:eastAsia="仿宋_GB2312" w:cs="仿宋_GB2312"/>
          <w:color w:val="auto"/>
          <w:sz w:val="28"/>
          <w:szCs w:val="28"/>
          <w:u w:val="single"/>
          <w:lang w:val="en-US" w:eastAsia="zh-CN"/>
        </w:rPr>
        <w:t xml:space="preserve"> 全国公共资源交易平台（汉中市）（sxggzyjy.hanzhong.gov.cn） </w:t>
      </w:r>
      <w:r>
        <w:rPr>
          <w:rFonts w:hint="eastAsia" w:ascii="仿宋_GB2312" w:hAnsi="仿宋_GB2312" w:eastAsia="仿宋_GB2312" w:cs="仿宋_GB2312"/>
          <w:color w:val="auto"/>
          <w:sz w:val="28"/>
          <w:szCs w:val="28"/>
        </w:rPr>
        <w:t>获取采购文件，并于</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2025</w:t>
      </w:r>
      <w:r>
        <w:rPr>
          <w:rFonts w:hint="eastAsia" w:ascii="仿宋_GB2312" w:hAnsi="仿宋_GB2312" w:eastAsia="仿宋_GB2312" w:cs="仿宋_GB2312"/>
          <w:bCs/>
          <w:color w:val="auto"/>
          <w:sz w:val="28"/>
          <w:szCs w:val="28"/>
          <w:u w:val="single"/>
        </w:rPr>
        <w:t>年</w:t>
      </w:r>
      <w:r>
        <w:rPr>
          <w:rFonts w:hint="eastAsia" w:ascii="仿宋_GB2312" w:hAnsi="仿宋_GB2312" w:eastAsia="仿宋_GB2312" w:cs="仿宋_GB2312"/>
          <w:bCs/>
          <w:color w:val="auto"/>
          <w:sz w:val="28"/>
          <w:szCs w:val="28"/>
          <w:u w:val="single"/>
          <w:lang w:val="en-US" w:eastAsia="zh-CN"/>
        </w:rPr>
        <w:t xml:space="preserve"> 7 </w:t>
      </w:r>
      <w:r>
        <w:rPr>
          <w:rFonts w:hint="eastAsia" w:ascii="仿宋_GB2312" w:hAnsi="仿宋_GB2312" w:eastAsia="仿宋_GB2312" w:cs="仿宋_GB2312"/>
          <w:bCs/>
          <w:color w:val="auto"/>
          <w:sz w:val="28"/>
          <w:szCs w:val="28"/>
          <w:u w:val="single"/>
        </w:rPr>
        <w:t>月</w:t>
      </w:r>
      <w:r>
        <w:rPr>
          <w:rFonts w:hint="eastAsia" w:ascii="仿宋_GB2312" w:hAnsi="仿宋_GB2312" w:eastAsia="仿宋_GB2312" w:cs="仿宋_GB2312"/>
          <w:bCs/>
          <w:color w:val="auto"/>
          <w:sz w:val="28"/>
          <w:szCs w:val="28"/>
          <w:u w:val="single"/>
          <w:lang w:val="en-US" w:eastAsia="zh-CN"/>
        </w:rPr>
        <w:t xml:space="preserve"> 11 </w:t>
      </w:r>
      <w:r>
        <w:rPr>
          <w:rFonts w:hint="eastAsia" w:ascii="仿宋_GB2312" w:hAnsi="仿宋_GB2312" w:eastAsia="仿宋_GB2312" w:cs="仿宋_GB2312"/>
          <w:bCs/>
          <w:color w:val="auto"/>
          <w:sz w:val="28"/>
          <w:szCs w:val="28"/>
          <w:u w:val="single"/>
        </w:rPr>
        <w:t>日</w:t>
      </w:r>
      <w:r>
        <w:rPr>
          <w:rFonts w:hint="eastAsia" w:ascii="仿宋_GB2312" w:hAnsi="仿宋_GB2312" w:eastAsia="仿宋_GB2312" w:cs="仿宋_GB2312"/>
          <w:bCs/>
          <w:color w:val="auto"/>
          <w:sz w:val="28"/>
          <w:szCs w:val="28"/>
          <w:u w:val="single"/>
          <w:lang w:val="en-US" w:eastAsia="zh-CN"/>
        </w:rPr>
        <w:t xml:space="preserve"> 9 </w:t>
      </w:r>
      <w:r>
        <w:rPr>
          <w:rFonts w:hint="eastAsia" w:ascii="仿宋_GB2312" w:hAnsi="仿宋_GB2312" w:eastAsia="仿宋_GB2312" w:cs="仿宋_GB2312"/>
          <w:bCs/>
          <w:color w:val="auto"/>
          <w:sz w:val="28"/>
          <w:szCs w:val="28"/>
          <w:u w:val="single"/>
        </w:rPr>
        <w:t>点</w:t>
      </w:r>
      <w:r>
        <w:rPr>
          <w:rFonts w:hint="eastAsia" w:ascii="仿宋_GB2312" w:hAnsi="仿宋_GB2312" w:eastAsia="仿宋_GB2312" w:cs="仿宋_GB2312"/>
          <w:bCs/>
          <w:color w:val="auto"/>
          <w:sz w:val="28"/>
          <w:szCs w:val="28"/>
          <w:u w:val="single"/>
          <w:lang w:val="en-US" w:eastAsia="zh-CN"/>
        </w:rPr>
        <w:t xml:space="preserve"> 30</w:t>
      </w:r>
      <w:r>
        <w:rPr>
          <w:rFonts w:hint="eastAsia" w:ascii="仿宋_GB2312" w:hAnsi="仿宋_GB2312" w:eastAsia="仿宋_GB2312" w:cs="仿宋_GB2312"/>
          <w:bCs/>
          <w:color w:val="auto"/>
          <w:sz w:val="28"/>
          <w:szCs w:val="28"/>
          <w:u w:val="single"/>
        </w:rPr>
        <w:t>分</w:t>
      </w:r>
      <w:r>
        <w:rPr>
          <w:rFonts w:hint="eastAsia" w:ascii="仿宋_GB2312" w:hAnsi="仿宋_GB2312" w:eastAsia="仿宋_GB2312" w:cs="仿宋_GB2312"/>
          <w:bCs/>
          <w:color w:val="auto"/>
          <w:sz w:val="28"/>
          <w:szCs w:val="28"/>
        </w:rPr>
        <w:t>（北京时间）前提交响应文件</w:t>
      </w:r>
      <w:r>
        <w:rPr>
          <w:rFonts w:hint="eastAsia" w:ascii="仿宋_GB2312" w:hAnsi="仿宋_GB2312" w:eastAsia="仿宋_GB2312" w:cs="仿宋_GB2312"/>
          <w:color w:val="auto"/>
          <w:sz w:val="28"/>
          <w:szCs w:val="28"/>
        </w:rPr>
        <w:t>。</w:t>
      </w:r>
    </w:p>
    <w:p>
      <w:pPr>
        <w:keepLines w:val="0"/>
        <w:pageBreakBefore w:val="0"/>
        <w:widowControl w:val="0"/>
        <w:kinsoku/>
        <w:wordWrap/>
        <w:overflowPunct/>
        <w:topLinePunct w:val="0"/>
        <w:bidi w:val="0"/>
        <w:snapToGrid/>
        <w:spacing w:line="500" w:lineRule="exact"/>
        <w:textAlignment w:val="auto"/>
        <w:rPr>
          <w:rFonts w:hint="eastAsia" w:ascii="仿宋_GB2312" w:hAnsi="仿宋_GB2312" w:eastAsia="仿宋_GB2312" w:cs="仿宋_GB2312"/>
          <w:color w:val="auto"/>
          <w:sz w:val="28"/>
          <w:szCs w:val="28"/>
        </w:rPr>
      </w:pP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7" w:name="_Toc28359012"/>
      <w:bookmarkStart w:id="8" w:name="_Toc28359089"/>
      <w:bookmarkStart w:id="9" w:name="_Toc35393798"/>
      <w:bookmarkStart w:id="10" w:name="_Toc28840"/>
      <w:bookmarkStart w:id="11" w:name="_Toc35393629"/>
      <w:r>
        <w:rPr>
          <w:rFonts w:hint="eastAsia" w:ascii="仿宋_GB2312" w:hAnsi="仿宋_GB2312" w:eastAsia="仿宋_GB2312" w:cs="仿宋_GB2312"/>
          <w:b/>
          <w:bCs/>
          <w:color w:val="auto"/>
          <w:kern w:val="2"/>
          <w:sz w:val="28"/>
          <w:szCs w:val="28"/>
          <w:lang w:val="en-US" w:eastAsia="zh-CN" w:bidi="ar-SA"/>
        </w:rPr>
        <w:t>一、项目基本情况</w:t>
      </w:r>
      <w:bookmarkEnd w:id="7"/>
      <w:bookmarkEnd w:id="8"/>
      <w:bookmarkEnd w:id="9"/>
      <w:bookmarkEnd w:id="10"/>
      <w:bookmarkEnd w:id="11"/>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项目编号：汉采</w:t>
      </w:r>
      <w:r>
        <w:rPr>
          <w:rFonts w:hint="eastAsia" w:ascii="仿宋_GB2312" w:hAnsi="仿宋_GB2312" w:eastAsia="仿宋_GB2312" w:cs="仿宋_GB2312"/>
          <w:color w:val="auto"/>
          <w:sz w:val="28"/>
          <w:szCs w:val="28"/>
          <w:lang w:val="en-US" w:eastAsia="zh-CN"/>
        </w:rPr>
        <w:t>FW</w:t>
      </w: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21</w:t>
      </w:r>
      <w:r>
        <w:rPr>
          <w:rFonts w:hint="eastAsia" w:ascii="仿宋_GB2312" w:hAnsi="仿宋_GB2312" w:eastAsia="仿宋_GB2312" w:cs="仿宋_GB2312"/>
          <w:color w:val="auto"/>
          <w:sz w:val="28"/>
          <w:szCs w:val="28"/>
        </w:rPr>
        <w:t>号</w:t>
      </w:r>
    </w:p>
    <w:p>
      <w:pPr>
        <w:keepLines w:val="0"/>
        <w:pageBreakBefore w:val="0"/>
        <w:kinsoku/>
        <w:wordWrap/>
        <w:overflowPunct/>
        <w:topLinePunct w:val="0"/>
        <w:bidi w:val="0"/>
        <w:snapToGrid/>
        <w:spacing w:line="560" w:lineRule="exact"/>
        <w:ind w:right="707" w:rightChars="250" w:firstLine="566"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项目名称：</w:t>
      </w:r>
      <w:r>
        <w:rPr>
          <w:rFonts w:hint="eastAsia" w:ascii="仿宋_GB2312" w:hAnsi="仿宋_GB2312" w:eastAsia="仿宋_GB2312" w:cs="仿宋_GB2312"/>
          <w:color w:val="auto"/>
          <w:sz w:val="28"/>
          <w:szCs w:val="28"/>
          <w:lang w:val="en-US" w:eastAsia="zh-CN"/>
        </w:rPr>
        <w:t>陕西理工大学南校区保安服务外包采购项目</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采购方式：竞争性磋商</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预算金额：</w:t>
      </w:r>
      <w:r>
        <w:rPr>
          <w:rFonts w:hint="eastAsia" w:ascii="仿宋_GB2312" w:hAnsi="仿宋_GB2312" w:eastAsia="仿宋_GB2312" w:cs="仿宋_GB2312"/>
          <w:color w:val="auto"/>
          <w:sz w:val="28"/>
          <w:szCs w:val="28"/>
          <w:highlight w:val="none"/>
          <w:lang w:val="en-US" w:eastAsia="zh-CN"/>
        </w:rPr>
        <w:t>2,350,000</w:t>
      </w:r>
      <w:r>
        <w:rPr>
          <w:rFonts w:hint="eastAsia" w:ascii="仿宋_GB2312" w:hAnsi="仿宋_GB2312" w:eastAsia="仿宋_GB2312" w:cs="仿宋_GB2312"/>
          <w:color w:val="auto"/>
          <w:sz w:val="28"/>
          <w:szCs w:val="28"/>
          <w:lang w:val="en-US" w:eastAsia="zh-CN"/>
        </w:rPr>
        <w:t>元</w:t>
      </w:r>
      <w:bookmarkStart w:id="402" w:name="_GoBack"/>
      <w:bookmarkEnd w:id="402"/>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最高限价：</w:t>
      </w:r>
      <w:r>
        <w:rPr>
          <w:rFonts w:hint="eastAsia" w:ascii="仿宋_GB2312" w:hAnsi="仿宋_GB2312" w:eastAsia="仿宋_GB2312" w:cs="仿宋_GB2312"/>
          <w:color w:val="auto"/>
          <w:sz w:val="28"/>
          <w:szCs w:val="28"/>
          <w:highlight w:val="none"/>
          <w:lang w:val="en-US" w:eastAsia="zh-CN"/>
        </w:rPr>
        <w:t>2,350,000</w:t>
      </w:r>
      <w:r>
        <w:rPr>
          <w:rFonts w:hint="eastAsia" w:ascii="仿宋_GB2312" w:hAnsi="仿宋_GB2312" w:eastAsia="仿宋_GB2312" w:cs="仿宋_GB2312"/>
          <w:color w:val="auto"/>
          <w:sz w:val="28"/>
          <w:szCs w:val="28"/>
          <w:lang w:val="en-US" w:eastAsia="zh-CN"/>
        </w:rPr>
        <w:t>元</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highlight w:val="none"/>
          <w:u w:val="single"/>
          <w:lang w:eastAsia="zh-CN"/>
        </w:rPr>
      </w:pPr>
      <w:r>
        <w:rPr>
          <w:rFonts w:hint="eastAsia" w:ascii="仿宋_GB2312" w:hAnsi="仿宋_GB2312" w:eastAsia="仿宋_GB2312" w:cs="仿宋_GB2312"/>
          <w:color w:val="auto"/>
          <w:sz w:val="28"/>
          <w:szCs w:val="28"/>
          <w:highlight w:val="none"/>
        </w:rPr>
        <w:t>采购需求：</w:t>
      </w:r>
      <w:r>
        <w:rPr>
          <w:rFonts w:hint="eastAsia" w:ascii="仿宋_GB2312" w:hAnsi="仿宋_GB2312" w:eastAsia="仿宋_GB2312" w:cs="仿宋_GB2312"/>
          <w:color w:val="auto"/>
          <w:sz w:val="28"/>
          <w:szCs w:val="28"/>
          <w:highlight w:val="none"/>
          <w:lang w:val="en-US" w:eastAsia="zh-CN"/>
        </w:rPr>
        <w:t>需保安员80人，</w:t>
      </w:r>
      <w:r>
        <w:rPr>
          <w:rFonts w:hint="eastAsia" w:ascii="仿宋_GB2312" w:hAnsi="仿宋_GB2312" w:eastAsia="仿宋_GB2312" w:cs="仿宋_GB2312"/>
          <w:color w:val="auto"/>
          <w:sz w:val="28"/>
          <w:szCs w:val="28"/>
          <w:lang w:val="en-US" w:eastAsia="zh-CN"/>
        </w:rPr>
        <w:t>确保南校区校园安全、有序</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详见第三章</w:t>
      </w:r>
      <w:r>
        <w:rPr>
          <w:rFonts w:hint="eastAsia" w:ascii="仿宋_GB2312" w:hAnsi="仿宋_GB2312" w:eastAsia="仿宋_GB2312" w:cs="仿宋_GB2312"/>
          <w:color w:val="auto"/>
          <w:sz w:val="28"/>
          <w:szCs w:val="28"/>
          <w:highlight w:val="none"/>
          <w:lang w:eastAsia="zh-CN"/>
        </w:rPr>
        <w:t>）</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合同履行期限：</w:t>
      </w:r>
      <w:r>
        <w:rPr>
          <w:rFonts w:hint="eastAsia" w:ascii="仿宋_GB2312" w:hAnsi="仿宋_GB2312" w:eastAsia="仿宋_GB2312" w:cs="仿宋_GB2312"/>
          <w:color w:val="auto"/>
          <w:sz w:val="28"/>
          <w:szCs w:val="28"/>
          <w:highlight w:val="none"/>
          <w:lang w:val="en-US" w:eastAsia="zh-CN"/>
        </w:rPr>
        <w:t>一年。（详见第四章）</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w:t>
      </w:r>
      <w:r>
        <w:rPr>
          <w:rFonts w:hint="eastAsia" w:ascii="仿宋_GB2312" w:hAnsi="仿宋_GB2312" w:eastAsia="仿宋_GB2312" w:cs="仿宋_GB2312"/>
          <w:color w:val="auto"/>
          <w:sz w:val="28"/>
          <w:szCs w:val="28"/>
          <w:lang w:val="en-US" w:eastAsia="zh-CN"/>
        </w:rPr>
        <w:t>不</w:t>
      </w:r>
      <w:r>
        <w:rPr>
          <w:rFonts w:hint="eastAsia" w:ascii="仿宋_GB2312" w:hAnsi="仿宋_GB2312" w:eastAsia="仿宋_GB2312" w:cs="仿宋_GB2312"/>
          <w:color w:val="auto"/>
          <w:sz w:val="28"/>
          <w:szCs w:val="28"/>
        </w:rPr>
        <w:t>接受联合体。</w:t>
      </w: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12" w:name="_Toc35393799"/>
      <w:bookmarkStart w:id="13" w:name="_Toc3608"/>
      <w:bookmarkStart w:id="14" w:name="_Toc28359013"/>
      <w:bookmarkStart w:id="15" w:name="_Toc35393630"/>
      <w:bookmarkStart w:id="16" w:name="_Toc28359090"/>
      <w:r>
        <w:rPr>
          <w:rFonts w:hint="eastAsia" w:ascii="仿宋_GB2312" w:hAnsi="仿宋_GB2312" w:eastAsia="仿宋_GB2312" w:cs="仿宋_GB2312"/>
          <w:b/>
          <w:bCs/>
          <w:color w:val="auto"/>
          <w:kern w:val="2"/>
          <w:sz w:val="28"/>
          <w:szCs w:val="28"/>
          <w:lang w:val="en-US" w:eastAsia="zh-CN" w:bidi="ar-SA"/>
        </w:rPr>
        <w:t>二、申请人的资格要求：</w:t>
      </w:r>
      <w:bookmarkEnd w:id="12"/>
      <w:bookmarkEnd w:id="13"/>
      <w:bookmarkEnd w:id="14"/>
      <w:bookmarkEnd w:id="15"/>
      <w:bookmarkEnd w:id="16"/>
    </w:p>
    <w:p>
      <w:pPr>
        <w:keepLines w:val="0"/>
        <w:pageBreakBefore w:val="0"/>
        <w:widowControl w:val="0"/>
        <w:kinsoku/>
        <w:wordWrap/>
        <w:overflowPunct/>
        <w:topLinePunct w:val="0"/>
        <w:bidi w:val="0"/>
        <w:snapToGrid/>
        <w:spacing w:line="53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1.满足《中华人民共和国政府采购法》第二十二条规定；</w:t>
      </w:r>
    </w:p>
    <w:p>
      <w:pPr>
        <w:keepLines w:val="0"/>
        <w:pageBreakBefore w:val="0"/>
        <w:widowControl w:val="0"/>
        <w:kinsoku/>
        <w:wordWrap/>
        <w:overflowPunct/>
        <w:topLinePunct w:val="0"/>
        <w:bidi w:val="0"/>
        <w:snapToGrid/>
        <w:spacing w:line="530" w:lineRule="exact"/>
        <w:ind w:firstLine="566" w:firstLineChars="200"/>
        <w:textAlignment w:val="auto"/>
        <w:rPr>
          <w:rFonts w:hint="eastAsia" w:ascii="仿宋_GB2312" w:hAnsi="仿宋_GB2312" w:eastAsia="仿宋_GB2312" w:cs="仿宋_GB2312"/>
          <w:color w:val="auto"/>
          <w:sz w:val="28"/>
          <w:szCs w:val="28"/>
          <w:highlight w:val="none"/>
          <w:u w:val="single"/>
          <w:lang w:val="en-US" w:eastAsia="zh-CN"/>
        </w:rPr>
      </w:pPr>
      <w:bookmarkStart w:id="17" w:name="_Toc28359014"/>
      <w:bookmarkStart w:id="18" w:name="_Toc28359091"/>
      <w:r>
        <w:rPr>
          <w:rFonts w:hint="eastAsia" w:ascii="仿宋_GB2312" w:hAnsi="仿宋_GB2312" w:eastAsia="仿宋_GB2312" w:cs="仿宋_GB2312"/>
          <w:color w:val="auto"/>
          <w:sz w:val="28"/>
          <w:szCs w:val="28"/>
        </w:rPr>
        <w:t>2.落实政府采购政策需满足的资格要求：</w:t>
      </w:r>
      <w:r>
        <w:rPr>
          <w:rFonts w:hint="eastAsia" w:ascii="仿宋_GB2312" w:hAnsi="仿宋_GB2312" w:eastAsia="仿宋_GB2312" w:cs="仿宋_GB2312"/>
          <w:color w:val="auto"/>
          <w:sz w:val="28"/>
          <w:szCs w:val="28"/>
          <w:u w:val="single"/>
          <w:lang w:val="en-US" w:eastAsia="zh-CN"/>
        </w:rPr>
        <w:t>本项目</w:t>
      </w:r>
      <w:r>
        <w:rPr>
          <w:rFonts w:hint="eastAsia" w:ascii="仿宋_GB2312" w:hAnsi="仿宋_GB2312" w:eastAsia="仿宋_GB2312" w:cs="仿宋_GB2312"/>
          <w:color w:val="auto"/>
          <w:sz w:val="28"/>
          <w:szCs w:val="28"/>
          <w:highlight w:val="none"/>
          <w:u w:val="single"/>
          <w:lang w:val="en-US" w:eastAsia="zh-CN"/>
        </w:rPr>
        <w:t>专门面向中小企业采购，供应商应为中小微企业，</w:t>
      </w:r>
      <w:r>
        <w:rPr>
          <w:rFonts w:hint="eastAsia" w:ascii="仿宋_GB2312" w:hAnsi="仿宋_GB2312" w:eastAsia="仿宋_GB2312" w:cs="仿宋_GB2312"/>
          <w:b/>
          <w:bCs/>
          <w:color w:val="auto"/>
          <w:sz w:val="28"/>
          <w:szCs w:val="28"/>
          <w:highlight w:val="none"/>
          <w:u w:val="single"/>
          <w:lang w:val="en-US" w:eastAsia="zh-CN"/>
        </w:rPr>
        <w:t>磋商时须提供《中小企业声明函》</w:t>
      </w:r>
      <w:r>
        <w:rPr>
          <w:rFonts w:hint="eastAsia" w:ascii="仿宋_GB2312" w:hAnsi="仿宋_GB2312" w:eastAsia="仿宋_GB2312" w:cs="仿宋_GB2312"/>
          <w:color w:val="auto"/>
          <w:sz w:val="28"/>
          <w:szCs w:val="28"/>
          <w:highlight w:val="none"/>
          <w:u w:val="single"/>
          <w:lang w:val="en-US" w:eastAsia="zh-CN"/>
        </w:rPr>
        <w:t>（按第五章格式填写）。本项目采购标的对应的中小企业划分标准所属行业为：</w:t>
      </w:r>
      <w:r>
        <w:rPr>
          <w:rFonts w:hint="eastAsia" w:ascii="仿宋_GB2312" w:hAnsi="仿宋_GB2312" w:eastAsia="仿宋_GB2312" w:cs="仿宋_GB2312"/>
          <w:b/>
          <w:bCs/>
          <w:color w:val="auto"/>
          <w:sz w:val="28"/>
          <w:szCs w:val="28"/>
          <w:highlight w:val="none"/>
          <w:u w:val="single"/>
          <w:lang w:val="en-US" w:eastAsia="zh-CN"/>
        </w:rPr>
        <w:t>租赁和商务服务业</w:t>
      </w:r>
      <w:r>
        <w:rPr>
          <w:rFonts w:hint="eastAsia" w:ascii="仿宋_GB2312" w:hAnsi="仿宋_GB2312" w:eastAsia="仿宋_GB2312" w:cs="仿宋_GB2312"/>
          <w:color w:val="auto"/>
          <w:sz w:val="28"/>
          <w:szCs w:val="28"/>
          <w:highlight w:val="none"/>
          <w:u w:val="none"/>
          <w:lang w:val="en-US" w:eastAsia="zh-CN"/>
        </w:rPr>
        <w:t>。</w:t>
      </w:r>
    </w:p>
    <w:p>
      <w:pPr>
        <w:keepLines w:val="0"/>
        <w:pageBreakBefore w:val="0"/>
        <w:widowControl w:val="0"/>
        <w:kinsoku/>
        <w:wordWrap/>
        <w:overflowPunct/>
        <w:topLinePunct w:val="0"/>
        <w:bidi w:val="0"/>
        <w:snapToGrid/>
        <w:spacing w:line="53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3.本项目的特定资格要求：</w:t>
      </w:r>
    </w:p>
    <w:p>
      <w:pPr>
        <w:keepLines w:val="0"/>
        <w:pageBreakBefore w:val="0"/>
        <w:widowControl w:val="0"/>
        <w:kinsoku/>
        <w:wordWrap/>
        <w:overflowPunct/>
        <w:topLinePunct w:val="0"/>
        <w:bidi w:val="0"/>
        <w:snapToGrid/>
        <w:spacing w:line="53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（1）营业执照等主体资格证明文件：提供有效存续的企业营业执照（副本）/事业单位法人证书/专业服务机构执业许可证/民办非企业单位登记证书。</w:t>
      </w:r>
    </w:p>
    <w:p>
      <w:pPr>
        <w:keepLines w:val="0"/>
        <w:pageBreakBefore w:val="0"/>
        <w:widowControl w:val="0"/>
        <w:kinsoku/>
        <w:wordWrap/>
        <w:overflowPunct/>
        <w:topLinePunct w:val="0"/>
        <w:bidi w:val="0"/>
        <w:snapToGrid/>
        <w:spacing w:line="53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法定代表人授权委托书：法定代表人参加磋商的，须提供本人身份证复印件（附在资格证明文件中）；法定代表人授权他人参加磋商的，须提供法定代表人授权委托书。磋商文件中凡是需要法定代表人盖章之处，非法人单位的负责人均参照执行。（按第</w:t>
      </w:r>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color w:val="auto"/>
          <w:sz w:val="28"/>
          <w:szCs w:val="28"/>
        </w:rPr>
        <w:t xml:space="preserve">章格式填写） </w:t>
      </w:r>
    </w:p>
    <w:p>
      <w:pPr>
        <w:keepLines w:val="0"/>
        <w:pageBreakBefore w:val="0"/>
        <w:widowControl w:val="0"/>
        <w:kinsoku/>
        <w:wordWrap/>
        <w:overflowPunct/>
        <w:topLinePunct w:val="0"/>
        <w:bidi w:val="0"/>
        <w:snapToGrid/>
        <w:spacing w:line="53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法人的分支机构参与磋商时，除提供《法定代表人(负责人)授权委托书》外，还须同时提供法人给分支机构出具的授权书。（法人只能授权一家分支机构参与磋商，且不能与分支机构同时参与磋商。）</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（3）资格承诺函：提供《汉中市政府采购供应商资格承诺函》。（按第五章格式填写）</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（4）特定资格要求：</w:t>
      </w:r>
      <w:r>
        <w:rPr>
          <w:rFonts w:hint="eastAsia" w:ascii="仿宋_GB2312" w:hAnsi="仿宋_GB2312" w:eastAsia="仿宋_GB2312" w:cs="仿宋_GB2312"/>
          <w:color w:val="auto"/>
          <w:sz w:val="28"/>
          <w:szCs w:val="28"/>
          <w:highlight w:val="none"/>
          <w:lang w:val="en-US" w:eastAsia="zh-CN"/>
        </w:rPr>
        <w:t>提供市级及以上公安机关颁发的保安服务许可证。陕西省外供应商还须出具承诺书（承诺书形式不限），承诺自承接本项目之日起30日内向采购人所在地设区的市级人民政府公安机关备案。</w:t>
      </w:r>
    </w:p>
    <w:p>
      <w:pPr>
        <w:keepNext/>
        <w:keepLines w:val="0"/>
        <w:pageBreakBefore w:val="0"/>
        <w:widowControl w:val="0"/>
        <w:kinsoku/>
        <w:wordWrap/>
        <w:overflowPunct/>
        <w:topLinePunct w:val="0"/>
        <w:autoSpaceDE w:val="0"/>
        <w:autoSpaceDN w:val="0"/>
        <w:bidi w:val="0"/>
        <w:adjustRightInd w:val="0"/>
        <w:snapToGrid/>
        <w:spacing w:line="53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19" w:name="_Toc35393631"/>
      <w:bookmarkStart w:id="20" w:name="_Toc35393800"/>
      <w:bookmarkStart w:id="21" w:name="_Toc29259"/>
      <w:r>
        <w:rPr>
          <w:rFonts w:hint="eastAsia" w:ascii="仿宋_GB2312" w:hAnsi="仿宋_GB2312" w:eastAsia="仿宋_GB2312" w:cs="仿宋_GB2312"/>
          <w:b/>
          <w:bCs/>
          <w:color w:val="auto"/>
          <w:kern w:val="2"/>
          <w:sz w:val="28"/>
          <w:szCs w:val="28"/>
          <w:lang w:val="en-US" w:eastAsia="zh-CN" w:bidi="ar-SA"/>
        </w:rPr>
        <w:t>三、获取采购文件</w:t>
      </w:r>
      <w:bookmarkEnd w:id="17"/>
      <w:bookmarkEnd w:id="18"/>
      <w:bookmarkEnd w:id="19"/>
      <w:bookmarkEnd w:id="20"/>
      <w:bookmarkEnd w:id="21"/>
    </w:p>
    <w:p>
      <w:pPr>
        <w:keepNext w:val="0"/>
        <w:keepLines w:val="0"/>
        <w:pageBreakBefore w:val="0"/>
        <w:widowControl w:val="0"/>
        <w:kinsoku/>
        <w:wordWrap/>
        <w:overflowPunct/>
        <w:topLinePunct w:val="0"/>
        <w:autoSpaceDE/>
        <w:autoSpaceDN/>
        <w:bidi w:val="0"/>
        <w:adjustRightInd/>
        <w:snapToGrid/>
        <w:spacing w:line="530" w:lineRule="exact"/>
        <w:ind w:firstLine="566"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时间：</w:t>
      </w:r>
      <w:r>
        <w:rPr>
          <w:rFonts w:hint="eastAsia" w:ascii="仿宋_GB2312" w:hAnsi="仿宋_GB2312" w:eastAsia="仿宋_GB2312" w:cs="仿宋_GB2312"/>
          <w:color w:val="auto"/>
          <w:sz w:val="28"/>
          <w:szCs w:val="28"/>
          <w:u w:val="single"/>
          <w:lang w:val="en-US" w:eastAsia="zh-CN"/>
        </w:rPr>
        <w:t>20</w:t>
      </w:r>
      <w:r>
        <w:rPr>
          <w:rFonts w:hint="eastAsia" w:ascii="仿宋_GB2312" w:hAnsi="仿宋_GB2312" w:eastAsia="仿宋_GB2312" w:cs="仿宋_GB2312"/>
          <w:color w:val="auto"/>
          <w:sz w:val="28"/>
          <w:szCs w:val="28"/>
          <w:highlight w:val="none"/>
          <w:u w:val="single"/>
          <w:lang w:val="en-US" w:eastAsia="zh-CN"/>
        </w:rPr>
        <w:t>25</w:t>
      </w:r>
      <w:r>
        <w:rPr>
          <w:rFonts w:hint="eastAsia" w:ascii="仿宋_GB2312" w:hAnsi="仿宋_GB2312" w:eastAsia="仿宋_GB2312" w:cs="仿宋_GB2312"/>
          <w:color w:val="auto"/>
          <w:sz w:val="28"/>
          <w:szCs w:val="28"/>
          <w:highlight w:val="none"/>
          <w:u w:val="single"/>
        </w:rPr>
        <w:t xml:space="preserve"> 年</w:t>
      </w:r>
      <w:r>
        <w:rPr>
          <w:rFonts w:hint="eastAsia" w:ascii="仿宋_GB2312" w:hAnsi="仿宋_GB2312" w:eastAsia="仿宋_GB2312" w:cs="仿宋_GB2312"/>
          <w:color w:val="auto"/>
          <w:sz w:val="28"/>
          <w:szCs w:val="28"/>
          <w:highlight w:val="none"/>
          <w:u w:val="single"/>
          <w:lang w:val="en-US" w:eastAsia="zh-CN"/>
        </w:rPr>
        <w:t xml:space="preserve"> 6 </w:t>
      </w:r>
      <w:r>
        <w:rPr>
          <w:rFonts w:hint="eastAsia" w:ascii="仿宋_GB2312" w:hAnsi="仿宋_GB2312" w:eastAsia="仿宋_GB2312" w:cs="仿宋_GB2312"/>
          <w:color w:val="auto"/>
          <w:sz w:val="28"/>
          <w:szCs w:val="28"/>
          <w:highlight w:val="none"/>
          <w:u w:val="single"/>
        </w:rPr>
        <w:t xml:space="preserve">月 </w:t>
      </w:r>
      <w:r>
        <w:rPr>
          <w:rFonts w:hint="eastAsia" w:ascii="仿宋_GB2312" w:hAnsi="仿宋_GB2312" w:eastAsia="仿宋_GB2312" w:cs="仿宋_GB2312"/>
          <w:color w:val="auto"/>
          <w:sz w:val="28"/>
          <w:szCs w:val="28"/>
          <w:highlight w:val="none"/>
          <w:u w:val="single"/>
          <w:lang w:val="en-US" w:eastAsia="zh-CN"/>
        </w:rPr>
        <w:t xml:space="preserve">25 </w:t>
      </w:r>
      <w:r>
        <w:rPr>
          <w:rFonts w:hint="eastAsia" w:ascii="仿宋_GB2312" w:hAnsi="仿宋_GB2312" w:eastAsia="仿宋_GB2312" w:cs="仿宋_GB2312"/>
          <w:color w:val="auto"/>
          <w:sz w:val="28"/>
          <w:szCs w:val="28"/>
          <w:highlight w:val="none"/>
          <w:u w:val="single"/>
        </w:rPr>
        <w:t>日</w:t>
      </w:r>
      <w:r>
        <w:rPr>
          <w:rFonts w:hint="eastAsia" w:ascii="仿宋_GB2312" w:hAnsi="仿宋_GB2312" w:eastAsia="仿宋_GB2312" w:cs="仿宋_GB2312"/>
          <w:color w:val="auto"/>
          <w:sz w:val="28"/>
          <w:szCs w:val="28"/>
          <w:highlight w:val="none"/>
          <w:u w:val="single"/>
          <w:lang w:val="en-US" w:eastAsia="zh-CN"/>
        </w:rPr>
        <w:t xml:space="preserve"> 0 点 00 分</w:t>
      </w:r>
      <w:r>
        <w:rPr>
          <w:rFonts w:hint="eastAsia" w:ascii="仿宋_GB2312" w:hAnsi="仿宋_GB2312" w:eastAsia="仿宋_GB2312" w:cs="仿宋_GB2312"/>
          <w:color w:val="auto"/>
          <w:sz w:val="28"/>
          <w:szCs w:val="28"/>
          <w:highlight w:val="none"/>
        </w:rPr>
        <w:t>至</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2025</w:t>
      </w:r>
      <w:r>
        <w:rPr>
          <w:rFonts w:hint="eastAsia" w:ascii="仿宋_GB2312" w:hAnsi="仿宋_GB2312" w:eastAsia="仿宋_GB2312" w:cs="仿宋_GB2312"/>
          <w:color w:val="auto"/>
          <w:sz w:val="28"/>
          <w:szCs w:val="28"/>
          <w:highlight w:val="none"/>
          <w:u w:val="single"/>
        </w:rPr>
        <w:t xml:space="preserve"> 年</w:t>
      </w:r>
      <w:r>
        <w:rPr>
          <w:rFonts w:hint="eastAsia" w:ascii="仿宋_GB2312" w:hAnsi="仿宋_GB2312" w:eastAsia="仿宋_GB2312" w:cs="仿宋_GB2312"/>
          <w:color w:val="auto"/>
          <w:sz w:val="28"/>
          <w:szCs w:val="28"/>
          <w:highlight w:val="none"/>
          <w:u w:val="single"/>
          <w:lang w:val="en-US" w:eastAsia="zh-CN"/>
        </w:rPr>
        <w:t xml:space="preserve"> 7 </w:t>
      </w:r>
      <w:r>
        <w:rPr>
          <w:rFonts w:hint="eastAsia" w:ascii="仿宋_GB2312" w:hAnsi="仿宋_GB2312" w:eastAsia="仿宋_GB2312" w:cs="仿宋_GB2312"/>
          <w:color w:val="auto"/>
          <w:sz w:val="28"/>
          <w:szCs w:val="28"/>
          <w:highlight w:val="none"/>
          <w:u w:val="single"/>
        </w:rPr>
        <w:t>月</w:t>
      </w:r>
      <w:r>
        <w:rPr>
          <w:rFonts w:hint="eastAsia" w:ascii="仿宋_GB2312" w:hAnsi="仿宋_GB2312" w:eastAsia="仿宋_GB2312" w:cs="仿宋_GB2312"/>
          <w:color w:val="auto"/>
          <w:sz w:val="28"/>
          <w:szCs w:val="28"/>
          <w:highlight w:val="none"/>
          <w:u w:val="single"/>
          <w:lang w:val="en-US" w:eastAsia="zh-CN"/>
        </w:rPr>
        <w:t xml:space="preserve"> 1 </w:t>
      </w:r>
      <w:r>
        <w:rPr>
          <w:rFonts w:hint="eastAsia" w:ascii="仿宋_GB2312" w:hAnsi="仿宋_GB2312" w:eastAsia="仿宋_GB2312" w:cs="仿宋_GB2312"/>
          <w:color w:val="auto"/>
          <w:sz w:val="28"/>
          <w:szCs w:val="28"/>
          <w:highlight w:val="none"/>
          <w:u w:val="single"/>
        </w:rPr>
        <w:t>日</w:t>
      </w:r>
      <w:r>
        <w:rPr>
          <w:rFonts w:hint="eastAsia" w:ascii="仿宋_GB2312" w:hAnsi="仿宋_GB2312" w:eastAsia="仿宋_GB2312" w:cs="仿宋_GB2312"/>
          <w:color w:val="auto"/>
          <w:sz w:val="28"/>
          <w:szCs w:val="28"/>
          <w:highlight w:val="none"/>
          <w:u w:val="single"/>
          <w:lang w:val="en-US" w:eastAsia="zh-CN"/>
        </w:rPr>
        <w:t xml:space="preserve"> 24 点 00 分（北京时间）</w:t>
      </w:r>
    </w:p>
    <w:p>
      <w:pPr>
        <w:keepLines w:val="0"/>
        <w:pageBreakBefore w:val="0"/>
        <w:widowControl w:val="0"/>
        <w:kinsoku/>
        <w:wordWrap/>
        <w:overflowPunct/>
        <w:topLinePunct w:val="0"/>
        <w:bidi w:val="0"/>
        <w:snapToGrid/>
        <w:spacing w:line="530" w:lineRule="exact"/>
        <w:ind w:firstLine="540"/>
        <w:textAlignment w:val="auto"/>
        <w:rPr>
          <w:rFonts w:hint="eastAsia" w:ascii="仿宋_GB2312" w:hAnsi="仿宋_GB2312" w:eastAsia="仿宋_GB2312" w:cs="仿宋_GB2312"/>
          <w:color w:val="auto"/>
          <w:sz w:val="28"/>
          <w:szCs w:val="28"/>
          <w:highlight w:val="none"/>
          <w:u w:val="single"/>
          <w:lang w:eastAsia="zh-CN"/>
        </w:rPr>
      </w:pPr>
      <w:r>
        <w:rPr>
          <w:rFonts w:hint="eastAsia" w:ascii="仿宋_GB2312" w:hAnsi="仿宋_GB2312" w:eastAsia="仿宋_GB2312" w:cs="仿宋_GB2312"/>
          <w:color w:val="auto"/>
          <w:sz w:val="28"/>
          <w:szCs w:val="28"/>
          <w:highlight w:val="none"/>
        </w:rPr>
        <w:t>地点：</w:t>
      </w:r>
      <w:r>
        <w:rPr>
          <w:rFonts w:hint="eastAsia" w:ascii="仿宋_GB2312" w:hAnsi="仿宋_GB2312" w:eastAsia="仿宋_GB2312" w:cs="仿宋_GB2312"/>
          <w:color w:val="auto"/>
          <w:sz w:val="28"/>
          <w:szCs w:val="28"/>
          <w:highlight w:val="none"/>
          <w:lang w:val="en-US" w:eastAsia="zh-CN"/>
        </w:rPr>
        <w:t>供应商</w:t>
      </w:r>
      <w:r>
        <w:rPr>
          <w:rFonts w:hint="eastAsia" w:ascii="仿宋_GB2312" w:hAnsi="仿宋_GB2312" w:eastAsia="仿宋_GB2312" w:cs="仿宋_GB2312"/>
          <w:color w:val="auto"/>
          <w:sz w:val="28"/>
          <w:szCs w:val="28"/>
          <w:highlight w:val="none"/>
        </w:rPr>
        <w:t>登录全国公共资源交易平台（汉中市）（sxggzyjy.hanzhong.gov.cn）〖首页·〉电子交易平台·〉企业端〗后，在〖招标公告/出让公告·〉政府采购〗模块中选择项目点击“我要投标”，参与</w:t>
      </w:r>
      <w:r>
        <w:rPr>
          <w:rFonts w:hint="eastAsia" w:ascii="仿宋_GB2312" w:hAnsi="仿宋_GB2312" w:eastAsia="仿宋_GB2312" w:cs="仿宋_GB2312"/>
          <w:color w:val="auto"/>
          <w:sz w:val="28"/>
          <w:szCs w:val="28"/>
          <w:highlight w:val="none"/>
          <w:lang w:val="en-US" w:eastAsia="zh-CN"/>
        </w:rPr>
        <w:t>采购</w:t>
      </w:r>
      <w:r>
        <w:rPr>
          <w:rFonts w:hint="eastAsia" w:ascii="仿宋_GB2312" w:hAnsi="仿宋_GB2312" w:eastAsia="仿宋_GB2312" w:cs="仿宋_GB2312"/>
          <w:color w:val="auto"/>
          <w:sz w:val="28"/>
          <w:szCs w:val="28"/>
          <w:highlight w:val="none"/>
        </w:rPr>
        <w:t>活动</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然后即可在〖我的项目〗中点击“项目流程&gt;交易文件下载”下载电子招标文件（*.SXSZF）。</w:t>
      </w:r>
      <w:r>
        <w:rPr>
          <w:rFonts w:hint="eastAsia" w:ascii="仿宋_GB2312" w:hAnsi="仿宋_GB2312" w:eastAsia="仿宋_GB2312" w:cs="仿宋_GB2312"/>
          <w:color w:val="auto"/>
          <w:sz w:val="28"/>
          <w:szCs w:val="28"/>
          <w:highlight w:val="none"/>
          <w:lang w:val="en-US" w:eastAsia="zh-CN"/>
        </w:rPr>
        <w:t>操作流程详见</w:t>
      </w:r>
      <w:r>
        <w:rPr>
          <w:rFonts w:hint="eastAsia" w:ascii="仿宋_GB2312" w:hAnsi="仿宋_GB2312" w:eastAsia="仿宋_GB2312" w:cs="仿宋_GB2312"/>
          <w:color w:val="auto"/>
          <w:sz w:val="28"/>
          <w:szCs w:val="28"/>
          <w:highlight w:val="none"/>
          <w:lang w:eastAsia="zh-CN"/>
        </w:rPr>
        <w:t>全国公共资源交易平台（汉中市）网站〖首页·〉服务指南·〉下载专区〗中的《政府采购供应商操作手册》。</w:t>
      </w:r>
    </w:p>
    <w:p>
      <w:pPr>
        <w:keepLines w:val="0"/>
        <w:pageBreakBefore w:val="0"/>
        <w:widowControl w:val="0"/>
        <w:kinsoku/>
        <w:wordWrap/>
        <w:overflowPunct/>
        <w:topLinePunct w:val="0"/>
        <w:bidi w:val="0"/>
        <w:snapToGrid/>
        <w:spacing w:line="530" w:lineRule="exact"/>
        <w:ind w:firstLine="540"/>
        <w:textAlignment w:val="auto"/>
        <w:rPr>
          <w:rFonts w:hint="eastAsia"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方式：</w:t>
      </w:r>
      <w:r>
        <w:rPr>
          <w:rFonts w:hint="eastAsia" w:ascii="仿宋_GB2312" w:hAnsi="仿宋_GB2312" w:eastAsia="仿宋_GB2312" w:cs="仿宋_GB2312"/>
          <w:color w:val="auto"/>
          <w:sz w:val="28"/>
          <w:szCs w:val="28"/>
          <w:highlight w:val="none"/>
          <w:lang w:val="en-US" w:eastAsia="zh-CN"/>
        </w:rPr>
        <w:t>线上获取</w:t>
      </w:r>
    </w:p>
    <w:p>
      <w:pPr>
        <w:keepLines w:val="0"/>
        <w:pageBreakBefore w:val="0"/>
        <w:widowControl w:val="0"/>
        <w:kinsoku/>
        <w:wordWrap/>
        <w:overflowPunct/>
        <w:topLinePunct w:val="0"/>
        <w:bidi w:val="0"/>
        <w:snapToGrid/>
        <w:spacing w:line="530" w:lineRule="exact"/>
        <w:ind w:firstLine="54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售价：</w:t>
      </w:r>
      <w:r>
        <w:rPr>
          <w:rFonts w:hint="eastAsia" w:ascii="仿宋_GB2312" w:hAnsi="仿宋_GB2312" w:eastAsia="仿宋_GB2312" w:cs="仿宋_GB2312"/>
          <w:color w:val="auto"/>
          <w:sz w:val="28"/>
          <w:szCs w:val="28"/>
          <w:highlight w:val="none"/>
          <w:lang w:val="en-US" w:eastAsia="zh-CN"/>
        </w:rPr>
        <w:t>0.00元</w:t>
      </w:r>
    </w:p>
    <w:p>
      <w:pPr>
        <w:keepNext/>
        <w:keepLines w:val="0"/>
        <w:pageBreakBefore w:val="0"/>
        <w:widowControl w:val="0"/>
        <w:kinsoku/>
        <w:wordWrap/>
        <w:overflowPunct/>
        <w:topLinePunct w:val="0"/>
        <w:autoSpaceDE w:val="0"/>
        <w:autoSpaceDN w:val="0"/>
        <w:bidi w:val="0"/>
        <w:adjustRightInd w:val="0"/>
        <w:snapToGrid/>
        <w:spacing w:line="530" w:lineRule="exact"/>
        <w:jc w:val="both"/>
        <w:textAlignment w:val="auto"/>
        <w:outlineLvl w:val="1"/>
        <w:rPr>
          <w:rFonts w:hint="eastAsia" w:ascii="仿宋_GB2312" w:hAnsi="仿宋_GB2312" w:eastAsia="仿宋_GB2312" w:cs="仿宋_GB2312"/>
          <w:b/>
          <w:bCs/>
          <w:color w:val="auto"/>
          <w:kern w:val="2"/>
          <w:sz w:val="28"/>
          <w:szCs w:val="28"/>
          <w:highlight w:val="none"/>
          <w:lang w:val="en-US" w:eastAsia="zh-CN" w:bidi="ar-SA"/>
        </w:rPr>
      </w:pPr>
      <w:bookmarkStart w:id="22" w:name="_Toc35393801"/>
      <w:bookmarkStart w:id="23" w:name="_Toc28359015"/>
      <w:bookmarkStart w:id="24" w:name="_Toc35393632"/>
      <w:bookmarkStart w:id="25" w:name="_Toc859"/>
      <w:bookmarkStart w:id="26" w:name="_Toc28359092"/>
      <w:r>
        <w:rPr>
          <w:rFonts w:hint="eastAsia" w:ascii="仿宋_GB2312" w:hAnsi="仿宋_GB2312" w:eastAsia="仿宋_GB2312" w:cs="仿宋_GB2312"/>
          <w:b/>
          <w:bCs/>
          <w:color w:val="auto"/>
          <w:kern w:val="2"/>
          <w:sz w:val="28"/>
          <w:szCs w:val="28"/>
          <w:highlight w:val="none"/>
          <w:lang w:val="en-US" w:eastAsia="zh-CN" w:bidi="ar-SA"/>
        </w:rPr>
        <w:t>四、响应文件提交</w:t>
      </w:r>
      <w:bookmarkEnd w:id="22"/>
      <w:bookmarkEnd w:id="23"/>
      <w:bookmarkEnd w:id="24"/>
      <w:bookmarkEnd w:id="25"/>
      <w:bookmarkEnd w:id="26"/>
    </w:p>
    <w:p>
      <w:pPr>
        <w:keepLines w:val="0"/>
        <w:pageBreakBefore w:val="0"/>
        <w:widowControl w:val="0"/>
        <w:kinsoku/>
        <w:wordWrap/>
        <w:overflowPunct/>
        <w:topLinePunct w:val="0"/>
        <w:bidi w:val="0"/>
        <w:snapToGrid/>
        <w:spacing w:line="530" w:lineRule="exact"/>
        <w:ind w:firstLine="566"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color w:val="auto"/>
          <w:sz w:val="28"/>
          <w:szCs w:val="28"/>
          <w:highlight w:val="none"/>
        </w:rPr>
        <w:t>截止时间：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2025</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rPr>
        <w:t xml:space="preserve">年 </w:t>
      </w:r>
      <w:r>
        <w:rPr>
          <w:rFonts w:hint="eastAsia" w:ascii="仿宋_GB2312" w:hAnsi="仿宋_GB2312" w:eastAsia="仿宋_GB2312" w:cs="仿宋_GB2312"/>
          <w:bCs/>
          <w:color w:val="auto"/>
          <w:sz w:val="28"/>
          <w:szCs w:val="28"/>
          <w:highlight w:val="none"/>
          <w:u w:val="single"/>
          <w:lang w:val="en-US" w:eastAsia="zh-CN"/>
        </w:rPr>
        <w:t xml:space="preserve">7 </w:t>
      </w:r>
      <w:r>
        <w:rPr>
          <w:rFonts w:hint="eastAsia" w:ascii="仿宋_GB2312" w:hAnsi="仿宋_GB2312" w:eastAsia="仿宋_GB2312" w:cs="仿宋_GB2312"/>
          <w:bCs/>
          <w:color w:val="auto"/>
          <w:sz w:val="28"/>
          <w:szCs w:val="28"/>
          <w:highlight w:val="none"/>
          <w:u w:val="single"/>
        </w:rPr>
        <w:t>月</w:t>
      </w:r>
      <w:r>
        <w:rPr>
          <w:rFonts w:hint="eastAsia" w:ascii="仿宋_GB2312" w:hAnsi="仿宋_GB2312" w:eastAsia="仿宋_GB2312" w:cs="仿宋_GB2312"/>
          <w:bCs/>
          <w:color w:val="auto"/>
          <w:sz w:val="28"/>
          <w:szCs w:val="28"/>
          <w:highlight w:val="none"/>
          <w:u w:val="single"/>
          <w:lang w:val="en-US" w:eastAsia="zh-CN"/>
        </w:rPr>
        <w:t xml:space="preserve"> 11 </w:t>
      </w:r>
      <w:r>
        <w:rPr>
          <w:rFonts w:hint="eastAsia" w:ascii="仿宋_GB2312" w:hAnsi="仿宋_GB2312" w:eastAsia="仿宋_GB2312" w:cs="仿宋_GB2312"/>
          <w:bCs/>
          <w:color w:val="auto"/>
          <w:sz w:val="28"/>
          <w:szCs w:val="28"/>
          <w:highlight w:val="none"/>
          <w:u w:val="single"/>
        </w:rPr>
        <w:t xml:space="preserve">日 </w:t>
      </w:r>
      <w:r>
        <w:rPr>
          <w:rFonts w:hint="eastAsia" w:ascii="仿宋_GB2312" w:hAnsi="仿宋_GB2312" w:eastAsia="仿宋_GB2312" w:cs="仿宋_GB2312"/>
          <w:bCs/>
          <w:color w:val="auto"/>
          <w:sz w:val="28"/>
          <w:szCs w:val="28"/>
          <w:highlight w:val="none"/>
          <w:u w:val="single"/>
          <w:lang w:val="en-US" w:eastAsia="zh-CN"/>
        </w:rPr>
        <w:t>9</w:t>
      </w:r>
      <w:r>
        <w:rPr>
          <w:rFonts w:hint="eastAsia" w:ascii="仿宋_GB2312" w:hAnsi="仿宋_GB2312" w:eastAsia="仿宋_GB2312" w:cs="仿宋_GB2312"/>
          <w:bCs/>
          <w:color w:val="auto"/>
          <w:sz w:val="28"/>
          <w:szCs w:val="28"/>
          <w:highlight w:val="none"/>
          <w:u w:val="single"/>
        </w:rPr>
        <w:t xml:space="preserve"> 点 </w:t>
      </w:r>
      <w:r>
        <w:rPr>
          <w:rFonts w:hint="eastAsia" w:ascii="仿宋_GB2312" w:hAnsi="仿宋_GB2312" w:eastAsia="仿宋_GB2312" w:cs="仿宋_GB2312"/>
          <w:bCs/>
          <w:color w:val="auto"/>
          <w:sz w:val="28"/>
          <w:szCs w:val="28"/>
          <w:highlight w:val="none"/>
          <w:u w:val="single"/>
          <w:lang w:val="en-US" w:eastAsia="zh-CN"/>
        </w:rPr>
        <w:t>30</w:t>
      </w:r>
      <w:r>
        <w:rPr>
          <w:rFonts w:hint="eastAsia" w:ascii="仿宋_GB2312" w:hAnsi="仿宋_GB2312" w:eastAsia="仿宋_GB2312" w:cs="仿宋_GB2312"/>
          <w:bCs/>
          <w:color w:val="auto"/>
          <w:sz w:val="28"/>
          <w:szCs w:val="28"/>
          <w:highlight w:val="none"/>
          <w:u w:val="single"/>
        </w:rPr>
        <w:t xml:space="preserve"> 分</w:t>
      </w:r>
      <w:r>
        <w:rPr>
          <w:rFonts w:hint="eastAsia" w:ascii="仿宋_GB2312" w:hAnsi="仿宋_GB2312" w:eastAsia="仿宋_GB2312" w:cs="仿宋_GB2312"/>
          <w:bCs/>
          <w:color w:val="auto"/>
          <w:sz w:val="28"/>
          <w:szCs w:val="28"/>
          <w:highlight w:val="none"/>
        </w:rPr>
        <w:t>（北京时间）</w:t>
      </w:r>
    </w:p>
    <w:p>
      <w:pPr>
        <w:keepLines w:val="0"/>
        <w:pageBreakBefore w:val="0"/>
        <w:widowControl w:val="0"/>
        <w:kinsoku/>
        <w:wordWrap/>
        <w:overflowPunct/>
        <w:topLinePunct w:val="0"/>
        <w:bidi w:val="0"/>
        <w:snapToGrid/>
        <w:spacing w:line="530" w:lineRule="exact"/>
        <w:ind w:firstLine="566" w:firstLineChars="200"/>
        <w:textAlignment w:val="auto"/>
        <w:rPr>
          <w:rFonts w:hint="eastAsia" w:ascii="仿宋_GB2312" w:hAnsi="仿宋_GB2312" w:eastAsia="仿宋_GB2312" w:cs="仿宋_GB2312"/>
          <w:bCs/>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地点：电子</w:t>
      </w:r>
      <w:r>
        <w:rPr>
          <w:rFonts w:hint="eastAsia" w:ascii="仿宋_GB2312" w:hAnsi="仿宋_GB2312" w:eastAsia="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文件（*.SXSTF）可于提交</w:t>
      </w:r>
      <w:r>
        <w:rPr>
          <w:rFonts w:hint="eastAsia" w:ascii="仿宋_GB2312" w:hAnsi="仿宋_GB2312" w:eastAsia="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文件截止时间前任意时段登录全国公共资源交易平台（</w:t>
      </w:r>
      <w:r>
        <w:rPr>
          <w:rFonts w:hint="eastAsia" w:ascii="仿宋_GB2312" w:hAnsi="仿宋_GB2312" w:eastAsia="仿宋_GB2312" w:cs="仿宋_GB2312"/>
          <w:color w:val="auto"/>
          <w:sz w:val="28"/>
          <w:szCs w:val="28"/>
          <w:highlight w:val="none"/>
          <w:lang w:val="en-US" w:eastAsia="zh-CN"/>
        </w:rPr>
        <w:t>汉中市</w:t>
      </w:r>
      <w:r>
        <w:rPr>
          <w:rFonts w:hint="eastAsia" w:ascii="仿宋_GB2312" w:hAnsi="仿宋_GB2312" w:eastAsia="仿宋_GB2312" w:cs="仿宋_GB2312"/>
          <w:color w:val="auto"/>
          <w:sz w:val="28"/>
          <w:szCs w:val="28"/>
          <w:highlight w:val="none"/>
        </w:rPr>
        <w:t>）网站进行提交</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逾期系统将拒绝接收。</w:t>
      </w:r>
    </w:p>
    <w:p>
      <w:pPr>
        <w:keepNext/>
        <w:keepLines w:val="0"/>
        <w:pageBreakBefore w:val="0"/>
        <w:widowControl w:val="0"/>
        <w:kinsoku/>
        <w:wordWrap/>
        <w:overflowPunct/>
        <w:topLinePunct w:val="0"/>
        <w:autoSpaceDE w:val="0"/>
        <w:autoSpaceDN w:val="0"/>
        <w:bidi w:val="0"/>
        <w:adjustRightInd w:val="0"/>
        <w:snapToGrid/>
        <w:spacing w:line="530" w:lineRule="exact"/>
        <w:jc w:val="both"/>
        <w:textAlignment w:val="auto"/>
        <w:outlineLvl w:val="1"/>
        <w:rPr>
          <w:rFonts w:hint="eastAsia" w:ascii="仿宋_GB2312" w:hAnsi="仿宋_GB2312" w:eastAsia="仿宋_GB2312" w:cs="仿宋_GB2312"/>
          <w:b/>
          <w:bCs/>
          <w:color w:val="auto"/>
          <w:kern w:val="2"/>
          <w:sz w:val="28"/>
          <w:szCs w:val="28"/>
          <w:highlight w:val="none"/>
          <w:lang w:val="en-US" w:eastAsia="zh-CN" w:bidi="ar-SA"/>
        </w:rPr>
      </w:pPr>
      <w:bookmarkStart w:id="27" w:name="_Toc28359093"/>
      <w:bookmarkStart w:id="28" w:name="_Toc35393633"/>
      <w:bookmarkStart w:id="29" w:name="_Toc32165"/>
      <w:bookmarkStart w:id="30" w:name="_Toc28359016"/>
      <w:bookmarkStart w:id="31" w:name="_Toc35393802"/>
      <w:r>
        <w:rPr>
          <w:rFonts w:hint="eastAsia" w:ascii="仿宋_GB2312" w:hAnsi="仿宋_GB2312" w:eastAsia="仿宋_GB2312" w:cs="仿宋_GB2312"/>
          <w:b/>
          <w:bCs/>
          <w:color w:val="auto"/>
          <w:kern w:val="2"/>
          <w:sz w:val="28"/>
          <w:szCs w:val="28"/>
          <w:highlight w:val="none"/>
          <w:lang w:val="en-US" w:eastAsia="zh-CN" w:bidi="ar-SA"/>
        </w:rPr>
        <w:t>五、开启</w:t>
      </w:r>
      <w:bookmarkEnd w:id="27"/>
      <w:bookmarkEnd w:id="28"/>
      <w:bookmarkEnd w:id="29"/>
      <w:bookmarkEnd w:id="30"/>
      <w:bookmarkEnd w:id="31"/>
    </w:p>
    <w:p>
      <w:pPr>
        <w:keepLines w:val="0"/>
        <w:pageBreakBefore w:val="0"/>
        <w:widowControl w:val="0"/>
        <w:kinsoku/>
        <w:wordWrap/>
        <w:overflowPunct/>
        <w:topLinePunct w:val="0"/>
        <w:bidi w:val="0"/>
        <w:snapToGrid/>
        <w:spacing w:line="530" w:lineRule="exact"/>
        <w:ind w:firstLine="566" w:firstLineChars="200"/>
        <w:textAlignment w:val="auto"/>
        <w:rPr>
          <w:rFonts w:hint="eastAsia"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color w:val="auto"/>
          <w:sz w:val="28"/>
          <w:szCs w:val="28"/>
          <w:highlight w:val="none"/>
        </w:rPr>
        <w:t>时间：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2025</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rPr>
        <w:t>年</w:t>
      </w:r>
      <w:r>
        <w:rPr>
          <w:rFonts w:hint="eastAsia" w:ascii="仿宋_GB2312" w:hAnsi="仿宋_GB2312" w:eastAsia="仿宋_GB2312" w:cs="仿宋_GB2312"/>
          <w:bCs/>
          <w:color w:val="auto"/>
          <w:sz w:val="28"/>
          <w:szCs w:val="28"/>
          <w:highlight w:val="none"/>
          <w:u w:val="single"/>
          <w:lang w:val="en-US" w:eastAsia="zh-CN"/>
        </w:rPr>
        <w:t xml:space="preserve"> 7 </w:t>
      </w:r>
      <w:r>
        <w:rPr>
          <w:rFonts w:hint="eastAsia" w:ascii="仿宋_GB2312" w:hAnsi="仿宋_GB2312" w:eastAsia="仿宋_GB2312" w:cs="仿宋_GB2312"/>
          <w:bCs/>
          <w:color w:val="auto"/>
          <w:sz w:val="28"/>
          <w:szCs w:val="28"/>
          <w:highlight w:val="none"/>
          <w:u w:val="single"/>
        </w:rPr>
        <w:t>月</w:t>
      </w:r>
      <w:r>
        <w:rPr>
          <w:rFonts w:hint="eastAsia" w:ascii="仿宋_GB2312" w:hAnsi="仿宋_GB2312" w:eastAsia="仿宋_GB2312" w:cs="仿宋_GB2312"/>
          <w:bCs/>
          <w:color w:val="auto"/>
          <w:sz w:val="28"/>
          <w:szCs w:val="28"/>
          <w:highlight w:val="none"/>
          <w:u w:val="single"/>
          <w:lang w:val="en-US" w:eastAsia="zh-CN"/>
        </w:rPr>
        <w:t xml:space="preserve"> 11 </w:t>
      </w:r>
      <w:r>
        <w:rPr>
          <w:rFonts w:hint="eastAsia" w:ascii="仿宋_GB2312" w:hAnsi="仿宋_GB2312" w:eastAsia="仿宋_GB2312" w:cs="仿宋_GB2312"/>
          <w:bCs/>
          <w:color w:val="auto"/>
          <w:sz w:val="28"/>
          <w:szCs w:val="28"/>
          <w:highlight w:val="none"/>
          <w:u w:val="single"/>
        </w:rPr>
        <w:t xml:space="preserve">日 </w:t>
      </w:r>
      <w:r>
        <w:rPr>
          <w:rFonts w:hint="eastAsia" w:ascii="仿宋_GB2312" w:hAnsi="仿宋_GB2312" w:eastAsia="仿宋_GB2312" w:cs="仿宋_GB2312"/>
          <w:bCs/>
          <w:color w:val="auto"/>
          <w:sz w:val="28"/>
          <w:szCs w:val="28"/>
          <w:highlight w:val="none"/>
          <w:u w:val="single"/>
          <w:lang w:val="en-US" w:eastAsia="zh-CN"/>
        </w:rPr>
        <w:t>9</w:t>
      </w:r>
      <w:r>
        <w:rPr>
          <w:rFonts w:hint="eastAsia" w:ascii="仿宋_GB2312" w:hAnsi="仿宋_GB2312" w:eastAsia="仿宋_GB2312" w:cs="仿宋_GB2312"/>
          <w:bCs/>
          <w:color w:val="auto"/>
          <w:sz w:val="28"/>
          <w:szCs w:val="28"/>
          <w:highlight w:val="none"/>
          <w:u w:val="single"/>
        </w:rPr>
        <w:t xml:space="preserve"> 点 </w:t>
      </w:r>
      <w:r>
        <w:rPr>
          <w:rFonts w:hint="eastAsia" w:ascii="仿宋_GB2312" w:hAnsi="仿宋_GB2312" w:eastAsia="仿宋_GB2312" w:cs="仿宋_GB2312"/>
          <w:bCs/>
          <w:color w:val="auto"/>
          <w:sz w:val="28"/>
          <w:szCs w:val="28"/>
          <w:highlight w:val="none"/>
          <w:u w:val="single"/>
          <w:lang w:val="en-US" w:eastAsia="zh-CN"/>
        </w:rPr>
        <w:t>30</w:t>
      </w:r>
      <w:r>
        <w:rPr>
          <w:rFonts w:hint="eastAsia" w:ascii="仿宋_GB2312" w:hAnsi="仿宋_GB2312" w:eastAsia="仿宋_GB2312" w:cs="仿宋_GB2312"/>
          <w:bCs/>
          <w:color w:val="auto"/>
          <w:sz w:val="28"/>
          <w:szCs w:val="28"/>
          <w:highlight w:val="none"/>
          <w:u w:val="single"/>
        </w:rPr>
        <w:t xml:space="preserve"> 分</w:t>
      </w:r>
      <w:r>
        <w:rPr>
          <w:rFonts w:hint="eastAsia" w:ascii="仿宋_GB2312" w:hAnsi="仿宋_GB2312" w:eastAsia="仿宋_GB2312" w:cs="仿宋_GB2312"/>
          <w:bCs/>
          <w:color w:val="auto"/>
          <w:sz w:val="28"/>
          <w:szCs w:val="28"/>
          <w:highlight w:val="none"/>
        </w:rPr>
        <w:t>（北京时间）</w:t>
      </w:r>
    </w:p>
    <w:p>
      <w:pPr>
        <w:keepLines w:val="0"/>
        <w:pageBreakBefore w:val="0"/>
        <w:widowControl w:val="0"/>
        <w:kinsoku/>
        <w:wordWrap/>
        <w:overflowPunct/>
        <w:topLinePunct w:val="0"/>
        <w:bidi w:val="0"/>
        <w:snapToGrid/>
        <w:spacing w:line="530" w:lineRule="exact"/>
        <w:ind w:firstLine="566" w:firstLineChars="200"/>
        <w:textAlignment w:val="auto"/>
        <w:rPr>
          <w:rFonts w:hint="eastAsia" w:ascii="仿宋_GB2312" w:hAnsi="仿宋_GB2312" w:eastAsia="仿宋_GB2312" w:cs="仿宋_GB2312"/>
          <w:bCs/>
          <w:color w:val="auto"/>
          <w:sz w:val="28"/>
          <w:szCs w:val="28"/>
          <w:u w:val="single"/>
        </w:rPr>
      </w:pPr>
      <w:r>
        <w:rPr>
          <w:rFonts w:hint="eastAsia" w:ascii="仿宋_GB2312" w:hAnsi="仿宋_GB2312" w:eastAsia="仿宋_GB2312" w:cs="仿宋_GB2312"/>
          <w:color w:val="auto"/>
          <w:sz w:val="28"/>
          <w:szCs w:val="28"/>
        </w:rPr>
        <w:t>地点：</w:t>
      </w:r>
      <w:r>
        <w:rPr>
          <w:rFonts w:hint="eastAsia" w:ascii="仿宋_GB2312" w:hAnsi="仿宋_GB2312" w:eastAsia="仿宋_GB2312" w:cs="仿宋_GB2312"/>
          <w:b/>
          <w:bCs/>
          <w:color w:val="auto"/>
          <w:sz w:val="28"/>
          <w:szCs w:val="28"/>
          <w:highlight w:val="none"/>
        </w:rPr>
        <w:t>采用</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rPr>
        <w:t>不见面开标方式</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前，</w:t>
      </w:r>
      <w:r>
        <w:rPr>
          <w:rFonts w:hint="eastAsia" w:ascii="仿宋_GB2312" w:hAnsi="仿宋_GB2312" w:eastAsia="仿宋_GB2312" w:cs="仿宋_GB2312"/>
          <w:color w:val="auto"/>
          <w:sz w:val="28"/>
          <w:szCs w:val="28"/>
          <w:lang w:val="en-US" w:eastAsia="zh-CN"/>
        </w:rPr>
        <w:t>供应商</w:t>
      </w:r>
      <w:r>
        <w:rPr>
          <w:rFonts w:hint="eastAsia" w:ascii="仿宋_GB2312" w:hAnsi="仿宋_GB2312" w:eastAsia="仿宋_GB2312" w:cs="仿宋_GB2312"/>
          <w:color w:val="auto"/>
          <w:sz w:val="28"/>
          <w:szCs w:val="28"/>
        </w:rPr>
        <w:t>登录全国公共资源交易平台（陕西省·汉中市）网站〖首页〉不见面开标〗系统，在线参加</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过程。</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时，按照工作人员要求进行远程解密，如因</w:t>
      </w:r>
      <w:r>
        <w:rPr>
          <w:rFonts w:hint="eastAsia" w:ascii="仿宋_GB2312" w:hAnsi="仿宋_GB2312" w:eastAsia="仿宋_GB2312" w:cs="仿宋_GB2312"/>
          <w:color w:val="auto"/>
          <w:sz w:val="28"/>
          <w:szCs w:val="28"/>
          <w:lang w:val="en-US" w:eastAsia="zh-CN"/>
        </w:rPr>
        <w:t>供应商</w:t>
      </w:r>
      <w:r>
        <w:rPr>
          <w:rFonts w:hint="eastAsia" w:ascii="仿宋_GB2312" w:hAnsi="仿宋_GB2312" w:eastAsia="仿宋_GB2312" w:cs="仿宋_GB2312"/>
          <w:color w:val="auto"/>
          <w:sz w:val="28"/>
          <w:szCs w:val="28"/>
        </w:rPr>
        <w:t>自身原因造成无法解密</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文件，按无效</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对待。</w:t>
      </w:r>
    </w:p>
    <w:p>
      <w:pPr>
        <w:keepNext/>
        <w:keepLines w:val="0"/>
        <w:pageBreakBefore w:val="0"/>
        <w:widowControl w:val="0"/>
        <w:kinsoku/>
        <w:wordWrap/>
        <w:overflowPunct/>
        <w:topLinePunct w:val="0"/>
        <w:autoSpaceDE w:val="0"/>
        <w:autoSpaceDN w:val="0"/>
        <w:bidi w:val="0"/>
        <w:adjustRightInd w:val="0"/>
        <w:snapToGrid/>
        <w:spacing w:line="53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32" w:name="_Toc4869"/>
      <w:bookmarkStart w:id="33" w:name="_Toc35393803"/>
      <w:bookmarkStart w:id="34" w:name="_Toc28359094"/>
      <w:bookmarkStart w:id="35" w:name="_Toc35393634"/>
      <w:bookmarkStart w:id="36" w:name="_Toc28359017"/>
      <w:r>
        <w:rPr>
          <w:rFonts w:hint="eastAsia" w:ascii="仿宋_GB2312" w:hAnsi="仿宋_GB2312" w:eastAsia="仿宋_GB2312" w:cs="仿宋_GB2312"/>
          <w:b/>
          <w:bCs/>
          <w:color w:val="auto"/>
          <w:kern w:val="2"/>
          <w:sz w:val="28"/>
          <w:szCs w:val="28"/>
          <w:lang w:val="en-US" w:eastAsia="zh-CN" w:bidi="ar-SA"/>
        </w:rPr>
        <w:t>六、公告期限</w:t>
      </w:r>
      <w:bookmarkEnd w:id="32"/>
      <w:bookmarkEnd w:id="33"/>
      <w:bookmarkEnd w:id="34"/>
      <w:bookmarkEnd w:id="35"/>
      <w:bookmarkEnd w:id="36"/>
    </w:p>
    <w:p>
      <w:pPr>
        <w:keepLines w:val="0"/>
        <w:pageBreakBefore w:val="0"/>
        <w:widowControl w:val="0"/>
        <w:kinsoku/>
        <w:wordWrap/>
        <w:overflowPunct/>
        <w:topLinePunct w:val="0"/>
        <w:bidi w:val="0"/>
        <w:snapToGrid/>
        <w:spacing w:line="530" w:lineRule="exact"/>
        <w:ind w:firstLine="566"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自本公告发布之日起3个工作日。</w:t>
      </w:r>
    </w:p>
    <w:p>
      <w:pPr>
        <w:keepNext/>
        <w:keepLines w:val="0"/>
        <w:pageBreakBefore w:val="0"/>
        <w:widowControl w:val="0"/>
        <w:kinsoku/>
        <w:wordWrap/>
        <w:overflowPunct/>
        <w:topLinePunct w:val="0"/>
        <w:autoSpaceDE w:val="0"/>
        <w:autoSpaceDN w:val="0"/>
        <w:bidi w:val="0"/>
        <w:adjustRightInd w:val="0"/>
        <w:snapToGrid/>
        <w:spacing w:line="53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37" w:name="_Toc35393804"/>
      <w:bookmarkStart w:id="38" w:name="_Toc35393635"/>
      <w:bookmarkStart w:id="39" w:name="_Toc24605"/>
      <w:r>
        <w:rPr>
          <w:rFonts w:hint="eastAsia" w:ascii="仿宋_GB2312" w:hAnsi="仿宋_GB2312" w:eastAsia="仿宋_GB2312" w:cs="仿宋_GB2312"/>
          <w:b/>
          <w:bCs/>
          <w:color w:val="auto"/>
          <w:kern w:val="2"/>
          <w:sz w:val="28"/>
          <w:szCs w:val="28"/>
          <w:lang w:val="en-US" w:eastAsia="zh-CN" w:bidi="ar-SA"/>
        </w:rPr>
        <w:t>七、其他补充事宜</w:t>
      </w:r>
      <w:bookmarkEnd w:id="37"/>
      <w:bookmarkEnd w:id="38"/>
      <w:bookmarkEnd w:id="39"/>
    </w:p>
    <w:p>
      <w:pPr>
        <w:keepNext w:val="0"/>
        <w:keepLines w:val="0"/>
        <w:pageBreakBefore w:val="0"/>
        <w:widowControl w:val="0"/>
        <w:kinsoku/>
        <w:wordWrap w:val="0"/>
        <w:overflowPunct/>
        <w:topLinePunct w:val="0"/>
        <w:autoSpaceDE/>
        <w:autoSpaceDN/>
        <w:bidi w:val="0"/>
        <w:adjustRightInd/>
        <w:snapToGrid/>
        <w:spacing w:line="53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１、供应商初次使用交易平台，须先完成诚信入库登记、数字认证证书 （CA 锁）认证及企业信息绑定。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02-f996-4928-951e-545dab02e53c.html</w:t>
      </w:r>
    </w:p>
    <w:p>
      <w:pPr>
        <w:keepLines w:val="0"/>
        <w:pageBreakBefore w:val="0"/>
        <w:widowControl w:val="0"/>
        <w:kinsoku/>
        <w:wordWrap/>
        <w:overflowPunct/>
        <w:topLinePunct w:val="0"/>
        <w:bidi w:val="0"/>
        <w:snapToGrid/>
        <w:spacing w:line="53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b/>
          <w:bCs/>
          <w:color w:val="auto"/>
          <w:kern w:val="0"/>
          <w:sz w:val="28"/>
          <w:szCs w:val="28"/>
          <w:lang w:val="en-US" w:eastAsia="zh-CN"/>
        </w:rPr>
        <w:t>本项目采用“电子化采购”及“不见面开标”方式，</w:t>
      </w:r>
      <w:r>
        <w:rPr>
          <w:rFonts w:hint="eastAsia" w:ascii="仿宋_GB2312" w:hAnsi="仿宋_GB2312" w:eastAsia="仿宋_GB2312" w:cs="仿宋_GB2312"/>
          <w:color w:val="auto"/>
          <w:kern w:val="0"/>
          <w:sz w:val="28"/>
          <w:szCs w:val="28"/>
          <w:lang w:val="en-US" w:eastAsia="zh-CN"/>
        </w:rPr>
        <w:t>供应商须使用数字认证证书（CA锁）对电子响应文件进行签章、加密、递交及开启时解密等相关事宜。（操作手册详见〖首页〉服务指南〉下载专区〗中的《汉中公共资源交易不见面开标大厅投标单位操作手册》）</w:t>
      </w:r>
    </w:p>
    <w:p>
      <w:pPr>
        <w:keepLines w:val="0"/>
        <w:pageBreakBefore w:val="0"/>
        <w:widowControl w:val="0"/>
        <w:kinsoku/>
        <w:wordWrap/>
        <w:overflowPunct/>
        <w:topLinePunct w:val="0"/>
        <w:bidi w:val="0"/>
        <w:snapToGrid/>
        <w:spacing w:line="53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 xml:space="preserve">3、请供应商务必及时下载采购文件并做好备份，否则会影响响应文件编制及后续采购活动。 </w:t>
      </w:r>
    </w:p>
    <w:p>
      <w:pPr>
        <w:keepNext w:val="0"/>
        <w:keepLines w:val="0"/>
        <w:pageBreakBefore w:val="0"/>
        <w:widowControl w:val="0"/>
        <w:kinsoku/>
        <w:wordWrap w:val="0"/>
        <w:overflowPunct/>
        <w:topLinePunct w:val="0"/>
        <w:autoSpaceDE/>
        <w:autoSpaceDN/>
        <w:bidi w:val="0"/>
        <w:adjustRightInd/>
        <w:snapToGrid/>
        <w:spacing w:line="53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4、按照2018年12月26日发布的“陕西省财政厅关于政府采购供应商注册登记有关事项的通知”要求，我省政府采购供应商注册登记工作自本通知印发之日起恢复办理。符合《中华人民共和国政府采购法》第二十二条规定的合格供应商通过陕西省政府采购网（http://www.ccgp-shaanxi.gov.cn/）注册登记加入陕西省政府采购供应商库。详细内容请查阅“陕西省政府采购网”。供应商注册登记咨询电话：029-96702-7  87611761。</w:t>
      </w:r>
    </w:p>
    <w:p>
      <w:pPr>
        <w:keepLines w:val="0"/>
        <w:pageBreakBefore w:val="0"/>
        <w:widowControl w:val="0"/>
        <w:kinsoku/>
        <w:wordWrap/>
        <w:overflowPunct/>
        <w:topLinePunct w:val="0"/>
        <w:bidi w:val="0"/>
        <w:snapToGrid/>
        <w:spacing w:line="53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5、有融资需求的中标（成交）供应商可根据自身情况，根据《陕西省财政厅关于加快推进我省中小企业政府采购信用融资工作的通知》（陕财办采〔2020〕15号）文件精神，自主选择融资平台或金融机构及其融资产品，凭政府采购中标（成交）通知书或政府采购合同向金融机构提出融资申请。</w:t>
      </w:r>
    </w:p>
    <w:p>
      <w:pPr>
        <w:keepNext/>
        <w:keepLines w:val="0"/>
        <w:pageBreakBefore w:val="0"/>
        <w:widowControl w:val="0"/>
        <w:kinsoku/>
        <w:wordWrap/>
        <w:overflowPunct/>
        <w:topLinePunct w:val="0"/>
        <w:autoSpaceDE w:val="0"/>
        <w:autoSpaceDN w:val="0"/>
        <w:bidi w:val="0"/>
        <w:adjustRightInd w:val="0"/>
        <w:snapToGrid/>
        <w:spacing w:line="53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40" w:name="_Toc35393636"/>
      <w:bookmarkStart w:id="41" w:name="_Toc35393805"/>
      <w:bookmarkStart w:id="42" w:name="_Toc17247"/>
      <w:bookmarkStart w:id="43" w:name="_Toc28359095"/>
      <w:bookmarkStart w:id="44" w:name="_Toc28359018"/>
      <w:r>
        <w:rPr>
          <w:rFonts w:hint="eastAsia" w:ascii="仿宋_GB2312" w:hAnsi="仿宋_GB2312" w:eastAsia="仿宋_GB2312" w:cs="仿宋_GB2312"/>
          <w:b/>
          <w:bCs/>
          <w:color w:val="auto"/>
          <w:kern w:val="2"/>
          <w:sz w:val="28"/>
          <w:szCs w:val="28"/>
          <w:lang w:val="en-US" w:eastAsia="zh-CN" w:bidi="ar-SA"/>
        </w:rPr>
        <w:t>八、凡对本次采购提出询问，请按以下方式联系。</w:t>
      </w:r>
      <w:bookmarkEnd w:id="40"/>
      <w:bookmarkEnd w:id="41"/>
      <w:bookmarkEnd w:id="42"/>
      <w:bookmarkEnd w:id="43"/>
      <w:bookmarkEnd w:id="44"/>
    </w:p>
    <w:p>
      <w:pPr>
        <w:keepNext/>
        <w:keepLines w:val="0"/>
        <w:pageBreakBefore w:val="0"/>
        <w:widowControl w:val="0"/>
        <w:kinsoku/>
        <w:wordWrap/>
        <w:overflowPunct/>
        <w:topLinePunct w:val="0"/>
        <w:autoSpaceDE w:val="0"/>
        <w:autoSpaceDN w:val="0"/>
        <w:bidi w:val="0"/>
        <w:adjustRightInd w:val="0"/>
        <w:snapToGrid/>
        <w:spacing w:line="530" w:lineRule="exact"/>
        <w:ind w:firstLine="566" w:firstLineChars="200"/>
        <w:jc w:val="both"/>
        <w:textAlignment w:val="auto"/>
        <w:outlineLvl w:val="1"/>
        <w:rPr>
          <w:rFonts w:hint="eastAsia" w:ascii="仿宋_GB2312" w:hAnsi="仿宋_GB2312" w:eastAsia="仿宋_GB2312" w:cs="仿宋_GB2312"/>
          <w:b w:val="0"/>
          <w:color w:val="auto"/>
          <w:kern w:val="2"/>
          <w:sz w:val="28"/>
          <w:szCs w:val="28"/>
          <w:lang w:val="en-US" w:eastAsia="zh-CN" w:bidi="ar-SA"/>
        </w:rPr>
      </w:pPr>
      <w:bookmarkStart w:id="45" w:name="_Toc35393637"/>
      <w:bookmarkStart w:id="46" w:name="_Toc28359096"/>
      <w:bookmarkStart w:id="47" w:name="_Toc35393806"/>
      <w:bookmarkStart w:id="48" w:name="_Toc28359019"/>
      <w:bookmarkStart w:id="49" w:name="_Toc9063"/>
      <w:r>
        <w:rPr>
          <w:rFonts w:hint="eastAsia" w:ascii="仿宋_GB2312" w:hAnsi="仿宋_GB2312" w:eastAsia="仿宋_GB2312" w:cs="仿宋_GB2312"/>
          <w:b w:val="0"/>
          <w:color w:val="auto"/>
          <w:kern w:val="2"/>
          <w:sz w:val="28"/>
          <w:szCs w:val="28"/>
          <w:lang w:val="en-US" w:eastAsia="zh-CN" w:bidi="ar-SA"/>
        </w:rPr>
        <w:t>1.采购人信息</w:t>
      </w:r>
      <w:bookmarkEnd w:id="45"/>
      <w:bookmarkEnd w:id="46"/>
      <w:bookmarkEnd w:id="47"/>
      <w:bookmarkEnd w:id="48"/>
      <w:bookmarkEnd w:id="49"/>
    </w:p>
    <w:p>
      <w:pPr>
        <w:keepNext w:val="0"/>
        <w:keepLines w:val="0"/>
        <w:pageBreakBefore w:val="0"/>
        <w:widowControl w:val="0"/>
        <w:kinsoku/>
        <w:wordWrap/>
        <w:overflowPunct/>
        <w:topLinePunct w:val="0"/>
        <w:autoSpaceDE/>
        <w:autoSpaceDN/>
        <w:bidi w:val="0"/>
        <w:adjustRightInd/>
        <w:snapToGrid/>
        <w:spacing w:line="560" w:lineRule="exact"/>
        <w:ind w:firstLine="849" w:firstLineChars="300"/>
        <w:jc w:val="left"/>
        <w:textAlignment w:val="auto"/>
        <w:rPr>
          <w:rFonts w:hint="eastAsia" w:ascii="仿宋_GB2312" w:hAnsi="仿宋_GB2312" w:eastAsia="仿宋_GB2312" w:cs="仿宋_GB2312"/>
          <w:color w:val="auto"/>
          <w:sz w:val="28"/>
          <w:szCs w:val="28"/>
          <w:u w:val="single"/>
          <w:lang w:val="en-US" w:eastAsia="zh-CN"/>
        </w:rPr>
      </w:pPr>
      <w:bookmarkStart w:id="50" w:name="_Toc35393807"/>
      <w:bookmarkStart w:id="51" w:name="_Toc28359020"/>
      <w:bookmarkStart w:id="52" w:name="_Toc28359097"/>
      <w:bookmarkStart w:id="53" w:name="_Toc35393638"/>
      <w:r>
        <w:rPr>
          <w:rFonts w:hint="eastAsia" w:ascii="仿宋_GB2312" w:hAnsi="仿宋_GB2312" w:eastAsia="仿宋_GB2312" w:cs="仿宋_GB2312"/>
          <w:color w:val="auto"/>
          <w:sz w:val="28"/>
          <w:szCs w:val="28"/>
        </w:rPr>
        <w:t>名    称：</w:t>
      </w:r>
      <w:r>
        <w:rPr>
          <w:rFonts w:hint="eastAsia" w:ascii="仿宋_GB2312" w:hAnsi="仿宋_GB2312" w:eastAsia="仿宋_GB2312" w:cs="仿宋_GB2312"/>
          <w:color w:val="auto"/>
          <w:sz w:val="28"/>
          <w:szCs w:val="28"/>
          <w:u w:val="single"/>
          <w:lang w:val="en-US" w:eastAsia="zh-CN"/>
        </w:rPr>
        <w:t>陕西理工大学</w:t>
      </w:r>
    </w:p>
    <w:p>
      <w:pPr>
        <w:keepNext w:val="0"/>
        <w:keepLines w:val="0"/>
        <w:pageBreakBefore w:val="0"/>
        <w:widowControl w:val="0"/>
        <w:kinsoku/>
        <w:wordWrap/>
        <w:overflowPunct/>
        <w:topLinePunct w:val="0"/>
        <w:autoSpaceDE/>
        <w:autoSpaceDN/>
        <w:bidi w:val="0"/>
        <w:adjustRightInd/>
        <w:snapToGrid/>
        <w:spacing w:line="560" w:lineRule="exact"/>
        <w:ind w:firstLine="849" w:firstLineChars="300"/>
        <w:jc w:val="left"/>
        <w:textAlignment w:val="auto"/>
        <w:rPr>
          <w:rFonts w:hint="eastAsia" w:ascii="仿宋_GB2312" w:hAnsi="仿宋_GB2312" w:eastAsia="仿宋_GB2312" w:cs="仿宋_GB2312"/>
          <w:color w:val="auto"/>
          <w:sz w:val="28"/>
          <w:szCs w:val="28"/>
        </w:rPr>
      </w:pPr>
      <w:bookmarkStart w:id="54" w:name="_Toc27032"/>
      <w:r>
        <w:rPr>
          <w:rFonts w:hint="eastAsia" w:ascii="仿宋_GB2312" w:hAnsi="仿宋_GB2312" w:eastAsia="仿宋_GB2312" w:cs="仿宋_GB2312"/>
          <w:color w:val="auto"/>
          <w:sz w:val="28"/>
          <w:szCs w:val="28"/>
        </w:rPr>
        <w:t>地    址：</w:t>
      </w:r>
      <w:r>
        <w:rPr>
          <w:rFonts w:hint="eastAsia" w:ascii="仿宋_GB2312" w:hAnsi="仿宋_GB2312" w:eastAsia="仿宋_GB2312" w:cs="仿宋_GB2312"/>
          <w:color w:val="auto"/>
          <w:sz w:val="28"/>
          <w:szCs w:val="28"/>
          <w:highlight w:val="none"/>
          <w:u w:val="single"/>
          <w:lang w:val="en-US" w:eastAsia="zh-CN"/>
        </w:rPr>
        <w:t>汉中市汉台区东一环路</w:t>
      </w:r>
      <w:r>
        <w:rPr>
          <w:rFonts w:hint="eastAsia" w:ascii="仿宋_GB2312" w:hAnsi="仿宋_GB2312" w:eastAsia="仿宋_GB2312" w:cs="仿宋_GB2312"/>
          <w:color w:val="auto"/>
          <w:sz w:val="28"/>
          <w:szCs w:val="28"/>
          <w:u w:val="single"/>
        </w:rPr>
        <w:t>　</w:t>
      </w:r>
    </w:p>
    <w:p>
      <w:pPr>
        <w:keepNext w:val="0"/>
        <w:keepLines w:val="0"/>
        <w:pageBreakBefore w:val="0"/>
        <w:widowControl w:val="0"/>
        <w:kinsoku/>
        <w:wordWrap/>
        <w:overflowPunct/>
        <w:topLinePunct w:val="0"/>
        <w:autoSpaceDE/>
        <w:autoSpaceDN/>
        <w:bidi w:val="0"/>
        <w:adjustRightInd/>
        <w:snapToGrid/>
        <w:spacing w:line="560" w:lineRule="exact"/>
        <w:ind w:firstLine="849" w:firstLineChars="3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联系方式：</w:t>
      </w:r>
      <w:r>
        <w:rPr>
          <w:rFonts w:hint="eastAsia" w:ascii="仿宋_GB2312" w:hAnsi="仿宋_GB2312" w:eastAsia="仿宋_GB2312" w:cs="仿宋_GB2312"/>
          <w:color w:val="auto"/>
          <w:sz w:val="28"/>
          <w:szCs w:val="28"/>
          <w:highlight w:val="none"/>
          <w:u w:val="single"/>
          <w:lang w:val="en-US" w:eastAsia="zh-CN"/>
        </w:rPr>
        <w:t xml:space="preserve">0916-2641657  </w:t>
      </w:r>
      <w:r>
        <w:rPr>
          <w:rFonts w:hint="eastAsia" w:ascii="仿宋_GB2312" w:hAnsi="仿宋_GB2312" w:eastAsia="仿宋_GB2312" w:cs="仿宋_GB2312"/>
          <w:color w:val="auto"/>
          <w:sz w:val="28"/>
          <w:szCs w:val="28"/>
          <w:u w:val="single"/>
        </w:rPr>
        <w:t>　</w:t>
      </w:r>
    </w:p>
    <w:p>
      <w:pPr>
        <w:keepNext/>
        <w:keepLines w:val="0"/>
        <w:pageBreakBefore w:val="0"/>
        <w:widowControl w:val="0"/>
        <w:kinsoku/>
        <w:wordWrap/>
        <w:overflowPunct/>
        <w:topLinePunct w:val="0"/>
        <w:autoSpaceDE w:val="0"/>
        <w:autoSpaceDN w:val="0"/>
        <w:bidi w:val="0"/>
        <w:adjustRightInd w:val="0"/>
        <w:snapToGrid/>
        <w:spacing w:line="560" w:lineRule="exact"/>
        <w:ind w:firstLine="566" w:firstLineChars="200"/>
        <w:jc w:val="both"/>
        <w:textAlignment w:val="auto"/>
        <w:outlineLvl w:val="1"/>
        <w:rPr>
          <w:rFonts w:hint="eastAsia" w:ascii="仿宋_GB2312" w:hAnsi="仿宋_GB2312" w:eastAsia="仿宋_GB2312" w:cs="仿宋_GB2312"/>
          <w:b w:val="0"/>
          <w:color w:val="auto"/>
          <w:kern w:val="2"/>
          <w:sz w:val="28"/>
          <w:szCs w:val="28"/>
          <w:lang w:val="en-US" w:eastAsia="zh-CN" w:bidi="ar-SA"/>
        </w:rPr>
      </w:pPr>
      <w:r>
        <w:rPr>
          <w:rFonts w:hint="eastAsia" w:ascii="仿宋_GB2312" w:hAnsi="仿宋_GB2312" w:eastAsia="仿宋_GB2312" w:cs="仿宋_GB2312"/>
          <w:b w:val="0"/>
          <w:color w:val="auto"/>
          <w:kern w:val="2"/>
          <w:sz w:val="28"/>
          <w:szCs w:val="28"/>
          <w:lang w:val="en-US" w:eastAsia="zh-CN" w:bidi="ar-SA"/>
        </w:rPr>
        <w:t>2.采购代理机构信息</w:t>
      </w:r>
      <w:bookmarkEnd w:id="50"/>
      <w:bookmarkEnd w:id="51"/>
      <w:bookmarkEnd w:id="52"/>
      <w:bookmarkEnd w:id="53"/>
      <w:bookmarkEnd w:id="54"/>
    </w:p>
    <w:p>
      <w:pPr>
        <w:keepLines w:val="0"/>
        <w:pageBreakBefore w:val="0"/>
        <w:widowControl w:val="0"/>
        <w:kinsoku/>
        <w:wordWrap/>
        <w:overflowPunct/>
        <w:topLinePunct w:val="0"/>
        <w:bidi w:val="0"/>
        <w:snapToGrid/>
        <w:spacing w:line="530" w:lineRule="exact"/>
        <w:ind w:firstLine="849" w:firstLineChars="3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名    称：</w:t>
      </w:r>
      <w:r>
        <w:rPr>
          <w:rFonts w:hint="eastAsia" w:ascii="仿宋_GB2312" w:hAnsi="仿宋_GB2312" w:eastAsia="仿宋_GB2312" w:cs="仿宋_GB2312"/>
          <w:color w:val="auto"/>
          <w:sz w:val="28"/>
          <w:szCs w:val="28"/>
          <w:u w:val="single"/>
          <w:lang w:val="en-US" w:eastAsia="zh-CN"/>
        </w:rPr>
        <w:t>汉中市政府采购中心</w:t>
      </w:r>
    </w:p>
    <w:p>
      <w:pPr>
        <w:keepLines w:val="0"/>
        <w:pageBreakBefore w:val="0"/>
        <w:widowControl w:val="0"/>
        <w:kinsoku/>
        <w:wordWrap/>
        <w:overflowPunct/>
        <w:topLinePunct w:val="0"/>
        <w:bidi w:val="0"/>
        <w:snapToGrid/>
        <w:spacing w:line="530" w:lineRule="exact"/>
        <w:ind w:firstLine="849" w:firstLineChars="3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　　址：</w:t>
      </w:r>
      <w:r>
        <w:rPr>
          <w:rFonts w:hint="eastAsia" w:ascii="仿宋_GB2312" w:hAnsi="仿宋_GB2312" w:eastAsia="仿宋_GB2312" w:cs="仿宋_GB2312"/>
          <w:color w:val="auto"/>
          <w:sz w:val="28"/>
          <w:szCs w:val="28"/>
          <w:u w:val="single"/>
          <w:lang w:val="en-US" w:eastAsia="zh-CN"/>
        </w:rPr>
        <w:t>汉中市汉台区南团结街298号金格大厦　</w:t>
      </w:r>
    </w:p>
    <w:p>
      <w:pPr>
        <w:keepLines w:val="0"/>
        <w:pageBreakBefore w:val="0"/>
        <w:widowControl w:val="0"/>
        <w:kinsoku/>
        <w:wordWrap/>
        <w:overflowPunct/>
        <w:topLinePunct w:val="0"/>
        <w:bidi w:val="0"/>
        <w:snapToGrid/>
        <w:spacing w:line="530" w:lineRule="exact"/>
        <w:ind w:firstLine="849" w:firstLineChars="300"/>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联系方式：</w:t>
      </w:r>
      <w:r>
        <w:rPr>
          <w:rFonts w:hint="eastAsia" w:ascii="仿宋_GB2312" w:hAnsi="仿宋_GB2312" w:eastAsia="仿宋_GB2312" w:cs="仿宋_GB2312"/>
          <w:color w:val="auto"/>
          <w:sz w:val="28"/>
          <w:szCs w:val="28"/>
          <w:u w:val="single"/>
          <w:lang w:val="en-US" w:eastAsia="zh-CN"/>
        </w:rPr>
        <w:t>0916-2109082</w:t>
      </w:r>
      <w:r>
        <w:rPr>
          <w:rFonts w:hint="eastAsia" w:ascii="仿宋_GB2312" w:hAnsi="仿宋_GB2312" w:eastAsia="仿宋_GB2312" w:cs="仿宋_GB2312"/>
          <w:color w:val="auto"/>
          <w:sz w:val="28"/>
          <w:szCs w:val="28"/>
          <w:u w:val="single"/>
        </w:rPr>
        <w:t>　</w:t>
      </w:r>
    </w:p>
    <w:p>
      <w:pPr>
        <w:keepNext/>
        <w:keepLines w:val="0"/>
        <w:pageBreakBefore w:val="0"/>
        <w:widowControl w:val="0"/>
        <w:kinsoku/>
        <w:wordWrap/>
        <w:overflowPunct/>
        <w:topLinePunct w:val="0"/>
        <w:autoSpaceDE w:val="0"/>
        <w:autoSpaceDN w:val="0"/>
        <w:bidi w:val="0"/>
        <w:adjustRightInd w:val="0"/>
        <w:snapToGrid/>
        <w:spacing w:line="530" w:lineRule="exact"/>
        <w:ind w:firstLine="566" w:firstLineChars="200"/>
        <w:jc w:val="both"/>
        <w:textAlignment w:val="auto"/>
        <w:outlineLvl w:val="1"/>
        <w:rPr>
          <w:rFonts w:hint="eastAsia" w:ascii="仿宋_GB2312" w:hAnsi="仿宋_GB2312" w:eastAsia="仿宋_GB2312" w:cs="仿宋_GB2312"/>
          <w:b w:val="0"/>
          <w:color w:val="auto"/>
          <w:kern w:val="2"/>
          <w:sz w:val="28"/>
          <w:szCs w:val="28"/>
          <w:lang w:val="en-US" w:eastAsia="zh-CN" w:bidi="ar-SA"/>
        </w:rPr>
      </w:pPr>
      <w:bookmarkStart w:id="55" w:name="_Toc28359098"/>
      <w:bookmarkStart w:id="56" w:name="_Toc35393639"/>
      <w:bookmarkStart w:id="57" w:name="_Toc35393808"/>
      <w:bookmarkStart w:id="58" w:name="_Toc6426"/>
      <w:bookmarkStart w:id="59" w:name="_Toc28359021"/>
      <w:r>
        <w:rPr>
          <w:rFonts w:hint="eastAsia" w:ascii="仿宋_GB2312" w:hAnsi="仿宋_GB2312" w:eastAsia="仿宋_GB2312" w:cs="仿宋_GB2312"/>
          <w:b w:val="0"/>
          <w:color w:val="auto"/>
          <w:kern w:val="2"/>
          <w:sz w:val="28"/>
          <w:szCs w:val="28"/>
          <w:lang w:val="en-US" w:eastAsia="zh-CN" w:bidi="ar-SA"/>
        </w:rPr>
        <w:t>3.项目联系方式</w:t>
      </w:r>
      <w:bookmarkEnd w:id="55"/>
      <w:bookmarkEnd w:id="56"/>
      <w:bookmarkEnd w:id="57"/>
      <w:bookmarkEnd w:id="58"/>
      <w:bookmarkEnd w:id="59"/>
    </w:p>
    <w:p>
      <w:pPr>
        <w:pStyle w:val="10"/>
        <w:keepLines w:val="0"/>
        <w:pageBreakBefore w:val="0"/>
        <w:widowControl w:val="0"/>
        <w:kinsoku/>
        <w:wordWrap/>
        <w:overflowPunct/>
        <w:topLinePunct w:val="0"/>
        <w:bidi w:val="0"/>
        <w:snapToGrid/>
        <w:spacing w:line="530" w:lineRule="exact"/>
        <w:ind w:firstLine="849" w:firstLineChars="3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项目联系人：</w:t>
      </w:r>
      <w:r>
        <w:rPr>
          <w:rFonts w:hint="eastAsia" w:ascii="仿宋_GB2312" w:hAnsi="仿宋_GB2312" w:eastAsia="仿宋_GB2312" w:cs="仿宋_GB2312"/>
          <w:color w:val="auto"/>
          <w:kern w:val="2"/>
          <w:sz w:val="28"/>
          <w:szCs w:val="28"/>
          <w:u w:val="single"/>
          <w:lang w:val="en-US" w:eastAsia="zh-CN" w:bidi="ar-SA"/>
        </w:rPr>
        <w:t xml:space="preserve"> 张伟</w:t>
      </w:r>
      <w:r>
        <w:rPr>
          <w:rFonts w:hint="eastAsia" w:ascii="仿宋_GB2312" w:hAnsi="仿宋_GB2312" w:eastAsia="仿宋_GB2312" w:cs="仿宋_GB2312"/>
          <w:color w:val="auto"/>
          <w:sz w:val="28"/>
          <w:szCs w:val="28"/>
          <w:u w:val="single"/>
        </w:rPr>
        <w:t>　</w:t>
      </w:r>
    </w:p>
    <w:p>
      <w:pPr>
        <w:keepLines w:val="0"/>
        <w:pageBreakBefore w:val="0"/>
        <w:widowControl w:val="0"/>
        <w:kinsoku/>
        <w:wordWrap/>
        <w:overflowPunct/>
        <w:topLinePunct w:val="0"/>
        <w:bidi w:val="0"/>
        <w:snapToGrid/>
        <w:spacing w:line="530" w:lineRule="exact"/>
        <w:ind w:firstLine="849" w:firstLineChars="3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电　　 话：</w:t>
      </w:r>
      <w:r>
        <w:rPr>
          <w:rFonts w:hint="eastAsia" w:ascii="仿宋_GB2312" w:hAnsi="仿宋_GB2312" w:eastAsia="仿宋_GB2312" w:cs="仿宋_GB2312"/>
          <w:color w:val="auto"/>
          <w:sz w:val="28"/>
          <w:szCs w:val="28"/>
          <w:u w:val="single"/>
          <w:lang w:val="en-US" w:eastAsia="zh-CN"/>
        </w:rPr>
        <w:t xml:space="preserve">0916-2109082 </w:t>
      </w:r>
    </w:p>
    <w:p>
      <w:pPr>
        <w:pStyle w:val="3"/>
        <w:pageBreakBefore w:val="0"/>
        <w:kinsoku/>
        <w:wordWrap/>
        <w:overflowPunct/>
        <w:topLinePunct w:val="0"/>
        <w:bidi w:val="0"/>
        <w:snapToGrid/>
        <w:spacing w:line="500" w:lineRule="exact"/>
        <w:textAlignment w:val="auto"/>
        <w:rPr>
          <w:rFonts w:ascii="黑体" w:hAnsi="黑体" w:eastAsia="黑体"/>
          <w:color w:val="auto"/>
          <w:sz w:val="32"/>
          <w:szCs w:val="32"/>
        </w:rPr>
      </w:pPr>
      <w:r>
        <w:rPr>
          <w:color w:val="auto"/>
          <w:sz w:val="28"/>
          <w:szCs w:val="28"/>
        </w:rPr>
        <w:br w:type="page"/>
      </w:r>
      <w:bookmarkStart w:id="60" w:name="_Toc4326"/>
      <w:bookmarkStart w:id="61" w:name="_Toc495014953"/>
      <w:bookmarkStart w:id="62" w:name="_Toc495012770"/>
      <w:bookmarkStart w:id="63" w:name="_Toc445306492"/>
      <w:bookmarkStart w:id="64" w:name="_Toc9601"/>
      <w:bookmarkStart w:id="65" w:name="_Toc495014648"/>
      <w:bookmarkStart w:id="66" w:name="_Toc10140"/>
      <w:bookmarkStart w:id="67" w:name="_Toc15046_WPSOffice_Level1"/>
      <w:bookmarkStart w:id="68" w:name="_Toc495014584"/>
      <w:bookmarkStart w:id="69" w:name="_Toc495014919"/>
      <w:bookmarkStart w:id="70" w:name="_Toc7814"/>
      <w:bookmarkStart w:id="71" w:name="_Toc495012820"/>
      <w:bookmarkStart w:id="72" w:name="_Toc19337_WPSOffice_Level1"/>
      <w:bookmarkStart w:id="73" w:name="_Toc22804_WPSOffice_Level1"/>
      <w:bookmarkStart w:id="74" w:name="_Toc495014610"/>
      <w:r>
        <w:rPr>
          <w:rFonts w:ascii="黑体" w:hAnsi="黑体" w:eastAsia="黑体"/>
          <w:b w:val="0"/>
          <w:bCs/>
          <w:color w:val="auto"/>
          <w:sz w:val="32"/>
          <w:szCs w:val="32"/>
        </w:rPr>
        <w:t xml:space="preserve">第二章  </w:t>
      </w:r>
      <w:r>
        <w:rPr>
          <w:rFonts w:hint="eastAsia" w:ascii="黑体" w:hAnsi="黑体" w:eastAsia="黑体"/>
          <w:b w:val="0"/>
          <w:bCs/>
          <w:color w:val="auto"/>
          <w:sz w:val="32"/>
          <w:szCs w:val="32"/>
        </w:rPr>
        <w:t>供应商</w:t>
      </w:r>
      <w:r>
        <w:rPr>
          <w:rFonts w:ascii="黑体" w:hAnsi="黑体" w:eastAsia="黑体"/>
          <w:b w:val="0"/>
          <w:bCs/>
          <w:color w:val="auto"/>
          <w:sz w:val="32"/>
          <w:szCs w:val="32"/>
        </w:rPr>
        <w:t>须知</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pPr>
        <w:pStyle w:val="4"/>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75" w:name="_Toc3858_WPSOffice_Level2"/>
      <w:bookmarkStart w:id="76" w:name="_Toc3062"/>
      <w:bookmarkStart w:id="77" w:name="_Toc24451_WPSOffice_Level2"/>
      <w:bookmarkStart w:id="78" w:name="_Toc18466_WPSOffice_Level2"/>
      <w:bookmarkStart w:id="79" w:name="_Toc16238"/>
      <w:bookmarkStart w:id="80" w:name="_Toc23184"/>
      <w:bookmarkStart w:id="81" w:name="_Toc12337"/>
      <w:r>
        <w:rPr>
          <w:rFonts w:hint="eastAsia" w:ascii="仿宋_GB2312" w:hAnsi="仿宋_GB2312" w:eastAsia="仿宋_GB2312" w:cs="仿宋_GB2312"/>
          <w:color w:val="auto"/>
          <w:sz w:val="28"/>
          <w:szCs w:val="28"/>
        </w:rPr>
        <w:t>一、定义</w:t>
      </w:r>
      <w:bookmarkEnd w:id="75"/>
      <w:bookmarkEnd w:id="76"/>
      <w:bookmarkEnd w:id="77"/>
      <w:bookmarkEnd w:id="78"/>
      <w:bookmarkEnd w:id="79"/>
      <w:bookmarkEnd w:id="80"/>
      <w:bookmarkEnd w:id="81"/>
    </w:p>
    <w:p>
      <w:pPr>
        <w:keepNext w:val="0"/>
        <w:keepLines w:val="0"/>
        <w:pageBreakBefore w:val="0"/>
        <w:widowControl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auto"/>
          <w:sz w:val="28"/>
          <w:szCs w:val="28"/>
          <w:u w:val="single"/>
          <w:lang w:val="en-US" w:eastAsia="zh-CN"/>
        </w:rPr>
      </w:pPr>
      <w:bookmarkStart w:id="82" w:name="_Toc11840_WPSOffice_Level3"/>
      <w:r>
        <w:rPr>
          <w:rFonts w:hint="eastAsia" w:ascii="仿宋_GB2312" w:hAnsi="仿宋_GB2312" w:eastAsia="仿宋_GB2312" w:cs="仿宋_GB2312"/>
          <w:color w:val="auto"/>
          <w:sz w:val="28"/>
          <w:szCs w:val="28"/>
        </w:rPr>
        <w:t>（一）采 购 人</w:t>
      </w:r>
      <w:r>
        <w:rPr>
          <w:rFonts w:hint="eastAsia" w:ascii="仿宋_GB2312" w:hAnsi="仿宋_GB2312" w:eastAsia="仿宋_GB2312" w:cs="仿宋_GB2312"/>
          <w:color w:val="auto"/>
          <w:sz w:val="28"/>
          <w:szCs w:val="28"/>
          <w:lang w:val="en-US" w:eastAsia="zh-CN"/>
        </w:rPr>
        <w:t>：</w:t>
      </w:r>
      <w:bookmarkEnd w:id="82"/>
      <w:bookmarkStart w:id="83" w:name="_Toc9917_WPSOffice_Level3"/>
      <w:r>
        <w:rPr>
          <w:rFonts w:hint="eastAsia" w:ascii="仿宋_GB2312" w:hAnsi="仿宋_GB2312" w:eastAsia="仿宋_GB2312" w:cs="仿宋_GB2312"/>
          <w:color w:val="auto"/>
          <w:sz w:val="28"/>
          <w:szCs w:val="28"/>
          <w:lang w:val="en-US" w:eastAsia="zh-CN"/>
        </w:rPr>
        <w:t>陕西理工大学</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（二）监督机构：</w:t>
      </w:r>
      <w:bookmarkEnd w:id="83"/>
      <w:r>
        <w:rPr>
          <w:rFonts w:hint="eastAsia" w:ascii="仿宋_GB2312" w:hAnsi="仿宋_GB2312" w:eastAsia="仿宋_GB2312" w:cs="仿宋_GB2312"/>
          <w:color w:val="auto"/>
          <w:sz w:val="28"/>
          <w:szCs w:val="28"/>
          <w:lang w:val="en-US" w:eastAsia="zh-CN"/>
        </w:rPr>
        <w:t>陕西省财政厅</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84" w:name="_Toc8219_WPSOffice_Level3"/>
      <w:r>
        <w:rPr>
          <w:rFonts w:hint="eastAsia" w:ascii="仿宋_GB2312" w:hAnsi="仿宋_GB2312" w:eastAsia="仿宋_GB2312" w:cs="仿宋_GB2312"/>
          <w:color w:val="auto"/>
          <w:sz w:val="28"/>
          <w:szCs w:val="28"/>
        </w:rPr>
        <w:t>（三）集中采购机构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采购代理机构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政府采购中心</w:t>
      </w:r>
      <w:bookmarkEnd w:id="84"/>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85" w:name="_Toc20141_WPSOffice_Level3"/>
      <w:r>
        <w:rPr>
          <w:rFonts w:hint="eastAsia" w:ascii="仿宋_GB2312" w:hAnsi="仿宋_GB2312" w:eastAsia="仿宋_GB2312" w:cs="仿宋_GB2312"/>
          <w:color w:val="auto"/>
          <w:sz w:val="28"/>
          <w:szCs w:val="28"/>
        </w:rPr>
        <w:t>（四）供应商：拟向采购人提供货物、工程或者服务的法人、其他组织或者自然人</w:t>
      </w:r>
      <w:bookmarkEnd w:id="85"/>
    </w:p>
    <w:p>
      <w:pPr>
        <w:pStyle w:val="4"/>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86" w:name="_Toc24646"/>
      <w:bookmarkStart w:id="87" w:name="_Toc11745_WPSOffice_Level2"/>
      <w:bookmarkStart w:id="88" w:name="_Toc20906_WPSOffice_Level2"/>
      <w:bookmarkStart w:id="89" w:name="_Toc4606"/>
      <w:bookmarkStart w:id="90" w:name="_Toc13654"/>
      <w:bookmarkStart w:id="91" w:name="_Toc27278_WPSOffice_Level2"/>
      <w:bookmarkStart w:id="92" w:name="_Toc9291"/>
      <w:r>
        <w:rPr>
          <w:rFonts w:hint="eastAsia" w:ascii="仿宋_GB2312" w:hAnsi="仿宋_GB2312" w:eastAsia="仿宋_GB2312" w:cs="仿宋_GB2312"/>
          <w:color w:val="auto"/>
          <w:sz w:val="28"/>
          <w:szCs w:val="28"/>
        </w:rPr>
        <w:t>二、供应商注意事项</w:t>
      </w:r>
      <w:bookmarkEnd w:id="86"/>
      <w:bookmarkEnd w:id="87"/>
      <w:bookmarkEnd w:id="88"/>
      <w:bookmarkEnd w:id="89"/>
      <w:bookmarkEnd w:id="90"/>
      <w:bookmarkEnd w:id="91"/>
      <w:bookmarkEnd w:id="92"/>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93" w:name="_Toc21291"/>
      <w:bookmarkStart w:id="94" w:name="_Toc26982_WPSOffice_Level3"/>
      <w:r>
        <w:rPr>
          <w:rFonts w:hint="eastAsia" w:ascii="仿宋_GB2312" w:hAnsi="仿宋_GB2312" w:eastAsia="仿宋_GB2312" w:cs="仿宋_GB2312"/>
          <w:b/>
          <w:bCs/>
          <w:color w:val="auto"/>
          <w:sz w:val="28"/>
          <w:szCs w:val="28"/>
        </w:rPr>
        <w:t>（一）</w:t>
      </w:r>
      <w:r>
        <w:rPr>
          <w:rFonts w:hint="eastAsia" w:ascii="仿宋_GB2312" w:hAnsi="仿宋_GB2312" w:eastAsia="仿宋_GB2312" w:cs="仿宋_GB2312"/>
          <w:b/>
          <w:color w:val="auto"/>
          <w:sz w:val="28"/>
          <w:szCs w:val="28"/>
        </w:rPr>
        <w:t>现场</w:t>
      </w:r>
      <w:r>
        <w:rPr>
          <w:rFonts w:hint="eastAsia" w:ascii="仿宋_GB2312" w:hAnsi="仿宋_GB2312" w:eastAsia="仿宋_GB2312" w:cs="仿宋_GB2312"/>
          <w:b/>
          <w:color w:val="auto"/>
          <w:sz w:val="28"/>
          <w:szCs w:val="28"/>
          <w:lang w:val="en-US" w:eastAsia="zh-CN"/>
        </w:rPr>
        <w:t>考察</w:t>
      </w:r>
      <w:r>
        <w:rPr>
          <w:rFonts w:hint="eastAsia" w:ascii="仿宋_GB2312" w:hAnsi="仿宋_GB2312" w:eastAsia="仿宋_GB2312" w:cs="仿宋_GB2312"/>
          <w:b/>
          <w:color w:val="auto"/>
          <w:sz w:val="28"/>
          <w:szCs w:val="28"/>
        </w:rPr>
        <w:t>及</w:t>
      </w:r>
      <w:r>
        <w:rPr>
          <w:rFonts w:hint="eastAsia" w:ascii="仿宋_GB2312" w:hAnsi="仿宋_GB2312" w:eastAsia="仿宋_GB2312" w:cs="仿宋_GB2312"/>
          <w:b/>
          <w:color w:val="auto"/>
          <w:sz w:val="28"/>
          <w:szCs w:val="28"/>
          <w:lang w:val="en-US" w:eastAsia="zh-CN"/>
        </w:rPr>
        <w:t>磋商</w:t>
      </w:r>
      <w:r>
        <w:rPr>
          <w:rFonts w:hint="eastAsia" w:ascii="仿宋_GB2312" w:hAnsi="仿宋_GB2312" w:eastAsia="仿宋_GB2312" w:cs="仿宋_GB2312"/>
          <w:b/>
          <w:color w:val="auto"/>
          <w:sz w:val="28"/>
          <w:szCs w:val="28"/>
        </w:rPr>
        <w:t>前答疑会</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采购项目安排现场考察和</w:t>
      </w:r>
      <w:r>
        <w:rPr>
          <w:rFonts w:hint="eastAsia" w:ascii="仿宋_GB2312" w:hAnsi="仿宋_GB2312" w:eastAsia="仿宋_GB2312" w:cs="仿宋_GB2312"/>
          <w:bCs/>
          <w:color w:val="auto"/>
          <w:sz w:val="28"/>
          <w:szCs w:val="28"/>
          <w:lang w:val="en-US" w:eastAsia="zh-CN"/>
        </w:rPr>
        <w:t>磋商</w:t>
      </w:r>
      <w:r>
        <w:rPr>
          <w:rFonts w:hint="eastAsia" w:ascii="仿宋_GB2312" w:hAnsi="仿宋_GB2312" w:eastAsia="仿宋_GB2312" w:cs="仿宋_GB2312"/>
          <w:bCs/>
          <w:color w:val="auto"/>
          <w:sz w:val="28"/>
          <w:szCs w:val="28"/>
        </w:rPr>
        <w:t>前答疑的，采购人应尽量在现场予以解答 （口头提问可口头答复），现场不能做出解答的，应在三个工作日内书面答复，并交由</w:t>
      </w:r>
      <w:r>
        <w:rPr>
          <w:rFonts w:hint="eastAsia" w:ascii="仿宋_GB2312" w:hAnsi="仿宋_GB2312" w:eastAsia="仿宋_GB2312" w:cs="仿宋_GB2312"/>
          <w:bCs/>
          <w:color w:val="auto"/>
          <w:sz w:val="28"/>
          <w:szCs w:val="28"/>
          <w:lang w:val="en-US" w:eastAsia="zh-CN"/>
        </w:rPr>
        <w:t>集中采购机构</w:t>
      </w:r>
      <w:r>
        <w:rPr>
          <w:rFonts w:hint="eastAsia" w:ascii="仿宋_GB2312" w:hAnsi="仿宋_GB2312" w:eastAsia="仿宋_GB2312" w:cs="仿宋_GB2312"/>
          <w:bCs/>
          <w:color w:val="auto"/>
          <w:sz w:val="28"/>
          <w:szCs w:val="28"/>
        </w:rPr>
        <w:t>在财政部门指定的媒体上发布。 答复内容可能影响响应文件编制的，应当顺延</w:t>
      </w:r>
      <w:r>
        <w:rPr>
          <w:rFonts w:hint="eastAsia" w:ascii="仿宋_GB2312" w:hAnsi="仿宋_GB2312" w:eastAsia="仿宋_GB2312" w:cs="仿宋_GB2312"/>
          <w:bCs/>
          <w:color w:val="auto"/>
          <w:sz w:val="28"/>
          <w:szCs w:val="28"/>
          <w:lang w:val="en-US" w:eastAsia="zh-CN"/>
        </w:rPr>
        <w:t>磋商</w:t>
      </w:r>
      <w:r>
        <w:rPr>
          <w:rFonts w:hint="eastAsia" w:ascii="仿宋_GB2312" w:hAnsi="仿宋_GB2312" w:eastAsia="仿宋_GB2312" w:cs="仿宋_GB2312"/>
          <w:bCs/>
          <w:color w:val="auto"/>
          <w:sz w:val="28"/>
          <w:szCs w:val="28"/>
        </w:rPr>
        <w:t xml:space="preserve">时间。凡未参加现场考察及磋商前答疑会的供应商，由此造成的偏差由各供应商自行负责。 </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color w:val="auto"/>
          <w:sz w:val="28"/>
          <w:szCs w:val="28"/>
        </w:rPr>
        <w:t>本项目</w:t>
      </w:r>
      <w:r>
        <w:rPr>
          <w:rFonts w:hint="eastAsia" w:ascii="仿宋_GB2312" w:hAnsi="仿宋_GB2312" w:eastAsia="仿宋_GB2312" w:cs="仿宋_GB2312"/>
          <w:b/>
          <w:color w:val="auto"/>
          <w:sz w:val="28"/>
          <w:szCs w:val="28"/>
          <w:lang w:val="en-US" w:eastAsia="zh-CN"/>
        </w:rPr>
        <w:t>不</w:t>
      </w:r>
      <w:r>
        <w:rPr>
          <w:rFonts w:hint="eastAsia" w:ascii="仿宋_GB2312" w:hAnsi="仿宋_GB2312" w:eastAsia="仿宋_GB2312" w:cs="仿宋_GB2312"/>
          <w:b/>
          <w:color w:val="auto"/>
          <w:sz w:val="28"/>
          <w:szCs w:val="28"/>
        </w:rPr>
        <w:t>组织集中踏勘</w:t>
      </w:r>
      <w:r>
        <w:rPr>
          <w:rFonts w:hint="eastAsia" w:ascii="仿宋_GB2312" w:hAnsi="仿宋_GB2312" w:eastAsia="仿宋_GB2312" w:cs="仿宋_GB2312"/>
          <w:b/>
          <w:color w:val="auto"/>
          <w:sz w:val="28"/>
          <w:szCs w:val="28"/>
          <w:lang w:val="en-US" w:eastAsia="zh-CN"/>
        </w:rPr>
        <w:t>和磋商前答疑会</w:t>
      </w:r>
      <w:r>
        <w:rPr>
          <w:rFonts w:hint="eastAsia" w:ascii="仿宋_GB2312" w:hAnsi="仿宋_GB2312" w:eastAsia="仿宋_GB2312" w:cs="仿宋_GB2312"/>
          <w:b/>
          <w:color w:val="auto"/>
          <w:sz w:val="28"/>
          <w:szCs w:val="28"/>
        </w:rPr>
        <w:t>。</w:t>
      </w:r>
      <w:bookmarkEnd w:id="93"/>
      <w:bookmarkEnd w:id="94"/>
      <w:bookmarkStart w:id="95" w:name="_Toc669_WPSOffice_Level3"/>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color w:val="auto"/>
          <w:sz w:val="28"/>
          <w:szCs w:val="28"/>
        </w:rPr>
        <w:t>（二）</w:t>
      </w:r>
      <w:bookmarkEnd w:id="95"/>
      <w:bookmarkStart w:id="96" w:name="_Toc9412_WPSOffice_Level3"/>
      <w:r>
        <w:rPr>
          <w:rFonts w:hint="eastAsia" w:ascii="仿宋_GB2312" w:hAnsi="仿宋_GB2312" w:eastAsia="仿宋_GB2312" w:cs="仿宋_GB2312"/>
          <w:b/>
          <w:bCs/>
          <w:color w:val="auto"/>
          <w:sz w:val="28"/>
          <w:szCs w:val="28"/>
        </w:rPr>
        <w:t>询问</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lang w:val="en-US" w:eastAsia="zh-CN"/>
        </w:rPr>
        <w:t>针对采购文件，向采购人</w:t>
      </w:r>
      <w:r>
        <w:rPr>
          <w:rFonts w:hint="eastAsia" w:ascii="仿宋_GB2312" w:hAnsi="仿宋_GB2312" w:eastAsia="仿宋_GB2312" w:cs="仿宋_GB2312"/>
          <w:color w:val="auto"/>
          <w:sz w:val="28"/>
          <w:szCs w:val="28"/>
        </w:rPr>
        <w:t>提出书面询问的，采购人应在三个工作日内书面答复；供应商向</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提出书面询问的，</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政府采购中心</w:t>
      </w:r>
      <w:r>
        <w:rPr>
          <w:rFonts w:hint="eastAsia" w:ascii="仿宋_GB2312" w:hAnsi="仿宋_GB2312" w:eastAsia="仿宋_GB2312" w:cs="仿宋_GB2312"/>
          <w:color w:val="auto"/>
          <w:sz w:val="28"/>
          <w:szCs w:val="28"/>
          <w:lang w:val="en-US" w:eastAsia="zh-CN"/>
        </w:rPr>
        <w:t>在委托授权范围内作出答复，超出范围</w:t>
      </w:r>
      <w:r>
        <w:rPr>
          <w:rFonts w:hint="eastAsia" w:ascii="仿宋_GB2312" w:hAnsi="仿宋_GB2312" w:eastAsia="仿宋_GB2312" w:cs="仿宋_GB2312"/>
          <w:color w:val="auto"/>
          <w:sz w:val="28"/>
          <w:szCs w:val="28"/>
        </w:rPr>
        <w:t>应告知采购人</w:t>
      </w:r>
      <w:r>
        <w:rPr>
          <w:rFonts w:hint="eastAsia" w:ascii="仿宋_GB2312" w:hAnsi="仿宋_GB2312" w:eastAsia="仿宋_GB2312" w:cs="仿宋_GB2312"/>
          <w:color w:val="auto"/>
          <w:sz w:val="28"/>
          <w:szCs w:val="28"/>
          <w:lang w:val="en-US" w:eastAsia="zh-CN"/>
        </w:rPr>
        <w:t>作</w:t>
      </w:r>
      <w:r>
        <w:rPr>
          <w:rFonts w:hint="eastAsia" w:ascii="仿宋_GB2312" w:hAnsi="仿宋_GB2312" w:eastAsia="仿宋_GB2312" w:cs="仿宋_GB2312"/>
          <w:color w:val="auto"/>
          <w:sz w:val="28"/>
          <w:szCs w:val="28"/>
        </w:rPr>
        <w:t xml:space="preserve">出答复。 </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lang w:val="en-US"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lang w:val="en-US" w:eastAsia="zh-CN"/>
        </w:rPr>
        <w:t>针</w:t>
      </w:r>
      <w:r>
        <w:rPr>
          <w:rFonts w:hint="eastAsia" w:ascii="仿宋_GB2312" w:hAnsi="仿宋_GB2312" w:eastAsia="仿宋_GB2312" w:cs="仿宋_GB2312"/>
          <w:color w:val="auto"/>
          <w:sz w:val="28"/>
          <w:szCs w:val="28"/>
        </w:rPr>
        <w:t>对采购过程、中标（成交）结果，向</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提出书面询问的，</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应在三个工作日内书面答复</w:t>
      </w:r>
      <w:r>
        <w:rPr>
          <w:rFonts w:hint="eastAsia" w:ascii="仿宋_GB2312" w:hAnsi="仿宋_GB2312" w:eastAsia="仿宋_GB2312" w:cs="仿宋_GB2312"/>
          <w:color w:val="auto"/>
          <w:sz w:val="28"/>
          <w:szCs w:val="28"/>
          <w:lang w:eastAsia="zh-CN"/>
        </w:rPr>
        <w:t>。</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（三）质疑和投诉</w:t>
      </w:r>
      <w:bookmarkEnd w:id="96"/>
    </w:p>
    <w:p>
      <w:pPr>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供应商如果认为采购过程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中标</w:t>
      </w:r>
      <w:r>
        <w:rPr>
          <w:rFonts w:hint="eastAsia" w:ascii="仿宋_GB2312" w:hAnsi="仿宋_GB2312" w:eastAsia="仿宋_GB2312" w:cs="仿宋_GB2312"/>
          <w:color w:val="auto"/>
          <w:sz w:val="28"/>
          <w:szCs w:val="28"/>
          <w:lang w:val="en-US" w:eastAsia="zh-CN"/>
        </w:rPr>
        <w:t>或者成交</w:t>
      </w:r>
      <w:r>
        <w:rPr>
          <w:rFonts w:hint="eastAsia" w:ascii="仿宋_GB2312" w:hAnsi="仿宋_GB2312" w:eastAsia="仿宋_GB2312" w:cs="仿宋_GB2312"/>
          <w:color w:val="auto"/>
          <w:sz w:val="28"/>
          <w:szCs w:val="28"/>
        </w:rPr>
        <w:t>结果使自身的合法权益受到损害，可以在知道或者应知其权益受到损害之日起7个工作日内，以书面形式向采购人、</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提出质疑。</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潜在供应商已依法获取其可质疑的采购文件的，可以对该文件提出质疑。对采购文件提出质疑的，应当在获取采购文件或者采购文件公告期限届满之日起7个工作日内提出。</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供应商在法定质疑期内针对同一采购程序环节的质疑</w:t>
      </w:r>
      <w:r>
        <w:rPr>
          <w:rFonts w:hint="eastAsia" w:ascii="仿宋_GB2312" w:hAnsi="仿宋_GB2312" w:eastAsia="仿宋_GB2312" w:cs="仿宋_GB2312"/>
          <w:color w:val="auto"/>
          <w:sz w:val="28"/>
          <w:szCs w:val="28"/>
          <w:lang w:val="en-US" w:eastAsia="zh-CN"/>
        </w:rPr>
        <w:t>应</w:t>
      </w:r>
      <w:r>
        <w:rPr>
          <w:rFonts w:hint="eastAsia" w:ascii="仿宋_GB2312" w:hAnsi="仿宋_GB2312" w:eastAsia="仿宋_GB2312" w:cs="仿宋_GB2312"/>
          <w:color w:val="auto"/>
          <w:sz w:val="28"/>
          <w:szCs w:val="28"/>
        </w:rPr>
        <w:t>一次性提出</w:t>
      </w:r>
      <w:r>
        <w:rPr>
          <w:rFonts w:hint="eastAsia" w:ascii="仿宋_GB2312" w:hAnsi="仿宋_GB2312" w:eastAsia="仿宋_GB2312" w:cs="仿宋_GB2312"/>
          <w:color w:val="auto"/>
          <w:sz w:val="28"/>
          <w:szCs w:val="28"/>
          <w:lang w:eastAsia="zh-CN"/>
        </w:rPr>
        <w:t>。</w:t>
      </w:r>
    </w:p>
    <w:p>
      <w:pPr>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供应商提出质疑应当提交质疑函和必要的证明材料，并按财政部《质疑函范本》给定的格式进行填写，范本下载详见【财政部国库司（gks.mof.gov.cn）】网站〖首页•〉政府采购管理〗栏目中的《政府采购供应商质疑函范本》。</w:t>
      </w:r>
    </w:p>
    <w:p>
      <w:pPr>
        <w:keepNext w:val="0"/>
        <w:keepLines w:val="0"/>
        <w:pageBreakBefore w:val="0"/>
        <w:widowControl/>
        <w:kinsoku/>
        <w:wordWrap w:val="0"/>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《政府采购供应商质疑函范本》链接地址</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http://gks.mof.gov.cn/ztztz/zhengfucaigouguanli/201802/t20180201_2804589.htm</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质疑人为自然人的，应当由本人签字；质疑人为法人或者其他组织的，应当由法定代表人、主要负责人，或者其授权代表签字或者盖章，并加盖公章。授权代表办理质疑事项时，除提交质疑函外，还应当提交授权委托书及授权代表的有效身份证明，授权委托书应当载明委托代理的具体权限和事项。</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接收质疑函方式：现场递交或邮件（快递）寄送；</w:t>
      </w:r>
    </w:p>
    <w:p>
      <w:pPr>
        <w:pageBreakBefore w:val="0"/>
        <w:widowControl/>
        <w:kinsoku/>
        <w:overflowPunct/>
        <w:topLinePunct w:val="0"/>
        <w:autoSpaceDE/>
        <w:autoSpaceDN/>
        <w:bidi w:val="0"/>
        <w:adjustRightInd/>
        <w:snapToGrid/>
        <w:spacing w:line="560" w:lineRule="exact"/>
        <w:ind w:firstLine="1132" w:firstLineChars="4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联系部门：</w:t>
      </w:r>
      <w:r>
        <w:rPr>
          <w:rFonts w:hint="eastAsia" w:ascii="仿宋_GB2312" w:hAnsi="仿宋_GB2312" w:eastAsia="仿宋_GB2312" w:cs="仿宋_GB2312"/>
          <w:color w:val="auto"/>
          <w:sz w:val="28"/>
          <w:szCs w:val="28"/>
          <w:lang w:val="en-US" w:eastAsia="zh-CN"/>
        </w:rPr>
        <w:t>交易监督科</w:t>
      </w:r>
      <w:r>
        <w:rPr>
          <w:rFonts w:hint="eastAsia" w:ascii="仿宋_GB2312" w:hAnsi="仿宋_GB2312" w:eastAsia="仿宋_GB2312" w:cs="仿宋_GB2312"/>
          <w:color w:val="auto"/>
          <w:sz w:val="28"/>
          <w:szCs w:val="28"/>
        </w:rPr>
        <w:t>；</w:t>
      </w:r>
    </w:p>
    <w:p>
      <w:pPr>
        <w:pageBreakBefore w:val="0"/>
        <w:widowControl/>
        <w:kinsoku/>
        <w:overflowPunct/>
        <w:topLinePunct w:val="0"/>
        <w:autoSpaceDE/>
        <w:autoSpaceDN/>
        <w:bidi w:val="0"/>
        <w:adjustRightInd/>
        <w:snapToGrid/>
        <w:spacing w:line="560" w:lineRule="exact"/>
        <w:ind w:firstLine="1132" w:firstLineChars="4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联系电话：0916-210908</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w:t>
      </w:r>
    </w:p>
    <w:p>
      <w:pPr>
        <w:pageBreakBefore w:val="0"/>
        <w:widowControl/>
        <w:kinsoku/>
        <w:overflowPunct/>
        <w:topLinePunct w:val="0"/>
        <w:autoSpaceDE/>
        <w:autoSpaceDN/>
        <w:bidi w:val="0"/>
        <w:adjustRightInd/>
        <w:snapToGrid/>
        <w:spacing w:line="560" w:lineRule="exact"/>
        <w:ind w:firstLine="1132" w:firstLineChars="4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通讯地址：汉中市汉台区南团结街</w:t>
      </w:r>
      <w:r>
        <w:rPr>
          <w:rFonts w:hint="eastAsia" w:ascii="仿宋_GB2312" w:hAnsi="仿宋_GB2312" w:eastAsia="仿宋_GB2312" w:cs="仿宋_GB2312"/>
          <w:color w:val="auto"/>
          <w:sz w:val="28"/>
          <w:szCs w:val="28"/>
          <w:lang w:val="en-US" w:eastAsia="zh-CN"/>
        </w:rPr>
        <w:t>298号</w:t>
      </w:r>
      <w:r>
        <w:rPr>
          <w:rFonts w:hint="eastAsia" w:ascii="仿宋_GB2312" w:hAnsi="仿宋_GB2312" w:eastAsia="仿宋_GB2312" w:cs="仿宋_GB2312"/>
          <w:color w:val="auto"/>
          <w:sz w:val="28"/>
          <w:szCs w:val="28"/>
        </w:rPr>
        <w:t>金格大厦4</w:t>
      </w: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rPr>
        <w:t>室。</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、采购代理机构或采购人将在收到书面质疑后7个工作日内做出答复，并以书面形式通知质疑人和其他有关供应商。</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、质疑</w:t>
      </w:r>
      <w:r>
        <w:rPr>
          <w:rFonts w:hint="eastAsia" w:ascii="仿宋_GB2312" w:hAnsi="仿宋_GB2312" w:eastAsia="仿宋_GB2312" w:cs="仿宋_GB2312"/>
          <w:color w:val="auto"/>
          <w:sz w:val="28"/>
          <w:szCs w:val="28"/>
          <w:lang w:val="en-US" w:eastAsia="zh-CN"/>
        </w:rPr>
        <w:t>供应商</w:t>
      </w:r>
      <w:r>
        <w:rPr>
          <w:rFonts w:hint="eastAsia" w:ascii="仿宋_GB2312" w:hAnsi="仿宋_GB2312" w:eastAsia="仿宋_GB2312" w:cs="仿宋_GB2312"/>
          <w:color w:val="auto"/>
          <w:sz w:val="28"/>
          <w:szCs w:val="28"/>
        </w:rPr>
        <w:t>对</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或采购人的答复不满意，以及</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或采购人未在规定时间内</w:t>
      </w:r>
      <w:r>
        <w:rPr>
          <w:rFonts w:hint="eastAsia" w:ascii="仿宋_GB2312" w:hAnsi="仿宋_GB2312" w:eastAsia="仿宋_GB2312" w:cs="仿宋_GB2312"/>
          <w:color w:val="auto"/>
          <w:sz w:val="28"/>
          <w:szCs w:val="28"/>
          <w:lang w:val="en-US" w:eastAsia="zh-CN"/>
        </w:rPr>
        <w:t>作出</w:t>
      </w:r>
      <w:r>
        <w:rPr>
          <w:rFonts w:hint="eastAsia" w:ascii="仿宋_GB2312" w:hAnsi="仿宋_GB2312" w:eastAsia="仿宋_GB2312" w:cs="仿宋_GB2312"/>
          <w:color w:val="auto"/>
          <w:sz w:val="28"/>
          <w:szCs w:val="28"/>
        </w:rPr>
        <w:t>答复的，可以在答复期满后15个工作日内向政府采购监管机构提出投诉。</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97" w:name="_Toc14110_WPSOffice_Level3"/>
      <w:r>
        <w:rPr>
          <w:rFonts w:hint="eastAsia" w:ascii="仿宋_GB2312" w:hAnsi="仿宋_GB2312" w:eastAsia="仿宋_GB2312" w:cs="仿宋_GB2312"/>
          <w:b/>
          <w:color w:val="auto"/>
          <w:sz w:val="28"/>
          <w:szCs w:val="28"/>
        </w:rPr>
        <w:t>（四）对参加政府采购活动的中小企业的扶持政策[依据《政府采购促进中小企业发展管理办法》（财库〔2020〕46号）相关规定]</w:t>
      </w:r>
    </w:p>
    <w:bookmarkEnd w:id="97"/>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single"/>
        </w:rPr>
        <w:t>本项目专门面向</w:t>
      </w:r>
      <w:r>
        <w:rPr>
          <w:rFonts w:hint="eastAsia" w:ascii="仿宋_GB2312" w:hAnsi="仿宋_GB2312" w:eastAsia="仿宋_GB2312" w:cs="仿宋_GB2312"/>
          <w:b/>
          <w:bCs/>
          <w:color w:val="auto"/>
          <w:sz w:val="28"/>
          <w:szCs w:val="28"/>
          <w:u w:val="single"/>
          <w:lang w:val="en-US" w:eastAsia="zh-CN"/>
        </w:rPr>
        <w:t>中小</w:t>
      </w:r>
      <w:r>
        <w:rPr>
          <w:rFonts w:hint="eastAsia" w:ascii="仿宋_GB2312" w:hAnsi="仿宋_GB2312" w:eastAsia="仿宋_GB2312" w:cs="仿宋_GB2312"/>
          <w:b/>
          <w:bCs/>
          <w:color w:val="auto"/>
          <w:sz w:val="28"/>
          <w:szCs w:val="28"/>
          <w:u w:val="single"/>
        </w:rPr>
        <w:t>企业采购，不再执行价格评审优惠扶持政策；</w:t>
      </w:r>
      <w:r>
        <w:rPr>
          <w:rFonts w:hint="eastAsia" w:ascii="仿宋_GB2312" w:hAnsi="仿宋_GB2312" w:eastAsia="仿宋_GB2312" w:cs="仿宋_GB2312"/>
          <w:b/>
          <w:bCs/>
          <w:color w:val="auto"/>
          <w:sz w:val="28"/>
          <w:szCs w:val="28"/>
          <w:u w:val="none"/>
        </w:rPr>
        <w:t>本项目采购标的对应的中小企业划分标准所属行业为：</w:t>
      </w:r>
      <w:r>
        <w:rPr>
          <w:rFonts w:hint="eastAsia" w:ascii="仿宋_GB2312" w:hAnsi="仿宋_GB2312" w:eastAsia="仿宋_GB2312" w:cs="仿宋_GB2312"/>
          <w:b/>
          <w:bCs/>
          <w:color w:val="auto"/>
          <w:sz w:val="28"/>
          <w:szCs w:val="28"/>
          <w:u w:val="single"/>
          <w:lang w:val="en-US" w:eastAsia="zh-CN"/>
        </w:rPr>
        <w:t>租赁和商务服务业</w:t>
      </w:r>
      <w:r>
        <w:rPr>
          <w:rFonts w:hint="eastAsia" w:ascii="仿宋_GB2312" w:hAnsi="仿宋_GB2312" w:eastAsia="仿宋_GB2312" w:cs="仿宋_GB2312"/>
          <w:b/>
          <w:bCs/>
          <w:color w:val="auto"/>
          <w:sz w:val="28"/>
          <w:szCs w:val="28"/>
          <w:u w:val="none"/>
        </w:rPr>
        <w:t>。</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供应商提供的货物、工程或者服务符合下列情形的，享受相关中小企业扶持政策：</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（1）在货物采购项目中，货物由中小企业制造，即货物由中小企业生产且使用该中小企业商号或者注册商标；</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（2）在工程采购项目中，工程由中小企业承建，即工程施工单位为中小企业；</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（3）在服务采购项目中，服务由中小企业承接，即提供服务的人员为中小企业依照《中华人民共和国劳动合同法》订立劳动合同的从业人员。</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在货物采购项目中，供应商提供的货物既有中小企业制造货物，也有大型企业制造货物的，不享受相关中小企业扶持政策。</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以联合体形式参加政府采购活动，联合体各方均为中小企业的，联合体视同中小企业。其中，联合体各方均为小微企业的，联合体视同小微企业。</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对符合上述情形的小微企业报价给予 </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 </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%（工程项目为 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价格扣除比例或者价格分加分比例对小型企业和微型企业同等对待，不作区分。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中小企业参加政府采购活动，应当出具《中小企业声明函》（见附件），否则不得享受相关中小企业扶持政策。</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标、成交供应商享受相关中小企业扶持政策的，将随中标、成交结果公开中标、成交供应商的《中小企业声明函》。适用招标投标法的政府采购工程建设项目，将在公示中标候选人时公开中标候选人的《中小企业声明函》。</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授予中小企业政府采购合同预付款比例不得低于合同价款的40%。</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中小企业投标（包括磋商、谈判、询价）保证金（需要交纳保证金时）减半，履约保证金全免。</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7</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监狱企业、残疾人福利性单位等视同小型、微型企业情况按照《财政部司法部关于政府采购支持监狱企业发展有关问题的通知》（财库〔2014〕68 号）及《关于促进残疾人就业政府采购政策的通知》（财库〔2017〕141 号）等相关内容执行。</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未尽事宜以《政府采购促进中小企业发展管理办法》（财库〔2020〕46号）为准。</w:t>
      </w:r>
      <w:bookmarkStart w:id="98" w:name="_Toc11745_WPSOffice_Level3"/>
    </w:p>
    <w:bookmarkEnd w:id="98"/>
    <w:p>
      <w:pPr>
        <w:pStyle w:val="4"/>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99" w:name="_Toc8798_WPSOffice_Level2"/>
      <w:bookmarkStart w:id="100" w:name="_Toc30436"/>
      <w:bookmarkStart w:id="101" w:name="_Toc3130"/>
      <w:bookmarkStart w:id="102" w:name="_Toc2960"/>
      <w:bookmarkStart w:id="103" w:name="_Toc9976"/>
      <w:bookmarkStart w:id="104" w:name="_Toc10768_WPSOffice_Level2"/>
      <w:bookmarkStart w:id="105" w:name="_Toc17868_WPSOffice_Level2"/>
      <w:r>
        <w:rPr>
          <w:rFonts w:hint="eastAsia" w:ascii="仿宋_GB2312" w:hAnsi="仿宋_GB2312" w:eastAsia="仿宋_GB2312" w:cs="仿宋_GB2312"/>
          <w:color w:val="auto"/>
          <w:sz w:val="28"/>
          <w:szCs w:val="28"/>
        </w:rPr>
        <w:t>三、磋商文件</w:t>
      </w:r>
      <w:bookmarkEnd w:id="99"/>
      <w:bookmarkEnd w:id="100"/>
      <w:bookmarkEnd w:id="101"/>
      <w:bookmarkEnd w:id="102"/>
      <w:bookmarkEnd w:id="103"/>
      <w:bookmarkEnd w:id="104"/>
      <w:bookmarkEnd w:id="105"/>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106" w:name="_Toc20873_WPSOffice_Level3"/>
      <w:r>
        <w:rPr>
          <w:rFonts w:hint="eastAsia" w:ascii="仿宋_GB2312" w:hAnsi="仿宋_GB2312" w:eastAsia="仿宋_GB2312" w:cs="仿宋_GB2312"/>
          <w:b/>
          <w:color w:val="auto"/>
          <w:sz w:val="28"/>
          <w:szCs w:val="28"/>
        </w:rPr>
        <w:t>（一）磋商文件包括下列内容</w:t>
      </w:r>
      <w:bookmarkEnd w:id="106"/>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第一章　磋商邀请函</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第二章　供应商须知</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rPr>
      </w:pPr>
      <w:bookmarkStart w:id="107" w:name="_Toc20041_WPSOffice_Level3"/>
      <w:r>
        <w:rPr>
          <w:rFonts w:hint="eastAsia" w:ascii="仿宋_GB2312" w:hAnsi="仿宋_GB2312" w:eastAsia="仿宋_GB2312" w:cs="仿宋_GB2312"/>
          <w:bCs/>
          <w:color w:val="auto"/>
          <w:sz w:val="28"/>
          <w:szCs w:val="28"/>
        </w:rPr>
        <w:t>第三章　磋商内容及采购要求</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第四章　合同</w:t>
      </w:r>
      <w:r>
        <w:rPr>
          <w:rFonts w:hint="eastAsia" w:ascii="仿宋_GB2312" w:hAnsi="仿宋_GB2312" w:eastAsia="仿宋_GB2312" w:cs="仿宋_GB2312"/>
          <w:bCs/>
          <w:color w:val="auto"/>
          <w:sz w:val="28"/>
          <w:szCs w:val="28"/>
          <w:lang w:val="en-US" w:eastAsia="zh-CN"/>
        </w:rPr>
        <w:t>草案</w:t>
      </w:r>
      <w:r>
        <w:rPr>
          <w:rFonts w:hint="eastAsia" w:ascii="仿宋_GB2312" w:hAnsi="仿宋_GB2312" w:eastAsia="仿宋_GB2312" w:cs="仿宋_GB2312"/>
          <w:bCs/>
          <w:color w:val="auto"/>
          <w:sz w:val="28"/>
          <w:szCs w:val="28"/>
        </w:rPr>
        <w:t>条款</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第五章　响应文件构成及格式</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（二）磋商文件的检查及阅读</w:t>
      </w:r>
      <w:bookmarkEnd w:id="107"/>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供应商下载磋商文件后应仔细阅读检查磋商文件中的所有内容，按照磋商文件中所列事项、条款、规范要求及格式，在响应文件中对磋商文件做出全面的响</w:t>
      </w:r>
      <w:r>
        <w:rPr>
          <w:rFonts w:hint="eastAsia" w:ascii="仿宋_GB2312" w:hAnsi="仿宋_GB2312" w:eastAsia="仿宋_GB2312" w:cs="仿宋_GB2312"/>
          <w:color w:val="auto"/>
          <w:w w:val="1"/>
          <w:sz w:val="28"/>
          <w:szCs w:val="28"/>
        </w:rPr>
        <w:t xml:space="preserve"> </w:t>
      </w:r>
      <w:r>
        <w:rPr>
          <w:rFonts w:hint="eastAsia" w:ascii="仿宋_GB2312" w:hAnsi="仿宋_GB2312" w:eastAsia="仿宋_GB2312" w:cs="仿宋_GB2312"/>
          <w:color w:val="auto"/>
          <w:sz w:val="28"/>
          <w:szCs w:val="28"/>
        </w:rPr>
        <w:t>应，并按磋商文件的要求提交全部资料。</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108" w:name="_Toc12798_WPSOffice_Level3"/>
      <w:r>
        <w:rPr>
          <w:rFonts w:hint="eastAsia" w:ascii="仿宋_GB2312" w:hAnsi="仿宋_GB2312" w:eastAsia="仿宋_GB2312" w:cs="仿宋_GB2312"/>
          <w:b/>
          <w:color w:val="auto"/>
          <w:sz w:val="28"/>
          <w:szCs w:val="28"/>
        </w:rPr>
        <w:t>（三）磋商文件的修改、澄清</w:t>
      </w:r>
      <w:bookmarkEnd w:id="108"/>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1、在提交响应文件截止之日前，</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可对已发出的磋商文件进行必要的澄清或者修改，澄清或者修改的内容作为磋商文件的组成部分。澄清或者修改的内容可能影响响应文件编制的，</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将在提交响应文件截止之日至少5日前，在财政部门指定的政府采购信息发布媒体上</w:t>
      </w:r>
      <w:r>
        <w:rPr>
          <w:rFonts w:hint="eastAsia" w:ascii="仿宋_GB2312" w:hAnsi="仿宋_GB2312" w:eastAsia="仿宋_GB2312" w:cs="仿宋_GB2312"/>
          <w:b/>
          <w:bCs/>
          <w:color w:val="auto"/>
          <w:sz w:val="28"/>
          <w:szCs w:val="28"/>
        </w:rPr>
        <w:t>发布更正公告</w:t>
      </w:r>
      <w:r>
        <w:rPr>
          <w:rFonts w:hint="eastAsia" w:ascii="仿宋_GB2312" w:hAnsi="仿宋_GB2312" w:eastAsia="仿宋_GB2312" w:cs="仿宋_GB2312"/>
          <w:color w:val="auto"/>
          <w:sz w:val="28"/>
          <w:szCs w:val="28"/>
        </w:rPr>
        <w:t>；不足5日，</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将顺延提交响应文件的截止时间。</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2、各供应商在提交响应文件截止时间之前，应随时关注下列地址发布的变更公告，也可登录全国公共资源交易平台（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）政府采购交易系统查看</w:t>
      </w:r>
      <w:r>
        <w:rPr>
          <w:rFonts w:hint="eastAsia" w:ascii="仿宋_GB2312" w:hAnsi="仿宋_GB2312" w:eastAsia="仿宋_GB2312" w:cs="仿宋_GB2312"/>
          <w:color w:val="auto"/>
          <w:sz w:val="28"/>
          <w:szCs w:val="28"/>
          <w:lang w:val="en-US" w:eastAsia="zh-CN"/>
        </w:rPr>
        <w:t>右</w:t>
      </w:r>
      <w:r>
        <w:rPr>
          <w:rFonts w:hint="eastAsia" w:ascii="仿宋_GB2312" w:hAnsi="仿宋_GB2312" w:eastAsia="仿宋_GB2312" w:cs="仿宋_GB2312"/>
          <w:color w:val="auto"/>
          <w:sz w:val="28"/>
          <w:szCs w:val="28"/>
        </w:rPr>
        <w:t>上角的信息提醒，</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b/>
          <w:bCs/>
          <w:color w:val="auto"/>
          <w:sz w:val="28"/>
          <w:szCs w:val="28"/>
        </w:rPr>
        <w:t>不再单独通知，因供应商未及时关注所造成的一切后果由供应商自行承担：</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"http://www.ccgp-shaanxi.gov.cn/" </w:instrText>
      </w:r>
      <w:r>
        <w:rPr>
          <w:rFonts w:hint="eastAsia" w:ascii="仿宋_GB2312" w:hAnsi="仿宋_GB2312" w:eastAsia="仿宋_GB2312" w:cs="仿宋_GB2312"/>
          <w:color w:val="auto"/>
          <w:sz w:val="28"/>
          <w:szCs w:val="28"/>
        </w:rPr>
        <w:fldChar w:fldCharType="separate"/>
      </w:r>
      <w:r>
        <w:rPr>
          <w:rStyle w:val="31"/>
          <w:rFonts w:hint="eastAsia" w:ascii="仿宋_GB2312" w:hAnsi="仿宋_GB2312" w:eastAsia="仿宋_GB2312" w:cs="仿宋_GB2312"/>
          <w:color w:val="auto"/>
          <w:sz w:val="28"/>
          <w:szCs w:val="28"/>
        </w:rPr>
        <w:t>陕西省政府采购网</w:t>
      </w:r>
      <w:r>
        <w:rPr>
          <w:rStyle w:val="31"/>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t>（www.ccgp-shaanxi.gov.cn/）】中的〖首页·〉</w:t>
      </w:r>
      <w:r>
        <w:rPr>
          <w:rFonts w:hint="eastAsia" w:ascii="仿宋_GB2312" w:hAnsi="仿宋_GB2312" w:eastAsia="仿宋_GB2312" w:cs="仿宋_GB2312"/>
          <w:color w:val="auto"/>
          <w:sz w:val="28"/>
          <w:szCs w:val="28"/>
          <w:lang w:val="en-US" w:eastAsia="zh-CN"/>
        </w:rPr>
        <w:t>市级</w:t>
      </w:r>
      <w:r>
        <w:rPr>
          <w:rFonts w:hint="eastAsia" w:ascii="仿宋_GB2312" w:hAnsi="仿宋_GB2312" w:eastAsia="仿宋_GB2312" w:cs="仿宋_GB2312"/>
          <w:color w:val="auto"/>
          <w:sz w:val="28"/>
          <w:szCs w:val="28"/>
        </w:rPr>
        <w:t>公告·〉更正公告〗；</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kern w:val="0"/>
          <w:sz w:val="28"/>
          <w:szCs w:val="28"/>
        </w:rPr>
        <w:t>（sxggzyjy.hanzhong.gov.cn）</w:t>
      </w:r>
      <w:r>
        <w:rPr>
          <w:rFonts w:hint="eastAsia" w:ascii="仿宋_GB2312" w:hAnsi="仿宋_GB2312" w:eastAsia="仿宋_GB2312" w:cs="仿宋_GB2312"/>
          <w:color w:val="auto"/>
          <w:sz w:val="28"/>
          <w:szCs w:val="28"/>
        </w:rPr>
        <w:t>】中的〖首页·〉交易大厅·〉政府采购·〉</w:t>
      </w:r>
      <w:r>
        <w:rPr>
          <w:rFonts w:hint="eastAsia" w:ascii="仿宋_GB2312" w:hAnsi="仿宋_GB2312" w:eastAsia="仿宋_GB2312" w:cs="仿宋_GB2312"/>
          <w:color w:val="auto"/>
          <w:sz w:val="28"/>
          <w:szCs w:val="28"/>
          <w:lang w:val="en-US" w:eastAsia="zh-CN"/>
        </w:rPr>
        <w:t>更正公告</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09" w:name="_Toc18733_WPSOffice_Level3"/>
      <w:r>
        <w:rPr>
          <w:rFonts w:hint="eastAsia" w:ascii="仿宋_GB2312" w:hAnsi="仿宋_GB2312" w:eastAsia="仿宋_GB2312" w:cs="仿宋_GB2312"/>
          <w:b/>
          <w:color w:val="auto"/>
          <w:sz w:val="28"/>
          <w:szCs w:val="28"/>
        </w:rPr>
        <w:t>（四）磋商文件的解释权归</w:t>
      </w:r>
      <w:r>
        <w:rPr>
          <w:rFonts w:hint="eastAsia" w:ascii="仿宋_GB2312" w:hAnsi="仿宋_GB2312" w:eastAsia="仿宋_GB2312" w:cs="仿宋_GB2312"/>
          <w:b/>
          <w:color w:val="auto"/>
          <w:sz w:val="28"/>
          <w:szCs w:val="28"/>
          <w:lang w:val="en-US" w:eastAsia="zh-CN"/>
        </w:rPr>
        <w:t>集中采购机构</w:t>
      </w:r>
      <w:r>
        <w:rPr>
          <w:rFonts w:hint="eastAsia" w:ascii="仿宋_GB2312" w:hAnsi="仿宋_GB2312" w:eastAsia="仿宋_GB2312" w:cs="仿宋_GB2312"/>
          <w:b/>
          <w:color w:val="auto"/>
          <w:sz w:val="28"/>
          <w:szCs w:val="28"/>
        </w:rPr>
        <w:t>。</w:t>
      </w:r>
      <w:bookmarkEnd w:id="109"/>
    </w:p>
    <w:p>
      <w:pPr>
        <w:pStyle w:val="4"/>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10" w:name="_Toc20873_WPSOffice_Level2"/>
      <w:bookmarkStart w:id="111" w:name="_Toc22501_WPSOffice_Level2"/>
      <w:bookmarkStart w:id="112" w:name="_Toc3559"/>
      <w:bookmarkStart w:id="113" w:name="_Toc13064"/>
      <w:bookmarkStart w:id="114" w:name="_Toc19768_WPSOffice_Level2"/>
      <w:bookmarkStart w:id="115" w:name="_Toc30415"/>
      <w:bookmarkStart w:id="116" w:name="_Toc30095"/>
      <w:r>
        <w:rPr>
          <w:rFonts w:hint="eastAsia" w:ascii="仿宋_GB2312" w:hAnsi="仿宋_GB2312" w:eastAsia="仿宋_GB2312" w:cs="仿宋_GB2312"/>
          <w:color w:val="auto"/>
          <w:sz w:val="28"/>
          <w:szCs w:val="28"/>
          <w:lang w:val="en-US" w:eastAsia="zh-CN"/>
        </w:rPr>
        <w:t>四</w:t>
      </w:r>
      <w:r>
        <w:rPr>
          <w:rFonts w:hint="eastAsia" w:ascii="仿宋_GB2312" w:hAnsi="仿宋_GB2312" w:eastAsia="仿宋_GB2312" w:cs="仿宋_GB2312"/>
          <w:color w:val="auto"/>
          <w:sz w:val="28"/>
          <w:szCs w:val="28"/>
        </w:rPr>
        <w:t>、磋商报价</w:t>
      </w:r>
      <w:bookmarkEnd w:id="110"/>
      <w:bookmarkEnd w:id="111"/>
      <w:bookmarkEnd w:id="112"/>
      <w:bookmarkEnd w:id="113"/>
      <w:bookmarkEnd w:id="114"/>
      <w:bookmarkEnd w:id="115"/>
      <w:bookmarkEnd w:id="116"/>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磋商报价是供应商响应</w:t>
      </w:r>
      <w:r>
        <w:rPr>
          <w:rFonts w:hint="eastAsia" w:ascii="仿宋_GB2312" w:hAnsi="仿宋_GB2312" w:eastAsia="仿宋_GB2312" w:cs="仿宋_GB2312"/>
          <w:color w:val="auto"/>
          <w:sz w:val="28"/>
          <w:szCs w:val="28"/>
          <w:lang w:val="en-US" w:eastAsia="zh-CN"/>
        </w:rPr>
        <w:t>采购</w:t>
      </w:r>
      <w:r>
        <w:rPr>
          <w:rFonts w:hint="eastAsia" w:ascii="仿宋_GB2312" w:hAnsi="仿宋_GB2312" w:eastAsia="仿宋_GB2312" w:cs="仿宋_GB2312"/>
          <w:color w:val="auto"/>
          <w:sz w:val="28"/>
          <w:szCs w:val="28"/>
        </w:rPr>
        <w:t>项目要求的全部工作内容的价格体现，包括完成采购内容所需的直接费、间接费、利润、税金及其它相关的一切费用。供应商在报价时应充分考虑所有可能发生的费用，</w:t>
      </w:r>
      <w:r>
        <w:rPr>
          <w:rFonts w:hint="eastAsia" w:ascii="仿宋_GB2312" w:hAnsi="仿宋_GB2312" w:eastAsia="仿宋_GB2312" w:cs="仿宋_GB2312"/>
          <w:color w:val="auto"/>
          <w:sz w:val="28"/>
          <w:szCs w:val="28"/>
          <w:lang w:val="zh-CN"/>
        </w:rPr>
        <w:t>磋商</w:t>
      </w:r>
      <w:r>
        <w:rPr>
          <w:rFonts w:hint="eastAsia" w:ascii="仿宋_GB2312" w:hAnsi="仿宋_GB2312" w:eastAsia="仿宋_GB2312" w:cs="仿宋_GB2312"/>
          <w:color w:val="auto"/>
          <w:sz w:val="28"/>
          <w:szCs w:val="28"/>
        </w:rPr>
        <w:t>文件未列明，而供应商认为应当计取的费用均应列入报价中。报价时不论是否计取，采购人均按已计取对待。</w:t>
      </w:r>
    </w:p>
    <w:p>
      <w:pPr>
        <w:pageBreakBefore w:val="0"/>
        <w:widowControl/>
        <w:numPr>
          <w:ilvl w:val="0"/>
          <w:numId w:val="2"/>
        </w:numPr>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供应商应按照《响应文件构成及格式》中《第一次磋商报价表》中的相关要求填写需要响应的内容。</w:t>
      </w:r>
    </w:p>
    <w:p>
      <w:pPr>
        <w:pageBreakBefore w:val="0"/>
        <w:widowControl/>
        <w:numPr>
          <w:ilvl w:val="0"/>
          <w:numId w:val="2"/>
        </w:numPr>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磋商报价采取多轮报价的办法，最后报价作为计算价格分值的依据。供应商应在磋商当天，磋商小组规定的报价时间内，使用制作标书的数字认证证书（CA锁）登录全国公共资源交易平台（</w:t>
      </w:r>
      <w:r>
        <w:rPr>
          <w:rFonts w:hint="eastAsia" w:ascii="仿宋_GB2312" w:hAnsi="仿宋_GB2312" w:eastAsia="仿宋_GB2312" w:cs="仿宋_GB2312"/>
          <w:b/>
          <w:bCs/>
          <w:color w:val="auto"/>
          <w:sz w:val="28"/>
          <w:szCs w:val="28"/>
          <w:lang w:val="en-US" w:eastAsia="zh-CN"/>
        </w:rPr>
        <w:t>汉中市</w:t>
      </w:r>
      <w:r>
        <w:rPr>
          <w:rFonts w:hint="eastAsia" w:ascii="仿宋_GB2312" w:hAnsi="仿宋_GB2312" w:eastAsia="仿宋_GB2312" w:cs="仿宋_GB2312"/>
          <w:b/>
          <w:bCs/>
          <w:color w:val="auto"/>
          <w:sz w:val="28"/>
          <w:szCs w:val="28"/>
        </w:rPr>
        <w:t>）网站〖首页·〉电子交易平台·〉企业端〗后，在〖我的项目〗下找到本次磋商的项目，填写最后报价表，签章并提交。</w:t>
      </w:r>
    </w:p>
    <w:p>
      <w:pPr>
        <w:pageBreakBefore w:val="0"/>
        <w:widowControl/>
        <w:numPr>
          <w:ilvl w:val="0"/>
          <w:numId w:val="2"/>
        </w:numPr>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如采购内容无实质性变更，各供应商的报价应逐次降低。本次报价超过采购预算或磋商文件规定的最高限价的，按无效投标处理；本次报价超过上次报价但未超过采购预算或磋商文件规定的最高限价的，或在规定时间内最后报价提交不成功的均为无效报价，磋商小组在综合比较与评价时将使用上一轮有效报价进行报价评审。</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w:t>
      </w:r>
      <w:r>
        <w:rPr>
          <w:rFonts w:hint="eastAsia" w:ascii="仿宋_GB2312" w:hAnsi="仿宋_GB2312" w:eastAsia="仿宋_GB2312" w:cs="仿宋_GB2312"/>
          <w:color w:val="auto"/>
          <w:sz w:val="28"/>
          <w:szCs w:val="28"/>
          <w:lang w:val="zh-CN"/>
        </w:rPr>
        <w:t>磋商</w:t>
      </w:r>
      <w:r>
        <w:rPr>
          <w:rFonts w:hint="eastAsia" w:ascii="仿宋_GB2312" w:hAnsi="仿宋_GB2312" w:eastAsia="仿宋_GB2312" w:cs="仿宋_GB2312"/>
          <w:color w:val="auto"/>
          <w:sz w:val="28"/>
          <w:szCs w:val="28"/>
        </w:rPr>
        <w:t>报价货币：</w:t>
      </w:r>
      <w:r>
        <w:rPr>
          <w:rFonts w:hint="eastAsia" w:ascii="仿宋_GB2312" w:hAnsi="仿宋_GB2312" w:eastAsia="仿宋_GB2312" w:cs="仿宋_GB2312"/>
          <w:b/>
          <w:color w:val="auto"/>
          <w:sz w:val="28"/>
          <w:szCs w:val="28"/>
        </w:rPr>
        <w:t>人民币</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
          <w:bCs/>
          <w:color w:val="auto"/>
          <w:sz w:val="28"/>
          <w:szCs w:val="28"/>
        </w:rPr>
        <w:t>单位：元</w:t>
      </w:r>
      <w:r>
        <w:rPr>
          <w:rFonts w:hint="eastAsia" w:ascii="仿宋_GB2312" w:hAnsi="仿宋_GB2312" w:eastAsia="仿宋_GB2312" w:cs="仿宋_GB2312"/>
          <w:bCs/>
          <w:color w:val="auto"/>
          <w:sz w:val="28"/>
          <w:szCs w:val="28"/>
        </w:rPr>
        <w:t>，</w:t>
      </w:r>
      <w:r>
        <w:rPr>
          <w:rFonts w:hint="eastAsia" w:ascii="仿宋_GB2312" w:hAnsi="仿宋_GB2312" w:eastAsia="仿宋_GB2312" w:cs="仿宋_GB2312"/>
          <w:b/>
          <w:color w:val="auto"/>
          <w:sz w:val="28"/>
          <w:szCs w:val="28"/>
        </w:rPr>
        <w:t>保留到元</w:t>
      </w:r>
      <w:r>
        <w:rPr>
          <w:rFonts w:hint="eastAsia" w:ascii="仿宋_GB2312" w:hAnsi="仿宋_GB2312" w:eastAsia="仿宋_GB2312" w:cs="仿宋_GB2312"/>
          <w:bCs/>
          <w:color w:val="auto"/>
          <w:sz w:val="28"/>
          <w:szCs w:val="28"/>
        </w:rPr>
        <w:t>。</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（五）磋商报价大小写不一致的以大写为准。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（六）因供应商对磋商文件理解不透、误解、疏漏或对市场行情了解不清造成的后果和风险，均由供应商自己负责。</w:t>
      </w:r>
    </w:p>
    <w:p>
      <w:pPr>
        <w:pStyle w:val="4"/>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17" w:name="_Toc666"/>
      <w:bookmarkStart w:id="118" w:name="_Toc14979"/>
      <w:bookmarkStart w:id="119" w:name="_Toc11009"/>
      <w:bookmarkStart w:id="120" w:name="_Toc14959_WPSOffice_Level2"/>
      <w:bookmarkStart w:id="121" w:name="_Toc12154"/>
      <w:bookmarkStart w:id="122" w:name="_Toc20041_WPSOffice_Level2"/>
      <w:bookmarkStart w:id="123" w:name="_Toc29669_WPSOffice_Level2"/>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color w:val="auto"/>
          <w:sz w:val="28"/>
          <w:szCs w:val="28"/>
        </w:rPr>
        <w:t>、响应文件</w:t>
      </w:r>
      <w:bookmarkEnd w:id="117"/>
      <w:bookmarkEnd w:id="118"/>
      <w:bookmarkEnd w:id="119"/>
      <w:bookmarkEnd w:id="120"/>
      <w:bookmarkEnd w:id="121"/>
      <w:bookmarkEnd w:id="122"/>
      <w:bookmarkEnd w:id="123"/>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（一）响应文件形式</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本项目采用电子响应文件，供应商在</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时须提供电子响应文件。</w:t>
      </w:r>
      <w:bookmarkStart w:id="124" w:name="_Toc18733_WPSOffice_Level2"/>
      <w:bookmarkStart w:id="125" w:name="_Toc7898_WPSOffice_Level2"/>
      <w:bookmarkStart w:id="126" w:name="_Toc30535_WPSOffice_Level2"/>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编制电子响应文件时，应使用最新发布的电子磋商文件及专用制作工具进行编制。并使用数字认证证书（CA锁）对电子响应文件进行签署、加密、递交及磋商时解密等相关操作。</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1、电子磋商文件下载。供应商登录全国公共资源交易平台（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）网站〖首页·〉电子交易平台·〉企业端〗后，在〖招标公告/出让公告·〉</w:t>
      </w:r>
      <w:r>
        <w:rPr>
          <w:rFonts w:hint="eastAsia" w:ascii="仿宋_GB2312" w:hAnsi="仿宋_GB2312" w:eastAsia="仿宋_GB2312" w:cs="仿宋_GB2312"/>
          <w:color w:val="auto"/>
          <w:sz w:val="28"/>
          <w:szCs w:val="28"/>
          <w:lang w:val="en-US" w:eastAsia="zh-CN"/>
        </w:rPr>
        <w:t>政府采购</w:t>
      </w:r>
      <w:r>
        <w:rPr>
          <w:rFonts w:hint="eastAsia" w:ascii="仿宋_GB2312" w:hAnsi="仿宋_GB2312" w:eastAsia="仿宋_GB2312" w:cs="仿宋_GB2312"/>
          <w:color w:val="auto"/>
          <w:sz w:val="28"/>
          <w:szCs w:val="28"/>
        </w:rPr>
        <w:t>〗模块中选择项目</w:t>
      </w:r>
      <w:r>
        <w:rPr>
          <w:rFonts w:hint="eastAsia" w:ascii="仿宋_GB2312" w:hAnsi="仿宋_GB2312" w:eastAsia="仿宋_GB2312" w:cs="仿宋_GB2312"/>
          <w:bCs/>
          <w:color w:val="auto"/>
          <w:sz w:val="28"/>
          <w:szCs w:val="28"/>
        </w:rPr>
        <w:t>点击“我要投标”，参与投标活动。然后即可</w:t>
      </w:r>
      <w:r>
        <w:rPr>
          <w:rFonts w:hint="eastAsia" w:ascii="仿宋_GB2312" w:hAnsi="仿宋_GB2312" w:eastAsia="仿宋_GB2312" w:cs="仿宋_GB2312"/>
          <w:color w:val="auto"/>
          <w:sz w:val="28"/>
          <w:szCs w:val="28"/>
        </w:rPr>
        <w:t>在〖我的项目〗中点击“项目流程&gt;交易文件下载”下载电子磋商文件（*.SXSZF）。</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注意：该项目如有变更文件，则应点击“项目流程&gt;答疑文件下载”下载更新后的电子磋商文件（*.SXSCF），使用旧版电子磋商文件制作的电子响应文件，系统将拒绝接收。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电子磋商文件需要使用专用软件打开、浏览。供应商可在全国公共资源交易平台（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网站〖首页·〉服务指南·〉下载专区〗免费下载“陕西省公共资源交易平台政府采购电子标书制作工具”，并升级至最新版本，使用该客户端可以打开电子磋商文件。软件操作手册详见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）网站〖首页·〉服务指南·〉下载专区〗中的《政府采购</w:t>
      </w:r>
      <w:r>
        <w:rPr>
          <w:rFonts w:hint="eastAsia" w:ascii="仿宋_GB2312" w:hAnsi="仿宋_GB2312" w:eastAsia="仿宋_GB2312" w:cs="仿宋_GB2312"/>
          <w:color w:val="auto"/>
          <w:sz w:val="28"/>
          <w:szCs w:val="28"/>
          <w:lang w:val="en-US" w:eastAsia="zh-CN"/>
        </w:rPr>
        <w:t>供应商</w:t>
      </w:r>
      <w:r>
        <w:rPr>
          <w:rFonts w:hint="eastAsia" w:ascii="仿宋_GB2312" w:hAnsi="仿宋_GB2312" w:eastAsia="仿宋_GB2312" w:cs="仿宋_GB2312"/>
          <w:color w:val="auto"/>
          <w:sz w:val="28"/>
          <w:szCs w:val="28"/>
        </w:rPr>
        <w:t>操作手册》。</w:t>
      </w:r>
    </w:p>
    <w:p>
      <w:pPr>
        <w:pStyle w:val="4"/>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val="0"/>
          <w:bCs w:val="0"/>
          <w:color w:val="auto"/>
          <w:sz w:val="28"/>
          <w:szCs w:val="28"/>
          <w:lang w:eastAsia="zh-CN"/>
        </w:rPr>
      </w:pPr>
      <w:bookmarkStart w:id="127" w:name="_Toc9096"/>
      <w:r>
        <w:rPr>
          <w:rFonts w:hint="eastAsia" w:ascii="仿宋_GB2312" w:hAnsi="仿宋_GB2312" w:eastAsia="仿宋_GB2312" w:cs="仿宋_GB2312"/>
          <w:b w:val="0"/>
          <w:bCs w:val="0"/>
          <w:color w:val="auto"/>
          <w:sz w:val="28"/>
          <w:szCs w:val="28"/>
        </w:rPr>
        <w:t>3、制作电子响应文件。电子响应文件同样需要使用上述软件进行编制。在编制过程中，如有技术性问题，请先翻阅操作手册，或致电软件开发商。技术支持热线：4009980000</w:t>
      </w:r>
      <w:bookmarkStart w:id="128" w:name="_Toc11164"/>
      <w:bookmarkStart w:id="129" w:name="_Toc18427_WPSOffice_Level3"/>
      <w:r>
        <w:rPr>
          <w:rFonts w:hint="eastAsia" w:ascii="仿宋_GB2312" w:hAnsi="仿宋_GB2312" w:eastAsia="仿宋_GB2312" w:cs="仿宋_GB2312"/>
          <w:b w:val="0"/>
          <w:bCs w:val="0"/>
          <w:color w:val="auto"/>
          <w:sz w:val="28"/>
          <w:szCs w:val="28"/>
          <w:lang w:eastAsia="zh-CN"/>
        </w:rPr>
        <w:t>。</w:t>
      </w:r>
      <w:bookmarkEnd w:id="127"/>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（需要法定代表人签字或盖章的地方，请使用“法人CA”进行签章；需要加盖供应商公章的地方，请使用“企业 CA”进行盖章。加密和解密应当使用同一CA，否则将会导致解密失败。请勿同时插入企业CA和法人CA，以免系统自动识别法人CA导致开启时标书解密失败。）</w:t>
      </w:r>
    </w:p>
    <w:bookmarkEnd w:id="128"/>
    <w:bookmarkEnd w:id="129"/>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（二）</w:t>
      </w:r>
      <w:r>
        <w:rPr>
          <w:rFonts w:hint="eastAsia" w:ascii="仿宋_GB2312" w:hAnsi="仿宋_GB2312" w:eastAsia="仿宋_GB2312" w:cs="仿宋_GB2312"/>
          <w:b/>
          <w:bCs/>
          <w:color w:val="auto"/>
          <w:sz w:val="28"/>
          <w:szCs w:val="28"/>
        </w:rPr>
        <w:t>响应文件有效期</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1、响应活动的所有文件、资料、函电文均使用简体中文，确需提交用其他语言形成的资料，必须翻译成简体中文，如有差异，以简体中文为准。 </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2、响应文件有效期为自响应文件开启之日起 90 个日历日。如成交，延长至合同执行完毕时止。</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（三）响应文件的提交</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电子响应文件可于提交响应文件截止时间前任意时段登录全国公共资源交易平台（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）网站“电子交易平台&gt;企业端”进行提交，逾期系统将拒绝接收。提交时，供应商应登录全国公共资源交易中心平台（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选择“首页&gt;电子交易平台&gt;企业端&gt;我的项目”，点击“项目流程”，在打开的“项目管理”对话框中选择“上传响应文件”，上传加密的电子响应文件（*.SXSTF）。上传成功后，电子化平台将予以记录。</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130" w:name="_Toc6095"/>
      <w:bookmarkStart w:id="131" w:name="_Toc15608"/>
      <w:bookmarkStart w:id="132" w:name="_Toc24468"/>
      <w:r>
        <w:rPr>
          <w:rFonts w:hint="eastAsia" w:ascii="仿宋_GB2312" w:hAnsi="仿宋_GB2312" w:eastAsia="仿宋_GB2312" w:cs="仿宋_GB2312"/>
          <w:b/>
          <w:color w:val="auto"/>
          <w:sz w:val="28"/>
          <w:szCs w:val="28"/>
        </w:rPr>
        <w:t>（四）响应文件的补充、修改和撤回</w:t>
      </w:r>
      <w:bookmarkEnd w:id="130"/>
      <w:bookmarkEnd w:id="131"/>
      <w:bookmarkEnd w:id="132"/>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1、供应商在递交电子响应文件后，且在提交电子响应文件截止时间前，可以对所提交的电子响应文件进行补充、修改或撤回。</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2、对电子响应文件进行补充、修改的，应先从电子交易平台上撤回旧版，再重新提交新版。</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3、电子响应文件提交截止时间后，供应商不得对其电子响应文件做任何修改。</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（五）供应商提交响应文件时，出现下列情况之一的，其响应文件将被拒绝接收：</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33" w:name="_Toc10744"/>
      <w:bookmarkStart w:id="134" w:name="_Toc7022"/>
      <w:bookmarkStart w:id="135" w:name="_Toc8003"/>
      <w:bookmarkStart w:id="136" w:name="_Toc595"/>
      <w:bookmarkStart w:id="137" w:name="_Toc6837"/>
      <w:bookmarkStart w:id="138" w:name="_Toc28054"/>
      <w:r>
        <w:rPr>
          <w:rFonts w:hint="eastAsia" w:ascii="仿宋_GB2312" w:hAnsi="仿宋_GB2312" w:eastAsia="仿宋_GB2312" w:cs="仿宋_GB2312"/>
          <w:color w:val="auto"/>
          <w:sz w:val="28"/>
          <w:szCs w:val="28"/>
        </w:rPr>
        <w:t>1、逾期提交电子响应文件的；</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2、提交的电子响应文件与本项目不相符的。</w:t>
      </w:r>
    </w:p>
    <w:p>
      <w:pPr>
        <w:pStyle w:val="4"/>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bookmarkStart w:id="139" w:name="_Toc17536"/>
      <w:r>
        <w:rPr>
          <w:rFonts w:hint="eastAsia" w:ascii="仿宋_GB2312" w:hAnsi="仿宋_GB2312" w:eastAsia="仿宋_GB2312" w:cs="仿宋_GB2312"/>
          <w:color w:val="auto"/>
          <w:sz w:val="28"/>
          <w:szCs w:val="28"/>
          <w:lang w:val="en-US" w:eastAsia="zh-CN"/>
        </w:rPr>
        <w:t>六</w:t>
      </w:r>
      <w:r>
        <w:rPr>
          <w:rFonts w:hint="eastAsia" w:ascii="仿宋_GB2312" w:hAnsi="仿宋_GB2312" w:eastAsia="仿宋_GB2312" w:cs="仿宋_GB2312"/>
          <w:color w:val="auto"/>
          <w:sz w:val="28"/>
          <w:szCs w:val="28"/>
        </w:rPr>
        <w:t>、</w:t>
      </w:r>
      <w:bookmarkEnd w:id="133"/>
      <w:bookmarkEnd w:id="134"/>
      <w:bookmarkEnd w:id="135"/>
      <w:bookmarkEnd w:id="136"/>
      <w:bookmarkEnd w:id="137"/>
      <w:bookmarkEnd w:id="138"/>
      <w:bookmarkEnd w:id="139"/>
      <w:r>
        <w:rPr>
          <w:rFonts w:hint="eastAsia" w:ascii="仿宋_GB2312" w:hAnsi="仿宋_GB2312" w:eastAsia="仿宋_GB2312" w:cs="仿宋_GB2312"/>
          <w:color w:val="auto"/>
          <w:sz w:val="28"/>
          <w:szCs w:val="28"/>
          <w:lang w:val="en-US" w:eastAsia="zh-CN"/>
        </w:rPr>
        <w:t>响应文件开启</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组织响应文件开启、评审工作，整个过程受政府采购监管机构的监督、管理。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（二）</w:t>
      </w:r>
      <w:r>
        <w:rPr>
          <w:rFonts w:hint="eastAsia" w:ascii="仿宋_GB2312" w:hAnsi="仿宋_GB2312" w:eastAsia="仿宋_GB2312" w:cs="仿宋_GB2312"/>
          <w:b/>
          <w:bCs/>
          <w:color w:val="auto"/>
          <w:sz w:val="28"/>
          <w:szCs w:val="28"/>
          <w:lang w:val="en-US" w:eastAsia="zh-CN"/>
        </w:rPr>
        <w:t>本项目采用“不见面开标”方式。供应商需在开启前最少一小时登录全国公共资源交易平台（汉中市）首页选择“不见面开标”自行调试。并按照工作人员要求进行响应文件解密，远程观看开启直播。如遇困难，请拨打系统平台技术支持电话：4009980000。</w:t>
      </w:r>
    </w:p>
    <w:p>
      <w:pPr>
        <w:keepNext w:val="0"/>
        <w:keepLines w:val="0"/>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供应商</w:t>
      </w:r>
      <w:r>
        <w:rPr>
          <w:rFonts w:hint="eastAsia" w:ascii="仿宋_GB2312" w:hAnsi="仿宋_GB2312" w:eastAsia="仿宋_GB2312" w:cs="仿宋_GB2312"/>
          <w:b/>
          <w:bCs/>
          <w:color w:val="auto"/>
          <w:sz w:val="28"/>
          <w:szCs w:val="28"/>
        </w:rPr>
        <w:t>需安装新点播放器，以便观看远程不见面开标直播画面（播放器下载链接为：http://sxggzyjy.hanzhong.gov.cn/fwzn/004003/20230223/17ebe025-dd9a-4eba-b702-8f1696646f01.html）。</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供应商不足3家的，不得开启响应文件。</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（三）响应文件开启时，</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现场工作人员将根据项目</w:t>
      </w:r>
      <w:r>
        <w:rPr>
          <w:rFonts w:hint="eastAsia" w:ascii="仿宋_GB2312" w:hAnsi="仿宋_GB2312" w:eastAsia="仿宋_GB2312" w:cs="仿宋_GB2312"/>
          <w:color w:val="auto"/>
          <w:sz w:val="28"/>
          <w:szCs w:val="28"/>
          <w:lang w:val="en-US" w:eastAsia="zh-CN"/>
        </w:rPr>
        <w:t>响应家</w:t>
      </w:r>
      <w:r>
        <w:rPr>
          <w:rFonts w:hint="eastAsia" w:ascii="仿宋_GB2312" w:hAnsi="仿宋_GB2312" w:eastAsia="仿宋_GB2312" w:cs="仿宋_GB2312"/>
          <w:color w:val="auto"/>
          <w:sz w:val="28"/>
          <w:szCs w:val="28"/>
        </w:rPr>
        <w:t>数约定解密时长，供应商应在规定时间内，须使用电子响应文件加密时所用的数字认证证书（CA锁）自行解密电子响应文件，未在规定时间内解密的，视为无效</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highlight w:val="yellow"/>
        </w:rPr>
      </w:pPr>
      <w:r>
        <w:rPr>
          <w:rFonts w:hint="eastAsia" w:ascii="仿宋_GB2312" w:hAnsi="仿宋_GB2312" w:eastAsia="仿宋_GB2312" w:cs="仿宋_GB2312"/>
          <w:color w:val="auto"/>
          <w:sz w:val="28"/>
          <w:szCs w:val="28"/>
          <w:highlight w:val="none"/>
        </w:rPr>
        <w:t>（四）</w:t>
      </w:r>
      <w:r>
        <w:rPr>
          <w:rFonts w:hint="eastAsia" w:ascii="仿宋_GB2312" w:hAnsi="仿宋_GB2312" w:eastAsia="仿宋_GB2312" w:cs="仿宋_GB2312"/>
          <w:color w:val="auto"/>
          <w:sz w:val="28"/>
          <w:szCs w:val="28"/>
          <w:lang w:val="en-US" w:eastAsia="zh-CN"/>
        </w:rPr>
        <w:t>供应商</w:t>
      </w:r>
      <w:r>
        <w:rPr>
          <w:rFonts w:hint="eastAsia" w:ascii="仿宋_GB2312" w:hAnsi="仿宋_GB2312" w:eastAsia="仿宋_GB2312" w:cs="仿宋_GB2312"/>
          <w:color w:val="auto"/>
          <w:sz w:val="28"/>
          <w:szCs w:val="28"/>
        </w:rPr>
        <w:t>对响应文件开启过程和记录有疑义，以及认为采购人、</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相关工作人员有需要回避情形的，应在</w:t>
      </w:r>
      <w:r>
        <w:rPr>
          <w:rFonts w:hint="eastAsia" w:ascii="仿宋_GB2312" w:hAnsi="仿宋_GB2312" w:eastAsia="仿宋_GB2312" w:cs="仿宋_GB2312"/>
          <w:color w:val="auto"/>
          <w:sz w:val="28"/>
          <w:szCs w:val="28"/>
          <w:lang w:val="en-US" w:eastAsia="zh-CN"/>
        </w:rPr>
        <w:t>不见面开标大厅</w:t>
      </w:r>
      <w:r>
        <w:rPr>
          <w:rFonts w:hint="eastAsia" w:ascii="仿宋_GB2312" w:hAnsi="仿宋_GB2312" w:eastAsia="仿宋_GB2312" w:cs="仿宋_GB2312"/>
          <w:color w:val="auto"/>
          <w:sz w:val="28"/>
          <w:szCs w:val="28"/>
        </w:rPr>
        <w:t>提出询问或回避申请，采购人、</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应当及时处理。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（五）响应供应商未参加响应文件开启的，视同认可</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结果。</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（六）在响应文件开启出现下列情况之一的，其响应文件视为无效文件：</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1、供应商拒绝对电子响应文件进行解密的；</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2、因供应商自身原因（如迟到、或所</w:t>
      </w:r>
      <w:r>
        <w:rPr>
          <w:rFonts w:hint="eastAsia" w:ascii="仿宋_GB2312" w:hAnsi="仿宋_GB2312" w:eastAsia="仿宋_GB2312" w:cs="仿宋_GB2312"/>
          <w:color w:val="auto"/>
          <w:sz w:val="28"/>
          <w:szCs w:val="28"/>
          <w:lang w:val="en-US" w:eastAsia="zh-CN"/>
        </w:rPr>
        <w:t>用</w:t>
      </w:r>
      <w:r>
        <w:rPr>
          <w:rFonts w:hint="eastAsia" w:ascii="仿宋_GB2312" w:hAnsi="仿宋_GB2312" w:eastAsia="仿宋_GB2312" w:cs="仿宋_GB2312"/>
          <w:color w:val="auto"/>
          <w:sz w:val="28"/>
          <w:szCs w:val="28"/>
        </w:rPr>
        <w:t>CA锁与制作电子响应文件使用的CA锁不一致、或沿用旧版磋商文件编制响应文件等情形），导致在规定时间内无法解密响应文件的；</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3、上传的电子响应文件无法打开的；</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4、政府采购法律法规规定的其他无效情形。</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rPr>
        <w:t>）特殊情形下的应急处置</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在响应文件开启、评审过程中，如因停电、断网、电子化系统故障等特殊原因导致电子化开、评审工作无法正常进行时，将视文件解密情况特殊处理。</w:t>
      </w:r>
    </w:p>
    <w:p>
      <w:pPr>
        <w:pStyle w:val="8"/>
        <w:pageBreakBefore w:val="0"/>
        <w:widowControl/>
        <w:kinsoku/>
        <w:overflowPunct/>
        <w:topLinePunct w:val="0"/>
        <w:autoSpaceDE/>
        <w:autoSpaceDN/>
        <w:bidi w:val="0"/>
        <w:adjustRightInd/>
        <w:snapToGrid/>
        <w:spacing w:after="0"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1、响应文件开启时文件未解密的，将另行确定时间继续完成</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程序；</w:t>
      </w:r>
    </w:p>
    <w:p>
      <w:pPr>
        <w:pageBreakBefore w:val="0"/>
        <w:widowControl/>
        <w:kinsoku/>
        <w:overflowPunct/>
        <w:topLinePunct w:val="0"/>
        <w:autoSpaceDE/>
        <w:autoSpaceDN/>
        <w:bidi w:val="0"/>
        <w:adjustRightInd/>
        <w:snapToGrid/>
        <w:spacing w:line="560" w:lineRule="exact"/>
        <w:ind w:firstLine="566"/>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2、文件已解密但评审结论未形成的，将发布</w:t>
      </w:r>
      <w:r>
        <w:rPr>
          <w:rFonts w:hint="eastAsia" w:ascii="仿宋_GB2312" w:hAnsi="仿宋_GB2312" w:eastAsia="仿宋_GB2312" w:cs="仿宋_GB2312"/>
          <w:color w:val="auto"/>
          <w:sz w:val="28"/>
          <w:szCs w:val="28"/>
          <w:lang w:val="en-US" w:eastAsia="zh-CN"/>
        </w:rPr>
        <w:t>终止</w:t>
      </w:r>
      <w:r>
        <w:rPr>
          <w:rFonts w:hint="eastAsia" w:ascii="仿宋_GB2312" w:hAnsi="仿宋_GB2312" w:eastAsia="仿宋_GB2312" w:cs="仿宋_GB2312"/>
          <w:color w:val="auto"/>
          <w:sz w:val="28"/>
          <w:szCs w:val="28"/>
        </w:rPr>
        <w:t>公告，重新组织采购活动；</w:t>
      </w:r>
    </w:p>
    <w:p>
      <w:pPr>
        <w:pStyle w:val="8"/>
        <w:pageBreakBefore w:val="0"/>
        <w:widowControl/>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3、文件已解密且评审结论已形成的，待特殊情况排除后，继续完成评审活动。</w:t>
      </w:r>
      <w:bookmarkStart w:id="140" w:name="_Toc31720"/>
      <w:bookmarkStart w:id="141" w:name="_Toc8349"/>
      <w:bookmarkStart w:id="142" w:name="_Toc8460"/>
    </w:p>
    <w:p>
      <w:pPr>
        <w:pStyle w:val="4"/>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43" w:name="_Toc31905"/>
      <w:r>
        <w:rPr>
          <w:rFonts w:hint="eastAsia" w:ascii="仿宋_GB2312" w:hAnsi="仿宋_GB2312" w:eastAsia="仿宋_GB2312" w:cs="仿宋_GB2312"/>
          <w:color w:val="auto"/>
          <w:sz w:val="28"/>
          <w:szCs w:val="28"/>
          <w:lang w:val="en-US" w:eastAsia="zh-CN"/>
        </w:rPr>
        <w:t>七</w:t>
      </w:r>
      <w:r>
        <w:rPr>
          <w:rFonts w:hint="eastAsia" w:ascii="仿宋_GB2312" w:hAnsi="仿宋_GB2312" w:eastAsia="仿宋_GB2312" w:cs="仿宋_GB2312"/>
          <w:color w:val="auto"/>
          <w:sz w:val="28"/>
          <w:szCs w:val="28"/>
        </w:rPr>
        <w:t>、组织评审</w:t>
      </w:r>
      <w:bookmarkEnd w:id="124"/>
      <w:bookmarkEnd w:id="125"/>
      <w:bookmarkEnd w:id="126"/>
      <w:bookmarkEnd w:id="140"/>
      <w:bookmarkEnd w:id="141"/>
      <w:bookmarkEnd w:id="142"/>
      <w:bookmarkEnd w:id="143"/>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bookmarkStart w:id="144" w:name="_Toc3816_WPSOffice_Level3"/>
      <w:r>
        <w:rPr>
          <w:rFonts w:hint="eastAsia" w:ascii="仿宋_GB2312" w:hAnsi="仿宋_GB2312" w:eastAsia="仿宋_GB2312" w:cs="仿宋_GB2312"/>
          <w:b/>
          <w:bCs/>
          <w:color w:val="auto"/>
          <w:sz w:val="28"/>
          <w:szCs w:val="28"/>
          <w:shd w:val="clear" w:color="auto" w:fill="FFFFFF"/>
        </w:rPr>
        <w:t>（一）</w:t>
      </w:r>
      <w:bookmarkEnd w:id="144"/>
      <w:r>
        <w:rPr>
          <w:rFonts w:hint="eastAsia" w:ascii="仿宋_GB2312" w:hAnsi="仿宋_GB2312" w:eastAsia="仿宋_GB2312" w:cs="仿宋_GB2312"/>
          <w:b/>
          <w:bCs/>
          <w:color w:val="auto"/>
          <w:sz w:val="28"/>
          <w:szCs w:val="28"/>
        </w:rPr>
        <w:t>成立磋商小组</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1、为了确保磋商工作的公平、公正，依据政府采购法和政府采购相关法规、规章，成立磋商小组，磋商小组由采购人代表和评审专家共3人以上单数组成，其中评审专家人数不少于磋商小组成员总数的三分之二。</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评审专家对本单位的采购项目只能作为采购人代表参与评审。采购代理机构工作人员不得参加由本机构代理的政府采购项目的评审。</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磋商小组成员名单在评审结果公告前应当保密。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评审专家将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采购项目，评审专家中应当包含1名法律专家。</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3、评审中因磋商小组成员缺席、回避或者健康等特殊原因导致磋商小组组成不符合规定的，</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应当依法补足后继续评审。被更换的磋商小组成员所做出的评审意见无效。无法及时补足磋商小组成员的，</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应当停止评审活动，封存所有响应文件和开标、评审资料，依法重新组建磋商小组进行评审。原磋商小组所做出的评审意见无效。</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应当将变更、重新组建磋商小组的情况予以记录，并随采购文件一并存档。</w:t>
      </w:r>
    </w:p>
    <w:p>
      <w:pPr>
        <w:pStyle w:val="17"/>
        <w:pageBreakBefore w:val="0"/>
        <w:widowControl/>
        <w:kinsoku/>
        <w:overflowPunct/>
        <w:topLinePunct w:val="0"/>
        <w:autoSpaceDE/>
        <w:autoSpaceDN/>
        <w:bidi w:val="0"/>
        <w:adjustRightInd/>
        <w:snapToGrid/>
        <w:spacing w:beforeAutospacing="0" w:afterAutospacing="0" w:line="560" w:lineRule="exact"/>
        <w:ind w:firstLine="420"/>
        <w:textAlignment w:val="auto"/>
        <w:rPr>
          <w:rFonts w:hint="eastAsia" w:ascii="仿宋_GB2312" w:hAnsi="仿宋_GB2312" w:eastAsia="仿宋_GB2312" w:cs="仿宋_GB2312"/>
          <w:b/>
          <w:bCs/>
          <w:color w:val="auto"/>
          <w:sz w:val="28"/>
          <w:szCs w:val="28"/>
        </w:rPr>
      </w:pPr>
      <w:bookmarkStart w:id="145" w:name="_Toc3147_WPSOffice_Level3"/>
      <w:r>
        <w:rPr>
          <w:rFonts w:hint="eastAsia" w:ascii="仿宋_GB2312" w:hAnsi="仿宋_GB2312" w:eastAsia="仿宋_GB2312" w:cs="仿宋_GB2312"/>
          <w:b/>
          <w:bCs/>
          <w:color w:val="auto"/>
          <w:sz w:val="28"/>
          <w:szCs w:val="28"/>
          <w:shd w:val="clear" w:color="auto" w:fill="FFFFFF"/>
        </w:rPr>
        <w:t>（二）磋商小组负责具体评审事务，并独立履行下列职责：</w:t>
      </w:r>
      <w:bookmarkEnd w:id="145"/>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lang w:val="en-US" w:eastAsia="zh-CN"/>
        </w:rPr>
      </w:pPr>
      <w:r>
        <w:rPr>
          <w:rFonts w:hint="eastAsia" w:ascii="仿宋_GB2312" w:hAnsi="仿宋_GB2312" w:eastAsia="仿宋_GB2312" w:cs="仿宋_GB2312"/>
          <w:color w:val="auto"/>
          <w:sz w:val="28"/>
          <w:szCs w:val="28"/>
          <w:shd w:val="clear" w:color="auto" w:fill="FFFFFF"/>
          <w:lang w:val="en-US" w:eastAsia="zh-CN"/>
        </w:rPr>
        <w:t>1、遵守评审工作纪律，不得泄露评审情况和评审中获悉的商业秘密；</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2、按照客观、公正、审慎的原则，根据磋商文件规定的评审程序、评审方法和评审标准进行独立评审； </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3、要求供应商对响应文件有关事项做出澄清或者说明； </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4、与供应商分别进行磋商； </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5、对响应文件进行比较和评价； </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6、确定成交候选人名单，以及根据采购人委托直接确定成交供应商； </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7、配合答复供应商的询问、质疑和投诉等事项，不得泄露评审文件、评审情况和在评审过程中获悉的商业秘密； </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lang w:val="en-US" w:eastAsia="zh-CN"/>
        </w:rPr>
        <w:t xml:space="preserve">8、向采购人、集中采购机构或者有关部门报告评审中发现的违法行为。 </w:t>
      </w:r>
    </w:p>
    <w:p>
      <w:pPr>
        <w:pStyle w:val="17"/>
        <w:pageBreakBefore w:val="0"/>
        <w:widowControl/>
        <w:kinsoku/>
        <w:overflowPunct/>
        <w:topLinePunct w:val="0"/>
        <w:autoSpaceDE/>
        <w:autoSpaceDN/>
        <w:bidi w:val="0"/>
        <w:adjustRightInd/>
        <w:snapToGrid/>
        <w:spacing w:beforeAutospacing="0" w:afterAutospacing="0" w:line="560" w:lineRule="exact"/>
        <w:ind w:firstLine="420"/>
        <w:textAlignment w:val="auto"/>
        <w:rPr>
          <w:rFonts w:hint="eastAsia" w:ascii="仿宋_GB2312" w:hAnsi="仿宋_GB2312" w:eastAsia="仿宋_GB2312" w:cs="仿宋_GB2312"/>
          <w:b/>
          <w:bCs/>
          <w:color w:val="auto"/>
          <w:sz w:val="28"/>
          <w:szCs w:val="28"/>
        </w:rPr>
      </w:pPr>
      <w:bookmarkStart w:id="146" w:name="_Toc8872_WPSOffice_Level3"/>
      <w:r>
        <w:rPr>
          <w:rFonts w:hint="eastAsia" w:ascii="仿宋_GB2312" w:hAnsi="仿宋_GB2312" w:eastAsia="仿宋_GB2312" w:cs="仿宋_GB2312"/>
          <w:b/>
          <w:bCs/>
          <w:color w:val="auto"/>
          <w:sz w:val="28"/>
          <w:szCs w:val="28"/>
        </w:rPr>
        <w:t>（三）</w:t>
      </w:r>
      <w:r>
        <w:rPr>
          <w:rFonts w:hint="eastAsia" w:ascii="仿宋_GB2312" w:hAnsi="仿宋_GB2312" w:eastAsia="仿宋_GB2312" w:cs="仿宋_GB2312"/>
          <w:b/>
          <w:bCs/>
          <w:color w:val="auto"/>
          <w:sz w:val="28"/>
          <w:szCs w:val="28"/>
          <w:shd w:val="clear" w:color="auto" w:fill="FFFFFF"/>
        </w:rPr>
        <w:t>集中采购机构负责组织评审工作，并履行下列职责：</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1、核对评审专家身份和采购人代表授权函，对评审专家在政府采购活动中的职责履行情况予以记录，并及时将有关违法违规行为向财政部门报告;</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2、宣布评审纪律;</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3、公布</w:t>
      </w:r>
      <w:r>
        <w:rPr>
          <w:rFonts w:hint="eastAsia" w:ascii="仿宋_GB2312" w:hAnsi="仿宋_GB2312" w:eastAsia="仿宋_GB2312" w:cs="仿宋_GB2312"/>
          <w:color w:val="auto"/>
          <w:sz w:val="28"/>
          <w:szCs w:val="28"/>
          <w:shd w:val="clear" w:color="auto" w:fill="FFFFFF"/>
          <w:lang w:val="en-US" w:eastAsia="zh-CN"/>
        </w:rPr>
        <w:t>供应商</w:t>
      </w:r>
      <w:r>
        <w:rPr>
          <w:rFonts w:hint="eastAsia" w:ascii="仿宋_GB2312" w:hAnsi="仿宋_GB2312" w:eastAsia="仿宋_GB2312" w:cs="仿宋_GB2312"/>
          <w:color w:val="auto"/>
          <w:sz w:val="28"/>
          <w:szCs w:val="28"/>
          <w:shd w:val="clear" w:color="auto" w:fill="FFFFFF"/>
        </w:rPr>
        <w:t>名单，告知评审专家应当回避的情形;</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4、组织磋商小组推选评审组长，采购人代表不得担任组长;</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5、在评审期间采取必要的通讯管理措施，保证评审活动不受外界干扰;</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6、根据磋商小组的要求介绍政府采购相关政策法规、磋商文件;</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7、维护评审秩序，监督磋商小组依照磋商文件规定的评审程序、方法和标准进行独立评审，及时制止和纠正采购人代表、评审专家的倾向性言论或者违法违规行为;</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8、核对评审结果;</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9、评审工作完成后，按照规定向评审专家支付劳务报酬和异地评审差旅费，不得向评审专家以外的其他人员支付评审劳务报酬;</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10、处理与评审有关的其他事项。</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采购人可以在评审前说明项目背景和采购需求，说明内容不得含有歧视性、倾向性意见，不得超出磋商文件所述范围。说明应当提交书面材料，并随采购文件一并存档。</w:t>
      </w:r>
      <w:bookmarkEnd w:id="146"/>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147" w:name="_Toc4079_WPSOffice_Level3"/>
      <w:r>
        <w:rPr>
          <w:rFonts w:hint="eastAsia" w:ascii="仿宋_GB2312" w:hAnsi="仿宋_GB2312" w:eastAsia="仿宋_GB2312" w:cs="仿宋_GB2312"/>
          <w:b/>
          <w:color w:val="auto"/>
          <w:sz w:val="28"/>
          <w:szCs w:val="28"/>
        </w:rPr>
        <w:t>（四）评审方法：综合评分法</w:t>
      </w:r>
      <w:bookmarkEnd w:id="147"/>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综合评分法，是指响应文件满足磋商文件全部实质性要求且按评审因 素的量化指标评审得分最高的供应商为成交候选供应商的评审方法。</w:t>
      </w:r>
    </w:p>
    <w:p>
      <w:pPr>
        <w:pageBreakBefore w:val="0"/>
        <w:widowControl/>
        <w:kinsoku/>
        <w:overflowPunct/>
        <w:topLinePunct w:val="0"/>
        <w:autoSpaceDE/>
        <w:autoSpaceDN/>
        <w:bidi w:val="0"/>
        <w:adjustRightInd/>
        <w:snapToGrid/>
        <w:spacing w:line="560" w:lineRule="exact"/>
        <w:ind w:left="567"/>
        <w:textAlignment w:val="auto"/>
        <w:rPr>
          <w:rFonts w:hint="eastAsia" w:ascii="仿宋_GB2312" w:hAnsi="仿宋_GB2312" w:eastAsia="仿宋_GB2312" w:cs="仿宋_GB2312"/>
          <w:color w:val="auto"/>
          <w:sz w:val="28"/>
          <w:szCs w:val="28"/>
        </w:rPr>
      </w:pPr>
      <w:bookmarkStart w:id="148" w:name="_Toc25396_WPSOffice_Level3"/>
      <w:r>
        <w:rPr>
          <w:rFonts w:hint="eastAsia" w:ascii="仿宋_GB2312" w:hAnsi="仿宋_GB2312" w:eastAsia="仿宋_GB2312" w:cs="仿宋_GB2312"/>
          <w:b/>
          <w:color w:val="auto"/>
          <w:sz w:val="28"/>
          <w:szCs w:val="28"/>
        </w:rPr>
        <w:t>（五）评审程序</w:t>
      </w:r>
      <w:bookmarkEnd w:id="148"/>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分步评审，每一步评审不符合磋商文件要求者，不得进入下一步评审，全部评审合格的供应商，进入最后的打分，最后按得分由高向低排序，推荐成交候选供应商。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1、资格性审查</w:t>
      </w:r>
    </w:p>
    <w:p>
      <w:pPr>
        <w:pageBreakBefore w:val="0"/>
        <w:widowControl/>
        <w:kinsoku/>
        <w:overflowPunct/>
        <w:topLinePunct w:val="0"/>
        <w:autoSpaceDE/>
        <w:autoSpaceDN/>
        <w:bidi w:val="0"/>
        <w:adjustRightInd/>
        <w:snapToGrid/>
        <w:spacing w:after="190" w:afterLines="50" w:line="56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响应文件开启</w:t>
      </w:r>
      <w:r>
        <w:rPr>
          <w:rFonts w:hint="eastAsia" w:ascii="仿宋_GB2312" w:hAnsi="仿宋_GB2312" w:eastAsia="仿宋_GB2312" w:cs="仿宋_GB2312"/>
          <w:color w:val="auto"/>
          <w:sz w:val="28"/>
          <w:szCs w:val="28"/>
        </w:rPr>
        <w:t>结束后，磋商小组依据法律法规和磋商文件的规定，对响应文件中的供应商资格证明文件进行审查，以确定供应商是否具备磋商资格。</w:t>
      </w:r>
    </w:p>
    <w:p>
      <w:pPr>
        <w:pageBreakBefore w:val="0"/>
        <w:kinsoku/>
        <w:overflowPunct/>
        <w:topLinePunct w:val="0"/>
        <w:bidi w:val="0"/>
        <w:spacing w:line="500" w:lineRule="exact"/>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资格审查表</w:t>
      </w:r>
    </w:p>
    <w:tbl>
      <w:tblPr>
        <w:tblStyle w:val="21"/>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640"/>
        <w:gridCol w:w="5053"/>
        <w:gridCol w:w="791"/>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序号</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8"/>
                <w:sz w:val="28"/>
                <w:szCs w:val="28"/>
              </w:rPr>
            </w:pPr>
            <w:r>
              <w:rPr>
                <w:rFonts w:hint="eastAsia" w:ascii="仿宋_GB2312" w:hAnsi="仿宋_GB2312" w:eastAsia="仿宋_GB2312" w:cs="仿宋_GB2312"/>
                <w:b/>
                <w:color w:val="auto"/>
                <w:kern w:val="28"/>
                <w:sz w:val="28"/>
                <w:szCs w:val="28"/>
              </w:rPr>
              <w:t>资格审查项</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8"/>
                <w:sz w:val="28"/>
                <w:szCs w:val="28"/>
              </w:rPr>
            </w:pPr>
            <w:r>
              <w:rPr>
                <w:rFonts w:hint="eastAsia" w:ascii="仿宋_GB2312" w:hAnsi="仿宋_GB2312" w:eastAsia="仿宋_GB2312" w:cs="仿宋_GB2312"/>
                <w:b/>
                <w:color w:val="auto"/>
                <w:kern w:val="28"/>
                <w:sz w:val="28"/>
                <w:szCs w:val="28"/>
              </w:rPr>
              <w:t>通过条件</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结论</w:t>
            </w: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不通过原因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营业执照等主体资格证明文件</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提供有效存续的企业营业执照（副本）/事业单位法人证书/专业服务机构执业许可证/民办非企业单位登记证书。</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56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56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auto"/>
                <w:sz w:val="28"/>
                <w:szCs w:val="28"/>
                <w:lang w:eastAsia="zh-CN"/>
              </w:rPr>
            </w:pPr>
            <w:r>
              <w:rPr>
                <w:rFonts w:hint="eastAsia" w:ascii="仿宋_GB2312" w:hAnsi="仿宋_GB2312" w:eastAsia="仿宋_GB2312" w:cs="仿宋_GB2312"/>
                <w:bCs/>
                <w:color w:val="auto"/>
                <w:sz w:val="28"/>
                <w:szCs w:val="28"/>
                <w:lang w:val="en-US" w:eastAsia="zh-CN"/>
              </w:rPr>
              <w:t>2</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法定代表人授权委托书</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授权委托书：法定代表人参加磋商的，须提供本人身份证复印件（附在资格证明文件中）；法定代表人授权他人参加磋商的，须提供法定代表人授权委托书。磋商文件中凡是需要法定代表人盖章之处，非法人单位的负责人均参照执行。（按第</w:t>
            </w:r>
            <w:r>
              <w:rPr>
                <w:rFonts w:hint="eastAsia" w:ascii="仿宋_GB2312" w:hAnsi="仿宋_GB2312" w:eastAsia="仿宋_GB2312" w:cs="仿宋_GB2312"/>
                <w:color w:val="auto"/>
                <w:sz w:val="28"/>
                <w:szCs w:val="28"/>
                <w:highlight w:val="none"/>
                <w:lang w:val="en-US" w:eastAsia="zh-CN"/>
              </w:rPr>
              <w:t>五</w:t>
            </w:r>
            <w:r>
              <w:rPr>
                <w:rFonts w:hint="eastAsia" w:ascii="仿宋_GB2312" w:hAnsi="仿宋_GB2312" w:eastAsia="仿宋_GB2312" w:cs="仿宋_GB2312"/>
                <w:color w:val="auto"/>
                <w:sz w:val="28"/>
                <w:szCs w:val="28"/>
                <w:highlight w:val="none"/>
              </w:rPr>
              <w:t xml:space="preserve">章格式填写） </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sz w:val="28"/>
                <w:szCs w:val="28"/>
                <w:highlight w:val="none"/>
              </w:rPr>
              <w:t>法人的分支机构参与磋商时，除提供《法定代表人(负责人)授权委托书》外，还须同时提供法人给分支机构出具的授权书。（法人只能授权一家分支机构参与磋商，且不能与分支机构同时参与磋商。）</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56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56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lang w:val="en-US" w:eastAsia="zh-CN"/>
              </w:rPr>
              <w:t>3</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资格承诺函</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提供《汉中市政府采购供应商资格承诺函》。（按第五章格式填写）</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56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56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lang w:val="en-US" w:eastAsia="zh-CN"/>
              </w:rPr>
              <w:t>4</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8"/>
                <w:sz w:val="28"/>
                <w:szCs w:val="28"/>
                <w:highlight w:val="none"/>
              </w:rPr>
            </w:pPr>
            <w:r>
              <w:rPr>
                <w:rFonts w:hint="eastAsia" w:ascii="仿宋_GB2312" w:hAnsi="仿宋_GB2312" w:eastAsia="仿宋_GB2312" w:cs="仿宋_GB2312"/>
                <w:color w:val="auto"/>
                <w:sz w:val="28"/>
                <w:szCs w:val="28"/>
                <w:highlight w:val="none"/>
              </w:rPr>
              <w:t>特定资格要求</w:t>
            </w:r>
          </w:p>
        </w:tc>
        <w:tc>
          <w:tcPr>
            <w:tcW w:w="5053" w:type="dxa"/>
            <w:vAlign w:val="center"/>
          </w:tcPr>
          <w:p>
            <w:pPr>
              <w:keepLines w:val="0"/>
              <w:pageBreakBefore w:val="0"/>
              <w:widowControl w:val="0"/>
              <w:kinsoku/>
              <w:wordWrap/>
              <w:overflowPunct/>
              <w:topLinePunct w:val="0"/>
              <w:bidi w:val="0"/>
              <w:snapToGrid/>
              <w:spacing w:line="500" w:lineRule="exac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提供市级及以上公安机关颁发的保安服务许可证。</w:t>
            </w:r>
          </w:p>
          <w:p>
            <w:pPr>
              <w:keepLines w:val="0"/>
              <w:pageBreakBefore w:val="0"/>
              <w:widowControl w:val="0"/>
              <w:kinsoku/>
              <w:wordWrap/>
              <w:overflowPunct/>
              <w:topLinePunct w:val="0"/>
              <w:bidi w:val="0"/>
              <w:snapToGrid/>
              <w:spacing w:line="5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陕西省外供应商还须出具承诺书（承诺书形式不限），承诺自承接本项目之日起30日内向采购人所在地设区的市级人民政府公安机关备案。</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56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56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lang w:val="en-US" w:eastAsia="zh-CN"/>
              </w:rPr>
              <w:t>5</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8"/>
                <w:sz w:val="28"/>
                <w:szCs w:val="28"/>
                <w:highlight w:val="none"/>
              </w:rPr>
            </w:pPr>
            <w:r>
              <w:rPr>
                <w:rFonts w:hint="eastAsia" w:ascii="仿宋_GB2312" w:hAnsi="仿宋_GB2312" w:eastAsia="仿宋_GB2312" w:cs="仿宋_GB2312"/>
                <w:color w:val="auto"/>
                <w:kern w:val="28"/>
                <w:sz w:val="28"/>
                <w:szCs w:val="28"/>
                <w:highlight w:val="none"/>
              </w:rPr>
              <w:t>落实政府采购政策需满足的资格要求</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u w:val="none"/>
                <w:lang w:val="en-US" w:eastAsia="zh-CN"/>
              </w:rPr>
              <w:t>本项目</w:t>
            </w:r>
            <w:r>
              <w:rPr>
                <w:rFonts w:hint="eastAsia" w:ascii="仿宋_GB2312" w:hAnsi="仿宋_GB2312" w:eastAsia="仿宋_GB2312" w:cs="仿宋_GB2312"/>
                <w:color w:val="auto"/>
                <w:sz w:val="28"/>
                <w:szCs w:val="28"/>
                <w:highlight w:val="none"/>
                <w:u w:val="none"/>
                <w:lang w:val="en-US" w:eastAsia="zh-CN"/>
              </w:rPr>
              <w:t>专门面向中小企业采购，供应商应为中小微企业，磋商时须提供</w:t>
            </w:r>
            <w:r>
              <w:rPr>
                <w:rFonts w:hint="eastAsia" w:ascii="仿宋_GB2312" w:hAnsi="仿宋_GB2312" w:eastAsia="仿宋_GB2312" w:cs="仿宋_GB2312"/>
                <w:b/>
                <w:bCs/>
                <w:color w:val="auto"/>
                <w:sz w:val="28"/>
                <w:szCs w:val="28"/>
                <w:highlight w:val="none"/>
                <w:u w:val="single"/>
                <w:lang w:val="en-US" w:eastAsia="zh-CN"/>
              </w:rPr>
              <w:t>《中小企业声明函》</w:t>
            </w:r>
            <w:r>
              <w:rPr>
                <w:rFonts w:hint="eastAsia" w:ascii="仿宋_GB2312" w:hAnsi="仿宋_GB2312" w:eastAsia="仿宋_GB2312" w:cs="仿宋_GB2312"/>
                <w:color w:val="auto"/>
                <w:sz w:val="28"/>
                <w:szCs w:val="28"/>
                <w:highlight w:val="none"/>
                <w:u w:val="none"/>
                <w:lang w:val="en-US" w:eastAsia="zh-CN"/>
              </w:rPr>
              <w:t>（按第五章格式填写）。本项目采购标的对应的中小企业划分标准所属行业为：</w:t>
            </w:r>
            <w:r>
              <w:rPr>
                <w:rFonts w:hint="eastAsia" w:ascii="仿宋_GB2312" w:hAnsi="仿宋_GB2312" w:eastAsia="仿宋_GB2312" w:cs="仿宋_GB2312"/>
                <w:b/>
                <w:bCs/>
                <w:color w:val="auto"/>
                <w:sz w:val="28"/>
                <w:szCs w:val="28"/>
                <w:highlight w:val="none"/>
                <w:u w:val="single"/>
                <w:lang w:val="en-US" w:eastAsia="zh-CN"/>
              </w:rPr>
              <w:t>租赁和商务服务业</w:t>
            </w:r>
            <w:r>
              <w:rPr>
                <w:rFonts w:hint="eastAsia" w:ascii="仿宋_GB2312" w:hAnsi="仿宋_GB2312" w:eastAsia="仿宋_GB2312" w:cs="仿宋_GB2312"/>
                <w:color w:val="auto"/>
                <w:sz w:val="28"/>
                <w:szCs w:val="28"/>
                <w:highlight w:val="none"/>
                <w:u w:val="none"/>
                <w:lang w:val="en-US" w:eastAsia="zh-CN"/>
              </w:rPr>
              <w:t>。</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56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56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140" w:type="dxa"/>
            <w:gridSpan w:val="5"/>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val="0"/>
                <w:bCs w:val="0"/>
                <w:color w:val="auto"/>
                <w:kern w:val="0"/>
                <w:sz w:val="28"/>
                <w:szCs w:val="28"/>
              </w:rPr>
              <w:t>以上资格要求均为必备资格，须提供相关证明文件并加盖</w:t>
            </w:r>
            <w:r>
              <w:rPr>
                <w:rFonts w:hint="eastAsia" w:ascii="仿宋_GB2312" w:hAnsi="仿宋_GB2312" w:eastAsia="仿宋_GB2312" w:cs="仿宋_GB2312"/>
                <w:b w:val="0"/>
                <w:bCs w:val="0"/>
                <w:color w:val="auto"/>
                <w:kern w:val="0"/>
                <w:sz w:val="28"/>
                <w:szCs w:val="28"/>
                <w:lang w:val="en-US" w:eastAsia="zh-CN"/>
              </w:rPr>
              <w:t>供应商</w:t>
            </w:r>
            <w:r>
              <w:rPr>
                <w:rFonts w:hint="eastAsia" w:ascii="仿宋_GB2312" w:hAnsi="仿宋_GB2312" w:eastAsia="仿宋_GB2312" w:cs="仿宋_GB2312"/>
                <w:b w:val="0"/>
                <w:bCs w:val="0"/>
                <w:color w:val="auto"/>
                <w:kern w:val="0"/>
                <w:sz w:val="28"/>
                <w:szCs w:val="28"/>
              </w:rPr>
              <w:t>公章（如相关证明材料由第三方出具，应有第三方公章），缺少其中任何一项，其响应文件视为无效文件。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9140" w:type="dxa"/>
            <w:gridSpan w:val="5"/>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bCs/>
                <w:color w:val="auto"/>
                <w:kern w:val="0"/>
                <w:sz w:val="28"/>
                <w:szCs w:val="28"/>
              </w:rPr>
              <w:t>磋商小组成员：（签字或盖章）</w:t>
            </w:r>
          </w:p>
        </w:tc>
      </w:tr>
    </w:tbl>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出现下列情形的，响应文件将被视为无效：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（1）不具备磋商文件中规定的资格要求的；</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（2）未按磋商文件要求提供资格证明文件原件，或未按磋商文件要求加盖公章的；</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（3）磋商小组认为供应商的资格证明文件存在疑点，要求供应商现场提供原件，供应商不能在规定时限内提供原件或其所提供的原件无法证实响应文件所附证明文件有效性的。</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资格审查结束后，磋商小组成员应当对审查结果进行签字确认，并告知无效投标供应商资格审查未通过的原因。</w:t>
      </w:r>
    </w:p>
    <w:p>
      <w:pPr>
        <w:pStyle w:val="8"/>
        <w:keepNext w:val="0"/>
        <w:keepLines w:val="0"/>
        <w:pageBreakBefore w:val="0"/>
        <w:widowControl/>
        <w:kinsoku/>
        <w:wordWrap/>
        <w:overflowPunct/>
        <w:topLinePunct w:val="0"/>
        <w:autoSpaceDE/>
        <w:autoSpaceDN/>
        <w:bidi w:val="0"/>
        <w:adjustRightInd/>
        <w:snapToGrid/>
        <w:spacing w:after="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通过资格审查的供应商不足3家的，不得进行符合性审查。</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2、响应文件的符合性审查</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磋商小组依据磋商文件的规定，对响应文件的有效性、完整性和对磋商文件的响应程度进行审查，以确定是否对磋商文件的全部实质性要求做出响应。</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要审查每份响应文件是否实质上响应了磋商文件的要求。实质上没有响应磋商文件要求的响应文件作无效响应处理，磋商小组要告知有关供应商未通过审查的原因。供应商不得通过修正或撤销不符之处而使其成为实质上响应。</w:t>
      </w:r>
    </w:p>
    <w:p>
      <w:pPr>
        <w:pageBreakBefore w:val="0"/>
        <w:kinsoku/>
        <w:overflowPunct/>
        <w:topLinePunct w:val="0"/>
        <w:bidi w:val="0"/>
        <w:spacing w:line="500" w:lineRule="exact"/>
        <w:ind w:firstLine="566" w:firstLineChars="200"/>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响应文件的符合性审查</w:t>
      </w:r>
    </w:p>
    <w:tbl>
      <w:tblPr>
        <w:tblStyle w:val="21"/>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2637"/>
        <w:gridCol w:w="3937"/>
        <w:gridCol w:w="807"/>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36"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序号</w:t>
            </w:r>
          </w:p>
        </w:tc>
        <w:tc>
          <w:tcPr>
            <w:tcW w:w="2637"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符合性审查项</w:t>
            </w:r>
          </w:p>
        </w:tc>
        <w:tc>
          <w:tcPr>
            <w:tcW w:w="3937"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通过条件</w:t>
            </w:r>
          </w:p>
        </w:tc>
        <w:tc>
          <w:tcPr>
            <w:tcW w:w="807"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结论</w:t>
            </w:r>
          </w:p>
        </w:tc>
        <w:tc>
          <w:tcPr>
            <w:tcW w:w="1440"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未通过原因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3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1</w:t>
            </w:r>
          </w:p>
        </w:tc>
        <w:tc>
          <w:tcPr>
            <w:tcW w:w="2637" w:type="dxa"/>
            <w:vAlign w:val="center"/>
          </w:tcPr>
          <w:p>
            <w:pPr>
              <w:keepNext w:val="0"/>
              <w:keepLines w:val="0"/>
              <w:pageBreakBefore w:val="0"/>
              <w:widowControl/>
              <w:kinsoku/>
              <w:wordWrap/>
              <w:overflowPunct/>
              <w:topLinePunct w:val="0"/>
              <w:autoSpaceDE/>
              <w:autoSpaceDN/>
              <w:bidi w:val="0"/>
              <w:adjustRightInd/>
              <w:snapToGrid/>
              <w:spacing w:line="49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响应文件语言及有效期</w:t>
            </w:r>
          </w:p>
        </w:tc>
        <w:tc>
          <w:tcPr>
            <w:tcW w:w="3937" w:type="dxa"/>
            <w:vAlign w:val="center"/>
          </w:tcPr>
          <w:p>
            <w:pPr>
              <w:keepNext w:val="0"/>
              <w:keepLines w:val="0"/>
              <w:pageBreakBefore w:val="0"/>
              <w:widowControl/>
              <w:kinsoku/>
              <w:wordWrap/>
              <w:overflowPunct/>
              <w:topLinePunct w:val="0"/>
              <w:autoSpaceDE/>
              <w:autoSpaceDN/>
              <w:bidi w:val="0"/>
              <w:adjustRightInd/>
              <w:snapToGrid/>
              <w:spacing w:line="49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响应文件语言</w:t>
            </w:r>
            <w:r>
              <w:rPr>
                <w:rFonts w:hint="eastAsia" w:ascii="仿宋_GB2312" w:hAnsi="仿宋_GB2312" w:eastAsia="仿宋_GB2312" w:cs="仿宋_GB2312"/>
                <w:bCs/>
                <w:color w:val="auto"/>
                <w:kern w:val="0"/>
                <w:sz w:val="28"/>
                <w:szCs w:val="28"/>
              </w:rPr>
              <w:t>及有效期</w:t>
            </w:r>
            <w:r>
              <w:rPr>
                <w:rFonts w:hint="eastAsia" w:ascii="仿宋_GB2312" w:hAnsi="仿宋_GB2312" w:eastAsia="仿宋_GB2312" w:cs="仿宋_GB2312"/>
                <w:color w:val="auto"/>
                <w:sz w:val="28"/>
                <w:szCs w:val="28"/>
              </w:rPr>
              <w:t>符合磋商文件要求。</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3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2</w:t>
            </w:r>
          </w:p>
        </w:tc>
        <w:tc>
          <w:tcPr>
            <w:tcW w:w="2637" w:type="dxa"/>
            <w:vAlign w:val="center"/>
          </w:tcPr>
          <w:p>
            <w:pPr>
              <w:keepNext w:val="0"/>
              <w:keepLines w:val="0"/>
              <w:pageBreakBefore w:val="0"/>
              <w:widowControl/>
              <w:kinsoku/>
              <w:wordWrap/>
              <w:overflowPunct/>
              <w:topLinePunct w:val="0"/>
              <w:autoSpaceDE/>
              <w:autoSpaceDN/>
              <w:bidi w:val="0"/>
              <w:adjustRightInd/>
              <w:snapToGrid/>
              <w:spacing w:line="49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响应文件封面、响应函、法定代表人授权 委托书三处的项目名称、项目编号、标段 （如有）</w:t>
            </w:r>
          </w:p>
        </w:tc>
        <w:tc>
          <w:tcPr>
            <w:tcW w:w="3937" w:type="dxa"/>
            <w:vAlign w:val="center"/>
          </w:tcPr>
          <w:p>
            <w:pPr>
              <w:keepNext w:val="0"/>
              <w:keepLines w:val="0"/>
              <w:pageBreakBefore w:val="0"/>
              <w:widowControl/>
              <w:kinsoku/>
              <w:wordWrap/>
              <w:overflowPunct/>
              <w:topLinePunct w:val="0"/>
              <w:autoSpaceDE/>
              <w:autoSpaceDN/>
              <w:bidi w:val="0"/>
              <w:adjustRightInd/>
              <w:snapToGrid/>
              <w:spacing w:line="49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三处均无遗漏，且与所投项目名称、项目编号、标段（如有）一致。</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3</w:t>
            </w:r>
          </w:p>
        </w:tc>
        <w:tc>
          <w:tcPr>
            <w:tcW w:w="2637" w:type="dxa"/>
            <w:vAlign w:val="center"/>
          </w:tcPr>
          <w:p>
            <w:pPr>
              <w:keepNext w:val="0"/>
              <w:keepLines w:val="0"/>
              <w:pageBreakBefore w:val="0"/>
              <w:widowControl/>
              <w:kinsoku/>
              <w:wordWrap/>
              <w:overflowPunct/>
              <w:topLinePunct w:val="0"/>
              <w:autoSpaceDE/>
              <w:autoSpaceDN/>
              <w:bidi w:val="0"/>
              <w:adjustRightInd/>
              <w:snapToGrid/>
              <w:spacing w:line="49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响应文件签署、盖章</w:t>
            </w:r>
          </w:p>
        </w:tc>
        <w:tc>
          <w:tcPr>
            <w:tcW w:w="3937" w:type="dxa"/>
            <w:vAlign w:val="center"/>
          </w:tcPr>
          <w:p>
            <w:pPr>
              <w:keepNext w:val="0"/>
              <w:keepLines w:val="0"/>
              <w:pageBreakBefore w:val="0"/>
              <w:widowControl/>
              <w:kinsoku/>
              <w:wordWrap/>
              <w:overflowPunct/>
              <w:topLinePunct w:val="0"/>
              <w:autoSpaceDE/>
              <w:autoSpaceDN/>
              <w:bidi w:val="0"/>
              <w:adjustRightInd/>
              <w:snapToGrid/>
              <w:spacing w:line="49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均按磋商文件要求签字、盖章（评分标准中要求提供的证明材料除外）。</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eastAsia="zh-CN"/>
              </w:rPr>
            </w:pPr>
            <w:r>
              <w:rPr>
                <w:rFonts w:hint="eastAsia" w:ascii="仿宋_GB2312" w:hAnsi="仿宋_GB2312" w:eastAsia="仿宋_GB2312" w:cs="仿宋_GB2312"/>
                <w:bCs/>
                <w:color w:val="auto"/>
                <w:kern w:val="0"/>
                <w:sz w:val="28"/>
                <w:szCs w:val="28"/>
                <w:lang w:val="en-US" w:eastAsia="zh-CN"/>
              </w:rPr>
              <w:t>4</w:t>
            </w:r>
          </w:p>
        </w:tc>
        <w:tc>
          <w:tcPr>
            <w:tcW w:w="2637" w:type="dxa"/>
            <w:vAlign w:val="center"/>
          </w:tcPr>
          <w:p>
            <w:pPr>
              <w:keepNext w:val="0"/>
              <w:keepLines w:val="0"/>
              <w:pageBreakBefore w:val="0"/>
              <w:widowControl/>
              <w:kinsoku/>
              <w:wordWrap/>
              <w:overflowPunct/>
              <w:topLinePunct w:val="0"/>
              <w:autoSpaceDE/>
              <w:autoSpaceDN/>
              <w:bidi w:val="0"/>
              <w:adjustRightInd/>
              <w:snapToGrid/>
              <w:spacing w:line="49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第一次磋商报价表</w:t>
            </w:r>
          </w:p>
        </w:tc>
        <w:tc>
          <w:tcPr>
            <w:tcW w:w="3937" w:type="dxa"/>
          </w:tcPr>
          <w:p>
            <w:pPr>
              <w:keepNext w:val="0"/>
              <w:keepLines w:val="0"/>
              <w:pageBreakBefore w:val="0"/>
              <w:widowControl/>
              <w:kinsoku/>
              <w:wordWrap/>
              <w:overflowPunct/>
              <w:topLinePunct w:val="0"/>
              <w:autoSpaceDE/>
              <w:autoSpaceDN/>
              <w:bidi w:val="0"/>
              <w:adjustRightInd/>
              <w:snapToGrid/>
              <w:spacing w:line="49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（1）第一次磋商报价表填写符合要求；</w:t>
            </w:r>
          </w:p>
          <w:p>
            <w:pPr>
              <w:keepNext w:val="0"/>
              <w:keepLines w:val="0"/>
              <w:pageBreakBefore w:val="0"/>
              <w:widowControl/>
              <w:kinsoku/>
              <w:wordWrap/>
              <w:overflowPunct/>
              <w:topLinePunct w:val="0"/>
              <w:autoSpaceDE/>
              <w:autoSpaceDN/>
              <w:bidi w:val="0"/>
              <w:adjustRightInd/>
              <w:snapToGrid/>
              <w:spacing w:line="49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（2）计量单位、报价货币均符合磋商文件要求；</w:t>
            </w:r>
          </w:p>
          <w:p>
            <w:pPr>
              <w:keepNext w:val="0"/>
              <w:keepLines w:val="0"/>
              <w:pageBreakBefore w:val="0"/>
              <w:widowControl/>
              <w:kinsoku/>
              <w:wordWrap/>
              <w:overflowPunct/>
              <w:topLinePunct w:val="0"/>
              <w:autoSpaceDE/>
              <w:autoSpaceDN/>
              <w:bidi w:val="0"/>
              <w:adjustRightInd/>
              <w:snapToGrid/>
              <w:spacing w:line="49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（3）第一次磋商报价未超出采购预算或磋商文件规定的最高限价。</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val="en-US" w:eastAsia="zh-CN"/>
              </w:rPr>
            </w:pPr>
            <w:r>
              <w:rPr>
                <w:rFonts w:hint="eastAsia" w:ascii="仿宋_GB2312" w:hAnsi="仿宋_GB2312" w:eastAsia="仿宋_GB2312" w:cs="仿宋_GB2312"/>
                <w:bCs/>
                <w:color w:val="auto"/>
                <w:kern w:val="0"/>
                <w:sz w:val="28"/>
                <w:szCs w:val="28"/>
                <w:lang w:val="en-US" w:eastAsia="zh-CN"/>
              </w:rPr>
              <w:t>5</w:t>
            </w:r>
          </w:p>
        </w:tc>
        <w:tc>
          <w:tcPr>
            <w:tcW w:w="2637" w:type="dxa"/>
            <w:vAlign w:val="center"/>
          </w:tcPr>
          <w:p>
            <w:pPr>
              <w:keepNext w:val="0"/>
              <w:keepLines w:val="0"/>
              <w:pageBreakBefore w:val="0"/>
              <w:widowControl/>
              <w:kinsoku/>
              <w:wordWrap/>
              <w:overflowPunct/>
              <w:topLinePunct w:val="0"/>
              <w:autoSpaceDE/>
              <w:autoSpaceDN/>
              <w:bidi w:val="0"/>
              <w:adjustRightInd/>
              <w:snapToGrid/>
              <w:spacing w:line="49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响应文件完整性</w:t>
            </w:r>
          </w:p>
        </w:tc>
        <w:tc>
          <w:tcPr>
            <w:tcW w:w="3937" w:type="dxa"/>
            <w:vAlign w:val="center"/>
          </w:tcPr>
          <w:p>
            <w:pPr>
              <w:keepNext w:val="0"/>
              <w:keepLines w:val="0"/>
              <w:pageBreakBefore w:val="0"/>
              <w:widowControl/>
              <w:kinsoku/>
              <w:wordWrap/>
              <w:overflowPunct/>
              <w:topLinePunct w:val="0"/>
              <w:autoSpaceDE/>
              <w:autoSpaceDN/>
              <w:bidi w:val="0"/>
              <w:adjustRightInd/>
              <w:snapToGrid/>
              <w:spacing w:line="49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响应文件按照磋商文件要求编制，三部分内容齐全，无重大缺漏项。</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eastAsia="zh-CN"/>
              </w:rPr>
            </w:pPr>
            <w:r>
              <w:rPr>
                <w:rFonts w:hint="eastAsia" w:ascii="仿宋_GB2312" w:hAnsi="仿宋_GB2312" w:eastAsia="仿宋_GB2312" w:cs="仿宋_GB2312"/>
                <w:bCs/>
                <w:color w:val="auto"/>
                <w:kern w:val="0"/>
                <w:sz w:val="28"/>
                <w:szCs w:val="28"/>
                <w:lang w:val="en-US" w:eastAsia="zh-CN"/>
              </w:rPr>
              <w:t>6</w:t>
            </w:r>
          </w:p>
        </w:tc>
        <w:tc>
          <w:tcPr>
            <w:tcW w:w="2637" w:type="dxa"/>
            <w:vAlign w:val="center"/>
          </w:tcPr>
          <w:p>
            <w:pPr>
              <w:keepNext w:val="0"/>
              <w:keepLines w:val="0"/>
              <w:pageBreakBefore w:val="0"/>
              <w:widowControl/>
              <w:kinsoku/>
              <w:wordWrap/>
              <w:overflowPunct/>
              <w:topLinePunct w:val="0"/>
              <w:autoSpaceDE/>
              <w:autoSpaceDN/>
              <w:bidi w:val="0"/>
              <w:adjustRightInd/>
              <w:snapToGrid/>
              <w:spacing w:line="490" w:lineRule="exact"/>
              <w:jc w:val="center"/>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技术服务要求</w:t>
            </w:r>
          </w:p>
        </w:tc>
        <w:tc>
          <w:tcPr>
            <w:tcW w:w="3937" w:type="dxa"/>
            <w:vAlign w:val="center"/>
          </w:tcPr>
          <w:p>
            <w:pPr>
              <w:keepNext w:val="0"/>
              <w:keepLines w:val="0"/>
              <w:pageBreakBefore w:val="0"/>
              <w:widowControl/>
              <w:kinsoku/>
              <w:wordWrap/>
              <w:overflowPunct/>
              <w:topLinePunct w:val="0"/>
              <w:autoSpaceDE/>
              <w:autoSpaceDN/>
              <w:bidi w:val="0"/>
              <w:adjustRightInd/>
              <w:snapToGrid/>
              <w:spacing w:line="49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完全理解并接受对合格供应商、合格的货物、工程或服务要求，根据响应文件中《技术服务偏差表》第三章“★”标识的实质性要求没有负偏离。</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val="en-US" w:eastAsia="zh-CN"/>
              </w:rPr>
            </w:pPr>
            <w:r>
              <w:rPr>
                <w:rFonts w:hint="eastAsia" w:ascii="仿宋_GB2312" w:hAnsi="仿宋_GB2312" w:eastAsia="仿宋_GB2312" w:cs="仿宋_GB2312"/>
                <w:bCs/>
                <w:color w:val="auto"/>
                <w:kern w:val="0"/>
                <w:sz w:val="28"/>
                <w:szCs w:val="28"/>
                <w:lang w:val="en-US" w:eastAsia="zh-CN"/>
              </w:rPr>
              <w:t>7</w:t>
            </w:r>
          </w:p>
        </w:tc>
        <w:tc>
          <w:tcPr>
            <w:tcW w:w="2637" w:type="dxa"/>
            <w:vAlign w:val="center"/>
          </w:tcPr>
          <w:p>
            <w:pPr>
              <w:keepNext w:val="0"/>
              <w:keepLines w:val="0"/>
              <w:pageBreakBefore w:val="0"/>
              <w:widowControl/>
              <w:kinsoku/>
              <w:wordWrap/>
              <w:overflowPunct/>
              <w:topLinePunct w:val="0"/>
              <w:autoSpaceDE/>
              <w:autoSpaceDN/>
              <w:bidi w:val="0"/>
              <w:adjustRightInd/>
              <w:snapToGrid/>
              <w:spacing w:line="49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合同草案响应</w:t>
            </w:r>
          </w:p>
        </w:tc>
        <w:tc>
          <w:tcPr>
            <w:tcW w:w="3937" w:type="dxa"/>
            <w:vAlign w:val="center"/>
          </w:tcPr>
          <w:p>
            <w:pPr>
              <w:keepNext w:val="0"/>
              <w:keepLines w:val="0"/>
              <w:pageBreakBefore w:val="0"/>
              <w:widowControl/>
              <w:kinsoku/>
              <w:wordWrap/>
              <w:overflowPunct/>
              <w:topLinePunct w:val="0"/>
              <w:autoSpaceDE/>
              <w:autoSpaceDN/>
              <w:bidi w:val="0"/>
              <w:adjustRightInd/>
              <w:snapToGrid/>
              <w:spacing w:line="490" w:lineRule="exact"/>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有完全理解并接受磋商文件合同草案条款要求的描述。</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val="en-US" w:eastAsia="zh-CN"/>
              </w:rPr>
            </w:pPr>
            <w:r>
              <w:rPr>
                <w:rFonts w:hint="eastAsia" w:ascii="仿宋_GB2312" w:hAnsi="仿宋_GB2312" w:eastAsia="仿宋_GB2312" w:cs="仿宋_GB2312"/>
                <w:bCs/>
                <w:color w:val="auto"/>
                <w:kern w:val="0"/>
                <w:sz w:val="28"/>
                <w:szCs w:val="28"/>
                <w:lang w:val="en-US" w:eastAsia="zh-CN"/>
              </w:rPr>
              <w:t>8</w:t>
            </w:r>
          </w:p>
        </w:tc>
        <w:tc>
          <w:tcPr>
            <w:tcW w:w="2637" w:type="dxa"/>
            <w:vAlign w:val="center"/>
          </w:tcPr>
          <w:p>
            <w:pPr>
              <w:keepNext w:val="0"/>
              <w:keepLines w:val="0"/>
              <w:pageBreakBefore w:val="0"/>
              <w:widowControl/>
              <w:kinsoku/>
              <w:wordWrap/>
              <w:overflowPunct/>
              <w:topLinePunct w:val="0"/>
              <w:autoSpaceDE/>
              <w:autoSpaceDN/>
              <w:bidi w:val="0"/>
              <w:adjustRightInd/>
              <w:snapToGrid/>
              <w:spacing w:line="49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供应商承诺书</w:t>
            </w:r>
          </w:p>
        </w:tc>
        <w:tc>
          <w:tcPr>
            <w:tcW w:w="3937" w:type="dxa"/>
            <w:vAlign w:val="center"/>
          </w:tcPr>
          <w:p>
            <w:pPr>
              <w:keepNext w:val="0"/>
              <w:keepLines w:val="0"/>
              <w:pageBreakBefore w:val="0"/>
              <w:widowControl/>
              <w:kinsoku/>
              <w:wordWrap/>
              <w:overflowPunct/>
              <w:topLinePunct w:val="0"/>
              <w:autoSpaceDE/>
              <w:autoSpaceDN/>
              <w:bidi w:val="0"/>
              <w:adjustRightInd/>
              <w:snapToGrid/>
              <w:spacing w:line="49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完全理解并填写《拒绝政府采购领域商业贿赂承诺书》。</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eastAsia="zh-CN"/>
              </w:rPr>
            </w:pPr>
            <w:r>
              <w:rPr>
                <w:rFonts w:hint="eastAsia" w:ascii="仿宋_GB2312" w:hAnsi="仿宋_GB2312" w:eastAsia="仿宋_GB2312" w:cs="仿宋_GB2312"/>
                <w:bCs/>
                <w:color w:val="auto"/>
                <w:kern w:val="0"/>
                <w:sz w:val="28"/>
                <w:szCs w:val="28"/>
                <w:lang w:val="en-US" w:eastAsia="zh-CN"/>
              </w:rPr>
              <w:t>9</w:t>
            </w:r>
          </w:p>
        </w:tc>
        <w:tc>
          <w:tcPr>
            <w:tcW w:w="2637" w:type="dxa"/>
            <w:vAlign w:val="center"/>
          </w:tcPr>
          <w:p>
            <w:pPr>
              <w:keepNext w:val="0"/>
              <w:keepLines w:val="0"/>
              <w:pageBreakBefore w:val="0"/>
              <w:widowControl/>
              <w:kinsoku/>
              <w:wordWrap/>
              <w:overflowPunct/>
              <w:topLinePunct w:val="0"/>
              <w:autoSpaceDE/>
              <w:autoSpaceDN/>
              <w:bidi w:val="0"/>
              <w:adjustRightInd/>
              <w:snapToGrid/>
              <w:spacing w:line="49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无其他磋商文件或法规明确规定响应无效的事项</w:t>
            </w:r>
          </w:p>
        </w:tc>
        <w:tc>
          <w:tcPr>
            <w:tcW w:w="3937" w:type="dxa"/>
            <w:vAlign w:val="center"/>
          </w:tcPr>
          <w:p>
            <w:pPr>
              <w:keepNext w:val="0"/>
              <w:keepLines w:val="0"/>
              <w:pageBreakBefore w:val="0"/>
              <w:widowControl/>
              <w:kinsoku/>
              <w:wordWrap/>
              <w:overflowPunct/>
              <w:topLinePunct w:val="0"/>
              <w:autoSpaceDE/>
              <w:autoSpaceDN/>
              <w:bidi w:val="0"/>
              <w:adjustRightInd/>
              <w:snapToGrid/>
              <w:spacing w:line="490" w:lineRule="exact"/>
              <w:jc w:val="both"/>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lang w:val="en-US" w:eastAsia="zh-CN"/>
              </w:rPr>
              <w:t>没有不符合磋商文件规定的被视为无效响应的其他条款。</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657" w:type="dxa"/>
            <w:gridSpan w:val="5"/>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磋商小组成员：（签字或盖章）</w:t>
            </w:r>
          </w:p>
        </w:tc>
      </w:tr>
    </w:tbl>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3、响应文件的澄清</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（1）磋商小组在对响应文件的有效性、完整性和响应程度进行审查时，可以要求供应商对响应文件中含义不明确、同类问题表述不一致或者有明显文字和计算错误的内容等做出必要的澄清、说明或者更正。</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（2）依照《中华人民共和国民法典》中的过失责任原则，澄清、说明 或更正前磋商小组将按最不利于参与本次磋商供应商的原则对响应文件做 出评判。</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磋商小组要求供应商澄清、说明或者更正响应文件应通过电子交易平台或电子邮件等书面形式做出。供应商应当在规定的澄清时限内通过公共资源交易平台（以下简称“平台”）或电子邮件（在平台无法支持的情况下）等书面形式提交，</w:t>
      </w:r>
      <w:r>
        <w:rPr>
          <w:rFonts w:hint="eastAsia" w:ascii="仿宋_GB2312" w:hAnsi="仿宋_GB2312" w:eastAsia="仿宋_GB2312" w:cs="仿宋_GB2312"/>
          <w:color w:val="auto"/>
          <w:sz w:val="28"/>
          <w:szCs w:val="28"/>
          <w:lang w:val="en-US" w:eastAsia="zh-CN"/>
        </w:rPr>
        <w:t>通过电子邮件提交的</w:t>
      </w:r>
      <w:r>
        <w:rPr>
          <w:rFonts w:hint="eastAsia" w:ascii="仿宋_GB2312" w:hAnsi="仿宋_GB2312" w:eastAsia="仿宋_GB2312" w:cs="仿宋_GB2312"/>
          <w:color w:val="auto"/>
          <w:sz w:val="28"/>
          <w:szCs w:val="28"/>
        </w:rPr>
        <w:t>澄清、说明或者更正应当由法定代表人或其授权代表签字或者加盖公章。</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（4）供应商的澄清、说明或者更正不得超出响应文件的范围或者改变响应文件的实质性内容。澄清、说明或者更正的内容将作为</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sz w:val="28"/>
          <w:szCs w:val="28"/>
        </w:rPr>
        <w:t>履行的重要依据。</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除采用竞争性磋商方式采购的政府购买服务项目、市场竞争不充分的 科研项目以及需要扶持的科技成果转化项目外，通过符合性审查的供应商 不足3家的，不得进行后续磋商活动，应予以</w:t>
      </w:r>
      <w:r>
        <w:rPr>
          <w:rFonts w:hint="eastAsia" w:ascii="仿宋_GB2312" w:hAnsi="仿宋_GB2312" w:eastAsia="仿宋_GB2312" w:cs="仿宋_GB2312"/>
          <w:b/>
          <w:bCs/>
          <w:color w:val="auto"/>
          <w:sz w:val="28"/>
          <w:szCs w:val="28"/>
          <w:lang w:val="en-US" w:eastAsia="zh-CN"/>
        </w:rPr>
        <w:t>终止</w:t>
      </w:r>
      <w:r>
        <w:rPr>
          <w:rFonts w:hint="eastAsia" w:ascii="仿宋_GB2312" w:hAnsi="仿宋_GB2312" w:eastAsia="仿宋_GB2312" w:cs="仿宋_GB2312"/>
          <w:b/>
          <w:bCs/>
          <w:color w:val="auto"/>
          <w:sz w:val="28"/>
          <w:szCs w:val="28"/>
        </w:rPr>
        <w:t>。</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4、进行磋商</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磋商小组所有成员应当集中与单一供应商分别进行磋商，并给予所有参加磋商的供应商平等的磋商机会。需要供应商书面答复磋商内容的，供应商应当按照磋商小组的要求，在磋商小组规定的时限内通过全国公共资源交易平台（汉中市）（sxggzyjy.hanzhong.gov.cn）（以下简称“平台”）〖首页·〉电子交易平台·〉企业端·〉我的项目·〉项目流程·〉澄清答复〗或电子邮件（在平台无法支持的情况下）等书面形式答复磋商的内容，</w:t>
      </w:r>
      <w:r>
        <w:rPr>
          <w:rFonts w:hint="eastAsia" w:ascii="仿宋_GB2312" w:hAnsi="仿宋_GB2312" w:eastAsia="仿宋_GB2312" w:cs="仿宋_GB2312"/>
          <w:bCs/>
          <w:color w:val="auto"/>
          <w:sz w:val="28"/>
          <w:szCs w:val="28"/>
          <w:lang w:val="en-US" w:eastAsia="zh-CN"/>
        </w:rPr>
        <w:t>通过电子邮件答复的内容应当</w:t>
      </w:r>
      <w:r>
        <w:rPr>
          <w:rFonts w:hint="eastAsia" w:ascii="仿宋_GB2312" w:hAnsi="仿宋_GB2312" w:eastAsia="仿宋_GB2312" w:cs="仿宋_GB2312"/>
          <w:bCs/>
          <w:color w:val="auto"/>
          <w:sz w:val="28"/>
          <w:szCs w:val="28"/>
        </w:rPr>
        <w:t>由法定代表人或其授权代表签字或者加盖公章。</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5、磋商文件的实质性变更</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（1）在磋商过程中，磋商小组可以根据磋商文件和磋商情况实质性变动采购需求中的技术、服务要求以及合同</w:t>
      </w:r>
      <w:r>
        <w:rPr>
          <w:rFonts w:hint="eastAsia" w:ascii="仿宋_GB2312" w:hAnsi="仿宋_GB2312" w:eastAsia="仿宋_GB2312" w:cs="仿宋_GB2312"/>
          <w:color w:val="auto"/>
          <w:sz w:val="28"/>
          <w:szCs w:val="28"/>
          <w:lang w:val="en-US" w:eastAsia="zh-CN"/>
        </w:rPr>
        <w:t>草案</w:t>
      </w:r>
      <w:r>
        <w:rPr>
          <w:rFonts w:hint="eastAsia" w:ascii="仿宋_GB2312" w:hAnsi="仿宋_GB2312" w:eastAsia="仿宋_GB2312" w:cs="仿宋_GB2312"/>
          <w:color w:val="auto"/>
          <w:sz w:val="28"/>
          <w:szCs w:val="28"/>
        </w:rPr>
        <w:t>条款，但不得变动磋商文件中的其他内容。实质性变动的内容，须经采购人代表确认。</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实质性变动不得改变原标的物，且应遵循有利于采购活动顺利实施的原则，当出现下列情形时，可实质性变动：</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①</w:t>
      </w:r>
      <w:r>
        <w:rPr>
          <w:rFonts w:hint="eastAsia" w:ascii="仿宋_GB2312" w:hAnsi="仿宋_GB2312" w:eastAsia="仿宋_GB2312" w:cs="仿宋_GB2312"/>
          <w:color w:val="auto"/>
          <w:sz w:val="28"/>
          <w:szCs w:val="28"/>
        </w:rPr>
        <w:t>当磋商小组发现磋商文件有明显错误、自相矛盾时，可通过实质性变动纠正错误，且应尽可能保证该变动不会排除各参与供应商；</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②</w:t>
      </w:r>
      <w:r>
        <w:rPr>
          <w:rFonts w:hint="eastAsia" w:ascii="仿宋_GB2312" w:hAnsi="仿宋_GB2312" w:eastAsia="仿宋_GB2312" w:cs="仿宋_GB2312"/>
          <w:color w:val="auto"/>
          <w:sz w:val="28"/>
          <w:szCs w:val="28"/>
        </w:rPr>
        <w:t>当进入最后报价环节的供应商不足</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家时，可通过实质性变动实现不少于</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家供应商提交最后报价，但不得通过实质性变动将原本进入最后报价环节的供应商排除在外。</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）对磋商文件作出的实质性变动是磋商文件的有效组成部分，磋商小组将通过公共资源交易平台（以下简称“平台”）或电子邮件（在平台无法支持的情况下）等书面形式通知所有参加磋商的供应商。</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）供应商应当按照磋商文件的变动情况和磋商小组的要求，在磋商 小组规定的时限内重新提交响应文件，并用数字认证证书（CA 锁）签章或 由法定代表人或其授权代表签字或者加盖公章。</w:t>
      </w:r>
    </w:p>
    <w:p>
      <w:pPr>
        <w:pStyle w:val="19"/>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）供应商未能在规定的时间内按照磋商小组的要求通过公共资源交易平台（以下简称“平台”）或电子邮件（在平台无法支持的情况下）等书面形式提交实质性变更响应文件的，视作未实质性响应。</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6、最后报价</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（1）磋商文件能够详细列明采购标的的技术、服务要求的，磋商结束 后，磋商小组应当要求所有实质性响应的供应商在规定时间内提交最后报 价，提交最后报价的供应商不得少于3家。</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（2）磋商文件不能详细列明采购标的的技术、服务要求，需经磋商由 供应商提供最终设计方案或解决方案的，磋商结束后，磋商小组应当按照 少数服从多数的原则投票推荐3家以上供应商的设计方案或者解决方案， 并要求其在规定时间内提交最后报价。</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（3）最后报价是供应商响应文件的有效组成部分。符合《政府采购竞 争性磋商采购方式管理暂行办法》第三条第四项情形的，即市场竞争不充 分的科研项目，以及需要扶持的科技成果转化项目，提交最后报价的供应 商可以为2家。根据《财政部关于政府采购竞争性磋商采购方式管理暂行 办法有关问题的补充通知》（财库〔2015〕124号），采购的政府购买服务项目（含政府和社会资本合作项目），在采购过程中符合要求的供应商 （社会资本）只有2家的，竞争性磋商采购活动可以继续进行。</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供应商要在全国公共资源交易平台（汉中市）（sxggzyjy.hanzhong.gov.cn）（以下简称“平台”）〖首页·〉电子交易平台·〉企业端·〉我的项目·〉项目流程·〉网上报价〗中提交最后报价，并用数字认证证书（CA锁）签章。平台系统无法使用时，供应商要以书面形式提交最后报价。最后报价表应由其法定代表人或被授权代表签字或者加盖公章。最后报价将作为综合评分法中价格分的计算依据。</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（5）已提交响应文件的供应商，在提交最后报价之前，可以根据磋商 情况书面申请退出磋商，书面申请应由其法定代表人或被授权代表签字或 者加盖公章。</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b/>
          <w:bCs/>
          <w:color w:val="auto"/>
          <w:sz w:val="28"/>
          <w:szCs w:val="28"/>
          <w:u w:val="double"/>
        </w:rPr>
      </w:pPr>
      <w:r>
        <w:rPr>
          <w:rFonts w:hint="eastAsia" w:ascii="仿宋_GB2312" w:hAnsi="仿宋_GB2312" w:eastAsia="仿宋_GB2312" w:cs="仿宋_GB2312"/>
          <w:color w:val="auto"/>
          <w:sz w:val="28"/>
          <w:szCs w:val="28"/>
        </w:rPr>
        <w:t>（6）磋商小组认为供应商的报价明显低于其他通过符合性和响应性审查供应商的报价，有可能影响工程、货物、服务质量或者不能诚信履约的，要求供应商在规定时间内通过公共资源交易平台（以下简称“平台”）或电子邮件（在平台无法支持的情况下）等书面形式提供说明（必要时提交相关证明材料），供应商不能证明其报价合理性的，按无效响应</w:t>
      </w:r>
      <w:r>
        <w:rPr>
          <w:rFonts w:hint="eastAsia" w:ascii="仿宋_GB2312" w:hAnsi="仿宋_GB2312" w:eastAsia="仿宋_GB2312" w:cs="仿宋_GB2312"/>
          <w:color w:val="auto"/>
          <w:sz w:val="28"/>
          <w:szCs w:val="28"/>
          <w:lang w:val="en-US" w:eastAsia="zh-CN"/>
        </w:rPr>
        <w:t>处理</w:t>
      </w:r>
      <w:r>
        <w:rPr>
          <w:rFonts w:hint="eastAsia" w:ascii="仿宋_GB2312" w:hAnsi="仿宋_GB2312" w:eastAsia="仿宋_GB2312" w:cs="仿宋_GB2312"/>
          <w:color w:val="auto"/>
          <w:sz w:val="28"/>
          <w:szCs w:val="28"/>
        </w:rPr>
        <w:t>。</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7、综合比较与评价</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color w:val="auto"/>
          <w:sz w:val="28"/>
          <w:szCs w:val="28"/>
        </w:rPr>
        <w:t>经磋商确定最终采购需求和提交最后报价的供应商后，由磋商小组按“评审要素及分值一览表”中规定的评审方法和标准，对提交最后报价的供应商的响应文件和最后报价进行综合评分。</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rPr>
        <w:t>评审时，磋商小组各成员应当独立对每个有效响应的文件进行评价、打分，然后汇总每个供应商每项评审因素的得分。</w:t>
      </w:r>
      <w:bookmarkStart w:id="149" w:name="_Toc2392"/>
      <w:bookmarkStart w:id="150" w:name="_Toc27187"/>
      <w:bookmarkStart w:id="151" w:name="_Toc27797"/>
      <w:bookmarkStart w:id="152" w:name="_Toc9626"/>
    </w:p>
    <w:p>
      <w:pPr>
        <w:pageBreakBefore w:val="0"/>
        <w:kinsoku/>
        <w:overflowPunct/>
        <w:topLinePunct w:val="0"/>
        <w:bidi w:val="0"/>
        <w:spacing w:after="190" w:afterLines="50" w:line="500" w:lineRule="exact"/>
        <w:jc w:val="center"/>
        <w:textAlignment w:val="auto"/>
        <w:rPr>
          <w:rFonts w:hint="eastAsia" w:ascii="仿宋_GB2312" w:hAnsi="仿宋_GB2312" w:eastAsia="仿宋_GB2312" w:cs="仿宋_GB2312"/>
          <w:b/>
          <w:bCs/>
          <w:color w:val="auto"/>
          <w:sz w:val="28"/>
          <w:szCs w:val="28"/>
        </w:rPr>
      </w:pPr>
    </w:p>
    <w:p>
      <w:pPr>
        <w:pageBreakBefore w:val="0"/>
        <w:kinsoku/>
        <w:overflowPunct/>
        <w:topLinePunct w:val="0"/>
        <w:bidi w:val="0"/>
        <w:spacing w:after="190" w:afterLines="50" w:line="500" w:lineRule="exact"/>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评审要素及分值一览表</w:t>
      </w:r>
      <w:bookmarkEnd w:id="149"/>
      <w:bookmarkEnd w:id="150"/>
      <w:bookmarkEnd w:id="151"/>
      <w:bookmarkEnd w:id="152"/>
    </w:p>
    <w:tbl>
      <w:tblPr>
        <w:tblStyle w:val="22"/>
        <w:tblW w:w="9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1022"/>
        <w:gridCol w:w="773"/>
        <w:gridCol w:w="829"/>
        <w:gridCol w:w="6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620" w:type="dxa"/>
            <w:gridSpan w:val="2"/>
            <w:vAlign w:val="center"/>
          </w:tcPr>
          <w:p>
            <w:pPr>
              <w:keepNext w:val="0"/>
              <w:keepLines w:val="0"/>
              <w:pageBreakBefore w:val="0"/>
              <w:widowControl/>
              <w:kinsoku/>
              <w:wordWrap/>
              <w:overflowPunct/>
              <w:topLinePunct w:val="0"/>
              <w:bidi w:val="0"/>
              <w:adjustRightInd/>
              <w:snapToGrid/>
              <w:spacing w:line="30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b/>
                <w:sz w:val="28"/>
                <w:szCs w:val="28"/>
              </w:rPr>
              <w:t>项别</w:t>
            </w:r>
          </w:p>
        </w:tc>
        <w:tc>
          <w:tcPr>
            <w:tcW w:w="1602" w:type="dxa"/>
            <w:gridSpan w:val="2"/>
            <w:vAlign w:val="center"/>
          </w:tcPr>
          <w:p>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b/>
                <w:sz w:val="28"/>
                <w:szCs w:val="28"/>
              </w:rPr>
              <w:t>分项</w:t>
            </w:r>
          </w:p>
        </w:tc>
        <w:tc>
          <w:tcPr>
            <w:tcW w:w="6154" w:type="dxa"/>
            <w:vMerge w:val="restart"/>
            <w:vAlign w:val="center"/>
          </w:tcPr>
          <w:p>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b/>
                <w:sz w:val="28"/>
                <w:szCs w:val="28"/>
              </w:rPr>
              <w:t>评审要素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pageBreakBefore w:val="0"/>
              <w:widowControl/>
              <w:kinsoku/>
              <w:wordWrap/>
              <w:overflowPunct/>
              <w:topLinePunct w:val="0"/>
              <w:bidi w:val="0"/>
              <w:adjustRightInd/>
              <w:snapToGrid/>
              <w:spacing w:line="30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b/>
                <w:sz w:val="28"/>
                <w:szCs w:val="28"/>
              </w:rPr>
              <w:t>名称</w:t>
            </w:r>
          </w:p>
        </w:tc>
        <w:tc>
          <w:tcPr>
            <w:tcW w:w="1022" w:type="dxa"/>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b/>
                <w:sz w:val="28"/>
                <w:szCs w:val="28"/>
              </w:rPr>
              <w:t>总分值100</w:t>
            </w:r>
          </w:p>
        </w:tc>
        <w:tc>
          <w:tcPr>
            <w:tcW w:w="773" w:type="dxa"/>
            <w:vAlign w:val="center"/>
          </w:tcPr>
          <w:p>
            <w:pPr>
              <w:keepNext w:val="0"/>
              <w:keepLines w:val="0"/>
              <w:pageBreakBefore w:val="0"/>
              <w:widowControl/>
              <w:kinsoku/>
              <w:wordWrap/>
              <w:overflowPunct/>
              <w:topLinePunct w:val="0"/>
              <w:bidi w:val="0"/>
              <w:adjustRightInd/>
              <w:snapToGrid/>
              <w:spacing w:line="30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b/>
                <w:sz w:val="28"/>
                <w:szCs w:val="28"/>
              </w:rPr>
              <w:t>名称</w:t>
            </w:r>
          </w:p>
        </w:tc>
        <w:tc>
          <w:tcPr>
            <w:tcW w:w="829" w:type="dxa"/>
            <w:vAlign w:val="center"/>
          </w:tcPr>
          <w:p>
            <w:pPr>
              <w:keepNext w:val="0"/>
              <w:keepLines w:val="0"/>
              <w:pageBreakBefore w:val="0"/>
              <w:widowControl/>
              <w:kinsoku/>
              <w:wordWrap/>
              <w:overflowPunct/>
              <w:topLinePunct w:val="0"/>
              <w:bidi w:val="0"/>
              <w:adjustRightInd/>
              <w:snapToGrid/>
              <w:spacing w:line="30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b/>
                <w:sz w:val="28"/>
                <w:szCs w:val="28"/>
              </w:rPr>
              <w:t>分项分值</w:t>
            </w:r>
          </w:p>
        </w:tc>
        <w:tc>
          <w:tcPr>
            <w:tcW w:w="6154" w:type="dxa"/>
            <w:vMerge w:val="continue"/>
            <w:vAlign w:val="center"/>
          </w:tcPr>
          <w:p>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pageBreakBefore w:val="0"/>
              <w:widowControl/>
              <w:kinsoku/>
              <w:wordWrap/>
              <w:overflowPunct/>
              <w:topLinePunct w:val="0"/>
              <w:bidi w:val="0"/>
              <w:snapToGrid/>
              <w:spacing w:line="54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价格</w:t>
            </w:r>
          </w:p>
        </w:tc>
        <w:tc>
          <w:tcPr>
            <w:tcW w:w="1022" w:type="dxa"/>
            <w:vAlign w:val="center"/>
          </w:tcPr>
          <w:p>
            <w:pPr>
              <w:keepNext w:val="0"/>
              <w:keepLines w:val="0"/>
              <w:pageBreakBefore w:val="0"/>
              <w:widowControl/>
              <w:kinsoku/>
              <w:wordWrap/>
              <w:overflowPunct/>
              <w:topLinePunct w:val="0"/>
              <w:bidi w:val="0"/>
              <w:snapToGrid/>
              <w:spacing w:line="54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0</w:t>
            </w:r>
          </w:p>
        </w:tc>
        <w:tc>
          <w:tcPr>
            <w:tcW w:w="773" w:type="dxa"/>
            <w:vAlign w:val="center"/>
          </w:tcPr>
          <w:p>
            <w:pPr>
              <w:keepNext w:val="0"/>
              <w:keepLines w:val="0"/>
              <w:pageBreakBefore w:val="0"/>
              <w:widowControl/>
              <w:kinsoku/>
              <w:wordWrap/>
              <w:overflowPunct/>
              <w:topLinePunct w:val="0"/>
              <w:bidi w:val="0"/>
              <w:snapToGrid/>
              <w:spacing w:line="54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价格</w:t>
            </w:r>
          </w:p>
        </w:tc>
        <w:tc>
          <w:tcPr>
            <w:tcW w:w="829" w:type="dxa"/>
            <w:vAlign w:val="center"/>
          </w:tcPr>
          <w:p>
            <w:pPr>
              <w:keepNext w:val="0"/>
              <w:keepLines w:val="0"/>
              <w:pageBreakBefore w:val="0"/>
              <w:widowControl/>
              <w:kinsoku/>
              <w:wordWrap/>
              <w:overflowPunct/>
              <w:topLinePunct w:val="0"/>
              <w:bidi w:val="0"/>
              <w:snapToGrid/>
              <w:spacing w:line="54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0</w:t>
            </w:r>
          </w:p>
        </w:tc>
        <w:tc>
          <w:tcPr>
            <w:tcW w:w="6154" w:type="dxa"/>
            <w:vAlign w:val="center"/>
          </w:tcPr>
          <w:p>
            <w:pPr>
              <w:keepNext w:val="0"/>
              <w:keepLines w:val="0"/>
              <w:pageBreakBefore w:val="0"/>
              <w:widowControl/>
              <w:tabs>
                <w:tab w:val="left" w:pos="547"/>
              </w:tabs>
              <w:kinsoku/>
              <w:wordWrap/>
              <w:overflowPunct/>
              <w:topLinePunct w:val="0"/>
              <w:autoSpaceDE w:val="0"/>
              <w:autoSpaceDN w:val="0"/>
              <w:bidi w:val="0"/>
              <w:adjustRightInd w:val="0"/>
              <w:snapToGrid/>
              <w:spacing w:line="54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有效供应商最低报价为基准价得</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分，其他各供应商的报价得分按下列公式计算：</w:t>
            </w:r>
          </w:p>
          <w:p>
            <w:pPr>
              <w:keepNext w:val="0"/>
              <w:keepLines w:val="0"/>
              <w:pageBreakBefore w:val="0"/>
              <w:widowControl/>
              <w:tabs>
                <w:tab w:val="left" w:pos="547"/>
              </w:tabs>
              <w:kinsoku/>
              <w:wordWrap/>
              <w:overflowPunct/>
              <w:topLinePunct w:val="0"/>
              <w:autoSpaceDE w:val="0"/>
              <w:autoSpaceDN w:val="0"/>
              <w:bidi w:val="0"/>
              <w:adjustRightInd w:val="0"/>
              <w:snapToGrid/>
              <w:spacing w:line="540" w:lineRule="exact"/>
              <w:jc w:val="left"/>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（基准价/磋商报价）×</w:t>
            </w: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rPr>
              <w:t>0</w:t>
            </w:r>
            <w:r>
              <w:rPr>
                <w:rFonts w:hint="eastAsia" w:ascii="仿宋_GB2312" w:hAnsi="仿宋_GB2312" w:eastAsia="仿宋_GB2312" w:cs="仿宋_GB2312"/>
                <w:b/>
                <w:bCs/>
                <w:sz w:val="28"/>
                <w:szCs w:val="28"/>
                <w:lang w:eastAsia="zh-CN"/>
              </w:rPr>
              <w:t>。</w:t>
            </w:r>
          </w:p>
          <w:p>
            <w:pPr>
              <w:pStyle w:val="2"/>
              <w:keepNext/>
              <w:keepLines/>
              <w:pageBreakBefore w:val="0"/>
              <w:widowControl/>
              <w:kinsoku/>
              <w:wordWrap/>
              <w:overflowPunct/>
              <w:topLinePunct w:val="0"/>
              <w:autoSpaceDE/>
              <w:autoSpaceDN/>
              <w:bidi w:val="0"/>
              <w:adjustRightInd w:val="0"/>
              <w:snapToGrid/>
              <w:spacing w:before="0" w:after="0" w:line="540" w:lineRule="exact"/>
              <w:textAlignment w:val="baseline"/>
              <w:rPr>
                <w:rFonts w:hint="eastAsia" w:ascii="仿宋_GB2312" w:hAnsi="仿宋_GB2312" w:eastAsia="仿宋_GB2312" w:cs="仿宋_GB2312"/>
                <w:sz w:val="28"/>
                <w:szCs w:val="28"/>
                <w:vertAlign w:val="baseline"/>
              </w:rPr>
            </w:pPr>
            <w:r>
              <w:rPr>
                <w:rFonts w:hint="eastAsia" w:ascii="仿宋_GB2312" w:hAnsi="仿宋_GB2312" w:eastAsia="仿宋_GB2312" w:cs="仿宋_GB2312"/>
                <w:b w:val="0"/>
                <w:spacing w:val="0"/>
                <w:kern w:val="2"/>
                <w:sz w:val="28"/>
                <w:szCs w:val="28"/>
                <w:lang w:val="en-US" w:eastAsia="zh-CN" w:bidi="ar-SA"/>
              </w:rPr>
              <w:t>根据“最后报价”计算价格得分。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Merge w:val="restart"/>
            <w:vAlign w:val="center"/>
          </w:tcPr>
          <w:p>
            <w:pPr>
              <w:keepNext w:val="0"/>
              <w:keepLines w:val="0"/>
              <w:pageBreakBefore w:val="0"/>
              <w:widowControl/>
              <w:kinsoku/>
              <w:wordWrap/>
              <w:overflowPunct/>
              <w:topLinePunct w:val="0"/>
              <w:bidi w:val="0"/>
              <w:snapToGrid/>
              <w:spacing w:line="54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lang w:val="en-US" w:eastAsia="zh-CN"/>
              </w:rPr>
              <w:t>服务方案</w:t>
            </w:r>
          </w:p>
        </w:tc>
        <w:tc>
          <w:tcPr>
            <w:tcW w:w="1022" w:type="dxa"/>
            <w:vMerge w:val="restart"/>
            <w:vAlign w:val="center"/>
          </w:tcPr>
          <w:p>
            <w:pPr>
              <w:keepNext w:val="0"/>
              <w:keepLines w:val="0"/>
              <w:pageBreakBefore w:val="0"/>
              <w:widowControl/>
              <w:kinsoku/>
              <w:wordWrap/>
              <w:overflowPunct/>
              <w:topLinePunct w:val="0"/>
              <w:bidi w:val="0"/>
              <w:snapToGrid/>
              <w:spacing w:line="54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highlight w:val="none"/>
                <w:lang w:val="en-US" w:eastAsia="zh-CN"/>
              </w:rPr>
              <w:t>73</w:t>
            </w:r>
          </w:p>
        </w:tc>
        <w:tc>
          <w:tcPr>
            <w:tcW w:w="773" w:type="dxa"/>
            <w:vAlign w:val="center"/>
          </w:tcPr>
          <w:p>
            <w:pPr>
              <w:keepNext w:val="0"/>
              <w:keepLines w:val="0"/>
              <w:pageBreakBefore w:val="0"/>
              <w:widowControl/>
              <w:kinsoku/>
              <w:wordWrap/>
              <w:overflowPunct/>
              <w:topLinePunct w:val="0"/>
              <w:bidi w:val="0"/>
              <w:adjustRightInd w:val="0"/>
              <w:snapToGrid/>
              <w:spacing w:line="54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kern w:val="2"/>
                <w:sz w:val="28"/>
                <w:szCs w:val="28"/>
                <w:lang w:val="en-US" w:eastAsia="zh-CN" w:bidi="ar-SA"/>
              </w:rPr>
              <w:t>总体服务方案</w:t>
            </w:r>
          </w:p>
        </w:tc>
        <w:tc>
          <w:tcPr>
            <w:tcW w:w="829" w:type="dxa"/>
            <w:vAlign w:val="center"/>
          </w:tcPr>
          <w:p>
            <w:pPr>
              <w:keepNext w:val="0"/>
              <w:keepLines w:val="0"/>
              <w:pageBreakBefore w:val="0"/>
              <w:widowControl/>
              <w:kinsoku/>
              <w:wordWrap/>
              <w:overflowPunct/>
              <w:topLinePunct w:val="0"/>
              <w:bidi w:val="0"/>
              <w:snapToGrid/>
              <w:spacing w:line="54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lang w:val="en-US" w:eastAsia="zh-CN"/>
              </w:rPr>
              <w:t>6</w:t>
            </w:r>
          </w:p>
        </w:tc>
        <w:tc>
          <w:tcPr>
            <w:tcW w:w="6154" w:type="dxa"/>
            <w:vAlign w:val="center"/>
          </w:tcPr>
          <w:p>
            <w:pPr>
              <w:keepNext w:val="0"/>
              <w:keepLines w:val="0"/>
              <w:pageBreakBefore w:val="0"/>
              <w:widowControl/>
              <w:numPr>
                <w:ilvl w:val="0"/>
                <w:numId w:val="0"/>
              </w:numPr>
              <w:kinsoku/>
              <w:wordWrap/>
              <w:overflowPunct/>
              <w:topLinePunct w:val="0"/>
              <w:bidi w:val="0"/>
              <w:snapToGrid/>
              <w:spacing w:line="540" w:lineRule="exact"/>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一、评审内容</w:t>
            </w:r>
          </w:p>
          <w:p>
            <w:pPr>
              <w:keepNext w:val="0"/>
              <w:keepLines w:val="0"/>
              <w:pageBreakBefore w:val="0"/>
              <w:widowControl/>
              <w:numPr>
                <w:ilvl w:val="0"/>
                <w:numId w:val="0"/>
              </w:numPr>
              <w:kinsoku/>
              <w:wordWrap/>
              <w:overflowPunct/>
              <w:topLinePunct w:val="0"/>
              <w:bidi w:val="0"/>
              <w:snapToGrid/>
              <w:spacing w:line="54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提供针对本项目制定的总体服务方案，内容包含①服务目标和服务理念；②项目进驻筹备及与采购人配合衔接计划；③</w:t>
            </w:r>
            <w:r>
              <w:rPr>
                <w:rFonts w:hint="eastAsia" w:ascii="仿宋_GB2312" w:hAnsi="仿宋_GB2312" w:eastAsia="仿宋_GB2312" w:cs="仿宋_GB2312"/>
                <w:kern w:val="2"/>
                <w:sz w:val="28"/>
                <w:szCs w:val="28"/>
                <w:lang w:val="en-US" w:eastAsia="zh-CN" w:bidi="ar-SA"/>
              </w:rPr>
              <w:t>重难点分析及保障措施</w:t>
            </w:r>
            <w:r>
              <w:rPr>
                <w:rFonts w:hint="eastAsia" w:ascii="仿宋_GB2312" w:hAnsi="仿宋_GB2312" w:eastAsia="仿宋_GB2312" w:cs="仿宋_GB2312"/>
                <w:sz w:val="28"/>
                <w:szCs w:val="28"/>
                <w:lang w:val="en-US" w:eastAsia="zh-CN"/>
              </w:rPr>
              <w:t>。</w:t>
            </w:r>
          </w:p>
          <w:p>
            <w:pPr>
              <w:pStyle w:val="51"/>
              <w:keepNext w:val="0"/>
              <w:keepLines w:val="0"/>
              <w:pageBreakBefore w:val="0"/>
              <w:widowControl/>
              <w:kinsoku/>
              <w:wordWrap/>
              <w:overflowPunct/>
              <w:topLinePunct w:val="0"/>
              <w:bidi w:val="0"/>
              <w:snapToGrid/>
              <w:spacing w:line="540" w:lineRule="exact"/>
              <w:ind w:left="0" w:leftChars="0" w:firstLine="0" w:firstLineChars="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二、赋分标准</w:t>
            </w:r>
          </w:p>
          <w:p>
            <w:pPr>
              <w:pStyle w:val="51"/>
              <w:keepNext w:val="0"/>
              <w:keepLines w:val="0"/>
              <w:pageBreakBefore w:val="0"/>
              <w:widowControl/>
              <w:kinsoku/>
              <w:wordWrap/>
              <w:overflowPunct/>
              <w:topLinePunct w:val="0"/>
              <w:bidi w:val="0"/>
              <w:snapToGrid/>
              <w:spacing w:line="54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1、完整性：方案内容完整全面，对上述各项内容均有描述及说明，得2分；缺1项，得1.4分；缺2项，得0.7分；</w:t>
            </w:r>
          </w:p>
          <w:p>
            <w:pPr>
              <w:pStyle w:val="51"/>
              <w:keepNext w:val="0"/>
              <w:keepLines w:val="0"/>
              <w:pageBreakBefore w:val="0"/>
              <w:widowControl/>
              <w:kinsoku/>
              <w:wordWrap/>
              <w:overflowPunct/>
              <w:topLinePunct w:val="0"/>
              <w:bidi w:val="0"/>
              <w:snapToGrid/>
              <w:spacing w:line="54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2、针对性：针对性强，得2分；针对性一般，得1分；缺乏针对性，得0分。</w:t>
            </w:r>
          </w:p>
          <w:p>
            <w:pPr>
              <w:pStyle w:val="51"/>
              <w:keepNext w:val="0"/>
              <w:keepLines w:val="0"/>
              <w:pageBreakBefore w:val="0"/>
              <w:widowControl/>
              <w:kinsoku/>
              <w:wordWrap/>
              <w:overflowPunct/>
              <w:topLinePunct w:val="0"/>
              <w:bidi w:val="0"/>
              <w:snapToGrid/>
              <w:spacing w:line="54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3、可实施性：可实施性强，得2分；可实施性一般，得1分；缺乏可实施性，得0分。</w:t>
            </w:r>
          </w:p>
          <w:p>
            <w:pPr>
              <w:keepNext w:val="0"/>
              <w:keepLines w:val="0"/>
              <w:pageBreakBefore w:val="0"/>
              <w:widowControl/>
              <w:kinsoku/>
              <w:wordWrap/>
              <w:overflowPunct/>
              <w:topLinePunct w:val="0"/>
              <w:bidi w:val="0"/>
              <w:snapToGrid/>
              <w:spacing w:line="540" w:lineRule="exact"/>
              <w:jc w:val="left"/>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lang w:val="en-US" w:eastAsia="zh-CN"/>
              </w:rPr>
              <w:t>此项不提供不得分。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Merge w:val="continue"/>
          </w:tcPr>
          <w:p>
            <w:pPr>
              <w:pageBreakBefore w:val="0"/>
              <w:widowControl w:val="0"/>
              <w:kinsoku/>
              <w:wordWrap/>
              <w:overflowPunct/>
              <w:topLinePunct w:val="0"/>
              <w:bidi w:val="0"/>
              <w:snapToGrid/>
              <w:spacing w:line="540" w:lineRule="exact"/>
              <w:rPr>
                <w:rFonts w:hint="eastAsia" w:ascii="仿宋_GB2312" w:hAnsi="仿宋_GB2312" w:eastAsia="仿宋_GB2312" w:cs="仿宋_GB2312"/>
                <w:sz w:val="28"/>
                <w:szCs w:val="28"/>
                <w:vertAlign w:val="baseline"/>
              </w:rPr>
            </w:pPr>
          </w:p>
        </w:tc>
        <w:tc>
          <w:tcPr>
            <w:tcW w:w="1022" w:type="dxa"/>
            <w:vMerge w:val="continue"/>
          </w:tcPr>
          <w:p>
            <w:pPr>
              <w:pageBreakBefore w:val="0"/>
              <w:widowControl w:val="0"/>
              <w:kinsoku/>
              <w:wordWrap/>
              <w:overflowPunct/>
              <w:topLinePunct w:val="0"/>
              <w:bidi w:val="0"/>
              <w:snapToGrid/>
              <w:spacing w:line="540" w:lineRule="exact"/>
              <w:rPr>
                <w:rFonts w:hint="eastAsia" w:ascii="仿宋_GB2312" w:hAnsi="仿宋_GB2312" w:eastAsia="仿宋_GB2312" w:cs="仿宋_GB2312"/>
                <w:sz w:val="28"/>
                <w:szCs w:val="28"/>
                <w:vertAlign w:val="baseline"/>
              </w:rPr>
            </w:pPr>
          </w:p>
        </w:tc>
        <w:tc>
          <w:tcPr>
            <w:tcW w:w="773" w:type="dxa"/>
            <w:vAlign w:val="center"/>
          </w:tcPr>
          <w:p>
            <w:pPr>
              <w:keepNext w:val="0"/>
              <w:keepLines w:val="0"/>
              <w:pageBreakBefore w:val="0"/>
              <w:widowControl/>
              <w:kinsoku/>
              <w:wordWrap/>
              <w:overflowPunct/>
              <w:topLinePunct w:val="0"/>
              <w:bidi w:val="0"/>
              <w:adjustRightInd w:val="0"/>
              <w:snapToGrid/>
              <w:spacing w:line="540" w:lineRule="exact"/>
              <w:jc w:val="center"/>
              <w:textAlignment w:val="auto"/>
              <w:rPr>
                <w:rFonts w:hint="eastAsia" w:ascii="仿宋_GB2312" w:hAnsi="仿宋_GB2312" w:eastAsia="仿宋_GB2312" w:cs="仿宋_GB2312"/>
                <w:kern w:val="2"/>
                <w:sz w:val="28"/>
                <w:szCs w:val="28"/>
                <w:lang w:val="en-US" w:eastAsia="zh-CN" w:bidi="ar-SA"/>
              </w:rPr>
            </w:pPr>
          </w:p>
          <w:p>
            <w:pPr>
              <w:keepNext w:val="0"/>
              <w:keepLines w:val="0"/>
              <w:pageBreakBefore w:val="0"/>
              <w:widowControl/>
              <w:kinsoku/>
              <w:wordWrap/>
              <w:overflowPunct/>
              <w:topLinePunct w:val="0"/>
              <w:bidi w:val="0"/>
              <w:adjustRightInd w:val="0"/>
              <w:snapToGrid/>
              <w:spacing w:line="540" w:lineRule="exact"/>
              <w:jc w:val="center"/>
              <w:textAlignment w:val="auto"/>
              <w:rPr>
                <w:rFonts w:hint="eastAsia" w:ascii="仿宋_GB2312" w:hAnsi="仿宋_GB2312" w:eastAsia="仿宋_GB2312" w:cs="仿宋_GB2312"/>
                <w:kern w:val="2"/>
                <w:sz w:val="28"/>
                <w:szCs w:val="28"/>
                <w:lang w:val="en-US" w:eastAsia="zh-CN" w:bidi="ar-SA"/>
              </w:rPr>
            </w:pPr>
          </w:p>
          <w:p>
            <w:pPr>
              <w:keepNext w:val="0"/>
              <w:keepLines w:val="0"/>
              <w:pageBreakBefore w:val="0"/>
              <w:widowControl/>
              <w:kinsoku/>
              <w:wordWrap/>
              <w:overflowPunct/>
              <w:topLinePunct w:val="0"/>
              <w:bidi w:val="0"/>
              <w:adjustRightInd w:val="0"/>
              <w:snapToGrid/>
              <w:spacing w:line="54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kern w:val="2"/>
                <w:sz w:val="28"/>
                <w:szCs w:val="28"/>
                <w:lang w:val="en-US" w:eastAsia="zh-CN" w:bidi="ar-SA"/>
              </w:rPr>
              <w:t>组织机构设置</w:t>
            </w:r>
          </w:p>
        </w:tc>
        <w:tc>
          <w:tcPr>
            <w:tcW w:w="829" w:type="dxa"/>
            <w:vAlign w:val="center"/>
          </w:tcPr>
          <w:p>
            <w:pPr>
              <w:keepNext w:val="0"/>
              <w:keepLines w:val="0"/>
              <w:pageBreakBefore w:val="0"/>
              <w:widowControl/>
              <w:kinsoku/>
              <w:wordWrap/>
              <w:overflowPunct/>
              <w:topLinePunct w:val="0"/>
              <w:bidi w:val="0"/>
              <w:snapToGrid/>
              <w:spacing w:line="54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kinsoku/>
              <w:wordWrap/>
              <w:overflowPunct/>
              <w:topLinePunct w:val="0"/>
              <w:bidi w:val="0"/>
              <w:snapToGrid/>
              <w:spacing w:line="54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kinsoku/>
              <w:wordWrap/>
              <w:overflowPunct/>
              <w:topLinePunct w:val="0"/>
              <w:bidi w:val="0"/>
              <w:snapToGrid/>
              <w:spacing w:line="54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kinsoku/>
              <w:wordWrap/>
              <w:overflowPunct/>
              <w:topLinePunct w:val="0"/>
              <w:bidi w:val="0"/>
              <w:snapToGrid/>
              <w:spacing w:line="54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lang w:val="en-US" w:eastAsia="zh-CN"/>
              </w:rPr>
              <w:t>4</w:t>
            </w:r>
          </w:p>
        </w:tc>
        <w:tc>
          <w:tcPr>
            <w:tcW w:w="6154" w:type="dxa"/>
            <w:vAlign w:val="center"/>
          </w:tcPr>
          <w:p>
            <w:pPr>
              <w:keepNext w:val="0"/>
              <w:keepLines w:val="0"/>
              <w:pageBreakBefore w:val="0"/>
              <w:widowControl/>
              <w:numPr>
                <w:ilvl w:val="0"/>
                <w:numId w:val="0"/>
              </w:numPr>
              <w:kinsoku/>
              <w:wordWrap/>
              <w:overflowPunct/>
              <w:topLinePunct w:val="0"/>
              <w:bidi w:val="0"/>
              <w:snapToGrid/>
              <w:spacing w:line="540" w:lineRule="exact"/>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一、评审内容</w:t>
            </w:r>
          </w:p>
          <w:p>
            <w:pPr>
              <w:keepNext w:val="0"/>
              <w:keepLines w:val="0"/>
              <w:pageBreakBefore w:val="0"/>
              <w:widowControl/>
              <w:numPr>
                <w:ilvl w:val="0"/>
                <w:numId w:val="0"/>
              </w:numPr>
              <w:kinsoku/>
              <w:wordWrap/>
              <w:overflowPunct/>
              <w:topLinePunct w:val="0"/>
              <w:bidi w:val="0"/>
              <w:snapToGrid/>
              <w:spacing w:line="540" w:lineRule="exact"/>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lang w:val="en-US" w:eastAsia="zh-CN"/>
              </w:rPr>
              <w:t>提供本项目组织机构设置，内容包含①项目组织机构设置；</w:t>
            </w:r>
            <w:r>
              <w:rPr>
                <w:rFonts w:hint="eastAsia" w:ascii="仿宋_GB2312" w:hAnsi="仿宋_GB2312" w:eastAsia="仿宋_GB2312" w:cs="仿宋_GB2312"/>
                <w:kern w:val="2"/>
                <w:sz w:val="28"/>
                <w:szCs w:val="28"/>
                <w:highlight w:val="none"/>
                <w:lang w:val="en-US" w:eastAsia="zh-CN" w:bidi="ar-SA"/>
              </w:rPr>
              <w:t>②拟派项目管理人和安保队长基本信息及岗位职责；③拟派安保人员情况、工作分工</w:t>
            </w:r>
            <w:r>
              <w:rPr>
                <w:rFonts w:hint="eastAsia" w:ascii="仿宋_GB2312" w:hAnsi="仿宋_GB2312" w:eastAsia="仿宋_GB2312" w:cs="仿宋_GB2312"/>
                <w:kern w:val="2"/>
                <w:sz w:val="28"/>
                <w:szCs w:val="28"/>
                <w:lang w:val="en-US" w:eastAsia="zh-CN" w:bidi="ar-SA"/>
              </w:rPr>
              <w:t>和岗位职责</w:t>
            </w:r>
            <w:r>
              <w:rPr>
                <w:rFonts w:hint="eastAsia" w:ascii="仿宋_GB2312" w:hAnsi="仿宋_GB2312" w:eastAsia="仿宋_GB2312" w:cs="仿宋_GB2312"/>
                <w:sz w:val="28"/>
                <w:szCs w:val="28"/>
                <w:lang w:val="en-US" w:eastAsia="zh-CN"/>
              </w:rPr>
              <w:t>。</w:t>
            </w:r>
          </w:p>
          <w:p>
            <w:pPr>
              <w:pStyle w:val="51"/>
              <w:keepNext w:val="0"/>
              <w:keepLines w:val="0"/>
              <w:pageBreakBefore w:val="0"/>
              <w:widowControl/>
              <w:kinsoku/>
              <w:wordWrap/>
              <w:overflowPunct/>
              <w:topLinePunct w:val="0"/>
              <w:bidi w:val="0"/>
              <w:snapToGrid/>
              <w:spacing w:line="540" w:lineRule="exact"/>
              <w:ind w:left="0" w:leftChars="0" w:firstLine="0" w:firstLineChars="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二、赋分标准</w:t>
            </w:r>
          </w:p>
          <w:p>
            <w:pPr>
              <w:pStyle w:val="51"/>
              <w:keepNext w:val="0"/>
              <w:keepLines w:val="0"/>
              <w:pageBreakBefore w:val="0"/>
              <w:widowControl/>
              <w:kinsoku/>
              <w:wordWrap/>
              <w:overflowPunct/>
              <w:topLinePunct w:val="0"/>
              <w:bidi w:val="0"/>
              <w:snapToGrid/>
              <w:spacing w:line="54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1、完整性：方案内容完整全面，对上述各项内容均有描述及说明，得2分；缺1项，得1.4分；缺2项，得0.7分。</w:t>
            </w:r>
          </w:p>
          <w:p>
            <w:pPr>
              <w:pStyle w:val="51"/>
              <w:keepNext w:val="0"/>
              <w:keepLines w:val="0"/>
              <w:pageBreakBefore w:val="0"/>
              <w:widowControl/>
              <w:kinsoku/>
              <w:wordWrap/>
              <w:overflowPunct/>
              <w:topLinePunct w:val="0"/>
              <w:bidi w:val="0"/>
              <w:snapToGrid/>
              <w:spacing w:line="54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2、针对性：针对性强，得1分；针对性一般，得0.5分；缺乏针对性，得0分。</w:t>
            </w:r>
          </w:p>
          <w:p>
            <w:pPr>
              <w:pStyle w:val="51"/>
              <w:keepNext w:val="0"/>
              <w:keepLines w:val="0"/>
              <w:pageBreakBefore w:val="0"/>
              <w:widowControl/>
              <w:kinsoku/>
              <w:wordWrap/>
              <w:overflowPunct/>
              <w:topLinePunct w:val="0"/>
              <w:bidi w:val="0"/>
              <w:snapToGrid/>
              <w:spacing w:line="54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3、可实施性：可实施性强，得1分；可实施性一般，得0.5分；缺乏可实施性，得0分。</w:t>
            </w:r>
          </w:p>
          <w:p>
            <w:pPr>
              <w:keepNext w:val="0"/>
              <w:keepLines w:val="0"/>
              <w:pageBreakBefore w:val="0"/>
              <w:widowControl/>
              <w:kinsoku/>
              <w:wordWrap/>
              <w:overflowPunct/>
              <w:topLinePunct w:val="0"/>
              <w:bidi w:val="0"/>
              <w:snapToGrid/>
              <w:spacing w:line="540" w:lineRule="exact"/>
              <w:jc w:val="left"/>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lang w:val="en-US" w:eastAsia="zh-CN"/>
              </w:rPr>
              <w:t>此项不提供不得分。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Merge w:val="continue"/>
          </w:tcPr>
          <w:p>
            <w:pPr>
              <w:pageBreakBefore w:val="0"/>
              <w:widowControl w:val="0"/>
              <w:kinsoku/>
              <w:wordWrap/>
              <w:overflowPunct/>
              <w:topLinePunct w:val="0"/>
              <w:bidi w:val="0"/>
              <w:snapToGrid/>
              <w:spacing w:line="540" w:lineRule="exact"/>
              <w:rPr>
                <w:rFonts w:hint="eastAsia" w:ascii="仿宋_GB2312" w:hAnsi="仿宋_GB2312" w:eastAsia="仿宋_GB2312" w:cs="仿宋_GB2312"/>
                <w:sz w:val="28"/>
                <w:szCs w:val="28"/>
                <w:vertAlign w:val="baseline"/>
              </w:rPr>
            </w:pPr>
          </w:p>
        </w:tc>
        <w:tc>
          <w:tcPr>
            <w:tcW w:w="1022" w:type="dxa"/>
            <w:vMerge w:val="continue"/>
          </w:tcPr>
          <w:p>
            <w:pPr>
              <w:pageBreakBefore w:val="0"/>
              <w:widowControl w:val="0"/>
              <w:kinsoku/>
              <w:wordWrap/>
              <w:overflowPunct/>
              <w:topLinePunct w:val="0"/>
              <w:bidi w:val="0"/>
              <w:snapToGrid/>
              <w:spacing w:line="540" w:lineRule="exact"/>
              <w:rPr>
                <w:rFonts w:hint="eastAsia" w:ascii="仿宋_GB2312" w:hAnsi="仿宋_GB2312" w:eastAsia="仿宋_GB2312" w:cs="仿宋_GB2312"/>
                <w:sz w:val="28"/>
                <w:szCs w:val="28"/>
                <w:vertAlign w:val="baseline"/>
              </w:rPr>
            </w:pPr>
          </w:p>
        </w:tc>
        <w:tc>
          <w:tcPr>
            <w:tcW w:w="773" w:type="dxa"/>
            <w:vAlign w:val="center"/>
          </w:tcPr>
          <w:p>
            <w:pPr>
              <w:keepNext w:val="0"/>
              <w:keepLines w:val="0"/>
              <w:pageBreakBefore w:val="0"/>
              <w:widowControl/>
              <w:kinsoku/>
              <w:wordWrap/>
              <w:overflowPunct/>
              <w:topLinePunct w:val="0"/>
              <w:bidi w:val="0"/>
              <w:adjustRightInd w:val="0"/>
              <w:snapToGrid/>
              <w:spacing w:line="54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kern w:val="2"/>
                <w:sz w:val="28"/>
                <w:szCs w:val="28"/>
                <w:lang w:val="en-US" w:eastAsia="zh-CN" w:bidi="ar-SA"/>
              </w:rPr>
              <w:t>日常安保服务方案</w:t>
            </w:r>
          </w:p>
        </w:tc>
        <w:tc>
          <w:tcPr>
            <w:tcW w:w="829" w:type="dxa"/>
            <w:vAlign w:val="center"/>
          </w:tcPr>
          <w:p>
            <w:pPr>
              <w:keepNext w:val="0"/>
              <w:keepLines w:val="0"/>
              <w:pageBreakBefore w:val="0"/>
              <w:widowControl/>
              <w:kinsoku/>
              <w:wordWrap/>
              <w:overflowPunct/>
              <w:topLinePunct w:val="0"/>
              <w:bidi w:val="0"/>
              <w:snapToGrid/>
              <w:spacing w:line="54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lang w:val="en-US" w:eastAsia="zh-CN"/>
              </w:rPr>
              <w:t>14</w:t>
            </w:r>
          </w:p>
        </w:tc>
        <w:tc>
          <w:tcPr>
            <w:tcW w:w="6154" w:type="dxa"/>
            <w:vAlign w:val="center"/>
          </w:tcPr>
          <w:p>
            <w:pPr>
              <w:keepNext w:val="0"/>
              <w:keepLines w:val="0"/>
              <w:pageBreakBefore w:val="0"/>
              <w:widowControl/>
              <w:numPr>
                <w:ilvl w:val="0"/>
                <w:numId w:val="0"/>
              </w:numPr>
              <w:kinsoku/>
              <w:wordWrap/>
              <w:overflowPunct/>
              <w:topLinePunct w:val="0"/>
              <w:bidi w:val="0"/>
              <w:snapToGrid/>
              <w:spacing w:line="540" w:lineRule="exact"/>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一、评审内容</w:t>
            </w:r>
          </w:p>
          <w:p>
            <w:pPr>
              <w:pStyle w:val="51"/>
              <w:keepNext w:val="0"/>
              <w:keepLines w:val="0"/>
              <w:pageBreakBefore w:val="0"/>
              <w:widowControl/>
              <w:kinsoku/>
              <w:wordWrap/>
              <w:overflowPunct/>
              <w:topLinePunct w:val="0"/>
              <w:bidi w:val="0"/>
              <w:snapToGrid/>
              <w:spacing w:line="54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针对本项目提供日常安保服务方案，内容包含</w:t>
            </w:r>
            <w:r>
              <w:rPr>
                <w:rFonts w:hint="eastAsia" w:ascii="仿宋_GB2312" w:hAnsi="仿宋_GB2312" w:eastAsia="仿宋_GB2312" w:cs="仿宋_GB2312"/>
                <w:sz w:val="28"/>
                <w:szCs w:val="28"/>
                <w:highlight w:val="none"/>
                <w:lang w:val="en-US" w:eastAsia="zh-CN"/>
              </w:rPr>
              <w:t>①</w:t>
            </w:r>
            <w:r>
              <w:rPr>
                <w:rFonts w:hint="eastAsia" w:ascii="仿宋_GB2312" w:hAnsi="仿宋_GB2312" w:eastAsia="仿宋_GB2312" w:cs="仿宋_GB2312"/>
                <w:kern w:val="2"/>
                <w:sz w:val="28"/>
                <w:szCs w:val="28"/>
                <w:highlight w:val="none"/>
                <w:lang w:val="en-US" w:eastAsia="zh-CN" w:bidi="ar-SA"/>
              </w:rPr>
              <w:t>出入口安保服务方案；</w:t>
            </w:r>
            <w:r>
              <w:rPr>
                <w:rFonts w:hint="eastAsia" w:ascii="仿宋_GB2312" w:hAnsi="仿宋_GB2312" w:eastAsia="仿宋_GB2312" w:cs="仿宋_GB2312"/>
                <w:sz w:val="28"/>
                <w:szCs w:val="28"/>
                <w:highlight w:val="none"/>
                <w:lang w:val="en-US" w:eastAsia="zh-CN"/>
              </w:rPr>
              <w:t>②校园巡逻和校内秩序维护方案；③重点场所值守方案；④日常监控管理方案。</w:t>
            </w:r>
          </w:p>
          <w:p>
            <w:pPr>
              <w:pStyle w:val="51"/>
              <w:keepNext w:val="0"/>
              <w:keepLines w:val="0"/>
              <w:pageBreakBefore w:val="0"/>
              <w:widowControl/>
              <w:kinsoku/>
              <w:wordWrap/>
              <w:overflowPunct/>
              <w:topLinePunct w:val="0"/>
              <w:bidi w:val="0"/>
              <w:snapToGrid/>
              <w:spacing w:line="540" w:lineRule="exact"/>
              <w:ind w:left="0" w:leftChars="0" w:firstLine="0" w:firstLineChars="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二、赋分标准</w:t>
            </w:r>
          </w:p>
          <w:p>
            <w:pPr>
              <w:pStyle w:val="51"/>
              <w:keepNext w:val="0"/>
              <w:keepLines w:val="0"/>
              <w:pageBreakBefore w:val="0"/>
              <w:widowControl/>
              <w:kinsoku/>
              <w:wordWrap/>
              <w:overflowPunct/>
              <w:topLinePunct w:val="0"/>
              <w:bidi w:val="0"/>
              <w:snapToGrid/>
              <w:spacing w:line="54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1、完整性：方案内容完整全面，对上述各项内容均有描述及说明，得4分；缺1项，得3分；缺2项，得2分；缺3项，得1分。</w:t>
            </w:r>
          </w:p>
          <w:p>
            <w:pPr>
              <w:pStyle w:val="51"/>
              <w:keepNext w:val="0"/>
              <w:keepLines w:val="0"/>
              <w:pageBreakBefore w:val="0"/>
              <w:widowControl/>
              <w:kinsoku/>
              <w:wordWrap/>
              <w:overflowPunct/>
              <w:topLinePunct w:val="0"/>
              <w:bidi w:val="0"/>
              <w:snapToGrid/>
              <w:spacing w:line="54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2、针对性：针对性强，得5分；针对性一般，得2.5分；缺乏针对性，得0分。</w:t>
            </w:r>
          </w:p>
          <w:p>
            <w:pPr>
              <w:pStyle w:val="51"/>
              <w:keepNext w:val="0"/>
              <w:keepLines w:val="0"/>
              <w:pageBreakBefore w:val="0"/>
              <w:widowControl/>
              <w:kinsoku/>
              <w:wordWrap/>
              <w:overflowPunct/>
              <w:topLinePunct w:val="0"/>
              <w:bidi w:val="0"/>
              <w:snapToGrid/>
              <w:spacing w:line="54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3、可实施性：可实施性强，得5分；可实施性一般，得2.5分；缺乏可实施性，得0分。</w:t>
            </w:r>
          </w:p>
          <w:p>
            <w:pPr>
              <w:keepNext w:val="0"/>
              <w:keepLines w:val="0"/>
              <w:pageBreakBefore w:val="0"/>
              <w:widowControl/>
              <w:kinsoku/>
              <w:wordWrap/>
              <w:overflowPunct/>
              <w:topLinePunct w:val="0"/>
              <w:bidi w:val="0"/>
              <w:snapToGrid/>
              <w:spacing w:line="540" w:lineRule="exact"/>
              <w:jc w:val="left"/>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lang w:val="en-US" w:eastAsia="zh-CN"/>
              </w:rPr>
              <w:t>此项不提供不得分。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Merge w:val="continue"/>
          </w:tcPr>
          <w:p>
            <w:pPr>
              <w:pageBreakBefore w:val="0"/>
              <w:widowControl w:val="0"/>
              <w:kinsoku/>
              <w:wordWrap/>
              <w:overflowPunct/>
              <w:topLinePunct w:val="0"/>
              <w:bidi w:val="0"/>
              <w:snapToGrid/>
              <w:spacing w:line="540" w:lineRule="exact"/>
              <w:rPr>
                <w:rFonts w:hint="eastAsia" w:ascii="仿宋_GB2312" w:hAnsi="仿宋_GB2312" w:eastAsia="仿宋_GB2312" w:cs="仿宋_GB2312"/>
                <w:sz w:val="28"/>
                <w:szCs w:val="28"/>
                <w:vertAlign w:val="baseline"/>
              </w:rPr>
            </w:pPr>
          </w:p>
        </w:tc>
        <w:tc>
          <w:tcPr>
            <w:tcW w:w="1022" w:type="dxa"/>
            <w:vMerge w:val="continue"/>
          </w:tcPr>
          <w:p>
            <w:pPr>
              <w:pageBreakBefore w:val="0"/>
              <w:widowControl w:val="0"/>
              <w:kinsoku/>
              <w:wordWrap/>
              <w:overflowPunct/>
              <w:topLinePunct w:val="0"/>
              <w:bidi w:val="0"/>
              <w:snapToGrid/>
              <w:spacing w:line="540" w:lineRule="exact"/>
              <w:rPr>
                <w:rFonts w:hint="eastAsia" w:ascii="仿宋_GB2312" w:hAnsi="仿宋_GB2312" w:eastAsia="仿宋_GB2312" w:cs="仿宋_GB2312"/>
                <w:sz w:val="28"/>
                <w:szCs w:val="28"/>
                <w:vertAlign w:val="baseline"/>
              </w:rPr>
            </w:pPr>
          </w:p>
        </w:tc>
        <w:tc>
          <w:tcPr>
            <w:tcW w:w="773" w:type="dxa"/>
            <w:vAlign w:val="center"/>
          </w:tcPr>
          <w:p>
            <w:pPr>
              <w:keepNext w:val="0"/>
              <w:keepLines w:val="0"/>
              <w:pageBreakBefore w:val="0"/>
              <w:widowControl/>
              <w:kinsoku/>
              <w:wordWrap/>
              <w:overflowPunct/>
              <w:topLinePunct w:val="0"/>
              <w:bidi w:val="0"/>
              <w:adjustRightInd w:val="0"/>
              <w:snapToGrid/>
              <w:spacing w:line="54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kern w:val="2"/>
                <w:sz w:val="28"/>
                <w:szCs w:val="28"/>
                <w:lang w:val="en-US" w:eastAsia="zh-CN" w:bidi="ar-SA"/>
              </w:rPr>
              <w:t>特殊情况安保方案</w:t>
            </w:r>
          </w:p>
        </w:tc>
        <w:tc>
          <w:tcPr>
            <w:tcW w:w="829" w:type="dxa"/>
            <w:vAlign w:val="center"/>
          </w:tcPr>
          <w:p>
            <w:pPr>
              <w:keepNext w:val="0"/>
              <w:keepLines w:val="0"/>
              <w:pageBreakBefore w:val="0"/>
              <w:widowControl/>
              <w:kinsoku/>
              <w:wordWrap/>
              <w:overflowPunct/>
              <w:topLinePunct w:val="0"/>
              <w:bidi w:val="0"/>
              <w:snapToGrid/>
              <w:spacing w:line="54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lang w:val="en-US" w:eastAsia="zh-CN"/>
              </w:rPr>
              <w:t>10</w:t>
            </w:r>
          </w:p>
        </w:tc>
        <w:tc>
          <w:tcPr>
            <w:tcW w:w="6154" w:type="dxa"/>
            <w:vAlign w:val="center"/>
          </w:tcPr>
          <w:p>
            <w:pPr>
              <w:keepNext w:val="0"/>
              <w:keepLines w:val="0"/>
              <w:pageBreakBefore w:val="0"/>
              <w:widowControl/>
              <w:numPr>
                <w:ilvl w:val="0"/>
                <w:numId w:val="0"/>
              </w:numPr>
              <w:suppressLineNumbers w:val="0"/>
              <w:kinsoku/>
              <w:wordWrap/>
              <w:overflowPunct/>
              <w:topLinePunct w:val="0"/>
              <w:bidi w:val="0"/>
              <w:snapToGrid/>
              <w:spacing w:line="540" w:lineRule="exact"/>
              <w:ind w:firstLine="0" w:firstLineChars="0"/>
              <w:jc w:val="left"/>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一、评审内容</w:t>
            </w:r>
          </w:p>
          <w:p>
            <w:pPr>
              <w:keepNext w:val="0"/>
              <w:keepLines w:val="0"/>
              <w:pageBreakBefore w:val="0"/>
              <w:widowControl/>
              <w:numPr>
                <w:ilvl w:val="0"/>
                <w:numId w:val="0"/>
              </w:numPr>
              <w:suppressLineNumbers w:val="0"/>
              <w:kinsoku/>
              <w:wordWrap/>
              <w:overflowPunct/>
              <w:topLinePunct w:val="0"/>
              <w:bidi w:val="0"/>
              <w:snapToGrid/>
              <w:spacing w:line="540" w:lineRule="exact"/>
              <w:ind w:left="0" w:leftChars="0" w:firstLine="0" w:firstLine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0"/>
                <w:sz w:val="28"/>
                <w:szCs w:val="28"/>
                <w:lang w:val="en-US" w:eastAsia="zh-CN" w:bidi="ar-SA"/>
              </w:rPr>
              <w:t>针对本项目提供</w:t>
            </w:r>
            <w:r>
              <w:rPr>
                <w:rFonts w:hint="eastAsia" w:ascii="仿宋_GB2312" w:hAnsi="仿宋_GB2312" w:eastAsia="仿宋_GB2312" w:cs="仿宋_GB2312"/>
                <w:sz w:val="28"/>
                <w:szCs w:val="28"/>
                <w:lang w:val="en-US" w:eastAsia="zh-CN"/>
              </w:rPr>
              <w:t>特殊情况安保方案，内容包含①各类活动；②各类会议；③</w:t>
            </w:r>
            <w:r>
              <w:rPr>
                <w:rFonts w:hint="eastAsia" w:ascii="仿宋_GB2312" w:hAnsi="仿宋_GB2312" w:eastAsia="仿宋_GB2312" w:cs="仿宋_GB2312"/>
                <w:sz w:val="28"/>
                <w:szCs w:val="28"/>
                <w:highlight w:val="none"/>
                <w:lang w:val="en-US" w:eastAsia="zh-CN"/>
              </w:rPr>
              <w:t>迎新及毕业生离校</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highlight w:val="none"/>
                <w:lang w:val="en-US" w:eastAsia="zh-CN"/>
              </w:rPr>
              <w:t>④其他临时性安保</w:t>
            </w:r>
            <w:r>
              <w:rPr>
                <w:rFonts w:hint="eastAsia" w:ascii="仿宋_GB2312" w:hAnsi="仿宋_GB2312" w:eastAsia="仿宋_GB2312" w:cs="仿宋_GB2312"/>
                <w:sz w:val="28"/>
                <w:szCs w:val="28"/>
                <w:lang w:val="en-US" w:eastAsia="zh-CN"/>
              </w:rPr>
              <w:t>。</w:t>
            </w:r>
          </w:p>
          <w:p>
            <w:pPr>
              <w:keepNext w:val="0"/>
              <w:keepLines w:val="0"/>
              <w:pageBreakBefore w:val="0"/>
              <w:widowControl/>
              <w:numPr>
                <w:ilvl w:val="0"/>
                <w:numId w:val="0"/>
              </w:numPr>
              <w:suppressLineNumbers w:val="0"/>
              <w:kinsoku/>
              <w:wordWrap/>
              <w:overflowPunct/>
              <w:topLinePunct w:val="0"/>
              <w:bidi w:val="0"/>
              <w:snapToGrid/>
              <w:spacing w:line="540" w:lineRule="exact"/>
              <w:ind w:left="0" w:leftChars="0" w:firstLine="0" w:firstLineChars="0"/>
              <w:jc w:val="left"/>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二、赋分标准</w:t>
            </w:r>
          </w:p>
          <w:p>
            <w:pPr>
              <w:pStyle w:val="51"/>
              <w:keepNext w:val="0"/>
              <w:keepLines w:val="0"/>
              <w:pageBreakBefore w:val="0"/>
              <w:widowControl/>
              <w:kinsoku/>
              <w:wordWrap/>
              <w:overflowPunct/>
              <w:topLinePunct w:val="0"/>
              <w:bidi w:val="0"/>
              <w:snapToGrid/>
              <w:spacing w:line="54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1、完整性：方案内容完整全面，对上述各项内容均有描述及说明，得2分；缺1项，得1.5分；缺2项，得1分；缺3项，得0.5分。</w:t>
            </w:r>
          </w:p>
          <w:p>
            <w:pPr>
              <w:pStyle w:val="51"/>
              <w:keepNext w:val="0"/>
              <w:keepLines w:val="0"/>
              <w:pageBreakBefore w:val="0"/>
              <w:widowControl/>
              <w:kinsoku/>
              <w:wordWrap/>
              <w:overflowPunct/>
              <w:topLinePunct w:val="0"/>
              <w:bidi w:val="0"/>
              <w:snapToGrid/>
              <w:spacing w:line="54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2、针对性：针对性强，得4分；针对性一般，得2分；缺乏针对性，得0分。</w:t>
            </w:r>
          </w:p>
          <w:p>
            <w:pPr>
              <w:keepNext w:val="0"/>
              <w:keepLines w:val="0"/>
              <w:pageBreakBefore w:val="0"/>
              <w:widowControl/>
              <w:numPr>
                <w:ilvl w:val="0"/>
                <w:numId w:val="0"/>
              </w:numPr>
              <w:suppressLineNumbers w:val="0"/>
              <w:kinsoku/>
              <w:wordWrap/>
              <w:overflowPunct/>
              <w:topLinePunct w:val="0"/>
              <w:bidi w:val="0"/>
              <w:snapToGrid/>
              <w:spacing w:line="540" w:lineRule="exact"/>
              <w:ind w:left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3、可实施性：可实施性强，得4分；可实施性一般，得2分；缺乏可实施性，得0分。</w:t>
            </w:r>
          </w:p>
          <w:p>
            <w:pPr>
              <w:keepNext w:val="0"/>
              <w:keepLines w:val="0"/>
              <w:pageBreakBefore w:val="0"/>
              <w:widowControl/>
              <w:kinsoku/>
              <w:wordWrap/>
              <w:overflowPunct/>
              <w:topLinePunct w:val="0"/>
              <w:bidi w:val="0"/>
              <w:snapToGrid/>
              <w:spacing w:line="540" w:lineRule="exact"/>
              <w:jc w:val="left"/>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lang w:val="en-US" w:eastAsia="zh-CN"/>
              </w:rPr>
              <w:t>此项不提供不得分。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Merge w:val="continue"/>
          </w:tcPr>
          <w:p>
            <w:pPr>
              <w:pageBreakBefore w:val="0"/>
              <w:widowControl w:val="0"/>
              <w:kinsoku/>
              <w:wordWrap/>
              <w:overflowPunct/>
              <w:topLinePunct w:val="0"/>
              <w:bidi w:val="0"/>
              <w:snapToGrid/>
              <w:spacing w:line="540" w:lineRule="exact"/>
              <w:rPr>
                <w:rFonts w:hint="eastAsia" w:ascii="仿宋_GB2312" w:hAnsi="仿宋_GB2312" w:eastAsia="仿宋_GB2312" w:cs="仿宋_GB2312"/>
                <w:sz w:val="28"/>
                <w:szCs w:val="28"/>
                <w:vertAlign w:val="baseline"/>
              </w:rPr>
            </w:pPr>
          </w:p>
        </w:tc>
        <w:tc>
          <w:tcPr>
            <w:tcW w:w="1022" w:type="dxa"/>
            <w:vMerge w:val="continue"/>
          </w:tcPr>
          <w:p>
            <w:pPr>
              <w:pageBreakBefore w:val="0"/>
              <w:widowControl w:val="0"/>
              <w:kinsoku/>
              <w:wordWrap/>
              <w:overflowPunct/>
              <w:topLinePunct w:val="0"/>
              <w:bidi w:val="0"/>
              <w:snapToGrid/>
              <w:spacing w:line="540" w:lineRule="exact"/>
              <w:rPr>
                <w:rFonts w:hint="eastAsia" w:ascii="仿宋_GB2312" w:hAnsi="仿宋_GB2312" w:eastAsia="仿宋_GB2312" w:cs="仿宋_GB2312"/>
                <w:sz w:val="28"/>
                <w:szCs w:val="28"/>
                <w:vertAlign w:val="baseline"/>
              </w:rPr>
            </w:pPr>
          </w:p>
        </w:tc>
        <w:tc>
          <w:tcPr>
            <w:tcW w:w="773" w:type="dxa"/>
            <w:vAlign w:val="center"/>
          </w:tcPr>
          <w:p>
            <w:pPr>
              <w:keepNext w:val="0"/>
              <w:keepLines w:val="0"/>
              <w:pageBreakBefore w:val="0"/>
              <w:widowControl/>
              <w:kinsoku/>
              <w:wordWrap/>
              <w:overflowPunct/>
              <w:topLinePunct w:val="0"/>
              <w:bidi w:val="0"/>
              <w:adjustRightInd w:val="0"/>
              <w:snapToGrid/>
              <w:spacing w:line="54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kern w:val="2"/>
                <w:sz w:val="28"/>
                <w:szCs w:val="28"/>
                <w:lang w:val="en-US" w:eastAsia="zh-CN" w:bidi="ar-SA"/>
              </w:rPr>
              <w:t>消防安全服务方案</w:t>
            </w:r>
          </w:p>
        </w:tc>
        <w:tc>
          <w:tcPr>
            <w:tcW w:w="829" w:type="dxa"/>
            <w:vAlign w:val="center"/>
          </w:tcPr>
          <w:p>
            <w:pPr>
              <w:keepNext w:val="0"/>
              <w:keepLines w:val="0"/>
              <w:pageBreakBefore w:val="0"/>
              <w:widowControl/>
              <w:kinsoku/>
              <w:wordWrap/>
              <w:overflowPunct/>
              <w:topLinePunct w:val="0"/>
              <w:bidi w:val="0"/>
              <w:snapToGrid/>
              <w:spacing w:line="54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lang w:val="en-US" w:eastAsia="zh-CN"/>
              </w:rPr>
              <w:t>11</w:t>
            </w:r>
          </w:p>
        </w:tc>
        <w:tc>
          <w:tcPr>
            <w:tcW w:w="6154" w:type="dxa"/>
            <w:vAlign w:val="center"/>
          </w:tcPr>
          <w:p>
            <w:pPr>
              <w:keepNext w:val="0"/>
              <w:keepLines w:val="0"/>
              <w:pageBreakBefore w:val="0"/>
              <w:widowControl/>
              <w:kinsoku/>
              <w:wordWrap/>
              <w:overflowPunct/>
              <w:topLinePunct w:val="0"/>
              <w:autoSpaceDE/>
              <w:autoSpaceDN/>
              <w:bidi w:val="0"/>
              <w:adjustRightInd/>
              <w:snapToGrid/>
              <w:spacing w:line="540" w:lineRule="exact"/>
              <w:ind w:firstLine="0" w:firstLineChars="0"/>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一、评审内容：</w:t>
            </w:r>
          </w:p>
          <w:p>
            <w:pPr>
              <w:keepNext w:val="0"/>
              <w:keepLines w:val="0"/>
              <w:pageBreakBefore w:val="0"/>
              <w:widowControl/>
              <w:kinsoku/>
              <w:wordWrap/>
              <w:overflowPunct/>
              <w:topLinePunct w:val="0"/>
              <w:bidi w:val="0"/>
              <w:snapToGrid/>
              <w:spacing w:line="54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针对本项目提</w:t>
            </w:r>
            <w:r>
              <w:rPr>
                <w:rFonts w:hint="eastAsia" w:ascii="仿宋_GB2312" w:hAnsi="仿宋_GB2312" w:eastAsia="仿宋_GB2312" w:cs="仿宋_GB2312"/>
                <w:sz w:val="28"/>
                <w:szCs w:val="28"/>
                <w:lang w:val="en-US" w:eastAsia="zh-CN"/>
              </w:rPr>
              <w:t>供</w:t>
            </w:r>
            <w:r>
              <w:rPr>
                <w:rFonts w:hint="eastAsia" w:ascii="仿宋_GB2312" w:hAnsi="仿宋_GB2312" w:eastAsia="仿宋_GB2312" w:cs="仿宋_GB2312"/>
                <w:kern w:val="2"/>
                <w:sz w:val="28"/>
                <w:szCs w:val="28"/>
                <w:lang w:val="en-US" w:eastAsia="zh-CN" w:bidi="ar-SA"/>
              </w:rPr>
              <w:t>消防安全服务方案，</w:t>
            </w:r>
            <w:r>
              <w:rPr>
                <w:rFonts w:hint="eastAsia" w:ascii="仿宋_GB2312" w:hAnsi="仿宋_GB2312" w:eastAsia="仿宋_GB2312" w:cs="仿宋_GB2312"/>
                <w:sz w:val="28"/>
                <w:szCs w:val="28"/>
                <w:lang w:val="en-US" w:eastAsia="zh-CN"/>
              </w:rPr>
              <w:t>内容包含</w:t>
            </w:r>
            <w:r>
              <w:rPr>
                <w:rFonts w:hint="eastAsia" w:ascii="仿宋_GB2312" w:hAnsi="仿宋_GB2312" w:eastAsia="仿宋_GB2312" w:cs="仿宋_GB2312"/>
                <w:kern w:val="2"/>
                <w:sz w:val="28"/>
                <w:szCs w:val="28"/>
                <w:lang w:val="en-US" w:eastAsia="zh-CN" w:bidi="ar-SA"/>
              </w:rPr>
              <w:t>①日常消防监控方案；②日常巡检方案；③组建义务消防队计划。</w:t>
            </w:r>
          </w:p>
          <w:p>
            <w:pPr>
              <w:keepNext w:val="0"/>
              <w:keepLines w:val="0"/>
              <w:pageBreakBefore w:val="0"/>
              <w:widowControl/>
              <w:kinsoku/>
              <w:wordWrap/>
              <w:overflowPunct/>
              <w:topLinePunct w:val="0"/>
              <w:autoSpaceDE/>
              <w:autoSpaceDN/>
              <w:bidi w:val="0"/>
              <w:adjustRightInd/>
              <w:snapToGrid/>
              <w:spacing w:line="540" w:lineRule="exact"/>
              <w:ind w:firstLine="0" w:firstLineChars="0"/>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二、赋分标准：</w:t>
            </w:r>
          </w:p>
          <w:p>
            <w:pPr>
              <w:keepNext w:val="0"/>
              <w:keepLines w:val="0"/>
              <w:pageBreakBefore w:val="0"/>
              <w:widowControl/>
              <w:kinsoku/>
              <w:wordWrap/>
              <w:overflowPunct/>
              <w:topLinePunct w:val="0"/>
              <w:autoSpaceDE/>
              <w:autoSpaceDN/>
              <w:bidi w:val="0"/>
              <w:adjustRightInd/>
              <w:snapToGrid/>
              <w:spacing w:line="540" w:lineRule="exact"/>
              <w:ind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1、完整性：方案内容完整全面，对上述内容均有描述及说明，</w:t>
            </w:r>
            <w:r>
              <w:rPr>
                <w:rFonts w:hint="eastAsia" w:ascii="仿宋_GB2312" w:hAnsi="仿宋_GB2312" w:eastAsia="仿宋_GB2312" w:cs="仿宋_GB2312"/>
                <w:kern w:val="2"/>
                <w:sz w:val="28"/>
                <w:szCs w:val="28"/>
                <w:lang w:val="en-US" w:eastAsia="zh-CN" w:bidi="ar-SA"/>
              </w:rPr>
              <w:t>得3分；缺1项，得2分；缺2项，得1分。</w:t>
            </w:r>
          </w:p>
          <w:p>
            <w:pPr>
              <w:keepNext w:val="0"/>
              <w:keepLines w:val="0"/>
              <w:pageBreakBefore w:val="0"/>
              <w:widowControl/>
              <w:kinsoku/>
              <w:wordWrap/>
              <w:overflowPunct/>
              <w:topLinePunct w:val="0"/>
              <w:autoSpaceDE/>
              <w:autoSpaceDN/>
              <w:bidi w:val="0"/>
              <w:adjustRightInd/>
              <w:snapToGrid/>
              <w:spacing w:line="540" w:lineRule="exact"/>
              <w:ind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2、针对性：针对性强，得4分；针对性一般，得2分；缺乏针对性，得0分。</w:t>
            </w:r>
          </w:p>
          <w:p>
            <w:pPr>
              <w:keepNext w:val="0"/>
              <w:keepLines w:val="0"/>
              <w:pageBreakBefore w:val="0"/>
              <w:widowControl/>
              <w:kinsoku/>
              <w:wordWrap/>
              <w:overflowPunct/>
              <w:topLinePunct w:val="0"/>
              <w:autoSpaceDE/>
              <w:autoSpaceDN/>
              <w:bidi w:val="0"/>
              <w:adjustRightInd/>
              <w:snapToGrid/>
              <w:spacing w:line="540" w:lineRule="exact"/>
              <w:ind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3、可实施性：可实施性强，得4分；可实施性一般，得2分；缺乏可实施性，得0分。</w:t>
            </w:r>
          </w:p>
          <w:p>
            <w:pPr>
              <w:keepNext w:val="0"/>
              <w:keepLines w:val="0"/>
              <w:pageBreakBefore w:val="0"/>
              <w:widowControl/>
              <w:kinsoku/>
              <w:wordWrap/>
              <w:overflowPunct/>
              <w:topLinePunct w:val="0"/>
              <w:bidi w:val="0"/>
              <w:snapToGrid/>
              <w:spacing w:line="540" w:lineRule="exact"/>
              <w:jc w:val="left"/>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lang w:val="en-US" w:eastAsia="zh-CN"/>
              </w:rPr>
              <w:t>此项不提供不得分。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Merge w:val="continue"/>
          </w:tcPr>
          <w:p>
            <w:pPr>
              <w:pageBreakBefore w:val="0"/>
              <w:widowControl w:val="0"/>
              <w:kinsoku/>
              <w:wordWrap/>
              <w:overflowPunct/>
              <w:topLinePunct w:val="0"/>
              <w:bidi w:val="0"/>
              <w:snapToGrid/>
              <w:spacing w:line="540" w:lineRule="exact"/>
              <w:rPr>
                <w:rFonts w:hint="eastAsia" w:ascii="仿宋_GB2312" w:hAnsi="仿宋_GB2312" w:eastAsia="仿宋_GB2312" w:cs="仿宋_GB2312"/>
                <w:sz w:val="28"/>
                <w:szCs w:val="28"/>
                <w:vertAlign w:val="baseline"/>
              </w:rPr>
            </w:pPr>
          </w:p>
        </w:tc>
        <w:tc>
          <w:tcPr>
            <w:tcW w:w="1022" w:type="dxa"/>
            <w:vMerge w:val="continue"/>
          </w:tcPr>
          <w:p>
            <w:pPr>
              <w:pageBreakBefore w:val="0"/>
              <w:widowControl w:val="0"/>
              <w:kinsoku/>
              <w:wordWrap/>
              <w:overflowPunct/>
              <w:topLinePunct w:val="0"/>
              <w:bidi w:val="0"/>
              <w:snapToGrid/>
              <w:spacing w:line="540" w:lineRule="exact"/>
              <w:rPr>
                <w:rFonts w:hint="eastAsia" w:ascii="仿宋_GB2312" w:hAnsi="仿宋_GB2312" w:eastAsia="仿宋_GB2312" w:cs="仿宋_GB2312"/>
                <w:sz w:val="28"/>
                <w:szCs w:val="28"/>
                <w:vertAlign w:val="baseline"/>
              </w:rPr>
            </w:pPr>
          </w:p>
        </w:tc>
        <w:tc>
          <w:tcPr>
            <w:tcW w:w="773" w:type="dxa"/>
            <w:vAlign w:val="center"/>
          </w:tcPr>
          <w:p>
            <w:pPr>
              <w:keepNext w:val="0"/>
              <w:keepLines w:val="0"/>
              <w:pageBreakBefore w:val="0"/>
              <w:widowControl/>
              <w:kinsoku/>
              <w:wordWrap/>
              <w:overflowPunct/>
              <w:topLinePunct w:val="0"/>
              <w:bidi w:val="0"/>
              <w:adjustRightInd w:val="0"/>
              <w:snapToGrid/>
              <w:spacing w:line="54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kern w:val="2"/>
                <w:sz w:val="28"/>
                <w:szCs w:val="28"/>
                <w:lang w:val="en-US" w:eastAsia="zh-CN" w:bidi="ar-SA"/>
              </w:rPr>
              <w:t>应急预案</w:t>
            </w:r>
          </w:p>
        </w:tc>
        <w:tc>
          <w:tcPr>
            <w:tcW w:w="829" w:type="dxa"/>
            <w:vAlign w:val="center"/>
          </w:tcPr>
          <w:p>
            <w:pPr>
              <w:keepNext w:val="0"/>
              <w:keepLines w:val="0"/>
              <w:pageBreakBefore w:val="0"/>
              <w:widowControl/>
              <w:kinsoku/>
              <w:wordWrap/>
              <w:overflowPunct/>
              <w:topLinePunct w:val="0"/>
              <w:bidi w:val="0"/>
              <w:snapToGrid/>
              <w:spacing w:line="54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lang w:val="en-US" w:eastAsia="zh-CN"/>
              </w:rPr>
              <w:t>8</w:t>
            </w:r>
          </w:p>
        </w:tc>
        <w:tc>
          <w:tcPr>
            <w:tcW w:w="6154" w:type="dxa"/>
            <w:vAlign w:val="center"/>
          </w:tcPr>
          <w:p>
            <w:pPr>
              <w:keepNext w:val="0"/>
              <w:keepLines w:val="0"/>
              <w:pageBreakBefore w:val="0"/>
              <w:widowControl/>
              <w:numPr>
                <w:ilvl w:val="0"/>
                <w:numId w:val="0"/>
              </w:numPr>
              <w:suppressLineNumbers w:val="0"/>
              <w:kinsoku/>
              <w:wordWrap/>
              <w:overflowPunct/>
              <w:topLinePunct w:val="0"/>
              <w:bidi w:val="0"/>
              <w:snapToGrid/>
              <w:spacing w:line="540" w:lineRule="exact"/>
              <w:ind w:firstLine="0" w:firstLineChars="0"/>
              <w:jc w:val="left"/>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一、评审内容</w:t>
            </w:r>
          </w:p>
          <w:p>
            <w:pPr>
              <w:keepNext w:val="0"/>
              <w:keepLines w:val="0"/>
              <w:pageBreakBefore w:val="0"/>
              <w:widowControl/>
              <w:kinsoku/>
              <w:wordWrap/>
              <w:overflowPunct/>
              <w:topLinePunct w:val="0"/>
              <w:bidi w:val="0"/>
              <w:snapToGrid/>
              <w:spacing w:line="540" w:lineRule="exact"/>
              <w:jc w:val="left"/>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针对本项目提供</w:t>
            </w:r>
            <w:r>
              <w:rPr>
                <w:rFonts w:hint="eastAsia" w:ascii="仿宋_GB2312" w:hAnsi="仿宋_GB2312" w:eastAsia="仿宋_GB2312" w:cs="仿宋_GB2312"/>
                <w:kern w:val="2"/>
                <w:sz w:val="28"/>
                <w:szCs w:val="28"/>
                <w:lang w:val="en-US" w:eastAsia="zh-CN" w:bidi="ar-SA"/>
              </w:rPr>
              <w:t>应急预案</w:t>
            </w:r>
            <w:r>
              <w:rPr>
                <w:rFonts w:hint="eastAsia" w:ascii="仿宋_GB2312" w:hAnsi="仿宋_GB2312" w:eastAsia="仿宋_GB2312" w:cs="仿宋_GB2312"/>
                <w:kern w:val="0"/>
                <w:sz w:val="28"/>
                <w:szCs w:val="28"/>
                <w:lang w:val="en-US" w:eastAsia="zh-CN" w:bidi="ar-SA"/>
              </w:rPr>
              <w:t>，</w:t>
            </w:r>
            <w:r>
              <w:rPr>
                <w:rFonts w:hint="eastAsia" w:ascii="仿宋_GB2312" w:hAnsi="仿宋_GB2312" w:eastAsia="仿宋_GB2312" w:cs="仿宋_GB2312"/>
                <w:sz w:val="28"/>
                <w:szCs w:val="28"/>
                <w:lang w:val="en-US" w:eastAsia="zh-CN"/>
              </w:rPr>
              <w:t>内容包含</w:t>
            </w:r>
            <w:r>
              <w:rPr>
                <w:rFonts w:hint="eastAsia" w:ascii="仿宋_GB2312" w:hAnsi="仿宋_GB2312" w:eastAsia="仿宋_GB2312" w:cs="仿宋_GB2312"/>
                <w:kern w:val="2"/>
                <w:sz w:val="28"/>
                <w:szCs w:val="28"/>
                <w:lang w:val="en-US" w:eastAsia="zh-CN" w:bidi="ar-SA"/>
              </w:rPr>
              <w:t>①违法事件：如盗窃、暴恐、爆炸的预防及处置措施；②群体性安全事件：如打架斗殴、寻衅滋事、意外伤亡、踩踏事件的预防及处置措施；③自然紧急事件：恶劣天气、停水停电、火灾、防汛的预防及处置措施。</w:t>
            </w:r>
          </w:p>
          <w:p>
            <w:pPr>
              <w:keepNext w:val="0"/>
              <w:keepLines w:val="0"/>
              <w:pageBreakBefore w:val="0"/>
              <w:widowControl/>
              <w:numPr>
                <w:ilvl w:val="0"/>
                <w:numId w:val="0"/>
              </w:numPr>
              <w:suppressLineNumbers w:val="0"/>
              <w:kinsoku/>
              <w:wordWrap/>
              <w:overflowPunct/>
              <w:topLinePunct w:val="0"/>
              <w:bidi w:val="0"/>
              <w:snapToGrid/>
              <w:spacing w:line="540" w:lineRule="exact"/>
              <w:ind w:left="0" w:leftChars="0" w:firstLine="0" w:firstLineChars="0"/>
              <w:jc w:val="left"/>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二、赋分标准</w:t>
            </w:r>
          </w:p>
          <w:p>
            <w:pPr>
              <w:pStyle w:val="51"/>
              <w:keepNext w:val="0"/>
              <w:keepLines w:val="0"/>
              <w:pageBreakBefore w:val="0"/>
              <w:widowControl/>
              <w:kinsoku/>
              <w:wordWrap/>
              <w:overflowPunct/>
              <w:topLinePunct w:val="0"/>
              <w:bidi w:val="0"/>
              <w:snapToGrid/>
              <w:spacing w:line="54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1、完整性：方案内容完整全面，对上述各项内容均有描述及说明，得2分；缺1项，得1.4分；缺2项，得0.7分。</w:t>
            </w:r>
          </w:p>
          <w:p>
            <w:pPr>
              <w:pStyle w:val="51"/>
              <w:keepNext w:val="0"/>
              <w:keepLines w:val="0"/>
              <w:pageBreakBefore w:val="0"/>
              <w:widowControl/>
              <w:kinsoku/>
              <w:wordWrap/>
              <w:overflowPunct/>
              <w:topLinePunct w:val="0"/>
              <w:bidi w:val="0"/>
              <w:snapToGrid/>
              <w:spacing w:line="54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2、针对性：针对性强，得3分；针对性一般，得1.5分；缺乏针对性，得0分。</w:t>
            </w:r>
          </w:p>
          <w:p>
            <w:pPr>
              <w:keepNext w:val="0"/>
              <w:keepLines w:val="0"/>
              <w:pageBreakBefore w:val="0"/>
              <w:widowControl/>
              <w:numPr>
                <w:ilvl w:val="0"/>
                <w:numId w:val="0"/>
              </w:numPr>
              <w:suppressLineNumbers w:val="0"/>
              <w:kinsoku/>
              <w:wordWrap/>
              <w:overflowPunct/>
              <w:topLinePunct w:val="0"/>
              <w:bidi w:val="0"/>
              <w:snapToGrid/>
              <w:spacing w:line="540" w:lineRule="exact"/>
              <w:ind w:left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3、可实施性：可实施性强，得3分；可实施性一般，得1.5分；缺乏可实施性，得0分。</w:t>
            </w:r>
          </w:p>
          <w:p>
            <w:pPr>
              <w:keepNext w:val="0"/>
              <w:keepLines w:val="0"/>
              <w:pageBreakBefore w:val="0"/>
              <w:widowControl/>
              <w:kinsoku/>
              <w:wordWrap/>
              <w:overflowPunct/>
              <w:topLinePunct w:val="0"/>
              <w:bidi w:val="0"/>
              <w:snapToGrid/>
              <w:spacing w:line="540" w:lineRule="exact"/>
              <w:jc w:val="left"/>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lang w:val="en-US" w:eastAsia="zh-CN"/>
              </w:rPr>
              <w:t>此项不提供不得分。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Merge w:val="continue"/>
          </w:tcPr>
          <w:p>
            <w:pPr>
              <w:pageBreakBefore w:val="0"/>
              <w:widowControl w:val="0"/>
              <w:kinsoku/>
              <w:wordWrap/>
              <w:overflowPunct/>
              <w:topLinePunct w:val="0"/>
              <w:bidi w:val="0"/>
              <w:snapToGrid/>
              <w:spacing w:line="540" w:lineRule="exact"/>
              <w:rPr>
                <w:rFonts w:hint="eastAsia" w:ascii="仿宋_GB2312" w:hAnsi="仿宋_GB2312" w:eastAsia="仿宋_GB2312" w:cs="仿宋_GB2312"/>
                <w:sz w:val="28"/>
                <w:szCs w:val="28"/>
                <w:vertAlign w:val="baseline"/>
              </w:rPr>
            </w:pPr>
          </w:p>
        </w:tc>
        <w:tc>
          <w:tcPr>
            <w:tcW w:w="1022" w:type="dxa"/>
            <w:vMerge w:val="continue"/>
          </w:tcPr>
          <w:p>
            <w:pPr>
              <w:pageBreakBefore w:val="0"/>
              <w:widowControl w:val="0"/>
              <w:kinsoku/>
              <w:wordWrap/>
              <w:overflowPunct/>
              <w:topLinePunct w:val="0"/>
              <w:bidi w:val="0"/>
              <w:snapToGrid/>
              <w:spacing w:line="540" w:lineRule="exact"/>
              <w:rPr>
                <w:rFonts w:hint="eastAsia" w:ascii="仿宋_GB2312" w:hAnsi="仿宋_GB2312" w:eastAsia="仿宋_GB2312" w:cs="仿宋_GB2312"/>
                <w:sz w:val="28"/>
                <w:szCs w:val="28"/>
                <w:vertAlign w:val="baseline"/>
              </w:rPr>
            </w:pPr>
          </w:p>
        </w:tc>
        <w:tc>
          <w:tcPr>
            <w:tcW w:w="773" w:type="dxa"/>
            <w:vAlign w:val="center"/>
          </w:tcPr>
          <w:p>
            <w:pPr>
              <w:keepNext w:val="0"/>
              <w:keepLines w:val="0"/>
              <w:pageBreakBefore w:val="0"/>
              <w:widowControl/>
              <w:kinsoku/>
              <w:wordWrap/>
              <w:overflowPunct/>
              <w:topLinePunct w:val="0"/>
              <w:bidi w:val="0"/>
              <w:adjustRightInd w:val="0"/>
              <w:snapToGrid/>
              <w:spacing w:line="54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kern w:val="2"/>
                <w:sz w:val="28"/>
                <w:szCs w:val="28"/>
                <w:lang w:val="en-US" w:eastAsia="zh-CN" w:bidi="ar-SA"/>
              </w:rPr>
              <w:t>服务质量保证措施</w:t>
            </w:r>
          </w:p>
        </w:tc>
        <w:tc>
          <w:tcPr>
            <w:tcW w:w="829" w:type="dxa"/>
            <w:vAlign w:val="center"/>
          </w:tcPr>
          <w:p>
            <w:pPr>
              <w:keepNext w:val="0"/>
              <w:keepLines w:val="0"/>
              <w:pageBreakBefore w:val="0"/>
              <w:widowControl/>
              <w:kinsoku/>
              <w:wordWrap/>
              <w:overflowPunct/>
              <w:topLinePunct w:val="0"/>
              <w:bidi w:val="0"/>
              <w:snapToGrid/>
              <w:spacing w:line="54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lang w:val="en-US" w:eastAsia="zh-CN"/>
              </w:rPr>
              <w:t>9</w:t>
            </w:r>
          </w:p>
        </w:tc>
        <w:tc>
          <w:tcPr>
            <w:tcW w:w="6154" w:type="dxa"/>
            <w:vAlign w:val="center"/>
          </w:tcPr>
          <w:p>
            <w:pPr>
              <w:keepNext w:val="0"/>
              <w:keepLines w:val="0"/>
              <w:pageBreakBefore w:val="0"/>
              <w:widowControl/>
              <w:kinsoku/>
              <w:wordWrap/>
              <w:overflowPunct/>
              <w:topLinePunct w:val="0"/>
              <w:autoSpaceDE/>
              <w:autoSpaceDN/>
              <w:bidi w:val="0"/>
              <w:adjustRightInd/>
              <w:snapToGrid/>
              <w:spacing w:line="540" w:lineRule="exact"/>
              <w:ind w:firstLine="0" w:firstLineChars="0"/>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一、评审内容</w:t>
            </w:r>
          </w:p>
          <w:p>
            <w:pPr>
              <w:keepNext w:val="0"/>
              <w:keepLines w:val="0"/>
              <w:pageBreakBefore w:val="0"/>
              <w:widowControl/>
              <w:kinsoku/>
              <w:wordWrap/>
              <w:overflowPunct/>
              <w:topLinePunct w:val="0"/>
              <w:bidi w:val="0"/>
              <w:snapToGrid/>
              <w:spacing w:line="54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针对本项目提供</w:t>
            </w:r>
            <w:r>
              <w:rPr>
                <w:rFonts w:hint="eastAsia" w:ascii="仿宋_GB2312" w:hAnsi="仿宋_GB2312" w:eastAsia="仿宋_GB2312" w:cs="仿宋_GB2312"/>
                <w:kern w:val="2"/>
                <w:sz w:val="28"/>
                <w:szCs w:val="28"/>
                <w:highlight w:val="none"/>
                <w:lang w:val="en-US" w:eastAsia="zh-CN" w:bidi="ar-SA"/>
              </w:rPr>
              <w:t>服务质量保证措施，</w:t>
            </w:r>
            <w:r>
              <w:rPr>
                <w:rFonts w:hint="eastAsia" w:ascii="仿宋_GB2312" w:hAnsi="仿宋_GB2312" w:eastAsia="仿宋_GB2312" w:cs="仿宋_GB2312"/>
                <w:sz w:val="28"/>
                <w:szCs w:val="28"/>
                <w:lang w:val="en-US" w:eastAsia="zh-CN"/>
              </w:rPr>
              <w:t>内容包含</w:t>
            </w:r>
            <w:r>
              <w:rPr>
                <w:rFonts w:hint="eastAsia" w:ascii="仿宋_GB2312" w:hAnsi="仿宋_GB2312" w:eastAsia="仿宋_GB2312" w:cs="仿宋_GB2312"/>
                <w:kern w:val="2"/>
                <w:sz w:val="28"/>
                <w:szCs w:val="28"/>
                <w:highlight w:val="none"/>
                <w:lang w:val="en-US" w:eastAsia="zh-CN" w:bidi="ar-SA"/>
              </w:rPr>
              <w:t>①服装配备情况；②防卫器械配备情况；③人员训练、安全责任等方面培训计划和方案。</w:t>
            </w:r>
          </w:p>
          <w:p>
            <w:pPr>
              <w:keepNext w:val="0"/>
              <w:keepLines w:val="0"/>
              <w:pageBreakBefore w:val="0"/>
              <w:widowControl/>
              <w:kinsoku/>
              <w:wordWrap/>
              <w:overflowPunct/>
              <w:topLinePunct w:val="0"/>
              <w:autoSpaceDE/>
              <w:autoSpaceDN/>
              <w:bidi w:val="0"/>
              <w:adjustRightInd/>
              <w:snapToGrid/>
              <w:spacing w:line="540" w:lineRule="exact"/>
              <w:ind w:firstLine="0" w:firstLineChars="0"/>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二、赋分标准：</w:t>
            </w:r>
          </w:p>
          <w:p>
            <w:pPr>
              <w:keepNext w:val="0"/>
              <w:keepLines w:val="0"/>
              <w:pageBreakBefore w:val="0"/>
              <w:widowControl/>
              <w:kinsoku/>
              <w:wordWrap/>
              <w:overflowPunct/>
              <w:topLinePunct w:val="0"/>
              <w:bidi w:val="0"/>
              <w:snapToGrid/>
              <w:spacing w:line="54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1、完整性：方案内容完整全面，对上述内容均有描述及说明，</w:t>
            </w:r>
            <w:r>
              <w:rPr>
                <w:rFonts w:hint="eastAsia" w:ascii="仿宋_GB2312" w:hAnsi="仿宋_GB2312" w:eastAsia="仿宋_GB2312" w:cs="仿宋_GB2312"/>
                <w:kern w:val="2"/>
                <w:sz w:val="28"/>
                <w:szCs w:val="28"/>
                <w:lang w:val="en-US" w:eastAsia="zh-CN" w:bidi="ar-SA"/>
              </w:rPr>
              <w:t>得3分；缺1项，得2分；缺2项，得1分。</w:t>
            </w:r>
          </w:p>
          <w:p>
            <w:pPr>
              <w:keepNext w:val="0"/>
              <w:keepLines w:val="0"/>
              <w:pageBreakBefore w:val="0"/>
              <w:widowControl/>
              <w:kinsoku/>
              <w:wordWrap/>
              <w:overflowPunct/>
              <w:topLinePunct w:val="0"/>
              <w:autoSpaceDE/>
              <w:autoSpaceDN/>
              <w:bidi w:val="0"/>
              <w:adjustRightInd/>
              <w:snapToGrid/>
              <w:spacing w:line="540" w:lineRule="exact"/>
              <w:ind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2、针对性：针对性强，得3分；针对性一般，得1.5分；缺乏针对性，得0分。</w:t>
            </w:r>
          </w:p>
          <w:p>
            <w:pPr>
              <w:keepNext w:val="0"/>
              <w:keepLines w:val="0"/>
              <w:pageBreakBefore w:val="0"/>
              <w:widowControl/>
              <w:kinsoku/>
              <w:wordWrap/>
              <w:overflowPunct/>
              <w:topLinePunct w:val="0"/>
              <w:autoSpaceDE/>
              <w:autoSpaceDN/>
              <w:bidi w:val="0"/>
              <w:adjustRightInd/>
              <w:snapToGrid/>
              <w:spacing w:line="540" w:lineRule="exact"/>
              <w:ind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3、可实施性：可实施性强，得3分；可实施性一般，得1.5分；缺乏可实施性，得0分。</w:t>
            </w:r>
          </w:p>
          <w:p>
            <w:pPr>
              <w:keepNext w:val="0"/>
              <w:keepLines w:val="0"/>
              <w:pageBreakBefore w:val="0"/>
              <w:widowControl/>
              <w:kinsoku/>
              <w:wordWrap/>
              <w:overflowPunct/>
              <w:topLinePunct w:val="0"/>
              <w:bidi w:val="0"/>
              <w:snapToGrid/>
              <w:spacing w:line="540" w:lineRule="exact"/>
              <w:jc w:val="left"/>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lang w:val="en-US" w:eastAsia="zh-CN"/>
              </w:rPr>
              <w:t>此项不提供不得分。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Merge w:val="continue"/>
          </w:tcPr>
          <w:p>
            <w:pPr>
              <w:pageBreakBefore w:val="0"/>
              <w:widowControl w:val="0"/>
              <w:kinsoku/>
              <w:wordWrap/>
              <w:overflowPunct/>
              <w:topLinePunct w:val="0"/>
              <w:bidi w:val="0"/>
              <w:snapToGrid/>
              <w:spacing w:line="540" w:lineRule="exact"/>
              <w:rPr>
                <w:rFonts w:hint="eastAsia" w:ascii="仿宋_GB2312" w:hAnsi="仿宋_GB2312" w:eastAsia="仿宋_GB2312" w:cs="仿宋_GB2312"/>
                <w:sz w:val="28"/>
                <w:szCs w:val="28"/>
                <w:vertAlign w:val="baseline"/>
              </w:rPr>
            </w:pPr>
          </w:p>
        </w:tc>
        <w:tc>
          <w:tcPr>
            <w:tcW w:w="1022" w:type="dxa"/>
            <w:vMerge w:val="continue"/>
          </w:tcPr>
          <w:p>
            <w:pPr>
              <w:pageBreakBefore w:val="0"/>
              <w:widowControl w:val="0"/>
              <w:kinsoku/>
              <w:wordWrap/>
              <w:overflowPunct/>
              <w:topLinePunct w:val="0"/>
              <w:bidi w:val="0"/>
              <w:snapToGrid/>
              <w:spacing w:line="540" w:lineRule="exact"/>
              <w:rPr>
                <w:rFonts w:hint="eastAsia" w:ascii="仿宋_GB2312" w:hAnsi="仿宋_GB2312" w:eastAsia="仿宋_GB2312" w:cs="仿宋_GB2312"/>
                <w:sz w:val="28"/>
                <w:szCs w:val="28"/>
                <w:vertAlign w:val="baseline"/>
              </w:rPr>
            </w:pPr>
          </w:p>
        </w:tc>
        <w:tc>
          <w:tcPr>
            <w:tcW w:w="773" w:type="dxa"/>
            <w:vAlign w:val="center"/>
          </w:tcPr>
          <w:p>
            <w:pPr>
              <w:keepNext w:val="0"/>
              <w:keepLines w:val="0"/>
              <w:pageBreakBefore w:val="0"/>
              <w:widowControl/>
              <w:kinsoku/>
              <w:wordWrap/>
              <w:overflowPunct/>
              <w:topLinePunct w:val="0"/>
              <w:bidi w:val="0"/>
              <w:adjustRightInd w:val="0"/>
              <w:snapToGrid/>
              <w:spacing w:line="54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kern w:val="2"/>
                <w:sz w:val="28"/>
                <w:szCs w:val="28"/>
                <w:lang w:val="en-US" w:eastAsia="zh-CN" w:bidi="ar-SA"/>
              </w:rPr>
              <w:t>管理制度</w:t>
            </w:r>
          </w:p>
        </w:tc>
        <w:tc>
          <w:tcPr>
            <w:tcW w:w="829" w:type="dxa"/>
            <w:vAlign w:val="center"/>
          </w:tcPr>
          <w:p>
            <w:pPr>
              <w:keepNext w:val="0"/>
              <w:keepLines w:val="0"/>
              <w:pageBreakBefore w:val="0"/>
              <w:widowControl/>
              <w:kinsoku/>
              <w:wordWrap/>
              <w:overflowPunct/>
              <w:topLinePunct w:val="0"/>
              <w:bidi w:val="0"/>
              <w:snapToGrid/>
              <w:spacing w:line="54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lang w:val="en-US" w:eastAsia="zh-CN"/>
              </w:rPr>
              <w:t>7</w:t>
            </w:r>
          </w:p>
        </w:tc>
        <w:tc>
          <w:tcPr>
            <w:tcW w:w="6154" w:type="dxa"/>
            <w:vAlign w:val="center"/>
          </w:tcPr>
          <w:p>
            <w:pPr>
              <w:keepNext w:val="0"/>
              <w:keepLines w:val="0"/>
              <w:pageBreakBefore w:val="0"/>
              <w:widowControl/>
              <w:kinsoku/>
              <w:wordWrap/>
              <w:overflowPunct/>
              <w:topLinePunct w:val="0"/>
              <w:autoSpaceDE/>
              <w:autoSpaceDN/>
              <w:bidi w:val="0"/>
              <w:adjustRightInd/>
              <w:snapToGrid/>
              <w:spacing w:line="540" w:lineRule="exact"/>
              <w:ind w:firstLine="0" w:firstLineChars="0"/>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一、评审内容 </w:t>
            </w:r>
          </w:p>
          <w:p>
            <w:pPr>
              <w:keepNext w:val="0"/>
              <w:keepLines w:val="0"/>
              <w:pageBreakBefore w:val="0"/>
              <w:widowControl/>
              <w:kinsoku/>
              <w:wordWrap/>
              <w:overflowPunct/>
              <w:topLinePunct w:val="0"/>
              <w:autoSpaceDE/>
              <w:autoSpaceDN/>
              <w:bidi w:val="0"/>
              <w:adjustRightInd/>
              <w:snapToGrid/>
              <w:spacing w:line="540" w:lineRule="exact"/>
              <w:ind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针对本项目制定管理制度，内容包含①</w:t>
            </w:r>
            <w:r>
              <w:rPr>
                <w:rFonts w:hint="eastAsia" w:ascii="仿宋_GB2312" w:hAnsi="仿宋_GB2312" w:eastAsia="仿宋_GB2312" w:cs="仿宋_GB2312"/>
                <w:kern w:val="2"/>
                <w:sz w:val="28"/>
                <w:szCs w:val="28"/>
                <w:lang w:val="en-US" w:eastAsia="zh-CN" w:bidi="ar-SA"/>
              </w:rPr>
              <w:t>工作制度</w:t>
            </w:r>
            <w:r>
              <w:rPr>
                <w:rFonts w:hint="eastAsia" w:ascii="仿宋_GB2312" w:hAnsi="仿宋_GB2312" w:eastAsia="仿宋_GB2312" w:cs="仿宋_GB2312"/>
                <w:sz w:val="28"/>
                <w:szCs w:val="28"/>
                <w:lang w:val="en-US" w:eastAsia="zh-CN"/>
              </w:rPr>
              <w:t>：具有岗位工作标准、</w:t>
            </w:r>
            <w:r>
              <w:rPr>
                <w:rFonts w:hint="eastAsia" w:ascii="仿宋_GB2312" w:hAnsi="仿宋_GB2312" w:eastAsia="仿宋_GB2312" w:cs="仿宋_GB2312"/>
                <w:kern w:val="2"/>
                <w:sz w:val="28"/>
                <w:szCs w:val="28"/>
                <w:lang w:val="en-US" w:eastAsia="zh-CN" w:bidi="ar-SA"/>
              </w:rPr>
              <w:t>岗位工作职责、</w:t>
            </w:r>
            <w:r>
              <w:rPr>
                <w:rFonts w:hint="eastAsia" w:ascii="仿宋_GB2312" w:hAnsi="仿宋_GB2312" w:eastAsia="仿宋_GB2312" w:cs="仿宋_GB2312"/>
                <w:sz w:val="28"/>
                <w:szCs w:val="28"/>
                <w:lang w:val="en-US" w:eastAsia="zh-CN"/>
              </w:rPr>
              <w:t>服务质量标准、</w:t>
            </w:r>
            <w:r>
              <w:rPr>
                <w:rFonts w:hint="eastAsia" w:ascii="仿宋_GB2312" w:hAnsi="仿宋_GB2312" w:eastAsia="仿宋_GB2312" w:cs="仿宋_GB2312"/>
                <w:kern w:val="2"/>
                <w:sz w:val="28"/>
                <w:szCs w:val="28"/>
                <w:lang w:val="en-US" w:eastAsia="zh-CN" w:bidi="ar-SA"/>
              </w:rPr>
              <w:t>工作记录及档案管理制度</w:t>
            </w:r>
            <w:r>
              <w:rPr>
                <w:rFonts w:hint="eastAsia" w:ascii="仿宋_GB2312" w:hAnsi="仿宋_GB2312" w:eastAsia="仿宋_GB2312" w:cs="仿宋_GB2312"/>
                <w:sz w:val="28"/>
                <w:szCs w:val="28"/>
                <w:lang w:val="en-US" w:eastAsia="zh-CN"/>
              </w:rPr>
              <w:t>等；②内控制度：具有监督机制、自查制度等；③人员管理制度：具有员工日常管理办法、请销假制度、奖惩措施、激励机制、仪容仪表制度等。</w:t>
            </w:r>
          </w:p>
          <w:p>
            <w:pPr>
              <w:keepNext w:val="0"/>
              <w:keepLines w:val="0"/>
              <w:pageBreakBefore w:val="0"/>
              <w:widowControl/>
              <w:kinsoku/>
              <w:wordWrap/>
              <w:overflowPunct/>
              <w:topLinePunct w:val="0"/>
              <w:autoSpaceDE/>
              <w:autoSpaceDN/>
              <w:bidi w:val="0"/>
              <w:adjustRightInd/>
              <w:snapToGrid/>
              <w:spacing w:line="540" w:lineRule="exact"/>
              <w:ind w:firstLine="0" w:firstLineChars="0"/>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二、赋分标准：</w:t>
            </w:r>
          </w:p>
          <w:p>
            <w:pPr>
              <w:keepNext w:val="0"/>
              <w:keepLines w:val="0"/>
              <w:pageBreakBefore w:val="0"/>
              <w:widowControl/>
              <w:kinsoku/>
              <w:wordWrap/>
              <w:overflowPunct/>
              <w:topLinePunct w:val="0"/>
              <w:autoSpaceDE/>
              <w:autoSpaceDN/>
              <w:bidi w:val="0"/>
              <w:adjustRightInd/>
              <w:snapToGrid/>
              <w:spacing w:line="540" w:lineRule="exact"/>
              <w:ind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1、完整性：方案内容完整全面，对上述内容均有描述及说明，得3分；</w:t>
            </w:r>
            <w:r>
              <w:rPr>
                <w:rFonts w:hint="eastAsia" w:ascii="仿宋_GB2312" w:hAnsi="仿宋_GB2312" w:eastAsia="仿宋_GB2312" w:cs="仿宋_GB2312"/>
                <w:sz w:val="28"/>
                <w:szCs w:val="28"/>
                <w:lang w:val="zh-CN"/>
              </w:rPr>
              <w:t>缺1项，</w:t>
            </w:r>
            <w:r>
              <w:rPr>
                <w:rFonts w:hint="eastAsia" w:ascii="仿宋_GB2312" w:hAnsi="仿宋_GB2312" w:eastAsia="仿宋_GB2312" w:cs="仿宋_GB2312"/>
                <w:sz w:val="28"/>
                <w:szCs w:val="28"/>
                <w:lang w:val="en-US" w:eastAsia="zh-CN"/>
              </w:rPr>
              <w:t>得2分；</w:t>
            </w:r>
            <w:r>
              <w:rPr>
                <w:rFonts w:hint="eastAsia" w:ascii="仿宋_GB2312" w:hAnsi="仿宋_GB2312" w:eastAsia="仿宋_GB2312" w:cs="仿宋_GB2312"/>
                <w:sz w:val="28"/>
                <w:szCs w:val="28"/>
                <w:lang w:val="zh-CN"/>
              </w:rPr>
              <w:t>缺</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zh-CN"/>
              </w:rPr>
              <w:t>项，</w:t>
            </w:r>
            <w:r>
              <w:rPr>
                <w:rFonts w:hint="eastAsia" w:ascii="仿宋_GB2312" w:hAnsi="仿宋_GB2312" w:eastAsia="仿宋_GB2312" w:cs="仿宋_GB2312"/>
                <w:sz w:val="28"/>
                <w:szCs w:val="28"/>
                <w:lang w:val="en-US" w:eastAsia="zh-CN"/>
              </w:rPr>
              <w:t>得1分。</w:t>
            </w:r>
          </w:p>
          <w:p>
            <w:pPr>
              <w:keepNext w:val="0"/>
              <w:keepLines w:val="0"/>
              <w:pageBreakBefore w:val="0"/>
              <w:widowControl/>
              <w:kinsoku/>
              <w:wordWrap/>
              <w:overflowPunct/>
              <w:topLinePunct w:val="0"/>
              <w:autoSpaceDE/>
              <w:autoSpaceDN/>
              <w:bidi w:val="0"/>
              <w:adjustRightInd/>
              <w:snapToGrid/>
              <w:spacing w:line="540" w:lineRule="exact"/>
              <w:ind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2、针对性：针对性强，得2分；针对性一般，得1分；缺乏针对性，得0分。</w:t>
            </w:r>
          </w:p>
          <w:p>
            <w:pPr>
              <w:keepNext w:val="0"/>
              <w:keepLines w:val="0"/>
              <w:pageBreakBefore w:val="0"/>
              <w:widowControl/>
              <w:kinsoku/>
              <w:wordWrap/>
              <w:overflowPunct/>
              <w:topLinePunct w:val="0"/>
              <w:autoSpaceDE/>
              <w:autoSpaceDN/>
              <w:bidi w:val="0"/>
              <w:adjustRightInd/>
              <w:snapToGrid/>
              <w:spacing w:line="540" w:lineRule="exact"/>
              <w:ind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3、可实施性：可实施性强，得2分；可实施性一般，得1分；缺乏可实施性，得0分。</w:t>
            </w:r>
          </w:p>
          <w:p>
            <w:pPr>
              <w:keepNext w:val="0"/>
              <w:keepLines w:val="0"/>
              <w:pageBreakBefore w:val="0"/>
              <w:widowControl/>
              <w:kinsoku/>
              <w:wordWrap/>
              <w:overflowPunct/>
              <w:topLinePunct w:val="0"/>
              <w:bidi w:val="0"/>
              <w:snapToGrid/>
              <w:spacing w:line="540" w:lineRule="exact"/>
              <w:jc w:val="left"/>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lang w:val="en-US" w:eastAsia="zh-CN"/>
              </w:rPr>
              <w:t>此项不提供不得分。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Merge w:val="continue"/>
          </w:tcPr>
          <w:p>
            <w:pPr>
              <w:pageBreakBefore w:val="0"/>
              <w:widowControl w:val="0"/>
              <w:kinsoku/>
              <w:wordWrap/>
              <w:overflowPunct/>
              <w:topLinePunct w:val="0"/>
              <w:bidi w:val="0"/>
              <w:snapToGrid/>
              <w:spacing w:line="540" w:lineRule="exact"/>
              <w:rPr>
                <w:rFonts w:hint="eastAsia" w:ascii="仿宋_GB2312" w:hAnsi="仿宋_GB2312" w:eastAsia="仿宋_GB2312" w:cs="仿宋_GB2312"/>
                <w:sz w:val="28"/>
                <w:szCs w:val="28"/>
                <w:vertAlign w:val="baseline"/>
              </w:rPr>
            </w:pPr>
          </w:p>
        </w:tc>
        <w:tc>
          <w:tcPr>
            <w:tcW w:w="1022" w:type="dxa"/>
            <w:vMerge w:val="continue"/>
          </w:tcPr>
          <w:p>
            <w:pPr>
              <w:pageBreakBefore w:val="0"/>
              <w:widowControl w:val="0"/>
              <w:kinsoku/>
              <w:wordWrap/>
              <w:overflowPunct/>
              <w:topLinePunct w:val="0"/>
              <w:bidi w:val="0"/>
              <w:snapToGrid/>
              <w:spacing w:line="540" w:lineRule="exact"/>
              <w:rPr>
                <w:rFonts w:hint="eastAsia" w:ascii="仿宋_GB2312" w:hAnsi="仿宋_GB2312" w:eastAsia="仿宋_GB2312" w:cs="仿宋_GB2312"/>
                <w:sz w:val="28"/>
                <w:szCs w:val="28"/>
                <w:vertAlign w:val="baseline"/>
              </w:rPr>
            </w:pPr>
          </w:p>
        </w:tc>
        <w:tc>
          <w:tcPr>
            <w:tcW w:w="773" w:type="dxa"/>
            <w:vAlign w:val="center"/>
          </w:tcPr>
          <w:p>
            <w:pPr>
              <w:keepNext w:val="0"/>
              <w:keepLines w:val="0"/>
              <w:pageBreakBefore w:val="0"/>
              <w:widowControl/>
              <w:kinsoku/>
              <w:wordWrap/>
              <w:overflowPunct/>
              <w:topLinePunct w:val="0"/>
              <w:bidi w:val="0"/>
              <w:adjustRightInd w:val="0"/>
              <w:snapToGrid/>
              <w:spacing w:line="54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lang w:val="en-US" w:eastAsia="zh-CN"/>
              </w:rPr>
              <w:t>人员配备</w:t>
            </w:r>
          </w:p>
        </w:tc>
        <w:tc>
          <w:tcPr>
            <w:tcW w:w="829" w:type="dxa"/>
            <w:vAlign w:val="center"/>
          </w:tcPr>
          <w:p>
            <w:pPr>
              <w:keepNext w:val="0"/>
              <w:keepLines w:val="0"/>
              <w:pageBreakBefore w:val="0"/>
              <w:widowControl/>
              <w:kinsoku/>
              <w:wordWrap/>
              <w:overflowPunct/>
              <w:topLinePunct w:val="0"/>
              <w:bidi w:val="0"/>
              <w:snapToGrid/>
              <w:spacing w:line="54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lang w:val="en-US" w:eastAsia="zh-CN"/>
              </w:rPr>
              <w:t>4</w:t>
            </w:r>
          </w:p>
        </w:tc>
        <w:tc>
          <w:tcPr>
            <w:tcW w:w="6154" w:type="dxa"/>
            <w:vAlign w:val="center"/>
          </w:tcPr>
          <w:p>
            <w:pPr>
              <w:keepNext w:val="0"/>
              <w:keepLines w:val="0"/>
              <w:pageBreakBefore w:val="0"/>
              <w:widowControl/>
              <w:kinsoku/>
              <w:wordWrap/>
              <w:overflowPunct/>
              <w:topLinePunct w:val="0"/>
              <w:bidi w:val="0"/>
              <w:snapToGrid/>
              <w:spacing w:line="54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对拟派人员具有安全、消防相关培训证书情况进行综合打分：</w:t>
            </w:r>
          </w:p>
          <w:p>
            <w:pPr>
              <w:keepNext w:val="0"/>
              <w:keepLines w:val="0"/>
              <w:pageBreakBefore w:val="0"/>
              <w:widowControl/>
              <w:kinsoku/>
              <w:wordWrap/>
              <w:overflowPunct/>
              <w:topLinePunct w:val="0"/>
              <w:bidi w:val="0"/>
              <w:snapToGrid/>
              <w:spacing w:line="54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1、具有证书人数≥50人，得4分；</w:t>
            </w:r>
          </w:p>
          <w:p>
            <w:pPr>
              <w:keepNext w:val="0"/>
              <w:keepLines w:val="0"/>
              <w:pageBreakBefore w:val="0"/>
              <w:widowControl/>
              <w:kinsoku/>
              <w:wordWrap/>
              <w:overflowPunct/>
              <w:topLinePunct w:val="0"/>
              <w:bidi w:val="0"/>
              <w:snapToGrid/>
              <w:spacing w:line="54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2、具有证书人数≥30人，得2分；</w:t>
            </w:r>
          </w:p>
          <w:p>
            <w:pPr>
              <w:keepNext w:val="0"/>
              <w:keepLines w:val="0"/>
              <w:pageBreakBefore w:val="0"/>
              <w:widowControl/>
              <w:kinsoku/>
              <w:wordWrap/>
              <w:overflowPunct/>
              <w:topLinePunct w:val="0"/>
              <w:bidi w:val="0"/>
              <w:snapToGrid/>
              <w:spacing w:line="540" w:lineRule="exact"/>
              <w:jc w:val="left"/>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kern w:val="2"/>
                <w:sz w:val="28"/>
                <w:szCs w:val="28"/>
                <w:lang w:val="en-US" w:eastAsia="zh-CN" w:bidi="ar-SA"/>
              </w:rPr>
              <w:t>3、具有证书人数＜30人，不得分。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Merge w:val="restart"/>
            <w:vAlign w:val="center"/>
          </w:tcPr>
          <w:p>
            <w:pPr>
              <w:pStyle w:val="17"/>
              <w:keepNext w:val="0"/>
              <w:keepLines w:val="0"/>
              <w:pageBreakBefore w:val="0"/>
              <w:widowControl/>
              <w:kinsoku/>
              <w:wordWrap/>
              <w:overflowPunct/>
              <w:topLinePunct w:val="0"/>
              <w:bidi w:val="0"/>
              <w:snapToGrid/>
              <w:spacing w:beforeAutospacing="0" w:afterAutospacing="0" w:line="5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rPr>
              <w:t>商务</w:t>
            </w:r>
          </w:p>
        </w:tc>
        <w:tc>
          <w:tcPr>
            <w:tcW w:w="1022" w:type="dxa"/>
            <w:vMerge w:val="restart"/>
            <w:vAlign w:val="center"/>
          </w:tcPr>
          <w:p>
            <w:pPr>
              <w:keepNext w:val="0"/>
              <w:keepLines w:val="0"/>
              <w:pageBreakBefore w:val="0"/>
              <w:widowControl/>
              <w:kinsoku/>
              <w:wordWrap/>
              <w:overflowPunct/>
              <w:topLinePunct w:val="0"/>
              <w:bidi w:val="0"/>
              <w:snapToGrid/>
              <w:spacing w:line="54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lang w:val="en-US" w:eastAsia="zh-CN"/>
              </w:rPr>
              <w:t>7</w:t>
            </w:r>
          </w:p>
        </w:tc>
        <w:tc>
          <w:tcPr>
            <w:tcW w:w="773" w:type="dxa"/>
            <w:vAlign w:val="center"/>
          </w:tcPr>
          <w:p>
            <w:pPr>
              <w:keepNext w:val="0"/>
              <w:keepLines w:val="0"/>
              <w:pageBreakBefore w:val="0"/>
              <w:widowControl/>
              <w:kinsoku/>
              <w:wordWrap/>
              <w:overflowPunct/>
              <w:topLinePunct w:val="0"/>
              <w:bidi w:val="0"/>
              <w:snapToGrid/>
              <w:spacing w:line="54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color w:val="000000"/>
                <w:sz w:val="28"/>
                <w:szCs w:val="28"/>
                <w:lang w:val="en-US" w:eastAsia="zh-CN"/>
              </w:rPr>
              <w:t>业绩</w:t>
            </w:r>
          </w:p>
        </w:tc>
        <w:tc>
          <w:tcPr>
            <w:tcW w:w="829" w:type="dxa"/>
            <w:vAlign w:val="center"/>
          </w:tcPr>
          <w:p>
            <w:pPr>
              <w:keepNext w:val="0"/>
              <w:keepLines w:val="0"/>
              <w:pageBreakBefore w:val="0"/>
              <w:widowControl/>
              <w:kinsoku/>
              <w:wordWrap/>
              <w:overflowPunct/>
              <w:topLinePunct w:val="0"/>
              <w:bidi w:val="0"/>
              <w:snapToGrid/>
              <w:spacing w:line="54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color w:val="000000"/>
                <w:sz w:val="28"/>
                <w:szCs w:val="28"/>
                <w:lang w:val="en-US" w:eastAsia="zh-CN"/>
              </w:rPr>
              <w:t>4</w:t>
            </w:r>
          </w:p>
        </w:tc>
        <w:tc>
          <w:tcPr>
            <w:tcW w:w="6154" w:type="dxa"/>
            <w:vAlign w:val="center"/>
          </w:tcPr>
          <w:p>
            <w:pPr>
              <w:keepNext w:val="0"/>
              <w:keepLines w:val="0"/>
              <w:pageBreakBefore w:val="0"/>
              <w:widowControl/>
              <w:kinsoku/>
              <w:wordWrap/>
              <w:overflowPunct/>
              <w:topLinePunct w:val="0"/>
              <w:bidi w:val="0"/>
              <w:snapToGrid/>
              <w:spacing w:line="540" w:lineRule="exact"/>
              <w:jc w:val="both"/>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lang w:val="en-US" w:eastAsia="zh-CN"/>
              </w:rPr>
              <w:t>提供</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年1月1日以来</w:t>
            </w:r>
            <w:r>
              <w:rPr>
                <w:rFonts w:hint="eastAsia" w:ascii="仿宋_GB2312" w:hAnsi="仿宋_GB2312" w:eastAsia="仿宋_GB2312" w:cs="仿宋_GB2312"/>
                <w:sz w:val="28"/>
                <w:szCs w:val="28"/>
                <w:lang w:val="en-US" w:eastAsia="zh-CN"/>
              </w:rPr>
              <w:t>同类</w:t>
            </w:r>
            <w:r>
              <w:rPr>
                <w:rFonts w:hint="eastAsia" w:ascii="仿宋_GB2312" w:hAnsi="仿宋_GB2312" w:eastAsia="仿宋_GB2312" w:cs="仿宋_GB2312"/>
                <w:sz w:val="28"/>
                <w:szCs w:val="28"/>
              </w:rPr>
              <w:t>项目</w:t>
            </w:r>
            <w:r>
              <w:rPr>
                <w:rFonts w:hint="eastAsia" w:ascii="仿宋_GB2312" w:hAnsi="仿宋_GB2312" w:eastAsia="仿宋_GB2312" w:cs="仿宋_GB2312"/>
                <w:sz w:val="28"/>
                <w:szCs w:val="28"/>
                <w:lang w:val="en-US" w:eastAsia="zh-CN"/>
              </w:rPr>
              <w:t>合同</w:t>
            </w:r>
            <w:r>
              <w:rPr>
                <w:rFonts w:hint="eastAsia" w:ascii="仿宋_GB2312" w:hAnsi="仿宋_GB2312" w:eastAsia="仿宋_GB2312" w:cs="仿宋_GB2312"/>
                <w:sz w:val="28"/>
                <w:szCs w:val="28"/>
              </w:rPr>
              <w:t>复印件加盖</w:t>
            </w:r>
            <w:r>
              <w:rPr>
                <w:rFonts w:hint="eastAsia" w:ascii="仿宋_GB2312" w:hAnsi="仿宋_GB2312" w:eastAsia="仿宋_GB2312" w:cs="仿宋_GB2312"/>
                <w:sz w:val="28"/>
                <w:szCs w:val="28"/>
                <w:lang w:val="en-US" w:eastAsia="zh-CN"/>
              </w:rPr>
              <w:t>供应商</w:t>
            </w:r>
            <w:r>
              <w:rPr>
                <w:rFonts w:hint="eastAsia" w:ascii="仿宋_GB2312" w:hAnsi="仿宋_GB2312" w:eastAsia="仿宋_GB2312" w:cs="仿宋_GB2312"/>
                <w:sz w:val="28"/>
                <w:szCs w:val="28"/>
              </w:rPr>
              <w:t>公章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以合同签订日期为准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，每份1分，</w:t>
            </w:r>
            <w:r>
              <w:rPr>
                <w:rFonts w:hint="eastAsia" w:ascii="仿宋_GB2312" w:hAnsi="仿宋_GB2312" w:eastAsia="仿宋_GB2312" w:cs="仿宋_GB2312"/>
                <w:sz w:val="28"/>
                <w:szCs w:val="28"/>
                <w:lang w:val="en-US" w:eastAsia="zh-CN"/>
              </w:rPr>
              <w:t>最多得4</w:t>
            </w:r>
            <w:r>
              <w:rPr>
                <w:rFonts w:hint="eastAsia" w:ascii="仿宋_GB2312" w:hAnsi="仿宋_GB2312" w:eastAsia="仿宋_GB2312" w:cs="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Merge w:val="continue"/>
          </w:tcPr>
          <w:p>
            <w:pPr>
              <w:pageBreakBefore w:val="0"/>
              <w:widowControl w:val="0"/>
              <w:kinsoku/>
              <w:wordWrap/>
              <w:overflowPunct/>
              <w:topLinePunct w:val="0"/>
              <w:bidi w:val="0"/>
              <w:snapToGrid/>
              <w:spacing w:line="540" w:lineRule="exact"/>
              <w:rPr>
                <w:rFonts w:hint="eastAsia" w:ascii="仿宋_GB2312" w:hAnsi="仿宋_GB2312" w:eastAsia="仿宋_GB2312" w:cs="仿宋_GB2312"/>
                <w:sz w:val="28"/>
                <w:szCs w:val="28"/>
                <w:vertAlign w:val="baseline"/>
              </w:rPr>
            </w:pPr>
          </w:p>
        </w:tc>
        <w:tc>
          <w:tcPr>
            <w:tcW w:w="1022" w:type="dxa"/>
            <w:vMerge w:val="continue"/>
          </w:tcPr>
          <w:p>
            <w:pPr>
              <w:pageBreakBefore w:val="0"/>
              <w:widowControl w:val="0"/>
              <w:kinsoku/>
              <w:wordWrap/>
              <w:overflowPunct/>
              <w:topLinePunct w:val="0"/>
              <w:bidi w:val="0"/>
              <w:snapToGrid/>
              <w:spacing w:line="540" w:lineRule="exact"/>
              <w:rPr>
                <w:rFonts w:hint="eastAsia" w:ascii="仿宋_GB2312" w:hAnsi="仿宋_GB2312" w:eastAsia="仿宋_GB2312" w:cs="仿宋_GB2312"/>
                <w:sz w:val="28"/>
                <w:szCs w:val="28"/>
                <w:vertAlign w:val="baseline"/>
              </w:rPr>
            </w:pPr>
          </w:p>
        </w:tc>
        <w:tc>
          <w:tcPr>
            <w:tcW w:w="773" w:type="dxa"/>
            <w:vAlign w:val="center"/>
          </w:tcPr>
          <w:p>
            <w:pPr>
              <w:keepNext w:val="0"/>
              <w:keepLines w:val="0"/>
              <w:pageBreakBefore w:val="0"/>
              <w:widowControl/>
              <w:kinsoku/>
              <w:wordWrap/>
              <w:overflowPunct/>
              <w:topLinePunct w:val="0"/>
              <w:autoSpaceDE w:val="0"/>
              <w:autoSpaceDN w:val="0"/>
              <w:bidi w:val="0"/>
              <w:adjustRightInd w:val="0"/>
              <w:snapToGrid/>
              <w:spacing w:line="54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lang w:val="en-US" w:eastAsia="zh-CN"/>
              </w:rPr>
              <w:t>服务承诺</w:t>
            </w:r>
          </w:p>
        </w:tc>
        <w:tc>
          <w:tcPr>
            <w:tcW w:w="829" w:type="dxa"/>
            <w:vAlign w:val="center"/>
          </w:tcPr>
          <w:p>
            <w:pPr>
              <w:keepNext w:val="0"/>
              <w:keepLines w:val="0"/>
              <w:pageBreakBefore w:val="0"/>
              <w:widowControl/>
              <w:kinsoku/>
              <w:wordWrap/>
              <w:overflowPunct/>
              <w:topLinePunct w:val="0"/>
              <w:autoSpaceDE w:val="0"/>
              <w:autoSpaceDN w:val="0"/>
              <w:bidi w:val="0"/>
              <w:adjustRightInd w:val="0"/>
              <w:snapToGrid/>
              <w:spacing w:line="54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bCs/>
                <w:sz w:val="28"/>
                <w:szCs w:val="28"/>
                <w:lang w:val="en-US" w:eastAsia="zh-CN"/>
              </w:rPr>
              <w:t>2</w:t>
            </w:r>
          </w:p>
        </w:tc>
        <w:tc>
          <w:tcPr>
            <w:tcW w:w="6154" w:type="dxa"/>
            <w:vAlign w:val="center"/>
          </w:tcPr>
          <w:p>
            <w:pPr>
              <w:keepNext w:val="0"/>
              <w:keepLines w:val="0"/>
              <w:pageBreakBefore w:val="0"/>
              <w:widowControl/>
              <w:numPr>
                <w:ilvl w:val="0"/>
                <w:numId w:val="0"/>
              </w:numPr>
              <w:kinsoku/>
              <w:wordWrap/>
              <w:overflowPunct/>
              <w:topLinePunct w:val="0"/>
              <w:bidi w:val="0"/>
              <w:snapToGrid/>
              <w:spacing w:line="54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kern w:val="2"/>
                <w:sz w:val="28"/>
                <w:szCs w:val="28"/>
                <w:lang w:val="en-US" w:eastAsia="zh-CN" w:bidi="ar-SA"/>
              </w:rPr>
              <w:t>1、</w:t>
            </w:r>
            <w:r>
              <w:rPr>
                <w:rFonts w:hint="eastAsia" w:ascii="仿宋_GB2312" w:hAnsi="仿宋_GB2312" w:eastAsia="仿宋_GB2312" w:cs="仿宋_GB2312"/>
                <w:sz w:val="28"/>
                <w:szCs w:val="28"/>
                <w:lang w:val="en-US" w:eastAsia="zh-CN"/>
              </w:rPr>
              <w:t>承诺：</w:t>
            </w:r>
            <w:r>
              <w:rPr>
                <w:rFonts w:hint="eastAsia" w:ascii="仿宋_GB2312" w:hAnsi="仿宋_GB2312" w:eastAsia="仿宋_GB2312" w:cs="仿宋_GB2312"/>
                <w:sz w:val="28"/>
                <w:szCs w:val="28"/>
              </w:rPr>
              <w:t>上岗人员固定，不随意更换，若出现人员因事、病等不能工作的，及时调整其他人员补充，确保服务工作的正常进行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得1分，无承诺不得分</w:t>
            </w:r>
            <w:r>
              <w:rPr>
                <w:rFonts w:hint="eastAsia" w:ascii="仿宋_GB2312" w:hAnsi="仿宋_GB2312" w:eastAsia="仿宋_GB2312" w:cs="仿宋_GB2312"/>
                <w:sz w:val="28"/>
                <w:szCs w:val="28"/>
                <w:lang w:eastAsia="zh-CN"/>
              </w:rPr>
              <w:t>。</w:t>
            </w:r>
          </w:p>
          <w:p>
            <w:pPr>
              <w:keepNext w:val="0"/>
              <w:keepLines w:val="0"/>
              <w:pageBreakBefore w:val="0"/>
              <w:widowControl/>
              <w:numPr>
                <w:ilvl w:val="0"/>
                <w:numId w:val="0"/>
              </w:numPr>
              <w:kinsoku/>
              <w:wordWrap/>
              <w:overflowPunct/>
              <w:topLinePunct w:val="0"/>
              <w:bidi w:val="0"/>
              <w:snapToGrid/>
              <w:spacing w:line="540" w:lineRule="exact"/>
              <w:ind w:left="0" w:leftChars="0" w:firstLine="0" w:firstLineChars="0"/>
              <w:jc w:val="both"/>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kern w:val="2"/>
                <w:sz w:val="28"/>
                <w:szCs w:val="28"/>
                <w:lang w:val="en-US" w:eastAsia="zh-CN" w:bidi="ar-SA"/>
              </w:rPr>
              <w:t>2、</w:t>
            </w:r>
            <w:r>
              <w:rPr>
                <w:rFonts w:hint="eastAsia" w:ascii="仿宋_GB2312" w:hAnsi="仿宋_GB2312" w:eastAsia="仿宋_GB2312" w:cs="仿宋_GB2312"/>
                <w:sz w:val="28"/>
                <w:szCs w:val="28"/>
                <w:lang w:val="en-US" w:eastAsia="zh-CN"/>
              </w:rPr>
              <w:t>承诺：</w:t>
            </w:r>
            <w:r>
              <w:rPr>
                <w:rFonts w:hint="eastAsia" w:ascii="仿宋_GB2312" w:hAnsi="仿宋_GB2312" w:eastAsia="仿宋_GB2312" w:cs="仿宋_GB2312"/>
                <w:sz w:val="28"/>
                <w:szCs w:val="28"/>
              </w:rPr>
              <w:t>储备可调度人员，调度人员</w:t>
            </w:r>
            <w:r>
              <w:rPr>
                <w:rFonts w:hint="eastAsia" w:ascii="仿宋_GB2312" w:hAnsi="仿宋_GB2312" w:eastAsia="仿宋_GB2312" w:cs="仿宋_GB2312"/>
                <w:sz w:val="28"/>
                <w:szCs w:val="28"/>
                <w:lang w:val="en-US" w:eastAsia="zh-CN"/>
              </w:rPr>
              <w:t>能够</w:t>
            </w:r>
            <w:r>
              <w:rPr>
                <w:rFonts w:hint="eastAsia" w:ascii="仿宋_GB2312" w:hAnsi="仿宋_GB2312" w:eastAsia="仿宋_GB2312" w:cs="仿宋_GB2312"/>
                <w:sz w:val="28"/>
                <w:szCs w:val="28"/>
              </w:rPr>
              <w:t>保障临时性工作需要及处置突发事件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得1分，无承诺不得分。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Merge w:val="continue"/>
          </w:tcPr>
          <w:p>
            <w:pPr>
              <w:pageBreakBefore w:val="0"/>
              <w:widowControl w:val="0"/>
              <w:kinsoku/>
              <w:wordWrap/>
              <w:overflowPunct/>
              <w:topLinePunct w:val="0"/>
              <w:bidi w:val="0"/>
              <w:snapToGrid/>
              <w:spacing w:line="540" w:lineRule="exact"/>
              <w:rPr>
                <w:rFonts w:hint="eastAsia" w:ascii="仿宋_GB2312" w:hAnsi="仿宋_GB2312" w:eastAsia="仿宋_GB2312" w:cs="仿宋_GB2312"/>
                <w:sz w:val="28"/>
                <w:szCs w:val="28"/>
                <w:vertAlign w:val="baseline"/>
              </w:rPr>
            </w:pPr>
          </w:p>
        </w:tc>
        <w:tc>
          <w:tcPr>
            <w:tcW w:w="1022" w:type="dxa"/>
            <w:vMerge w:val="continue"/>
          </w:tcPr>
          <w:p>
            <w:pPr>
              <w:pageBreakBefore w:val="0"/>
              <w:widowControl w:val="0"/>
              <w:kinsoku/>
              <w:wordWrap/>
              <w:overflowPunct/>
              <w:topLinePunct w:val="0"/>
              <w:bidi w:val="0"/>
              <w:snapToGrid/>
              <w:spacing w:line="540" w:lineRule="exact"/>
              <w:rPr>
                <w:rFonts w:hint="eastAsia" w:ascii="仿宋_GB2312" w:hAnsi="仿宋_GB2312" w:eastAsia="仿宋_GB2312" w:cs="仿宋_GB2312"/>
                <w:sz w:val="28"/>
                <w:szCs w:val="28"/>
                <w:vertAlign w:val="baseline"/>
              </w:rPr>
            </w:pPr>
          </w:p>
        </w:tc>
        <w:tc>
          <w:tcPr>
            <w:tcW w:w="773" w:type="dxa"/>
            <w:vAlign w:val="center"/>
          </w:tcPr>
          <w:p>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lang w:val="en-US" w:eastAsia="zh-CN"/>
              </w:rPr>
              <w:t>服务优化</w:t>
            </w:r>
          </w:p>
        </w:tc>
        <w:tc>
          <w:tcPr>
            <w:tcW w:w="829" w:type="dxa"/>
            <w:vAlign w:val="center"/>
          </w:tcPr>
          <w:p>
            <w:pPr>
              <w:keepNext w:val="0"/>
              <w:keepLines w:val="0"/>
              <w:pageBreakBefore w:val="0"/>
              <w:widowControl w:val="0"/>
              <w:kinsoku/>
              <w:wordWrap/>
              <w:overflowPunct/>
              <w:topLinePunct w:val="0"/>
              <w:autoSpaceDE w:val="0"/>
              <w:autoSpaceDN w:val="0"/>
              <w:bidi w:val="0"/>
              <w:adjustRightInd w:val="0"/>
              <w:snapToGrid/>
              <w:spacing w:line="54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bCs/>
                <w:sz w:val="28"/>
                <w:szCs w:val="28"/>
                <w:lang w:val="en-US" w:eastAsia="zh-CN"/>
              </w:rPr>
              <w:t>1</w:t>
            </w:r>
          </w:p>
        </w:tc>
        <w:tc>
          <w:tcPr>
            <w:tcW w:w="6154" w:type="dxa"/>
            <w:vAlign w:val="center"/>
          </w:tcPr>
          <w:p>
            <w:pPr>
              <w:keepNext w:val="0"/>
              <w:keepLines w:val="0"/>
              <w:pageBreakBefore w:val="0"/>
              <w:widowControl/>
              <w:numPr>
                <w:ilvl w:val="0"/>
                <w:numId w:val="0"/>
              </w:numPr>
              <w:kinsoku/>
              <w:wordWrap/>
              <w:overflowPunct/>
              <w:topLinePunct w:val="0"/>
              <w:bidi w:val="0"/>
              <w:snapToGrid/>
              <w:spacing w:line="540" w:lineRule="exact"/>
              <w:ind w:left="0" w:leftChars="0" w:firstLine="0" w:firstLineChars="0"/>
              <w:jc w:val="both"/>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lang w:val="en-US" w:eastAsia="zh-CN"/>
              </w:rPr>
              <w:t>针对本项目提供具有特色的管理服务思路和措施、增值服务等，每项0.5分，最多得1分。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598" w:type="dxa"/>
            <w:vMerge w:val="restart"/>
            <w:vAlign w:val="center"/>
          </w:tcPr>
          <w:p>
            <w:pPr>
              <w:pageBreakBefore w:val="0"/>
              <w:widowControl w:val="0"/>
              <w:kinsoku/>
              <w:wordWrap/>
              <w:overflowPunct/>
              <w:topLinePunct w:val="0"/>
              <w:bidi w:val="0"/>
              <w:snapToGrid/>
              <w:spacing w:line="540" w:lineRule="exact"/>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说明</w:t>
            </w:r>
          </w:p>
        </w:tc>
        <w:tc>
          <w:tcPr>
            <w:tcW w:w="8778" w:type="dxa"/>
            <w:gridSpan w:val="4"/>
          </w:tcPr>
          <w:p>
            <w:pPr>
              <w:keepNext w:val="0"/>
              <w:keepLines w:val="0"/>
              <w:pageBreakBefore w:val="0"/>
              <w:widowControl/>
              <w:kinsoku/>
              <w:wordWrap/>
              <w:overflowPunct/>
              <w:topLinePunct w:val="0"/>
              <w:bidi w:val="0"/>
              <w:snapToGrid/>
              <w:spacing w:line="5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评审标准</w:t>
            </w:r>
            <w:r>
              <w:rPr>
                <w:rFonts w:hint="eastAsia" w:ascii="仿宋_GB2312" w:hAnsi="仿宋_GB2312" w:eastAsia="仿宋_GB2312" w:cs="仿宋_GB2312"/>
                <w:sz w:val="28"/>
                <w:szCs w:val="28"/>
                <w:lang w:eastAsia="zh-CN"/>
              </w:rPr>
              <w:t>：</w:t>
            </w:r>
          </w:p>
          <w:p>
            <w:pPr>
              <w:keepNext w:val="0"/>
              <w:keepLines w:val="0"/>
              <w:pageBreakBefore w:val="0"/>
              <w:widowControl/>
              <w:kinsoku/>
              <w:wordWrap/>
              <w:overflowPunct/>
              <w:topLinePunct w:val="0"/>
              <w:bidi w:val="0"/>
              <w:snapToGrid/>
              <w:spacing w:line="5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1、针对性：</w:t>
            </w:r>
          </w:p>
          <w:p>
            <w:pPr>
              <w:keepNext w:val="0"/>
              <w:keepLines w:val="0"/>
              <w:pageBreakBefore w:val="0"/>
              <w:widowControl/>
              <w:kinsoku/>
              <w:wordWrap/>
              <w:overflowPunct/>
              <w:topLinePunct w:val="0"/>
              <w:bidi w:val="0"/>
              <w:snapToGrid/>
              <w:spacing w:line="5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（1）针对性强：方案能够完全切合本项目实际情况。</w:t>
            </w:r>
          </w:p>
          <w:p>
            <w:pPr>
              <w:keepNext w:val="0"/>
              <w:keepLines w:val="0"/>
              <w:pageBreakBefore w:val="0"/>
              <w:widowControl/>
              <w:kinsoku/>
              <w:wordWrap/>
              <w:overflowPunct/>
              <w:topLinePunct w:val="0"/>
              <w:bidi w:val="0"/>
              <w:snapToGrid/>
              <w:spacing w:line="5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（2）针对性一般：方案中多数内容能够切合本项目实际情况，但存在至少一处不适用本项目实际的内容。</w:t>
            </w:r>
          </w:p>
          <w:p>
            <w:pPr>
              <w:keepNext w:val="0"/>
              <w:keepLines w:val="0"/>
              <w:pageBreakBefore w:val="0"/>
              <w:widowControl/>
              <w:kinsoku/>
              <w:wordWrap/>
              <w:overflowPunct/>
              <w:topLinePunct w:val="0"/>
              <w:bidi w:val="0"/>
              <w:snapToGrid/>
              <w:spacing w:line="5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（3）缺乏针对性：方案描述不符合本项目</w:t>
            </w:r>
            <w:r>
              <w:rPr>
                <w:rFonts w:hint="eastAsia" w:ascii="仿宋_GB2312" w:hAnsi="仿宋_GB2312" w:eastAsia="仿宋_GB2312" w:cs="仿宋_GB2312"/>
                <w:sz w:val="28"/>
                <w:szCs w:val="28"/>
                <w:highlight w:val="none"/>
                <w:lang w:val="en-US" w:eastAsia="zh-CN"/>
              </w:rPr>
              <w:t>实际情况</w:t>
            </w:r>
            <w:r>
              <w:rPr>
                <w:rFonts w:hint="eastAsia" w:ascii="仿宋_GB2312" w:hAnsi="仿宋_GB2312" w:eastAsia="仿宋_GB2312" w:cs="仿宋_GB2312"/>
                <w:sz w:val="28"/>
                <w:szCs w:val="28"/>
                <w:lang w:eastAsia="zh-CN"/>
              </w:rPr>
              <w:t>，存在明显套用其他项目方案的内容。</w:t>
            </w:r>
          </w:p>
          <w:p>
            <w:pPr>
              <w:keepNext w:val="0"/>
              <w:keepLines w:val="0"/>
              <w:pageBreakBefore w:val="0"/>
              <w:widowControl/>
              <w:kinsoku/>
              <w:wordWrap/>
              <w:overflowPunct/>
              <w:topLinePunct w:val="0"/>
              <w:bidi w:val="0"/>
              <w:snapToGrid/>
              <w:spacing w:line="5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2、可实施性：</w:t>
            </w:r>
          </w:p>
          <w:p>
            <w:pPr>
              <w:keepNext w:val="0"/>
              <w:keepLines w:val="0"/>
              <w:pageBreakBefore w:val="0"/>
              <w:widowControl/>
              <w:kinsoku/>
              <w:wordWrap/>
              <w:overflowPunct/>
              <w:topLinePunct w:val="0"/>
              <w:bidi w:val="0"/>
              <w:snapToGrid/>
              <w:spacing w:line="5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（1）可实施性强：方案</w:t>
            </w:r>
            <w:r>
              <w:rPr>
                <w:rFonts w:hint="eastAsia" w:ascii="仿宋_GB2312" w:hAnsi="仿宋_GB2312" w:eastAsia="仿宋_GB2312" w:cs="仿宋_GB2312"/>
                <w:sz w:val="28"/>
                <w:szCs w:val="28"/>
                <w:lang w:val="en-US" w:eastAsia="zh-CN"/>
              </w:rPr>
              <w:t>工作流程完善，</w:t>
            </w:r>
            <w:r>
              <w:rPr>
                <w:rFonts w:hint="eastAsia" w:ascii="仿宋_GB2312" w:hAnsi="仿宋_GB2312" w:eastAsia="仿宋_GB2312" w:cs="仿宋_GB2312"/>
                <w:sz w:val="28"/>
                <w:szCs w:val="28"/>
                <w:lang w:eastAsia="zh-CN"/>
              </w:rPr>
              <w:t>实施步骤清晰，科学合理，可操作性强。</w:t>
            </w:r>
          </w:p>
          <w:p>
            <w:pPr>
              <w:keepNext w:val="0"/>
              <w:keepLines w:val="0"/>
              <w:pageBreakBefore w:val="0"/>
              <w:widowControl/>
              <w:kinsoku/>
              <w:wordWrap/>
              <w:overflowPunct/>
              <w:topLinePunct w:val="0"/>
              <w:bidi w:val="0"/>
              <w:snapToGrid/>
              <w:spacing w:line="500" w:lineRule="exact"/>
              <w:jc w:val="left"/>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lang w:eastAsia="zh-CN"/>
              </w:rPr>
              <w:t>（2）可实施性一般：方案中存在至少一处表述模糊、难以执行或不够科学合理</w:t>
            </w:r>
            <w:r>
              <w:rPr>
                <w:rFonts w:hint="eastAsia" w:ascii="仿宋_GB2312" w:hAnsi="仿宋_GB2312" w:eastAsia="仿宋_GB2312" w:cs="仿宋_GB2312"/>
                <w:sz w:val="28"/>
                <w:szCs w:val="28"/>
                <w:highlight w:val="none"/>
                <w:lang w:eastAsia="zh-CN"/>
              </w:rPr>
              <w:t>的内容。</w:t>
            </w:r>
          </w:p>
          <w:p>
            <w:pPr>
              <w:keepNext w:val="0"/>
              <w:keepLines w:val="0"/>
              <w:pageBreakBefore w:val="0"/>
              <w:widowControl/>
              <w:numPr>
                <w:ilvl w:val="0"/>
                <w:numId w:val="0"/>
              </w:numPr>
              <w:kinsoku/>
              <w:wordWrap/>
              <w:overflowPunct/>
              <w:topLinePunct w:val="0"/>
              <w:bidi w:val="0"/>
              <w:snapToGrid/>
              <w:spacing w:line="540" w:lineRule="exact"/>
              <w:ind w:left="0" w:leftChars="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none"/>
                <w:lang w:eastAsia="zh-CN"/>
              </w:rPr>
              <w:t>（3）缺乏可实施性：方案内容空洞，工作流程不完善，实施标准、实施质量不利于采购需求的实现，存在逻辑漏洞、</w:t>
            </w:r>
            <w:r>
              <w:rPr>
                <w:rFonts w:hint="eastAsia" w:ascii="仿宋_GB2312" w:hAnsi="仿宋_GB2312" w:eastAsia="仿宋_GB2312" w:cs="仿宋_GB2312"/>
                <w:sz w:val="28"/>
                <w:szCs w:val="28"/>
                <w:highlight w:val="none"/>
                <w:lang w:val="en-US" w:eastAsia="zh-CN"/>
              </w:rPr>
              <w:t>常识错误</w:t>
            </w:r>
            <w:r>
              <w:rPr>
                <w:rFonts w:hint="eastAsia" w:ascii="仿宋_GB2312" w:hAnsi="仿宋_GB2312" w:eastAsia="仿宋_GB2312" w:cs="仿宋_GB2312"/>
                <w:sz w:val="28"/>
                <w:szCs w:val="28"/>
                <w:highlight w:val="none"/>
                <w:lang w:eastAsia="zh-CN"/>
              </w:rPr>
              <w:t>或合理性差</w:t>
            </w:r>
            <w:r>
              <w:rPr>
                <w:rFonts w:hint="eastAsia" w:ascii="仿宋_GB2312" w:hAnsi="仿宋_GB2312" w:eastAsia="仿宋_GB2312" w:cs="仿宋_GB2312"/>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Merge w:val="continue"/>
          </w:tcPr>
          <w:p>
            <w:pPr>
              <w:pageBreakBefore w:val="0"/>
              <w:widowControl w:val="0"/>
              <w:kinsoku/>
              <w:wordWrap/>
              <w:overflowPunct/>
              <w:topLinePunct w:val="0"/>
              <w:bidi w:val="0"/>
              <w:snapToGrid/>
              <w:spacing w:line="540" w:lineRule="exact"/>
              <w:rPr>
                <w:rFonts w:hint="eastAsia" w:ascii="仿宋_GB2312" w:hAnsi="仿宋_GB2312" w:eastAsia="仿宋_GB2312" w:cs="仿宋_GB2312"/>
                <w:sz w:val="28"/>
                <w:szCs w:val="28"/>
                <w:vertAlign w:val="baseline"/>
              </w:rPr>
            </w:pPr>
          </w:p>
        </w:tc>
        <w:tc>
          <w:tcPr>
            <w:tcW w:w="8778" w:type="dxa"/>
            <w:gridSpan w:val="4"/>
          </w:tcPr>
          <w:p>
            <w:pPr>
              <w:keepNext w:val="0"/>
              <w:keepLines w:val="0"/>
              <w:pageBreakBefore w:val="0"/>
              <w:widowControl/>
              <w:numPr>
                <w:ilvl w:val="0"/>
                <w:numId w:val="0"/>
              </w:numPr>
              <w:kinsoku/>
              <w:wordWrap/>
              <w:overflowPunct/>
              <w:topLinePunct w:val="0"/>
              <w:bidi w:val="0"/>
              <w:snapToGrid/>
              <w:spacing w:line="540" w:lineRule="exact"/>
              <w:ind w:left="0" w:leftChars="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磋商小组成员必须按照本评审要素据实打分，各类数字计算均按“四舍五入”保留小数点后两位</w:t>
            </w:r>
            <w:r>
              <w:rPr>
                <w:rFonts w:hint="eastAsia" w:ascii="仿宋_GB2312" w:hAnsi="仿宋_GB2312" w:eastAsia="仿宋_GB2312" w:cs="仿宋_GB2312"/>
                <w:sz w:val="28"/>
                <w:szCs w:val="28"/>
                <w:lang w:eastAsia="zh-CN"/>
              </w:rPr>
              <w:t>。</w:t>
            </w:r>
          </w:p>
        </w:tc>
      </w:tr>
    </w:tbl>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8、推荐成交候选供应商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应当根据综合评分情况，按照评审得分由高到低顺序推荐3名以上成交候选供应商（有效供应商不足三家时以实际数量推荐）。评审得分相同的，按照最后报价由低到高的顺序推荐。评审得分且最后报价相同的，按照技术指标优劣顺序推荐。</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9、编写评审报告</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同按评审报告推荐的顺序确定成交供应商。对拒绝说明理由的，须报政府采购监管部门处理，并将其评审情况如实计入考核表。</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当排序推荐磋商供应商名单出现多数评委成员的评审意见比较一致，某一个别评委的赋分畸高畸低，导致排序结果改变的，该评委</w:t>
      </w:r>
      <w:r>
        <w:rPr>
          <w:rFonts w:hint="eastAsia" w:ascii="仿宋_GB2312" w:hAnsi="仿宋_GB2312" w:eastAsia="仿宋_GB2312" w:cs="仿宋_GB2312"/>
          <w:color w:val="auto"/>
          <w:sz w:val="28"/>
          <w:szCs w:val="28"/>
          <w:lang w:val="en-US" w:eastAsia="zh-CN"/>
        </w:rPr>
        <w:t>应当</w:t>
      </w:r>
      <w:r>
        <w:rPr>
          <w:rFonts w:hint="eastAsia" w:ascii="仿宋_GB2312" w:hAnsi="仿宋_GB2312" w:eastAsia="仿宋_GB2312" w:cs="仿宋_GB2312"/>
          <w:color w:val="auto"/>
          <w:sz w:val="28"/>
          <w:szCs w:val="28"/>
        </w:rPr>
        <w:t>重新进行评价，并向磋商</w:t>
      </w:r>
      <w:r>
        <w:rPr>
          <w:rFonts w:hint="eastAsia" w:ascii="仿宋_GB2312" w:hAnsi="仿宋_GB2312" w:eastAsia="仿宋_GB2312" w:cs="仿宋_GB2312"/>
          <w:color w:val="auto"/>
          <w:sz w:val="28"/>
          <w:szCs w:val="28"/>
          <w:lang w:val="en-US" w:eastAsia="zh-CN"/>
        </w:rPr>
        <w:t>小组</w:t>
      </w:r>
      <w:r>
        <w:rPr>
          <w:rFonts w:hint="eastAsia" w:ascii="仿宋_GB2312" w:hAnsi="仿宋_GB2312" w:eastAsia="仿宋_GB2312" w:cs="仿宋_GB2312"/>
          <w:color w:val="auto"/>
          <w:sz w:val="28"/>
          <w:szCs w:val="28"/>
        </w:rPr>
        <w:t>说明其赋分的合理理由，对拒绝说明、拒绝重新评价的，报告同级财政政府采购管理部门处理。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除下列情形外，任何人不得以任何理由组织重新评审：</w:t>
      </w:r>
    </w:p>
    <w:p>
      <w:pPr>
        <w:pageBreakBefore w:val="0"/>
        <w:widowControl/>
        <w:kinsoku/>
        <w:overflowPunct/>
        <w:topLinePunct w:val="0"/>
        <w:autoSpaceDE/>
        <w:autoSpaceDN/>
        <w:bidi w:val="0"/>
        <w:adjustRightInd/>
        <w:snapToGrid/>
        <w:spacing w:line="560" w:lineRule="exact"/>
        <w:ind w:firstLine="1132" w:firstLineChars="4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①</w:t>
      </w:r>
      <w:r>
        <w:rPr>
          <w:rFonts w:hint="eastAsia" w:ascii="仿宋_GB2312" w:hAnsi="仿宋_GB2312" w:eastAsia="仿宋_GB2312" w:cs="仿宋_GB2312"/>
          <w:color w:val="auto"/>
          <w:sz w:val="28"/>
          <w:szCs w:val="28"/>
        </w:rPr>
        <w:t>资格性检查认定错误的；</w:t>
      </w:r>
    </w:p>
    <w:p>
      <w:pPr>
        <w:pageBreakBefore w:val="0"/>
        <w:widowControl/>
        <w:kinsoku/>
        <w:overflowPunct/>
        <w:topLinePunct w:val="0"/>
        <w:autoSpaceDE/>
        <w:autoSpaceDN/>
        <w:bidi w:val="0"/>
        <w:adjustRightInd/>
        <w:snapToGrid/>
        <w:spacing w:line="560" w:lineRule="exact"/>
        <w:ind w:firstLine="1132" w:firstLineChars="4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②</w:t>
      </w:r>
      <w:r>
        <w:rPr>
          <w:rFonts w:hint="eastAsia" w:ascii="仿宋_GB2312" w:hAnsi="仿宋_GB2312" w:eastAsia="仿宋_GB2312" w:cs="仿宋_GB2312"/>
          <w:color w:val="auto"/>
          <w:sz w:val="28"/>
          <w:szCs w:val="28"/>
        </w:rPr>
        <w:t xml:space="preserve">分值汇总计算错误的； </w:t>
      </w:r>
    </w:p>
    <w:p>
      <w:pPr>
        <w:pageBreakBefore w:val="0"/>
        <w:widowControl/>
        <w:kinsoku/>
        <w:overflowPunct/>
        <w:topLinePunct w:val="0"/>
        <w:autoSpaceDE/>
        <w:autoSpaceDN/>
        <w:bidi w:val="0"/>
        <w:adjustRightInd/>
        <w:snapToGrid/>
        <w:spacing w:line="560" w:lineRule="exact"/>
        <w:ind w:firstLine="1132" w:firstLineChars="4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③</w:t>
      </w:r>
      <w:r>
        <w:rPr>
          <w:rFonts w:hint="eastAsia" w:ascii="仿宋_GB2312" w:hAnsi="仿宋_GB2312" w:eastAsia="仿宋_GB2312" w:cs="仿宋_GB2312"/>
          <w:color w:val="auto"/>
          <w:sz w:val="28"/>
          <w:szCs w:val="28"/>
        </w:rPr>
        <w:t>分项评分超出评分标准范围的；</w:t>
      </w:r>
    </w:p>
    <w:p>
      <w:pPr>
        <w:pageBreakBefore w:val="0"/>
        <w:widowControl/>
        <w:kinsoku/>
        <w:overflowPunct/>
        <w:topLinePunct w:val="0"/>
        <w:autoSpaceDE/>
        <w:autoSpaceDN/>
        <w:bidi w:val="0"/>
        <w:adjustRightInd/>
        <w:snapToGrid/>
        <w:spacing w:line="560" w:lineRule="exact"/>
        <w:ind w:firstLine="1132" w:firstLineChars="4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④</w:t>
      </w:r>
      <w:r>
        <w:rPr>
          <w:rFonts w:hint="eastAsia" w:ascii="仿宋_GB2312" w:hAnsi="仿宋_GB2312" w:eastAsia="仿宋_GB2312" w:cs="仿宋_GB2312"/>
          <w:color w:val="auto"/>
          <w:sz w:val="28"/>
          <w:szCs w:val="28"/>
        </w:rPr>
        <w:t>客观分因素评分不一致的；</w:t>
      </w:r>
    </w:p>
    <w:p>
      <w:pPr>
        <w:pageBreakBefore w:val="0"/>
        <w:widowControl/>
        <w:kinsoku/>
        <w:overflowPunct/>
        <w:topLinePunct w:val="0"/>
        <w:autoSpaceDE/>
        <w:autoSpaceDN/>
        <w:bidi w:val="0"/>
        <w:adjustRightInd/>
        <w:snapToGrid/>
        <w:spacing w:line="560" w:lineRule="exact"/>
        <w:ind w:firstLine="1132" w:firstLineChars="4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⑤</w:t>
      </w:r>
      <w:r>
        <w:rPr>
          <w:rFonts w:hint="eastAsia" w:ascii="仿宋_GB2312" w:hAnsi="仿宋_GB2312" w:eastAsia="仿宋_GB2312" w:cs="仿宋_GB2312"/>
          <w:color w:val="auto"/>
          <w:sz w:val="28"/>
          <w:szCs w:val="28"/>
        </w:rPr>
        <w:t>经磋商小组一致认定评分畸高、畸低的情形。</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（六）有下列情况之一的，视为供应商串通投标，其投标无效：</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1、不同供应商的响应文件由同一单位或者个人编制；</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2、不同供应商的响应文件由同一台电脑编制；</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3、不同供应商委托同一单位或者个人办理投标事宜；</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不同供应商的响应文件载明的项目管理成员或者联系人员为同一人；</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5、不同供应商的响应文件异常一致或者磋商报价呈规律性差异；</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6、政府采购法律法规及磋商文件规定的其他情形。</w:t>
      </w:r>
    </w:p>
    <w:p>
      <w:pPr>
        <w:pStyle w:val="4"/>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53" w:name="_Toc28384"/>
      <w:bookmarkStart w:id="154" w:name="_Toc28287"/>
      <w:bookmarkStart w:id="155" w:name="_Toc25855"/>
      <w:bookmarkStart w:id="156" w:name="_Toc4670"/>
      <w:bookmarkStart w:id="157" w:name="_Toc3023"/>
      <w:bookmarkStart w:id="158" w:name="_Toc17612"/>
      <w:bookmarkStart w:id="159" w:name="_Toc22712"/>
      <w:bookmarkStart w:id="160" w:name="_Toc445306493"/>
      <w:bookmarkStart w:id="161" w:name="_Toc495014920"/>
      <w:bookmarkStart w:id="162" w:name="_Toc495014611"/>
      <w:bookmarkStart w:id="163" w:name="_Toc495014954"/>
      <w:bookmarkStart w:id="164" w:name="_Toc495012821"/>
      <w:bookmarkStart w:id="165" w:name="_Toc495014649"/>
      <w:bookmarkStart w:id="166" w:name="_Toc495014585"/>
      <w:bookmarkStart w:id="167" w:name="_Toc495012771"/>
      <w:bookmarkStart w:id="168" w:name="_Toc619_WPSOffice_Level1"/>
      <w:bookmarkStart w:id="169" w:name="_Toc424636365"/>
      <w:bookmarkStart w:id="170" w:name="_Toc28286_WPSOffice_Level1"/>
      <w:r>
        <w:rPr>
          <w:rFonts w:hint="eastAsia" w:ascii="仿宋_GB2312" w:hAnsi="仿宋_GB2312" w:eastAsia="仿宋_GB2312" w:cs="仿宋_GB2312"/>
          <w:color w:val="auto"/>
          <w:sz w:val="28"/>
          <w:szCs w:val="28"/>
          <w:lang w:val="en-US" w:eastAsia="zh-CN"/>
        </w:rPr>
        <w:t>八</w:t>
      </w:r>
      <w:r>
        <w:rPr>
          <w:rFonts w:hint="eastAsia" w:ascii="仿宋_GB2312" w:hAnsi="仿宋_GB2312" w:eastAsia="仿宋_GB2312" w:cs="仿宋_GB2312"/>
          <w:color w:val="auto"/>
          <w:sz w:val="28"/>
          <w:szCs w:val="28"/>
        </w:rPr>
        <w:t>、成交</w:t>
      </w:r>
      <w:bookmarkEnd w:id="153"/>
      <w:bookmarkEnd w:id="154"/>
      <w:bookmarkEnd w:id="155"/>
      <w:bookmarkEnd w:id="156"/>
      <w:bookmarkEnd w:id="157"/>
      <w:bookmarkEnd w:id="158"/>
      <w:bookmarkEnd w:id="159"/>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在评审结束后2个工作日内将评审报告送采购人确认。</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采购人在收到评审报告之日起5个工作日内，从评审报告提出的成交候选供应商中，按照排序由高到低的原则确定成交供应商。采购人逾期未确定成交供应商且不提出异议的，视同按评审报告提出的排序第一的供应商为成交供应商。</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（三）</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将在成交供应商确定之日起2个工作日内，在</w:t>
      </w:r>
      <w:r>
        <w:rPr>
          <w:rFonts w:hint="eastAsia" w:ascii="仿宋_GB2312" w:hAnsi="仿宋_GB2312" w:eastAsia="仿宋_GB2312" w:cs="仿宋_GB2312"/>
          <w:color w:val="auto"/>
          <w:sz w:val="28"/>
          <w:szCs w:val="28"/>
          <w:lang w:val="en-US" w:eastAsia="zh-CN"/>
        </w:rPr>
        <w:t>以下网址发布结果公告：</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【陕西省政府采购网（www.ccgp-shaanxi.gov.cn/）】中的〖首页·〉市级公告·〉</w:t>
      </w:r>
      <w:r>
        <w:rPr>
          <w:rFonts w:hint="eastAsia" w:ascii="仿宋_GB2312" w:hAnsi="仿宋_GB2312" w:eastAsia="仿宋_GB2312" w:cs="仿宋_GB2312"/>
          <w:color w:val="auto"/>
          <w:sz w:val="28"/>
          <w:szCs w:val="28"/>
          <w:lang w:val="en-US" w:eastAsia="zh-CN"/>
        </w:rPr>
        <w:t>结果</w:t>
      </w:r>
      <w:r>
        <w:rPr>
          <w:rFonts w:hint="eastAsia" w:ascii="仿宋_GB2312" w:hAnsi="仿宋_GB2312" w:eastAsia="仿宋_GB2312" w:cs="仿宋_GB2312"/>
          <w:color w:val="auto"/>
          <w:sz w:val="28"/>
          <w:szCs w:val="28"/>
        </w:rPr>
        <w:t>公告</w:t>
      </w:r>
      <w:r>
        <w:rPr>
          <w:rFonts w:hint="eastAsia" w:ascii="仿宋_GB2312" w:hAnsi="仿宋_GB2312" w:eastAsia="仿宋_GB2312" w:cs="仿宋_GB2312"/>
          <w:color w:val="auto"/>
          <w:sz w:val="28"/>
          <w:szCs w:val="28"/>
          <w:lang w:val="en-US" w:eastAsia="zh-CN"/>
        </w:rPr>
        <w:t>/终止公告</w:t>
      </w:r>
      <w:r>
        <w:rPr>
          <w:rFonts w:hint="eastAsia" w:ascii="仿宋_GB2312" w:hAnsi="仿宋_GB2312" w:eastAsia="仿宋_GB2312" w:cs="仿宋_GB2312"/>
          <w:color w:val="auto"/>
          <w:sz w:val="28"/>
          <w:szCs w:val="28"/>
        </w:rPr>
        <w:t>〗；</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【全国公共资源交易平台（汉中市）（sxggzyjy.hanzhong.gov.cn/）】中的〖首页·〉交易大厅·〉政府采购·〉</w:t>
      </w:r>
      <w:r>
        <w:rPr>
          <w:rFonts w:hint="eastAsia" w:ascii="仿宋_GB2312" w:hAnsi="仿宋_GB2312" w:eastAsia="仿宋_GB2312" w:cs="仿宋_GB2312"/>
          <w:color w:val="auto"/>
          <w:sz w:val="28"/>
          <w:szCs w:val="28"/>
          <w:lang w:val="en-US" w:eastAsia="zh-CN"/>
        </w:rPr>
        <w:t>中标（成交）结果/终止公告</w:t>
      </w:r>
      <w:r>
        <w:rPr>
          <w:rFonts w:hint="eastAsia" w:ascii="仿宋_GB2312" w:hAnsi="仿宋_GB2312" w:eastAsia="仿宋_GB2312" w:cs="仿宋_GB2312"/>
          <w:color w:val="auto"/>
          <w:sz w:val="28"/>
          <w:szCs w:val="28"/>
        </w:rPr>
        <w:t>〗。</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四</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采购人</w:t>
      </w:r>
      <w:r>
        <w:rPr>
          <w:rFonts w:hint="eastAsia" w:ascii="仿宋_GB2312" w:hAnsi="仿宋_GB2312" w:eastAsia="仿宋_GB2312" w:cs="仿宋_GB2312"/>
          <w:color w:val="auto"/>
          <w:sz w:val="28"/>
          <w:szCs w:val="28"/>
        </w:rPr>
        <w:t>向成交供应商发出成交通知书。</w:t>
      </w:r>
    </w:p>
    <w:p>
      <w:pPr>
        <w:pStyle w:val="4"/>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71" w:name="_Toc23938"/>
      <w:bookmarkStart w:id="172" w:name="_Toc18233"/>
      <w:bookmarkStart w:id="173" w:name="_Toc10386"/>
      <w:bookmarkStart w:id="174" w:name="_Toc3100"/>
      <w:bookmarkStart w:id="175" w:name="_Toc28870"/>
      <w:bookmarkStart w:id="176" w:name="_Toc20049"/>
      <w:bookmarkStart w:id="177" w:name="_Toc14009"/>
      <w:r>
        <w:rPr>
          <w:rFonts w:hint="eastAsia" w:ascii="仿宋_GB2312" w:hAnsi="仿宋_GB2312" w:eastAsia="仿宋_GB2312" w:cs="仿宋_GB2312"/>
          <w:color w:val="auto"/>
          <w:sz w:val="28"/>
          <w:szCs w:val="28"/>
          <w:lang w:val="en-US" w:eastAsia="zh-CN"/>
        </w:rPr>
        <w:t>九</w:t>
      </w:r>
      <w:r>
        <w:rPr>
          <w:rFonts w:hint="eastAsia" w:ascii="仿宋_GB2312" w:hAnsi="仿宋_GB2312" w:eastAsia="仿宋_GB2312" w:cs="仿宋_GB2312"/>
          <w:color w:val="auto"/>
          <w:sz w:val="28"/>
          <w:szCs w:val="28"/>
        </w:rPr>
        <w:t>、签订</w:t>
      </w:r>
      <w:r>
        <w:rPr>
          <w:rFonts w:hint="eastAsia" w:ascii="仿宋_GB2312" w:hAnsi="仿宋_GB2312" w:eastAsia="仿宋_GB2312" w:cs="仿宋_GB2312"/>
          <w:color w:val="auto"/>
          <w:kern w:val="0"/>
          <w:sz w:val="28"/>
          <w:szCs w:val="28"/>
        </w:rPr>
        <w:t>政府采购合同</w:t>
      </w:r>
      <w:bookmarkEnd w:id="171"/>
      <w:bookmarkEnd w:id="172"/>
      <w:bookmarkEnd w:id="173"/>
      <w:bookmarkEnd w:id="174"/>
      <w:bookmarkEnd w:id="175"/>
      <w:bookmarkEnd w:id="176"/>
      <w:bookmarkEnd w:id="177"/>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（一）采购人与成交供应商应当在《成交通知书》发出之后，洽谈合同条款内容，拟定合同文本草案。并在《成交通知书》发出之日起30日内签订书面合同。</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（二）合同在执行过程中，确需修改、变更时，应当按照相应的审核批准程序办理。</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（三）磋商文件、补充通知、磋商响应文件、补充协议等为合同的组成部分，具有同等法律效力。成交供应商不得将合同分包、转让他人。</w:t>
      </w:r>
    </w:p>
    <w:p>
      <w:pPr>
        <w:pStyle w:val="4"/>
        <w:pageBreakBefore w:val="0"/>
        <w:widowControl/>
        <w:kinsoku/>
        <w:wordWrap/>
        <w:overflowPunct/>
        <w:topLinePunct w:val="0"/>
        <w:autoSpaceDE/>
        <w:autoSpaceDN/>
        <w:bidi w:val="0"/>
        <w:adjustRightInd/>
        <w:snapToGrid/>
        <w:spacing w:line="560" w:lineRule="exact"/>
        <w:ind w:firstLine="566" w:firstLineChars="200"/>
        <w:textAlignment w:val="auto"/>
        <w:rPr>
          <w:rFonts w:ascii="黑体" w:hAnsi="黑体" w:eastAsia="黑体"/>
          <w:color w:val="auto"/>
          <w:sz w:val="28"/>
          <w:szCs w:val="28"/>
        </w:rPr>
        <w:sectPr>
          <w:headerReference r:id="rId7" w:type="default"/>
          <w:footerReference r:id="rId8" w:type="default"/>
          <w:pgSz w:w="11906" w:h="16838"/>
          <w:pgMar w:top="1417" w:right="1129" w:bottom="1134" w:left="1417" w:header="850" w:footer="992" w:gutter="0"/>
          <w:pgBorders>
            <w:top w:val="none" w:sz="0" w:space="0"/>
            <w:left w:val="none" w:sz="0" w:space="0"/>
            <w:bottom w:val="none" w:sz="0" w:space="0"/>
            <w:right w:val="none" w:sz="0" w:space="0"/>
          </w:pgBorders>
          <w:pgNumType w:fmt="decimal" w:start="1"/>
          <w:cols w:space="720" w:num="1"/>
          <w:docGrid w:type="linesAndChars" w:linePitch="381" w:charSpace="704"/>
        </w:sectPr>
      </w:pPr>
      <w:bookmarkStart w:id="178" w:name="_Toc4764"/>
      <w:bookmarkStart w:id="179" w:name="_Toc17324"/>
      <w:bookmarkStart w:id="180" w:name="_Toc11780"/>
      <w:bookmarkStart w:id="181" w:name="_Toc11584"/>
      <w:bookmarkStart w:id="182" w:name="_Toc23303"/>
      <w:bookmarkStart w:id="183" w:name="_Toc10336"/>
      <w:bookmarkStart w:id="184" w:name="_Toc8426"/>
      <w:bookmarkStart w:id="185" w:name="_Toc5278"/>
      <w:bookmarkStart w:id="186" w:name="_Toc14560"/>
      <w:r>
        <w:rPr>
          <w:rFonts w:hint="eastAsia" w:ascii="仿宋_GB2312" w:hAnsi="仿宋_GB2312" w:eastAsia="仿宋_GB2312" w:cs="仿宋_GB2312"/>
          <w:color w:val="auto"/>
          <w:sz w:val="28"/>
          <w:szCs w:val="28"/>
        </w:rPr>
        <w:t>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采购代理服务费：免费</w:t>
      </w:r>
      <w:bookmarkEnd w:id="178"/>
      <w:bookmarkEnd w:id="179"/>
      <w:bookmarkEnd w:id="180"/>
      <w:bookmarkEnd w:id="181"/>
      <w:bookmarkEnd w:id="182"/>
      <w:bookmarkEnd w:id="183"/>
      <w:bookmarkEnd w:id="184"/>
      <w:bookmarkEnd w:id="185"/>
      <w:bookmarkEnd w:id="186"/>
    </w:p>
    <w:p>
      <w:pPr>
        <w:pStyle w:val="3"/>
        <w:rPr>
          <w:rFonts w:hint="eastAsia" w:ascii="方正小标宋简体" w:hAnsi="方正小标宋简体" w:eastAsia="方正小标宋简体" w:cs="方正小标宋简体"/>
          <w:b w:val="0"/>
          <w:bCs w:val="0"/>
          <w:color w:val="030303"/>
          <w:sz w:val="44"/>
          <w:szCs w:val="44"/>
          <w:lang w:val="en-US" w:eastAsia="zh-CN"/>
        </w:rPr>
      </w:pPr>
      <w:bookmarkStart w:id="187" w:name="_Toc10476_WPSOffice_Level1"/>
      <w:bookmarkStart w:id="188" w:name="_Toc31517"/>
      <w:bookmarkStart w:id="189" w:name="_Toc6345"/>
      <w:bookmarkStart w:id="190" w:name="_Toc2772"/>
      <w:bookmarkStart w:id="191" w:name="_Toc22915"/>
      <w:r>
        <w:rPr>
          <w:rFonts w:hint="eastAsia" w:ascii="黑体" w:hAnsi="黑体" w:eastAsia="黑体" w:cs="黑体"/>
          <w:b w:val="0"/>
          <w:bCs/>
          <w:color w:val="auto"/>
          <w:sz w:val="32"/>
          <w:szCs w:val="40"/>
        </w:rPr>
        <w:t>第三章  磋商内容及采</w:t>
      </w:r>
      <w:bookmarkEnd w:id="187"/>
      <w:r>
        <w:rPr>
          <w:rFonts w:hint="eastAsia" w:ascii="黑体" w:hAnsi="黑体" w:eastAsia="黑体" w:cs="黑体"/>
          <w:b w:val="0"/>
          <w:bCs/>
          <w:color w:val="auto"/>
          <w:sz w:val="32"/>
          <w:szCs w:val="40"/>
        </w:rPr>
        <w:t>购要求</w:t>
      </w:r>
      <w:bookmarkEnd w:id="160"/>
      <w:bookmarkEnd w:id="161"/>
      <w:bookmarkEnd w:id="162"/>
      <w:bookmarkEnd w:id="163"/>
      <w:bookmarkEnd w:id="164"/>
      <w:bookmarkEnd w:id="165"/>
      <w:bookmarkEnd w:id="166"/>
      <w:bookmarkEnd w:id="167"/>
      <w:bookmarkEnd w:id="168"/>
      <w:bookmarkEnd w:id="169"/>
      <w:bookmarkEnd w:id="170"/>
      <w:bookmarkEnd w:id="188"/>
      <w:bookmarkEnd w:id="189"/>
      <w:bookmarkEnd w:id="190"/>
      <w:bookmarkEnd w:id="191"/>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outlineLvl w:val="0"/>
        <w:rPr>
          <w:rFonts w:hint="eastAsia" w:ascii="仿宋_GB2312" w:hAnsi="仿宋_GB2312" w:eastAsia="仿宋_GB2312" w:cs="仿宋_GB2312"/>
          <w:b/>
          <w:kern w:val="1"/>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outlineLvl w:val="0"/>
        <w:rPr>
          <w:rFonts w:hint="eastAsia" w:ascii="仿宋_GB2312" w:hAnsi="仿宋_GB2312" w:eastAsia="仿宋_GB2312" w:cs="仿宋_GB2312"/>
          <w:bCs/>
          <w:sz w:val="28"/>
          <w:szCs w:val="28"/>
        </w:rPr>
      </w:pPr>
      <w:r>
        <w:rPr>
          <w:rFonts w:hint="eastAsia" w:ascii="仿宋_GB2312" w:hAnsi="仿宋_GB2312" w:eastAsia="仿宋_GB2312" w:cs="仿宋_GB2312"/>
          <w:b/>
          <w:kern w:val="1"/>
          <w:sz w:val="28"/>
          <w:szCs w:val="28"/>
          <w:lang w:val="en-US" w:eastAsia="zh-CN"/>
        </w:rPr>
        <w:t>一</w:t>
      </w:r>
      <w:r>
        <w:rPr>
          <w:rFonts w:hint="eastAsia" w:ascii="仿宋_GB2312" w:hAnsi="仿宋_GB2312" w:eastAsia="仿宋_GB2312" w:cs="仿宋_GB2312"/>
          <w:b/>
          <w:kern w:val="1"/>
          <w:sz w:val="28"/>
          <w:szCs w:val="28"/>
        </w:rPr>
        <w:t xml:space="preserve"> 、安保服务内容</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bCs/>
          <w:sz w:val="28"/>
          <w:szCs w:val="28"/>
        </w:rPr>
        <w:t>（一）包括以下安保服务内容但不限于以下安保服务内容：</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履行甲方门卫值班和校园巡逻及重点场所安全守护等职责。负责甲方南校区各个大门的门禁管理工作、车辆收费和图书馆、知行楼、消防总控室、监控中心及天汉湖、地下停车场（图书馆、3号实验楼）等重点安全部位值班值守以及校园公共区域的安全巡查；</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2.对进入校园的外来人员及车辆进行验证和登记；</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3.配合甲方对各类案、事件进行预防和处置工作；</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4.对校园进行24小时值班巡查守护，包括防洪防汛巡查、校内交通秩序维护与治理；</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5.做好校园内正常的教学、工作和生活秩序的服务保障工作，减少和预防各类案、事件的发生；</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6.对突发的各类案、事件及时报告甲方，适时拨打110、119、120，采取措施保护第一事发现场；</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7.负责组建义务（志愿）消防队，队员应熟练使用消防器材、操作消防设施、对初期火灾能进行及时有效的处置和扑救；</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8.组建应急处突队伍，对学校各类案、事件进行及时响应和处置；</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9.加强校园各类安全隐患排查并及时汇报给甲方；</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10.完成学校各类活动、会议、临时安保和甲方安排的其他工作和执勤任务；</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11.协助做好校园及周边综合治理等。</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二</w:t>
      </w:r>
      <w:r>
        <w:rPr>
          <w:rFonts w:hint="eastAsia" w:ascii="仿宋_GB2312" w:hAnsi="仿宋_GB2312" w:eastAsia="仿宋_GB2312" w:cs="仿宋_GB2312"/>
          <w:b/>
          <w:sz w:val="28"/>
          <w:szCs w:val="28"/>
        </w:rPr>
        <w:t>、安保岗位设置及人员等相关要求</w:t>
      </w:r>
    </w:p>
    <w:p>
      <w:pPr>
        <w:pStyle w:val="8"/>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sz w:val="28"/>
          <w:szCs w:val="28"/>
        </w:rPr>
        <w:t xml:space="preserve">    （一）安保岗位</w:t>
      </w:r>
      <w:r>
        <w:rPr>
          <w:rFonts w:hint="eastAsia" w:ascii="仿宋_GB2312" w:hAnsi="仿宋_GB2312" w:eastAsia="仿宋_GB2312" w:cs="仿宋_GB2312"/>
          <w:b/>
          <w:color w:val="000000"/>
          <w:sz w:val="28"/>
          <w:szCs w:val="28"/>
        </w:rPr>
        <w:t>设置</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乙方根据甲方保卫任务及岗位设置要求，选派保安员(人数：80人</w:t>
      </w:r>
      <w:r>
        <w:rPr>
          <w:rFonts w:hint="eastAsia" w:ascii="仿宋_GB2312" w:hAnsi="仿宋_GB2312" w:eastAsia="仿宋_GB2312" w:cs="仿宋_GB2312"/>
          <w:b/>
          <w:sz w:val="28"/>
          <w:szCs w:val="28"/>
        </w:rPr>
        <w:t>)</w:t>
      </w:r>
    </w:p>
    <w:tbl>
      <w:tblPr>
        <w:tblStyle w:val="21"/>
        <w:tblW w:w="9323" w:type="dxa"/>
        <w:tblInd w:w="53" w:type="dxa"/>
        <w:tblLayout w:type="fixed"/>
        <w:tblCellMar>
          <w:top w:w="0" w:type="dxa"/>
          <w:left w:w="108" w:type="dxa"/>
          <w:bottom w:w="0" w:type="dxa"/>
          <w:right w:w="108" w:type="dxa"/>
        </w:tblCellMar>
      </w:tblPr>
      <w:tblGrid>
        <w:gridCol w:w="813"/>
        <w:gridCol w:w="1784"/>
        <w:gridCol w:w="861"/>
        <w:gridCol w:w="789"/>
        <w:gridCol w:w="5076"/>
      </w:tblGrid>
      <w:tr>
        <w:tblPrEx>
          <w:tblCellMar>
            <w:top w:w="0" w:type="dxa"/>
            <w:left w:w="108" w:type="dxa"/>
            <w:bottom w:w="0" w:type="dxa"/>
            <w:right w:w="108" w:type="dxa"/>
          </w:tblCellMar>
        </w:tblPrEx>
        <w:trPr>
          <w:trHeight w:val="634" w:hRule="atLeast"/>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序号</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岗位</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值班</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巡逻</w:t>
            </w:r>
          </w:p>
        </w:tc>
        <w:tc>
          <w:tcPr>
            <w:tcW w:w="5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566" w:firstLineChars="200"/>
              <w:jc w:val="center"/>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岗位设置要求</w:t>
            </w:r>
          </w:p>
        </w:tc>
      </w:tr>
      <w:tr>
        <w:tblPrEx>
          <w:tblCellMar>
            <w:top w:w="0" w:type="dxa"/>
            <w:left w:w="108" w:type="dxa"/>
            <w:bottom w:w="0" w:type="dxa"/>
            <w:right w:w="108" w:type="dxa"/>
          </w:tblCellMar>
        </w:tblPrEx>
        <w:trPr>
          <w:trHeight w:val="314" w:hRule="atLeast"/>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1</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项目管理人</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sz w:val="28"/>
                <w:szCs w:val="28"/>
              </w:rPr>
            </w:pPr>
          </w:p>
        </w:tc>
        <w:tc>
          <w:tcPr>
            <w:tcW w:w="5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566" w:firstLineChars="200"/>
              <w:jc w:val="center"/>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1人</w:t>
            </w:r>
          </w:p>
        </w:tc>
      </w:tr>
      <w:tr>
        <w:tblPrEx>
          <w:tblCellMar>
            <w:top w:w="0" w:type="dxa"/>
            <w:left w:w="108" w:type="dxa"/>
            <w:bottom w:w="0" w:type="dxa"/>
            <w:right w:w="108" w:type="dxa"/>
          </w:tblCellMar>
        </w:tblPrEx>
        <w:trPr>
          <w:trHeight w:val="314" w:hRule="atLeast"/>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2</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安保队长</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sz w:val="28"/>
                <w:szCs w:val="28"/>
              </w:rPr>
            </w:pPr>
          </w:p>
        </w:tc>
        <w:tc>
          <w:tcPr>
            <w:tcW w:w="5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566" w:firstLineChars="200"/>
              <w:jc w:val="center"/>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24小时值班（</w:t>
            </w:r>
            <w:r>
              <w:rPr>
                <w:rFonts w:hint="eastAsia" w:ascii="仿宋_GB2312" w:hAnsi="仿宋_GB2312" w:eastAsia="仿宋_GB2312" w:cs="仿宋_GB2312"/>
                <w:bCs/>
                <w:sz w:val="28"/>
                <w:szCs w:val="28"/>
              </w:rPr>
              <w:t>不少于1人</w:t>
            </w:r>
            <w:r>
              <w:rPr>
                <w:rFonts w:hint="eastAsia" w:ascii="仿宋_GB2312" w:hAnsi="仿宋_GB2312" w:eastAsia="仿宋_GB2312" w:cs="仿宋_GB2312"/>
                <w:bCs/>
                <w:color w:val="000000"/>
                <w:sz w:val="28"/>
                <w:szCs w:val="28"/>
              </w:rPr>
              <w:t>）</w:t>
            </w:r>
          </w:p>
        </w:tc>
      </w:tr>
      <w:tr>
        <w:tblPrEx>
          <w:tblCellMar>
            <w:top w:w="0" w:type="dxa"/>
            <w:left w:w="108" w:type="dxa"/>
            <w:bottom w:w="0" w:type="dxa"/>
            <w:right w:w="108" w:type="dxa"/>
          </w:tblCellMar>
        </w:tblPrEx>
        <w:trPr>
          <w:trHeight w:val="1279" w:hRule="atLeast"/>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3</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sz w:val="28"/>
                <w:szCs w:val="28"/>
              </w:rPr>
              <w:t>东门门卫及访客登记</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sz w:val="28"/>
                <w:szCs w:val="28"/>
              </w:rPr>
            </w:pPr>
          </w:p>
        </w:tc>
        <w:tc>
          <w:tcPr>
            <w:tcW w:w="5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24小时值班，北入口在岗人员每班2人、南出口每班2人；</w:t>
            </w:r>
            <w:r>
              <w:rPr>
                <w:rFonts w:hint="eastAsia" w:ascii="仿宋_GB2312" w:hAnsi="仿宋_GB2312" w:eastAsia="仿宋_GB2312" w:cs="仿宋_GB2312"/>
                <w:bCs/>
                <w:sz w:val="28"/>
                <w:szCs w:val="28"/>
              </w:rPr>
              <w:t>访客登记不少于1人。</w:t>
            </w:r>
          </w:p>
        </w:tc>
      </w:tr>
      <w:tr>
        <w:tblPrEx>
          <w:tblCellMar>
            <w:top w:w="0" w:type="dxa"/>
            <w:left w:w="108" w:type="dxa"/>
            <w:bottom w:w="0" w:type="dxa"/>
            <w:right w:w="108" w:type="dxa"/>
          </w:tblCellMar>
        </w:tblPrEx>
        <w:trPr>
          <w:trHeight w:val="314" w:hRule="atLeast"/>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4</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南门门卫及</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sz w:val="28"/>
                <w:szCs w:val="28"/>
              </w:rPr>
              <w:t>访客登记</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sz w:val="28"/>
                <w:szCs w:val="28"/>
              </w:rPr>
            </w:pPr>
          </w:p>
        </w:tc>
        <w:tc>
          <w:tcPr>
            <w:tcW w:w="5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24小时值班，西出口在岗人员每班2人、东入口每班2人；车辆收费每班不少于1人（7:00—23:00）；</w:t>
            </w:r>
            <w:r>
              <w:rPr>
                <w:rFonts w:hint="eastAsia" w:ascii="仿宋_GB2312" w:hAnsi="仿宋_GB2312" w:eastAsia="仿宋_GB2312" w:cs="仿宋_GB2312"/>
                <w:bCs/>
                <w:sz w:val="28"/>
                <w:szCs w:val="28"/>
              </w:rPr>
              <w:t>访客登记</w:t>
            </w:r>
            <w:r>
              <w:rPr>
                <w:rFonts w:hint="eastAsia" w:ascii="仿宋_GB2312" w:hAnsi="仿宋_GB2312" w:eastAsia="仿宋_GB2312" w:cs="仿宋_GB2312"/>
                <w:bCs/>
                <w:color w:val="000000"/>
                <w:sz w:val="28"/>
                <w:szCs w:val="28"/>
              </w:rPr>
              <w:t>不少于1人。</w:t>
            </w:r>
          </w:p>
        </w:tc>
      </w:tr>
      <w:tr>
        <w:tblPrEx>
          <w:tblCellMar>
            <w:top w:w="0" w:type="dxa"/>
            <w:left w:w="108" w:type="dxa"/>
            <w:bottom w:w="0" w:type="dxa"/>
            <w:right w:w="108" w:type="dxa"/>
          </w:tblCellMar>
        </w:tblPrEx>
        <w:trPr>
          <w:trHeight w:val="518" w:hRule="atLeast"/>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5</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西门门卫</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sz w:val="28"/>
                <w:szCs w:val="28"/>
              </w:rPr>
            </w:pPr>
          </w:p>
        </w:tc>
        <w:tc>
          <w:tcPr>
            <w:tcW w:w="5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24小时值班，每班在岗不少于1人。</w:t>
            </w:r>
          </w:p>
        </w:tc>
      </w:tr>
      <w:tr>
        <w:tblPrEx>
          <w:tblCellMar>
            <w:top w:w="0" w:type="dxa"/>
            <w:left w:w="108" w:type="dxa"/>
            <w:bottom w:w="0" w:type="dxa"/>
            <w:right w:w="108" w:type="dxa"/>
          </w:tblCellMar>
        </w:tblPrEx>
        <w:trPr>
          <w:trHeight w:val="630" w:hRule="atLeast"/>
        </w:trPr>
        <w:tc>
          <w:tcPr>
            <w:tcW w:w="81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6</w:t>
            </w:r>
          </w:p>
        </w:tc>
        <w:tc>
          <w:tcPr>
            <w:tcW w:w="178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北门门卫</w:t>
            </w:r>
          </w:p>
        </w:tc>
        <w:tc>
          <w:tcPr>
            <w:tcW w:w="86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w:t>
            </w:r>
          </w:p>
        </w:tc>
        <w:tc>
          <w:tcPr>
            <w:tcW w:w="78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sz w:val="28"/>
                <w:szCs w:val="28"/>
              </w:rPr>
            </w:pPr>
          </w:p>
        </w:tc>
        <w:tc>
          <w:tcPr>
            <w:tcW w:w="507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24小时值班，每班不少于2人。</w:t>
            </w:r>
          </w:p>
        </w:tc>
      </w:tr>
      <w:tr>
        <w:tblPrEx>
          <w:tblCellMar>
            <w:top w:w="0" w:type="dxa"/>
            <w:left w:w="108" w:type="dxa"/>
            <w:bottom w:w="0" w:type="dxa"/>
            <w:right w:w="108" w:type="dxa"/>
          </w:tblCellMar>
        </w:tblPrEx>
        <w:trPr>
          <w:trHeight w:val="490" w:hRule="atLeast"/>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7</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校园岗亭</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w:t>
            </w:r>
          </w:p>
        </w:tc>
        <w:tc>
          <w:tcPr>
            <w:tcW w:w="5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24小时在岗，每班在岗人员不少于1人。</w:t>
            </w:r>
          </w:p>
        </w:tc>
      </w:tr>
      <w:tr>
        <w:tblPrEx>
          <w:tblCellMar>
            <w:top w:w="0" w:type="dxa"/>
            <w:left w:w="108" w:type="dxa"/>
            <w:bottom w:w="0" w:type="dxa"/>
            <w:right w:w="108" w:type="dxa"/>
          </w:tblCellMar>
        </w:tblPrEx>
        <w:trPr>
          <w:trHeight w:val="458" w:hRule="atLeast"/>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校园巡逻</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sz w:val="28"/>
                <w:szCs w:val="28"/>
              </w:rPr>
            </w:pP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w:t>
            </w:r>
          </w:p>
        </w:tc>
        <w:tc>
          <w:tcPr>
            <w:tcW w:w="5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24小时在岗，每班不少于4人。</w:t>
            </w:r>
          </w:p>
        </w:tc>
      </w:tr>
      <w:tr>
        <w:tblPrEx>
          <w:tblCellMar>
            <w:top w:w="0" w:type="dxa"/>
            <w:left w:w="108" w:type="dxa"/>
            <w:bottom w:w="0" w:type="dxa"/>
            <w:right w:w="108" w:type="dxa"/>
          </w:tblCellMar>
        </w:tblPrEx>
        <w:trPr>
          <w:trHeight w:val="870" w:hRule="atLeast"/>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9</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图书馆</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sz w:val="28"/>
                <w:szCs w:val="28"/>
              </w:rPr>
            </w:pPr>
          </w:p>
        </w:tc>
        <w:tc>
          <w:tcPr>
            <w:tcW w:w="5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24小时值班，在岗每班不少于1人；地下停车场（图书馆、3号实验室）、泵房每班不少于1人。</w:t>
            </w:r>
          </w:p>
        </w:tc>
      </w:tr>
      <w:tr>
        <w:tblPrEx>
          <w:tblCellMar>
            <w:top w:w="0" w:type="dxa"/>
            <w:left w:w="108" w:type="dxa"/>
            <w:bottom w:w="0" w:type="dxa"/>
            <w:right w:w="108" w:type="dxa"/>
          </w:tblCellMar>
        </w:tblPrEx>
        <w:trPr>
          <w:trHeight w:val="550" w:hRule="atLeast"/>
        </w:trPr>
        <w:tc>
          <w:tcPr>
            <w:tcW w:w="81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10</w:t>
            </w:r>
          </w:p>
        </w:tc>
        <w:tc>
          <w:tcPr>
            <w:tcW w:w="178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应急指挥中心（监控中心）指挥长</w:t>
            </w:r>
          </w:p>
        </w:tc>
        <w:tc>
          <w:tcPr>
            <w:tcW w:w="86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w:t>
            </w:r>
          </w:p>
        </w:tc>
        <w:tc>
          <w:tcPr>
            <w:tcW w:w="78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sz w:val="28"/>
                <w:szCs w:val="28"/>
              </w:rPr>
            </w:pPr>
          </w:p>
        </w:tc>
        <w:tc>
          <w:tcPr>
            <w:tcW w:w="507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24小时值班，每班在岗人员不少于1人。</w:t>
            </w:r>
          </w:p>
        </w:tc>
      </w:tr>
      <w:tr>
        <w:tblPrEx>
          <w:tblCellMar>
            <w:top w:w="0" w:type="dxa"/>
            <w:left w:w="108" w:type="dxa"/>
            <w:bottom w:w="0" w:type="dxa"/>
            <w:right w:w="108" w:type="dxa"/>
          </w:tblCellMar>
        </w:tblPrEx>
        <w:trPr>
          <w:trHeight w:val="240" w:hRule="atLeast"/>
        </w:trPr>
        <w:tc>
          <w:tcPr>
            <w:tcW w:w="81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178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安防、消防总控室</w:t>
            </w:r>
          </w:p>
        </w:tc>
        <w:tc>
          <w:tcPr>
            <w:tcW w:w="86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78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tc>
        <w:tc>
          <w:tcPr>
            <w:tcW w:w="5076"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rPr>
              <w:t>24小时值班，每班在岗人员不少于2人。</w:t>
            </w:r>
          </w:p>
        </w:tc>
      </w:tr>
      <w:tr>
        <w:tblPrEx>
          <w:tblCellMar>
            <w:top w:w="0" w:type="dxa"/>
            <w:left w:w="108" w:type="dxa"/>
            <w:bottom w:w="0" w:type="dxa"/>
            <w:right w:w="108" w:type="dxa"/>
          </w:tblCellMar>
        </w:tblPrEx>
        <w:trPr>
          <w:trHeight w:val="527" w:hRule="atLeast"/>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知行楼</w:t>
            </w:r>
          </w:p>
        </w:tc>
        <w:tc>
          <w:tcPr>
            <w:tcW w:w="861"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78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tc>
        <w:tc>
          <w:tcPr>
            <w:tcW w:w="5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正常上班时间内值班在岗人员不少于1人。</w:t>
            </w:r>
          </w:p>
        </w:tc>
      </w:tr>
      <w:tr>
        <w:tblPrEx>
          <w:tblCellMar>
            <w:top w:w="0" w:type="dxa"/>
            <w:left w:w="108" w:type="dxa"/>
            <w:bottom w:w="0" w:type="dxa"/>
            <w:right w:w="108" w:type="dxa"/>
          </w:tblCellMar>
        </w:tblPrEx>
        <w:trPr>
          <w:trHeight w:val="220" w:hRule="atLeast"/>
        </w:trPr>
        <w:tc>
          <w:tcPr>
            <w:tcW w:w="813"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1784"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天汉湖</w:t>
            </w:r>
          </w:p>
        </w:tc>
        <w:tc>
          <w:tcPr>
            <w:tcW w:w="861"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tc>
        <w:tc>
          <w:tcPr>
            <w:tcW w:w="789"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5076"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24小时值班值守不少于1人。</w:t>
            </w:r>
          </w:p>
        </w:tc>
      </w:tr>
      <w:tr>
        <w:tblPrEx>
          <w:tblCellMar>
            <w:top w:w="0" w:type="dxa"/>
            <w:left w:w="108" w:type="dxa"/>
            <w:bottom w:w="0" w:type="dxa"/>
            <w:right w:w="108" w:type="dxa"/>
          </w:tblCellMar>
        </w:tblPrEx>
        <w:trPr>
          <w:trHeight w:val="220" w:hRule="atLeast"/>
        </w:trPr>
        <w:tc>
          <w:tcPr>
            <w:tcW w:w="813"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1784"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警务室</w:t>
            </w:r>
          </w:p>
        </w:tc>
        <w:tc>
          <w:tcPr>
            <w:tcW w:w="861"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tc>
        <w:tc>
          <w:tcPr>
            <w:tcW w:w="789"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5076"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24小时值班值守不少于1人。</w:t>
            </w:r>
          </w:p>
        </w:tc>
      </w:tr>
    </w:tbl>
    <w:p>
      <w:pPr>
        <w:pStyle w:val="50"/>
        <w:keepNext w:val="0"/>
        <w:keepLines w:val="0"/>
        <w:pageBreakBefore w:val="0"/>
        <w:widowControl/>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（二）安保人员相关要求</w:t>
      </w:r>
    </w:p>
    <w:p>
      <w:pPr>
        <w:pStyle w:val="8"/>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1.项目管理人员：</w:t>
      </w:r>
      <w:r>
        <w:rPr>
          <w:rFonts w:hint="eastAsia" w:ascii="仿宋_GB2312" w:hAnsi="仿宋_GB2312" w:eastAsia="仿宋_GB2312" w:cs="仿宋_GB2312"/>
          <w:sz w:val="28"/>
          <w:szCs w:val="28"/>
        </w:rPr>
        <w:t>政治可靠，责任心强；年龄不超过50岁，业务能力强，符合本项目管理相匹配的资质且从事该职位两个类似安保管理项目经历并出具相关证明材料；思路清晰，熟悉职责，执行有力，担当善为。</w:t>
      </w:r>
    </w:p>
    <w:p>
      <w:pPr>
        <w:pStyle w:val="8"/>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2.安保队长：</w:t>
      </w:r>
      <w:r>
        <w:rPr>
          <w:rFonts w:hint="eastAsia" w:ascii="仿宋_GB2312" w:hAnsi="仿宋_GB2312" w:eastAsia="仿宋_GB2312" w:cs="仿宋_GB2312"/>
          <w:sz w:val="28"/>
          <w:szCs w:val="28"/>
        </w:rPr>
        <w:t>年龄不超过50岁，无违法记录，三年以上的安保队伍管理经验并出具相关依据；协调能力和组织管理能力强，应急处突有力。</w:t>
      </w:r>
    </w:p>
    <w:p>
      <w:pPr>
        <w:pStyle w:val="8"/>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3.安保人员岗：</w:t>
      </w:r>
      <w:r>
        <w:rPr>
          <w:rFonts w:hint="eastAsia" w:ascii="仿宋_GB2312" w:hAnsi="仿宋_GB2312" w:eastAsia="仿宋_GB2312" w:cs="仿宋_GB2312"/>
          <w:sz w:val="28"/>
          <w:szCs w:val="28"/>
        </w:rPr>
        <w:t>无违法记录，作风正派；18—56岁（个别身体健康、能力强者可适当放宽），身高1.7米以上，初中毕业以上文化的公民，具备处置突发事件的能力。</w:t>
      </w:r>
    </w:p>
    <w:p>
      <w:pPr>
        <w:pStyle w:val="8"/>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4.巡逻岗：</w:t>
      </w:r>
      <w:r>
        <w:rPr>
          <w:rFonts w:hint="eastAsia" w:ascii="仿宋_GB2312" w:hAnsi="仿宋_GB2312" w:eastAsia="仿宋_GB2312" w:cs="仿宋_GB2312"/>
          <w:sz w:val="28"/>
          <w:szCs w:val="28"/>
        </w:rPr>
        <w:t>无违法记录，作风正派；责任心强，担当作为；45岁以下，身高1.7米以上，身体素质好，初中毕业以上文化的公民。</w:t>
      </w:r>
    </w:p>
    <w:p>
      <w:pPr>
        <w:pStyle w:val="8"/>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5.指挥长：</w:t>
      </w:r>
      <w:r>
        <w:rPr>
          <w:rFonts w:hint="eastAsia" w:ascii="仿宋_GB2312" w:hAnsi="仿宋_GB2312" w:eastAsia="仿宋_GB2312" w:cs="仿宋_GB2312"/>
          <w:sz w:val="28"/>
          <w:szCs w:val="28"/>
        </w:rPr>
        <w:t>无违法记录，政治可靠，作风正派；组织协调能力和业务能力强；接报警与应急处突能力强；熟练操作计算机及影像资料保全；工作认真，踏实进取；具有消防中级操作员证书。</w:t>
      </w:r>
    </w:p>
    <w:p>
      <w:pPr>
        <w:pStyle w:val="8"/>
        <w:keepNext w:val="0"/>
        <w:keepLines w:val="0"/>
        <w:pageBreakBefore w:val="0"/>
        <w:widowControl/>
        <w:kinsoku/>
        <w:wordWrap/>
        <w:overflowPunct/>
        <w:topLinePunct w:val="0"/>
        <w:autoSpaceDE/>
        <w:autoSpaceDN/>
        <w:bidi w:val="0"/>
        <w:adjustRightInd/>
        <w:snapToGrid/>
        <w:spacing w:after="0" w:line="560" w:lineRule="exact"/>
        <w:ind w:firstLine="56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6.安、消操作岗：</w:t>
      </w:r>
      <w:r>
        <w:rPr>
          <w:rFonts w:hint="eastAsia" w:ascii="仿宋_GB2312" w:hAnsi="仿宋_GB2312" w:eastAsia="仿宋_GB2312" w:cs="仿宋_GB2312"/>
          <w:sz w:val="28"/>
          <w:szCs w:val="28"/>
        </w:rPr>
        <w:t>熟练操作计算机及影像资料保全；能够熟练操作火灾自动报警控制系统；掌握各类消防设施的功能和作用；组织协调能力和业务能力强；工作认真，踏实进取；具有消防中级操作员证书。</w:t>
      </w:r>
    </w:p>
    <w:p>
      <w:pPr>
        <w:pStyle w:val="8"/>
        <w:keepNext w:val="0"/>
        <w:keepLines w:val="0"/>
        <w:pageBreakBefore w:val="0"/>
        <w:widowControl/>
        <w:kinsoku/>
        <w:wordWrap/>
        <w:overflowPunct/>
        <w:topLinePunct w:val="0"/>
        <w:autoSpaceDE/>
        <w:autoSpaceDN/>
        <w:bidi w:val="0"/>
        <w:adjustRightInd/>
        <w:snapToGrid/>
        <w:spacing w:after="0" w:line="560" w:lineRule="exact"/>
        <w:ind w:firstLine="566"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7.其他要求：</w:t>
      </w:r>
    </w:p>
    <w:p>
      <w:pPr>
        <w:pStyle w:val="8"/>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所有安保人员基本信息、身份证明、无违法犯罪纪录证明等由安保公司审查存档外，还要向采购人报送复印件一份备案。中标后，供应商实际派遣人员资质和数量必须与投标文件中出具的安保人员资质和数量保持一致，擅自更换3人以上或项目管理人员不一致，采购人有权解除或不履行合同。</w:t>
      </w:r>
    </w:p>
    <w:p>
      <w:pPr>
        <w:pStyle w:val="8"/>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（2）中标人在中标后一个月内不能签订合同或不能正常履行工作职责的，采购人有权解除或不履行合同。</w:t>
      </w:r>
    </w:p>
    <w:p>
      <w:pPr>
        <w:pStyle w:val="8"/>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（3）有下列情形之一的，不得在甲方担任安保员：</w:t>
      </w:r>
    </w:p>
    <w:p>
      <w:pPr>
        <w:pStyle w:val="8"/>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有违法犯罪记录的；违反采购人规章制度曾经被辞退、调换的；采购人认为不适合在采购人处从事保安服务工作的。</w:t>
      </w:r>
    </w:p>
    <w:p>
      <w:pPr>
        <w:pStyle w:val="8"/>
        <w:keepNext w:val="0"/>
        <w:keepLines w:val="0"/>
        <w:pageBreakBefore w:val="0"/>
        <w:widowControl/>
        <w:kinsoku/>
        <w:wordWrap/>
        <w:overflowPunct/>
        <w:topLinePunct w:val="0"/>
        <w:autoSpaceDE/>
        <w:autoSpaceDN/>
        <w:bidi w:val="0"/>
        <w:adjustRightInd/>
        <w:snapToGrid/>
        <w:spacing w:after="0" w:line="560" w:lineRule="exact"/>
        <w:ind w:firstLine="566"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（三）对乙方的其他要求</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1．乙方须购置电瓶巡逻车摩托车2辆，合同结束后归甲方所有。合同期间车辆的维修由乙方负责；</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2．乙方须按照甲方岗位设置，制定出科学、合理、操作性较强的岗位职责（应在响应文件中具体体现），按照岗位职责落实工作任务；并对各类突发事件的处置要求、流程、方案在投标文件中明确；</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3．乙方需每天按时间节点向甲方汇报队员上岗和工作执勤情况等；</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4．乙方应为保安人员配备相应的保安服装及装备。执勤时每个执勤保安人员所佩带的执法记录仪、对讲机和执勤所需的交通工具、警械器材等均由乙方提供。</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849" w:firstLineChars="300"/>
        <w:textAlignment w:val="auto"/>
        <w:rPr>
          <w:rFonts w:hint="eastAsia" w:ascii="仿宋_GB2312" w:hAnsi="仿宋_GB2312" w:eastAsia="仿宋_GB2312" w:cs="仿宋_GB2312"/>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849" w:firstLineChars="300"/>
        <w:textAlignment w:val="auto"/>
        <w:rPr>
          <w:rFonts w:hint="eastAsia" w:ascii="仿宋_GB2312" w:hAnsi="仿宋_GB2312" w:eastAsia="仿宋_GB2312" w:cs="仿宋_GB2312"/>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849" w:firstLineChars="300"/>
        <w:textAlignment w:val="auto"/>
        <w:rPr>
          <w:rFonts w:hint="eastAsia" w:ascii="仿宋_GB2312" w:hAnsi="仿宋_GB2312" w:eastAsia="仿宋_GB2312" w:cs="仿宋_GB2312"/>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849" w:firstLineChars="300"/>
        <w:textAlignment w:val="auto"/>
        <w:rPr>
          <w:rFonts w:hint="eastAsia" w:ascii="宋体" w:hAnsi="宋体" w:eastAsia="宋体" w:cs="宋体"/>
          <w:b/>
          <w:bCs/>
          <w:color w:val="auto"/>
          <w:sz w:val="28"/>
          <w:szCs w:val="28"/>
          <w:lang w:eastAsia="zh-CN"/>
        </w:rPr>
      </w:pPr>
      <w:r>
        <w:rPr>
          <w:rFonts w:hint="eastAsia" w:ascii="仿宋_GB2312" w:hAnsi="仿宋_GB2312" w:eastAsia="仿宋_GB2312" w:cs="仿宋_GB2312"/>
          <w:b/>
          <w:bCs/>
          <w:color w:val="auto"/>
          <w:sz w:val="28"/>
          <w:szCs w:val="28"/>
        </w:rPr>
        <w:t>备注：</w:t>
      </w:r>
      <w:r>
        <w:rPr>
          <w:rFonts w:hint="eastAsia" w:ascii="仿宋_GB2312" w:hAnsi="仿宋_GB2312" w:eastAsia="仿宋_GB2312" w:cs="仿宋_GB2312"/>
          <w:b/>
          <w:bCs/>
          <w:color w:val="auto"/>
          <w:sz w:val="28"/>
          <w:szCs w:val="28"/>
          <w:lang w:val="en-US" w:eastAsia="zh-CN"/>
        </w:rPr>
        <w:t>以上均是</w:t>
      </w: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val="en-US" w:eastAsia="zh-CN"/>
        </w:rPr>
        <w:t>内容，</w:t>
      </w:r>
      <w:r>
        <w:rPr>
          <w:rFonts w:hint="eastAsia" w:ascii="仿宋_GB2312" w:hAnsi="仿宋_GB2312" w:eastAsia="仿宋_GB2312" w:cs="仿宋_GB2312"/>
          <w:b/>
          <w:bCs/>
          <w:color w:val="auto"/>
          <w:sz w:val="28"/>
          <w:szCs w:val="28"/>
        </w:rPr>
        <w:t>为实质性要求，</w:t>
      </w:r>
      <w:r>
        <w:rPr>
          <w:rFonts w:hint="eastAsia" w:ascii="仿宋_GB2312" w:hAnsi="仿宋_GB2312" w:eastAsia="仿宋_GB2312" w:cs="仿宋_GB2312"/>
          <w:b/>
          <w:bCs/>
          <w:color w:val="auto"/>
          <w:sz w:val="28"/>
          <w:szCs w:val="28"/>
          <w:lang w:val="en-US" w:eastAsia="zh-CN"/>
        </w:rPr>
        <w:t>供应商</w:t>
      </w:r>
      <w:r>
        <w:rPr>
          <w:rFonts w:hint="eastAsia" w:ascii="仿宋_GB2312" w:hAnsi="仿宋_GB2312" w:eastAsia="仿宋_GB2312" w:cs="仿宋_GB2312"/>
          <w:b/>
          <w:bCs/>
          <w:color w:val="auto"/>
          <w:sz w:val="28"/>
          <w:szCs w:val="28"/>
        </w:rPr>
        <w:t>未逐条响应、有缺漏或负偏离将视为无效</w:t>
      </w:r>
      <w:r>
        <w:rPr>
          <w:rFonts w:hint="eastAsia" w:ascii="仿宋_GB2312" w:hAnsi="仿宋_GB2312" w:eastAsia="仿宋_GB2312" w:cs="仿宋_GB2312"/>
          <w:b/>
          <w:bCs/>
          <w:color w:val="auto"/>
          <w:sz w:val="28"/>
          <w:szCs w:val="28"/>
          <w:lang w:val="en-US" w:eastAsia="zh-CN"/>
        </w:rPr>
        <w:t>响应</w:t>
      </w:r>
      <w:r>
        <w:rPr>
          <w:rFonts w:hint="eastAsia" w:ascii="仿宋_GB2312" w:hAnsi="仿宋_GB2312" w:eastAsia="仿宋_GB2312" w:cs="仿宋_GB2312"/>
          <w:b/>
          <w:bCs/>
          <w:color w:val="auto"/>
          <w:sz w:val="28"/>
          <w:szCs w:val="28"/>
          <w:lang w:eastAsia="zh-CN"/>
        </w:rPr>
        <w:t>。</w:t>
      </w:r>
    </w:p>
    <w:p>
      <w:pPr>
        <w:pStyle w:val="3"/>
        <w:jc w:val="center"/>
        <w:rPr>
          <w:rFonts w:hint="eastAsia" w:ascii="华文仿宋" w:hAnsi="华文仿宋" w:cs="华文仿宋"/>
          <w:color w:val="auto"/>
        </w:rPr>
      </w:pPr>
      <w:r>
        <w:rPr>
          <w:rFonts w:ascii="宋体" w:hAnsi="宋体" w:eastAsia="宋体" w:cs="宋体"/>
          <w:color w:val="auto"/>
          <w:sz w:val="28"/>
          <w:szCs w:val="28"/>
        </w:rPr>
        <w:br w:type="page"/>
      </w:r>
      <w:bookmarkStart w:id="192" w:name="_Toc35871571"/>
      <w:bookmarkStart w:id="193" w:name="_Toc10371"/>
      <w:bookmarkStart w:id="194" w:name="_Toc18466_WPSOffice_Level1"/>
      <w:bookmarkStart w:id="195" w:name="_Toc19317"/>
      <w:bookmarkStart w:id="196" w:name="_Toc12628"/>
      <w:bookmarkStart w:id="197" w:name="_Toc14089"/>
      <w:bookmarkStart w:id="198" w:name="_Toc495012773"/>
      <w:bookmarkStart w:id="199" w:name="_Toc784_WPSOffice_Level1"/>
      <w:bookmarkStart w:id="200" w:name="_Toc495014613"/>
      <w:bookmarkStart w:id="201" w:name="_Toc495014651"/>
      <w:bookmarkStart w:id="202" w:name="_Toc495014922"/>
      <w:bookmarkStart w:id="203" w:name="_Toc495012823"/>
      <w:bookmarkStart w:id="204" w:name="_Toc18484_WPSOffice_Level1"/>
      <w:bookmarkStart w:id="205" w:name="_Toc445306495"/>
      <w:bookmarkStart w:id="206" w:name="_Toc495014956"/>
      <w:bookmarkStart w:id="207" w:name="_Toc495014587"/>
      <w:r>
        <w:rPr>
          <w:rFonts w:ascii="黑体" w:hAnsi="黑体" w:eastAsia="黑体"/>
          <w:b w:val="0"/>
          <w:color w:val="auto"/>
          <w:sz w:val="32"/>
          <w:szCs w:val="32"/>
        </w:rPr>
        <w:t>第</w:t>
      </w:r>
      <w:r>
        <w:rPr>
          <w:rFonts w:hint="eastAsia" w:ascii="黑体" w:hAnsi="黑体" w:eastAsia="黑体"/>
          <w:b w:val="0"/>
          <w:color w:val="auto"/>
          <w:sz w:val="32"/>
          <w:szCs w:val="32"/>
        </w:rPr>
        <w:t>四</w:t>
      </w:r>
      <w:r>
        <w:rPr>
          <w:rFonts w:ascii="黑体" w:hAnsi="黑体" w:eastAsia="黑体"/>
          <w:b w:val="0"/>
          <w:color w:val="auto"/>
          <w:sz w:val="32"/>
          <w:szCs w:val="32"/>
        </w:rPr>
        <w:t xml:space="preserve">章 </w:t>
      </w:r>
      <w:r>
        <w:rPr>
          <w:rFonts w:hint="eastAsia" w:ascii="黑体" w:hAnsi="黑体" w:eastAsia="黑体"/>
          <w:b w:val="0"/>
          <w:color w:val="auto"/>
          <w:sz w:val="32"/>
          <w:szCs w:val="32"/>
        </w:rPr>
        <w:t>合同</w:t>
      </w:r>
      <w:r>
        <w:rPr>
          <w:rFonts w:hint="eastAsia" w:ascii="黑体" w:hAnsi="黑体" w:eastAsia="黑体"/>
          <w:b w:val="0"/>
          <w:color w:val="auto"/>
          <w:sz w:val="32"/>
          <w:szCs w:val="32"/>
          <w:lang w:val="en-US" w:eastAsia="zh-CN"/>
        </w:rPr>
        <w:t>草案</w:t>
      </w:r>
      <w:r>
        <w:rPr>
          <w:rFonts w:hint="eastAsia" w:ascii="黑体" w:hAnsi="黑体" w:eastAsia="黑体"/>
          <w:b w:val="0"/>
          <w:color w:val="auto"/>
          <w:sz w:val="32"/>
          <w:szCs w:val="32"/>
        </w:rPr>
        <w:t>条款</w:t>
      </w:r>
      <w:bookmarkEnd w:id="192"/>
      <w:bookmarkEnd w:id="193"/>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0"/>
          <w:sz w:val="28"/>
          <w:szCs w:val="28"/>
          <w:lang w:val="en-US" w:eastAsia="zh-CN" w:bidi="ar"/>
        </w:rPr>
        <w:t xml:space="preserve">一、基本条件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lang w:val="en-US" w:eastAsia="zh-CN" w:bidi="ar"/>
        </w:rPr>
        <w:t>（一）服务</w:t>
      </w:r>
      <w:r>
        <w:rPr>
          <w:rFonts w:hint="eastAsia" w:ascii="仿宋_GB2312" w:hAnsi="仿宋_GB2312" w:eastAsia="仿宋_GB2312" w:cs="仿宋_GB2312"/>
          <w:color w:val="auto"/>
          <w:kern w:val="0"/>
          <w:sz w:val="28"/>
          <w:szCs w:val="28"/>
          <w:highlight w:val="none"/>
          <w:lang w:val="en-US" w:eastAsia="zh-CN" w:bidi="ar"/>
        </w:rPr>
        <w:t>地点：陕西理工大学南校区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（二）服务期：签订合同后一年</w:t>
      </w:r>
    </w:p>
    <w:p>
      <w:pPr>
        <w:pStyle w:val="2"/>
        <w:keepNext/>
        <w:keepLines/>
        <w:pageBreakBefore w:val="0"/>
        <w:widowControl/>
        <w:kinsoku/>
        <w:wordWrap/>
        <w:overflowPunct/>
        <w:topLinePunct w:val="0"/>
        <w:autoSpaceDE/>
        <w:autoSpaceDN/>
        <w:bidi w:val="0"/>
        <w:adjustRightInd w:val="0"/>
        <w:snapToGrid/>
        <w:spacing w:before="0" w:after="0" w:line="560" w:lineRule="exact"/>
        <w:ind w:firstLine="849" w:firstLineChars="300"/>
        <w:jc w:val="left"/>
        <w:textAlignment w:val="baseline"/>
        <w:rPr>
          <w:rFonts w:hint="default" w:ascii="仿宋_GB2312" w:hAnsi="仿宋_GB2312" w:eastAsia="仿宋_GB2312" w:cs="仿宋_GB2312"/>
          <w:b w:val="0"/>
          <w:color w:val="auto"/>
          <w:spacing w:val="0"/>
          <w:kern w:val="0"/>
          <w:sz w:val="28"/>
          <w:szCs w:val="28"/>
          <w:highlight w:val="none"/>
          <w:lang w:val="en-US" w:eastAsia="zh-CN" w:bidi="ar"/>
        </w:rPr>
      </w:pPr>
      <w:r>
        <w:rPr>
          <w:rFonts w:hint="eastAsia" w:ascii="仿宋_GB2312" w:hAnsi="仿宋_GB2312" w:eastAsia="仿宋_GB2312" w:cs="仿宋_GB2312"/>
          <w:b w:val="0"/>
          <w:color w:val="auto"/>
          <w:spacing w:val="0"/>
          <w:kern w:val="0"/>
          <w:sz w:val="28"/>
          <w:szCs w:val="28"/>
          <w:highlight w:val="none"/>
          <w:lang w:val="en-US" w:eastAsia="zh-CN" w:bidi="ar"/>
        </w:rPr>
        <w:t>本项目采用一次采购沿用两年，实行一年一考核一签合同的办法。服务期满后，由成交供应商提出申请，经采购人考核合格后，可以续签合同。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0"/>
          <w:sz w:val="28"/>
          <w:szCs w:val="28"/>
          <w:lang w:val="en-US" w:eastAsia="zh-CN" w:bidi="ar"/>
        </w:rPr>
        <w:t xml:space="preserve">二、合同价款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 xml:space="preserve">合同总价一次性包死，不受市场价格变化因素的影响。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0"/>
          <w:sz w:val="28"/>
          <w:szCs w:val="28"/>
          <w:lang w:val="en-US" w:eastAsia="zh-CN" w:bidi="ar"/>
        </w:rPr>
        <w:t xml:space="preserve">三、款项结算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（一）</w:t>
      </w:r>
      <w:r>
        <w:rPr>
          <w:rFonts w:hint="eastAsia" w:ascii="仿宋_GB2312" w:hAnsi="仿宋_GB2312" w:eastAsia="仿宋_GB2312" w:cs="仿宋_GB2312"/>
          <w:color w:val="auto"/>
          <w:kern w:val="0"/>
          <w:sz w:val="28"/>
          <w:szCs w:val="28"/>
          <w:highlight w:val="none"/>
          <w:lang w:val="en-US" w:eastAsia="zh-CN" w:bidi="ar"/>
        </w:rPr>
        <w:t>费用每月结算一次，乙方应于下月5日前向甲方提供税务机关开具的正式发票，甲方在收到结算发票15日内，将费用划转至乙方银行账户；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 xml:space="preserve">（二）货币单位：人民币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（三）</w:t>
      </w:r>
      <w:r>
        <w:rPr>
          <w:rFonts w:hint="eastAsia" w:ascii="仿宋_GB2312" w:hAnsi="仿宋_GB2312" w:eastAsia="仿宋_GB2312" w:cs="仿宋_GB2312"/>
          <w:color w:val="auto"/>
          <w:kern w:val="0"/>
          <w:sz w:val="28"/>
          <w:szCs w:val="28"/>
          <w:highlight w:val="none"/>
          <w:lang w:val="en-US" w:eastAsia="zh-CN" w:bidi="ar"/>
        </w:rPr>
        <w:t xml:space="preserve">合同期内，岗位增加的，不额外增加费用；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b w:val="0"/>
          <w:bCs w:val="0"/>
          <w:color w:val="000000"/>
          <w:sz w:val="28"/>
          <w:szCs w:val="28"/>
          <w:lang w:val="en-US" w:eastAsia="zh-CN"/>
        </w:rPr>
        <w:t>（四）</w:t>
      </w:r>
      <w:r>
        <w:rPr>
          <w:rFonts w:hint="eastAsia" w:ascii="仿宋_GB2312" w:hAnsi="仿宋_GB2312" w:eastAsia="仿宋_GB2312" w:cs="仿宋_GB2312"/>
          <w:color w:val="auto"/>
          <w:kern w:val="0"/>
          <w:sz w:val="28"/>
          <w:szCs w:val="28"/>
          <w:highlight w:val="none"/>
          <w:lang w:val="en-US" w:eastAsia="zh-CN" w:bidi="ar"/>
        </w:rPr>
        <w:t>保安员工资发放和各类社会保险、福利全部由乙方负责，因工资、各类保险、福利等原因引起的劳务纠纷，全部由乙方解决并承担责任；</w:t>
      </w:r>
    </w:p>
    <w:p>
      <w:pPr>
        <w:keepNext/>
        <w:keepLines/>
        <w:pageBreakBefore w:val="0"/>
        <w:widowControl/>
        <w:kinsoku/>
        <w:wordWrap/>
        <w:overflowPunct/>
        <w:topLinePunct w:val="0"/>
        <w:autoSpaceDE/>
        <w:autoSpaceDN/>
        <w:bidi w:val="0"/>
        <w:adjustRightInd/>
        <w:snapToGrid/>
        <w:spacing w:line="560" w:lineRule="exact"/>
        <w:ind w:firstLine="566" w:firstLineChars="200"/>
        <w:textAlignment w:val="auto"/>
        <w:outlineLvl w:val="1"/>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kern w:val="0"/>
          <w:sz w:val="28"/>
          <w:szCs w:val="28"/>
          <w:lang w:val="en-US" w:eastAsia="zh-CN" w:bidi="ar"/>
        </w:rPr>
        <w:t>四、</w:t>
      </w:r>
      <w:r>
        <w:rPr>
          <w:rFonts w:hint="eastAsia" w:ascii="仿宋_GB2312" w:hAnsi="仿宋_GB2312" w:eastAsia="仿宋_GB2312" w:cs="仿宋_GB2312"/>
          <w:b/>
          <w:bCs/>
          <w:color w:val="auto"/>
          <w:sz w:val="28"/>
          <w:szCs w:val="28"/>
        </w:rPr>
        <w:t>服务保证</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1、成交供应商提供服务时，服务要求应按不低于国家、省、市有关部门规定的质量标准执行。</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2、成交供应商承诺与拟投入人员均有劳动合同或聘用协议。</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、成交供应商承诺工作人员按磋商文件落实。</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0"/>
          <w:sz w:val="28"/>
          <w:szCs w:val="28"/>
          <w:lang w:val="en-US" w:eastAsia="zh-CN" w:bidi="ar"/>
        </w:rPr>
        <w:t xml:space="preserve">五、服务承诺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以响应文件、澄清表（函）、合同等相关文件为准。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b/>
          <w:bCs/>
          <w:color w:val="auto"/>
          <w:kern w:val="0"/>
          <w:sz w:val="28"/>
          <w:szCs w:val="28"/>
          <w:lang w:val="en-US" w:eastAsia="zh-CN" w:bidi="ar"/>
        </w:rPr>
      </w:pPr>
      <w:r>
        <w:rPr>
          <w:rFonts w:hint="eastAsia" w:ascii="仿宋_GB2312" w:hAnsi="仿宋_GB2312" w:eastAsia="仿宋_GB2312" w:cs="仿宋_GB2312"/>
          <w:b/>
          <w:bCs/>
          <w:color w:val="auto"/>
          <w:kern w:val="0"/>
          <w:sz w:val="28"/>
          <w:szCs w:val="28"/>
          <w:lang w:val="en-US" w:eastAsia="zh-CN" w:bidi="ar"/>
        </w:rPr>
        <w:t>六、甲方的权利和义务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1．甲方基于安保服务内容和“岗位职责”对乙方的保安服务质量进行监督，对存在的问题提出整改意见，督促乙方进行改进和落实，切实提高服务质量；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2．甲方由治安一科对乙方的安保服务进行监督检查，制定签到表，对上岗情况随时进行抽查。对上岗人员缺勤及违纪情况记录在案，并依据合同和相关规定对乙方进行奖惩；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3．甲方可以依据安保工作需要对岗位设置进行变更和调整；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4．甲方有提出正常工作要求、任务变更的权利，并对任务完成情况进行考评；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5．甲方有权对违章违纪、工作责任心不强或工作不称职的，进行调整或辞退，乙方须立即响应并在3个工作日内按甲方要求调整并更换到位；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6．甲方应按时足额支付保安服务费；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7．甲方宣传教育引导本单位师生员工配合和支持乙方做好安保工作，遇有乙方和管理服务对象发生纠纷，要积极协调解决，支持乙方做好合同约定范围内的安保工作；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8．甲方为乙方提供必要的值班室、队员宿舍以及取暖、降温、饮水等必备设施；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9．甲方配备校园巡逻车2辆；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10．甲方有临时性安保任务时，乙方应按甲方的要求无条件提供服务；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11．积极配合乙方做好安保服务工作中出现的矛盾和纠纷，支持乙方搞好合同约定范围内的安保工作。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b/>
          <w:bCs/>
          <w:color w:val="auto"/>
          <w:kern w:val="0"/>
          <w:sz w:val="28"/>
          <w:szCs w:val="28"/>
          <w:lang w:val="en-US" w:eastAsia="zh-CN" w:bidi="ar"/>
        </w:rPr>
      </w:pPr>
      <w:r>
        <w:rPr>
          <w:rFonts w:hint="eastAsia" w:ascii="仿宋_GB2312" w:hAnsi="仿宋_GB2312" w:eastAsia="仿宋_GB2312" w:cs="仿宋_GB2312"/>
          <w:b/>
          <w:bCs/>
          <w:color w:val="auto"/>
          <w:kern w:val="0"/>
          <w:sz w:val="28"/>
          <w:szCs w:val="28"/>
          <w:lang w:val="en-US" w:eastAsia="zh-CN" w:bidi="ar"/>
        </w:rPr>
        <w:t>七、乙方的权利和义务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1．乙方按照合同约定和甲方要求，服从甲方管理，切实作好甲方安保服务工作，为甲方提供优质的安保服务；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2．乙方必须对安保人员进行半军事化管理，加强对队员执勤情况检查。每周派督察对白天、夜间的工作情况不定期检查；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3．乙方要加强队员对甲方所涉及业务的各类训练培训，不断提高业务素质，使其尽职尽责，维护甲方正常的工作、教学、生活秩序，最大限度预防和减少案件和各类安全事故的发生；</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4．乙方须保证保安人员执勤期间着制式保安服装整洁、工作认真、文明执勤、不徇私情；按时上岗，不得迟到早退，尽职尽责，对发现的安全隐患、漏洞及时向甲方反映并提出整改建议；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5．乙方应为保安员配备相应的保安服装及装备。执勤时每个执勤保安人员所佩带的执法记录仪、对讲机和执勤所需的交通工具、警械器材等均由乙方提供；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6．乙方保安员应遵守甲方劳动纪律和有关规章制度；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7．乙方对甲方提供的办公用房、人员住宿用房以及电瓶巡逻车等，乙方必须对其负责维护和日常管理，保证设备、装备正常使用，在合同期满后必须完好无损交回甲方；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8．乙方须在学校发生突发事件时，采取有力的应对措施，确保校园秩序；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9．乙方需向甲方提供派驻甲方保安人员与乙方的合同及相关资料（内容包括姓名、性别、身份证复印件、犯罪记录情况、专业资质证书、工作简历、家庭住址、家庭成员姓名、本人近期免冠照片等），上述资料以“工作派遣函”形式加盖单位公章后提供给甲方，供甲方存档备案。乙方派驻人员如有变动，必须以“工作派遣函”的形式提前三天通知甲方，并附新增人员与乙方的合同和相关资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10．乙方应按国家相关法律规定和行业惯例给保安人员办理各类保险和各类法定保障项目，上述资料由乙方加盖其单位公章后提供给甲方，供甲方存档备案，同时要及时发放工资和有关福利待遇；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 xml:space="preserve"> 11．在履约期间切实加强保安队伍教育管理，认真落实各项安全保卫工作措施，坚守工作岗位，认真负责做好安全防范工作，维护甲方校园安全。要求保安认真履行工作职责，严格遵守甲方安全工作规定，如保安在工作中发生违纪违规，将按照《保安员手册》的有关规定进行严肃处理；保安人员在上岗工作期间，发生失窃等案（事）件，首先汇报甲方主管领导和公安机关，如造成甲方公共私财物损失的，经评估后界定损失和责任，确属保安人员失职失责的，按物品价值评估后，由乙方给予经济损失赔偿。</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b/>
          <w:bCs/>
          <w:color w:val="auto"/>
          <w:kern w:val="0"/>
          <w:sz w:val="28"/>
          <w:szCs w:val="28"/>
          <w:lang w:val="en-US" w:eastAsia="zh-CN" w:bidi="ar"/>
        </w:rPr>
      </w:pPr>
      <w:r>
        <w:rPr>
          <w:rFonts w:hint="eastAsia" w:ascii="仿宋_GB2312" w:hAnsi="仿宋_GB2312" w:eastAsia="仿宋_GB2312" w:cs="仿宋_GB2312"/>
          <w:b/>
          <w:bCs/>
          <w:color w:val="auto"/>
          <w:kern w:val="0"/>
          <w:sz w:val="28"/>
          <w:szCs w:val="28"/>
          <w:lang w:val="en-US" w:eastAsia="zh-CN" w:bidi="ar"/>
        </w:rPr>
        <w:t>八、监督考核</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甲方按照招标中的安保服务内容及乙方响应岗位确定的职责，对乙方的管理服务质量进行监管，并对管理服务中存在的问题对安保公司进行经济处罚（从当月安保服务费中扣除）。</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1．因乙方安保服务内容及乙方响应岗位确定的职责履行不到位，每一项按100元-2000元进行处罚：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2．因乙方教育管理不到位，出现如下情况按100元~2000元进行处罚：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 xml:space="preserve"> （1）保安员执勤过程中不礼貌待人，举止不文明，徇私情，有损甲方形象，执勤态度粗暴，被管理服务对象投诉并查证属实的；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（2）执勤中不履职尽责、缺岗、迟到早退的；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（3）执勤期间不按规范着装，未配备执法记录仪、对讲机的；保安员不遵守甲方劳动纪律和保卫工作有关规章制度，在工作中未发现漏洞的；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（4）损坏公共设施的，除维修赔偿，应加倍处罚；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（5）外来车辆在校内飙车练车，未及时发现制止的；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（6）外来犬只进入校内乱窜或在校园内遛狗未及时驱赶制止的；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（7）责任区内车辆乱停乱放未及时制止的；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（8）公共区域攀折花木，乱刻乱划、损毁公用设施，未及时发现制止的；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（9）校内乱摆摊点、散发广告传单，未及时发现制止的；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（10）发生打架斗殴、火险警情未及时到场处置并报告保卫处的。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3．校园发生治安、刑事案件或各类安全事件，由于乙方处置不力，造成不良后果的，除赔偿外并予以2000元~2万元的处罚（从当月安保服务费中扣除）：</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（1）因乙方疏于管理或不负责任，造成甲方财物被盗等经济损失；</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（2）因乙方的安保工作不力，造成甲方校内发生治安案件的经济损失；</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（3）因乙方未及时发现火灾隐情，造成的经济损失；</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（4）遇危难不提供救助，未及时制止违法犯罪行为，未及时报警或临场脱逃，致使发生较为严重损害；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（5）如乙方在甲方发生突发事件时，采取措施不力，影响到了甲方正常的教学、生活和工作秩序；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（6）保安人员监守自盗、工作中殴打伤害师生；</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b/>
          <w:bCs/>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（7）乙方未执行甲方管理规定。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0"/>
          <w:sz w:val="28"/>
          <w:szCs w:val="28"/>
          <w:lang w:val="en-US" w:eastAsia="zh-CN" w:bidi="ar"/>
        </w:rPr>
        <w:t xml:space="preserve">九、违约责任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成交供应商违约的，采购人有权终止合同；若给采购人造成经济损失的，采购人可依法向成交供应商进行经济索赔，并报请政府采购监管机关依法进行相应的行政处罚。采购人违约的，须依法赔偿给成交供应商造成的经济损失。</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0"/>
          <w:sz w:val="28"/>
          <w:szCs w:val="28"/>
          <w:lang w:val="en-US" w:eastAsia="zh-CN" w:bidi="ar"/>
        </w:rPr>
        <w:t xml:space="preserve">十、争议解决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 xml:space="preserve">执行本合同中产生纠纷，由采购人与成交供应商双方协商解决；协商不成，向汉台区人民法院提起诉讼。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0"/>
          <w:sz w:val="28"/>
          <w:szCs w:val="28"/>
          <w:lang w:val="en-US" w:eastAsia="zh-CN" w:bidi="ar"/>
        </w:rPr>
        <w:t xml:space="preserve">十一、合同生效及其他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 xml:space="preserve">1、本合同自签订之日起生效。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color w:val="auto"/>
          <w:kern w:val="0"/>
          <w:sz w:val="28"/>
          <w:szCs w:val="28"/>
          <w:lang w:val="en-US" w:eastAsia="zh-CN" w:bidi="ar"/>
        </w:rPr>
        <w:t>乙方保安人员在工作场所执勤期间为维护甲方利益(灭火救灾、抢险、勇斗歹徒等)而受到人身伤、残、亡事故，由乙方根据国家相关政策负责医疗、善后处理并予以经济赔偿。保安人员在甲方工作期间发生工伤事故的，甲方应及时通报和配合乙方处理，乙方按《工伤保险管理条例》和《工伤认定办法》的规定，经相关部门认定后，由乙方按国家相关政策给予相应赔偿。</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3．本合同在履行过程中，因乙方管理不善使甲方非机动车（含电瓶）年度被盗10辆以上，或被盗的财产达3万元以上，以及保安员监守自盗并造成恶劣影响，或因失职导致重大安全事故，造成重大经济损失的，除赔偿损失外，甲方有权单方面解除合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4．本合同在履行过程中，乙方若未按照合同约定履行对甲方的服务承诺或兑现岗位人员配置要求，甲方有权单方面解除合同。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color w:val="auto"/>
          <w:kern w:val="0"/>
          <w:sz w:val="28"/>
          <w:szCs w:val="28"/>
          <w:lang w:val="en-US" w:eastAsia="zh-CN" w:bidi="ar"/>
        </w:rPr>
        <w:t>5．应急指挥中心上岗人员如因没有消防中级操作员证书或监控中心人员和消防总控岗人员玩忽职守，所致消防执法部门的罚款由乙方全部承担。如乙方拒不缴罚款，甲方有权从安保服务费中扣除，并可单方面解除合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6．本合同未尽事宜，双方另行协商解决。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7．双方协商未能达成一致意见的，可向甲方所在地人民法院提起诉讼。</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8．双方按照相关规定将本合同向公安机关备案。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9．合同份数由采购人和成交供应商具体商定。</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黑体" w:hAnsi="黑体" w:eastAsia="黑体"/>
          <w:b/>
          <w:bCs/>
          <w:color w:val="auto"/>
          <w:kern w:val="44"/>
          <w:sz w:val="28"/>
          <w:szCs w:val="28"/>
        </w:rPr>
      </w:pPr>
      <w:r>
        <w:rPr>
          <w:rFonts w:ascii="黑体" w:hAnsi="黑体" w:eastAsia="黑体"/>
          <w:bCs/>
          <w:color w:val="auto"/>
          <w:sz w:val="28"/>
          <w:szCs w:val="28"/>
        </w:rPr>
        <w:br w:type="page"/>
      </w:r>
    </w:p>
    <w:p>
      <w:pPr>
        <w:pStyle w:val="3"/>
        <w:rPr>
          <w:rFonts w:ascii="黑体" w:hAnsi="黑体" w:eastAsia="黑体" w:cs="黑体"/>
          <w:b w:val="0"/>
          <w:bCs/>
          <w:color w:val="auto"/>
          <w:sz w:val="32"/>
          <w:szCs w:val="32"/>
        </w:rPr>
      </w:pPr>
      <w:bookmarkStart w:id="208" w:name="_Toc5571"/>
      <w:r>
        <w:rPr>
          <w:rFonts w:hint="eastAsia" w:ascii="黑体" w:hAnsi="黑体" w:eastAsia="黑体" w:cs="黑体"/>
          <w:b w:val="0"/>
          <w:bCs/>
          <w:color w:val="auto"/>
          <w:sz w:val="32"/>
          <w:szCs w:val="32"/>
        </w:rPr>
        <w:t>第五章  响应文件构成及格式</w:t>
      </w:r>
      <w:bookmarkEnd w:id="194"/>
      <w:bookmarkEnd w:id="195"/>
      <w:bookmarkEnd w:id="196"/>
      <w:bookmarkEnd w:id="197"/>
      <w:bookmarkEnd w:id="208"/>
    </w:p>
    <w:p>
      <w:pPr>
        <w:pStyle w:val="41"/>
        <w:rPr>
          <w:color w:val="auto"/>
        </w:rPr>
      </w:pPr>
    </w:p>
    <w:p>
      <w:pPr>
        <w:pStyle w:val="41"/>
        <w:rPr>
          <w:color w:val="auto"/>
        </w:rPr>
      </w:pPr>
    </w:p>
    <w:p>
      <w:pPr>
        <w:pStyle w:val="41"/>
        <w:rPr>
          <w:color w:val="auto"/>
        </w:rPr>
      </w:pPr>
    </w:p>
    <w:p>
      <w:pPr>
        <w:pStyle w:val="41"/>
        <w:rPr>
          <w:color w:val="auto"/>
        </w:rPr>
      </w:pPr>
      <w:r>
        <w:rPr>
          <w:rFonts w:hint="eastAsia"/>
          <w:color w:val="auto"/>
        </w:rPr>
        <w:t xml:space="preserve">  </w:t>
      </w:r>
    </w:p>
    <w:tbl>
      <w:tblPr>
        <w:tblStyle w:val="21"/>
        <w:tblW w:w="819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190" w:type="dxa"/>
          </w:tcPr>
          <w:p>
            <w:pPr>
              <w:spacing w:before="1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注释： </w:t>
            </w:r>
          </w:p>
          <w:p>
            <w:pPr>
              <w:spacing w:before="120" w:line="420" w:lineRule="exact"/>
              <w:ind w:firstLine="486"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1、本章分为三部分，是为方便</w:t>
            </w:r>
            <w:r>
              <w:rPr>
                <w:rFonts w:hint="eastAsia" w:ascii="仿宋_GB2312" w:hAnsi="仿宋_GB2312" w:eastAsia="仿宋_GB2312" w:cs="仿宋_GB2312"/>
                <w:color w:val="auto"/>
                <w:sz w:val="24"/>
                <w:szCs w:val="24"/>
                <w:lang w:val="en-US" w:eastAsia="zh-CN"/>
              </w:rPr>
              <w:t>供应商</w:t>
            </w:r>
            <w:r>
              <w:rPr>
                <w:rFonts w:hint="eastAsia" w:ascii="仿宋_GB2312" w:hAnsi="仿宋_GB2312" w:eastAsia="仿宋_GB2312" w:cs="仿宋_GB2312"/>
                <w:color w:val="auto"/>
                <w:sz w:val="24"/>
                <w:szCs w:val="24"/>
              </w:rPr>
              <w:t>制作响应文件设计。第一、二部分应按要求或给定格式选择填报。</w:t>
            </w:r>
          </w:p>
          <w:p>
            <w:pPr>
              <w:spacing w:before="120" w:line="420" w:lineRule="exact"/>
              <w:ind w:firstLine="486"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2、第三部分</w:t>
            </w:r>
            <w:r>
              <w:rPr>
                <w:rFonts w:hint="eastAsia" w:ascii="仿宋_GB2312" w:hAnsi="仿宋_GB2312" w:eastAsia="仿宋_GB2312" w:cs="仿宋_GB2312"/>
                <w:color w:val="auto"/>
                <w:sz w:val="24"/>
                <w:szCs w:val="24"/>
                <w:lang w:val="en-US" w:eastAsia="zh-CN"/>
              </w:rPr>
              <w:t>响应</w:t>
            </w:r>
            <w:r>
              <w:rPr>
                <w:rFonts w:hint="eastAsia" w:ascii="仿宋_GB2312" w:hAnsi="仿宋_GB2312" w:eastAsia="仿宋_GB2312" w:cs="仿宋_GB2312"/>
                <w:color w:val="auto"/>
                <w:sz w:val="24"/>
                <w:szCs w:val="24"/>
              </w:rPr>
              <w:t>方案格式仅供参考，</w:t>
            </w:r>
            <w:r>
              <w:rPr>
                <w:rFonts w:hint="eastAsia" w:ascii="仿宋_GB2312" w:hAnsi="仿宋_GB2312" w:eastAsia="仿宋_GB2312" w:cs="仿宋_GB2312"/>
                <w:color w:val="auto"/>
                <w:sz w:val="24"/>
                <w:szCs w:val="24"/>
                <w:lang w:val="en-US" w:eastAsia="zh-CN"/>
              </w:rPr>
              <w:t>供应商</w:t>
            </w:r>
            <w:r>
              <w:rPr>
                <w:rFonts w:hint="eastAsia" w:ascii="仿宋_GB2312" w:hAnsi="仿宋_GB2312" w:eastAsia="仿宋_GB2312" w:cs="仿宋_GB2312"/>
                <w:color w:val="auto"/>
                <w:sz w:val="24"/>
                <w:szCs w:val="24"/>
              </w:rPr>
              <w:t>应根据项目特点，结合本次</w:t>
            </w:r>
            <w:r>
              <w:rPr>
                <w:rFonts w:hint="eastAsia" w:ascii="仿宋_GB2312" w:hAnsi="仿宋_GB2312" w:eastAsia="仿宋_GB2312" w:cs="仿宋_GB2312"/>
                <w:color w:val="auto"/>
                <w:sz w:val="24"/>
                <w:szCs w:val="24"/>
                <w:lang w:val="en-US" w:eastAsia="zh-CN"/>
              </w:rPr>
              <w:t>磋商</w:t>
            </w:r>
            <w:r>
              <w:rPr>
                <w:rFonts w:hint="eastAsia" w:ascii="仿宋_GB2312" w:hAnsi="仿宋_GB2312" w:eastAsia="仿宋_GB2312" w:cs="仿宋_GB2312"/>
                <w:color w:val="auto"/>
                <w:sz w:val="24"/>
                <w:szCs w:val="24"/>
              </w:rPr>
              <w:t>要求，对有关表格进行补充或修改，但不得对实质性文件的相关条款作出变动。</w:t>
            </w:r>
          </w:p>
        </w:tc>
      </w:tr>
    </w:tbl>
    <w:p>
      <w:pPr>
        <w:pStyle w:val="41"/>
        <w:rPr>
          <w:color w:val="auto"/>
          <w:sz w:val="20"/>
        </w:rPr>
      </w:pPr>
    </w:p>
    <w:p>
      <w:pPr>
        <w:pStyle w:val="38"/>
        <w:spacing w:line="240" w:lineRule="auto"/>
        <w:ind w:firstLine="253" w:firstLineChars="70"/>
        <w:jc w:val="center"/>
        <w:rPr>
          <w:rFonts w:ascii="宋体" w:hAnsi="宋体" w:eastAsia="宋体"/>
          <w:color w:val="auto"/>
          <w:sz w:val="36"/>
          <w:szCs w:val="36"/>
        </w:rPr>
      </w:pPr>
    </w:p>
    <w:p>
      <w:pPr>
        <w:pStyle w:val="38"/>
        <w:spacing w:line="240" w:lineRule="auto"/>
        <w:ind w:firstLine="253" w:firstLineChars="70"/>
        <w:jc w:val="center"/>
        <w:rPr>
          <w:color w:val="auto"/>
          <w:sz w:val="36"/>
          <w:szCs w:val="36"/>
        </w:rPr>
      </w:pPr>
      <w:r>
        <w:rPr>
          <w:rFonts w:ascii="宋体" w:hAnsi="宋体" w:eastAsia="宋体"/>
          <w:color w:val="auto"/>
          <w:sz w:val="36"/>
          <w:szCs w:val="36"/>
        </w:rPr>
        <w:br w:type="page"/>
      </w:r>
    </w:p>
    <w:p>
      <w:pPr>
        <w:spacing w:line="240" w:lineRule="auto"/>
        <w:jc w:val="left"/>
        <w:outlineLvl w:val="0"/>
        <w:rPr>
          <w:rFonts w:hint="eastAsia" w:ascii="华文中宋" w:hAnsi="华文中宋" w:eastAsia="华文中宋" w:cs="华文中宋"/>
          <w:color w:val="auto"/>
          <w:sz w:val="60"/>
          <w:szCs w:val="60"/>
        </w:rPr>
      </w:pPr>
      <w:bookmarkStart w:id="209" w:name="_Toc10248"/>
      <w:bookmarkStart w:id="210" w:name="_Toc257"/>
      <w:bookmarkStart w:id="211" w:name="_Toc24786"/>
      <w:bookmarkStart w:id="212" w:name="_Toc6132"/>
      <w:bookmarkStart w:id="213" w:name="_Toc26349"/>
      <w:bookmarkStart w:id="214" w:name="_Toc23235"/>
      <w:bookmarkStart w:id="215" w:name="_Toc26293"/>
    </w:p>
    <w:p>
      <w:pPr>
        <w:spacing w:line="240" w:lineRule="auto"/>
        <w:jc w:val="center"/>
        <w:outlineLvl w:val="0"/>
        <w:rPr>
          <w:rFonts w:hint="eastAsia" w:ascii="方正小标宋简体" w:hAnsi="方正小标宋简体" w:eastAsia="方正小标宋简体" w:cs="方正小标宋简体"/>
          <w:color w:val="auto"/>
          <w:sz w:val="52"/>
          <w:szCs w:val="52"/>
        </w:rPr>
      </w:pPr>
      <w:bookmarkStart w:id="216" w:name="_Toc14411"/>
      <w:r>
        <w:rPr>
          <w:rFonts w:hint="eastAsia" w:ascii="方正小标宋简体" w:hAnsi="方正小标宋简体" w:eastAsia="方正小标宋简体" w:cs="方正小标宋简体"/>
          <w:color w:val="auto"/>
          <w:sz w:val="52"/>
          <w:szCs w:val="52"/>
          <w:lang w:val="en-US" w:eastAsia="zh-CN"/>
        </w:rPr>
        <w:t>汉中市</w:t>
      </w:r>
      <w:r>
        <w:rPr>
          <w:rFonts w:hint="eastAsia" w:ascii="方正小标宋简体" w:hAnsi="方正小标宋简体" w:eastAsia="方正小标宋简体" w:cs="方正小标宋简体"/>
          <w:color w:val="auto"/>
          <w:sz w:val="52"/>
          <w:szCs w:val="52"/>
        </w:rPr>
        <w:t>政府采购</w:t>
      </w:r>
      <w:r>
        <w:rPr>
          <w:rFonts w:hint="eastAsia" w:ascii="方正小标宋简体" w:hAnsi="方正小标宋简体" w:eastAsia="方正小标宋简体" w:cs="方正小标宋简体"/>
          <w:color w:val="auto"/>
          <w:sz w:val="52"/>
          <w:szCs w:val="52"/>
          <w:lang w:val="en-US" w:eastAsia="zh-CN"/>
        </w:rPr>
        <w:t>竞争性磋商</w:t>
      </w:r>
      <w:r>
        <w:rPr>
          <w:rFonts w:hint="eastAsia" w:ascii="方正小标宋简体" w:hAnsi="方正小标宋简体" w:eastAsia="方正小标宋简体" w:cs="方正小标宋简体"/>
          <w:color w:val="auto"/>
          <w:sz w:val="52"/>
          <w:szCs w:val="52"/>
        </w:rPr>
        <w:t>项目</w:t>
      </w:r>
      <w:bookmarkEnd w:id="209"/>
      <w:bookmarkEnd w:id="210"/>
      <w:bookmarkEnd w:id="211"/>
      <w:bookmarkEnd w:id="212"/>
      <w:bookmarkEnd w:id="213"/>
      <w:bookmarkEnd w:id="214"/>
      <w:bookmarkEnd w:id="215"/>
      <w:bookmarkEnd w:id="216"/>
    </w:p>
    <w:p>
      <w:pPr>
        <w:pStyle w:val="38"/>
        <w:spacing w:line="240" w:lineRule="auto"/>
        <w:ind w:left="0" w:leftChars="0" w:firstLine="0" w:firstLineChars="0"/>
        <w:jc w:val="both"/>
        <w:rPr>
          <w:rFonts w:hint="eastAsia" w:ascii="方正小标宋简体" w:hAnsi="方正小标宋简体" w:eastAsia="方正小标宋简体" w:cs="方正小标宋简体"/>
          <w:color w:val="auto"/>
          <w:sz w:val="36"/>
          <w:szCs w:val="36"/>
        </w:rPr>
      </w:pPr>
    </w:p>
    <w:p>
      <w:pPr>
        <w:spacing w:line="240" w:lineRule="auto"/>
        <w:jc w:val="center"/>
        <w:outlineLvl w:val="0"/>
        <w:rPr>
          <w:rFonts w:hint="eastAsia" w:ascii="方正小标宋简体" w:hAnsi="方正小标宋简体" w:eastAsia="方正小标宋简体" w:cs="方正小标宋简体"/>
          <w:color w:val="auto"/>
          <w:sz w:val="100"/>
          <w:szCs w:val="100"/>
          <w:lang w:val="en-US" w:eastAsia="zh-CN"/>
        </w:rPr>
      </w:pPr>
      <w:bookmarkStart w:id="217" w:name="_Toc76"/>
      <w:bookmarkStart w:id="218" w:name="_Toc6733"/>
      <w:bookmarkStart w:id="219" w:name="_Toc20481"/>
      <w:bookmarkStart w:id="220" w:name="_Toc19569"/>
      <w:bookmarkStart w:id="221" w:name="_Toc13950"/>
      <w:bookmarkStart w:id="222" w:name="_Toc17700"/>
      <w:bookmarkStart w:id="223" w:name="_Toc26378"/>
      <w:bookmarkStart w:id="224" w:name="_Toc8257"/>
      <w:r>
        <w:rPr>
          <w:rFonts w:hint="eastAsia" w:ascii="方正小标宋简体" w:hAnsi="方正小标宋简体" w:eastAsia="方正小标宋简体" w:cs="方正小标宋简体"/>
          <w:color w:val="auto"/>
          <w:sz w:val="100"/>
          <w:szCs w:val="100"/>
          <w:lang w:val="en-US" w:eastAsia="zh-CN"/>
        </w:rPr>
        <w:t>响应文件</w:t>
      </w:r>
      <w:bookmarkEnd w:id="217"/>
      <w:bookmarkEnd w:id="218"/>
      <w:bookmarkEnd w:id="219"/>
      <w:bookmarkEnd w:id="220"/>
      <w:bookmarkEnd w:id="221"/>
      <w:bookmarkEnd w:id="222"/>
      <w:bookmarkEnd w:id="223"/>
      <w:bookmarkEnd w:id="224"/>
    </w:p>
    <w:p>
      <w:pPr>
        <w:pStyle w:val="38"/>
        <w:spacing w:line="240" w:lineRule="auto"/>
        <w:ind w:firstLine="0" w:firstLineChars="0"/>
        <w:jc w:val="center"/>
        <w:rPr>
          <w:rFonts w:ascii="华文仿宋" w:hAnsi="华文仿宋" w:cs="华文仿宋"/>
          <w:color w:val="auto"/>
          <w:sz w:val="36"/>
          <w:szCs w:val="36"/>
        </w:rPr>
      </w:pPr>
    </w:p>
    <w:p>
      <w:pPr>
        <w:pStyle w:val="38"/>
        <w:spacing w:line="240" w:lineRule="auto"/>
        <w:ind w:firstLine="0" w:firstLineChars="0"/>
        <w:jc w:val="both"/>
        <w:rPr>
          <w:rFonts w:ascii="华文仿宋" w:hAnsi="华文仿宋" w:cs="华文仿宋"/>
          <w:color w:val="auto"/>
          <w:sz w:val="36"/>
          <w:szCs w:val="36"/>
        </w:rPr>
      </w:pPr>
    </w:p>
    <w:p>
      <w:pPr>
        <w:pStyle w:val="38"/>
        <w:spacing w:line="240" w:lineRule="auto"/>
        <w:ind w:firstLine="0" w:firstLineChars="0"/>
        <w:jc w:val="both"/>
        <w:rPr>
          <w:rFonts w:ascii="华文仿宋" w:hAnsi="华文仿宋" w:cs="华文仿宋"/>
          <w:color w:val="auto"/>
          <w:sz w:val="36"/>
          <w:szCs w:val="36"/>
        </w:rPr>
      </w:pPr>
    </w:p>
    <w:p>
      <w:pPr>
        <w:pStyle w:val="38"/>
        <w:spacing w:line="240" w:lineRule="auto"/>
        <w:ind w:firstLine="0" w:firstLineChars="0"/>
        <w:jc w:val="center"/>
        <w:rPr>
          <w:rFonts w:ascii="华文仿宋" w:hAnsi="华文仿宋" w:cs="华文仿宋"/>
          <w:color w:val="auto"/>
          <w:sz w:val="36"/>
        </w:rPr>
      </w:pPr>
    </w:p>
    <w:p>
      <w:pPr>
        <w:pStyle w:val="38"/>
        <w:spacing w:line="240" w:lineRule="auto"/>
        <w:ind w:firstLine="0" w:firstLineChars="0"/>
        <w:jc w:val="center"/>
        <w:rPr>
          <w:rFonts w:ascii="华文仿宋" w:hAnsi="华文仿宋" w:cs="华文仿宋"/>
          <w:color w:val="auto"/>
          <w:sz w:val="36"/>
        </w:rPr>
      </w:pPr>
    </w:p>
    <w:p>
      <w:pPr>
        <w:pStyle w:val="38"/>
        <w:spacing w:line="240" w:lineRule="auto"/>
        <w:ind w:firstLine="0" w:firstLineChars="0"/>
        <w:jc w:val="center"/>
        <w:rPr>
          <w:rFonts w:hint="eastAsia" w:ascii="仿宋_GB2312" w:hAnsi="仿宋_GB2312" w:eastAsia="仿宋_GB2312" w:cs="仿宋_GB2312"/>
          <w:color w:val="auto"/>
          <w:sz w:val="36"/>
        </w:rPr>
      </w:pPr>
    </w:p>
    <w:p>
      <w:pPr>
        <w:pStyle w:val="38"/>
        <w:spacing w:line="240" w:lineRule="auto"/>
        <w:ind w:firstLine="1452" w:firstLineChars="400"/>
        <w:outlineLvl w:val="0"/>
        <w:rPr>
          <w:rFonts w:hint="eastAsia" w:ascii="仿宋_GB2312" w:hAnsi="仿宋_GB2312" w:eastAsia="仿宋_GB2312" w:cs="仿宋_GB2312"/>
          <w:b/>
          <w:color w:val="auto"/>
          <w:sz w:val="36"/>
          <w:szCs w:val="36"/>
          <w:u w:val="single"/>
        </w:rPr>
      </w:pPr>
      <w:bookmarkStart w:id="225" w:name="_Toc12627"/>
      <w:bookmarkStart w:id="226" w:name="_Toc2030"/>
      <w:bookmarkStart w:id="227" w:name="_Toc15354"/>
      <w:bookmarkStart w:id="228" w:name="_Toc23171"/>
      <w:bookmarkStart w:id="229" w:name="_Toc22280"/>
      <w:bookmarkStart w:id="230" w:name="_Toc24457"/>
      <w:bookmarkStart w:id="231" w:name="_Toc15913"/>
      <w:bookmarkStart w:id="232" w:name="_Toc24486"/>
      <w:r>
        <w:rPr>
          <w:rFonts w:hint="eastAsia" w:ascii="仿宋_GB2312" w:hAnsi="仿宋_GB2312" w:eastAsia="仿宋_GB2312" w:cs="仿宋_GB2312"/>
          <w:bCs/>
          <w:color w:val="auto"/>
          <w:sz w:val="36"/>
          <w:szCs w:val="36"/>
        </w:rPr>
        <w:t>项目名称：</w:t>
      </w:r>
      <w:bookmarkEnd w:id="225"/>
      <w:bookmarkEnd w:id="226"/>
      <w:bookmarkEnd w:id="227"/>
      <w:bookmarkEnd w:id="228"/>
      <w:bookmarkEnd w:id="229"/>
      <w:bookmarkEnd w:id="230"/>
      <w:bookmarkEnd w:id="231"/>
      <w:bookmarkEnd w:id="232"/>
      <w:r>
        <w:rPr>
          <w:rFonts w:hint="eastAsia" w:ascii="仿宋_GB2312" w:hAnsi="仿宋_GB2312" w:eastAsia="仿宋_GB2312" w:cs="仿宋_GB2312"/>
          <w:color w:val="auto"/>
          <w:sz w:val="36"/>
          <w:szCs w:val="36"/>
          <w:u w:val="single"/>
        </w:rPr>
        <w:t xml:space="preserve">             </w:t>
      </w:r>
    </w:p>
    <w:p>
      <w:pPr>
        <w:pStyle w:val="38"/>
        <w:spacing w:line="240" w:lineRule="auto"/>
        <w:ind w:firstLine="1452" w:firstLineChars="400"/>
        <w:outlineLvl w:val="0"/>
        <w:rPr>
          <w:rFonts w:hint="eastAsia" w:ascii="仿宋_GB2312" w:hAnsi="仿宋_GB2312" w:eastAsia="仿宋_GB2312" w:cs="仿宋_GB2312"/>
          <w:color w:val="auto"/>
          <w:sz w:val="36"/>
          <w:szCs w:val="36"/>
          <w:u w:val="single"/>
        </w:rPr>
      </w:pPr>
      <w:bookmarkStart w:id="233" w:name="_Toc16607"/>
      <w:bookmarkStart w:id="234" w:name="_Toc5428"/>
      <w:bookmarkStart w:id="235" w:name="_Toc21054"/>
      <w:bookmarkStart w:id="236" w:name="_Toc11267"/>
      <w:bookmarkStart w:id="237" w:name="_Toc15987"/>
      <w:bookmarkStart w:id="238" w:name="_Toc1120"/>
      <w:bookmarkStart w:id="239" w:name="_Toc22519"/>
      <w:bookmarkStart w:id="240" w:name="_Toc29966"/>
      <w:r>
        <w:rPr>
          <w:rFonts w:hint="eastAsia" w:ascii="仿宋_GB2312" w:hAnsi="仿宋_GB2312" w:eastAsia="仿宋_GB2312" w:cs="仿宋_GB2312"/>
          <w:bCs/>
          <w:color w:val="auto"/>
          <w:sz w:val="36"/>
          <w:szCs w:val="36"/>
        </w:rPr>
        <w:t>项目</w:t>
      </w:r>
      <w:r>
        <w:rPr>
          <w:rFonts w:hint="eastAsia" w:ascii="仿宋_GB2312" w:hAnsi="仿宋_GB2312" w:eastAsia="仿宋_GB2312" w:cs="仿宋_GB2312"/>
          <w:bCs/>
          <w:color w:val="auto"/>
          <w:sz w:val="36"/>
          <w:szCs w:val="36"/>
          <w:lang w:val="en-US" w:eastAsia="zh-CN"/>
        </w:rPr>
        <w:t>编号</w:t>
      </w:r>
      <w:r>
        <w:rPr>
          <w:rFonts w:hint="eastAsia" w:ascii="仿宋_GB2312" w:hAnsi="仿宋_GB2312" w:eastAsia="仿宋_GB2312" w:cs="仿宋_GB2312"/>
          <w:bCs/>
          <w:color w:val="auto"/>
          <w:sz w:val="36"/>
          <w:szCs w:val="36"/>
        </w:rPr>
        <w:t>：</w:t>
      </w:r>
      <w:bookmarkEnd w:id="233"/>
      <w:r>
        <w:rPr>
          <w:rFonts w:hint="eastAsia" w:ascii="仿宋_GB2312" w:hAnsi="仿宋_GB2312" w:eastAsia="仿宋_GB2312" w:cs="仿宋_GB2312"/>
          <w:color w:val="auto"/>
          <w:sz w:val="36"/>
          <w:szCs w:val="36"/>
          <w:u w:val="single"/>
        </w:rPr>
        <w:t xml:space="preserve">             </w:t>
      </w:r>
    </w:p>
    <w:p>
      <w:pPr>
        <w:pStyle w:val="38"/>
        <w:spacing w:line="240" w:lineRule="auto"/>
        <w:ind w:firstLine="1452" w:firstLineChars="400"/>
        <w:outlineLvl w:val="0"/>
        <w:rPr>
          <w:rFonts w:hint="eastAsia" w:ascii="仿宋_GB2312" w:hAnsi="仿宋_GB2312" w:eastAsia="仿宋_GB2312" w:cs="仿宋_GB2312"/>
          <w:color w:val="auto"/>
          <w:sz w:val="36"/>
        </w:rPr>
      </w:pPr>
      <w:bookmarkStart w:id="241" w:name="_Toc18959"/>
      <w:r>
        <w:rPr>
          <w:rFonts w:hint="eastAsia" w:ascii="仿宋_GB2312" w:hAnsi="仿宋_GB2312" w:eastAsia="仿宋_GB2312" w:cs="仿宋_GB2312"/>
          <w:color w:val="auto"/>
          <w:sz w:val="36"/>
        </w:rPr>
        <w:t>供 应 商：</w:t>
      </w:r>
      <w:r>
        <w:rPr>
          <w:rFonts w:hint="eastAsia" w:ascii="仿宋_GB2312" w:hAnsi="仿宋_GB2312" w:eastAsia="仿宋_GB2312" w:cs="仿宋_GB2312"/>
          <w:color w:val="auto"/>
          <w:sz w:val="36"/>
          <w:u w:val="single"/>
        </w:rPr>
        <w:t xml:space="preserve"> </w:t>
      </w:r>
      <w:r>
        <w:rPr>
          <w:rFonts w:hint="eastAsia" w:ascii="仿宋_GB2312" w:hAnsi="仿宋_GB2312" w:eastAsia="仿宋_GB2312" w:cs="仿宋_GB2312"/>
          <w:color w:val="auto"/>
          <w:sz w:val="36"/>
          <w:szCs w:val="36"/>
          <w:u w:val="single"/>
        </w:rPr>
        <w:t xml:space="preserve">            </w:t>
      </w:r>
      <w:r>
        <w:rPr>
          <w:rFonts w:hint="eastAsia" w:ascii="仿宋_GB2312" w:hAnsi="仿宋_GB2312" w:eastAsia="仿宋_GB2312" w:cs="仿宋_GB2312"/>
          <w:color w:val="auto"/>
          <w:sz w:val="36"/>
        </w:rPr>
        <w:t>（公章）</w:t>
      </w:r>
      <w:bookmarkEnd w:id="234"/>
      <w:bookmarkEnd w:id="235"/>
      <w:bookmarkEnd w:id="236"/>
      <w:bookmarkEnd w:id="237"/>
      <w:bookmarkEnd w:id="238"/>
      <w:bookmarkEnd w:id="239"/>
      <w:bookmarkEnd w:id="240"/>
      <w:bookmarkEnd w:id="241"/>
    </w:p>
    <w:p>
      <w:pPr>
        <w:pStyle w:val="38"/>
        <w:spacing w:line="240" w:lineRule="auto"/>
        <w:ind w:firstLine="1452" w:firstLineChars="400"/>
        <w:jc w:val="left"/>
        <w:outlineLvl w:val="0"/>
        <w:rPr>
          <w:rFonts w:hint="eastAsia" w:ascii="仿宋" w:hAnsi="仿宋" w:eastAsia="仿宋" w:cs="仿宋"/>
          <w:color w:val="auto"/>
          <w:sz w:val="36"/>
          <w:szCs w:val="36"/>
          <w:u w:val="single"/>
        </w:rPr>
      </w:pPr>
      <w:bookmarkStart w:id="242" w:name="_Toc7734"/>
      <w:bookmarkStart w:id="243" w:name="_Toc9715"/>
      <w:bookmarkStart w:id="244" w:name="_Toc21702"/>
      <w:bookmarkStart w:id="245" w:name="_Toc26250"/>
      <w:bookmarkStart w:id="246" w:name="_Toc15429"/>
      <w:bookmarkStart w:id="247" w:name="_Toc880"/>
      <w:bookmarkStart w:id="248" w:name="_Toc24294"/>
      <w:bookmarkStart w:id="249" w:name="_Toc5243"/>
      <w:r>
        <w:rPr>
          <w:rFonts w:hint="eastAsia" w:ascii="仿宋_GB2312" w:hAnsi="仿宋_GB2312" w:eastAsia="仿宋_GB2312" w:cs="仿宋_GB2312"/>
          <w:color w:val="auto"/>
          <w:sz w:val="36"/>
        </w:rPr>
        <w:t>时　  间：</w:t>
      </w:r>
      <w:bookmarkEnd w:id="242"/>
      <w:bookmarkEnd w:id="243"/>
      <w:bookmarkEnd w:id="244"/>
      <w:r>
        <w:rPr>
          <w:rFonts w:hint="eastAsia" w:ascii="仿宋_GB2312" w:hAnsi="仿宋_GB2312" w:eastAsia="仿宋_GB2312" w:cs="仿宋_GB2312"/>
          <w:color w:val="auto"/>
          <w:sz w:val="36"/>
          <w:u w:val="single"/>
        </w:rPr>
        <w:t xml:space="preserve"> </w:t>
      </w:r>
      <w:r>
        <w:rPr>
          <w:rFonts w:hint="eastAsia" w:ascii="仿宋_GB2312" w:hAnsi="仿宋_GB2312" w:eastAsia="仿宋_GB2312" w:cs="仿宋_GB2312"/>
          <w:color w:val="auto"/>
          <w:sz w:val="36"/>
          <w:szCs w:val="36"/>
          <w:u w:val="single"/>
        </w:rPr>
        <w:t xml:space="preserve">            </w:t>
      </w:r>
      <w:bookmarkEnd w:id="245"/>
      <w:bookmarkEnd w:id="246"/>
      <w:bookmarkEnd w:id="247"/>
      <w:bookmarkEnd w:id="248"/>
      <w:bookmarkEnd w:id="249"/>
    </w:p>
    <w:p>
      <w:pPr>
        <w:pStyle w:val="38"/>
        <w:spacing w:line="240" w:lineRule="auto"/>
        <w:ind w:firstLine="1452" w:firstLineChars="400"/>
        <w:jc w:val="left"/>
        <w:outlineLvl w:val="0"/>
        <w:rPr>
          <w:rFonts w:hint="eastAsia" w:ascii="仿宋" w:hAnsi="仿宋" w:eastAsia="仿宋" w:cs="仿宋"/>
          <w:color w:val="auto"/>
          <w:sz w:val="36"/>
          <w:szCs w:val="36"/>
          <w:u w:val="single"/>
        </w:rPr>
      </w:pPr>
    </w:p>
    <w:bookmarkEnd w:id="198"/>
    <w:bookmarkEnd w:id="199"/>
    <w:bookmarkEnd w:id="200"/>
    <w:bookmarkEnd w:id="201"/>
    <w:bookmarkEnd w:id="202"/>
    <w:bookmarkEnd w:id="203"/>
    <w:bookmarkEnd w:id="204"/>
    <w:bookmarkEnd w:id="205"/>
    <w:bookmarkEnd w:id="206"/>
    <w:bookmarkEnd w:id="207"/>
    <w:p>
      <w:pPr>
        <w:rPr>
          <w:rFonts w:ascii="华文仿宋" w:hAnsi="华文仿宋" w:cs="华文仿宋"/>
          <w:color w:val="auto"/>
          <w:sz w:val="36"/>
        </w:rPr>
      </w:pPr>
      <w:bookmarkStart w:id="250" w:name="_Toc22476_WPSOffice_Level1"/>
      <w:bookmarkStart w:id="251" w:name="_Toc31082_WPSOffice_Level1"/>
      <w:bookmarkStart w:id="252" w:name="_Toc21571_WPSOffice_Level1"/>
      <w:bookmarkStart w:id="253" w:name="_Toc2071_WPSOffice_Level1"/>
      <w:r>
        <w:rPr>
          <w:rFonts w:ascii="华文仿宋" w:hAnsi="华文仿宋" w:cs="华文仿宋"/>
          <w:color w:val="auto"/>
          <w:sz w:val="36"/>
        </w:rPr>
        <w:br w:type="page"/>
      </w:r>
    </w:p>
    <w:p>
      <w:pPr>
        <w:pStyle w:val="42"/>
        <w:rPr>
          <w:rFonts w:hint="eastAsia" w:ascii="黑体" w:hAnsi="黑体" w:eastAsia="黑体" w:cs="黑体"/>
          <w:b w:val="0"/>
          <w:bCs w:val="0"/>
          <w:color w:val="auto"/>
          <w:sz w:val="36"/>
          <w:szCs w:val="36"/>
        </w:rPr>
      </w:pPr>
      <w:bookmarkStart w:id="254" w:name="_Toc27037"/>
      <w:bookmarkStart w:id="255" w:name="_Toc11156"/>
      <w:bookmarkStart w:id="256" w:name="_Toc10193"/>
      <w:bookmarkStart w:id="257" w:name="_Toc24906"/>
      <w:bookmarkStart w:id="258" w:name="_Toc23450"/>
      <w:r>
        <w:rPr>
          <w:rFonts w:hint="eastAsia" w:ascii="黑体" w:hAnsi="黑体" w:eastAsia="黑体" w:cs="黑体"/>
          <w:b w:val="0"/>
          <w:bCs w:val="0"/>
          <w:color w:val="auto"/>
          <w:sz w:val="44"/>
          <w:szCs w:val="44"/>
        </w:rPr>
        <w:t>目  录</w:t>
      </w:r>
      <w:bookmarkEnd w:id="250"/>
      <w:bookmarkEnd w:id="251"/>
      <w:bookmarkEnd w:id="252"/>
      <w:bookmarkEnd w:id="253"/>
      <w:bookmarkEnd w:id="254"/>
      <w:bookmarkEnd w:id="255"/>
      <w:bookmarkEnd w:id="256"/>
      <w:bookmarkEnd w:id="257"/>
      <w:bookmarkEnd w:id="258"/>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left="2181" w:leftChars="200" w:right="849" w:rightChars="300" w:hanging="1615" w:hangingChars="500"/>
        <w:textAlignment w:val="auto"/>
        <w:rPr>
          <w:rFonts w:ascii="黑体" w:hAnsi="黑体" w:eastAsia="黑体" w:cs="黑体"/>
          <w:color w:val="auto"/>
          <w:sz w:val="32"/>
          <w:szCs w:val="32"/>
        </w:rPr>
      </w:pPr>
      <w:bookmarkStart w:id="259" w:name="_Toc8294_WPSOffice_Level1"/>
      <w:bookmarkStart w:id="260" w:name="_Toc26192_WPSOffice_Level1"/>
      <w:bookmarkStart w:id="261" w:name="_Toc19993_WPSOffice_Level1"/>
      <w:bookmarkStart w:id="262" w:name="_Toc25537_WPSOffice_Level1"/>
      <w:r>
        <w:rPr>
          <w:rFonts w:hint="eastAsia" w:ascii="黑体" w:hAnsi="黑体" w:eastAsia="黑体" w:cs="黑体"/>
          <w:color w:val="auto"/>
          <w:sz w:val="32"/>
          <w:szCs w:val="32"/>
        </w:rPr>
        <w:t>第一部分  资格证明文件</w:t>
      </w:r>
      <w:r>
        <w:rPr>
          <w:rFonts w:hint="eastAsia" w:ascii="黑体" w:hAnsi="黑体" w:eastAsia="黑体" w:cs="黑体"/>
          <w:color w:val="auto"/>
          <w:sz w:val="32"/>
          <w:szCs w:val="32"/>
        </w:rPr>
        <w:tab/>
      </w:r>
      <w:r>
        <w:rPr>
          <w:rFonts w:hint="eastAsia" w:ascii="黑体" w:hAnsi="黑体" w:eastAsia="黑体" w:cs="黑体"/>
          <w:color w:val="auto"/>
          <w:sz w:val="32"/>
          <w:szCs w:val="32"/>
        </w:rPr>
        <w:t>X</w:t>
      </w:r>
      <w:bookmarkEnd w:id="259"/>
      <w:bookmarkEnd w:id="260"/>
      <w:bookmarkEnd w:id="261"/>
      <w:bookmarkEnd w:id="262"/>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一、营业执照等主体资格证明文件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二、法定代表人授权委托书</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三、资格承诺函</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四、特定资格要求</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五、落实政府采购政策需满足的资格要求</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left="2181" w:leftChars="200" w:right="849" w:rightChars="300" w:hanging="1615" w:hangingChars="500"/>
        <w:textAlignment w:val="auto"/>
        <w:rPr>
          <w:rFonts w:ascii="黑体" w:hAnsi="黑体" w:eastAsia="黑体" w:cs="黑体"/>
          <w:color w:val="auto"/>
          <w:sz w:val="32"/>
          <w:szCs w:val="32"/>
        </w:rPr>
      </w:pPr>
      <w:bookmarkStart w:id="263" w:name="_Toc30252_WPSOffice_Level1"/>
      <w:bookmarkStart w:id="264" w:name="_Toc28184_WPSOffice_Level1"/>
      <w:bookmarkStart w:id="265" w:name="_Toc22849_WPSOffice_Level1"/>
      <w:bookmarkStart w:id="266" w:name="_Toc27026_WPSOffice_Level1"/>
      <w:r>
        <w:rPr>
          <w:rFonts w:hint="eastAsia" w:ascii="黑体" w:hAnsi="黑体" w:eastAsia="黑体" w:cs="黑体"/>
          <w:color w:val="auto"/>
          <w:sz w:val="32"/>
          <w:szCs w:val="32"/>
        </w:rPr>
        <w:t>第二部分  符合性证明文件</w:t>
      </w:r>
      <w:r>
        <w:rPr>
          <w:color w:val="auto"/>
          <w:sz w:val="32"/>
          <w:szCs w:val="32"/>
        </w:rPr>
        <w:tab/>
      </w:r>
      <w:r>
        <w:rPr>
          <w:color w:val="auto"/>
          <w:sz w:val="32"/>
          <w:szCs w:val="32"/>
        </w:rPr>
        <w:t>X</w:t>
      </w:r>
      <w:bookmarkEnd w:id="263"/>
      <w:bookmarkEnd w:id="264"/>
      <w:bookmarkEnd w:id="265"/>
      <w:bookmarkEnd w:id="266"/>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67" w:name="_Toc28631_WPSOffice_Level2"/>
      <w:bookmarkStart w:id="268" w:name="_Toc183_WPSOffice_Level2"/>
      <w:bookmarkStart w:id="269" w:name="_Toc7348_WPSOffice_Level2"/>
      <w:bookmarkStart w:id="270" w:name="_Toc5795_WPSOffice_Level2"/>
      <w:r>
        <w:rPr>
          <w:rFonts w:hint="eastAsia" w:ascii="仿宋_GB2312" w:hAnsi="仿宋_GB2312" w:eastAsia="仿宋_GB2312" w:cs="仿宋_GB2312"/>
          <w:color w:val="auto"/>
          <w:sz w:val="32"/>
          <w:szCs w:val="32"/>
        </w:rPr>
        <w:t>一、响应函格式</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67"/>
      <w:bookmarkEnd w:id="268"/>
      <w:bookmarkEnd w:id="269"/>
      <w:bookmarkEnd w:id="270"/>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71" w:name="_Toc8116_WPSOffice_Level2"/>
      <w:bookmarkStart w:id="272" w:name="_Toc9021_WPSOffice_Level2"/>
      <w:bookmarkStart w:id="273" w:name="_Toc1168_WPSOffice_Level2"/>
      <w:bookmarkStart w:id="274" w:name="_Toc27223_WPSOffice_Level2"/>
      <w:r>
        <w:rPr>
          <w:rFonts w:hint="eastAsia" w:ascii="仿宋_GB2312" w:hAnsi="仿宋_GB2312" w:eastAsia="仿宋_GB2312" w:cs="仿宋_GB2312"/>
          <w:color w:val="auto"/>
          <w:sz w:val="32"/>
          <w:szCs w:val="32"/>
        </w:rPr>
        <w:t>二、第一次磋商报价表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71"/>
      <w:bookmarkEnd w:id="272"/>
      <w:bookmarkEnd w:id="273"/>
      <w:bookmarkEnd w:id="274"/>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938" w:firstLineChars="6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分项报价表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75" w:name="_Toc11630_WPSOffice_Level2"/>
      <w:bookmarkStart w:id="276" w:name="_Toc3525_WPSOffice_Level2"/>
      <w:bookmarkStart w:id="277" w:name="_Toc29414_WPSOffice_Level2"/>
      <w:bookmarkStart w:id="278" w:name="_Toc27170_WPSOffice_Level2"/>
      <w:r>
        <w:rPr>
          <w:rFonts w:hint="eastAsia" w:ascii="仿宋_GB2312" w:hAnsi="仿宋_GB2312" w:eastAsia="仿宋_GB2312" w:cs="仿宋_GB2312"/>
          <w:color w:val="auto"/>
          <w:sz w:val="32"/>
          <w:szCs w:val="32"/>
        </w:rPr>
        <w:t>三、供应商参加政府采购活动承诺书</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75"/>
      <w:bookmarkEnd w:id="276"/>
      <w:bookmarkEnd w:id="277"/>
      <w:bookmarkEnd w:id="278"/>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79" w:name="_Toc20504_WPSOffice_Level2"/>
      <w:bookmarkStart w:id="280" w:name="_Toc18811_WPSOffice_Level2"/>
      <w:bookmarkStart w:id="281" w:name="_Toc31457_WPSOffice_Level2"/>
      <w:bookmarkStart w:id="282" w:name="_Toc1782_WPSOffice_Level2"/>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、技术服务偏差表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79"/>
      <w:bookmarkEnd w:id="280"/>
      <w:bookmarkEnd w:id="281"/>
      <w:bookmarkEnd w:id="282"/>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83" w:name="_Toc17428_WPSOffice_Level2"/>
      <w:bookmarkStart w:id="284" w:name="_Toc13258_WPSOffice_Level2"/>
      <w:bookmarkStart w:id="285" w:name="_Toc19486_WPSOffice_Level2"/>
      <w:bookmarkStart w:id="286" w:name="_Toc28279_WPSOffice_Level2"/>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、合同</w:t>
      </w:r>
      <w:r>
        <w:rPr>
          <w:rFonts w:hint="eastAsia" w:ascii="仿宋_GB2312" w:hAnsi="仿宋_GB2312" w:eastAsia="仿宋_GB2312" w:cs="仿宋_GB2312"/>
          <w:color w:val="auto"/>
          <w:sz w:val="32"/>
          <w:szCs w:val="32"/>
          <w:lang w:val="en-US" w:eastAsia="zh-CN"/>
        </w:rPr>
        <w:t>草案</w:t>
      </w:r>
      <w:r>
        <w:rPr>
          <w:rFonts w:hint="eastAsia" w:ascii="仿宋_GB2312" w:hAnsi="仿宋_GB2312" w:eastAsia="仿宋_GB2312" w:cs="仿宋_GB2312"/>
          <w:color w:val="auto"/>
          <w:sz w:val="32"/>
          <w:szCs w:val="32"/>
        </w:rPr>
        <w:t>条款响应</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83"/>
      <w:bookmarkEnd w:id="284"/>
      <w:bookmarkEnd w:id="285"/>
      <w:bookmarkEnd w:id="286"/>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646" w:firstLineChars="200"/>
        <w:textAlignment w:val="auto"/>
        <w:rPr>
          <w:rFonts w:ascii="黑体" w:hAnsi="黑体" w:eastAsia="黑体" w:cs="黑体"/>
          <w:color w:val="auto"/>
          <w:sz w:val="32"/>
          <w:szCs w:val="32"/>
        </w:rPr>
      </w:pPr>
      <w:bookmarkStart w:id="287" w:name="_Toc22808_WPSOffice_Level1"/>
      <w:bookmarkStart w:id="288" w:name="_Toc23092_WPSOffice_Level1"/>
      <w:bookmarkStart w:id="289" w:name="_Toc21905_WPSOffice_Level1"/>
      <w:bookmarkStart w:id="290" w:name="_Toc27464_WPSOffice_Level1"/>
      <w:r>
        <w:rPr>
          <w:rFonts w:hint="eastAsia" w:ascii="黑体" w:hAnsi="黑体" w:eastAsia="黑体" w:cs="黑体"/>
          <w:color w:val="auto"/>
          <w:sz w:val="32"/>
          <w:szCs w:val="32"/>
        </w:rPr>
        <w:t>第三部分  响应方案</w:t>
      </w:r>
      <w:bookmarkEnd w:id="287"/>
      <w:bookmarkEnd w:id="288"/>
      <w:bookmarkEnd w:id="289"/>
      <w:bookmarkEnd w:id="290"/>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91" w:name="_Toc7951_WPSOffice_Level2"/>
      <w:bookmarkStart w:id="292" w:name="_Toc980_WPSOffice_Level2"/>
      <w:bookmarkStart w:id="293" w:name="_Toc8316_WPSOffice_Level2"/>
      <w:bookmarkStart w:id="294" w:name="_Toc7544_WPSOffice_Level2"/>
      <w:r>
        <w:rPr>
          <w:rFonts w:hint="eastAsia" w:ascii="仿宋_GB2312" w:hAnsi="仿宋_GB2312" w:eastAsia="仿宋_GB2312" w:cs="仿宋_GB2312"/>
          <w:color w:val="auto"/>
          <w:sz w:val="32"/>
          <w:szCs w:val="32"/>
        </w:rPr>
        <w:t>一、供应商</w:t>
      </w:r>
      <w:bookmarkEnd w:id="291"/>
      <w:r>
        <w:rPr>
          <w:rFonts w:hint="eastAsia" w:ascii="仿宋_GB2312" w:hAnsi="仿宋_GB2312" w:eastAsia="仿宋_GB2312" w:cs="仿宋_GB2312"/>
          <w:color w:val="auto"/>
          <w:sz w:val="32"/>
          <w:szCs w:val="32"/>
          <w:lang w:val="en-US" w:eastAsia="zh-CN"/>
        </w:rPr>
        <w:t>基本情况及其性质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92"/>
      <w:bookmarkEnd w:id="293"/>
      <w:bookmarkEnd w:id="294"/>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95" w:name="_Toc10127_WPSOffice_Level2"/>
      <w:bookmarkStart w:id="296" w:name="_Toc2999_WPSOffice_Level2"/>
      <w:bookmarkStart w:id="297" w:name="_Toc2987_WPSOffice_Level2"/>
      <w:bookmarkStart w:id="298" w:name="_Toc15474_WPSOffice_Level2"/>
      <w:r>
        <w:rPr>
          <w:rFonts w:hint="eastAsia" w:ascii="仿宋_GB2312" w:hAnsi="仿宋_GB2312" w:eastAsia="仿宋_GB2312" w:cs="仿宋_GB2312"/>
          <w:color w:val="auto"/>
          <w:sz w:val="32"/>
          <w:szCs w:val="32"/>
        </w:rPr>
        <w:t>二、技术服务方案</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95"/>
      <w:bookmarkEnd w:id="296"/>
      <w:bookmarkEnd w:id="297"/>
      <w:bookmarkEnd w:id="298"/>
    </w:p>
    <w:p>
      <w:pPr>
        <w:keepNext w:val="0"/>
        <w:keepLines w:val="0"/>
        <w:pageBreakBefore w:val="0"/>
        <w:widowControl/>
        <w:numPr>
          <w:ilvl w:val="0"/>
          <w:numId w:val="0"/>
        </w:numPr>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99" w:name="_Toc15492_WPSOffice_Level2"/>
      <w:bookmarkStart w:id="300" w:name="_Toc28542_WPSOffice_Level2"/>
      <w:bookmarkStart w:id="301" w:name="_Toc22913_WPSOffice_Level2"/>
      <w:bookmarkStart w:id="302" w:name="_Toc13401_WPSOffice_Level2"/>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参考样表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99"/>
      <w:bookmarkEnd w:id="300"/>
      <w:bookmarkEnd w:id="301"/>
      <w:bookmarkEnd w:id="302"/>
    </w:p>
    <w:p>
      <w:pPr>
        <w:spacing w:line="500" w:lineRule="exact"/>
        <w:jc w:val="center"/>
        <w:rPr>
          <w:rFonts w:ascii="黑体" w:hAnsi="黑体" w:eastAsia="黑体"/>
          <w:b/>
          <w:color w:val="auto"/>
        </w:rPr>
      </w:pPr>
    </w:p>
    <w:p>
      <w:pPr>
        <w:spacing w:line="500" w:lineRule="exact"/>
        <w:jc w:val="center"/>
        <w:rPr>
          <w:rFonts w:ascii="黑体" w:hAnsi="黑体" w:eastAsia="黑体"/>
          <w:b/>
          <w:color w:val="auto"/>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b/>
          <w:color w:val="auto"/>
        </w:rPr>
      </w:pPr>
      <w:r>
        <w:rPr>
          <w:rFonts w:ascii="黑体" w:hAnsi="黑体" w:eastAsia="黑体"/>
          <w:b/>
          <w:color w:val="auto"/>
        </w:rPr>
        <w:br w:type="page"/>
      </w:r>
      <w:bookmarkStart w:id="303" w:name="_Toc3534_WPSOffice_Level1"/>
      <w:bookmarkStart w:id="304" w:name="_Toc6199"/>
      <w:bookmarkStart w:id="305" w:name="_Toc8079"/>
      <w:bookmarkStart w:id="306" w:name="_Toc23478"/>
      <w:bookmarkStart w:id="307" w:name="_Toc16498"/>
      <w:bookmarkStart w:id="308" w:name="_Toc5115_WPSOffice_Level1"/>
      <w:bookmarkStart w:id="309" w:name="_Toc14670_WPSOffice_Level1"/>
      <w:r>
        <w:rPr>
          <w:rStyle w:val="43"/>
          <w:rFonts w:hint="eastAsia" w:ascii="黑体" w:hAnsi="黑体" w:eastAsia="黑体" w:cs="黑体"/>
          <w:b w:val="0"/>
          <w:bCs/>
          <w:color w:val="auto"/>
          <w:sz w:val="32"/>
          <w:szCs w:val="40"/>
        </w:rPr>
        <w:t>第一部分  资格证明文件</w:t>
      </w:r>
      <w:bookmarkEnd w:id="303"/>
      <w:bookmarkEnd w:id="304"/>
      <w:bookmarkEnd w:id="305"/>
      <w:bookmarkEnd w:id="306"/>
      <w:bookmarkEnd w:id="307"/>
      <w:bookmarkEnd w:id="308"/>
      <w:bookmarkEnd w:id="309"/>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供应商应按照磋商文件第</w:t>
      </w:r>
      <w:r>
        <w:rPr>
          <w:rFonts w:hint="eastAsia" w:ascii="仿宋_GB2312" w:hAnsi="仿宋_GB2312" w:eastAsia="仿宋_GB2312" w:cs="仿宋_GB2312"/>
          <w:color w:val="auto"/>
          <w:sz w:val="28"/>
          <w:szCs w:val="28"/>
          <w:lang w:val="en-US" w:eastAsia="zh-CN"/>
        </w:rPr>
        <w:t>二</w:t>
      </w:r>
      <w:r>
        <w:rPr>
          <w:rFonts w:hint="eastAsia" w:ascii="仿宋_GB2312" w:hAnsi="仿宋_GB2312" w:eastAsia="仿宋_GB2312" w:cs="仿宋_GB2312"/>
          <w:color w:val="auto"/>
          <w:sz w:val="28"/>
          <w:szCs w:val="28"/>
        </w:rPr>
        <w:t>章</w:t>
      </w:r>
      <w:r>
        <w:rPr>
          <w:rFonts w:hint="eastAsia" w:ascii="仿宋_GB2312" w:hAnsi="仿宋_GB2312" w:eastAsia="仿宋_GB2312" w:cs="仿宋_GB2312"/>
          <w:color w:val="auto"/>
          <w:sz w:val="28"/>
          <w:szCs w:val="28"/>
          <w:lang w:val="en-US" w:eastAsia="zh-CN"/>
        </w:rPr>
        <w:t>《资格审查表》</w:t>
      </w:r>
      <w:r>
        <w:rPr>
          <w:rFonts w:hint="eastAsia" w:ascii="仿宋_GB2312" w:hAnsi="仿宋_GB2312" w:eastAsia="仿宋_GB2312" w:cs="仿宋_GB2312"/>
          <w:color w:val="auto"/>
          <w:sz w:val="28"/>
          <w:szCs w:val="28"/>
        </w:rPr>
        <w:t>所列</w:t>
      </w:r>
      <w:r>
        <w:rPr>
          <w:rFonts w:hint="eastAsia" w:ascii="仿宋_GB2312" w:hAnsi="仿宋_GB2312" w:eastAsia="仿宋_GB2312" w:cs="仿宋_GB2312"/>
          <w:color w:val="auto"/>
          <w:sz w:val="28"/>
          <w:szCs w:val="28"/>
          <w:lang w:val="en-US" w:eastAsia="zh-CN"/>
        </w:rPr>
        <w:t>审查项</w:t>
      </w:r>
      <w:r>
        <w:rPr>
          <w:rFonts w:hint="eastAsia" w:ascii="仿宋_GB2312" w:hAnsi="仿宋_GB2312" w:eastAsia="仿宋_GB2312" w:cs="仿宋_GB2312"/>
          <w:color w:val="auto"/>
          <w:sz w:val="28"/>
          <w:szCs w:val="28"/>
        </w:rPr>
        <w:t>逐一提供全部资格证明文件。缺少其中任何一项，其响应文件将被视为无效文件。</w:t>
      </w:r>
    </w:p>
    <w:p>
      <w:pPr>
        <w:keepNext w:val="0"/>
        <w:keepLines w:val="0"/>
        <w:pageBreakBefore w:val="0"/>
        <w:widowControl/>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其中，《汉中市政府采购供应商资格承诺函》、《法定代表人（负责人）授权委托书》</w:t>
      </w:r>
      <w:r>
        <w:rPr>
          <w:rFonts w:hint="eastAsia" w:ascii="仿宋_GB2312" w:hAnsi="仿宋_GB2312" w:eastAsia="仿宋_GB2312" w:cs="仿宋_GB2312"/>
          <w:color w:val="auto"/>
          <w:sz w:val="28"/>
          <w:szCs w:val="28"/>
          <w:lang w:eastAsia="zh-CN"/>
        </w:rPr>
        <w:t>、《中小企业声明函》</w:t>
      </w:r>
      <w:r>
        <w:rPr>
          <w:rFonts w:hint="eastAsia" w:ascii="仿宋_GB2312" w:hAnsi="仿宋_GB2312" w:eastAsia="仿宋_GB2312" w:cs="仿宋_GB2312"/>
          <w:color w:val="auto"/>
          <w:sz w:val="28"/>
          <w:szCs w:val="28"/>
        </w:rPr>
        <w:t>须按下文给定格式填写，否则按无效处理。特别说明，法定代表人亲自参加</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的，可不提供法定代表人授权委托书，但须提供其本人身份证（正反面）复印件。</w:t>
      </w:r>
    </w:p>
    <w:p>
      <w:pPr>
        <w:keepNext w:val="0"/>
        <w:keepLines w:val="0"/>
        <w:pageBreakBefore w:val="0"/>
        <w:widowControl/>
        <w:kinsoku/>
        <w:wordWrap/>
        <w:overflowPunct/>
        <w:topLinePunct w:val="0"/>
        <w:autoSpaceDE/>
        <w:autoSpaceDN/>
        <w:bidi w:val="0"/>
        <w:adjustRightInd/>
        <w:snapToGrid/>
        <w:spacing w:line="560" w:lineRule="exact"/>
        <w:ind w:firstLine="562"/>
        <w:textAlignment w:val="auto"/>
        <w:rPr>
          <w:b/>
          <w:bCs/>
          <w:color w:val="auto"/>
          <w:sz w:val="30"/>
          <w:szCs w:val="30"/>
        </w:rPr>
      </w:pPr>
      <w:bookmarkStart w:id="310" w:name="_Toc26041_WPSOffice_Level2"/>
      <w:bookmarkStart w:id="311" w:name="_Toc6967_WPSOffice_Level2"/>
      <w:bookmarkStart w:id="312" w:name="_Toc9954_WPSOffice_Level2"/>
      <w:bookmarkStart w:id="313" w:name="_Toc19075_WPSOffice_Level2"/>
      <w:bookmarkStart w:id="314" w:name="_Toc23486_WPSOffice_Level2"/>
      <w:bookmarkStart w:id="315" w:name="_Toc13298_WPSOffice_Level2"/>
      <w:bookmarkStart w:id="316" w:name="_Toc24625_WPSOffice_Level2"/>
      <w:bookmarkStart w:id="317" w:name="_Toc14516_WPSOffice_Level2"/>
      <w:r>
        <w:rPr>
          <w:rFonts w:hint="eastAsia" w:ascii="仿宋_GB2312" w:hAnsi="仿宋_GB2312" w:eastAsia="仿宋_GB2312" w:cs="仿宋_GB2312"/>
          <w:b/>
          <w:color w:val="auto"/>
          <w:sz w:val="28"/>
          <w:szCs w:val="28"/>
        </w:rPr>
        <w:t>一、营业执照等主体资格证明文件</w:t>
      </w:r>
      <w:bookmarkEnd w:id="310"/>
      <w:bookmarkEnd w:id="311"/>
      <w:bookmarkEnd w:id="312"/>
      <w:bookmarkEnd w:id="313"/>
    </w:p>
    <w:p>
      <w:pPr>
        <w:pStyle w:val="44"/>
        <w:keepNext/>
        <w:keepLines/>
        <w:pageBreakBefore w:val="0"/>
        <w:widowControl/>
        <w:kinsoku/>
        <w:wordWrap/>
        <w:overflowPunct/>
        <w:topLinePunct w:val="0"/>
        <w:autoSpaceDE/>
        <w:autoSpaceDN/>
        <w:bidi w:val="0"/>
        <w:adjustRightInd/>
        <w:snapToGrid/>
        <w:spacing w:line="560" w:lineRule="exact"/>
        <w:ind w:firstLine="606" w:firstLineChars="200"/>
        <w:jc w:val="both"/>
        <w:textAlignment w:val="auto"/>
        <w:rPr>
          <w:rFonts w:hint="eastAsia" w:ascii="仿宋_GB2312" w:hAnsi="仿宋_GB2312" w:eastAsia="仿宋_GB2312" w:cs="仿宋_GB2312"/>
          <w:color w:val="auto"/>
          <w:sz w:val="30"/>
          <w:szCs w:val="30"/>
          <w:lang w:val="en-US" w:eastAsia="zh-CN"/>
        </w:rPr>
      </w:pPr>
    </w:p>
    <w:p>
      <w:pPr>
        <w:pStyle w:val="44"/>
        <w:keepNext/>
        <w:keepLines/>
        <w:pageBreakBefore w:val="0"/>
        <w:widowControl/>
        <w:kinsoku/>
        <w:wordWrap/>
        <w:overflowPunct/>
        <w:topLinePunct w:val="0"/>
        <w:autoSpaceDE/>
        <w:autoSpaceDN/>
        <w:bidi w:val="0"/>
        <w:adjustRightInd/>
        <w:snapToGrid/>
        <w:spacing w:line="560" w:lineRule="exact"/>
        <w:ind w:firstLine="606" w:firstLineChars="200"/>
        <w:jc w:val="both"/>
        <w:textAlignment w:val="auto"/>
        <w:rPr>
          <w:rFonts w:hint="eastAsia" w:ascii="仿宋_GB2312" w:hAnsi="仿宋_GB2312" w:eastAsia="仿宋_GB2312" w:cs="仿宋_GB2312"/>
          <w:color w:val="auto"/>
          <w:sz w:val="30"/>
          <w:szCs w:val="30"/>
          <w:lang w:val="en-US" w:eastAsia="zh-CN"/>
        </w:rPr>
      </w:pPr>
    </w:p>
    <w:p>
      <w:pPr>
        <w:pStyle w:val="44"/>
        <w:keepNext/>
        <w:keepLines/>
        <w:pageBreakBefore w:val="0"/>
        <w:widowControl/>
        <w:kinsoku/>
        <w:wordWrap/>
        <w:overflowPunct/>
        <w:topLinePunct w:val="0"/>
        <w:autoSpaceDE/>
        <w:autoSpaceDN/>
        <w:bidi w:val="0"/>
        <w:adjustRightInd/>
        <w:snapToGrid/>
        <w:spacing w:line="560" w:lineRule="exact"/>
        <w:ind w:firstLine="606" w:firstLineChars="200"/>
        <w:jc w:val="both"/>
        <w:textAlignment w:val="auto"/>
        <w:rPr>
          <w:rFonts w:hint="eastAsia" w:ascii="仿宋_GB2312" w:hAnsi="仿宋_GB2312" w:eastAsia="仿宋_GB2312" w:cs="仿宋_GB2312"/>
          <w:color w:val="auto"/>
          <w:sz w:val="30"/>
          <w:szCs w:val="30"/>
          <w:lang w:val="en-US" w:eastAsia="zh-CN"/>
        </w:rPr>
      </w:pPr>
    </w:p>
    <w:p>
      <w:pPr>
        <w:pStyle w:val="44"/>
        <w:keepNext/>
        <w:keepLines/>
        <w:pageBreakBefore w:val="0"/>
        <w:widowControl/>
        <w:kinsoku/>
        <w:wordWrap/>
        <w:overflowPunct/>
        <w:topLinePunct w:val="0"/>
        <w:autoSpaceDE/>
        <w:autoSpaceDN/>
        <w:bidi w:val="0"/>
        <w:adjustRightInd/>
        <w:snapToGrid/>
        <w:spacing w:line="560" w:lineRule="exact"/>
        <w:ind w:firstLine="606"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二</w:t>
      </w:r>
      <w:r>
        <w:rPr>
          <w:rFonts w:hint="eastAsia" w:ascii="仿宋_GB2312" w:hAnsi="仿宋_GB2312" w:eastAsia="仿宋_GB2312" w:cs="仿宋_GB2312"/>
          <w:color w:val="auto"/>
          <w:sz w:val="30"/>
          <w:szCs w:val="30"/>
        </w:rPr>
        <w:t>、法定代表人授权委托书</w:t>
      </w:r>
    </w:p>
    <w:p>
      <w:pPr>
        <w:pStyle w:val="44"/>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法定代表人</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负责人</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授权委托书</w:t>
      </w:r>
    </w:p>
    <w:p>
      <w:pPr>
        <w:pageBreakBefore w:val="0"/>
        <w:widowControl/>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汉中市</w:t>
      </w:r>
      <w:r>
        <w:rPr>
          <w:rFonts w:hint="eastAsia" w:ascii="仿宋_GB2312" w:hAnsi="仿宋_GB2312" w:eastAsia="仿宋_GB2312" w:cs="仿宋_GB2312"/>
          <w:color w:val="auto"/>
        </w:rPr>
        <w:t>政府采购中心：</w:t>
      </w:r>
    </w:p>
    <w:p>
      <w:pPr>
        <w:pageBreakBefore w:val="0"/>
        <w:widowControl/>
        <w:kinsoku/>
        <w:wordWrap/>
        <w:overflowPunct/>
        <w:topLinePunct w:val="0"/>
        <w:autoSpaceDE/>
        <w:autoSpaceDN/>
        <w:bidi w:val="0"/>
        <w:adjustRightInd/>
        <w:spacing w:line="560" w:lineRule="exact"/>
        <w:ind w:right="11"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现委派</w:t>
      </w:r>
      <w:r>
        <w:rPr>
          <w:rFonts w:hint="eastAsia" w:ascii="仿宋_GB2312" w:hAnsi="仿宋_GB2312" w:eastAsia="仿宋_GB2312" w:cs="仿宋_GB2312"/>
          <w:color w:val="auto"/>
          <w:u w:val="single"/>
        </w:rPr>
        <w:t>（授权代表姓名）</w:t>
      </w:r>
      <w:r>
        <w:rPr>
          <w:rFonts w:hint="eastAsia" w:ascii="仿宋_GB2312" w:hAnsi="仿宋_GB2312" w:eastAsia="仿宋_GB2312" w:cs="仿宋_GB2312"/>
          <w:color w:val="auto"/>
          <w:u w:val="none"/>
          <w:lang w:eastAsia="zh-CN"/>
        </w:rPr>
        <w:t>（</w:t>
      </w:r>
      <w:r>
        <w:rPr>
          <w:rFonts w:hint="eastAsia" w:ascii="仿宋_GB2312" w:hAnsi="仿宋_GB2312" w:eastAsia="仿宋_GB2312" w:cs="仿宋_GB2312"/>
          <w:color w:val="auto"/>
          <w:u w:val="none"/>
          <w:lang w:val="en-US" w:eastAsia="zh-CN"/>
        </w:rPr>
        <w:t>身份证号：</w:t>
      </w:r>
      <w:r>
        <w:rPr>
          <w:rFonts w:hint="eastAsia" w:ascii="仿宋_GB2312" w:hAnsi="仿宋_GB2312" w:eastAsia="仿宋_GB2312" w:cs="仿宋_GB2312"/>
          <w:color w:val="auto"/>
          <w:u w:val="single"/>
          <w:lang w:val="en-US" w:eastAsia="zh-CN"/>
        </w:rPr>
        <w:t xml:space="preserve">      </w:t>
      </w:r>
      <w:r>
        <w:rPr>
          <w:rFonts w:hint="eastAsia" w:ascii="仿宋_GB2312" w:hAnsi="仿宋_GB2312" w:eastAsia="仿宋_GB2312" w:cs="仿宋_GB2312"/>
          <w:color w:val="auto"/>
          <w:u w:val="none"/>
          <w:lang w:eastAsia="zh-CN"/>
        </w:rPr>
        <w:t>）</w:t>
      </w:r>
      <w:r>
        <w:rPr>
          <w:rFonts w:hint="eastAsia" w:ascii="仿宋_GB2312" w:hAnsi="仿宋_GB2312" w:eastAsia="仿宋_GB2312" w:cs="仿宋_GB2312"/>
          <w:color w:val="auto"/>
        </w:rPr>
        <w:t>为本公司的授权代表，参加贵方组织的</w:t>
      </w:r>
      <w:r>
        <w:rPr>
          <w:rFonts w:hint="eastAsia" w:ascii="仿宋_GB2312" w:hAnsi="仿宋_GB2312" w:eastAsia="仿宋_GB2312" w:cs="仿宋_GB2312"/>
          <w:color w:val="auto"/>
          <w:u w:val="single"/>
          <w:lang w:val="en-US" w:eastAsia="zh-CN"/>
        </w:rPr>
        <w:t xml:space="preserve"> </w:t>
      </w:r>
      <w:r>
        <w:rPr>
          <w:rFonts w:hint="eastAsia" w:ascii="仿宋_GB2312" w:hAnsi="仿宋_GB2312" w:eastAsia="仿宋_GB2312" w:cs="仿宋_GB2312"/>
          <w:color w:val="auto"/>
          <w:u w:val="single"/>
        </w:rPr>
        <w:t xml:space="preserve">项目名称 </w:t>
      </w:r>
      <w:r>
        <w:rPr>
          <w:rFonts w:hint="eastAsia" w:ascii="仿宋_GB2312" w:hAnsi="仿宋_GB2312" w:eastAsia="仿宋_GB2312" w:cs="仿宋_GB2312"/>
          <w:color w:val="auto"/>
        </w:rPr>
        <w:t>（项目编号：</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）第___标段政府采购活动，就该项目的</w:t>
      </w:r>
      <w:r>
        <w:rPr>
          <w:rFonts w:hint="eastAsia" w:ascii="仿宋_GB2312" w:hAnsi="仿宋_GB2312" w:eastAsia="仿宋_GB2312" w:cs="仿宋_GB2312"/>
          <w:color w:val="auto"/>
          <w:lang w:val="en-US" w:eastAsia="zh-CN"/>
        </w:rPr>
        <w:t>磋商</w:t>
      </w:r>
      <w:r>
        <w:rPr>
          <w:rFonts w:hint="eastAsia" w:ascii="仿宋_GB2312" w:hAnsi="仿宋_GB2312" w:eastAsia="仿宋_GB2312" w:cs="仿宋_GB2312"/>
          <w:color w:val="auto"/>
        </w:rPr>
        <w:t>及合同的执行和完成，以本公司的名义处理一切与之有关的事宜。本授权自开标之日起生效，有效期与投标文件有效期一致。</w:t>
      </w:r>
    </w:p>
    <w:p>
      <w:pPr>
        <w:pageBreakBefore w:val="0"/>
        <w:widowControl/>
        <w:tabs>
          <w:tab w:val="left" w:pos="5245"/>
          <w:tab w:val="left" w:pos="6946"/>
        </w:tabs>
        <w:kinsoku/>
        <w:wordWrap/>
        <w:overflowPunct/>
        <w:topLinePunct w:val="0"/>
        <w:autoSpaceDE/>
        <w:autoSpaceDN/>
        <w:bidi w:val="0"/>
        <w:adjustRightInd/>
        <w:snapToGrid w:val="0"/>
        <w:spacing w:line="560" w:lineRule="exact"/>
        <w:ind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授权代表姓名：_______________</w:t>
      </w:r>
      <w:r>
        <w:rPr>
          <w:rFonts w:hint="eastAsia" w:ascii="仿宋_GB2312" w:hAnsi="仿宋_GB2312" w:eastAsia="仿宋_GB2312" w:cs="仿宋_GB2312"/>
          <w:color w:val="auto"/>
        </w:rPr>
        <w:tab/>
      </w:r>
      <w:r>
        <w:rPr>
          <w:rFonts w:hint="eastAsia" w:ascii="仿宋_GB2312" w:hAnsi="仿宋_GB2312" w:eastAsia="仿宋_GB2312" w:cs="仿宋_GB2312"/>
          <w:color w:val="auto"/>
        </w:rPr>
        <w:t>性别：_____</w:t>
      </w:r>
      <w:r>
        <w:rPr>
          <w:rFonts w:hint="eastAsia" w:ascii="仿宋_GB2312" w:hAnsi="仿宋_GB2312" w:eastAsia="仿宋_GB2312" w:cs="仿宋_GB2312"/>
          <w:color w:val="auto"/>
        </w:rPr>
        <w:tab/>
      </w:r>
    </w:p>
    <w:p>
      <w:pPr>
        <w:pageBreakBefore w:val="0"/>
        <w:widowControl/>
        <w:tabs>
          <w:tab w:val="left" w:pos="5245"/>
        </w:tabs>
        <w:kinsoku/>
        <w:wordWrap/>
        <w:overflowPunct/>
        <w:topLinePunct w:val="0"/>
        <w:autoSpaceDE/>
        <w:autoSpaceDN/>
        <w:bidi w:val="0"/>
        <w:adjustRightInd/>
        <w:snapToGrid w:val="0"/>
        <w:spacing w:line="560" w:lineRule="exact"/>
        <w:ind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职务：________________           电话：_________</w:t>
      </w:r>
    </w:p>
    <w:p>
      <w:pPr>
        <w:pageBreakBefore w:val="0"/>
        <w:widowControl/>
        <w:tabs>
          <w:tab w:val="left" w:pos="3828"/>
          <w:tab w:val="left" w:pos="6237"/>
        </w:tabs>
        <w:kinsoku/>
        <w:wordWrap/>
        <w:overflowPunct/>
        <w:topLinePunct w:val="0"/>
        <w:autoSpaceDE/>
        <w:autoSpaceDN/>
        <w:bidi w:val="0"/>
        <w:adjustRightInd/>
        <w:snapToGrid w:val="0"/>
        <w:spacing w:line="560" w:lineRule="exact"/>
        <w:ind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通讯地址：__________________     邮政编码：__________</w:t>
      </w:r>
    </w:p>
    <w:tbl>
      <w:tblPr>
        <w:tblStyle w:val="21"/>
        <w:tblW w:w="8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jc w:val="center"/>
        </w:trPr>
        <w:tc>
          <w:tcPr>
            <w:tcW w:w="407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560" w:lineRule="exact"/>
              <w:ind w:firstLine="8" w:firstLineChars="3"/>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法定代表人</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负责人</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身份证复印件</w:t>
            </w:r>
          </w:p>
          <w:p>
            <w:pPr>
              <w:pageBreakBefore w:val="0"/>
              <w:widowControl/>
              <w:kinsoku/>
              <w:wordWrap/>
              <w:overflowPunct/>
              <w:topLinePunct w:val="0"/>
              <w:autoSpaceDE/>
              <w:autoSpaceDN/>
              <w:bidi w:val="0"/>
              <w:adjustRightInd/>
              <w:spacing w:line="560" w:lineRule="exact"/>
              <w:ind w:firstLine="8" w:firstLineChars="3"/>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（有人像面）</w:t>
            </w:r>
          </w:p>
        </w:tc>
        <w:tc>
          <w:tcPr>
            <w:tcW w:w="409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授权代表身份证复印件</w:t>
            </w:r>
          </w:p>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（有人像面）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4072" w:type="dxa"/>
            <w:vAlign w:val="center"/>
          </w:tcPr>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法定代表人</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负责人</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身份证复印件</w:t>
            </w:r>
          </w:p>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（有国徽面）</w:t>
            </w:r>
          </w:p>
        </w:tc>
        <w:tc>
          <w:tcPr>
            <w:tcW w:w="4098" w:type="dxa"/>
            <w:vAlign w:val="center"/>
          </w:tcPr>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授权代表身份证复印件</w:t>
            </w:r>
          </w:p>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（有国徽面）</w:t>
            </w:r>
          </w:p>
        </w:tc>
      </w:tr>
    </w:tbl>
    <w:p>
      <w:pPr>
        <w:pageBreakBefore w:val="0"/>
        <w:widowControl/>
        <w:tabs>
          <w:tab w:val="right" w:pos="8931"/>
        </w:tabs>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供应商：名称（加盖公章）</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 xml:space="preserve"> 法定代表人</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负责人</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：（签字或盖章）</w:t>
      </w:r>
    </w:p>
    <w:p>
      <w:pPr>
        <w:pageBreakBefore w:val="0"/>
        <w:widowControl/>
        <w:kinsoku/>
        <w:wordWrap/>
        <w:overflowPunct/>
        <w:topLinePunct w:val="0"/>
        <w:autoSpaceDE/>
        <w:autoSpaceDN/>
        <w:bidi w:val="0"/>
        <w:adjustRightInd/>
        <w:spacing w:line="560" w:lineRule="exact"/>
        <w:ind w:firstLine="5943" w:firstLineChars="21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日期：　年　月　日</w:t>
      </w:r>
    </w:p>
    <w:p>
      <w:pPr>
        <w:keepNext w:val="0"/>
        <w:keepLines w:val="0"/>
        <w:pageBreakBefore w:val="0"/>
        <w:widowControl/>
        <w:kinsoku/>
        <w:wordWrap/>
        <w:overflowPunct/>
        <w:topLinePunct w:val="0"/>
        <w:autoSpaceDE/>
        <w:autoSpaceDN/>
        <w:bidi w:val="0"/>
        <w:adjustRightInd/>
        <w:snapToGrid/>
        <w:spacing w:line="560" w:lineRule="exact"/>
        <w:ind w:firstLine="486"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备注：1、项目不分标段的，第___标段空白处填写“/”。</w:t>
      </w:r>
    </w:p>
    <w:p>
      <w:pPr>
        <w:keepNext w:val="0"/>
        <w:keepLines w:val="0"/>
        <w:pageBreakBefore w:val="0"/>
        <w:widowControl/>
        <w:kinsoku/>
        <w:wordWrap/>
        <w:overflowPunct/>
        <w:topLinePunct w:val="0"/>
        <w:autoSpaceDE/>
        <w:autoSpaceDN/>
        <w:bidi w:val="0"/>
        <w:adjustRightInd/>
        <w:snapToGrid/>
        <w:spacing w:line="500" w:lineRule="exact"/>
        <w:ind w:firstLine="729" w:firstLineChars="3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2、法定代表人亲自参加</w:t>
      </w:r>
      <w:r>
        <w:rPr>
          <w:rFonts w:hint="eastAsia" w:ascii="仿宋_GB2312" w:hAnsi="仿宋_GB2312" w:eastAsia="仿宋_GB2312" w:cs="仿宋_GB2312"/>
          <w:color w:val="auto"/>
          <w:sz w:val="24"/>
          <w:szCs w:val="24"/>
          <w:lang w:val="en-US" w:eastAsia="zh-CN"/>
        </w:rPr>
        <w:t>磋商</w:t>
      </w:r>
      <w:r>
        <w:rPr>
          <w:rFonts w:hint="eastAsia" w:ascii="仿宋_GB2312" w:hAnsi="仿宋_GB2312" w:eastAsia="仿宋_GB2312" w:cs="仿宋_GB2312"/>
          <w:color w:val="auto"/>
          <w:sz w:val="24"/>
          <w:szCs w:val="24"/>
        </w:rPr>
        <w:t>的，无需提供该委托授权书，但须提供法定代表人本人身份证（正反面）复印件。</w:t>
      </w:r>
    </w:p>
    <w:p>
      <w:pPr>
        <w:keepNext w:val="0"/>
        <w:keepLines w:val="0"/>
        <w:pageBreakBefore w:val="0"/>
        <w:widowControl/>
        <w:kinsoku/>
        <w:wordWrap/>
        <w:overflowPunct/>
        <w:topLinePunct w:val="0"/>
        <w:autoSpaceDE/>
        <w:autoSpaceDN/>
        <w:bidi w:val="0"/>
        <w:adjustRightInd/>
        <w:snapToGrid/>
        <w:spacing w:after="0" w:line="500" w:lineRule="exact"/>
        <w:ind w:firstLine="729" w:firstLineChars="30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 xml:space="preserve">3、法定代表人签字或盖章可采用纸质签字或盖章后，上传至电子响应文件，也可使用法定代表人CA锁在电子响应文件制作软件中签章。   </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0"/>
          <w:szCs w:val="30"/>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0"/>
          <w:szCs w:val="30"/>
          <w:lang w:val="en-US" w:eastAsia="zh-CN"/>
        </w:rPr>
      </w:pPr>
    </w:p>
    <w:p>
      <w:pPr>
        <w:pStyle w:val="2"/>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val="en-US" w:eastAsia="zh-CN"/>
        </w:rPr>
        <w:t>三、</w:t>
      </w:r>
      <w:bookmarkStart w:id="318" w:name="OLE_LINK2"/>
      <w:r>
        <w:rPr>
          <w:rFonts w:hint="eastAsia" w:ascii="仿宋_GB2312" w:hAnsi="仿宋_GB2312" w:eastAsia="仿宋_GB2312" w:cs="仿宋_GB2312"/>
          <w:b/>
          <w:bCs/>
          <w:color w:val="auto"/>
          <w:sz w:val="30"/>
          <w:szCs w:val="30"/>
          <w:lang w:val="en-US" w:eastAsia="zh-CN"/>
        </w:rPr>
        <w:t>汉中市政府采购供应商资格承诺函</w:t>
      </w:r>
      <w:bookmarkEnd w:id="318"/>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汉中市政府采购供应商资格承诺函</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（采购人</w:t>
      </w:r>
      <w:r>
        <w:rPr>
          <w:rFonts w:hint="eastAsia" w:ascii="仿宋_GB2312" w:hAnsi="仿宋_GB2312" w:eastAsia="仿宋_GB2312" w:cs="仿宋_GB2312"/>
          <w:sz w:val="28"/>
          <w:szCs w:val="28"/>
          <w:u w:val="single"/>
          <w:lang w:eastAsia="zh-CN"/>
        </w:rPr>
        <w:t>、</w:t>
      </w:r>
      <w:r>
        <w:rPr>
          <w:rFonts w:hint="eastAsia" w:ascii="仿宋_GB2312" w:hAnsi="仿宋_GB2312" w:eastAsia="仿宋_GB2312" w:cs="仿宋_GB2312"/>
          <w:sz w:val="28"/>
          <w:szCs w:val="28"/>
          <w:u w:val="single"/>
        </w:rPr>
        <w:t>采购代理机构名称）</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u w:val="single"/>
          <w:lang w:val="en-US" w:eastAsia="zh-CN"/>
        </w:rPr>
        <w:t>供应商</w:t>
      </w:r>
      <w:r>
        <w:rPr>
          <w:rFonts w:hint="eastAsia" w:ascii="仿宋_GB2312" w:hAnsi="仿宋_GB2312" w:eastAsia="仿宋_GB2312" w:cs="仿宋_GB2312"/>
          <w:b/>
          <w:bCs/>
          <w:sz w:val="28"/>
          <w:szCs w:val="28"/>
          <w:u w:val="single"/>
        </w:rPr>
        <w:t>名称</w:t>
      </w:r>
      <w:r>
        <w:rPr>
          <w:rFonts w:hint="eastAsia" w:ascii="仿宋_GB2312" w:hAnsi="仿宋_GB2312" w:eastAsia="仿宋_GB2312" w:cs="仿宋_GB2312"/>
          <w:b/>
          <w:bCs/>
          <w:sz w:val="28"/>
          <w:szCs w:val="28"/>
        </w:rPr>
        <w:t>）郑重承诺：</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1.我方具有良好的商业信誉和健全的财务会计制度，具有履行合同所必需的设备和专业技术能力，具有依法缴纳税收和社会保障金的良好记录，参加本项目采购活动前三年内无重大违法活动记录。</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2.我方未列入在信用中国网站“失信被执行人”、“重大税收违法案件当事人名单”中（www.creditchina.gov.cn），也未列入中国政府采购网“政府采购严重违法失信行为记录名单”中（www.ccgp.g</w:t>
      </w:r>
      <w:r>
        <w:rPr>
          <w:rFonts w:hint="eastAsia" w:ascii="仿宋_GB2312" w:hAnsi="仿宋_GB2312" w:eastAsia="仿宋_GB2312" w:cs="仿宋_GB2312"/>
          <w:sz w:val="28"/>
          <w:szCs w:val="28"/>
          <w:lang w:val="en-US" w:eastAsia="zh-CN"/>
        </w:rPr>
        <w:t>o</w:t>
      </w:r>
      <w:r>
        <w:rPr>
          <w:rFonts w:hint="eastAsia" w:ascii="仿宋_GB2312" w:hAnsi="仿宋_GB2312" w:eastAsia="仿宋_GB2312" w:cs="仿宋_GB2312"/>
          <w:sz w:val="28"/>
          <w:szCs w:val="28"/>
        </w:rPr>
        <w:t>v.cn）</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3.我方在采购项目评审（评标）环节结束后，随时接受采购人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采购代理机构的检查验证，配合提供相关证明材料，证明符合《中华人民共和国政府采购法》规定的投标人基本资格条件。</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我方对以上承诺负全部法律责任。</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特此承诺。</w:t>
      </w:r>
    </w:p>
    <w:p>
      <w:pPr>
        <w:keepNext w:val="0"/>
        <w:keepLines w:val="0"/>
        <w:pageBreakBefore w:val="0"/>
        <w:widowControl w:val="0"/>
        <w:kinsoku/>
        <w:wordWrap w:val="0"/>
        <w:overflowPunct/>
        <w:topLinePunct w:val="0"/>
        <w:autoSpaceDE/>
        <w:autoSpaceDN/>
        <w:bidi w:val="0"/>
        <w:adjustRightInd/>
        <w:snapToGrid/>
        <w:spacing w:line="560" w:lineRule="exact"/>
        <w:ind w:firstLine="566" w:firstLineChars="200"/>
        <w:jc w:val="righ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供应商</w:t>
      </w:r>
      <w:r>
        <w:rPr>
          <w:rFonts w:hint="eastAsia" w:ascii="仿宋_GB2312" w:hAnsi="仿宋_GB2312" w:eastAsia="仿宋_GB2312" w:cs="仿宋_GB2312"/>
          <w:sz w:val="28"/>
          <w:szCs w:val="28"/>
        </w:rPr>
        <w:t>公章）</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566" w:firstLineChars="200"/>
        <w:jc w:val="righ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 xml:space="preserve">  </w:t>
      </w:r>
    </w:p>
    <w:bookmarkEnd w:id="314"/>
    <w:bookmarkEnd w:id="315"/>
    <w:bookmarkEnd w:id="316"/>
    <w:bookmarkEnd w:id="317"/>
    <w:p>
      <w:pPr>
        <w:rPr>
          <w:rFonts w:hint="eastAsia" w:ascii="仿宋_GB2312" w:hAnsi="仿宋_GB2312" w:eastAsia="仿宋_GB2312" w:cs="仿宋_GB2312"/>
          <w:b/>
          <w:bCs/>
          <w:color w:val="auto"/>
          <w:sz w:val="32"/>
          <w:szCs w:val="32"/>
          <w:highlight w:val="none"/>
          <w:lang w:val="en-US" w:eastAsia="zh-CN"/>
        </w:rPr>
      </w:pPr>
    </w:p>
    <w:p>
      <w:pPr>
        <w:rPr>
          <w:rFonts w:hint="eastAsia" w:ascii="仿宋_GB2312" w:hAnsi="仿宋_GB2312" w:eastAsia="仿宋_GB2312" w:cs="仿宋_GB2312"/>
          <w:b/>
          <w:bCs/>
          <w:color w:val="auto"/>
          <w:sz w:val="32"/>
          <w:szCs w:val="32"/>
          <w:highlight w:val="none"/>
          <w:lang w:val="en-US" w:eastAsia="zh-CN"/>
        </w:rPr>
      </w:pPr>
    </w:p>
    <w:p>
      <w:pPr>
        <w:rPr>
          <w:rFonts w:hint="eastAsia" w:ascii="仿宋_GB2312" w:hAnsi="仿宋_GB2312" w:eastAsia="仿宋_GB2312" w:cs="仿宋_GB2312"/>
          <w:b/>
          <w:bCs/>
          <w:color w:val="auto"/>
          <w:sz w:val="32"/>
          <w:szCs w:val="32"/>
          <w:highlight w:val="none"/>
          <w:lang w:val="en-US" w:eastAsia="zh-CN"/>
        </w:rPr>
      </w:pPr>
    </w:p>
    <w:p>
      <w:pPr>
        <w:pStyle w:val="2"/>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kern w:val="2"/>
          <w:sz w:val="32"/>
          <w:szCs w:val="32"/>
          <w:lang w:val="en-US" w:eastAsia="zh-CN" w:bidi="ar-SA"/>
        </w:rPr>
        <w:t>特定资格要求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提供市级及以上公安机关颁发的保安服务许可证。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6" w:firstLineChars="200"/>
        <w:textAlignment w:val="auto"/>
        <w:rPr>
          <w:rFonts w:hint="eastAsia" w:ascii="宋体" w:hAnsi="宋体" w:eastAsia="宋体" w:cs="宋体"/>
          <w:color w:val="auto"/>
          <w:sz w:val="21"/>
          <w:szCs w:val="21"/>
          <w:lang w:val="en-US" w:eastAsia="zh-CN"/>
        </w:rPr>
      </w:pPr>
      <w:r>
        <w:rPr>
          <w:rFonts w:hint="eastAsia" w:ascii="仿宋_GB2312" w:hAnsi="仿宋_GB2312" w:eastAsia="仿宋_GB2312" w:cs="仿宋_GB2312"/>
          <w:color w:val="auto"/>
          <w:sz w:val="28"/>
          <w:szCs w:val="28"/>
          <w:highlight w:val="none"/>
          <w:lang w:val="en-US" w:eastAsia="zh-CN"/>
        </w:rPr>
        <w:t>陕西省外供应商还须出具承诺书（承诺书形式不限），承诺自承接本项目之日起30日内向采购人所在地设区的市级人民政府公安机关备案。</w:t>
      </w:r>
      <w:r>
        <w:rPr>
          <w:rFonts w:hint="eastAsia" w:ascii="宋体" w:hAnsi="宋体" w:eastAsia="宋体" w:cs="宋体"/>
          <w:color w:val="auto"/>
          <w:sz w:val="21"/>
          <w:szCs w:val="21"/>
          <w:lang w:val="en-US" w:eastAsia="zh-CN"/>
        </w:rPr>
        <w:br w:type="page"/>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color w:val="auto"/>
          <w:sz w:val="32"/>
          <w:szCs w:val="32"/>
          <w:highlight w:val="none"/>
          <w:lang w:val="en-US" w:eastAsia="zh-CN"/>
        </w:rPr>
      </w:pPr>
      <w:bookmarkStart w:id="319" w:name="_Toc29866"/>
      <w:bookmarkStart w:id="320" w:name="_Toc28770"/>
      <w:bookmarkStart w:id="321" w:name="_Toc2083"/>
      <w:bookmarkStart w:id="322" w:name="_Toc18829"/>
      <w:bookmarkStart w:id="323" w:name="_Toc1034"/>
      <w:bookmarkStart w:id="324" w:name="_Toc20137"/>
      <w:bookmarkStart w:id="325" w:name="_Toc29102_WPSOffice_Level2"/>
      <w:bookmarkStart w:id="326" w:name="_Toc9519_WPSOffice_Level2"/>
      <w:bookmarkStart w:id="327" w:name="_Toc17773_WPSOffice_Level2"/>
      <w:bookmarkStart w:id="328" w:name="_Toc29990_WPSOffice_Level2"/>
      <w:r>
        <w:rPr>
          <w:rFonts w:hint="eastAsia" w:ascii="仿宋_GB2312" w:hAnsi="仿宋_GB2312" w:eastAsia="仿宋_GB2312" w:cs="仿宋_GB2312"/>
          <w:b/>
          <w:bCs/>
          <w:color w:val="auto"/>
          <w:kern w:val="2"/>
          <w:sz w:val="32"/>
          <w:szCs w:val="32"/>
          <w:lang w:val="en-US" w:eastAsia="zh-CN" w:bidi="ar-SA"/>
        </w:rPr>
        <w:t>五、</w:t>
      </w:r>
      <w:r>
        <w:rPr>
          <w:rFonts w:hint="eastAsia" w:ascii="仿宋_GB2312" w:hAnsi="仿宋_GB2312" w:eastAsia="仿宋_GB2312" w:cs="仿宋_GB2312"/>
          <w:b/>
          <w:bCs/>
          <w:color w:val="auto"/>
          <w:sz w:val="32"/>
          <w:szCs w:val="32"/>
          <w:highlight w:val="none"/>
          <w:lang w:val="en-US" w:eastAsia="zh-CN"/>
        </w:rPr>
        <w:t>落实政府采购政策需满足的资格要求</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中小企业声明函</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本公司（联合体）郑重声明，根据《政府采购促进中小企业发展管理办法》（财库﹝2020﹞46 号）的规定，本公司（联合体）参加</w:t>
      </w:r>
      <w:r>
        <w:rPr>
          <w:rFonts w:hint="eastAsia" w:ascii="仿宋_GB2312" w:hAnsi="仿宋_GB2312" w:eastAsia="仿宋_GB2312" w:cs="仿宋_GB2312"/>
          <w:i/>
          <w:iCs/>
          <w:color w:val="auto"/>
          <w:sz w:val="28"/>
          <w:szCs w:val="28"/>
          <w:u w:val="single"/>
          <w:lang w:val="en-US" w:eastAsia="zh-CN"/>
        </w:rPr>
        <w:t>（单位名称）</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i/>
          <w:iCs/>
          <w:color w:val="auto"/>
          <w:sz w:val="28"/>
          <w:szCs w:val="28"/>
          <w:u w:val="single"/>
          <w:lang w:val="en-US" w:eastAsia="zh-CN"/>
        </w:rPr>
        <w:t>（项目名称）</w:t>
      </w:r>
      <w:r>
        <w:rPr>
          <w:rFonts w:hint="eastAsia" w:ascii="仿宋_GB2312" w:hAnsi="仿宋_GB2312" w:eastAsia="仿宋_GB2312" w:cs="仿宋_GB2312"/>
          <w:color w:val="auto"/>
          <w:sz w:val="28"/>
          <w:szCs w:val="28"/>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i/>
          <w:iCs/>
          <w:color w:val="auto"/>
          <w:sz w:val="28"/>
          <w:szCs w:val="28"/>
          <w:u w:val="single"/>
          <w:lang w:val="en-US" w:eastAsia="zh-CN"/>
        </w:rPr>
        <w:t xml:space="preserve"> （标的名称） </w:t>
      </w:r>
      <w:r>
        <w:rPr>
          <w:rFonts w:hint="eastAsia" w:ascii="仿宋_GB2312" w:hAnsi="仿宋_GB2312" w:eastAsia="仿宋_GB2312" w:cs="仿宋_GB2312"/>
          <w:color w:val="auto"/>
          <w:sz w:val="28"/>
          <w:szCs w:val="28"/>
          <w:lang w:val="en-US" w:eastAsia="zh-CN"/>
        </w:rPr>
        <w:t>，属于</w:t>
      </w:r>
      <w:r>
        <w:rPr>
          <w:rFonts w:hint="eastAsia" w:ascii="仿宋_GB2312" w:hAnsi="仿宋_GB2312" w:eastAsia="仿宋_GB2312" w:cs="仿宋_GB2312"/>
          <w:i/>
          <w:iCs/>
          <w:color w:val="auto"/>
          <w:sz w:val="28"/>
          <w:szCs w:val="28"/>
          <w:u w:val="single"/>
          <w:lang w:val="en-US" w:eastAsia="zh-CN"/>
        </w:rPr>
        <w:t>（采购文件中明确的所属行业）</w:t>
      </w:r>
      <w:r>
        <w:rPr>
          <w:rFonts w:hint="eastAsia" w:ascii="仿宋_GB2312" w:hAnsi="仿宋_GB2312" w:eastAsia="仿宋_GB2312" w:cs="仿宋_GB2312"/>
          <w:color w:val="auto"/>
          <w:sz w:val="28"/>
          <w:szCs w:val="28"/>
          <w:lang w:val="en-US" w:eastAsia="zh-CN"/>
        </w:rPr>
        <w:t>；承建（承接）企业为</w:t>
      </w:r>
      <w:r>
        <w:rPr>
          <w:rFonts w:hint="eastAsia" w:ascii="仿宋_GB2312" w:hAnsi="仿宋_GB2312" w:eastAsia="仿宋_GB2312" w:cs="仿宋_GB2312"/>
          <w:i/>
          <w:iCs/>
          <w:color w:val="auto"/>
          <w:sz w:val="28"/>
          <w:szCs w:val="28"/>
          <w:u w:val="single"/>
          <w:lang w:val="en-US" w:eastAsia="zh-CN"/>
        </w:rPr>
        <w:t>（企业名称）</w:t>
      </w:r>
      <w:r>
        <w:rPr>
          <w:rFonts w:hint="eastAsia" w:ascii="仿宋_GB2312" w:hAnsi="仿宋_GB2312" w:eastAsia="仿宋_GB2312" w:cs="仿宋_GB2312"/>
          <w:color w:val="auto"/>
          <w:sz w:val="28"/>
          <w:szCs w:val="28"/>
          <w:lang w:val="en-US" w:eastAsia="zh-CN"/>
        </w:rPr>
        <w:t>，从业人员</w:t>
      </w:r>
      <w:r>
        <w:rPr>
          <w:rFonts w:hint="eastAsia" w:ascii="仿宋_GB2312" w:hAnsi="仿宋_GB2312" w:eastAsia="仿宋_GB2312" w:cs="仿宋_GB2312"/>
          <w:i/>
          <w:iCs/>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人，营业收入为</w:t>
      </w:r>
      <w:r>
        <w:rPr>
          <w:rFonts w:hint="eastAsia" w:ascii="仿宋_GB2312" w:hAnsi="仿宋_GB2312" w:eastAsia="仿宋_GB2312" w:cs="仿宋_GB2312"/>
          <w:i/>
          <w:iCs/>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万元，资产总额为</w:t>
      </w:r>
      <w:r>
        <w:rPr>
          <w:rFonts w:hint="eastAsia" w:ascii="仿宋_GB2312" w:hAnsi="仿宋_GB2312" w:eastAsia="仿宋_GB2312" w:cs="仿宋_GB2312"/>
          <w:i/>
          <w:iCs/>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万元，属于</w:t>
      </w:r>
      <w:r>
        <w:rPr>
          <w:rFonts w:hint="eastAsia" w:ascii="仿宋_GB2312" w:hAnsi="仿宋_GB2312" w:eastAsia="仿宋_GB2312" w:cs="仿宋_GB2312"/>
          <w:i/>
          <w:iCs/>
          <w:color w:val="auto"/>
          <w:sz w:val="28"/>
          <w:szCs w:val="28"/>
          <w:u w:val="single"/>
          <w:lang w:val="en-US" w:eastAsia="zh-CN"/>
        </w:rPr>
        <w:t>（中型企业、小型企业、微型企业）</w:t>
      </w:r>
      <w:r>
        <w:rPr>
          <w:rFonts w:hint="eastAsia" w:ascii="仿宋_GB2312" w:hAnsi="仿宋_GB2312" w:eastAsia="仿宋_GB2312" w:cs="仿宋_GB2312"/>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i/>
          <w:iCs/>
          <w:color w:val="auto"/>
          <w:sz w:val="28"/>
          <w:szCs w:val="28"/>
          <w:u w:val="single"/>
          <w:lang w:val="en-US" w:eastAsia="zh-CN"/>
        </w:rPr>
        <w:t xml:space="preserve"> （标的名称） </w:t>
      </w:r>
      <w:r>
        <w:rPr>
          <w:rFonts w:hint="eastAsia" w:ascii="仿宋_GB2312" w:hAnsi="仿宋_GB2312" w:eastAsia="仿宋_GB2312" w:cs="仿宋_GB2312"/>
          <w:color w:val="auto"/>
          <w:sz w:val="28"/>
          <w:szCs w:val="28"/>
          <w:lang w:val="en-US" w:eastAsia="zh-CN"/>
        </w:rPr>
        <w:t>，属于</w:t>
      </w:r>
      <w:r>
        <w:rPr>
          <w:rFonts w:hint="eastAsia" w:ascii="仿宋_GB2312" w:hAnsi="仿宋_GB2312" w:eastAsia="仿宋_GB2312" w:cs="仿宋_GB2312"/>
          <w:i/>
          <w:iCs/>
          <w:color w:val="auto"/>
          <w:sz w:val="28"/>
          <w:szCs w:val="28"/>
          <w:u w:val="single"/>
          <w:lang w:val="en-US" w:eastAsia="zh-CN"/>
        </w:rPr>
        <w:t>（采购文件中明确的所属行业）</w:t>
      </w:r>
      <w:r>
        <w:rPr>
          <w:rFonts w:hint="eastAsia" w:ascii="仿宋_GB2312" w:hAnsi="仿宋_GB2312" w:eastAsia="仿宋_GB2312" w:cs="仿宋_GB2312"/>
          <w:color w:val="auto"/>
          <w:sz w:val="28"/>
          <w:szCs w:val="28"/>
          <w:lang w:val="en-US" w:eastAsia="zh-CN"/>
        </w:rPr>
        <w:t>；承建（承接）企业为</w:t>
      </w:r>
      <w:r>
        <w:rPr>
          <w:rFonts w:hint="eastAsia" w:ascii="仿宋_GB2312" w:hAnsi="仿宋_GB2312" w:eastAsia="仿宋_GB2312" w:cs="仿宋_GB2312"/>
          <w:i/>
          <w:iCs/>
          <w:color w:val="auto"/>
          <w:sz w:val="28"/>
          <w:szCs w:val="28"/>
          <w:u w:val="single"/>
          <w:lang w:val="en-US" w:eastAsia="zh-CN"/>
        </w:rPr>
        <w:t>（企业名称）</w:t>
      </w:r>
      <w:r>
        <w:rPr>
          <w:rFonts w:hint="eastAsia" w:ascii="仿宋_GB2312" w:hAnsi="仿宋_GB2312" w:eastAsia="仿宋_GB2312" w:cs="仿宋_GB2312"/>
          <w:color w:val="auto"/>
          <w:sz w:val="28"/>
          <w:szCs w:val="28"/>
          <w:lang w:val="en-US" w:eastAsia="zh-CN"/>
        </w:rPr>
        <w:t>，从业人员</w:t>
      </w:r>
      <w:r>
        <w:rPr>
          <w:rFonts w:hint="eastAsia" w:ascii="仿宋_GB2312" w:hAnsi="仿宋_GB2312" w:eastAsia="仿宋_GB2312" w:cs="仿宋_GB2312"/>
          <w:i/>
          <w:iCs/>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人，营业收入为</w:t>
      </w:r>
      <w:r>
        <w:rPr>
          <w:rFonts w:hint="eastAsia" w:ascii="仿宋_GB2312" w:hAnsi="仿宋_GB2312" w:eastAsia="仿宋_GB2312" w:cs="仿宋_GB2312"/>
          <w:i/>
          <w:iCs/>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万元，资产总额为</w:t>
      </w:r>
      <w:r>
        <w:rPr>
          <w:rFonts w:hint="eastAsia" w:ascii="仿宋_GB2312" w:hAnsi="仿宋_GB2312" w:eastAsia="仿宋_GB2312" w:cs="仿宋_GB2312"/>
          <w:i/>
          <w:iCs/>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万元，属于</w:t>
      </w:r>
      <w:r>
        <w:rPr>
          <w:rFonts w:hint="eastAsia" w:ascii="仿宋_GB2312" w:hAnsi="仿宋_GB2312" w:eastAsia="仿宋_GB2312" w:cs="仿宋_GB2312"/>
          <w:i/>
          <w:iCs/>
          <w:color w:val="auto"/>
          <w:sz w:val="28"/>
          <w:szCs w:val="28"/>
          <w:u w:val="single"/>
          <w:lang w:val="en-US" w:eastAsia="zh-CN"/>
        </w:rPr>
        <w:t>（中型企业、小型企业、微型企业）</w:t>
      </w:r>
      <w:r>
        <w:rPr>
          <w:rFonts w:hint="eastAsia" w:ascii="仿宋_GB2312" w:hAnsi="仿宋_GB2312" w:eastAsia="仿宋_GB2312" w:cs="仿宋_GB2312"/>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本企业对上述声明内容的真实性负责。如有虚假，将依法承担相应责任。</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企业名称（盖章）：</w:t>
      </w:r>
      <w:r>
        <w:rPr>
          <w:rFonts w:hint="eastAsia" w:ascii="仿宋_GB2312" w:hAnsi="仿宋_GB2312" w:eastAsia="仿宋_GB2312" w:cs="仿宋_GB2312"/>
          <w:color w:val="auto"/>
          <w:sz w:val="28"/>
          <w:szCs w:val="28"/>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日 期：</w:t>
      </w:r>
      <w:r>
        <w:rPr>
          <w:rFonts w:hint="eastAsia" w:ascii="仿宋_GB2312" w:hAnsi="仿宋_GB2312" w:eastAsia="仿宋_GB2312" w:cs="仿宋_GB2312"/>
          <w:color w:val="auto"/>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426" w:firstLineChars="200"/>
        <w:textAlignment w:val="auto"/>
        <w:rPr>
          <w:rFonts w:hint="eastAsia" w:ascii="仿宋_GB2312" w:hAnsi="仿宋_GB2312" w:eastAsia="仿宋_GB2312" w:cs="仿宋_GB2312"/>
          <w:color w:val="auto"/>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1"/>
          <w:szCs w:val="21"/>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备注：1、</w:t>
      </w:r>
      <w:r>
        <w:rPr>
          <w:rFonts w:hint="eastAsia" w:ascii="仿宋_GB2312" w:hAnsi="仿宋_GB2312" w:eastAsia="仿宋_GB2312" w:cs="仿宋_GB2312"/>
          <w:color w:val="auto"/>
          <w:sz w:val="21"/>
          <w:szCs w:val="21"/>
        </w:rPr>
        <w:t>本项目采购标的对应的中小企业划分标准所属行业</w:t>
      </w:r>
      <w:r>
        <w:rPr>
          <w:rFonts w:hint="eastAsia" w:ascii="仿宋_GB2312" w:hAnsi="仿宋_GB2312" w:eastAsia="仿宋_GB2312" w:cs="仿宋_GB2312"/>
          <w:color w:val="auto"/>
          <w:sz w:val="21"/>
          <w:szCs w:val="21"/>
          <w:highlight w:val="none"/>
        </w:rPr>
        <w:t>为：</w:t>
      </w:r>
      <w:r>
        <w:rPr>
          <w:rFonts w:hint="eastAsia" w:ascii="仿宋_GB2312" w:hAnsi="仿宋_GB2312" w:eastAsia="仿宋_GB2312" w:cs="仿宋_GB2312"/>
          <w:b/>
          <w:bCs/>
          <w:color w:val="auto"/>
          <w:sz w:val="21"/>
          <w:szCs w:val="21"/>
          <w:highlight w:val="none"/>
          <w:u w:val="single"/>
          <w:lang w:val="en-US" w:eastAsia="zh-CN"/>
        </w:rPr>
        <w:t>租赁和商务服务业</w:t>
      </w:r>
      <w:r>
        <w:rPr>
          <w:rFonts w:hint="eastAsia" w:ascii="仿宋_GB2312" w:hAnsi="仿宋_GB2312" w:eastAsia="仿宋_GB2312" w:cs="仿宋_GB2312"/>
          <w:color w:val="auto"/>
          <w:sz w:val="21"/>
          <w:szCs w:val="21"/>
          <w:highlight w:val="none"/>
        </w:rPr>
        <w:t>。</w:t>
      </w:r>
    </w:p>
    <w:p>
      <w:pPr>
        <w:keepNext w:val="0"/>
        <w:keepLines w:val="0"/>
        <w:pageBreakBefore w:val="0"/>
        <w:widowControl/>
        <w:kinsoku/>
        <w:wordWrap/>
        <w:overflowPunct/>
        <w:topLinePunct w:val="0"/>
        <w:autoSpaceDE/>
        <w:autoSpaceDN/>
        <w:bidi w:val="0"/>
        <w:adjustRightInd/>
        <w:snapToGrid/>
        <w:spacing w:line="560" w:lineRule="exact"/>
        <w:ind w:firstLine="639" w:firstLineChars="3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 xml:space="preserve">2、成交供应商的《中小企业声明函》将随成交结果公告一同公布。 </w:t>
      </w:r>
    </w:p>
    <w:p>
      <w:pPr>
        <w:keepNext w:val="0"/>
        <w:keepLines w:val="0"/>
        <w:pageBreakBefore w:val="0"/>
        <w:widowControl/>
        <w:numPr>
          <w:ilvl w:val="0"/>
          <w:numId w:val="0"/>
        </w:numPr>
        <w:kinsoku/>
        <w:wordWrap/>
        <w:overflowPunct/>
        <w:topLinePunct w:val="0"/>
        <w:autoSpaceDE/>
        <w:autoSpaceDN/>
        <w:bidi w:val="0"/>
        <w:adjustRightInd/>
        <w:snapToGrid/>
        <w:spacing w:after="120" w:line="560" w:lineRule="exact"/>
        <w:ind w:firstLine="639" w:firstLineChars="3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color w:val="auto"/>
          <w:sz w:val="21"/>
          <w:szCs w:val="21"/>
          <w:lang w:val="en-US" w:eastAsia="zh-CN"/>
        </w:rPr>
        <w:t>3、各供应商可根据企业从业人员、营业收入、资产总额等指标，按照磋商文件约定的采购标的对应的中小企业划分标准所属行业和《中小企业划型标准规定》（工信部联企业〔2011〕300号）进行自测。可登录工业和信息化部的中小企业规模类型自测小程序（http://202.106.120.146/baosong/appweb/orgScale.html）进行测算。</w:t>
      </w:r>
    </w:p>
    <w:p>
      <w:pPr>
        <w:pStyle w:val="8"/>
        <w:rPr>
          <w:rFonts w:hint="eastAsia" w:ascii="仿宋_GB2312" w:hAnsi="仿宋_GB2312" w:eastAsia="仿宋_GB2312" w:cs="仿宋_GB2312"/>
          <w:b/>
          <w:bCs/>
          <w:color w:val="auto"/>
          <w:kern w:val="2"/>
          <w:sz w:val="32"/>
          <w:szCs w:val="32"/>
          <w:lang w:val="en-US" w:eastAsia="zh-CN" w:bidi="ar-SA"/>
        </w:rPr>
      </w:pPr>
    </w:p>
    <w:p>
      <w:pPr>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br w:type="page"/>
      </w:r>
    </w:p>
    <w:p>
      <w:pPr>
        <w:pStyle w:val="42"/>
        <w:pageBreakBefore w:val="0"/>
        <w:widowControl/>
        <w:kinsoku/>
        <w:wordWrap/>
        <w:overflowPunct/>
        <w:topLinePunct w:val="0"/>
        <w:autoSpaceDE/>
        <w:autoSpaceDN/>
        <w:bidi w:val="0"/>
        <w:adjustRightInd/>
        <w:snapToGrid/>
        <w:spacing w:line="560" w:lineRule="exact"/>
        <w:textAlignment w:val="auto"/>
        <w:rPr>
          <w:rFonts w:ascii="黑体" w:hAnsi="黑体" w:eastAsia="黑体"/>
          <w:b w:val="0"/>
          <w:color w:val="auto"/>
          <w:sz w:val="32"/>
          <w:szCs w:val="32"/>
        </w:rPr>
      </w:pPr>
      <w:bookmarkStart w:id="329" w:name="_Toc9751"/>
      <w:r>
        <w:rPr>
          <w:rFonts w:hint="eastAsia" w:ascii="黑体" w:hAnsi="黑体" w:eastAsia="黑体"/>
          <w:b w:val="0"/>
          <w:color w:val="auto"/>
          <w:sz w:val="32"/>
          <w:szCs w:val="32"/>
        </w:rPr>
        <w:t>第二部分  符合性证明文件</w:t>
      </w:r>
      <w:bookmarkEnd w:id="319"/>
      <w:bookmarkEnd w:id="320"/>
      <w:bookmarkEnd w:id="321"/>
      <w:bookmarkEnd w:id="322"/>
      <w:bookmarkEnd w:id="323"/>
      <w:bookmarkEnd w:id="329"/>
    </w:p>
    <w:p>
      <w:pPr>
        <w:pStyle w:val="42"/>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val="0"/>
          <w:color w:val="auto"/>
          <w:sz w:val="32"/>
          <w:szCs w:val="32"/>
        </w:rPr>
      </w:pPr>
      <w:bookmarkStart w:id="330" w:name="_Toc19788"/>
      <w:bookmarkStart w:id="331" w:name="_Toc26585"/>
      <w:bookmarkStart w:id="332" w:name="_Toc22486"/>
      <w:bookmarkStart w:id="333" w:name="_Toc28961"/>
      <w:bookmarkStart w:id="334" w:name="_Toc3857"/>
      <w:bookmarkStart w:id="335" w:name="_Toc7047"/>
      <w:bookmarkStart w:id="336" w:name="_Toc26623"/>
      <w:bookmarkStart w:id="337" w:name="_Toc2230"/>
      <w:bookmarkStart w:id="338" w:name="_Toc14262"/>
      <w:r>
        <w:rPr>
          <w:rFonts w:hint="eastAsia" w:ascii="仿宋_GB2312" w:hAnsi="仿宋_GB2312" w:eastAsia="仿宋_GB2312" w:cs="仿宋_GB2312"/>
          <w:bCs w:val="0"/>
          <w:color w:val="auto"/>
          <w:sz w:val="32"/>
          <w:szCs w:val="32"/>
        </w:rPr>
        <w:t>一、响应函格式</w:t>
      </w:r>
      <w:bookmarkEnd w:id="330"/>
      <w:bookmarkEnd w:id="331"/>
      <w:bookmarkEnd w:id="332"/>
      <w:bookmarkEnd w:id="333"/>
      <w:bookmarkEnd w:id="334"/>
      <w:bookmarkEnd w:id="335"/>
      <w:bookmarkEnd w:id="336"/>
      <w:bookmarkEnd w:id="337"/>
      <w:bookmarkEnd w:id="338"/>
    </w:p>
    <w:p>
      <w:pPr>
        <w:pStyle w:val="38"/>
        <w:pageBreakBefore w:val="0"/>
        <w:widowControl/>
        <w:kinsoku/>
        <w:wordWrap/>
        <w:overflowPunct/>
        <w:topLinePunct w:val="0"/>
        <w:autoSpaceDE/>
        <w:autoSpaceDN/>
        <w:bidi w:val="0"/>
        <w:adjustRightInd/>
        <w:snapToGrid/>
        <w:spacing w:line="560" w:lineRule="exact"/>
        <w:ind w:firstLine="647"/>
        <w:jc w:val="center"/>
        <w:textAlignment w:val="auto"/>
        <w:rPr>
          <w:rFonts w:hint="eastAsia" w:ascii="仿宋_GB2312" w:hAnsi="仿宋_GB2312" w:eastAsia="仿宋_GB2312" w:cs="仿宋_GB2312"/>
          <w:b/>
          <w:bCs/>
          <w:color w:val="auto"/>
          <w:sz w:val="32"/>
          <w:szCs w:val="32"/>
        </w:rPr>
      </w:pPr>
      <w:bookmarkStart w:id="339" w:name="_Toc22777"/>
      <w:bookmarkStart w:id="340" w:name="_Toc23334"/>
      <w:bookmarkStart w:id="341" w:name="_Toc10617"/>
      <w:r>
        <w:rPr>
          <w:rFonts w:hint="eastAsia" w:ascii="仿宋_GB2312" w:hAnsi="仿宋_GB2312" w:eastAsia="仿宋_GB2312" w:cs="仿宋_GB2312"/>
          <w:b/>
          <w:bCs/>
          <w:color w:val="auto"/>
          <w:sz w:val="32"/>
          <w:szCs w:val="32"/>
        </w:rPr>
        <w:t>响应函</w:t>
      </w:r>
      <w:bookmarkEnd w:id="339"/>
      <w:bookmarkEnd w:id="340"/>
      <w:bookmarkEnd w:id="341"/>
    </w:p>
    <w:p>
      <w:pPr>
        <w:pStyle w:val="38"/>
        <w:keepNext w:val="0"/>
        <w:keepLines w:val="0"/>
        <w:pageBreakBefore w:val="0"/>
        <w:widowControl/>
        <w:kinsoku/>
        <w:wordWrap/>
        <w:overflowPunct/>
        <w:topLinePunct w:val="0"/>
        <w:autoSpaceDE/>
        <w:autoSpaceDN/>
        <w:bidi w:val="0"/>
        <w:adjustRightInd/>
        <w:snapToGrid/>
        <w:spacing w:line="500" w:lineRule="exact"/>
        <w:ind w:firstLine="0" w:firstLineChars="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政府采购中心</w:t>
      </w:r>
      <w:r>
        <w:rPr>
          <w:rFonts w:hint="eastAsia" w:ascii="仿宋_GB2312" w:hAnsi="仿宋_GB2312" w:eastAsia="仿宋_GB2312" w:cs="仿宋_GB2312"/>
          <w:color w:val="auto"/>
          <w:sz w:val="28"/>
          <w:szCs w:val="28"/>
          <w:lang w:val="zh-CN"/>
        </w:rPr>
        <w:t>：</w:t>
      </w:r>
    </w:p>
    <w:p>
      <w:pPr>
        <w:pStyle w:val="38"/>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我方收到贵中心发布的</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项目名称</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（项目编号：</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）第</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标段磋商文件，经详细研究，我方决定参加该项目第</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标段</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活动。为此，我方郑重声明以下诸点，并负法律责任。</w:t>
      </w:r>
    </w:p>
    <w:p>
      <w:pPr>
        <w:pStyle w:val="38"/>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一、我方已详细阅读了磋商文件，完全理解并同意磋商文件的所有事项及内容。</w:t>
      </w:r>
    </w:p>
    <w:p>
      <w:pPr>
        <w:pStyle w:val="38"/>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我方已悉知并关注了贵方在政府采购信息发布媒体（详见磋商文件第二章第三条中的“磋商文件的修改、澄清”）上发布的关于本项目的有关变更公告（包括但不限于对磋商文件做出的修改或澄清、答疑纪要，以及项目暂停、重启、延期、终止等）。</w:t>
      </w:r>
    </w:p>
    <w:p>
      <w:pPr>
        <w:pStyle w:val="38"/>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三、我方同意向贵方提供与本</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有关的任何证明材料，保证所提交的证明材料真实、合法、有效。</w:t>
      </w:r>
    </w:p>
    <w:p>
      <w:pPr>
        <w:pStyle w:val="38"/>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四、我方</w:t>
      </w:r>
      <w:r>
        <w:rPr>
          <w:rFonts w:hint="eastAsia" w:ascii="仿宋_GB2312" w:hAnsi="仿宋_GB2312" w:eastAsia="仿宋_GB2312" w:cs="仿宋_GB2312"/>
          <w:color w:val="auto"/>
          <w:sz w:val="28"/>
          <w:szCs w:val="28"/>
        </w:rPr>
        <w:t>尊重磋商小组的评审结果。</w:t>
      </w:r>
    </w:p>
    <w:p>
      <w:pPr>
        <w:pStyle w:val="38"/>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如若成交，</w:t>
      </w:r>
      <w:r>
        <w:rPr>
          <w:rFonts w:hint="eastAsia" w:ascii="仿宋_GB2312" w:hAnsi="仿宋_GB2312" w:eastAsia="仿宋_GB2312" w:cs="仿宋_GB2312"/>
          <w:color w:val="auto"/>
          <w:sz w:val="28"/>
          <w:szCs w:val="28"/>
        </w:rPr>
        <w:t>我方愿意按照磋商文件中的一切要求，完成本项目合同责任和义务。</w:t>
      </w:r>
    </w:p>
    <w:p>
      <w:pPr>
        <w:pStyle w:val="38"/>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六</w:t>
      </w:r>
      <w:r>
        <w:rPr>
          <w:rFonts w:hint="eastAsia" w:ascii="仿宋_GB2312" w:hAnsi="仿宋_GB2312" w:eastAsia="仿宋_GB2312" w:cs="仿宋_GB2312"/>
          <w:color w:val="auto"/>
          <w:sz w:val="28"/>
          <w:szCs w:val="28"/>
        </w:rPr>
        <w:t>、我方提交</w:t>
      </w:r>
      <w:r>
        <w:rPr>
          <w:rFonts w:hint="eastAsia" w:ascii="仿宋_GB2312" w:hAnsi="仿宋_GB2312" w:eastAsia="仿宋_GB2312" w:cs="仿宋_GB2312"/>
          <w:b/>
          <w:color w:val="auto"/>
          <w:sz w:val="28"/>
          <w:szCs w:val="28"/>
        </w:rPr>
        <w:t>电子响应文件一份</w:t>
      </w:r>
      <w:r>
        <w:rPr>
          <w:rFonts w:hint="eastAsia" w:ascii="仿宋_GB2312" w:hAnsi="仿宋_GB2312" w:eastAsia="仿宋_GB2312" w:cs="仿宋_GB2312"/>
          <w:b/>
          <w:bCs/>
          <w:color w:val="auto"/>
          <w:sz w:val="28"/>
          <w:szCs w:val="28"/>
        </w:rPr>
        <w:t>。</w:t>
      </w:r>
    </w:p>
    <w:p>
      <w:pPr>
        <w:pStyle w:val="38"/>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七</w:t>
      </w:r>
      <w:r>
        <w:rPr>
          <w:rFonts w:hint="eastAsia" w:ascii="仿宋_GB2312" w:hAnsi="仿宋_GB2312" w:eastAsia="仿宋_GB2312" w:cs="仿宋_GB2312"/>
          <w:color w:val="auto"/>
          <w:sz w:val="28"/>
          <w:szCs w:val="28"/>
        </w:rPr>
        <w:t>、供应商在提交响应文件截止时间后撤回响应文件的，我们愿接受政府采购的有关处罚决定。</w:t>
      </w:r>
    </w:p>
    <w:p>
      <w:pPr>
        <w:pStyle w:val="38"/>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八</w:t>
      </w:r>
      <w:r>
        <w:rPr>
          <w:rFonts w:hint="eastAsia" w:ascii="仿宋_GB2312" w:hAnsi="仿宋_GB2312" w:eastAsia="仿宋_GB2312" w:cs="仿宋_GB2312"/>
          <w:color w:val="auto"/>
          <w:sz w:val="28"/>
          <w:szCs w:val="28"/>
        </w:rPr>
        <w:t>、我方的响应文件在开标之日起</w:t>
      </w:r>
      <w:r>
        <w:rPr>
          <w:rFonts w:hint="eastAsia" w:ascii="仿宋_GB2312" w:hAnsi="仿宋_GB2312" w:eastAsia="仿宋_GB2312" w:cs="仿宋_GB2312"/>
          <w:b/>
          <w:bCs/>
          <w:color w:val="auto"/>
          <w:sz w:val="28"/>
          <w:szCs w:val="28"/>
          <w:u w:val="single"/>
        </w:rPr>
        <w:t xml:space="preserve"> 90 </w:t>
      </w:r>
      <w:r>
        <w:rPr>
          <w:rFonts w:hint="eastAsia" w:ascii="仿宋_GB2312" w:hAnsi="仿宋_GB2312" w:eastAsia="仿宋_GB2312" w:cs="仿宋_GB2312"/>
          <w:color w:val="auto"/>
          <w:sz w:val="28"/>
          <w:szCs w:val="28"/>
        </w:rPr>
        <w:t>个日历日内有效，如成交，延长至合同执行完毕时止。</w:t>
      </w:r>
    </w:p>
    <w:p>
      <w:pPr>
        <w:pStyle w:val="38"/>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九</w:t>
      </w:r>
      <w:r>
        <w:rPr>
          <w:rFonts w:hint="eastAsia" w:ascii="仿宋_GB2312" w:hAnsi="仿宋_GB2312" w:eastAsia="仿宋_GB2312" w:cs="仿宋_GB2312"/>
          <w:color w:val="auto"/>
          <w:sz w:val="28"/>
          <w:szCs w:val="28"/>
        </w:rPr>
        <w:t>、所有关于此次</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活动的函电，请按下列地址联系：</w:t>
      </w:r>
    </w:p>
    <w:p>
      <w:pPr>
        <w:pStyle w:val="38"/>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p>
    <w:p>
      <w:pPr>
        <w:pStyle w:val="38"/>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供应商：名称（加盖公章）</w:t>
      </w:r>
    </w:p>
    <w:p>
      <w:pPr>
        <w:pStyle w:val="38"/>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地址：</w:t>
      </w:r>
    </w:p>
    <w:p>
      <w:pPr>
        <w:pStyle w:val="38"/>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电话：</w:t>
      </w:r>
    </w:p>
    <w:p>
      <w:pPr>
        <w:pStyle w:val="38"/>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传真：</w:t>
      </w:r>
    </w:p>
    <w:p>
      <w:pPr>
        <w:pStyle w:val="38"/>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邮编：</w:t>
      </w:r>
    </w:p>
    <w:p>
      <w:pPr>
        <w:pStyle w:val="38"/>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rPr>
        <w:t xml:space="preserve">电子邮箱：         </w:t>
      </w:r>
    </w:p>
    <w:p>
      <w:pPr>
        <w:pStyle w:val="38"/>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日期：　　年　月　日</w:t>
      </w:r>
    </w:p>
    <w:p>
      <w:pPr>
        <w:pStyle w:val="38"/>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rPr>
      </w:pPr>
    </w:p>
    <w:p>
      <w:pPr>
        <w:pStyle w:val="38"/>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rPr>
      </w:pPr>
    </w:p>
    <w:p>
      <w:pPr>
        <w:pStyle w:val="38"/>
        <w:pageBreakBefore w:val="0"/>
        <w:widowControl/>
        <w:kinsoku/>
        <w:wordWrap/>
        <w:overflowPunct/>
        <w:topLinePunct w:val="0"/>
        <w:autoSpaceDE/>
        <w:autoSpaceDN/>
        <w:bidi w:val="0"/>
        <w:adjustRightInd/>
        <w:snapToGrid/>
        <w:spacing w:line="560" w:lineRule="exact"/>
        <w:ind w:firstLine="0" w:firstLineChars="0"/>
        <w:textAlignment w:val="auto"/>
        <w:rPr>
          <w:color w:val="auto"/>
          <w:sz w:val="32"/>
          <w:szCs w:val="32"/>
        </w:rPr>
      </w:pPr>
    </w:p>
    <w:p>
      <w:pPr>
        <w:pStyle w:val="38"/>
        <w:pageBreakBefore w:val="0"/>
        <w:widowControl/>
        <w:kinsoku/>
        <w:wordWrap/>
        <w:overflowPunct/>
        <w:topLinePunct w:val="0"/>
        <w:autoSpaceDE/>
        <w:autoSpaceDN/>
        <w:bidi w:val="0"/>
        <w:adjustRightInd/>
        <w:snapToGrid/>
        <w:spacing w:line="560" w:lineRule="exact"/>
        <w:ind w:firstLine="0" w:firstLineChars="0"/>
        <w:textAlignment w:val="auto"/>
        <w:rPr>
          <w:color w:val="auto"/>
          <w:sz w:val="32"/>
          <w:szCs w:val="32"/>
        </w:rPr>
      </w:pPr>
    </w:p>
    <w:p>
      <w:pPr>
        <w:pStyle w:val="38"/>
        <w:pageBreakBefore w:val="0"/>
        <w:widowControl/>
        <w:kinsoku/>
        <w:wordWrap/>
        <w:overflowPunct/>
        <w:topLinePunct w:val="0"/>
        <w:autoSpaceDE/>
        <w:autoSpaceDN/>
        <w:bidi w:val="0"/>
        <w:adjustRightInd/>
        <w:snapToGrid/>
        <w:spacing w:line="560" w:lineRule="exact"/>
        <w:ind w:firstLine="0" w:firstLineChars="0"/>
        <w:textAlignment w:val="auto"/>
        <w:rPr>
          <w:color w:val="auto"/>
          <w:sz w:val="32"/>
          <w:szCs w:val="32"/>
        </w:rPr>
      </w:pPr>
    </w:p>
    <w:p>
      <w:pPr>
        <w:pStyle w:val="38"/>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备注：1、项目不分标段的，第___标段空白处填写“/”。</w:t>
      </w:r>
    </w:p>
    <w:p>
      <w:pPr>
        <w:pStyle w:val="38"/>
        <w:keepNext w:val="0"/>
        <w:keepLines w:val="0"/>
        <w:pageBreakBefore w:val="0"/>
        <w:widowControl/>
        <w:kinsoku/>
        <w:wordWrap/>
        <w:overflowPunct/>
        <w:topLinePunct w:val="0"/>
        <w:autoSpaceDE/>
        <w:autoSpaceDN/>
        <w:bidi w:val="0"/>
        <w:adjustRightInd/>
        <w:snapToGrid/>
        <w:spacing w:line="540" w:lineRule="exact"/>
        <w:ind w:firstLine="1065" w:firstLineChars="5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2、除可填报项目外，对本响应函的任何实质性内容修改将被视为非实质性响应，在评审时将其视为无效响应。</w:t>
      </w:r>
    </w:p>
    <w:p>
      <w:pPr>
        <w:pStyle w:val="38"/>
        <w:keepNext w:val="0"/>
        <w:keepLines w:val="0"/>
        <w:pageBreakBefore w:val="0"/>
        <w:widowControl/>
        <w:kinsoku/>
        <w:wordWrap/>
        <w:overflowPunct/>
        <w:topLinePunct w:val="0"/>
        <w:autoSpaceDE/>
        <w:autoSpaceDN/>
        <w:bidi w:val="0"/>
        <w:adjustRightInd/>
        <w:snapToGrid/>
        <w:spacing w:line="540" w:lineRule="exact"/>
        <w:ind w:firstLine="639" w:firstLineChars="300"/>
        <w:textAlignment w:val="auto"/>
        <w:rPr>
          <w:rFonts w:hint="eastAsia" w:ascii="仿宋_GB2312" w:hAnsi="仿宋_GB2312" w:eastAsia="仿宋_GB2312" w:cs="仿宋_GB2312"/>
          <w:b/>
          <w:bCs/>
          <w:color w:val="auto"/>
          <w:sz w:val="21"/>
          <w:szCs w:val="21"/>
        </w:rPr>
      </w:pPr>
    </w:p>
    <w:p>
      <w:pPr>
        <w:pStyle w:val="38"/>
        <w:ind w:firstLine="639" w:firstLineChars="300"/>
        <w:rPr>
          <w:rFonts w:hint="eastAsia" w:ascii="宋体" w:hAnsi="宋体" w:eastAsia="宋体" w:cs="宋体"/>
          <w:b/>
          <w:bCs/>
          <w:color w:val="auto"/>
          <w:sz w:val="21"/>
          <w:szCs w:val="21"/>
        </w:rPr>
      </w:pPr>
    </w:p>
    <w:p>
      <w:pPr>
        <w:pStyle w:val="38"/>
        <w:ind w:firstLine="639" w:firstLineChars="300"/>
        <w:rPr>
          <w:rFonts w:hint="eastAsia" w:ascii="宋体" w:hAnsi="宋体" w:eastAsia="宋体" w:cs="宋体"/>
          <w:b/>
          <w:bCs/>
          <w:color w:val="auto"/>
          <w:sz w:val="21"/>
          <w:szCs w:val="21"/>
        </w:rPr>
      </w:pPr>
    </w:p>
    <w:p>
      <w:pPr>
        <w:rPr>
          <w:rFonts w:hint="eastAsia" w:ascii="宋体" w:hAnsi="宋体" w:eastAsia="宋体" w:cs="宋体"/>
          <w:b/>
          <w:bCs/>
          <w:color w:val="auto"/>
          <w:sz w:val="21"/>
          <w:szCs w:val="21"/>
        </w:rPr>
      </w:pPr>
      <w:r>
        <w:rPr>
          <w:rFonts w:hint="eastAsia" w:ascii="宋体" w:hAnsi="宋体" w:eastAsia="宋体" w:cs="宋体"/>
          <w:b/>
          <w:bCs/>
          <w:color w:val="auto"/>
          <w:sz w:val="21"/>
          <w:szCs w:val="21"/>
        </w:rPr>
        <w:br w:type="page"/>
      </w:r>
    </w:p>
    <w:bookmarkEnd w:id="324"/>
    <w:bookmarkEnd w:id="325"/>
    <w:bookmarkEnd w:id="326"/>
    <w:bookmarkEnd w:id="327"/>
    <w:bookmarkEnd w:id="328"/>
    <w:p>
      <w:pPr>
        <w:pStyle w:val="42"/>
        <w:jc w:val="both"/>
        <w:rPr>
          <w:rFonts w:ascii="仿宋" w:hAnsi="仿宋" w:eastAsia="仿宋"/>
          <w:color w:val="auto"/>
          <w:sz w:val="24"/>
          <w:szCs w:val="24"/>
        </w:rPr>
      </w:pPr>
      <w:bookmarkStart w:id="342" w:name="_Toc23955"/>
      <w:bookmarkStart w:id="343" w:name="_Toc24876"/>
      <w:bookmarkStart w:id="344" w:name="_Toc8175"/>
      <w:bookmarkStart w:id="345" w:name="_Toc30525"/>
      <w:bookmarkStart w:id="346" w:name="_Toc15883"/>
      <w:bookmarkStart w:id="347" w:name="_Toc6154"/>
      <w:bookmarkStart w:id="348" w:name="_Toc23660"/>
      <w:bookmarkStart w:id="349" w:name="_Toc13216"/>
      <w:bookmarkStart w:id="350" w:name="_Toc6921"/>
      <w:bookmarkStart w:id="351" w:name="_Toc17656_WPSOffice_Level2"/>
      <w:r>
        <w:rPr>
          <w:rFonts w:hint="eastAsia" w:ascii="仿宋" w:hAnsi="仿宋" w:eastAsia="仿宋" w:cs="仿宋"/>
          <w:bCs w:val="0"/>
          <w:color w:val="auto"/>
        </w:rPr>
        <w:t>二、第一次磋商报价表</w:t>
      </w:r>
      <w:bookmarkEnd w:id="342"/>
      <w:bookmarkEnd w:id="343"/>
      <w:bookmarkEnd w:id="344"/>
      <w:bookmarkEnd w:id="345"/>
      <w:bookmarkEnd w:id="346"/>
      <w:bookmarkEnd w:id="347"/>
      <w:bookmarkEnd w:id="348"/>
      <w:bookmarkEnd w:id="349"/>
      <w:bookmarkEnd w:id="350"/>
    </w:p>
    <w:p>
      <w:pPr>
        <w:spacing w:line="500" w:lineRule="exact"/>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项目名称：</w:t>
      </w:r>
    </w:p>
    <w:p>
      <w:pPr>
        <w:pStyle w:val="17"/>
        <w:wordWrap w:val="0"/>
        <w:spacing w:beforeAutospacing="0" w:afterAutospacing="0" w:line="500" w:lineRule="exact"/>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项目编号：</w:t>
      </w:r>
    </w:p>
    <w:p>
      <w:pPr>
        <w:pStyle w:val="13"/>
        <w:rPr>
          <w:rFonts w:hint="eastAsia" w:ascii="仿宋_GB2312" w:hAnsi="仿宋_GB2312" w:eastAsia="仿宋_GB2312" w:cs="仿宋_GB2312"/>
          <w:color w:val="auto"/>
          <w:sz w:val="32"/>
          <w:szCs w:val="32"/>
          <w:shd w:val="clear" w:color="auto" w:fill="FFFFFF"/>
        </w:rPr>
      </w:pPr>
    </w:p>
    <w:tbl>
      <w:tblPr>
        <w:tblStyle w:val="21"/>
        <w:tblW w:w="8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059"/>
        <w:gridCol w:w="5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059" w:type="dxa"/>
            <w:vAlign w:val="center"/>
          </w:tcPr>
          <w:p>
            <w:pPr>
              <w:pStyle w:val="6"/>
              <w:spacing w:line="360" w:lineRule="auto"/>
              <w:ind w:firstLine="0"/>
              <w:jc w:val="center"/>
              <w:rPr>
                <w:rFonts w:hint="eastAsia" w:ascii="仿宋_GB2312" w:hAnsi="仿宋_GB2312" w:eastAsia="仿宋_GB2312" w:cs="仿宋_GB2312"/>
                <w:color w:val="auto"/>
                <w:sz w:val="28"/>
                <w:szCs w:val="28"/>
              </w:rPr>
            </w:pPr>
          </w:p>
        </w:tc>
        <w:tc>
          <w:tcPr>
            <w:tcW w:w="5752" w:type="dxa"/>
            <w:vAlign w:val="center"/>
          </w:tcPr>
          <w:p>
            <w:pPr>
              <w:spacing w:line="44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059" w:type="dxa"/>
            <w:vAlign w:val="center"/>
          </w:tcPr>
          <w:p>
            <w:pPr>
              <w:pStyle w:val="6"/>
              <w:spacing w:line="360" w:lineRule="auto"/>
              <w:ind w:firstLine="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磋商报价</w:t>
            </w:r>
          </w:p>
        </w:tc>
        <w:tc>
          <w:tcPr>
            <w:tcW w:w="5752" w:type="dxa"/>
            <w:vAlign w:val="center"/>
          </w:tcPr>
          <w:p>
            <w:pPr>
              <w:autoSpaceDE w:val="0"/>
              <w:autoSpaceDN w:val="0"/>
              <w:spacing w:line="360" w:lineRule="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color w:val="auto"/>
                <w:kern w:val="0"/>
                <w:sz w:val="28"/>
                <w:szCs w:val="28"/>
                <w:lang w:val="zh-CN"/>
              </w:rPr>
              <w:t>小写：</w:t>
            </w:r>
          </w:p>
          <w:p>
            <w:pPr>
              <w:pStyle w:val="13"/>
              <w:rPr>
                <w:rFonts w:hint="eastAsia" w:ascii="仿宋_GB2312" w:hAnsi="仿宋_GB2312" w:eastAsia="仿宋_GB2312" w:cs="仿宋_GB2312"/>
                <w:color w:val="auto"/>
                <w:sz w:val="28"/>
                <w:szCs w:val="28"/>
                <w:lang w:val="zh-CN"/>
              </w:rPr>
            </w:pPr>
          </w:p>
          <w:p>
            <w:pPr>
              <w:autoSpaceDE w:val="0"/>
              <w:autoSpaceDN w:val="0"/>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大写</w:t>
            </w:r>
            <w:r>
              <w:rPr>
                <w:rFonts w:hint="eastAsia" w:ascii="仿宋_GB2312" w:hAnsi="仿宋_GB2312" w:eastAsia="仿宋_GB2312" w:cs="仿宋_GB2312"/>
                <w:color w:val="auto"/>
                <w:sz w:val="28"/>
                <w:szCs w:val="28"/>
              </w:rPr>
              <w:t>：</w:t>
            </w:r>
          </w:p>
          <w:p>
            <w:pPr>
              <w:autoSpaceDE w:val="0"/>
              <w:autoSpaceDN w:val="0"/>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单位：元（保留到元）</w:t>
            </w:r>
          </w:p>
        </w:tc>
      </w:tr>
    </w:tbl>
    <w:p>
      <w:pPr>
        <w:autoSpaceDE w:val="0"/>
        <w:autoSpaceDN w:val="0"/>
        <w:spacing w:line="240" w:lineRule="auto"/>
        <w:ind w:firstLine="480"/>
        <w:rPr>
          <w:rFonts w:hint="eastAsia" w:ascii="宋体" w:hAnsi="宋体" w:eastAsia="宋体" w:cs="宋体"/>
          <w:b/>
          <w:bCs/>
          <w:color w:val="auto"/>
          <w:kern w:val="0"/>
          <w:sz w:val="21"/>
          <w:szCs w:val="21"/>
        </w:rPr>
      </w:pPr>
    </w:p>
    <w:p>
      <w:pPr>
        <w:autoSpaceDE w:val="0"/>
        <w:autoSpaceDN w:val="0"/>
        <w:spacing w:line="240" w:lineRule="auto"/>
        <w:ind w:firstLine="480"/>
        <w:rPr>
          <w:rFonts w:hint="eastAsia" w:ascii="仿宋_GB2312" w:hAnsi="仿宋_GB2312" w:eastAsia="仿宋_GB2312" w:cs="仿宋_GB2312"/>
          <w:color w:val="auto"/>
          <w:kern w:val="0"/>
          <w:sz w:val="21"/>
          <w:szCs w:val="21"/>
          <w:lang w:val="zh-CN"/>
        </w:rPr>
      </w:pPr>
      <w:r>
        <w:rPr>
          <w:rFonts w:hint="eastAsia" w:ascii="仿宋_GB2312" w:hAnsi="仿宋_GB2312" w:eastAsia="仿宋_GB2312" w:cs="仿宋_GB2312"/>
          <w:b/>
          <w:bCs/>
          <w:color w:val="auto"/>
          <w:kern w:val="0"/>
          <w:sz w:val="21"/>
          <w:szCs w:val="21"/>
        </w:rPr>
        <w:t>备注</w:t>
      </w:r>
      <w:r>
        <w:rPr>
          <w:rFonts w:hint="eastAsia" w:ascii="仿宋_GB2312" w:hAnsi="仿宋_GB2312" w:eastAsia="仿宋_GB2312" w:cs="仿宋_GB2312"/>
          <w:b/>
          <w:bCs/>
          <w:color w:val="auto"/>
          <w:kern w:val="0"/>
          <w:sz w:val="21"/>
          <w:szCs w:val="21"/>
          <w:lang w:val="zh-CN"/>
        </w:rPr>
        <w:t>：</w:t>
      </w:r>
      <w:r>
        <w:rPr>
          <w:rFonts w:hint="eastAsia" w:ascii="仿宋_GB2312" w:hAnsi="仿宋_GB2312" w:eastAsia="仿宋_GB2312" w:cs="仿宋_GB2312"/>
          <w:color w:val="auto"/>
          <w:kern w:val="0"/>
          <w:sz w:val="21"/>
          <w:szCs w:val="21"/>
          <w:lang w:val="en-US" w:eastAsia="zh-CN"/>
        </w:rPr>
        <w:t>1、</w:t>
      </w:r>
      <w:r>
        <w:rPr>
          <w:rFonts w:hint="eastAsia" w:ascii="仿宋_GB2312" w:hAnsi="仿宋_GB2312" w:eastAsia="仿宋_GB2312" w:cs="仿宋_GB2312"/>
          <w:color w:val="auto"/>
          <w:kern w:val="0"/>
          <w:sz w:val="21"/>
          <w:szCs w:val="21"/>
          <w:lang w:val="zh-CN"/>
        </w:rPr>
        <w:t>“磋商报价”为磋商总价。磋商报价必须包括本项目所需全部费用。</w:t>
      </w:r>
    </w:p>
    <w:p>
      <w:pPr>
        <w:autoSpaceDE w:val="0"/>
        <w:autoSpaceDN w:val="0"/>
        <w:spacing w:line="240" w:lineRule="auto"/>
        <w:ind w:firstLine="480"/>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2、该报价须与标书信息确认中的报价一致，如不一致，以标书信息确认中的报价为准，请各供应商仔细填写。</w:t>
      </w:r>
    </w:p>
    <w:p>
      <w:pPr>
        <w:autoSpaceDE w:val="0"/>
        <w:autoSpaceDN w:val="0"/>
        <w:spacing w:line="240" w:lineRule="auto"/>
        <w:ind w:firstLine="1065" w:firstLineChars="500"/>
        <w:rPr>
          <w:rFonts w:ascii="宋体" w:hAnsi="宋体" w:eastAsia="宋体" w:cs="宋体"/>
          <w:color w:val="auto"/>
          <w:sz w:val="21"/>
          <w:szCs w:val="21"/>
        </w:rPr>
      </w:pPr>
    </w:p>
    <w:p>
      <w:pPr>
        <w:spacing w:line="440" w:lineRule="exact"/>
        <w:ind w:right="560"/>
        <w:jc w:val="right"/>
        <w:rPr>
          <w:rFonts w:ascii="仿宋" w:hAnsi="仿宋" w:eastAsia="仿宋"/>
          <w:color w:val="auto"/>
          <w:sz w:val="24"/>
          <w:szCs w:val="24"/>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供应商：</w:t>
      </w:r>
      <w:r>
        <w:rPr>
          <w:rFonts w:hint="eastAsia" w:ascii="仿宋_GB2312" w:hAnsi="仿宋_GB2312" w:eastAsia="仿宋_GB2312" w:cs="仿宋_GB2312"/>
          <w:color w:val="auto"/>
          <w:sz w:val="32"/>
          <w:szCs w:val="32"/>
          <w:u w:val="single"/>
        </w:rPr>
        <w:t>名称</w:t>
      </w:r>
      <w:r>
        <w:rPr>
          <w:rFonts w:hint="eastAsia" w:ascii="仿宋_GB2312" w:hAnsi="仿宋_GB2312" w:eastAsia="仿宋_GB2312" w:cs="仿宋_GB2312"/>
          <w:color w:val="auto"/>
          <w:sz w:val="32"/>
          <w:szCs w:val="32"/>
        </w:rPr>
        <w:t>（加盖公章）</w:t>
      </w:r>
    </w:p>
    <w:p>
      <w:pPr>
        <w:keepNext w:val="0"/>
        <w:keepLines w:val="0"/>
        <w:pageBreakBefore w:val="0"/>
        <w:widowControl/>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日期：　　年　月　日</w:t>
      </w:r>
      <w:r>
        <w:rPr>
          <w:rFonts w:hint="eastAsia" w:ascii="仿宋_GB2312" w:hAnsi="仿宋_GB2312" w:eastAsia="仿宋_GB2312" w:cs="仿宋_GB2312"/>
          <w:color w:val="auto"/>
          <w:sz w:val="32"/>
          <w:szCs w:val="32"/>
          <w:lang w:val="en-US" w:eastAsia="zh-CN"/>
        </w:rPr>
        <w:t xml:space="preserve">  </w:t>
      </w:r>
    </w:p>
    <w:p>
      <w:pPr>
        <w:spacing w:line="500" w:lineRule="exact"/>
        <w:ind w:firstLine="566" w:firstLineChars="200"/>
        <w:rPr>
          <w:rFonts w:ascii="华文仿宋" w:hAnsi="华文仿宋" w:cs="华文仿宋"/>
          <w:b/>
          <w:color w:val="auto"/>
        </w:rPr>
      </w:pPr>
    </w:p>
    <w:bookmarkEnd w:id="351"/>
    <w:p>
      <w:pPr>
        <w:rPr>
          <w:rFonts w:ascii="宋体" w:hAnsi="宋体"/>
          <w:b/>
          <w:bCs/>
          <w:color w:val="auto"/>
          <w:sz w:val="32"/>
          <w:szCs w:val="32"/>
        </w:rPr>
      </w:pPr>
      <w:r>
        <w:rPr>
          <w:rFonts w:ascii="华文仿宋" w:hAnsi="华文仿宋" w:cs="华文仿宋"/>
          <w:b w:val="0"/>
          <w:color w:val="auto"/>
          <w:sz w:val="28"/>
          <w:szCs w:val="28"/>
        </w:rPr>
        <w:br w:type="page"/>
      </w:r>
    </w:p>
    <w:p>
      <w:pPr>
        <w:spacing w:line="240" w:lineRule="auto"/>
        <w:jc w:val="center"/>
        <w:rPr>
          <w:rFonts w:hint="eastAsia" w:ascii="仿宋_GB2312" w:hAnsi="仿宋_GB2312" w:eastAsia="仿宋_GB2312" w:cs="仿宋_GB2312"/>
          <w:b/>
          <w:color w:val="auto"/>
        </w:rPr>
      </w:pPr>
      <w:r>
        <w:rPr>
          <w:rFonts w:hint="eastAsia" w:ascii="仿宋_GB2312" w:hAnsi="仿宋_GB2312" w:eastAsia="仿宋_GB2312" w:cs="仿宋_GB2312"/>
          <w:b/>
          <w:bCs/>
          <w:color w:val="auto"/>
          <w:sz w:val="32"/>
          <w:szCs w:val="32"/>
        </w:rPr>
        <w:t>分项报价表（样表）</w:t>
      </w:r>
      <w:r>
        <w:rPr>
          <w:rFonts w:hint="eastAsia" w:ascii="仿宋_GB2312" w:hAnsi="仿宋_GB2312" w:eastAsia="仿宋_GB2312" w:cs="仿宋_GB2312"/>
          <w:b/>
          <w:color w:val="auto"/>
        </w:rPr>
        <w:tab/>
      </w:r>
    </w:p>
    <w:p>
      <w:pPr>
        <w:spacing w:line="240" w:lineRule="auto"/>
        <w:jc w:val="center"/>
        <w:rPr>
          <w:rFonts w:hint="eastAsia" w:ascii="仿宋_GB2312" w:hAnsi="仿宋_GB2312" w:eastAsia="仿宋_GB2312" w:cs="仿宋_GB2312"/>
          <w:b/>
          <w:color w:val="auto"/>
        </w:rPr>
      </w:pPr>
    </w:p>
    <w:tbl>
      <w:tblPr>
        <w:tblStyle w:val="22"/>
        <w:tblW w:w="9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1855"/>
        <w:gridCol w:w="1625"/>
        <w:gridCol w:w="1342"/>
        <w:gridCol w:w="1833"/>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322" w:type="dxa"/>
            <w:vAlign w:val="center"/>
          </w:tcPr>
          <w:p>
            <w:pPr>
              <w:pStyle w:val="42"/>
              <w:widowControl w:val="0"/>
              <w:rPr>
                <w:rFonts w:hint="eastAsia" w:ascii="仿宋_GB2312" w:hAnsi="仿宋_GB2312" w:eastAsia="仿宋_GB2312" w:cs="仿宋_GB2312"/>
                <w:bCs w:val="0"/>
                <w:color w:val="auto"/>
                <w:sz w:val="24"/>
                <w:szCs w:val="24"/>
              </w:rPr>
            </w:pPr>
            <w:bookmarkStart w:id="352" w:name="_Toc16723"/>
            <w:bookmarkStart w:id="353" w:name="_Toc28408"/>
            <w:bookmarkStart w:id="354" w:name="_Toc26257"/>
            <w:bookmarkStart w:id="355" w:name="_Toc1934"/>
            <w:bookmarkStart w:id="356" w:name="_Toc22090"/>
            <w:bookmarkStart w:id="357" w:name="_Toc32361"/>
            <w:bookmarkStart w:id="358" w:name="_Toc18433"/>
            <w:bookmarkStart w:id="359" w:name="_Toc11855"/>
            <w:bookmarkStart w:id="360" w:name="_Toc11534"/>
            <w:r>
              <w:rPr>
                <w:rFonts w:hint="eastAsia" w:ascii="仿宋_GB2312" w:hAnsi="仿宋_GB2312" w:eastAsia="仿宋_GB2312" w:cs="仿宋_GB2312"/>
                <w:bCs w:val="0"/>
                <w:color w:val="auto"/>
                <w:sz w:val="24"/>
                <w:szCs w:val="24"/>
              </w:rPr>
              <w:t>序号</w:t>
            </w:r>
            <w:bookmarkEnd w:id="352"/>
            <w:bookmarkEnd w:id="353"/>
            <w:bookmarkEnd w:id="354"/>
            <w:bookmarkEnd w:id="355"/>
            <w:bookmarkEnd w:id="356"/>
            <w:bookmarkEnd w:id="357"/>
            <w:bookmarkEnd w:id="358"/>
            <w:bookmarkEnd w:id="359"/>
            <w:bookmarkEnd w:id="360"/>
          </w:p>
        </w:tc>
        <w:tc>
          <w:tcPr>
            <w:tcW w:w="1855" w:type="dxa"/>
            <w:vAlign w:val="center"/>
          </w:tcPr>
          <w:p>
            <w:pPr>
              <w:pStyle w:val="42"/>
              <w:widowControl w:val="0"/>
              <w:rPr>
                <w:rFonts w:hint="eastAsia" w:ascii="仿宋_GB2312" w:hAnsi="仿宋_GB2312" w:eastAsia="仿宋_GB2312" w:cs="仿宋_GB2312"/>
                <w:bCs w:val="0"/>
                <w:color w:val="auto"/>
                <w:sz w:val="24"/>
                <w:szCs w:val="24"/>
                <w:lang w:val="en-US" w:eastAsia="zh-CN"/>
              </w:rPr>
            </w:pPr>
            <w:r>
              <w:rPr>
                <w:rFonts w:hint="eastAsia" w:ascii="仿宋_GB2312" w:hAnsi="仿宋_GB2312" w:eastAsia="仿宋_GB2312" w:cs="仿宋_GB2312"/>
                <w:bCs w:val="0"/>
                <w:color w:val="auto"/>
                <w:sz w:val="24"/>
                <w:szCs w:val="24"/>
                <w:lang w:val="en-US" w:eastAsia="zh-CN"/>
              </w:rPr>
              <w:t>服务项目</w:t>
            </w:r>
          </w:p>
        </w:tc>
        <w:tc>
          <w:tcPr>
            <w:tcW w:w="1625" w:type="dxa"/>
            <w:vAlign w:val="center"/>
          </w:tcPr>
          <w:p>
            <w:pPr>
              <w:pStyle w:val="42"/>
              <w:widowControl w:val="0"/>
              <w:rPr>
                <w:rFonts w:hint="eastAsia" w:ascii="仿宋_GB2312" w:hAnsi="仿宋_GB2312" w:eastAsia="仿宋_GB2312" w:cs="仿宋_GB2312"/>
                <w:bCs w:val="0"/>
                <w:color w:val="auto"/>
                <w:sz w:val="24"/>
                <w:szCs w:val="24"/>
                <w:lang w:val="en-US" w:eastAsia="zh-CN"/>
              </w:rPr>
            </w:pPr>
            <w:r>
              <w:rPr>
                <w:rFonts w:hint="eastAsia" w:ascii="仿宋_GB2312" w:hAnsi="仿宋_GB2312" w:eastAsia="仿宋_GB2312" w:cs="仿宋_GB2312"/>
                <w:bCs w:val="0"/>
                <w:color w:val="auto"/>
                <w:sz w:val="24"/>
                <w:szCs w:val="24"/>
                <w:lang w:val="en-US" w:eastAsia="zh-CN"/>
              </w:rPr>
              <w:t>单价</w:t>
            </w:r>
          </w:p>
        </w:tc>
        <w:tc>
          <w:tcPr>
            <w:tcW w:w="1342" w:type="dxa"/>
            <w:vAlign w:val="center"/>
          </w:tcPr>
          <w:p>
            <w:pPr>
              <w:pStyle w:val="42"/>
              <w:widowControl w:val="0"/>
              <w:spacing w:line="300" w:lineRule="exact"/>
              <w:rPr>
                <w:rFonts w:hint="eastAsia" w:ascii="仿宋_GB2312" w:hAnsi="仿宋_GB2312" w:eastAsia="仿宋_GB2312" w:cs="仿宋_GB2312"/>
                <w:bCs w:val="0"/>
                <w:color w:val="auto"/>
                <w:sz w:val="24"/>
                <w:szCs w:val="24"/>
                <w:lang w:val="en-US" w:eastAsia="zh-CN"/>
              </w:rPr>
            </w:pPr>
            <w:r>
              <w:rPr>
                <w:rFonts w:hint="eastAsia" w:ascii="仿宋_GB2312" w:hAnsi="仿宋_GB2312" w:eastAsia="仿宋_GB2312" w:cs="仿宋_GB2312"/>
                <w:bCs w:val="0"/>
                <w:color w:val="auto"/>
                <w:sz w:val="24"/>
                <w:szCs w:val="24"/>
                <w:lang w:val="en-US" w:eastAsia="zh-CN"/>
              </w:rPr>
              <w:t>数量</w:t>
            </w:r>
          </w:p>
        </w:tc>
        <w:tc>
          <w:tcPr>
            <w:tcW w:w="1833" w:type="dxa"/>
            <w:vAlign w:val="center"/>
          </w:tcPr>
          <w:p>
            <w:pPr>
              <w:pStyle w:val="42"/>
              <w:widowControl w:val="0"/>
              <w:rPr>
                <w:rFonts w:hint="eastAsia" w:ascii="仿宋_GB2312" w:hAnsi="仿宋_GB2312" w:eastAsia="仿宋_GB2312" w:cs="仿宋_GB2312"/>
                <w:bCs w:val="0"/>
                <w:color w:val="auto"/>
                <w:sz w:val="24"/>
                <w:szCs w:val="24"/>
                <w:lang w:val="en-US" w:eastAsia="zh-CN"/>
              </w:rPr>
            </w:pPr>
            <w:r>
              <w:rPr>
                <w:rFonts w:hint="eastAsia" w:ascii="仿宋_GB2312" w:hAnsi="仿宋_GB2312" w:eastAsia="仿宋_GB2312" w:cs="仿宋_GB2312"/>
                <w:bCs w:val="0"/>
                <w:color w:val="auto"/>
                <w:sz w:val="24"/>
                <w:szCs w:val="24"/>
                <w:lang w:val="en-US" w:eastAsia="zh-CN"/>
              </w:rPr>
              <w:t>小计</w:t>
            </w:r>
          </w:p>
        </w:tc>
        <w:tc>
          <w:tcPr>
            <w:tcW w:w="1352" w:type="dxa"/>
            <w:vAlign w:val="center"/>
          </w:tcPr>
          <w:p>
            <w:pPr>
              <w:pStyle w:val="42"/>
              <w:widowControl w:val="0"/>
              <w:rPr>
                <w:rFonts w:hint="eastAsia" w:ascii="仿宋_GB2312" w:hAnsi="仿宋_GB2312" w:eastAsia="仿宋_GB2312" w:cs="仿宋_GB2312"/>
                <w:bCs w:val="0"/>
                <w:color w:val="auto"/>
                <w:sz w:val="24"/>
                <w:szCs w:val="24"/>
                <w:lang w:val="en-US" w:eastAsia="zh-CN"/>
              </w:rPr>
            </w:pPr>
            <w:r>
              <w:rPr>
                <w:rFonts w:hint="eastAsia" w:ascii="仿宋_GB2312" w:hAnsi="仿宋_GB2312" w:eastAsia="仿宋_GB2312" w:cs="仿宋_GB2312"/>
                <w:bCs w:val="0"/>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2" w:type="dxa"/>
            <w:vAlign w:val="center"/>
          </w:tcPr>
          <w:p>
            <w:pPr>
              <w:pStyle w:val="42"/>
              <w:widowControl w:val="0"/>
              <w:rPr>
                <w:rFonts w:hint="eastAsia" w:ascii="仿宋_GB2312" w:hAnsi="仿宋_GB2312" w:eastAsia="仿宋_GB2312" w:cs="仿宋_GB2312"/>
                <w:bCs w:val="0"/>
                <w:color w:val="auto"/>
                <w:sz w:val="24"/>
                <w:szCs w:val="24"/>
              </w:rPr>
            </w:pPr>
            <w:bookmarkStart w:id="361" w:name="_Toc31519"/>
          </w:p>
        </w:tc>
        <w:tc>
          <w:tcPr>
            <w:tcW w:w="1855" w:type="dxa"/>
            <w:vAlign w:val="center"/>
          </w:tcPr>
          <w:p>
            <w:pPr>
              <w:pStyle w:val="42"/>
              <w:widowControl w:val="0"/>
              <w:rPr>
                <w:rFonts w:hint="eastAsia" w:ascii="仿宋_GB2312" w:hAnsi="仿宋_GB2312" w:eastAsia="仿宋_GB2312" w:cs="仿宋_GB2312"/>
                <w:bCs w:val="0"/>
                <w:color w:val="auto"/>
                <w:sz w:val="24"/>
                <w:szCs w:val="24"/>
                <w:lang w:val="en-US" w:eastAsia="zh-CN"/>
              </w:rPr>
            </w:pPr>
          </w:p>
        </w:tc>
        <w:tc>
          <w:tcPr>
            <w:tcW w:w="1625" w:type="dxa"/>
            <w:vAlign w:val="center"/>
          </w:tcPr>
          <w:p>
            <w:pPr>
              <w:pStyle w:val="42"/>
              <w:widowControl w:val="0"/>
              <w:rPr>
                <w:rFonts w:hint="eastAsia" w:ascii="仿宋_GB2312" w:hAnsi="仿宋_GB2312" w:eastAsia="仿宋_GB2312" w:cs="仿宋_GB2312"/>
                <w:bCs w:val="0"/>
                <w:color w:val="auto"/>
                <w:sz w:val="24"/>
                <w:szCs w:val="24"/>
                <w:lang w:val="en-US" w:eastAsia="zh-CN"/>
              </w:rPr>
            </w:pPr>
          </w:p>
        </w:tc>
        <w:tc>
          <w:tcPr>
            <w:tcW w:w="1342" w:type="dxa"/>
            <w:vAlign w:val="center"/>
          </w:tcPr>
          <w:p>
            <w:pPr>
              <w:pStyle w:val="42"/>
              <w:widowControl w:val="0"/>
              <w:spacing w:line="300" w:lineRule="exact"/>
              <w:rPr>
                <w:rFonts w:hint="eastAsia" w:ascii="仿宋_GB2312" w:hAnsi="仿宋_GB2312" w:eastAsia="仿宋_GB2312" w:cs="仿宋_GB2312"/>
                <w:bCs w:val="0"/>
                <w:color w:val="auto"/>
                <w:sz w:val="24"/>
                <w:szCs w:val="24"/>
                <w:lang w:val="en-US" w:eastAsia="zh-CN"/>
              </w:rPr>
            </w:pPr>
          </w:p>
        </w:tc>
        <w:tc>
          <w:tcPr>
            <w:tcW w:w="1833" w:type="dxa"/>
            <w:vAlign w:val="center"/>
          </w:tcPr>
          <w:p>
            <w:pPr>
              <w:pStyle w:val="42"/>
              <w:widowControl w:val="0"/>
              <w:rPr>
                <w:rFonts w:hint="eastAsia" w:ascii="仿宋_GB2312" w:hAnsi="仿宋_GB2312" w:eastAsia="仿宋_GB2312" w:cs="仿宋_GB2312"/>
                <w:bCs w:val="0"/>
                <w:color w:val="auto"/>
                <w:sz w:val="24"/>
                <w:szCs w:val="24"/>
                <w:lang w:val="en-US" w:eastAsia="zh-CN"/>
              </w:rPr>
            </w:pPr>
          </w:p>
        </w:tc>
        <w:tc>
          <w:tcPr>
            <w:tcW w:w="1352" w:type="dxa"/>
            <w:vAlign w:val="center"/>
          </w:tcPr>
          <w:p>
            <w:pPr>
              <w:pStyle w:val="42"/>
              <w:widowControl w:val="0"/>
              <w:rPr>
                <w:rFonts w:hint="eastAsia" w:ascii="仿宋_GB2312" w:hAnsi="仿宋_GB2312" w:eastAsia="仿宋_GB2312" w:cs="仿宋_GB2312"/>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2" w:type="dxa"/>
            <w:vAlign w:val="center"/>
          </w:tcPr>
          <w:p>
            <w:pPr>
              <w:pStyle w:val="42"/>
              <w:widowControl w:val="0"/>
              <w:rPr>
                <w:rFonts w:hint="eastAsia" w:ascii="仿宋_GB2312" w:hAnsi="仿宋_GB2312" w:eastAsia="仿宋_GB2312" w:cs="仿宋_GB2312"/>
                <w:bCs w:val="0"/>
                <w:color w:val="auto"/>
                <w:sz w:val="24"/>
                <w:szCs w:val="24"/>
              </w:rPr>
            </w:pPr>
          </w:p>
        </w:tc>
        <w:tc>
          <w:tcPr>
            <w:tcW w:w="1855" w:type="dxa"/>
            <w:vAlign w:val="center"/>
          </w:tcPr>
          <w:p>
            <w:pPr>
              <w:pStyle w:val="42"/>
              <w:widowControl w:val="0"/>
              <w:rPr>
                <w:rFonts w:hint="eastAsia" w:ascii="仿宋_GB2312" w:hAnsi="仿宋_GB2312" w:eastAsia="仿宋_GB2312" w:cs="仿宋_GB2312"/>
                <w:bCs w:val="0"/>
                <w:color w:val="auto"/>
                <w:sz w:val="24"/>
                <w:szCs w:val="24"/>
                <w:lang w:val="en-US" w:eastAsia="zh-CN"/>
              </w:rPr>
            </w:pPr>
          </w:p>
        </w:tc>
        <w:tc>
          <w:tcPr>
            <w:tcW w:w="1625" w:type="dxa"/>
            <w:vAlign w:val="center"/>
          </w:tcPr>
          <w:p>
            <w:pPr>
              <w:pStyle w:val="42"/>
              <w:widowControl w:val="0"/>
              <w:rPr>
                <w:rFonts w:hint="eastAsia" w:ascii="仿宋_GB2312" w:hAnsi="仿宋_GB2312" w:eastAsia="仿宋_GB2312" w:cs="仿宋_GB2312"/>
                <w:bCs w:val="0"/>
                <w:color w:val="auto"/>
                <w:sz w:val="24"/>
                <w:szCs w:val="24"/>
                <w:lang w:val="en-US" w:eastAsia="zh-CN"/>
              </w:rPr>
            </w:pPr>
          </w:p>
        </w:tc>
        <w:tc>
          <w:tcPr>
            <w:tcW w:w="1342" w:type="dxa"/>
            <w:vAlign w:val="center"/>
          </w:tcPr>
          <w:p>
            <w:pPr>
              <w:pStyle w:val="42"/>
              <w:widowControl w:val="0"/>
              <w:spacing w:line="300" w:lineRule="exact"/>
              <w:rPr>
                <w:rFonts w:hint="eastAsia" w:ascii="仿宋_GB2312" w:hAnsi="仿宋_GB2312" w:eastAsia="仿宋_GB2312" w:cs="仿宋_GB2312"/>
                <w:bCs w:val="0"/>
                <w:color w:val="auto"/>
                <w:sz w:val="24"/>
                <w:szCs w:val="24"/>
                <w:lang w:val="en-US" w:eastAsia="zh-CN"/>
              </w:rPr>
            </w:pPr>
          </w:p>
        </w:tc>
        <w:tc>
          <w:tcPr>
            <w:tcW w:w="1833" w:type="dxa"/>
            <w:vAlign w:val="center"/>
          </w:tcPr>
          <w:p>
            <w:pPr>
              <w:pStyle w:val="42"/>
              <w:widowControl w:val="0"/>
              <w:rPr>
                <w:rFonts w:hint="eastAsia" w:ascii="仿宋_GB2312" w:hAnsi="仿宋_GB2312" w:eastAsia="仿宋_GB2312" w:cs="仿宋_GB2312"/>
                <w:bCs w:val="0"/>
                <w:color w:val="auto"/>
                <w:sz w:val="24"/>
                <w:szCs w:val="24"/>
                <w:lang w:val="en-US" w:eastAsia="zh-CN"/>
              </w:rPr>
            </w:pPr>
          </w:p>
        </w:tc>
        <w:tc>
          <w:tcPr>
            <w:tcW w:w="1352" w:type="dxa"/>
            <w:vAlign w:val="center"/>
          </w:tcPr>
          <w:p>
            <w:pPr>
              <w:pStyle w:val="42"/>
              <w:widowControl w:val="0"/>
              <w:rPr>
                <w:rFonts w:hint="eastAsia" w:ascii="仿宋_GB2312" w:hAnsi="仿宋_GB2312" w:eastAsia="仿宋_GB2312" w:cs="仿宋_GB2312"/>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2" w:type="dxa"/>
            <w:vAlign w:val="center"/>
          </w:tcPr>
          <w:p>
            <w:pPr>
              <w:pStyle w:val="42"/>
              <w:widowControl w:val="0"/>
              <w:rPr>
                <w:rFonts w:hint="eastAsia" w:ascii="仿宋_GB2312" w:hAnsi="仿宋_GB2312" w:eastAsia="仿宋_GB2312" w:cs="仿宋_GB2312"/>
                <w:bCs w:val="0"/>
                <w:color w:val="auto"/>
                <w:sz w:val="24"/>
                <w:szCs w:val="24"/>
              </w:rPr>
            </w:pPr>
          </w:p>
        </w:tc>
        <w:tc>
          <w:tcPr>
            <w:tcW w:w="1855" w:type="dxa"/>
            <w:vAlign w:val="center"/>
          </w:tcPr>
          <w:p>
            <w:pPr>
              <w:pStyle w:val="42"/>
              <w:widowControl w:val="0"/>
              <w:rPr>
                <w:rFonts w:hint="eastAsia" w:ascii="仿宋_GB2312" w:hAnsi="仿宋_GB2312" w:eastAsia="仿宋_GB2312" w:cs="仿宋_GB2312"/>
                <w:bCs w:val="0"/>
                <w:color w:val="auto"/>
                <w:sz w:val="24"/>
                <w:szCs w:val="24"/>
                <w:lang w:val="en-US" w:eastAsia="zh-CN"/>
              </w:rPr>
            </w:pPr>
          </w:p>
        </w:tc>
        <w:tc>
          <w:tcPr>
            <w:tcW w:w="1625" w:type="dxa"/>
            <w:vAlign w:val="center"/>
          </w:tcPr>
          <w:p>
            <w:pPr>
              <w:pStyle w:val="42"/>
              <w:widowControl w:val="0"/>
              <w:rPr>
                <w:rFonts w:hint="eastAsia" w:ascii="仿宋_GB2312" w:hAnsi="仿宋_GB2312" w:eastAsia="仿宋_GB2312" w:cs="仿宋_GB2312"/>
                <w:bCs w:val="0"/>
                <w:color w:val="auto"/>
                <w:sz w:val="24"/>
                <w:szCs w:val="24"/>
                <w:lang w:val="en-US" w:eastAsia="zh-CN"/>
              </w:rPr>
            </w:pPr>
          </w:p>
        </w:tc>
        <w:tc>
          <w:tcPr>
            <w:tcW w:w="1342" w:type="dxa"/>
            <w:vAlign w:val="center"/>
          </w:tcPr>
          <w:p>
            <w:pPr>
              <w:pStyle w:val="42"/>
              <w:widowControl w:val="0"/>
              <w:spacing w:line="300" w:lineRule="exact"/>
              <w:rPr>
                <w:rFonts w:hint="eastAsia" w:ascii="仿宋_GB2312" w:hAnsi="仿宋_GB2312" w:eastAsia="仿宋_GB2312" w:cs="仿宋_GB2312"/>
                <w:bCs w:val="0"/>
                <w:color w:val="auto"/>
                <w:sz w:val="24"/>
                <w:szCs w:val="24"/>
                <w:lang w:val="en-US" w:eastAsia="zh-CN"/>
              </w:rPr>
            </w:pPr>
          </w:p>
        </w:tc>
        <w:tc>
          <w:tcPr>
            <w:tcW w:w="1833" w:type="dxa"/>
            <w:vAlign w:val="center"/>
          </w:tcPr>
          <w:p>
            <w:pPr>
              <w:pStyle w:val="42"/>
              <w:widowControl w:val="0"/>
              <w:rPr>
                <w:rFonts w:hint="eastAsia" w:ascii="仿宋_GB2312" w:hAnsi="仿宋_GB2312" w:eastAsia="仿宋_GB2312" w:cs="仿宋_GB2312"/>
                <w:bCs w:val="0"/>
                <w:color w:val="auto"/>
                <w:sz w:val="24"/>
                <w:szCs w:val="24"/>
                <w:lang w:val="en-US" w:eastAsia="zh-CN"/>
              </w:rPr>
            </w:pPr>
          </w:p>
        </w:tc>
        <w:tc>
          <w:tcPr>
            <w:tcW w:w="1352" w:type="dxa"/>
            <w:vAlign w:val="center"/>
          </w:tcPr>
          <w:p>
            <w:pPr>
              <w:pStyle w:val="42"/>
              <w:widowControl w:val="0"/>
              <w:rPr>
                <w:rFonts w:hint="eastAsia" w:ascii="仿宋_GB2312" w:hAnsi="仿宋_GB2312" w:eastAsia="仿宋_GB2312" w:cs="仿宋_GB2312"/>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2" w:type="dxa"/>
            <w:vAlign w:val="center"/>
          </w:tcPr>
          <w:p>
            <w:pPr>
              <w:pStyle w:val="42"/>
              <w:widowControl w:val="0"/>
              <w:rPr>
                <w:rFonts w:hint="eastAsia" w:ascii="仿宋_GB2312" w:hAnsi="仿宋_GB2312" w:eastAsia="仿宋_GB2312" w:cs="仿宋_GB2312"/>
                <w:bCs w:val="0"/>
                <w:color w:val="auto"/>
                <w:sz w:val="24"/>
                <w:szCs w:val="24"/>
              </w:rPr>
            </w:pPr>
          </w:p>
        </w:tc>
        <w:tc>
          <w:tcPr>
            <w:tcW w:w="1855" w:type="dxa"/>
            <w:vAlign w:val="center"/>
          </w:tcPr>
          <w:p>
            <w:pPr>
              <w:pStyle w:val="42"/>
              <w:widowControl w:val="0"/>
              <w:rPr>
                <w:rFonts w:hint="eastAsia" w:ascii="仿宋_GB2312" w:hAnsi="仿宋_GB2312" w:eastAsia="仿宋_GB2312" w:cs="仿宋_GB2312"/>
                <w:bCs w:val="0"/>
                <w:color w:val="auto"/>
                <w:sz w:val="24"/>
                <w:szCs w:val="24"/>
                <w:lang w:val="en-US" w:eastAsia="zh-CN"/>
              </w:rPr>
            </w:pPr>
          </w:p>
        </w:tc>
        <w:tc>
          <w:tcPr>
            <w:tcW w:w="1625" w:type="dxa"/>
            <w:vAlign w:val="center"/>
          </w:tcPr>
          <w:p>
            <w:pPr>
              <w:pStyle w:val="42"/>
              <w:widowControl w:val="0"/>
              <w:rPr>
                <w:rFonts w:hint="eastAsia" w:ascii="仿宋_GB2312" w:hAnsi="仿宋_GB2312" w:eastAsia="仿宋_GB2312" w:cs="仿宋_GB2312"/>
                <w:bCs w:val="0"/>
                <w:color w:val="auto"/>
                <w:sz w:val="24"/>
                <w:szCs w:val="24"/>
                <w:lang w:val="en-US" w:eastAsia="zh-CN"/>
              </w:rPr>
            </w:pPr>
          </w:p>
        </w:tc>
        <w:tc>
          <w:tcPr>
            <w:tcW w:w="1342" w:type="dxa"/>
            <w:vAlign w:val="center"/>
          </w:tcPr>
          <w:p>
            <w:pPr>
              <w:pStyle w:val="42"/>
              <w:widowControl w:val="0"/>
              <w:spacing w:line="300" w:lineRule="exact"/>
              <w:rPr>
                <w:rFonts w:hint="eastAsia" w:ascii="仿宋_GB2312" w:hAnsi="仿宋_GB2312" w:eastAsia="仿宋_GB2312" w:cs="仿宋_GB2312"/>
                <w:bCs w:val="0"/>
                <w:color w:val="auto"/>
                <w:sz w:val="24"/>
                <w:szCs w:val="24"/>
                <w:lang w:val="en-US" w:eastAsia="zh-CN"/>
              </w:rPr>
            </w:pPr>
          </w:p>
        </w:tc>
        <w:tc>
          <w:tcPr>
            <w:tcW w:w="1833" w:type="dxa"/>
            <w:vAlign w:val="center"/>
          </w:tcPr>
          <w:p>
            <w:pPr>
              <w:pStyle w:val="42"/>
              <w:widowControl w:val="0"/>
              <w:rPr>
                <w:rFonts w:hint="eastAsia" w:ascii="仿宋_GB2312" w:hAnsi="仿宋_GB2312" w:eastAsia="仿宋_GB2312" w:cs="仿宋_GB2312"/>
                <w:bCs w:val="0"/>
                <w:color w:val="auto"/>
                <w:sz w:val="24"/>
                <w:szCs w:val="24"/>
                <w:lang w:val="en-US" w:eastAsia="zh-CN"/>
              </w:rPr>
            </w:pPr>
          </w:p>
        </w:tc>
        <w:tc>
          <w:tcPr>
            <w:tcW w:w="1352" w:type="dxa"/>
            <w:vAlign w:val="center"/>
          </w:tcPr>
          <w:p>
            <w:pPr>
              <w:pStyle w:val="42"/>
              <w:widowControl w:val="0"/>
              <w:rPr>
                <w:rFonts w:hint="eastAsia" w:ascii="仿宋_GB2312" w:hAnsi="仿宋_GB2312" w:eastAsia="仿宋_GB2312" w:cs="仿宋_GB2312"/>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Align w:val="center"/>
          </w:tcPr>
          <w:p>
            <w:pPr>
              <w:pStyle w:val="42"/>
              <w:widowControl w:val="0"/>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color w:val="auto"/>
                <w:sz w:val="24"/>
                <w:szCs w:val="24"/>
                <w:lang w:val="en-US" w:eastAsia="zh-CN"/>
              </w:rPr>
              <w:t>合计</w:t>
            </w:r>
            <w:bookmarkEnd w:id="361"/>
          </w:p>
        </w:tc>
        <w:tc>
          <w:tcPr>
            <w:tcW w:w="8007" w:type="dxa"/>
            <w:gridSpan w:val="5"/>
            <w:vAlign w:val="center"/>
          </w:tcPr>
          <w:p>
            <w:pPr>
              <w:widowControl w:val="0"/>
              <w:autoSpaceDE w:val="0"/>
              <w:autoSpaceDN w:val="0"/>
              <w:spacing w:line="240" w:lineRule="auto"/>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lang w:val="zh-CN"/>
              </w:rPr>
              <w:t>小写：</w:t>
            </w:r>
          </w:p>
          <w:p>
            <w:pPr>
              <w:pStyle w:val="42"/>
              <w:widowControl w:val="0"/>
              <w:jc w:val="lef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 xml:space="preserve">                                 </w:t>
            </w:r>
            <w:bookmarkStart w:id="362" w:name="_Toc31429"/>
            <w:bookmarkStart w:id="363" w:name="_Toc10552"/>
            <w:bookmarkStart w:id="364" w:name="_Toc22162"/>
            <w:bookmarkStart w:id="365" w:name="_Toc28010"/>
            <w:bookmarkStart w:id="366" w:name="_Toc17991"/>
            <w:bookmarkStart w:id="367" w:name="_Toc7253"/>
            <w:bookmarkStart w:id="368" w:name="_Toc8004"/>
            <w:r>
              <w:rPr>
                <w:rFonts w:hint="eastAsia" w:ascii="仿宋_GB2312" w:hAnsi="仿宋_GB2312" w:eastAsia="仿宋_GB2312" w:cs="仿宋_GB2312"/>
                <w:b w:val="0"/>
                <w:bCs w:val="0"/>
                <w:color w:val="auto"/>
                <w:sz w:val="24"/>
                <w:szCs w:val="24"/>
              </w:rPr>
              <w:t>单位：元（保留到元）</w:t>
            </w:r>
            <w:bookmarkEnd w:id="362"/>
            <w:bookmarkEnd w:id="363"/>
            <w:bookmarkEnd w:id="364"/>
            <w:bookmarkEnd w:id="365"/>
            <w:bookmarkEnd w:id="366"/>
            <w:bookmarkEnd w:id="367"/>
            <w:bookmarkEnd w:id="368"/>
          </w:p>
        </w:tc>
      </w:tr>
    </w:tbl>
    <w:p>
      <w:pPr>
        <w:tabs>
          <w:tab w:val="right" w:pos="9072"/>
        </w:tabs>
        <w:spacing w:line="500" w:lineRule="exact"/>
        <w:ind w:firstLine="566" w:firstLineChars="200"/>
        <w:jc w:val="right"/>
        <w:rPr>
          <w:rFonts w:ascii="仿宋" w:hAnsi="仿宋" w:eastAsia="仿宋"/>
          <w:b/>
          <w:color w:val="auto"/>
        </w:rPr>
      </w:pPr>
    </w:p>
    <w:p>
      <w:pPr>
        <w:tabs>
          <w:tab w:val="right" w:pos="9072"/>
        </w:tabs>
        <w:spacing w:line="240" w:lineRule="auto"/>
        <w:ind w:firstLine="243" w:firstLineChars="1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备注：1、本表“</w:t>
      </w:r>
      <w:r>
        <w:rPr>
          <w:rFonts w:hint="eastAsia" w:ascii="仿宋_GB2312" w:hAnsi="仿宋_GB2312" w:eastAsia="仿宋_GB2312" w:cs="仿宋_GB2312"/>
          <w:color w:val="auto"/>
          <w:sz w:val="24"/>
          <w:szCs w:val="24"/>
          <w:lang w:val="en-US" w:eastAsia="zh-CN"/>
        </w:rPr>
        <w:t>合计</w:t>
      </w:r>
      <w:r>
        <w:rPr>
          <w:rFonts w:hint="eastAsia" w:ascii="仿宋_GB2312" w:hAnsi="仿宋_GB2312" w:eastAsia="仿宋_GB2312" w:cs="仿宋_GB2312"/>
          <w:color w:val="auto"/>
          <w:sz w:val="24"/>
          <w:szCs w:val="24"/>
        </w:rPr>
        <w:t>”金额应与“第一次磋商报价表”中的“磋商报价”一致；</w:t>
      </w:r>
    </w:p>
    <w:p>
      <w:pPr>
        <w:numPr>
          <w:ilvl w:val="0"/>
          <w:numId w:val="0"/>
        </w:numPr>
        <w:tabs>
          <w:tab w:val="right" w:pos="9072"/>
        </w:tabs>
        <w:spacing w:line="240" w:lineRule="auto"/>
        <w:ind w:firstLine="972" w:firstLineChars="4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2、</w:t>
      </w:r>
      <w:r>
        <w:rPr>
          <w:rFonts w:hint="eastAsia" w:ascii="仿宋_GB2312" w:hAnsi="仿宋_GB2312" w:eastAsia="仿宋_GB2312" w:cs="仿宋_GB2312"/>
          <w:color w:val="auto"/>
          <w:sz w:val="24"/>
          <w:szCs w:val="24"/>
        </w:rPr>
        <w:t>本表为样表，仅供参考，供应商根据项目实际需求进行填写。</w:t>
      </w:r>
    </w:p>
    <w:p>
      <w:pPr>
        <w:tabs>
          <w:tab w:val="right" w:pos="9072"/>
        </w:tabs>
        <w:spacing w:line="240" w:lineRule="auto"/>
        <w:ind w:firstLine="972" w:firstLineChars="400"/>
        <w:rPr>
          <w:rFonts w:hint="eastAsia" w:ascii="仿宋_GB2312" w:hAnsi="仿宋_GB2312" w:eastAsia="仿宋_GB2312" w:cs="仿宋_GB2312"/>
          <w:b/>
          <w:bCs/>
          <w:color w:val="auto"/>
          <w:sz w:val="24"/>
          <w:szCs w:val="24"/>
          <w:u w:val="single"/>
          <w:lang w:val="en-US" w:eastAsia="zh-CN"/>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b/>
          <w:bCs/>
          <w:color w:val="auto"/>
          <w:sz w:val="24"/>
          <w:szCs w:val="24"/>
          <w:u w:val="single"/>
          <w:lang w:val="en-US" w:eastAsia="zh-CN"/>
        </w:rPr>
        <w:t>人员工资不得低于</w:t>
      </w:r>
      <w:r>
        <w:rPr>
          <w:rFonts w:hint="eastAsia" w:ascii="仿宋_GB2312" w:hAnsi="仿宋_GB2312" w:eastAsia="仿宋_GB2312" w:cs="仿宋_GB2312"/>
          <w:b/>
          <w:bCs/>
          <w:color w:val="auto"/>
          <w:sz w:val="24"/>
          <w:szCs w:val="24"/>
          <w:highlight w:val="none"/>
          <w:u w:val="single"/>
          <w:lang w:val="en-US" w:eastAsia="zh-CN"/>
        </w:rPr>
        <w:t>2023年度汉中市汉台区最低工资标准。（磋商前如遇最低工资标准调整，则以最新标准为准。）</w:t>
      </w:r>
    </w:p>
    <w:p>
      <w:pPr>
        <w:tabs>
          <w:tab w:val="right" w:pos="9072"/>
        </w:tabs>
        <w:spacing w:line="500" w:lineRule="exact"/>
        <w:ind w:firstLine="486" w:firstLineChars="200"/>
        <w:rPr>
          <w:rFonts w:ascii="华文仿宋" w:hAnsi="华文仿宋" w:cs="华文仿宋"/>
          <w:color w:val="auto"/>
          <w:sz w:val="24"/>
          <w:szCs w:val="24"/>
        </w:rPr>
      </w:pPr>
    </w:p>
    <w:p>
      <w:pPr>
        <w:tabs>
          <w:tab w:val="right" w:pos="9072"/>
        </w:tabs>
        <w:spacing w:line="500" w:lineRule="exact"/>
        <w:ind w:firstLine="486" w:firstLineChars="200"/>
        <w:rPr>
          <w:rFonts w:ascii="华文仿宋" w:hAnsi="华文仿宋" w:cs="华文仿宋"/>
          <w:color w:val="auto"/>
          <w:sz w:val="24"/>
          <w:szCs w:val="24"/>
        </w:rPr>
      </w:pPr>
    </w:p>
    <w:p>
      <w:pPr>
        <w:tabs>
          <w:tab w:val="right" w:pos="9072"/>
        </w:tabs>
        <w:spacing w:line="500" w:lineRule="exact"/>
        <w:ind w:firstLine="646" w:firstLineChars="200"/>
        <w:rPr>
          <w:rFonts w:ascii="华文仿宋" w:hAnsi="华文仿宋" w:cs="华文仿宋"/>
          <w:b/>
          <w:color w:val="auto"/>
          <w:sz w:val="32"/>
          <w:szCs w:val="32"/>
        </w:rPr>
      </w:pPr>
    </w:p>
    <w:p>
      <w:pPr>
        <w:spacing w:line="500" w:lineRule="exact"/>
        <w:ind w:firstLine="5491" w:firstLineChars="17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供应商：</w:t>
      </w:r>
      <w:r>
        <w:rPr>
          <w:rFonts w:hint="eastAsia" w:ascii="仿宋_GB2312" w:hAnsi="仿宋_GB2312" w:eastAsia="仿宋_GB2312" w:cs="仿宋_GB2312"/>
          <w:color w:val="auto"/>
          <w:sz w:val="32"/>
          <w:szCs w:val="32"/>
          <w:u w:val="single"/>
        </w:rPr>
        <w:t>名称</w:t>
      </w:r>
      <w:r>
        <w:rPr>
          <w:rFonts w:hint="eastAsia" w:ascii="仿宋_GB2312" w:hAnsi="仿宋_GB2312" w:eastAsia="仿宋_GB2312" w:cs="仿宋_GB2312"/>
          <w:color w:val="auto"/>
          <w:sz w:val="32"/>
          <w:szCs w:val="32"/>
        </w:rPr>
        <w:t>（加盖公章）</w:t>
      </w:r>
    </w:p>
    <w:p>
      <w:pPr>
        <w:tabs>
          <w:tab w:val="right" w:pos="9070"/>
        </w:tabs>
        <w:spacing w:line="500" w:lineRule="exact"/>
        <w:ind w:firstLine="5491" w:firstLineChars="1700"/>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日期：　　年　月　日</w:t>
      </w:r>
      <w:r>
        <w:rPr>
          <w:rFonts w:hint="eastAsia" w:ascii="仿宋_GB2312" w:hAnsi="仿宋_GB2312" w:eastAsia="仿宋_GB2312" w:cs="仿宋_GB2312"/>
          <w:bCs/>
          <w:color w:val="auto"/>
          <w:sz w:val="32"/>
          <w:szCs w:val="32"/>
        </w:rPr>
        <w:tab/>
      </w:r>
      <w:r>
        <w:rPr>
          <w:rFonts w:hint="eastAsia" w:ascii="仿宋_GB2312" w:hAnsi="仿宋_GB2312" w:eastAsia="仿宋_GB2312" w:cs="仿宋_GB2312"/>
          <w:bCs/>
          <w:color w:val="auto"/>
          <w:sz w:val="32"/>
          <w:szCs w:val="32"/>
        </w:rPr>
        <w:t xml:space="preserve">  </w:t>
      </w:r>
    </w:p>
    <w:p>
      <w:pPr>
        <w:tabs>
          <w:tab w:val="right" w:pos="9070"/>
        </w:tabs>
        <w:spacing w:line="500" w:lineRule="exact"/>
        <w:rPr>
          <w:rFonts w:ascii="华文仿宋" w:hAnsi="华文仿宋" w:cs="华文仿宋"/>
          <w:bCs/>
          <w:color w:val="auto"/>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r>
        <w:rPr>
          <w:rFonts w:ascii="仿宋" w:hAnsi="仿宋" w:eastAsia="仿宋" w:cs="仿宋"/>
          <w:color w:val="auto"/>
          <w:sz w:val="32"/>
          <w:szCs w:val="32"/>
        </w:rPr>
        <w:br w:type="page"/>
      </w:r>
    </w:p>
    <w:p>
      <w:pPr>
        <w:pStyle w:val="42"/>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val="0"/>
          <w:color w:val="auto"/>
          <w:sz w:val="32"/>
          <w:szCs w:val="32"/>
        </w:rPr>
      </w:pPr>
      <w:bookmarkStart w:id="369" w:name="_Toc13309_WPSOffice_Level2"/>
      <w:bookmarkStart w:id="370" w:name="_Toc2393"/>
      <w:bookmarkStart w:id="371" w:name="_Toc20416"/>
      <w:bookmarkStart w:id="372" w:name="_Toc26668"/>
      <w:bookmarkStart w:id="373" w:name="_Toc13794"/>
      <w:bookmarkStart w:id="374" w:name="_Toc9727_WPSOffice_Level2"/>
      <w:bookmarkStart w:id="375" w:name="_Toc26536_WPSOffice_Level2"/>
      <w:bookmarkStart w:id="376" w:name="_Toc18036_WPSOffice_Level2"/>
      <w:bookmarkStart w:id="377" w:name="_Toc1823_WPSOffice_Level2"/>
      <w:r>
        <w:rPr>
          <w:rFonts w:hint="eastAsia" w:ascii="仿宋_GB2312" w:hAnsi="仿宋_GB2312" w:eastAsia="仿宋_GB2312" w:cs="仿宋_GB2312"/>
          <w:bCs w:val="0"/>
          <w:color w:val="auto"/>
          <w:sz w:val="32"/>
          <w:szCs w:val="32"/>
        </w:rPr>
        <w:t>三、</w:t>
      </w:r>
      <w:bookmarkEnd w:id="369"/>
      <w:bookmarkEnd w:id="370"/>
      <w:bookmarkStart w:id="378" w:name="_Toc31081"/>
      <w:bookmarkStart w:id="379" w:name="_Toc4322"/>
      <w:r>
        <w:rPr>
          <w:rFonts w:hint="eastAsia" w:ascii="仿宋_GB2312" w:hAnsi="仿宋_GB2312" w:eastAsia="仿宋_GB2312" w:cs="仿宋_GB2312"/>
          <w:bCs w:val="0"/>
          <w:color w:val="auto"/>
          <w:sz w:val="32"/>
          <w:szCs w:val="32"/>
        </w:rPr>
        <w:t>供应商参加政府采购活动承诺书</w:t>
      </w:r>
      <w:bookmarkEnd w:id="371"/>
      <w:bookmarkEnd w:id="378"/>
      <w:bookmarkEnd w:id="379"/>
    </w:p>
    <w:bookmarkEnd w:id="372"/>
    <w:bookmarkEnd w:id="373"/>
    <w:bookmarkEnd w:id="374"/>
    <w:bookmarkEnd w:id="375"/>
    <w:bookmarkEnd w:id="376"/>
    <w:bookmarkEnd w:id="377"/>
    <w:p>
      <w:pPr>
        <w:pageBreakBefore w:val="0"/>
        <w:widowControl/>
        <w:kinsoku/>
        <w:wordWrap/>
        <w:overflowPunct/>
        <w:topLinePunct w:val="0"/>
        <w:autoSpaceDE/>
        <w:autoSpaceDN/>
        <w:bidi w:val="0"/>
        <w:adjustRightInd/>
        <w:snapToGrid/>
        <w:spacing w:before="190" w:beforeLines="50" w:line="560" w:lineRule="exact"/>
        <w:ind w:firstLine="566" w:firstLineChars="200"/>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
          <w:bCs/>
          <w:color w:val="auto"/>
          <w:sz w:val="28"/>
          <w:szCs w:val="28"/>
        </w:rPr>
        <w:t>拒绝政府采购领域商业贿赂承诺书</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为响应党中央、国务院关于治理政府采购领域商业贿赂行为的号召，我公司在此庄严承诺：</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1、在参与政府采购活动中遵纪守法、诚信经营、公平竞标。</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2、不向政府采购人、采购代理机构和政府采购评审专家进行任何形式的商业贿赂以谋取交易机会。</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3、不向政府采购代理机构和采购人提供虚假资质文件或采用虚假应标方式参与政府采购市场竞争并谋取中标、成交。</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4、不采取“围标、陪标”等商业欺诈手段获得政府采购定单。</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5、不采取不正当手段诋毁、排挤其他供应商。</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6、不在提供商品和服务时“偷梁换柱、以次充好”损害采购人的合法权益。</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7、不与采购人、采购代理机构政府采购评审专家或其它供应商恶意串通，进行质疑和投诉，维护政府采购市场秩序。</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8、尊重和接受政府采购监督管理部门的监督和政府采购代理机构招标采购要求，承担因违约行为给采购人造成的损失。</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9、不发生其他有悖于政府采购公开、公平、公正和诚信原则的行为。</w:t>
      </w:r>
    </w:p>
    <w:p>
      <w:pPr>
        <w:pStyle w:val="19"/>
        <w:pageBreakBefore w:val="0"/>
        <w:widowControl/>
        <w:kinsoku/>
        <w:wordWrap/>
        <w:overflowPunct/>
        <w:topLinePunct w:val="0"/>
        <w:autoSpaceDE/>
        <w:autoSpaceDN/>
        <w:bidi w:val="0"/>
        <w:adjustRightInd/>
        <w:snapToGrid/>
        <w:spacing w:line="560" w:lineRule="exact"/>
        <w:ind w:firstLine="183"/>
        <w:textAlignment w:val="auto"/>
        <w:rPr>
          <w:rFonts w:hint="eastAsia" w:ascii="仿宋_GB2312" w:hAnsi="仿宋_GB2312" w:eastAsia="仿宋_GB2312" w:cs="仿宋_GB2312"/>
          <w:color w:val="auto"/>
          <w:sz w:val="28"/>
          <w:szCs w:val="28"/>
        </w:rPr>
      </w:pPr>
    </w:p>
    <w:p>
      <w:pPr>
        <w:pageBreakBefore w:val="0"/>
        <w:widowControl/>
        <w:kinsoku/>
        <w:wordWrap/>
        <w:overflowPunct/>
        <w:topLinePunct w:val="0"/>
        <w:autoSpaceDE/>
        <w:autoSpaceDN/>
        <w:bidi w:val="0"/>
        <w:adjustRightInd/>
        <w:snapToGrid/>
        <w:spacing w:line="560" w:lineRule="exact"/>
        <w:ind w:firstLine="5377" w:firstLineChars="1900"/>
        <w:textAlignment w:val="auto"/>
        <w:rPr>
          <w:rFonts w:hint="eastAsia" w:ascii="仿宋_GB2312" w:hAnsi="仿宋_GB2312" w:eastAsia="仿宋_GB2312" w:cs="仿宋_GB2312"/>
          <w:color w:val="auto"/>
          <w:sz w:val="28"/>
          <w:szCs w:val="28"/>
        </w:rPr>
      </w:pPr>
    </w:p>
    <w:p>
      <w:pPr>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u w:val="single"/>
        </w:rPr>
        <w:t>名称</w:t>
      </w:r>
      <w:r>
        <w:rPr>
          <w:rFonts w:hint="eastAsia" w:ascii="仿宋_GB2312" w:hAnsi="仿宋_GB2312" w:eastAsia="仿宋_GB2312" w:cs="仿宋_GB2312"/>
          <w:color w:val="auto"/>
          <w:sz w:val="28"/>
          <w:szCs w:val="28"/>
        </w:rPr>
        <w:t>（加盖公章）</w:t>
      </w:r>
    </w:p>
    <w:p>
      <w:pPr>
        <w:pageBreakBefore w:val="0"/>
        <w:widowControl/>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日期：　 年　月　日</w:t>
      </w:r>
      <w:r>
        <w:rPr>
          <w:rFonts w:hint="eastAsia" w:ascii="仿宋_GB2312" w:hAnsi="仿宋_GB2312" w:eastAsia="仿宋_GB2312" w:cs="仿宋_GB2312"/>
          <w:color w:val="auto"/>
          <w:sz w:val="28"/>
          <w:szCs w:val="28"/>
          <w:lang w:val="en-US" w:eastAsia="zh-CN"/>
        </w:rPr>
        <w:t xml:space="preserve">   </w:t>
      </w:r>
    </w:p>
    <w:p>
      <w:pPr>
        <w:spacing w:line="500" w:lineRule="exact"/>
        <w:rPr>
          <w:rFonts w:ascii="仿宋" w:hAnsi="仿宋" w:eastAsia="仿宋"/>
          <w:b/>
          <w:color w:val="auto"/>
          <w:sz w:val="32"/>
          <w:szCs w:val="32"/>
        </w:rPr>
      </w:pPr>
      <w:r>
        <w:rPr>
          <w:rFonts w:hint="eastAsia"/>
          <w:color w:val="auto"/>
        </w:rPr>
        <w:br w:type="page"/>
      </w:r>
      <w:bookmarkStart w:id="380" w:name="_Toc16442_WPSOffice_Level2"/>
      <w:bookmarkStart w:id="381" w:name="_Toc27976_WPSOffice_Level2"/>
      <w:bookmarkStart w:id="382" w:name="_Toc16564_WPSOffice_Level2"/>
      <w:bookmarkStart w:id="383" w:name="_Toc10928_WPSOffice_Level2"/>
      <w:r>
        <w:rPr>
          <w:rFonts w:hint="eastAsia" w:ascii="仿宋" w:hAnsi="仿宋" w:eastAsia="仿宋" w:cs="仿宋"/>
          <w:b/>
          <w:color w:val="auto"/>
          <w:sz w:val="32"/>
          <w:szCs w:val="32"/>
          <w:lang w:val="en-US" w:eastAsia="zh-CN"/>
        </w:rPr>
        <w:t>四</w:t>
      </w:r>
      <w:r>
        <w:rPr>
          <w:rFonts w:hint="eastAsia" w:ascii="仿宋" w:hAnsi="仿宋" w:eastAsia="仿宋" w:cs="仿宋"/>
          <w:b/>
          <w:color w:val="auto"/>
          <w:sz w:val="32"/>
          <w:szCs w:val="32"/>
        </w:rPr>
        <w:t>、</w:t>
      </w:r>
      <w:r>
        <w:rPr>
          <w:rFonts w:ascii="仿宋" w:hAnsi="仿宋" w:eastAsia="仿宋"/>
          <w:b/>
          <w:color w:val="auto"/>
          <w:sz w:val="32"/>
          <w:szCs w:val="32"/>
        </w:rPr>
        <w:t>技术</w:t>
      </w:r>
      <w:r>
        <w:rPr>
          <w:rFonts w:hint="eastAsia" w:ascii="仿宋" w:hAnsi="仿宋" w:eastAsia="仿宋"/>
          <w:b/>
          <w:color w:val="auto"/>
          <w:sz w:val="32"/>
          <w:szCs w:val="32"/>
        </w:rPr>
        <w:t>服务偏差表</w:t>
      </w:r>
      <w:bookmarkEnd w:id="380"/>
      <w:bookmarkEnd w:id="381"/>
      <w:bookmarkEnd w:id="382"/>
      <w:bookmarkEnd w:id="383"/>
    </w:p>
    <w:tbl>
      <w:tblPr>
        <w:tblStyle w:val="21"/>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423"/>
        <w:gridCol w:w="2599"/>
        <w:gridCol w:w="1375"/>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90"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序号</w:t>
            </w:r>
          </w:p>
        </w:tc>
        <w:tc>
          <w:tcPr>
            <w:tcW w:w="1423"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磋商文件要求</w:t>
            </w:r>
          </w:p>
        </w:tc>
        <w:tc>
          <w:tcPr>
            <w:tcW w:w="2599"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响应文件响应条款</w:t>
            </w:r>
          </w:p>
        </w:tc>
        <w:tc>
          <w:tcPr>
            <w:tcW w:w="1375"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bCs/>
                <w:color w:val="auto"/>
                <w:sz w:val="28"/>
                <w:szCs w:val="28"/>
              </w:rPr>
              <w:t>偏离程度</w:t>
            </w:r>
          </w:p>
        </w:tc>
        <w:tc>
          <w:tcPr>
            <w:tcW w:w="2350"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偏离简述</w:t>
            </w:r>
          </w:p>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bl>
    <w:p>
      <w:pPr>
        <w:keepNext w:val="0"/>
        <w:keepLines w:val="0"/>
        <w:pageBreakBefore w:val="0"/>
        <w:widowControl/>
        <w:tabs>
          <w:tab w:val="right" w:pos="9070"/>
        </w:tabs>
        <w:kinsoku/>
        <w:wordWrap/>
        <w:overflowPunct/>
        <w:topLinePunct w:val="0"/>
        <w:autoSpaceDE/>
        <w:autoSpaceDN/>
        <w:bidi w:val="0"/>
        <w:adjustRightInd/>
        <w:snapToGrid/>
        <w:spacing w:line="240" w:lineRule="auto"/>
        <w:ind w:firstLine="486" w:firstLineChars="200"/>
        <w:textAlignment w:val="auto"/>
        <w:rPr>
          <w:rFonts w:hint="eastAsia" w:ascii="仿宋_GB2312" w:hAnsi="仿宋_GB2312" w:eastAsia="仿宋_GB2312" w:cs="仿宋_GB2312"/>
          <w:color w:val="auto"/>
          <w:sz w:val="24"/>
          <w:szCs w:val="24"/>
          <w:lang w:eastAsia="zh-CN"/>
        </w:rPr>
      </w:pPr>
      <w:bookmarkStart w:id="384" w:name="_Toc31624_WPSOffice_Level1"/>
      <w:bookmarkStart w:id="385" w:name="_Toc9021_WPSOffice_Level1"/>
      <w:bookmarkStart w:id="386" w:name="_Toc5795_WPSOffice_Level1"/>
      <w:r>
        <w:rPr>
          <w:rFonts w:hint="eastAsia" w:ascii="仿宋_GB2312" w:hAnsi="仿宋_GB2312" w:eastAsia="仿宋_GB2312" w:cs="仿宋_GB2312"/>
          <w:color w:val="auto"/>
          <w:sz w:val="24"/>
          <w:szCs w:val="24"/>
        </w:rPr>
        <w:t>备注：填写此表时以第三章“磋商内容及采购要求”各条款为基本响应要求，满足磋商文件要求的，“偏离程度”注明“0”，无需填写“偏离简述”项。超出、不满足磋商文件要求的，列出“</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”偏差，并在“偏离简述”项做出详细说明；如果加“★”内容的“响应条款”</w:t>
      </w:r>
      <w:r>
        <w:rPr>
          <w:rFonts w:hint="eastAsia" w:ascii="仿宋_GB2312" w:hAnsi="仿宋_GB2312" w:eastAsia="仿宋_GB2312" w:cs="仿宋_GB2312"/>
          <w:color w:val="auto"/>
          <w:sz w:val="24"/>
          <w:szCs w:val="24"/>
          <w:lang w:val="en-US" w:eastAsia="zh-CN"/>
        </w:rPr>
        <w:t>或</w:t>
      </w:r>
      <w:r>
        <w:rPr>
          <w:rFonts w:hint="eastAsia" w:ascii="仿宋_GB2312" w:hAnsi="仿宋_GB2312" w:eastAsia="仿宋_GB2312" w:cs="仿宋_GB2312"/>
          <w:color w:val="auto"/>
          <w:sz w:val="24"/>
          <w:szCs w:val="24"/>
        </w:rPr>
        <w:t>“偏离程度”项未填写，将视为该项指标未响应，投标无效</w:t>
      </w:r>
      <w:r>
        <w:rPr>
          <w:rFonts w:hint="eastAsia" w:ascii="仿宋_GB2312" w:hAnsi="仿宋_GB2312" w:eastAsia="仿宋_GB2312" w:cs="仿宋_GB2312"/>
          <w:color w:val="auto"/>
          <w:sz w:val="24"/>
          <w:szCs w:val="24"/>
          <w:lang w:eastAsia="zh-CN"/>
        </w:rPr>
        <w:t>。</w:t>
      </w:r>
    </w:p>
    <w:p>
      <w:pPr>
        <w:spacing w:line="240" w:lineRule="auto"/>
        <w:ind w:firstLine="426" w:firstLineChars="200"/>
        <w:rPr>
          <w:rFonts w:ascii="宋体" w:hAnsi="宋体" w:eastAsia="宋体" w:cs="宋体"/>
          <w:color w:val="auto"/>
          <w:sz w:val="21"/>
          <w:szCs w:val="21"/>
        </w:rPr>
      </w:pPr>
    </w:p>
    <w:p>
      <w:pPr>
        <w:spacing w:line="500" w:lineRule="exact"/>
        <w:ind w:firstLine="566" w:firstLineChars="200"/>
        <w:rPr>
          <w:color w:val="auto"/>
        </w:rPr>
      </w:pPr>
    </w:p>
    <w:p>
      <w:pPr>
        <w:spacing w:line="500" w:lineRule="exact"/>
        <w:ind w:firstLine="5094" w:firstLineChars="1800"/>
        <w:rPr>
          <w:rFonts w:hint="eastAsia" w:ascii="仿宋_GB2312" w:hAnsi="仿宋_GB2312" w:eastAsia="仿宋_GB2312" w:cs="仿宋_GB2312"/>
          <w:color w:val="auto"/>
        </w:rPr>
      </w:pPr>
      <w:r>
        <w:rPr>
          <w:rFonts w:hint="eastAsia" w:ascii="仿宋_GB2312" w:hAnsi="仿宋_GB2312" w:eastAsia="仿宋_GB2312" w:cs="仿宋_GB2312"/>
          <w:color w:val="auto"/>
        </w:rPr>
        <w:t>供应商：</w:t>
      </w:r>
      <w:r>
        <w:rPr>
          <w:rFonts w:hint="eastAsia" w:ascii="仿宋_GB2312" w:hAnsi="仿宋_GB2312" w:eastAsia="仿宋_GB2312" w:cs="仿宋_GB2312"/>
          <w:color w:val="auto"/>
          <w:u w:val="single"/>
        </w:rPr>
        <w:t>名称</w:t>
      </w:r>
      <w:r>
        <w:rPr>
          <w:rFonts w:hint="eastAsia" w:ascii="仿宋_GB2312" w:hAnsi="仿宋_GB2312" w:eastAsia="仿宋_GB2312" w:cs="仿宋_GB2312"/>
          <w:color w:val="auto"/>
        </w:rPr>
        <w:t>（加盖公章）</w:t>
      </w:r>
    </w:p>
    <w:p>
      <w:pPr>
        <w:tabs>
          <w:tab w:val="right" w:pos="9070"/>
        </w:tabs>
        <w:spacing w:line="500" w:lineRule="exact"/>
        <w:ind w:firstLine="5094" w:firstLineChars="1800"/>
        <w:rPr>
          <w:rFonts w:hint="eastAsia" w:ascii="仿宋_GB2312" w:hAnsi="仿宋_GB2312" w:eastAsia="仿宋_GB2312" w:cs="仿宋_GB2312"/>
          <w:bCs/>
          <w:color w:val="auto"/>
        </w:rPr>
      </w:pPr>
      <w:r>
        <w:rPr>
          <w:rFonts w:hint="eastAsia" w:ascii="仿宋_GB2312" w:hAnsi="仿宋_GB2312" w:eastAsia="仿宋_GB2312" w:cs="仿宋_GB2312"/>
          <w:color w:val="auto"/>
        </w:rPr>
        <w:t>日期：　　年　月　日</w:t>
      </w:r>
      <w:r>
        <w:rPr>
          <w:rFonts w:hint="eastAsia" w:ascii="仿宋_GB2312" w:hAnsi="仿宋_GB2312" w:eastAsia="仿宋_GB2312" w:cs="仿宋_GB2312"/>
          <w:bCs/>
          <w:color w:val="auto"/>
        </w:rPr>
        <w:tab/>
      </w:r>
    </w:p>
    <w:p>
      <w:pPr>
        <w:tabs>
          <w:tab w:val="right" w:pos="9070"/>
        </w:tabs>
        <w:spacing w:line="500" w:lineRule="exact"/>
        <w:ind w:firstLine="566" w:firstLineChars="200"/>
        <w:rPr>
          <w:rFonts w:ascii="仿宋" w:hAnsi="仿宋" w:eastAsia="仿宋"/>
          <w:bCs/>
          <w:color w:val="auto"/>
        </w:rPr>
      </w:pPr>
    </w:p>
    <w:p>
      <w:pPr>
        <w:spacing w:line="240" w:lineRule="auto"/>
        <w:jc w:val="left"/>
        <w:rPr>
          <w:rFonts w:ascii="仿宋" w:hAnsi="仿宋" w:eastAsia="仿宋" w:cs="仿宋"/>
          <w:b/>
          <w:color w:val="auto"/>
          <w:sz w:val="32"/>
          <w:szCs w:val="32"/>
        </w:rPr>
      </w:pPr>
    </w:p>
    <w:p>
      <w:pPr>
        <w:spacing w:line="240" w:lineRule="auto"/>
        <w:jc w:val="left"/>
        <w:rPr>
          <w:rFonts w:ascii="仿宋" w:hAnsi="仿宋" w:eastAsia="仿宋" w:cs="仿宋"/>
          <w:b/>
          <w:color w:val="auto"/>
          <w:sz w:val="32"/>
          <w:szCs w:val="32"/>
        </w:rPr>
      </w:pPr>
    </w:p>
    <w:p>
      <w:pPr>
        <w:spacing w:line="240" w:lineRule="auto"/>
        <w:jc w:val="left"/>
        <w:rPr>
          <w:rFonts w:ascii="仿宋" w:hAnsi="仿宋" w:eastAsia="仿宋" w:cs="仿宋"/>
          <w:b/>
          <w:color w:val="auto"/>
          <w:sz w:val="32"/>
          <w:szCs w:val="32"/>
        </w:rPr>
      </w:pPr>
    </w:p>
    <w:p>
      <w:pPr>
        <w:spacing w:line="240" w:lineRule="auto"/>
        <w:jc w:val="left"/>
        <w:rPr>
          <w:rFonts w:ascii="仿宋" w:hAnsi="仿宋" w:eastAsia="仿宋" w:cs="仿宋"/>
          <w:b/>
          <w:color w:val="auto"/>
          <w:sz w:val="32"/>
          <w:szCs w:val="32"/>
        </w:rPr>
      </w:pPr>
    </w:p>
    <w:p>
      <w:pPr>
        <w:rPr>
          <w:color w:val="auto"/>
        </w:rPr>
      </w:pPr>
      <w:r>
        <w:rPr>
          <w:rFonts w:ascii="仿宋" w:hAnsi="仿宋" w:eastAsia="仿宋" w:cs="仿宋"/>
          <w:b/>
          <w:color w:val="auto"/>
          <w:sz w:val="32"/>
          <w:szCs w:val="32"/>
        </w:rPr>
        <w:br w:type="page"/>
      </w:r>
    </w:p>
    <w:p>
      <w:pPr>
        <w:spacing w:line="240" w:lineRule="auto"/>
        <w:jc w:val="left"/>
        <w:rPr>
          <w:rFonts w:hint="eastAsia" w:ascii="仿宋_GB2312" w:hAnsi="仿宋_GB2312" w:eastAsia="仿宋_GB2312" w:cs="仿宋_GB2312"/>
          <w:bCs/>
          <w:color w:val="auto"/>
          <w:sz w:val="32"/>
          <w:szCs w:val="32"/>
        </w:rPr>
      </w:pPr>
      <w:r>
        <w:rPr>
          <w:rFonts w:hint="eastAsia" w:ascii="仿宋_GB2312" w:hAnsi="仿宋_GB2312" w:eastAsia="仿宋_GB2312" w:cs="仿宋_GB2312"/>
          <w:b/>
          <w:color w:val="auto"/>
          <w:sz w:val="32"/>
          <w:szCs w:val="32"/>
          <w:lang w:val="en-US" w:eastAsia="zh-CN"/>
        </w:rPr>
        <w:t>五</w:t>
      </w:r>
      <w:r>
        <w:rPr>
          <w:rFonts w:hint="eastAsia" w:ascii="仿宋_GB2312" w:hAnsi="仿宋_GB2312" w:eastAsia="仿宋_GB2312" w:cs="仿宋_GB2312"/>
          <w:b/>
          <w:color w:val="auto"/>
          <w:sz w:val="32"/>
          <w:szCs w:val="32"/>
        </w:rPr>
        <w:t>、合同</w:t>
      </w:r>
      <w:r>
        <w:rPr>
          <w:rFonts w:hint="eastAsia" w:ascii="仿宋_GB2312" w:hAnsi="仿宋_GB2312" w:eastAsia="仿宋_GB2312" w:cs="仿宋_GB2312"/>
          <w:b/>
          <w:color w:val="auto"/>
          <w:sz w:val="32"/>
          <w:szCs w:val="32"/>
          <w:lang w:val="en-US" w:eastAsia="zh-CN"/>
        </w:rPr>
        <w:t>草案</w:t>
      </w:r>
      <w:r>
        <w:rPr>
          <w:rFonts w:hint="eastAsia" w:ascii="仿宋_GB2312" w:hAnsi="仿宋_GB2312" w:eastAsia="仿宋_GB2312" w:cs="仿宋_GB2312"/>
          <w:b/>
          <w:color w:val="auto"/>
          <w:sz w:val="32"/>
          <w:szCs w:val="32"/>
        </w:rPr>
        <w:t>条款响应</w:t>
      </w:r>
    </w:p>
    <w:p>
      <w:pPr>
        <w:keepNext w:val="0"/>
        <w:keepLines w:val="0"/>
        <w:pageBreakBefore w:val="0"/>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w:t>
      </w:r>
      <w:r>
        <w:rPr>
          <w:rFonts w:hint="eastAsia" w:ascii="仿宋_GB2312" w:hAnsi="仿宋_GB2312" w:eastAsia="仿宋_GB2312" w:cs="仿宋_GB2312"/>
          <w:bCs/>
          <w:color w:val="auto"/>
          <w:sz w:val="28"/>
          <w:szCs w:val="28"/>
        </w:rPr>
        <w:t>完全理解并接受磋商文件中“合同</w:t>
      </w:r>
      <w:r>
        <w:rPr>
          <w:rFonts w:hint="eastAsia" w:ascii="仿宋_GB2312" w:hAnsi="仿宋_GB2312" w:eastAsia="仿宋_GB2312" w:cs="仿宋_GB2312"/>
          <w:bCs/>
          <w:color w:val="auto"/>
          <w:sz w:val="28"/>
          <w:szCs w:val="28"/>
          <w:lang w:val="en-US" w:eastAsia="zh-CN"/>
        </w:rPr>
        <w:t>草案</w:t>
      </w:r>
      <w:r>
        <w:rPr>
          <w:rFonts w:hint="eastAsia" w:ascii="仿宋_GB2312" w:hAnsi="仿宋_GB2312" w:eastAsia="仿宋_GB2312" w:cs="仿宋_GB2312"/>
          <w:bCs/>
          <w:color w:val="auto"/>
          <w:sz w:val="28"/>
          <w:szCs w:val="28"/>
        </w:rPr>
        <w:t>条款”要求。</w:t>
      </w:r>
    </w:p>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eastAsia="仿宋_GB2312"/>
          <w:lang w:val="en-US" w:eastAsia="zh-CN"/>
        </w:rPr>
      </w:pPr>
      <w:r>
        <w:rPr>
          <w:rFonts w:hint="eastAsia" w:ascii="仿宋_GB2312" w:hAnsi="仿宋_GB2312" w:eastAsia="仿宋_GB2312" w:cs="仿宋_GB2312"/>
          <w:bCs/>
          <w:color w:val="auto"/>
          <w:sz w:val="28"/>
          <w:szCs w:val="28"/>
          <w:lang w:val="en-US" w:eastAsia="zh-CN"/>
        </w:rPr>
        <w:t xml:space="preserve">    </w:t>
      </w:r>
      <w:r>
        <w:rPr>
          <w:rFonts w:hint="eastAsia" w:ascii="仿宋" w:hAnsi="仿宋" w:eastAsia="仿宋" w:cs="仿宋"/>
          <w:bCs/>
          <w:sz w:val="28"/>
          <w:szCs w:val="28"/>
          <w:lang w:val="en-US" w:eastAsia="zh-CN"/>
        </w:rPr>
        <w:t>2、同意把我方响应文件中的服务内容、条款写入合同，并认真履行我方的承诺。</w:t>
      </w:r>
    </w:p>
    <w:p>
      <w:pPr>
        <w:pStyle w:val="19"/>
        <w:ind w:firstLine="183"/>
        <w:rPr>
          <w:rFonts w:hint="eastAsia" w:ascii="仿宋_GB2312" w:hAnsi="仿宋_GB2312" w:eastAsia="仿宋_GB2312" w:cs="仿宋_GB2312"/>
          <w:color w:val="auto"/>
          <w:sz w:val="28"/>
          <w:szCs w:val="28"/>
        </w:rPr>
      </w:pPr>
    </w:p>
    <w:p>
      <w:pPr>
        <w:pStyle w:val="19"/>
        <w:ind w:firstLine="183"/>
        <w:rPr>
          <w:rFonts w:hint="eastAsia" w:ascii="仿宋_GB2312" w:hAnsi="仿宋_GB2312" w:eastAsia="仿宋_GB2312" w:cs="仿宋_GB2312"/>
          <w:color w:val="auto"/>
          <w:sz w:val="28"/>
          <w:szCs w:val="28"/>
        </w:rPr>
      </w:pPr>
    </w:p>
    <w:p>
      <w:pPr>
        <w:pStyle w:val="19"/>
        <w:ind w:firstLine="183"/>
        <w:jc w:val="right"/>
        <w:rPr>
          <w:rFonts w:hint="eastAsia" w:ascii="仿宋_GB2312" w:hAnsi="仿宋_GB2312" w:eastAsia="仿宋_GB2312" w:cs="仿宋_GB2312"/>
          <w:color w:val="auto"/>
          <w:sz w:val="28"/>
          <w:szCs w:val="28"/>
        </w:rPr>
      </w:pPr>
    </w:p>
    <w:p>
      <w:pPr>
        <w:keepNext w:val="0"/>
        <w:keepLines w:val="0"/>
        <w:pageBreakBefore w:val="0"/>
        <w:widowControl/>
        <w:kinsoku/>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u w:val="single"/>
        </w:rPr>
        <w:t>名称</w:t>
      </w:r>
      <w:r>
        <w:rPr>
          <w:rFonts w:hint="eastAsia" w:ascii="仿宋_GB2312" w:hAnsi="仿宋_GB2312" w:eastAsia="仿宋_GB2312" w:cs="仿宋_GB2312"/>
          <w:color w:val="auto"/>
          <w:sz w:val="28"/>
          <w:szCs w:val="28"/>
        </w:rPr>
        <w:t>（加盖公章）</w:t>
      </w:r>
    </w:p>
    <w:p>
      <w:pPr>
        <w:keepNext w:val="0"/>
        <w:keepLines w:val="0"/>
        <w:pageBreakBefore w:val="0"/>
        <w:widowControl/>
        <w:tabs>
          <w:tab w:val="right" w:pos="9070"/>
        </w:tabs>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bCs/>
          <w:color w:val="auto"/>
          <w:sz w:val="28"/>
          <w:szCs w:val="28"/>
          <w:lang w:val="en-US" w:eastAsia="zh-CN"/>
        </w:rPr>
      </w:pPr>
      <w:r>
        <w:rPr>
          <w:rFonts w:hint="eastAsia" w:ascii="仿宋_GB2312" w:hAnsi="仿宋_GB2312" w:eastAsia="仿宋_GB2312" w:cs="仿宋_GB2312"/>
          <w:color w:val="auto"/>
          <w:sz w:val="28"/>
          <w:szCs w:val="28"/>
        </w:rPr>
        <w:t>日期：　　年　月　日</w:t>
      </w:r>
      <w:r>
        <w:rPr>
          <w:rFonts w:hint="eastAsia" w:ascii="仿宋_GB2312" w:hAnsi="仿宋_GB2312" w:eastAsia="仿宋_GB2312" w:cs="仿宋_GB2312"/>
          <w:color w:val="auto"/>
          <w:sz w:val="28"/>
          <w:szCs w:val="28"/>
          <w:lang w:val="en-US" w:eastAsia="zh-CN"/>
        </w:rPr>
        <w:t xml:space="preserve">  </w:t>
      </w: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rPr>
          <w:color w:val="auto"/>
        </w:rPr>
      </w:pPr>
      <w:r>
        <w:rPr>
          <w:color w:val="auto"/>
        </w:rPr>
        <w:br w:type="page"/>
      </w:r>
    </w:p>
    <w:p>
      <w:pPr>
        <w:pStyle w:val="42"/>
        <w:spacing w:line="500" w:lineRule="exact"/>
        <w:rPr>
          <w:rFonts w:ascii="黑体" w:hAnsi="黑体" w:eastAsia="黑体"/>
          <w:b w:val="0"/>
          <w:color w:val="auto"/>
        </w:rPr>
      </w:pPr>
      <w:bookmarkStart w:id="387" w:name="_Toc17248"/>
      <w:bookmarkStart w:id="388" w:name="_Toc28832"/>
      <w:bookmarkStart w:id="389" w:name="_Toc19912"/>
      <w:bookmarkStart w:id="390" w:name="_Toc30940"/>
      <w:r>
        <w:rPr>
          <w:rStyle w:val="43"/>
          <w:rFonts w:hint="eastAsia" w:ascii="黑体" w:hAnsi="黑体" w:eastAsia="黑体"/>
          <w:b w:val="0"/>
          <w:bCs w:val="0"/>
          <w:color w:val="auto"/>
          <w:sz w:val="32"/>
          <w:szCs w:val="40"/>
        </w:rPr>
        <w:t>第三部分  响应方案</w:t>
      </w:r>
      <w:bookmarkEnd w:id="384"/>
      <w:bookmarkEnd w:id="385"/>
      <w:bookmarkEnd w:id="386"/>
      <w:bookmarkEnd w:id="387"/>
      <w:bookmarkEnd w:id="388"/>
      <w:bookmarkEnd w:id="389"/>
      <w:bookmarkEnd w:id="390"/>
    </w:p>
    <w:p>
      <w:pPr>
        <w:pStyle w:val="42"/>
        <w:spacing w:before="190" w:beforeLines="50" w:after="190" w:afterLines="50" w:line="500" w:lineRule="exact"/>
        <w:jc w:val="both"/>
        <w:rPr>
          <w:rFonts w:hint="eastAsia" w:ascii="仿宋_GB2312" w:hAnsi="仿宋_GB2312" w:eastAsia="仿宋_GB2312" w:cs="仿宋_GB2312"/>
          <w:bCs w:val="0"/>
          <w:color w:val="auto"/>
          <w:lang w:val="en-US" w:eastAsia="zh-CN"/>
        </w:rPr>
      </w:pPr>
      <w:bookmarkStart w:id="391" w:name="_Toc1481"/>
      <w:bookmarkStart w:id="392" w:name="_Toc17062_WPSOffice_Level2"/>
      <w:bookmarkStart w:id="393" w:name="_Toc15660_WPSOffice_Level2"/>
      <w:bookmarkStart w:id="394" w:name="_Toc11401"/>
      <w:bookmarkStart w:id="395" w:name="_Toc11555"/>
      <w:bookmarkStart w:id="396" w:name="_Toc29975_WPSOffice_Level2"/>
      <w:bookmarkStart w:id="397" w:name="_Toc27817"/>
      <w:bookmarkStart w:id="398" w:name="_Toc9079"/>
      <w:bookmarkStart w:id="399" w:name="_Toc9337_WPSOffice_Level2"/>
      <w:r>
        <w:rPr>
          <w:rFonts w:hint="eastAsia" w:ascii="仿宋_GB2312" w:hAnsi="仿宋_GB2312" w:eastAsia="仿宋_GB2312" w:cs="仿宋_GB2312"/>
          <w:bCs w:val="0"/>
          <w:color w:val="auto"/>
        </w:rPr>
        <w:t>一、供应商</w:t>
      </w:r>
      <w:bookmarkEnd w:id="391"/>
      <w:bookmarkEnd w:id="392"/>
      <w:bookmarkEnd w:id="393"/>
      <w:bookmarkEnd w:id="394"/>
      <w:bookmarkEnd w:id="395"/>
      <w:bookmarkEnd w:id="396"/>
      <w:bookmarkEnd w:id="397"/>
      <w:bookmarkEnd w:id="398"/>
      <w:bookmarkEnd w:id="399"/>
      <w:r>
        <w:rPr>
          <w:rFonts w:hint="eastAsia" w:ascii="仿宋_GB2312" w:hAnsi="仿宋_GB2312" w:eastAsia="仿宋_GB2312" w:cs="仿宋_GB2312"/>
          <w:bCs w:val="0"/>
          <w:color w:val="auto"/>
          <w:lang w:val="en-US" w:eastAsia="zh-CN"/>
        </w:rPr>
        <w:t>基本情况及其性质</w:t>
      </w:r>
    </w:p>
    <w:p>
      <w:pPr>
        <w:spacing w:line="500" w:lineRule="exact"/>
        <w:ind w:firstLine="566" w:firstLineChars="200"/>
        <w:rPr>
          <w:rFonts w:ascii="仿宋" w:hAnsi="仿宋" w:eastAsia="仿宋" w:cs="仿宋"/>
          <w:b/>
          <w:color w:val="auto"/>
        </w:rPr>
      </w:pPr>
      <w:bookmarkStart w:id="400" w:name="_Toc27223_WPSOffice_Level3"/>
      <w:r>
        <w:rPr>
          <w:rFonts w:hint="eastAsia"/>
          <w:b/>
          <w:color w:val="auto"/>
        </w:rPr>
        <w:t>（</w:t>
      </w:r>
      <w:r>
        <w:rPr>
          <w:b/>
          <w:color w:val="auto"/>
        </w:rPr>
        <w:t>一</w:t>
      </w:r>
      <w:r>
        <w:rPr>
          <w:rFonts w:hint="eastAsia"/>
          <w:b/>
          <w:color w:val="auto"/>
        </w:rPr>
        <w:t>）供应</w:t>
      </w:r>
      <w:r>
        <w:rPr>
          <w:b/>
          <w:color w:val="auto"/>
        </w:rPr>
        <w:t>商基本信息</w:t>
      </w:r>
      <w:bookmarkEnd w:id="400"/>
    </w:p>
    <w:tbl>
      <w:tblPr>
        <w:tblStyle w:val="21"/>
        <w:tblW w:w="907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41"/>
        <w:gridCol w:w="783"/>
        <w:gridCol w:w="1770"/>
        <w:gridCol w:w="1395"/>
        <w:gridCol w:w="1692"/>
        <w:gridCol w:w="139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079" w:type="dxa"/>
            <w:gridSpan w:val="6"/>
            <w:tcBorders>
              <w:top w:val="single" w:color="auto" w:sz="12" w:space="0"/>
              <w:left w:val="single" w:color="auto" w:sz="12" w:space="0"/>
              <w:bottom w:val="single" w:color="auto" w:sz="6" w:space="0"/>
              <w:right w:val="single" w:color="auto" w:sz="12" w:space="0"/>
            </w:tcBorders>
            <w:shd w:val="clear" w:color="auto" w:fill="E5B8B7"/>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单位基本情况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041" w:type="dxa"/>
            <w:tcBorders>
              <w:top w:val="single" w:color="auto" w:sz="6" w:space="0"/>
              <w:left w:val="single" w:color="auto" w:sz="12" w:space="0"/>
              <w:bottom w:val="single" w:color="auto" w:sz="6"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供应商全称</w:t>
            </w:r>
          </w:p>
        </w:tc>
        <w:tc>
          <w:tcPr>
            <w:tcW w:w="7038" w:type="dxa"/>
            <w:gridSpan w:val="5"/>
            <w:tcBorders>
              <w:top w:val="single" w:color="auto" w:sz="6" w:space="0"/>
              <w:bottom w:val="single" w:color="auto" w:sz="6" w:space="0"/>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041" w:type="dxa"/>
            <w:tcBorders>
              <w:top w:val="single" w:color="auto" w:sz="6" w:space="0"/>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注册地址</w:t>
            </w:r>
          </w:p>
        </w:tc>
        <w:tc>
          <w:tcPr>
            <w:tcW w:w="2553" w:type="dxa"/>
            <w:gridSpan w:val="2"/>
            <w:tcBorders>
              <w:top w:val="single" w:color="auto" w:sz="6"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tcBorders>
              <w:top w:val="single" w:color="auto" w:sz="6"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成立时间</w:t>
            </w:r>
          </w:p>
        </w:tc>
        <w:tc>
          <w:tcPr>
            <w:tcW w:w="3090" w:type="dxa"/>
            <w:gridSpan w:val="2"/>
            <w:tcBorders>
              <w:top w:val="single" w:color="auto" w:sz="6" w:space="0"/>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041"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登记证号</w:t>
            </w:r>
          </w:p>
        </w:tc>
        <w:tc>
          <w:tcPr>
            <w:tcW w:w="2553"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单位性质</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041"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法定代表人</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(主要负责人)</w:t>
            </w:r>
          </w:p>
        </w:tc>
        <w:tc>
          <w:tcPr>
            <w:tcW w:w="2553"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所属行业</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041"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上年度</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营业收入</w:t>
            </w:r>
          </w:p>
        </w:tc>
        <w:tc>
          <w:tcPr>
            <w:tcW w:w="2553"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资产总额</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041"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基本存款账户</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开户银行</w:t>
            </w:r>
          </w:p>
        </w:tc>
        <w:tc>
          <w:tcPr>
            <w:tcW w:w="2553"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基本存款</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账户账号</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2041"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联系电话</w:t>
            </w:r>
          </w:p>
        </w:tc>
        <w:tc>
          <w:tcPr>
            <w:tcW w:w="2553"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邮箱</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041"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所获得资质及等级(国家行政部门颁发)</w:t>
            </w:r>
          </w:p>
        </w:tc>
        <w:tc>
          <w:tcPr>
            <w:tcW w:w="7038" w:type="dxa"/>
            <w:gridSpan w:val="5"/>
            <w:tcBorders>
              <w:right w:val="single" w:color="auto" w:sz="12" w:space="0"/>
            </w:tcBorders>
            <w:vAlign w:val="center"/>
          </w:tcPr>
          <w:p>
            <w:pPr>
              <w:autoSpaceDE w:val="0"/>
              <w:autoSpaceDN w:val="0"/>
              <w:adjustRightInd w:val="0"/>
              <w:spacing w:line="320" w:lineRule="exact"/>
              <w:rPr>
                <w:rFonts w:hint="eastAsia" w:ascii="仿宋_GB2312" w:hAnsi="仿宋_GB2312" w:eastAsia="仿宋_GB2312" w:cs="仿宋_GB2312"/>
                <w:color w:val="auto"/>
                <w:kern w:val="0"/>
                <w:sz w:val="24"/>
                <w:szCs w:val="24"/>
              </w:rPr>
            </w:pPr>
          </w:p>
          <w:p>
            <w:pPr>
              <w:autoSpaceDE w:val="0"/>
              <w:autoSpaceDN w:val="0"/>
              <w:adjustRightInd w:val="0"/>
              <w:spacing w:line="320" w:lineRule="exact"/>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2041"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经营范围</w:t>
            </w:r>
          </w:p>
        </w:tc>
        <w:tc>
          <w:tcPr>
            <w:tcW w:w="7038" w:type="dxa"/>
            <w:gridSpan w:val="5"/>
            <w:tcBorders>
              <w:right w:val="single" w:color="auto" w:sz="12" w:space="0"/>
            </w:tcBorders>
            <w:vAlign w:val="center"/>
          </w:tcPr>
          <w:p>
            <w:pPr>
              <w:autoSpaceDE w:val="0"/>
              <w:autoSpaceDN w:val="0"/>
              <w:adjustRightInd w:val="0"/>
              <w:spacing w:line="320" w:lineRule="exact"/>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079" w:type="dxa"/>
            <w:gridSpan w:val="6"/>
            <w:tcBorders>
              <w:left w:val="single" w:color="auto" w:sz="12" w:space="0"/>
              <w:right w:val="single" w:color="auto" w:sz="12" w:space="0"/>
            </w:tcBorders>
            <w:shd w:val="clear" w:color="auto" w:fill="E5B8B7"/>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人员情况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041" w:type="dxa"/>
            <w:vMerge w:val="restart"/>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从业人员总数</w:t>
            </w:r>
          </w:p>
        </w:tc>
        <w:tc>
          <w:tcPr>
            <w:tcW w:w="783" w:type="dxa"/>
            <w:vMerge w:val="restart"/>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770"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管理人员数量</w:t>
            </w: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692"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专业技术</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人员数量</w:t>
            </w:r>
          </w:p>
        </w:tc>
        <w:tc>
          <w:tcPr>
            <w:tcW w:w="1398" w:type="dxa"/>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bCs/>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041" w:type="dxa"/>
            <w:vMerge w:val="continue"/>
            <w:tcBorders>
              <w:left w:val="single" w:color="auto" w:sz="12" w:space="0"/>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783" w:type="dxa"/>
            <w:vMerge w:val="continue"/>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770" w:type="dxa"/>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残疾人人数</w:t>
            </w:r>
          </w:p>
        </w:tc>
        <w:tc>
          <w:tcPr>
            <w:tcW w:w="1395" w:type="dxa"/>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692" w:type="dxa"/>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少数民族人数</w:t>
            </w:r>
          </w:p>
        </w:tc>
        <w:tc>
          <w:tcPr>
            <w:tcW w:w="1398" w:type="dxa"/>
            <w:tcBorders>
              <w:bottom w:val="single" w:color="auto" w:sz="4" w:space="0"/>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bCs/>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96" w:hRule="atLeast"/>
          <w:jc w:val="center"/>
        </w:trPr>
        <w:tc>
          <w:tcPr>
            <w:tcW w:w="2041" w:type="dxa"/>
            <w:tcBorders>
              <w:left w:val="single" w:color="auto" w:sz="12" w:space="0"/>
              <w:bottom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说明</w:t>
            </w:r>
          </w:p>
        </w:tc>
        <w:tc>
          <w:tcPr>
            <w:tcW w:w="7038" w:type="dxa"/>
            <w:gridSpan w:val="5"/>
            <w:tcBorders>
              <w:bottom w:val="single" w:color="auto" w:sz="12" w:space="0"/>
              <w:right w:val="single" w:color="auto" w:sz="12" w:space="0"/>
            </w:tcBorders>
            <w:vAlign w:val="center"/>
          </w:tcPr>
          <w:p>
            <w:pPr>
              <w:spacing w:line="320" w:lineRule="exact"/>
              <w:ind w:left="360" w:hanging="36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1、登记证号指营业执照/事业单位法人证书/专业服务机构执业许可证/民办非企业单位登记证书中的登记号。</w:t>
            </w:r>
          </w:p>
          <w:p>
            <w:pPr>
              <w:spacing w:line="320" w:lineRule="exact"/>
              <w:ind w:left="360" w:hanging="36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2、成立时间至提交响应文件截止时间不足一年的可不提供“上年度营业收入”。</w:t>
            </w:r>
          </w:p>
          <w:p>
            <w:pPr>
              <w:spacing w:line="320" w:lineRule="exact"/>
              <w:ind w:left="360" w:hanging="36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3、供应商应如实填写上述信息。</w:t>
            </w:r>
            <w:bookmarkStart w:id="401" w:name="■AcceptUnion_CH5_A■"/>
            <w:r>
              <w:rPr>
                <w:rFonts w:hint="eastAsia" w:ascii="仿宋_GB2312" w:hAnsi="仿宋_GB2312" w:eastAsia="仿宋_GB2312" w:cs="仿宋_GB2312"/>
                <w:color w:val="auto"/>
                <w:sz w:val="24"/>
                <w:szCs w:val="24"/>
              </w:rPr>
              <w:t>磋商文件允许联合体投标的，联合体各方均应提供。</w:t>
            </w:r>
            <w:bookmarkEnd w:id="401"/>
          </w:p>
        </w:tc>
      </w:tr>
    </w:tbl>
    <w:p>
      <w:pPr>
        <w:spacing w:line="500" w:lineRule="exact"/>
        <w:ind w:firstLine="566" w:firstLineChars="20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供应商其他情况</w:t>
      </w:r>
    </w:p>
    <w:p>
      <w:pPr>
        <w:tabs>
          <w:tab w:val="right" w:pos="8364"/>
        </w:tabs>
        <w:spacing w:line="500" w:lineRule="exact"/>
        <w:ind w:firstLine="566"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包括但不限于总公司分公司分布及经营状况、股权变更、管理制度、人员配备、用户评价、正在实施的项目，评优获奖等情况，以及供应商认为有利于成交的其他情况说明。</w:t>
      </w:r>
    </w:p>
    <w:p>
      <w:pPr>
        <w:spacing w:line="500" w:lineRule="exact"/>
        <w:ind w:firstLine="4811" w:firstLineChars="1700"/>
        <w:rPr>
          <w:rFonts w:hint="eastAsia"/>
          <w:b/>
          <w:color w:val="auto"/>
          <w:sz w:val="28"/>
          <w:szCs w:val="28"/>
        </w:rPr>
      </w:pPr>
      <w:r>
        <w:rPr>
          <w:rFonts w:hint="eastAsia"/>
          <w:b/>
          <w:color w:val="auto"/>
          <w:sz w:val="28"/>
          <w:szCs w:val="28"/>
        </w:rPr>
        <w:br w:type="page"/>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二、技术服务方案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参照磋商文件第二章《组织评审》各条款的要求，结合第三章《磋商内容及采购要求》编制技术服务方案。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一</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color w:val="auto"/>
          <w:highlight w:val="none"/>
        </w:rPr>
        <w:t>总体服务方案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二</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color w:val="auto"/>
          <w:highlight w:val="none"/>
        </w:rPr>
        <w:t>组织机构设置</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三</w:t>
      </w:r>
      <w:r>
        <w:rPr>
          <w:rFonts w:hint="eastAsia" w:ascii="仿宋_GB2312" w:hAnsi="仿宋_GB2312" w:eastAsia="仿宋_GB2312" w:cs="仿宋_GB2312"/>
          <w:bCs/>
          <w:color w:val="auto"/>
          <w:sz w:val="28"/>
          <w:szCs w:val="28"/>
          <w:highlight w:val="none"/>
          <w:lang w:eastAsia="zh-CN"/>
        </w:rPr>
        <w:t>）日常安保服务方案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四</w:t>
      </w:r>
      <w:r>
        <w:rPr>
          <w:rFonts w:hint="eastAsia" w:ascii="仿宋_GB2312" w:hAnsi="仿宋_GB2312" w:eastAsia="仿宋_GB2312" w:cs="仿宋_GB2312"/>
          <w:bCs/>
          <w:color w:val="auto"/>
          <w:sz w:val="28"/>
          <w:szCs w:val="28"/>
          <w:highlight w:val="none"/>
          <w:lang w:eastAsia="zh-CN"/>
        </w:rPr>
        <w:t>）特殊情况安保方案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五</w:t>
      </w:r>
      <w:r>
        <w:rPr>
          <w:rFonts w:hint="eastAsia" w:ascii="仿宋_GB2312" w:hAnsi="仿宋_GB2312" w:eastAsia="仿宋_GB2312" w:cs="仿宋_GB2312"/>
          <w:bCs/>
          <w:color w:val="auto"/>
          <w:sz w:val="28"/>
          <w:szCs w:val="28"/>
          <w:highlight w:val="none"/>
          <w:lang w:eastAsia="zh-CN"/>
        </w:rPr>
        <w:t>）消防安全服务方案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六</w:t>
      </w:r>
      <w:r>
        <w:rPr>
          <w:rFonts w:hint="eastAsia" w:ascii="仿宋_GB2312" w:hAnsi="仿宋_GB2312" w:eastAsia="仿宋_GB2312" w:cs="仿宋_GB2312"/>
          <w:bCs/>
          <w:color w:val="auto"/>
          <w:sz w:val="28"/>
          <w:szCs w:val="28"/>
          <w:highlight w:val="none"/>
          <w:lang w:eastAsia="zh-CN"/>
        </w:rPr>
        <w:t>）应急预案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七</w:t>
      </w:r>
      <w:r>
        <w:rPr>
          <w:rFonts w:hint="eastAsia" w:ascii="仿宋_GB2312" w:hAnsi="仿宋_GB2312" w:eastAsia="仿宋_GB2312" w:cs="仿宋_GB2312"/>
          <w:bCs/>
          <w:color w:val="auto"/>
          <w:sz w:val="28"/>
          <w:szCs w:val="28"/>
          <w:highlight w:val="none"/>
          <w:lang w:eastAsia="zh-CN"/>
        </w:rPr>
        <w:t>）服务质量保证措施</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八</w:t>
      </w:r>
      <w:r>
        <w:rPr>
          <w:rFonts w:hint="eastAsia" w:ascii="仿宋_GB2312" w:hAnsi="仿宋_GB2312" w:eastAsia="仿宋_GB2312" w:cs="仿宋_GB2312"/>
          <w:bCs/>
          <w:color w:val="auto"/>
          <w:sz w:val="28"/>
          <w:szCs w:val="28"/>
          <w:highlight w:val="none"/>
          <w:lang w:eastAsia="zh-CN"/>
        </w:rPr>
        <w:t>）管理制度</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九</w:t>
      </w:r>
      <w:r>
        <w:rPr>
          <w:rFonts w:hint="eastAsia" w:ascii="仿宋_GB2312" w:hAnsi="仿宋_GB2312" w:eastAsia="仿宋_GB2312" w:cs="仿宋_GB2312"/>
          <w:bCs/>
          <w:color w:val="auto"/>
          <w:sz w:val="28"/>
          <w:szCs w:val="28"/>
          <w:highlight w:val="none"/>
          <w:lang w:eastAsia="zh-CN"/>
        </w:rPr>
        <w:t>）人员配备</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十</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color w:val="auto"/>
          <w:highlight w:val="none"/>
        </w:rPr>
        <w:t>业绩</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十一</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color w:val="auto"/>
          <w:highlight w:val="none"/>
        </w:rPr>
        <w:t>服务承诺</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十二</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color w:val="auto"/>
          <w:highlight w:val="none"/>
        </w:rPr>
        <w:t>服务优化</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十三</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kern w:val="2"/>
          <w:sz w:val="28"/>
          <w:szCs w:val="28"/>
          <w:highlight w:val="none"/>
          <w:lang w:val="en-US" w:eastAsia="zh-CN" w:bidi="ar-SA"/>
        </w:rPr>
        <w:t>其他有必要说明的内容</w:t>
      </w:r>
    </w:p>
    <w:p>
      <w:pPr>
        <w:rPr>
          <w:color w:val="auto"/>
          <w:highlight w:val="none"/>
        </w:rPr>
      </w:pPr>
      <w:r>
        <w:rPr>
          <w:color w:val="auto"/>
          <w:highlight w:val="none"/>
        </w:rPr>
        <w:br w:type="page"/>
      </w:r>
    </w:p>
    <w:p>
      <w:pPr>
        <w:tabs>
          <w:tab w:val="right" w:pos="9070"/>
        </w:tabs>
        <w:spacing w:line="500" w:lineRule="exact"/>
        <w:rPr>
          <w:rFonts w:ascii="仿宋" w:hAnsi="仿宋" w:eastAsia="仿宋"/>
          <w:bCs/>
          <w:color w:val="auto"/>
          <w:sz w:val="32"/>
          <w:szCs w:val="32"/>
        </w:rPr>
      </w:pPr>
      <w:r>
        <w:rPr>
          <w:rFonts w:hint="eastAsia" w:ascii="仿宋" w:hAnsi="仿宋" w:eastAsia="仿宋"/>
          <w:b/>
          <w:color w:val="auto"/>
          <w:sz w:val="32"/>
          <w:szCs w:val="32"/>
        </w:rPr>
        <w:t>三、参考样表</w:t>
      </w:r>
    </w:p>
    <w:p>
      <w:pPr>
        <w:spacing w:line="500" w:lineRule="exact"/>
        <w:ind w:firstLine="566" w:firstLineChars="200"/>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（一）履约进度计划表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498"/>
        <w:gridCol w:w="3095"/>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
                <w:sz w:val="28"/>
                <w:szCs w:val="28"/>
                <w:shd w:val="clear" w:color="auto" w:fill="auto"/>
                <w:lang w:val="en-US" w:eastAsia="zh-CN" w:bidi="ar-SA"/>
              </w:rPr>
            </w:pPr>
            <w:r>
              <w:rPr>
                <w:rFonts w:hint="eastAsia" w:ascii="仿宋_GB2312" w:hAnsi="仿宋_GB2312" w:eastAsia="仿宋_GB2312" w:cs="仿宋_GB2312"/>
                <w:b/>
                <w:color w:val="auto"/>
                <w:sz w:val="28"/>
                <w:szCs w:val="28"/>
                <w:shd w:val="clear" w:color="auto" w:fill="auto"/>
              </w:rPr>
              <w:t>序号</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
                <w:sz w:val="28"/>
                <w:szCs w:val="28"/>
                <w:shd w:val="clear" w:color="auto" w:fill="auto"/>
                <w:lang w:val="en-US" w:eastAsia="zh-CN" w:bidi="ar-SA"/>
              </w:rPr>
            </w:pPr>
            <w:r>
              <w:rPr>
                <w:rFonts w:hint="eastAsia" w:ascii="仿宋_GB2312" w:hAnsi="仿宋_GB2312" w:eastAsia="仿宋_GB2312" w:cs="仿宋_GB2312"/>
                <w:b/>
                <w:color w:val="auto"/>
                <w:sz w:val="28"/>
                <w:szCs w:val="28"/>
                <w:shd w:val="clear" w:color="auto" w:fill="auto"/>
              </w:rPr>
              <w:t>拟定时间安排</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
                <w:sz w:val="28"/>
                <w:szCs w:val="28"/>
                <w:shd w:val="clear" w:color="auto" w:fill="auto"/>
                <w:lang w:val="en-US" w:eastAsia="zh-CN" w:bidi="ar-SA"/>
              </w:rPr>
            </w:pPr>
            <w:r>
              <w:rPr>
                <w:rFonts w:hint="eastAsia" w:ascii="仿宋_GB2312" w:hAnsi="仿宋_GB2312" w:eastAsia="仿宋_GB2312" w:cs="仿宋_GB2312"/>
                <w:b/>
                <w:color w:val="auto"/>
                <w:sz w:val="28"/>
                <w:szCs w:val="28"/>
                <w:shd w:val="clear" w:color="auto" w:fill="auto"/>
              </w:rPr>
              <w:t>计划完成的工作内容</w:t>
            </w: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
                <w:sz w:val="28"/>
                <w:szCs w:val="28"/>
                <w:shd w:val="clear" w:color="auto" w:fill="auto"/>
                <w:lang w:val="en-US" w:eastAsia="zh-CN" w:bidi="ar-SA"/>
              </w:rPr>
            </w:pPr>
            <w:r>
              <w:rPr>
                <w:rFonts w:hint="eastAsia" w:ascii="仿宋_GB2312" w:hAnsi="仿宋_GB2312" w:eastAsia="仿宋_GB2312" w:cs="仿宋_GB2312"/>
                <w:b/>
                <w:color w:val="auto"/>
                <w:sz w:val="28"/>
                <w:szCs w:val="28"/>
                <w:shd w:val="clear" w:color="auto" w:fill="auto"/>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拟定  年 月 日</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签定合同并生效</w:t>
            </w: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月  日—  月  日</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月  日—  月  日</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月  日—  月  日</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bl>
    <w:p>
      <w:pPr>
        <w:spacing w:line="500" w:lineRule="exact"/>
        <w:ind w:firstLine="566" w:firstLineChars="200"/>
        <w:rPr>
          <w:rFonts w:hint="eastAsia" w:ascii="仿宋_GB2312" w:hAnsi="仿宋_GB2312" w:eastAsia="仿宋_GB2312" w:cs="仿宋_GB2312"/>
          <w:b/>
          <w:bCs/>
          <w:color w:val="auto"/>
          <w:sz w:val="28"/>
          <w:szCs w:val="28"/>
          <w:lang w:eastAsia="zh-CN"/>
        </w:rPr>
      </w:pPr>
    </w:p>
    <w:p>
      <w:pPr>
        <w:spacing w:line="500" w:lineRule="exact"/>
        <w:ind w:firstLine="566"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业绩合同样表</w:t>
      </w:r>
    </w:p>
    <w:tbl>
      <w:tblPr>
        <w:tblStyle w:val="21"/>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027"/>
        <w:gridCol w:w="1592"/>
        <w:gridCol w:w="237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序号</w:t>
            </w:r>
          </w:p>
        </w:tc>
        <w:tc>
          <w:tcPr>
            <w:tcW w:w="202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采购单位名称</w:t>
            </w:r>
          </w:p>
        </w:tc>
        <w:tc>
          <w:tcPr>
            <w:tcW w:w="159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合同名称</w:t>
            </w:r>
          </w:p>
        </w:tc>
        <w:tc>
          <w:tcPr>
            <w:tcW w:w="237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合同起止时间</w:t>
            </w:r>
          </w:p>
        </w:tc>
        <w:tc>
          <w:tcPr>
            <w:tcW w:w="19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034"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数量合计（个）</w:t>
            </w:r>
            <w:r>
              <w:rPr>
                <w:rFonts w:hint="eastAsia" w:ascii="仿宋_GB2312" w:hAnsi="仿宋_GB2312" w:eastAsia="仿宋_GB2312" w:cs="仿宋_GB2312"/>
                <w:color w:val="auto"/>
                <w:sz w:val="28"/>
                <w:szCs w:val="28"/>
              </w:rPr>
              <w:t>：</w:t>
            </w:r>
          </w:p>
        </w:tc>
      </w:tr>
    </w:tbl>
    <w:p>
      <w:pPr>
        <w:keepNext w:val="0"/>
        <w:keepLines w:val="0"/>
        <w:pageBreakBefore w:val="0"/>
        <w:widowControl/>
        <w:tabs>
          <w:tab w:val="right" w:pos="9070"/>
        </w:tabs>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rPr>
        <w:t xml:space="preserve">    注：</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后附20</w:t>
      </w:r>
      <w:r>
        <w:rPr>
          <w:rFonts w:hint="eastAsia" w:ascii="仿宋_GB2312" w:hAnsi="仿宋_GB2312" w:eastAsia="仿宋_GB2312" w:cs="仿宋_GB2312"/>
          <w:color w:val="auto"/>
          <w:sz w:val="28"/>
          <w:szCs w:val="28"/>
          <w:lang w:val="en-US" w:eastAsia="zh-CN"/>
        </w:rPr>
        <w:t>22</w:t>
      </w:r>
      <w:r>
        <w:rPr>
          <w:rFonts w:hint="eastAsia" w:ascii="仿宋_GB2312" w:hAnsi="仿宋_GB2312" w:eastAsia="仿宋_GB2312" w:cs="仿宋_GB2312"/>
          <w:color w:val="auto"/>
          <w:sz w:val="28"/>
          <w:szCs w:val="28"/>
        </w:rPr>
        <w:t>年1月1日以来同类项目合同复印件加盖</w:t>
      </w:r>
      <w:r>
        <w:rPr>
          <w:rFonts w:hint="eastAsia" w:ascii="仿宋_GB2312" w:hAnsi="仿宋_GB2312" w:eastAsia="仿宋_GB2312" w:cs="仿宋_GB2312"/>
          <w:color w:val="auto"/>
          <w:sz w:val="28"/>
          <w:szCs w:val="28"/>
          <w:lang w:val="en-US" w:eastAsia="zh-CN"/>
        </w:rPr>
        <w:t>供应商</w:t>
      </w:r>
      <w:r>
        <w:rPr>
          <w:rFonts w:hint="eastAsia" w:ascii="仿宋_GB2312" w:hAnsi="仿宋_GB2312" w:eastAsia="仿宋_GB2312" w:cs="仿宋_GB2312"/>
          <w:color w:val="auto"/>
          <w:sz w:val="28"/>
          <w:szCs w:val="28"/>
        </w:rPr>
        <w:t>公章（以合同签订日期为准）</w:t>
      </w:r>
      <w:r>
        <w:rPr>
          <w:rFonts w:hint="eastAsia" w:ascii="仿宋_GB2312" w:hAnsi="仿宋_GB2312" w:eastAsia="仿宋_GB2312" w:cs="仿宋_GB2312"/>
          <w:bCs/>
          <w:color w:val="auto"/>
          <w:sz w:val="28"/>
          <w:szCs w:val="28"/>
          <w:lang w:val="en-US" w:eastAsia="zh-CN"/>
        </w:rPr>
        <w:t>2、视情况，此表一并随《成交结果》公示。</w:t>
      </w:r>
    </w:p>
    <w:p>
      <w:pPr>
        <w:tabs>
          <w:tab w:val="right" w:pos="9070"/>
        </w:tabs>
        <w:snapToGrid w:val="0"/>
        <w:spacing w:line="500" w:lineRule="exact"/>
        <w:ind w:left="566" w:leftChars="200"/>
        <w:rPr>
          <w:rFonts w:hint="eastAsia" w:ascii="仿宋_GB2312" w:hAnsi="仿宋_GB2312" w:eastAsia="仿宋_GB2312" w:cs="仿宋_GB2312"/>
          <w:b/>
          <w:bCs/>
          <w:color w:val="auto"/>
          <w:sz w:val="28"/>
          <w:szCs w:val="28"/>
        </w:rPr>
      </w:pPr>
    </w:p>
    <w:p>
      <w:pPr>
        <w:tabs>
          <w:tab w:val="right" w:pos="9070"/>
        </w:tabs>
        <w:snapToGrid w:val="0"/>
        <w:spacing w:line="500" w:lineRule="exact"/>
        <w:ind w:left="566" w:leftChars="200"/>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rPr>
        <w:t>）项目团队样表</w:t>
      </w:r>
    </w:p>
    <w:p>
      <w:pPr>
        <w:keepNext w:val="0"/>
        <w:keepLines w:val="0"/>
        <w:pageBreakBefore w:val="0"/>
        <w:widowControl/>
        <w:tabs>
          <w:tab w:val="right" w:pos="9070"/>
        </w:tabs>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1、项目团队情况概述</w:t>
      </w:r>
    </w:p>
    <w:p>
      <w:pPr>
        <w:keepNext w:val="0"/>
        <w:keepLines w:val="0"/>
        <w:pageBreakBefore w:val="0"/>
        <w:widowControl/>
        <w:tabs>
          <w:tab w:val="right" w:pos="9070"/>
        </w:tabs>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概述内容包括但不限于为本项目提供服务的团队整体情况、团队负责人、联系人基本情况、背景、能力介绍等，具体内容自行编制。</w:t>
      </w:r>
    </w:p>
    <w:p>
      <w:pPr>
        <w:tabs>
          <w:tab w:val="right" w:pos="9070"/>
        </w:tabs>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2、项目团队人员清单</w:t>
      </w:r>
    </w:p>
    <w:tbl>
      <w:tblPr>
        <w:tblStyle w:val="21"/>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60"/>
        <w:gridCol w:w="1387"/>
        <w:gridCol w:w="17"/>
        <w:gridCol w:w="1587"/>
        <w:gridCol w:w="1740"/>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8"/>
            <w:tcBorders>
              <w:tl2br w:val="nil"/>
              <w:tr2bl w:val="nil"/>
            </w:tcBorders>
            <w:noWrap w:val="0"/>
            <w:vAlign w:val="center"/>
          </w:tcPr>
          <w:p>
            <w:pPr>
              <w:tabs>
                <w:tab w:val="right" w:pos="9070"/>
              </w:tabs>
              <w:spacing w:line="500" w:lineRule="exac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color w:val="auto"/>
                <w:sz w:val="28"/>
                <w:szCs w:val="28"/>
                <w:highlight w:val="none"/>
                <w:lang w:val="en-US" w:eastAsia="zh-CN"/>
              </w:rPr>
              <w:t>项目管理人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969" w:type="dxa"/>
            <w:tcBorders>
              <w:tl2br w:val="nil"/>
              <w:tr2bl w:val="nil"/>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年龄</w:t>
            </w:r>
          </w:p>
        </w:tc>
        <w:tc>
          <w:tcPr>
            <w:tcW w:w="1260" w:type="dxa"/>
            <w:tcBorders>
              <w:tl2br w:val="nil"/>
              <w:tr2bl w:val="nil"/>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学历</w:t>
            </w:r>
          </w:p>
        </w:tc>
        <w:tc>
          <w:tcPr>
            <w:tcW w:w="1387" w:type="dxa"/>
            <w:tcBorders>
              <w:tl2br w:val="nil"/>
              <w:tr2bl w:val="nil"/>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职称</w:t>
            </w:r>
          </w:p>
        </w:tc>
        <w:tc>
          <w:tcPr>
            <w:tcW w:w="1604" w:type="dxa"/>
            <w:gridSpan w:val="2"/>
            <w:tcBorders>
              <w:tl2br w:val="nil"/>
              <w:tr2bl w:val="nil"/>
            </w:tcBorders>
            <w:noWrap w:val="0"/>
            <w:vAlign w:val="center"/>
          </w:tcPr>
          <w:p>
            <w:pPr>
              <w:spacing w:line="2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在本行业从业工作年限</w:t>
            </w:r>
          </w:p>
        </w:tc>
        <w:tc>
          <w:tcPr>
            <w:tcW w:w="1740" w:type="dxa"/>
            <w:tcBorders>
              <w:tl2br w:val="nil"/>
              <w:tr2bl w:val="nil"/>
            </w:tcBorders>
            <w:noWrap w:val="0"/>
            <w:vAlign w:val="center"/>
          </w:tcPr>
          <w:p>
            <w:pPr>
              <w:spacing w:line="2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主要工作</w:t>
            </w:r>
          </w:p>
          <w:p>
            <w:pPr>
              <w:spacing w:line="2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业绩和经历</w:t>
            </w:r>
          </w:p>
        </w:tc>
        <w:tc>
          <w:tcPr>
            <w:tcW w:w="1091" w:type="dxa"/>
            <w:tcBorders>
              <w:tl2br w:val="nil"/>
              <w:tr2bl w:val="nil"/>
            </w:tcBorders>
            <w:noWrap w:val="0"/>
            <w:vAlign w:val="center"/>
          </w:tcPr>
          <w:p>
            <w:pPr>
              <w:spacing w:line="2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本项目</w:t>
            </w:r>
            <w:r>
              <w:rPr>
                <w:rFonts w:hint="eastAsia" w:ascii="仿宋_GB2312" w:hAnsi="仿宋_GB2312" w:eastAsia="仿宋_GB2312" w:cs="仿宋_GB2312"/>
                <w:sz w:val="28"/>
                <w:szCs w:val="28"/>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134" w:type="dxa"/>
            <w:tcBorders>
              <w:tl2br w:val="nil"/>
              <w:tr2bl w:val="nil"/>
            </w:tcBorders>
            <w:noWrap w:val="0"/>
            <w:vAlign w:val="center"/>
          </w:tcPr>
          <w:p>
            <w:pPr>
              <w:rPr>
                <w:rFonts w:hint="eastAsia" w:ascii="仿宋_GB2312" w:hAnsi="仿宋_GB2312" w:eastAsia="仿宋_GB2312" w:cs="仿宋_GB2312"/>
                <w:sz w:val="28"/>
                <w:szCs w:val="28"/>
              </w:rPr>
            </w:pPr>
          </w:p>
        </w:tc>
        <w:tc>
          <w:tcPr>
            <w:tcW w:w="969" w:type="dxa"/>
            <w:tcBorders>
              <w:tl2br w:val="nil"/>
              <w:tr2bl w:val="nil"/>
            </w:tcBorders>
            <w:noWrap w:val="0"/>
            <w:vAlign w:val="center"/>
          </w:tcPr>
          <w:p>
            <w:pPr>
              <w:rPr>
                <w:rFonts w:hint="eastAsia" w:ascii="仿宋_GB2312" w:hAnsi="仿宋_GB2312" w:eastAsia="仿宋_GB2312" w:cs="仿宋_GB2312"/>
                <w:sz w:val="28"/>
                <w:szCs w:val="28"/>
              </w:rPr>
            </w:pPr>
          </w:p>
        </w:tc>
        <w:tc>
          <w:tcPr>
            <w:tcW w:w="1260" w:type="dxa"/>
            <w:tcBorders>
              <w:tl2br w:val="nil"/>
              <w:tr2bl w:val="nil"/>
            </w:tcBorders>
            <w:noWrap w:val="0"/>
            <w:vAlign w:val="center"/>
          </w:tcPr>
          <w:p>
            <w:pPr>
              <w:rPr>
                <w:rFonts w:hint="eastAsia" w:ascii="仿宋_GB2312" w:hAnsi="仿宋_GB2312" w:eastAsia="仿宋_GB2312" w:cs="仿宋_GB2312"/>
                <w:sz w:val="28"/>
                <w:szCs w:val="28"/>
              </w:rPr>
            </w:pPr>
          </w:p>
        </w:tc>
        <w:tc>
          <w:tcPr>
            <w:tcW w:w="1387" w:type="dxa"/>
            <w:tcBorders>
              <w:tl2br w:val="nil"/>
              <w:tr2bl w:val="nil"/>
            </w:tcBorders>
            <w:noWrap w:val="0"/>
            <w:vAlign w:val="center"/>
          </w:tcPr>
          <w:p>
            <w:pPr>
              <w:rPr>
                <w:rFonts w:hint="eastAsia" w:ascii="仿宋_GB2312" w:hAnsi="仿宋_GB2312" w:eastAsia="仿宋_GB2312" w:cs="仿宋_GB2312"/>
                <w:sz w:val="28"/>
                <w:szCs w:val="28"/>
              </w:rPr>
            </w:pPr>
          </w:p>
        </w:tc>
        <w:tc>
          <w:tcPr>
            <w:tcW w:w="1604" w:type="dxa"/>
            <w:gridSpan w:val="2"/>
            <w:tcBorders>
              <w:tl2br w:val="nil"/>
              <w:tr2bl w:val="nil"/>
            </w:tcBorders>
            <w:noWrap w:val="0"/>
            <w:vAlign w:val="center"/>
          </w:tcPr>
          <w:p>
            <w:pPr>
              <w:rPr>
                <w:rFonts w:hint="eastAsia" w:ascii="仿宋_GB2312" w:hAnsi="仿宋_GB2312" w:eastAsia="仿宋_GB2312" w:cs="仿宋_GB2312"/>
                <w:sz w:val="28"/>
                <w:szCs w:val="28"/>
              </w:rPr>
            </w:pPr>
          </w:p>
        </w:tc>
        <w:tc>
          <w:tcPr>
            <w:tcW w:w="1740" w:type="dxa"/>
            <w:tcBorders>
              <w:tl2br w:val="nil"/>
              <w:tr2bl w:val="nil"/>
            </w:tcBorders>
            <w:noWrap w:val="0"/>
            <w:vAlign w:val="center"/>
          </w:tcPr>
          <w:p>
            <w:pPr>
              <w:rPr>
                <w:rFonts w:hint="eastAsia" w:ascii="仿宋_GB2312" w:hAnsi="仿宋_GB2312" w:eastAsia="仿宋_GB2312" w:cs="仿宋_GB2312"/>
                <w:sz w:val="28"/>
                <w:szCs w:val="28"/>
              </w:rPr>
            </w:pPr>
          </w:p>
        </w:tc>
        <w:tc>
          <w:tcPr>
            <w:tcW w:w="1091" w:type="dxa"/>
            <w:tcBorders>
              <w:tl2br w:val="nil"/>
              <w:tr2bl w:val="nil"/>
            </w:tcBorders>
            <w:noWrap w:val="0"/>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8"/>
            <w:tcBorders>
              <w:tl2br w:val="nil"/>
              <w:tr2bl w:val="nil"/>
            </w:tcBorders>
            <w:noWrap w:val="0"/>
            <w:vAlign w:val="center"/>
          </w:tcPr>
          <w:p>
            <w:pP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2、安保队长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969" w:type="dxa"/>
            <w:tcBorders>
              <w:tl2br w:val="nil"/>
              <w:tr2bl w:val="nil"/>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年龄</w:t>
            </w:r>
          </w:p>
        </w:tc>
        <w:tc>
          <w:tcPr>
            <w:tcW w:w="1260" w:type="dxa"/>
            <w:tcBorders>
              <w:tl2br w:val="nil"/>
              <w:tr2bl w:val="nil"/>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学历</w:t>
            </w:r>
          </w:p>
        </w:tc>
        <w:tc>
          <w:tcPr>
            <w:tcW w:w="1387" w:type="dxa"/>
            <w:tcBorders>
              <w:tl2br w:val="nil"/>
              <w:tr2bl w:val="nil"/>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职称</w:t>
            </w:r>
          </w:p>
        </w:tc>
        <w:tc>
          <w:tcPr>
            <w:tcW w:w="1604" w:type="dxa"/>
            <w:gridSpan w:val="2"/>
            <w:tcBorders>
              <w:tl2br w:val="nil"/>
              <w:tr2bl w:val="nil"/>
            </w:tcBorders>
            <w:noWrap w:val="0"/>
            <w:vAlign w:val="center"/>
          </w:tcPr>
          <w:p>
            <w:pPr>
              <w:spacing w:line="2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在本行业从业工作年限</w:t>
            </w:r>
          </w:p>
        </w:tc>
        <w:tc>
          <w:tcPr>
            <w:tcW w:w="1740" w:type="dxa"/>
            <w:tcBorders>
              <w:tl2br w:val="nil"/>
              <w:tr2bl w:val="nil"/>
            </w:tcBorders>
            <w:noWrap w:val="0"/>
            <w:vAlign w:val="center"/>
          </w:tcPr>
          <w:p>
            <w:pPr>
              <w:spacing w:line="2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主要工作</w:t>
            </w:r>
          </w:p>
          <w:p>
            <w:pPr>
              <w:spacing w:line="2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业绩和经历</w:t>
            </w:r>
          </w:p>
        </w:tc>
        <w:tc>
          <w:tcPr>
            <w:tcW w:w="1091" w:type="dxa"/>
            <w:tcBorders>
              <w:tl2br w:val="nil"/>
              <w:tr2bl w:val="nil"/>
            </w:tcBorders>
            <w:noWrap w:val="0"/>
            <w:vAlign w:val="center"/>
          </w:tcPr>
          <w:p>
            <w:pPr>
              <w:spacing w:line="2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本项目</w:t>
            </w:r>
            <w:r>
              <w:rPr>
                <w:rFonts w:hint="eastAsia" w:ascii="仿宋_GB2312" w:hAnsi="仿宋_GB2312" w:eastAsia="仿宋_GB2312" w:cs="仿宋_GB2312"/>
                <w:sz w:val="28"/>
                <w:szCs w:val="28"/>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noWrap w:val="0"/>
            <w:vAlign w:val="center"/>
          </w:tcPr>
          <w:p>
            <w:pPr>
              <w:jc w:val="center"/>
              <w:rPr>
                <w:rFonts w:hint="eastAsia" w:ascii="仿宋_GB2312" w:hAnsi="仿宋_GB2312" w:eastAsia="仿宋_GB2312" w:cs="仿宋_GB2312"/>
                <w:sz w:val="28"/>
                <w:szCs w:val="28"/>
              </w:rPr>
            </w:pPr>
          </w:p>
        </w:tc>
        <w:tc>
          <w:tcPr>
            <w:tcW w:w="969" w:type="dxa"/>
            <w:tcBorders>
              <w:tl2br w:val="nil"/>
              <w:tr2bl w:val="nil"/>
            </w:tcBorders>
            <w:noWrap w:val="0"/>
            <w:vAlign w:val="center"/>
          </w:tcPr>
          <w:p>
            <w:pPr>
              <w:jc w:val="center"/>
              <w:rPr>
                <w:rFonts w:hint="eastAsia" w:ascii="仿宋_GB2312" w:hAnsi="仿宋_GB2312" w:eastAsia="仿宋_GB2312" w:cs="仿宋_GB2312"/>
                <w:sz w:val="28"/>
                <w:szCs w:val="28"/>
              </w:rPr>
            </w:pPr>
          </w:p>
        </w:tc>
        <w:tc>
          <w:tcPr>
            <w:tcW w:w="1260" w:type="dxa"/>
            <w:tcBorders>
              <w:tl2br w:val="nil"/>
              <w:tr2bl w:val="nil"/>
            </w:tcBorders>
            <w:noWrap w:val="0"/>
            <w:vAlign w:val="center"/>
          </w:tcPr>
          <w:p>
            <w:pPr>
              <w:jc w:val="center"/>
              <w:rPr>
                <w:rFonts w:hint="eastAsia" w:ascii="仿宋_GB2312" w:hAnsi="仿宋_GB2312" w:eastAsia="仿宋_GB2312" w:cs="仿宋_GB2312"/>
                <w:sz w:val="28"/>
                <w:szCs w:val="28"/>
              </w:rPr>
            </w:pPr>
          </w:p>
        </w:tc>
        <w:tc>
          <w:tcPr>
            <w:tcW w:w="1387" w:type="dxa"/>
            <w:tcBorders>
              <w:tl2br w:val="nil"/>
              <w:tr2bl w:val="nil"/>
            </w:tcBorders>
            <w:noWrap w:val="0"/>
            <w:vAlign w:val="center"/>
          </w:tcPr>
          <w:p>
            <w:pPr>
              <w:jc w:val="center"/>
              <w:rPr>
                <w:rFonts w:hint="eastAsia" w:ascii="仿宋_GB2312" w:hAnsi="仿宋_GB2312" w:eastAsia="仿宋_GB2312" w:cs="仿宋_GB2312"/>
                <w:sz w:val="28"/>
                <w:szCs w:val="28"/>
              </w:rPr>
            </w:pPr>
          </w:p>
        </w:tc>
        <w:tc>
          <w:tcPr>
            <w:tcW w:w="1604" w:type="dxa"/>
            <w:gridSpan w:val="2"/>
            <w:tcBorders>
              <w:tl2br w:val="nil"/>
              <w:tr2bl w:val="nil"/>
            </w:tcBorders>
            <w:noWrap w:val="0"/>
            <w:vAlign w:val="center"/>
          </w:tcPr>
          <w:p>
            <w:pPr>
              <w:spacing w:line="280" w:lineRule="exact"/>
              <w:jc w:val="center"/>
              <w:rPr>
                <w:rFonts w:hint="eastAsia" w:ascii="仿宋_GB2312" w:hAnsi="仿宋_GB2312" w:eastAsia="仿宋_GB2312" w:cs="仿宋_GB2312"/>
                <w:sz w:val="28"/>
                <w:szCs w:val="28"/>
              </w:rPr>
            </w:pPr>
          </w:p>
        </w:tc>
        <w:tc>
          <w:tcPr>
            <w:tcW w:w="1740" w:type="dxa"/>
            <w:tcBorders>
              <w:tl2br w:val="nil"/>
              <w:tr2bl w:val="nil"/>
            </w:tcBorders>
            <w:noWrap w:val="0"/>
            <w:vAlign w:val="center"/>
          </w:tcPr>
          <w:p>
            <w:pPr>
              <w:spacing w:line="280" w:lineRule="exact"/>
              <w:jc w:val="center"/>
              <w:rPr>
                <w:rFonts w:hint="eastAsia" w:ascii="仿宋_GB2312" w:hAnsi="仿宋_GB2312" w:eastAsia="仿宋_GB2312" w:cs="仿宋_GB2312"/>
                <w:sz w:val="28"/>
                <w:szCs w:val="28"/>
              </w:rPr>
            </w:pPr>
          </w:p>
        </w:tc>
        <w:tc>
          <w:tcPr>
            <w:tcW w:w="1091" w:type="dxa"/>
            <w:tcBorders>
              <w:tl2br w:val="nil"/>
              <w:tr2bl w:val="nil"/>
            </w:tcBorders>
            <w:noWrap w:val="0"/>
            <w:vAlign w:val="center"/>
          </w:tcPr>
          <w:p>
            <w:pPr>
              <w:spacing w:line="280" w:lineRule="exact"/>
              <w:jc w:val="center"/>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noWrap w:val="0"/>
            <w:vAlign w:val="center"/>
          </w:tcPr>
          <w:p>
            <w:pPr>
              <w:jc w:val="center"/>
              <w:rPr>
                <w:rFonts w:hint="eastAsia" w:ascii="仿宋_GB2312" w:hAnsi="仿宋_GB2312" w:eastAsia="仿宋_GB2312" w:cs="仿宋_GB2312"/>
                <w:sz w:val="28"/>
                <w:szCs w:val="28"/>
              </w:rPr>
            </w:pPr>
          </w:p>
        </w:tc>
        <w:tc>
          <w:tcPr>
            <w:tcW w:w="969" w:type="dxa"/>
            <w:tcBorders>
              <w:tl2br w:val="nil"/>
              <w:tr2bl w:val="nil"/>
            </w:tcBorders>
            <w:noWrap w:val="0"/>
            <w:vAlign w:val="center"/>
          </w:tcPr>
          <w:p>
            <w:pPr>
              <w:jc w:val="center"/>
              <w:rPr>
                <w:rFonts w:hint="eastAsia" w:ascii="仿宋_GB2312" w:hAnsi="仿宋_GB2312" w:eastAsia="仿宋_GB2312" w:cs="仿宋_GB2312"/>
                <w:sz w:val="28"/>
                <w:szCs w:val="28"/>
              </w:rPr>
            </w:pPr>
          </w:p>
        </w:tc>
        <w:tc>
          <w:tcPr>
            <w:tcW w:w="1260" w:type="dxa"/>
            <w:tcBorders>
              <w:tl2br w:val="nil"/>
              <w:tr2bl w:val="nil"/>
            </w:tcBorders>
            <w:noWrap w:val="0"/>
            <w:vAlign w:val="center"/>
          </w:tcPr>
          <w:p>
            <w:pPr>
              <w:jc w:val="center"/>
              <w:rPr>
                <w:rFonts w:hint="eastAsia" w:ascii="仿宋_GB2312" w:hAnsi="仿宋_GB2312" w:eastAsia="仿宋_GB2312" w:cs="仿宋_GB2312"/>
                <w:sz w:val="28"/>
                <w:szCs w:val="28"/>
              </w:rPr>
            </w:pPr>
          </w:p>
        </w:tc>
        <w:tc>
          <w:tcPr>
            <w:tcW w:w="1387" w:type="dxa"/>
            <w:tcBorders>
              <w:tl2br w:val="nil"/>
              <w:tr2bl w:val="nil"/>
            </w:tcBorders>
            <w:noWrap w:val="0"/>
            <w:vAlign w:val="center"/>
          </w:tcPr>
          <w:p>
            <w:pPr>
              <w:jc w:val="center"/>
              <w:rPr>
                <w:rFonts w:hint="eastAsia" w:ascii="仿宋_GB2312" w:hAnsi="仿宋_GB2312" w:eastAsia="仿宋_GB2312" w:cs="仿宋_GB2312"/>
                <w:sz w:val="28"/>
                <w:szCs w:val="28"/>
              </w:rPr>
            </w:pPr>
          </w:p>
        </w:tc>
        <w:tc>
          <w:tcPr>
            <w:tcW w:w="1604" w:type="dxa"/>
            <w:gridSpan w:val="2"/>
            <w:tcBorders>
              <w:tl2br w:val="nil"/>
              <w:tr2bl w:val="nil"/>
            </w:tcBorders>
            <w:noWrap w:val="0"/>
            <w:vAlign w:val="center"/>
          </w:tcPr>
          <w:p>
            <w:pPr>
              <w:spacing w:line="280" w:lineRule="exact"/>
              <w:jc w:val="center"/>
              <w:rPr>
                <w:rFonts w:hint="eastAsia" w:ascii="仿宋_GB2312" w:hAnsi="仿宋_GB2312" w:eastAsia="仿宋_GB2312" w:cs="仿宋_GB2312"/>
                <w:sz w:val="28"/>
                <w:szCs w:val="28"/>
              </w:rPr>
            </w:pPr>
          </w:p>
        </w:tc>
        <w:tc>
          <w:tcPr>
            <w:tcW w:w="1740" w:type="dxa"/>
            <w:tcBorders>
              <w:tl2br w:val="nil"/>
              <w:tr2bl w:val="nil"/>
            </w:tcBorders>
            <w:noWrap w:val="0"/>
            <w:vAlign w:val="center"/>
          </w:tcPr>
          <w:p>
            <w:pPr>
              <w:spacing w:line="280" w:lineRule="exact"/>
              <w:jc w:val="center"/>
              <w:rPr>
                <w:rFonts w:hint="eastAsia" w:ascii="仿宋_GB2312" w:hAnsi="仿宋_GB2312" w:eastAsia="仿宋_GB2312" w:cs="仿宋_GB2312"/>
                <w:sz w:val="28"/>
                <w:szCs w:val="28"/>
              </w:rPr>
            </w:pPr>
          </w:p>
        </w:tc>
        <w:tc>
          <w:tcPr>
            <w:tcW w:w="1091" w:type="dxa"/>
            <w:tcBorders>
              <w:tl2br w:val="nil"/>
              <w:tr2bl w:val="nil"/>
            </w:tcBorders>
            <w:noWrap w:val="0"/>
            <w:vAlign w:val="center"/>
          </w:tcPr>
          <w:p>
            <w:pPr>
              <w:spacing w:line="280" w:lineRule="exact"/>
              <w:jc w:val="center"/>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85" w:type="dxa"/>
            <w:gridSpan w:val="8"/>
            <w:tcBorders>
              <w:tl2br w:val="nil"/>
              <w:tr2bl w:val="nil"/>
            </w:tcBorders>
            <w:noWrap w:val="0"/>
            <w:vAlign w:val="center"/>
          </w:tcPr>
          <w:p>
            <w:pPr>
              <w:tabs>
                <w:tab w:val="right" w:pos="9070"/>
              </w:tabs>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w:t>
            </w:r>
            <w:r>
              <w:rPr>
                <w:rFonts w:hint="eastAsia" w:ascii="仿宋_GB2312" w:hAnsi="仿宋_GB2312" w:eastAsia="仿宋_GB2312" w:cs="仿宋_GB2312"/>
                <w:color w:val="auto"/>
                <w:sz w:val="28"/>
                <w:szCs w:val="28"/>
                <w:highlight w:val="none"/>
                <w:lang w:val="en-US" w:eastAsia="zh-CN"/>
              </w:rPr>
              <w:t>安保员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1134" w:type="dxa"/>
            <w:tcBorders>
              <w:tl2br w:val="nil"/>
              <w:tr2bl w:val="nil"/>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969" w:type="dxa"/>
            <w:tcBorders>
              <w:tl2br w:val="nil"/>
              <w:tr2bl w:val="nil"/>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年龄</w:t>
            </w:r>
          </w:p>
        </w:tc>
        <w:tc>
          <w:tcPr>
            <w:tcW w:w="1260" w:type="dxa"/>
            <w:tcBorders>
              <w:tl2br w:val="nil"/>
              <w:tr2bl w:val="nil"/>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学历</w:t>
            </w:r>
          </w:p>
        </w:tc>
        <w:tc>
          <w:tcPr>
            <w:tcW w:w="1404" w:type="dxa"/>
            <w:gridSpan w:val="2"/>
            <w:tcBorders>
              <w:tl2br w:val="nil"/>
              <w:tr2bl w:val="nil"/>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职称</w:t>
            </w:r>
          </w:p>
        </w:tc>
        <w:tc>
          <w:tcPr>
            <w:tcW w:w="1587" w:type="dxa"/>
            <w:tcBorders>
              <w:tl2br w:val="nil"/>
              <w:tr2bl w:val="nil"/>
            </w:tcBorders>
            <w:noWrap w:val="0"/>
            <w:vAlign w:val="center"/>
          </w:tcPr>
          <w:p>
            <w:pPr>
              <w:spacing w:line="2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在本行业从业工作年限</w:t>
            </w:r>
          </w:p>
        </w:tc>
        <w:tc>
          <w:tcPr>
            <w:tcW w:w="1740" w:type="dxa"/>
            <w:tcBorders>
              <w:tl2br w:val="nil"/>
              <w:tr2bl w:val="nil"/>
            </w:tcBorders>
            <w:noWrap w:val="0"/>
            <w:vAlign w:val="center"/>
          </w:tcPr>
          <w:p>
            <w:pPr>
              <w:spacing w:line="2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主要工作</w:t>
            </w:r>
          </w:p>
          <w:p>
            <w:pPr>
              <w:spacing w:line="2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业绩和经历</w:t>
            </w:r>
          </w:p>
        </w:tc>
        <w:tc>
          <w:tcPr>
            <w:tcW w:w="1091" w:type="dxa"/>
            <w:tcBorders>
              <w:tl2br w:val="nil"/>
              <w:tr2bl w:val="nil"/>
            </w:tcBorders>
            <w:noWrap w:val="0"/>
            <w:vAlign w:val="center"/>
          </w:tcPr>
          <w:p>
            <w:pPr>
              <w:spacing w:line="280" w:lineRule="exact"/>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本项目</w:t>
            </w:r>
          </w:p>
          <w:p>
            <w:pPr>
              <w:spacing w:line="2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noWrap w:val="0"/>
            <w:vAlign w:val="center"/>
          </w:tcPr>
          <w:p>
            <w:pPr>
              <w:rPr>
                <w:rFonts w:hint="eastAsia" w:ascii="仿宋_GB2312" w:hAnsi="仿宋_GB2312" w:eastAsia="仿宋_GB2312" w:cs="仿宋_GB2312"/>
                <w:sz w:val="28"/>
                <w:szCs w:val="28"/>
              </w:rPr>
            </w:pPr>
          </w:p>
        </w:tc>
        <w:tc>
          <w:tcPr>
            <w:tcW w:w="969" w:type="dxa"/>
            <w:tcBorders>
              <w:tl2br w:val="nil"/>
              <w:tr2bl w:val="nil"/>
            </w:tcBorders>
            <w:noWrap w:val="0"/>
            <w:vAlign w:val="center"/>
          </w:tcPr>
          <w:p>
            <w:pPr>
              <w:rPr>
                <w:rFonts w:hint="eastAsia" w:ascii="仿宋_GB2312" w:hAnsi="仿宋_GB2312" w:eastAsia="仿宋_GB2312" w:cs="仿宋_GB2312"/>
                <w:sz w:val="28"/>
                <w:szCs w:val="28"/>
              </w:rPr>
            </w:pPr>
          </w:p>
        </w:tc>
        <w:tc>
          <w:tcPr>
            <w:tcW w:w="1260" w:type="dxa"/>
            <w:tcBorders>
              <w:tl2br w:val="nil"/>
              <w:tr2bl w:val="nil"/>
            </w:tcBorders>
            <w:noWrap w:val="0"/>
            <w:vAlign w:val="center"/>
          </w:tcPr>
          <w:p>
            <w:pPr>
              <w:rPr>
                <w:rFonts w:hint="eastAsia" w:ascii="仿宋_GB2312" w:hAnsi="仿宋_GB2312" w:eastAsia="仿宋_GB2312" w:cs="仿宋_GB2312"/>
                <w:sz w:val="28"/>
                <w:szCs w:val="28"/>
              </w:rPr>
            </w:pPr>
          </w:p>
        </w:tc>
        <w:tc>
          <w:tcPr>
            <w:tcW w:w="1404" w:type="dxa"/>
            <w:gridSpan w:val="2"/>
            <w:tcBorders>
              <w:tl2br w:val="nil"/>
              <w:tr2bl w:val="nil"/>
            </w:tcBorders>
            <w:noWrap w:val="0"/>
            <w:vAlign w:val="center"/>
          </w:tcPr>
          <w:p>
            <w:pPr>
              <w:rPr>
                <w:rFonts w:hint="eastAsia" w:ascii="仿宋_GB2312" w:hAnsi="仿宋_GB2312" w:eastAsia="仿宋_GB2312" w:cs="仿宋_GB2312"/>
                <w:sz w:val="28"/>
                <w:szCs w:val="28"/>
              </w:rPr>
            </w:pPr>
          </w:p>
        </w:tc>
        <w:tc>
          <w:tcPr>
            <w:tcW w:w="1587" w:type="dxa"/>
            <w:tcBorders>
              <w:tl2br w:val="nil"/>
              <w:tr2bl w:val="nil"/>
            </w:tcBorders>
            <w:noWrap w:val="0"/>
            <w:vAlign w:val="center"/>
          </w:tcPr>
          <w:p>
            <w:pPr>
              <w:rPr>
                <w:rFonts w:hint="eastAsia" w:ascii="仿宋_GB2312" w:hAnsi="仿宋_GB2312" w:eastAsia="仿宋_GB2312" w:cs="仿宋_GB2312"/>
                <w:sz w:val="28"/>
                <w:szCs w:val="28"/>
              </w:rPr>
            </w:pPr>
          </w:p>
        </w:tc>
        <w:tc>
          <w:tcPr>
            <w:tcW w:w="1740" w:type="dxa"/>
            <w:tcBorders>
              <w:tl2br w:val="nil"/>
              <w:tr2bl w:val="nil"/>
            </w:tcBorders>
            <w:noWrap w:val="0"/>
            <w:vAlign w:val="center"/>
          </w:tcPr>
          <w:p>
            <w:pPr>
              <w:rPr>
                <w:rFonts w:hint="eastAsia" w:ascii="仿宋_GB2312" w:hAnsi="仿宋_GB2312" w:eastAsia="仿宋_GB2312" w:cs="仿宋_GB2312"/>
                <w:sz w:val="28"/>
                <w:szCs w:val="28"/>
              </w:rPr>
            </w:pPr>
          </w:p>
        </w:tc>
        <w:tc>
          <w:tcPr>
            <w:tcW w:w="1091" w:type="dxa"/>
            <w:tcBorders>
              <w:tl2br w:val="nil"/>
              <w:tr2bl w:val="nil"/>
            </w:tcBorders>
            <w:noWrap w:val="0"/>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noWrap w:val="0"/>
            <w:vAlign w:val="center"/>
          </w:tcPr>
          <w:p>
            <w:pPr>
              <w:rPr>
                <w:rFonts w:hint="eastAsia" w:ascii="仿宋_GB2312" w:hAnsi="仿宋_GB2312" w:eastAsia="仿宋_GB2312" w:cs="仿宋_GB2312"/>
                <w:sz w:val="28"/>
                <w:szCs w:val="28"/>
              </w:rPr>
            </w:pPr>
          </w:p>
        </w:tc>
        <w:tc>
          <w:tcPr>
            <w:tcW w:w="969" w:type="dxa"/>
            <w:tcBorders>
              <w:tl2br w:val="nil"/>
              <w:tr2bl w:val="nil"/>
            </w:tcBorders>
            <w:noWrap w:val="0"/>
            <w:vAlign w:val="center"/>
          </w:tcPr>
          <w:p>
            <w:pPr>
              <w:rPr>
                <w:rFonts w:hint="eastAsia" w:ascii="仿宋_GB2312" w:hAnsi="仿宋_GB2312" w:eastAsia="仿宋_GB2312" w:cs="仿宋_GB2312"/>
                <w:sz w:val="28"/>
                <w:szCs w:val="28"/>
              </w:rPr>
            </w:pPr>
          </w:p>
        </w:tc>
        <w:tc>
          <w:tcPr>
            <w:tcW w:w="1260" w:type="dxa"/>
            <w:tcBorders>
              <w:tl2br w:val="nil"/>
              <w:tr2bl w:val="nil"/>
            </w:tcBorders>
            <w:noWrap w:val="0"/>
            <w:vAlign w:val="center"/>
          </w:tcPr>
          <w:p>
            <w:pPr>
              <w:rPr>
                <w:rFonts w:hint="eastAsia" w:ascii="仿宋_GB2312" w:hAnsi="仿宋_GB2312" w:eastAsia="仿宋_GB2312" w:cs="仿宋_GB2312"/>
                <w:sz w:val="28"/>
                <w:szCs w:val="28"/>
              </w:rPr>
            </w:pPr>
          </w:p>
        </w:tc>
        <w:tc>
          <w:tcPr>
            <w:tcW w:w="1404" w:type="dxa"/>
            <w:gridSpan w:val="2"/>
            <w:tcBorders>
              <w:tl2br w:val="nil"/>
              <w:tr2bl w:val="nil"/>
            </w:tcBorders>
            <w:noWrap w:val="0"/>
            <w:vAlign w:val="center"/>
          </w:tcPr>
          <w:p>
            <w:pPr>
              <w:rPr>
                <w:rFonts w:hint="eastAsia" w:ascii="仿宋_GB2312" w:hAnsi="仿宋_GB2312" w:eastAsia="仿宋_GB2312" w:cs="仿宋_GB2312"/>
                <w:sz w:val="28"/>
                <w:szCs w:val="28"/>
              </w:rPr>
            </w:pPr>
          </w:p>
        </w:tc>
        <w:tc>
          <w:tcPr>
            <w:tcW w:w="1587" w:type="dxa"/>
            <w:tcBorders>
              <w:tl2br w:val="nil"/>
              <w:tr2bl w:val="nil"/>
            </w:tcBorders>
            <w:noWrap w:val="0"/>
            <w:vAlign w:val="center"/>
          </w:tcPr>
          <w:p>
            <w:pPr>
              <w:rPr>
                <w:rFonts w:hint="eastAsia" w:ascii="仿宋_GB2312" w:hAnsi="仿宋_GB2312" w:eastAsia="仿宋_GB2312" w:cs="仿宋_GB2312"/>
                <w:sz w:val="28"/>
                <w:szCs w:val="28"/>
              </w:rPr>
            </w:pPr>
          </w:p>
        </w:tc>
        <w:tc>
          <w:tcPr>
            <w:tcW w:w="1740" w:type="dxa"/>
            <w:tcBorders>
              <w:tl2br w:val="nil"/>
              <w:tr2bl w:val="nil"/>
            </w:tcBorders>
            <w:noWrap w:val="0"/>
            <w:vAlign w:val="center"/>
          </w:tcPr>
          <w:p>
            <w:pPr>
              <w:rPr>
                <w:rFonts w:hint="eastAsia" w:ascii="仿宋_GB2312" w:hAnsi="仿宋_GB2312" w:eastAsia="仿宋_GB2312" w:cs="仿宋_GB2312"/>
                <w:sz w:val="28"/>
                <w:szCs w:val="28"/>
              </w:rPr>
            </w:pPr>
          </w:p>
        </w:tc>
        <w:tc>
          <w:tcPr>
            <w:tcW w:w="1091" w:type="dxa"/>
            <w:tcBorders>
              <w:tl2br w:val="nil"/>
              <w:tr2bl w:val="nil"/>
            </w:tcBorders>
            <w:noWrap w:val="0"/>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noWrap w:val="0"/>
            <w:vAlign w:val="center"/>
          </w:tcPr>
          <w:p>
            <w:pPr>
              <w:rPr>
                <w:rFonts w:hint="eastAsia" w:ascii="仿宋_GB2312" w:hAnsi="仿宋_GB2312" w:eastAsia="仿宋_GB2312" w:cs="仿宋_GB2312"/>
                <w:sz w:val="28"/>
                <w:szCs w:val="28"/>
              </w:rPr>
            </w:pPr>
          </w:p>
        </w:tc>
        <w:tc>
          <w:tcPr>
            <w:tcW w:w="969" w:type="dxa"/>
            <w:tcBorders>
              <w:tl2br w:val="nil"/>
              <w:tr2bl w:val="nil"/>
            </w:tcBorders>
            <w:noWrap w:val="0"/>
            <w:vAlign w:val="center"/>
          </w:tcPr>
          <w:p>
            <w:pPr>
              <w:rPr>
                <w:rFonts w:hint="eastAsia" w:ascii="仿宋_GB2312" w:hAnsi="仿宋_GB2312" w:eastAsia="仿宋_GB2312" w:cs="仿宋_GB2312"/>
                <w:sz w:val="28"/>
                <w:szCs w:val="28"/>
              </w:rPr>
            </w:pPr>
          </w:p>
        </w:tc>
        <w:tc>
          <w:tcPr>
            <w:tcW w:w="1260" w:type="dxa"/>
            <w:tcBorders>
              <w:tl2br w:val="nil"/>
              <w:tr2bl w:val="nil"/>
            </w:tcBorders>
            <w:noWrap w:val="0"/>
            <w:vAlign w:val="center"/>
          </w:tcPr>
          <w:p>
            <w:pPr>
              <w:rPr>
                <w:rFonts w:hint="eastAsia" w:ascii="仿宋_GB2312" w:hAnsi="仿宋_GB2312" w:eastAsia="仿宋_GB2312" w:cs="仿宋_GB2312"/>
                <w:sz w:val="28"/>
                <w:szCs w:val="28"/>
              </w:rPr>
            </w:pPr>
          </w:p>
        </w:tc>
        <w:tc>
          <w:tcPr>
            <w:tcW w:w="1404" w:type="dxa"/>
            <w:gridSpan w:val="2"/>
            <w:tcBorders>
              <w:tl2br w:val="nil"/>
              <w:tr2bl w:val="nil"/>
            </w:tcBorders>
            <w:noWrap w:val="0"/>
            <w:vAlign w:val="center"/>
          </w:tcPr>
          <w:p>
            <w:pPr>
              <w:rPr>
                <w:rFonts w:hint="eastAsia" w:ascii="仿宋_GB2312" w:hAnsi="仿宋_GB2312" w:eastAsia="仿宋_GB2312" w:cs="仿宋_GB2312"/>
                <w:sz w:val="28"/>
                <w:szCs w:val="28"/>
              </w:rPr>
            </w:pPr>
          </w:p>
        </w:tc>
        <w:tc>
          <w:tcPr>
            <w:tcW w:w="1587" w:type="dxa"/>
            <w:tcBorders>
              <w:tl2br w:val="nil"/>
              <w:tr2bl w:val="nil"/>
            </w:tcBorders>
            <w:noWrap w:val="0"/>
            <w:vAlign w:val="center"/>
          </w:tcPr>
          <w:p>
            <w:pPr>
              <w:rPr>
                <w:rFonts w:hint="eastAsia" w:ascii="仿宋_GB2312" w:hAnsi="仿宋_GB2312" w:eastAsia="仿宋_GB2312" w:cs="仿宋_GB2312"/>
                <w:sz w:val="28"/>
                <w:szCs w:val="28"/>
              </w:rPr>
            </w:pPr>
          </w:p>
        </w:tc>
        <w:tc>
          <w:tcPr>
            <w:tcW w:w="1740" w:type="dxa"/>
            <w:tcBorders>
              <w:tl2br w:val="nil"/>
              <w:tr2bl w:val="nil"/>
            </w:tcBorders>
            <w:noWrap w:val="0"/>
            <w:vAlign w:val="center"/>
          </w:tcPr>
          <w:p>
            <w:pPr>
              <w:rPr>
                <w:rFonts w:hint="eastAsia" w:ascii="仿宋_GB2312" w:hAnsi="仿宋_GB2312" w:eastAsia="仿宋_GB2312" w:cs="仿宋_GB2312"/>
                <w:sz w:val="28"/>
                <w:szCs w:val="28"/>
              </w:rPr>
            </w:pPr>
          </w:p>
        </w:tc>
        <w:tc>
          <w:tcPr>
            <w:tcW w:w="1091" w:type="dxa"/>
            <w:tcBorders>
              <w:tl2br w:val="nil"/>
              <w:tr2bl w:val="nil"/>
            </w:tcBorders>
            <w:noWrap w:val="0"/>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134" w:type="dxa"/>
            <w:tcBorders>
              <w:tl2br w:val="nil"/>
              <w:tr2bl w:val="nil"/>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w:t>
            </w:r>
          </w:p>
        </w:tc>
        <w:tc>
          <w:tcPr>
            <w:tcW w:w="8051" w:type="dxa"/>
            <w:gridSpan w:val="7"/>
            <w:tcBorders>
              <w:tl2br w:val="nil"/>
              <w:tr2bl w:val="nil"/>
            </w:tcBorders>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表格空间不足时请自行扩展。</w:t>
            </w:r>
          </w:p>
        </w:tc>
      </w:tr>
    </w:tbl>
    <w:p>
      <w:pPr>
        <w:pStyle w:val="8"/>
        <w:rPr>
          <w:color w:val="auto"/>
          <w:sz w:val="28"/>
          <w:szCs w:val="28"/>
        </w:rPr>
      </w:pPr>
    </w:p>
    <w:sectPr>
      <w:footerReference r:id="rId11" w:type="first"/>
      <w:headerReference r:id="rId9" w:type="default"/>
      <w:footerReference r:id="rId10" w:type="default"/>
      <w:pgSz w:w="11906" w:h="16838"/>
      <w:pgMar w:top="1417" w:right="1417" w:bottom="1417" w:left="1417" w:header="850" w:footer="992" w:gutter="0"/>
      <w:pgBorders>
        <w:top w:val="none" w:sz="0" w:space="0"/>
        <w:left w:val="none" w:sz="0" w:space="0"/>
        <w:bottom w:val="none" w:sz="0" w:space="0"/>
        <w:right w:val="none" w:sz="0" w:space="0"/>
      </w:pgBorders>
      <w:pgNumType w:fmt="decimal"/>
      <w:cols w:space="720" w:num="1"/>
      <w:docGrid w:type="linesAndChar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jc w:val="center"/>
      <w:rPr>
        <w:rFonts w:ascii="宋体" w:hAnsi="宋体" w:eastAsia="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jc w:val="center"/>
      <w:rPr>
        <w:rFonts w:ascii="宋体" w:hAnsi="宋体" w:eastAsia="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536"/>
        <w:tab w:val="right" w:pos="10489"/>
        <w:tab w:val="clear" w:pos="4153"/>
        <w:tab w:val="clear" w:pos="8306"/>
      </w:tabs>
      <w:jc w:val="center"/>
      <w:rPr>
        <w:rFonts w:ascii="宋体" w:hAnsi="宋体" w:eastAsia="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rPr>
        <w:rFonts w:ascii="宋体" w:hAnsi="宋体" w:eastAsia="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pPr>
    <w:r>
      <w:rPr>
        <w:rFonts w:hint="eastAsia" w:ascii="宋体" w:hAnsi="宋体" w:eastAsia="宋体"/>
      </w:rPr>
      <w:t>西安市市级单位政府采购中心第</w:t>
    </w:r>
    <w:r>
      <w:rPr>
        <w:rFonts w:ascii="宋体" w:hAnsi="宋体" w:eastAsia="宋体"/>
      </w:rPr>
      <w:fldChar w:fldCharType="begin"/>
    </w:r>
    <w:r>
      <w:rPr>
        <w:rFonts w:ascii="宋体" w:hAnsi="宋体" w:eastAsia="宋体"/>
      </w:rPr>
      <w:instrText xml:space="preserve"> PAGE </w:instrText>
    </w:r>
    <w:r>
      <w:rPr>
        <w:rFonts w:ascii="宋体" w:hAnsi="宋体" w:eastAsia="宋体"/>
      </w:rPr>
      <w:fldChar w:fldCharType="separate"/>
    </w:r>
    <w:r>
      <w:rPr>
        <w:rFonts w:ascii="宋体" w:hAnsi="宋体" w:eastAsia="宋体"/>
      </w:rPr>
      <w:t>31</w:t>
    </w:r>
    <w:r>
      <w:rPr>
        <w:rFonts w:ascii="宋体" w:hAnsi="宋体" w:eastAsia="宋体"/>
      </w:rPr>
      <w:fldChar w:fldCharType="end"/>
    </w:r>
    <w:r>
      <w:rPr>
        <w:rFonts w:hint="eastAsia"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w:instrText>
    </w:r>
    <w:r>
      <w:rPr>
        <w:rFonts w:ascii="宋体" w:hAnsi="宋体" w:eastAsia="宋体"/>
      </w:rPr>
      <w:fldChar w:fldCharType="separate"/>
    </w:r>
    <w:r>
      <w:rPr>
        <w:rFonts w:ascii="宋体" w:hAnsi="宋体" w:eastAsia="宋体"/>
      </w:rPr>
      <w:instrText xml:space="preserve">68</w:instrText>
    </w:r>
    <w:r>
      <w:rPr>
        <w:rFonts w:ascii="宋体" w:hAnsi="宋体" w:eastAsia="宋体"/>
      </w:rPr>
      <w:fldChar w:fldCharType="end"/>
    </w:r>
    <w:r>
      <w:rPr>
        <w:rFonts w:ascii="宋体" w:hAnsi="宋体" w:eastAsia="宋体"/>
      </w:rPr>
      <w:instrText xml:space="preserve">-1 </w:instrText>
    </w:r>
    <w:r>
      <w:rPr>
        <w:rFonts w:ascii="宋体" w:hAnsi="宋体" w:eastAsia="宋体"/>
      </w:rPr>
      <w:fldChar w:fldCharType="separate"/>
    </w:r>
    <w:r>
      <w:rPr>
        <w:rFonts w:ascii="宋体" w:hAnsi="宋体" w:eastAsia="宋体"/>
      </w:rPr>
      <w:t>67</w:t>
    </w:r>
    <w:r>
      <w:rPr>
        <w:rFonts w:ascii="宋体" w:hAnsi="宋体" w:eastAsia="宋体"/>
      </w:rPr>
      <w:fldChar w:fldCharType="end"/>
    </w:r>
    <w:r>
      <w:rPr>
        <w:rFonts w:hint="eastAsia" w:ascii="宋体" w:hAnsi="宋体" w:eastAsia="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hint="eastAsia" w:ascii="仿宋_GB2312" w:hAnsi="仿宋_GB2312" w:eastAsia="仿宋_GB2312" w:cs="仿宋_GB2312"/>
      </w:rPr>
    </w:pPr>
    <w:r>
      <w:rPr>
        <w:rFonts w:hint="eastAsia" w:ascii="仿宋_GB2312" w:hAnsi="仿宋_GB2312" w:eastAsia="仿宋_GB2312" w:cs="仿宋_GB2312"/>
        <w:lang w:val="en-US" w:eastAsia="zh-CN"/>
      </w:rPr>
      <w:t>汉中市政府采购中心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lang w:val="en-US" w:eastAsia="zh-CN"/>
      </w:rPr>
      <w:t>汉中市政府采购中心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BA63B9"/>
    <w:multiLevelType w:val="singleLevel"/>
    <w:tmpl w:val="D7BA63B9"/>
    <w:lvl w:ilvl="0" w:tentative="0">
      <w:start w:val="1"/>
      <w:numFmt w:val="chineseCounting"/>
      <w:suff w:val="space"/>
      <w:lvlText w:val="第%1章"/>
      <w:lvlJc w:val="left"/>
      <w:rPr>
        <w:rFonts w:hint="eastAsia"/>
      </w:rPr>
    </w:lvl>
  </w:abstractNum>
  <w:abstractNum w:abstractNumId="1">
    <w:nsid w:val="0053208E"/>
    <w:multiLevelType w:val="singleLevel"/>
    <w:tmpl w:val="0053208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iY2EwYTliYzRhYmI5YjgwYWI5N2JkYzNiMjBlOTkifQ=="/>
  </w:docVars>
  <w:rsids>
    <w:rsidRoot w:val="15DB7622"/>
    <w:rsid w:val="0004269C"/>
    <w:rsid w:val="0007204D"/>
    <w:rsid w:val="00072C34"/>
    <w:rsid w:val="00294CF0"/>
    <w:rsid w:val="002B30BD"/>
    <w:rsid w:val="00331341"/>
    <w:rsid w:val="00340C6A"/>
    <w:rsid w:val="0038572B"/>
    <w:rsid w:val="003917EE"/>
    <w:rsid w:val="003E3A6C"/>
    <w:rsid w:val="003E41D4"/>
    <w:rsid w:val="003E6663"/>
    <w:rsid w:val="004F3FD4"/>
    <w:rsid w:val="007378C6"/>
    <w:rsid w:val="007A39DA"/>
    <w:rsid w:val="009224FE"/>
    <w:rsid w:val="00934F0E"/>
    <w:rsid w:val="009716B8"/>
    <w:rsid w:val="00975546"/>
    <w:rsid w:val="00BA4780"/>
    <w:rsid w:val="00BF52BD"/>
    <w:rsid w:val="00D54DC4"/>
    <w:rsid w:val="00DA0F8E"/>
    <w:rsid w:val="00EF498E"/>
    <w:rsid w:val="00F058FE"/>
    <w:rsid w:val="00FD2C93"/>
    <w:rsid w:val="010518F0"/>
    <w:rsid w:val="010B405F"/>
    <w:rsid w:val="01191DEB"/>
    <w:rsid w:val="012515C4"/>
    <w:rsid w:val="015772A4"/>
    <w:rsid w:val="015A5870"/>
    <w:rsid w:val="015C7263"/>
    <w:rsid w:val="015D1C6F"/>
    <w:rsid w:val="01610122"/>
    <w:rsid w:val="016245C6"/>
    <w:rsid w:val="016439CE"/>
    <w:rsid w:val="01684E01"/>
    <w:rsid w:val="01903397"/>
    <w:rsid w:val="01A050EF"/>
    <w:rsid w:val="01B34E22"/>
    <w:rsid w:val="01BD7E6C"/>
    <w:rsid w:val="01C82D28"/>
    <w:rsid w:val="01CD6A8A"/>
    <w:rsid w:val="01CE3474"/>
    <w:rsid w:val="01D46B46"/>
    <w:rsid w:val="01D515BB"/>
    <w:rsid w:val="01EC5C3E"/>
    <w:rsid w:val="01FA3AC8"/>
    <w:rsid w:val="0204742C"/>
    <w:rsid w:val="021D229B"/>
    <w:rsid w:val="022655F4"/>
    <w:rsid w:val="02343D5B"/>
    <w:rsid w:val="023E3EED"/>
    <w:rsid w:val="02515F99"/>
    <w:rsid w:val="02541C4E"/>
    <w:rsid w:val="02557B87"/>
    <w:rsid w:val="025A0286"/>
    <w:rsid w:val="02891DCB"/>
    <w:rsid w:val="02BD0EE2"/>
    <w:rsid w:val="02BD496C"/>
    <w:rsid w:val="02C11391"/>
    <w:rsid w:val="02C4205E"/>
    <w:rsid w:val="02D15085"/>
    <w:rsid w:val="02E307E4"/>
    <w:rsid w:val="02FC284D"/>
    <w:rsid w:val="032251FE"/>
    <w:rsid w:val="03427B4F"/>
    <w:rsid w:val="03460878"/>
    <w:rsid w:val="034B3DA3"/>
    <w:rsid w:val="03526AB2"/>
    <w:rsid w:val="03531D00"/>
    <w:rsid w:val="035B3849"/>
    <w:rsid w:val="03630182"/>
    <w:rsid w:val="036613DF"/>
    <w:rsid w:val="036C3D74"/>
    <w:rsid w:val="037E48A2"/>
    <w:rsid w:val="0387207F"/>
    <w:rsid w:val="038F0F77"/>
    <w:rsid w:val="03942A31"/>
    <w:rsid w:val="039F5F7A"/>
    <w:rsid w:val="03A7685B"/>
    <w:rsid w:val="03B2157C"/>
    <w:rsid w:val="03BD2FA8"/>
    <w:rsid w:val="03D43FC2"/>
    <w:rsid w:val="03E2379C"/>
    <w:rsid w:val="03E823D6"/>
    <w:rsid w:val="03EC3438"/>
    <w:rsid w:val="03EF1CB8"/>
    <w:rsid w:val="03F22485"/>
    <w:rsid w:val="0426080F"/>
    <w:rsid w:val="04333397"/>
    <w:rsid w:val="04425FE9"/>
    <w:rsid w:val="044762AA"/>
    <w:rsid w:val="045F127B"/>
    <w:rsid w:val="0467205E"/>
    <w:rsid w:val="046E5030"/>
    <w:rsid w:val="047F7D42"/>
    <w:rsid w:val="0489653F"/>
    <w:rsid w:val="048A6B28"/>
    <w:rsid w:val="04981D44"/>
    <w:rsid w:val="049F3DB3"/>
    <w:rsid w:val="04A04E7B"/>
    <w:rsid w:val="04A56CCB"/>
    <w:rsid w:val="04A9250C"/>
    <w:rsid w:val="04B01582"/>
    <w:rsid w:val="04C17D44"/>
    <w:rsid w:val="04C25116"/>
    <w:rsid w:val="04C57B89"/>
    <w:rsid w:val="04CB4231"/>
    <w:rsid w:val="04D51A61"/>
    <w:rsid w:val="05016CE4"/>
    <w:rsid w:val="050E718A"/>
    <w:rsid w:val="05210E5D"/>
    <w:rsid w:val="05214B13"/>
    <w:rsid w:val="052E1A19"/>
    <w:rsid w:val="055F2FF6"/>
    <w:rsid w:val="05686454"/>
    <w:rsid w:val="057139B6"/>
    <w:rsid w:val="057754F2"/>
    <w:rsid w:val="05A35D71"/>
    <w:rsid w:val="05B065AB"/>
    <w:rsid w:val="05CE2604"/>
    <w:rsid w:val="05D17456"/>
    <w:rsid w:val="062335AF"/>
    <w:rsid w:val="06243474"/>
    <w:rsid w:val="06410743"/>
    <w:rsid w:val="064B18B7"/>
    <w:rsid w:val="064E03A2"/>
    <w:rsid w:val="064F6FBA"/>
    <w:rsid w:val="068157BD"/>
    <w:rsid w:val="06843B5A"/>
    <w:rsid w:val="06A116ED"/>
    <w:rsid w:val="06A77FE4"/>
    <w:rsid w:val="06B51EAB"/>
    <w:rsid w:val="06C17517"/>
    <w:rsid w:val="06C17691"/>
    <w:rsid w:val="06EE2458"/>
    <w:rsid w:val="07195343"/>
    <w:rsid w:val="07254389"/>
    <w:rsid w:val="07280963"/>
    <w:rsid w:val="07283BBC"/>
    <w:rsid w:val="073843F7"/>
    <w:rsid w:val="074E0A56"/>
    <w:rsid w:val="076C6CA2"/>
    <w:rsid w:val="076D5CE6"/>
    <w:rsid w:val="078508C6"/>
    <w:rsid w:val="07C92D47"/>
    <w:rsid w:val="07CA4DE5"/>
    <w:rsid w:val="07DB28A2"/>
    <w:rsid w:val="07E020CE"/>
    <w:rsid w:val="07EA4D10"/>
    <w:rsid w:val="08097B10"/>
    <w:rsid w:val="080F1B46"/>
    <w:rsid w:val="0813234A"/>
    <w:rsid w:val="08211FD1"/>
    <w:rsid w:val="08243795"/>
    <w:rsid w:val="083537ED"/>
    <w:rsid w:val="08372653"/>
    <w:rsid w:val="083C734E"/>
    <w:rsid w:val="083F4CD5"/>
    <w:rsid w:val="08417A7B"/>
    <w:rsid w:val="085F77E6"/>
    <w:rsid w:val="086E5C87"/>
    <w:rsid w:val="08707E21"/>
    <w:rsid w:val="08712B08"/>
    <w:rsid w:val="08763D9D"/>
    <w:rsid w:val="088F579F"/>
    <w:rsid w:val="089366B6"/>
    <w:rsid w:val="08955C70"/>
    <w:rsid w:val="08970F3A"/>
    <w:rsid w:val="08976949"/>
    <w:rsid w:val="08A10645"/>
    <w:rsid w:val="08AC12A9"/>
    <w:rsid w:val="08BA2649"/>
    <w:rsid w:val="08BD246A"/>
    <w:rsid w:val="08C85A1D"/>
    <w:rsid w:val="08D06A36"/>
    <w:rsid w:val="08D8683B"/>
    <w:rsid w:val="08DC0FE3"/>
    <w:rsid w:val="08E24872"/>
    <w:rsid w:val="08EF588E"/>
    <w:rsid w:val="08F6330D"/>
    <w:rsid w:val="090C54BA"/>
    <w:rsid w:val="0923288D"/>
    <w:rsid w:val="092F16EE"/>
    <w:rsid w:val="094E3682"/>
    <w:rsid w:val="09555E20"/>
    <w:rsid w:val="096F7367"/>
    <w:rsid w:val="097F6C5F"/>
    <w:rsid w:val="098900BC"/>
    <w:rsid w:val="09921B5C"/>
    <w:rsid w:val="09A44801"/>
    <w:rsid w:val="09D92F4C"/>
    <w:rsid w:val="09D96953"/>
    <w:rsid w:val="09DE0562"/>
    <w:rsid w:val="09E319B7"/>
    <w:rsid w:val="09ED721B"/>
    <w:rsid w:val="0A130F88"/>
    <w:rsid w:val="0A16231D"/>
    <w:rsid w:val="0A394E5E"/>
    <w:rsid w:val="0A4214E6"/>
    <w:rsid w:val="0A622F41"/>
    <w:rsid w:val="0A7A446C"/>
    <w:rsid w:val="0A7D5CED"/>
    <w:rsid w:val="0A7F7130"/>
    <w:rsid w:val="0A870BFA"/>
    <w:rsid w:val="0A9B2547"/>
    <w:rsid w:val="0ABD286D"/>
    <w:rsid w:val="0AD55E09"/>
    <w:rsid w:val="0AF11BC9"/>
    <w:rsid w:val="0AFB176D"/>
    <w:rsid w:val="0B0B31B3"/>
    <w:rsid w:val="0B144A64"/>
    <w:rsid w:val="0B1C7012"/>
    <w:rsid w:val="0B240833"/>
    <w:rsid w:val="0B3031ED"/>
    <w:rsid w:val="0B354EB2"/>
    <w:rsid w:val="0B373F04"/>
    <w:rsid w:val="0B3F0F07"/>
    <w:rsid w:val="0B4C17B5"/>
    <w:rsid w:val="0B5155F7"/>
    <w:rsid w:val="0B5807E8"/>
    <w:rsid w:val="0B6901C4"/>
    <w:rsid w:val="0B692F04"/>
    <w:rsid w:val="0B6A096C"/>
    <w:rsid w:val="0B721EFB"/>
    <w:rsid w:val="0B792C38"/>
    <w:rsid w:val="0B8556F0"/>
    <w:rsid w:val="0B894B9F"/>
    <w:rsid w:val="0B8E23DB"/>
    <w:rsid w:val="0B995089"/>
    <w:rsid w:val="0B9C58ED"/>
    <w:rsid w:val="0BC4039D"/>
    <w:rsid w:val="0BD14F4E"/>
    <w:rsid w:val="0BDF2684"/>
    <w:rsid w:val="0BDF30E8"/>
    <w:rsid w:val="0BDF5D7D"/>
    <w:rsid w:val="0BE60A01"/>
    <w:rsid w:val="0BEC43AB"/>
    <w:rsid w:val="0BF22112"/>
    <w:rsid w:val="0C182E69"/>
    <w:rsid w:val="0C1D529F"/>
    <w:rsid w:val="0C1E1870"/>
    <w:rsid w:val="0C325E86"/>
    <w:rsid w:val="0C424E69"/>
    <w:rsid w:val="0C547201"/>
    <w:rsid w:val="0C5D7BD6"/>
    <w:rsid w:val="0C620A1C"/>
    <w:rsid w:val="0C7C7D5B"/>
    <w:rsid w:val="0C8337A6"/>
    <w:rsid w:val="0C8E6CD7"/>
    <w:rsid w:val="0CA37F64"/>
    <w:rsid w:val="0CC20327"/>
    <w:rsid w:val="0CC24884"/>
    <w:rsid w:val="0CCD48BE"/>
    <w:rsid w:val="0CE86762"/>
    <w:rsid w:val="0CEC4544"/>
    <w:rsid w:val="0CEE7177"/>
    <w:rsid w:val="0CEF0CD8"/>
    <w:rsid w:val="0D085996"/>
    <w:rsid w:val="0D256266"/>
    <w:rsid w:val="0D6E60A1"/>
    <w:rsid w:val="0D9171AE"/>
    <w:rsid w:val="0DA9338A"/>
    <w:rsid w:val="0DA97966"/>
    <w:rsid w:val="0DAF0B93"/>
    <w:rsid w:val="0DCD2DC7"/>
    <w:rsid w:val="0DCE6B40"/>
    <w:rsid w:val="0DD8176C"/>
    <w:rsid w:val="0DE037BA"/>
    <w:rsid w:val="0DE85E53"/>
    <w:rsid w:val="0E0E4861"/>
    <w:rsid w:val="0E132C75"/>
    <w:rsid w:val="0E2E2A82"/>
    <w:rsid w:val="0E4756D6"/>
    <w:rsid w:val="0E550C71"/>
    <w:rsid w:val="0E5B4877"/>
    <w:rsid w:val="0E5F01E5"/>
    <w:rsid w:val="0E8363B6"/>
    <w:rsid w:val="0EB253C1"/>
    <w:rsid w:val="0EB957D3"/>
    <w:rsid w:val="0ECE1CDE"/>
    <w:rsid w:val="0ECF35E0"/>
    <w:rsid w:val="0ED463D8"/>
    <w:rsid w:val="0EDB7766"/>
    <w:rsid w:val="0EDD528C"/>
    <w:rsid w:val="0EED3D24"/>
    <w:rsid w:val="0F1B578D"/>
    <w:rsid w:val="0F1D03EF"/>
    <w:rsid w:val="0F3533CF"/>
    <w:rsid w:val="0F36499C"/>
    <w:rsid w:val="0F461A45"/>
    <w:rsid w:val="0F476BAA"/>
    <w:rsid w:val="0F684453"/>
    <w:rsid w:val="0F7165DD"/>
    <w:rsid w:val="0F7867DC"/>
    <w:rsid w:val="0F8B2DA9"/>
    <w:rsid w:val="0FB15E33"/>
    <w:rsid w:val="0FDA797C"/>
    <w:rsid w:val="0FE75496"/>
    <w:rsid w:val="0FF86D48"/>
    <w:rsid w:val="100C563E"/>
    <w:rsid w:val="10264A11"/>
    <w:rsid w:val="10292C44"/>
    <w:rsid w:val="10841837"/>
    <w:rsid w:val="10883FD1"/>
    <w:rsid w:val="109F5877"/>
    <w:rsid w:val="10BB57F6"/>
    <w:rsid w:val="10BC00C6"/>
    <w:rsid w:val="10BE10ED"/>
    <w:rsid w:val="10D80401"/>
    <w:rsid w:val="10E13394"/>
    <w:rsid w:val="10E2481B"/>
    <w:rsid w:val="10FD2B76"/>
    <w:rsid w:val="110C102F"/>
    <w:rsid w:val="11146F5F"/>
    <w:rsid w:val="11181B40"/>
    <w:rsid w:val="114A462A"/>
    <w:rsid w:val="1169081A"/>
    <w:rsid w:val="118249C0"/>
    <w:rsid w:val="11887E40"/>
    <w:rsid w:val="11A2337F"/>
    <w:rsid w:val="11B03DAF"/>
    <w:rsid w:val="11DE655A"/>
    <w:rsid w:val="1211642D"/>
    <w:rsid w:val="12303C06"/>
    <w:rsid w:val="123E6579"/>
    <w:rsid w:val="12421048"/>
    <w:rsid w:val="12437AFC"/>
    <w:rsid w:val="124E27C4"/>
    <w:rsid w:val="125C0391"/>
    <w:rsid w:val="126F2075"/>
    <w:rsid w:val="128D6FC9"/>
    <w:rsid w:val="12950F85"/>
    <w:rsid w:val="12960862"/>
    <w:rsid w:val="12A04BDA"/>
    <w:rsid w:val="12A86650"/>
    <w:rsid w:val="12E400DB"/>
    <w:rsid w:val="12E51257"/>
    <w:rsid w:val="12F57C06"/>
    <w:rsid w:val="12FD6D66"/>
    <w:rsid w:val="12FF18AF"/>
    <w:rsid w:val="131953F9"/>
    <w:rsid w:val="13250FB0"/>
    <w:rsid w:val="13323F5B"/>
    <w:rsid w:val="133833D9"/>
    <w:rsid w:val="134C233A"/>
    <w:rsid w:val="136046DE"/>
    <w:rsid w:val="136F7A26"/>
    <w:rsid w:val="137B051A"/>
    <w:rsid w:val="138222F2"/>
    <w:rsid w:val="13837718"/>
    <w:rsid w:val="138C0895"/>
    <w:rsid w:val="138D048A"/>
    <w:rsid w:val="13900013"/>
    <w:rsid w:val="13931510"/>
    <w:rsid w:val="13A11597"/>
    <w:rsid w:val="13A9398F"/>
    <w:rsid w:val="13AE09B3"/>
    <w:rsid w:val="13B262BB"/>
    <w:rsid w:val="13C31130"/>
    <w:rsid w:val="13C85D12"/>
    <w:rsid w:val="13C937D6"/>
    <w:rsid w:val="13E737B7"/>
    <w:rsid w:val="13EE393F"/>
    <w:rsid w:val="13F01AC3"/>
    <w:rsid w:val="1402440B"/>
    <w:rsid w:val="1408673E"/>
    <w:rsid w:val="140E39DD"/>
    <w:rsid w:val="141C207A"/>
    <w:rsid w:val="142D54E1"/>
    <w:rsid w:val="14336CEA"/>
    <w:rsid w:val="14341855"/>
    <w:rsid w:val="14477D16"/>
    <w:rsid w:val="144B4426"/>
    <w:rsid w:val="14633F0B"/>
    <w:rsid w:val="14743D20"/>
    <w:rsid w:val="14774D9D"/>
    <w:rsid w:val="14817EA1"/>
    <w:rsid w:val="148D32B1"/>
    <w:rsid w:val="1493627B"/>
    <w:rsid w:val="14A539EC"/>
    <w:rsid w:val="14D7452C"/>
    <w:rsid w:val="14DA45EC"/>
    <w:rsid w:val="14DC6025"/>
    <w:rsid w:val="14E56F92"/>
    <w:rsid w:val="14F33389"/>
    <w:rsid w:val="14FB602E"/>
    <w:rsid w:val="150E3E9E"/>
    <w:rsid w:val="151F1ED6"/>
    <w:rsid w:val="15347BD0"/>
    <w:rsid w:val="1564126D"/>
    <w:rsid w:val="15645D6E"/>
    <w:rsid w:val="157F0489"/>
    <w:rsid w:val="15A614D9"/>
    <w:rsid w:val="15CA6D94"/>
    <w:rsid w:val="15D226A2"/>
    <w:rsid w:val="15DB7622"/>
    <w:rsid w:val="15FD6214"/>
    <w:rsid w:val="160C46A9"/>
    <w:rsid w:val="161C1345"/>
    <w:rsid w:val="162271CE"/>
    <w:rsid w:val="163D2276"/>
    <w:rsid w:val="1646616E"/>
    <w:rsid w:val="164B7078"/>
    <w:rsid w:val="164E081E"/>
    <w:rsid w:val="16545E33"/>
    <w:rsid w:val="16585B40"/>
    <w:rsid w:val="16750620"/>
    <w:rsid w:val="16961986"/>
    <w:rsid w:val="16984A31"/>
    <w:rsid w:val="16A62408"/>
    <w:rsid w:val="16A724A2"/>
    <w:rsid w:val="16DF64BF"/>
    <w:rsid w:val="16E25B8A"/>
    <w:rsid w:val="16FF6F24"/>
    <w:rsid w:val="170555E3"/>
    <w:rsid w:val="172547B0"/>
    <w:rsid w:val="1730272C"/>
    <w:rsid w:val="17485BB5"/>
    <w:rsid w:val="17516817"/>
    <w:rsid w:val="17562AFA"/>
    <w:rsid w:val="178701A0"/>
    <w:rsid w:val="178D3B42"/>
    <w:rsid w:val="17BB0135"/>
    <w:rsid w:val="17CD1BB2"/>
    <w:rsid w:val="17EB105E"/>
    <w:rsid w:val="17F54509"/>
    <w:rsid w:val="180D61E0"/>
    <w:rsid w:val="181417AB"/>
    <w:rsid w:val="18460FF6"/>
    <w:rsid w:val="184B4224"/>
    <w:rsid w:val="184F21B3"/>
    <w:rsid w:val="186802BC"/>
    <w:rsid w:val="18864D3A"/>
    <w:rsid w:val="189A4C02"/>
    <w:rsid w:val="18A626E9"/>
    <w:rsid w:val="18A74FE1"/>
    <w:rsid w:val="18A90755"/>
    <w:rsid w:val="18B77BA2"/>
    <w:rsid w:val="18BA17D8"/>
    <w:rsid w:val="18C835DC"/>
    <w:rsid w:val="18CB4DD4"/>
    <w:rsid w:val="18D41CCF"/>
    <w:rsid w:val="18DD567D"/>
    <w:rsid w:val="18E1122A"/>
    <w:rsid w:val="190A1374"/>
    <w:rsid w:val="190F698A"/>
    <w:rsid w:val="19192C89"/>
    <w:rsid w:val="19364865"/>
    <w:rsid w:val="19392B48"/>
    <w:rsid w:val="19410B0E"/>
    <w:rsid w:val="19436634"/>
    <w:rsid w:val="195E4D01"/>
    <w:rsid w:val="19961403"/>
    <w:rsid w:val="19962C07"/>
    <w:rsid w:val="19A07745"/>
    <w:rsid w:val="19B25FC3"/>
    <w:rsid w:val="19BF282D"/>
    <w:rsid w:val="19C0263E"/>
    <w:rsid w:val="19CD08FA"/>
    <w:rsid w:val="19D22C3D"/>
    <w:rsid w:val="1A0D68EB"/>
    <w:rsid w:val="1A2B68D6"/>
    <w:rsid w:val="1A3366A8"/>
    <w:rsid w:val="1A50307B"/>
    <w:rsid w:val="1A670100"/>
    <w:rsid w:val="1A810701"/>
    <w:rsid w:val="1A9D590B"/>
    <w:rsid w:val="1A9F5AEC"/>
    <w:rsid w:val="1AA441E5"/>
    <w:rsid w:val="1AC85D1B"/>
    <w:rsid w:val="1ACC5E1B"/>
    <w:rsid w:val="1AD304B8"/>
    <w:rsid w:val="1AD75285"/>
    <w:rsid w:val="1AE006FC"/>
    <w:rsid w:val="1AE23C2A"/>
    <w:rsid w:val="1AFF05E0"/>
    <w:rsid w:val="1B0342CC"/>
    <w:rsid w:val="1B0374CB"/>
    <w:rsid w:val="1B1021D6"/>
    <w:rsid w:val="1B291859"/>
    <w:rsid w:val="1B2E0D2F"/>
    <w:rsid w:val="1B34316D"/>
    <w:rsid w:val="1B3C49CA"/>
    <w:rsid w:val="1B4771C2"/>
    <w:rsid w:val="1B7D49F7"/>
    <w:rsid w:val="1B8E56AB"/>
    <w:rsid w:val="1BA80A6F"/>
    <w:rsid w:val="1BAC5FC4"/>
    <w:rsid w:val="1BAC6712"/>
    <w:rsid w:val="1BB14E66"/>
    <w:rsid w:val="1BE04391"/>
    <w:rsid w:val="1BE31C2B"/>
    <w:rsid w:val="1BF8652E"/>
    <w:rsid w:val="1BFB31F6"/>
    <w:rsid w:val="1C2E65C9"/>
    <w:rsid w:val="1C2F716F"/>
    <w:rsid w:val="1C3E54EB"/>
    <w:rsid w:val="1C3F3D72"/>
    <w:rsid w:val="1C552039"/>
    <w:rsid w:val="1C6E5776"/>
    <w:rsid w:val="1C796C6B"/>
    <w:rsid w:val="1C8A3C5A"/>
    <w:rsid w:val="1C8F7303"/>
    <w:rsid w:val="1C901B90"/>
    <w:rsid w:val="1C967A89"/>
    <w:rsid w:val="1CAE291B"/>
    <w:rsid w:val="1CBB0C42"/>
    <w:rsid w:val="1CBD4126"/>
    <w:rsid w:val="1CC21924"/>
    <w:rsid w:val="1CD15C79"/>
    <w:rsid w:val="1CFA7D96"/>
    <w:rsid w:val="1D124406"/>
    <w:rsid w:val="1D1B4F27"/>
    <w:rsid w:val="1D20081E"/>
    <w:rsid w:val="1D284470"/>
    <w:rsid w:val="1D335514"/>
    <w:rsid w:val="1D356CC0"/>
    <w:rsid w:val="1D501181"/>
    <w:rsid w:val="1D8343E7"/>
    <w:rsid w:val="1D992236"/>
    <w:rsid w:val="1DA51267"/>
    <w:rsid w:val="1DC27599"/>
    <w:rsid w:val="1DE42258"/>
    <w:rsid w:val="1DF82208"/>
    <w:rsid w:val="1DFB27F1"/>
    <w:rsid w:val="1E150EE3"/>
    <w:rsid w:val="1E206F43"/>
    <w:rsid w:val="1E25455A"/>
    <w:rsid w:val="1E38540F"/>
    <w:rsid w:val="1E3C4FCE"/>
    <w:rsid w:val="1E3C6438"/>
    <w:rsid w:val="1E5A2132"/>
    <w:rsid w:val="1E635082"/>
    <w:rsid w:val="1E776749"/>
    <w:rsid w:val="1E820D2A"/>
    <w:rsid w:val="1E892D3B"/>
    <w:rsid w:val="1E8F1ECA"/>
    <w:rsid w:val="1E917E41"/>
    <w:rsid w:val="1E9546A5"/>
    <w:rsid w:val="1E96253F"/>
    <w:rsid w:val="1E9B1F5F"/>
    <w:rsid w:val="1E9D4F5C"/>
    <w:rsid w:val="1EA37146"/>
    <w:rsid w:val="1EAB1ADB"/>
    <w:rsid w:val="1EAC4085"/>
    <w:rsid w:val="1EBF5830"/>
    <w:rsid w:val="1EC645BF"/>
    <w:rsid w:val="1EC67C8F"/>
    <w:rsid w:val="1EC71AB5"/>
    <w:rsid w:val="1ED16490"/>
    <w:rsid w:val="1ED8574D"/>
    <w:rsid w:val="1EDC1A7B"/>
    <w:rsid w:val="1EDD7FA9"/>
    <w:rsid w:val="1EFF124F"/>
    <w:rsid w:val="1EFF2FFD"/>
    <w:rsid w:val="1F0268BD"/>
    <w:rsid w:val="1F0F280A"/>
    <w:rsid w:val="1F1260D8"/>
    <w:rsid w:val="1F2422DF"/>
    <w:rsid w:val="1F2B2168"/>
    <w:rsid w:val="1F306773"/>
    <w:rsid w:val="1F346CA0"/>
    <w:rsid w:val="1F4C66FE"/>
    <w:rsid w:val="1F680BA2"/>
    <w:rsid w:val="1F77014D"/>
    <w:rsid w:val="1F827198"/>
    <w:rsid w:val="1F876088"/>
    <w:rsid w:val="1F925678"/>
    <w:rsid w:val="1F993678"/>
    <w:rsid w:val="1F9F20EA"/>
    <w:rsid w:val="1FB47EFC"/>
    <w:rsid w:val="1FD35342"/>
    <w:rsid w:val="1FDB5C4A"/>
    <w:rsid w:val="200705EA"/>
    <w:rsid w:val="203945B9"/>
    <w:rsid w:val="2042167B"/>
    <w:rsid w:val="204D2CD4"/>
    <w:rsid w:val="20500A32"/>
    <w:rsid w:val="2051003F"/>
    <w:rsid w:val="205D4EF1"/>
    <w:rsid w:val="20677454"/>
    <w:rsid w:val="20787973"/>
    <w:rsid w:val="207F496E"/>
    <w:rsid w:val="20885D40"/>
    <w:rsid w:val="209E5AEC"/>
    <w:rsid w:val="20A21E92"/>
    <w:rsid w:val="20A37050"/>
    <w:rsid w:val="20A91698"/>
    <w:rsid w:val="20B322DA"/>
    <w:rsid w:val="20B53E4A"/>
    <w:rsid w:val="20BA6848"/>
    <w:rsid w:val="20C430EF"/>
    <w:rsid w:val="20E07AF1"/>
    <w:rsid w:val="20F37841"/>
    <w:rsid w:val="210F4172"/>
    <w:rsid w:val="215E7F7D"/>
    <w:rsid w:val="216A5B17"/>
    <w:rsid w:val="21881D08"/>
    <w:rsid w:val="218C5F60"/>
    <w:rsid w:val="218D3E5D"/>
    <w:rsid w:val="21910AEA"/>
    <w:rsid w:val="21AA2BB6"/>
    <w:rsid w:val="21C347B6"/>
    <w:rsid w:val="21CE6EEF"/>
    <w:rsid w:val="21D073B0"/>
    <w:rsid w:val="21D72497"/>
    <w:rsid w:val="21DE4542"/>
    <w:rsid w:val="21EB6A1B"/>
    <w:rsid w:val="21ED538F"/>
    <w:rsid w:val="21F0447F"/>
    <w:rsid w:val="21F77868"/>
    <w:rsid w:val="21FB63BA"/>
    <w:rsid w:val="2217504C"/>
    <w:rsid w:val="223E2DC4"/>
    <w:rsid w:val="22456F79"/>
    <w:rsid w:val="22491C26"/>
    <w:rsid w:val="224E07D8"/>
    <w:rsid w:val="22554647"/>
    <w:rsid w:val="22575CE6"/>
    <w:rsid w:val="2264646B"/>
    <w:rsid w:val="226C52A0"/>
    <w:rsid w:val="226E2973"/>
    <w:rsid w:val="226F59C8"/>
    <w:rsid w:val="22887BC3"/>
    <w:rsid w:val="22EA5D72"/>
    <w:rsid w:val="22FA3D86"/>
    <w:rsid w:val="2309269C"/>
    <w:rsid w:val="231A1B0E"/>
    <w:rsid w:val="231B09DE"/>
    <w:rsid w:val="23222DE2"/>
    <w:rsid w:val="23244A98"/>
    <w:rsid w:val="23373684"/>
    <w:rsid w:val="233B65CE"/>
    <w:rsid w:val="23533917"/>
    <w:rsid w:val="23567880"/>
    <w:rsid w:val="237D15F6"/>
    <w:rsid w:val="23876DB6"/>
    <w:rsid w:val="2389226D"/>
    <w:rsid w:val="238C2D74"/>
    <w:rsid w:val="239048BE"/>
    <w:rsid w:val="23A93BDB"/>
    <w:rsid w:val="23A96390"/>
    <w:rsid w:val="23B35841"/>
    <w:rsid w:val="23C41338"/>
    <w:rsid w:val="23C44815"/>
    <w:rsid w:val="23C62EA7"/>
    <w:rsid w:val="23DF164F"/>
    <w:rsid w:val="23E52D6B"/>
    <w:rsid w:val="23EF46D5"/>
    <w:rsid w:val="23F724F4"/>
    <w:rsid w:val="24042BDB"/>
    <w:rsid w:val="24234AF6"/>
    <w:rsid w:val="24404FB3"/>
    <w:rsid w:val="244C739C"/>
    <w:rsid w:val="245B144E"/>
    <w:rsid w:val="245D3144"/>
    <w:rsid w:val="246B7E66"/>
    <w:rsid w:val="246F4AAC"/>
    <w:rsid w:val="247E599E"/>
    <w:rsid w:val="248E26A9"/>
    <w:rsid w:val="249155FE"/>
    <w:rsid w:val="24B623B0"/>
    <w:rsid w:val="24E16FE1"/>
    <w:rsid w:val="24EB6423"/>
    <w:rsid w:val="250A773C"/>
    <w:rsid w:val="25136D8E"/>
    <w:rsid w:val="25384B48"/>
    <w:rsid w:val="254322A9"/>
    <w:rsid w:val="25471D43"/>
    <w:rsid w:val="254D418D"/>
    <w:rsid w:val="25513E86"/>
    <w:rsid w:val="255179ED"/>
    <w:rsid w:val="256B6EB4"/>
    <w:rsid w:val="2571095A"/>
    <w:rsid w:val="258549DE"/>
    <w:rsid w:val="259326F1"/>
    <w:rsid w:val="25AB17E9"/>
    <w:rsid w:val="26016813"/>
    <w:rsid w:val="2606196B"/>
    <w:rsid w:val="26072636"/>
    <w:rsid w:val="26143C85"/>
    <w:rsid w:val="26156A2E"/>
    <w:rsid w:val="261D1E42"/>
    <w:rsid w:val="262364AE"/>
    <w:rsid w:val="26361F32"/>
    <w:rsid w:val="26414B12"/>
    <w:rsid w:val="2664395E"/>
    <w:rsid w:val="266B0F78"/>
    <w:rsid w:val="26755ECA"/>
    <w:rsid w:val="26906045"/>
    <w:rsid w:val="269E5D92"/>
    <w:rsid w:val="26A37629"/>
    <w:rsid w:val="26C02358"/>
    <w:rsid w:val="26C77C48"/>
    <w:rsid w:val="26D0702D"/>
    <w:rsid w:val="26D272A7"/>
    <w:rsid w:val="26D93911"/>
    <w:rsid w:val="26E63298"/>
    <w:rsid w:val="26FD2518"/>
    <w:rsid w:val="271543D2"/>
    <w:rsid w:val="272F1FA5"/>
    <w:rsid w:val="27433CA3"/>
    <w:rsid w:val="27475541"/>
    <w:rsid w:val="275E46A6"/>
    <w:rsid w:val="27723BE0"/>
    <w:rsid w:val="27835FC2"/>
    <w:rsid w:val="27886618"/>
    <w:rsid w:val="278A15B2"/>
    <w:rsid w:val="278C71E1"/>
    <w:rsid w:val="279845D2"/>
    <w:rsid w:val="27B256E3"/>
    <w:rsid w:val="27D305C7"/>
    <w:rsid w:val="27D91A5B"/>
    <w:rsid w:val="27DB1F8C"/>
    <w:rsid w:val="27E31A18"/>
    <w:rsid w:val="27E964AC"/>
    <w:rsid w:val="27EE00B2"/>
    <w:rsid w:val="27EE6269"/>
    <w:rsid w:val="27F947FC"/>
    <w:rsid w:val="280B2A12"/>
    <w:rsid w:val="283F090E"/>
    <w:rsid w:val="283F53A6"/>
    <w:rsid w:val="28424EE2"/>
    <w:rsid w:val="28453086"/>
    <w:rsid w:val="285E08D0"/>
    <w:rsid w:val="285E6FE6"/>
    <w:rsid w:val="28637E3D"/>
    <w:rsid w:val="28651224"/>
    <w:rsid w:val="287B7B56"/>
    <w:rsid w:val="288D49B8"/>
    <w:rsid w:val="288D78CB"/>
    <w:rsid w:val="28A15125"/>
    <w:rsid w:val="28AA3FD9"/>
    <w:rsid w:val="28C119D8"/>
    <w:rsid w:val="28CB1F56"/>
    <w:rsid w:val="28D30D37"/>
    <w:rsid w:val="28DF504B"/>
    <w:rsid w:val="28E219C5"/>
    <w:rsid w:val="28F224E1"/>
    <w:rsid w:val="28FC7ED2"/>
    <w:rsid w:val="290410FD"/>
    <w:rsid w:val="291A586C"/>
    <w:rsid w:val="291E1321"/>
    <w:rsid w:val="292045F7"/>
    <w:rsid w:val="2920604A"/>
    <w:rsid w:val="29214C42"/>
    <w:rsid w:val="292B0B20"/>
    <w:rsid w:val="29514F8D"/>
    <w:rsid w:val="29613908"/>
    <w:rsid w:val="2967676A"/>
    <w:rsid w:val="298A201C"/>
    <w:rsid w:val="298C582A"/>
    <w:rsid w:val="299568ED"/>
    <w:rsid w:val="299E4141"/>
    <w:rsid w:val="29CD2E3F"/>
    <w:rsid w:val="29D02637"/>
    <w:rsid w:val="29D432EC"/>
    <w:rsid w:val="29D67228"/>
    <w:rsid w:val="2A144AFA"/>
    <w:rsid w:val="2A1F4553"/>
    <w:rsid w:val="2A212221"/>
    <w:rsid w:val="2A230158"/>
    <w:rsid w:val="2A3B2025"/>
    <w:rsid w:val="2A5F55C3"/>
    <w:rsid w:val="2A6F48BA"/>
    <w:rsid w:val="2A8339A2"/>
    <w:rsid w:val="2AC33130"/>
    <w:rsid w:val="2ACE1EC8"/>
    <w:rsid w:val="2ADD059B"/>
    <w:rsid w:val="2ADE61BC"/>
    <w:rsid w:val="2AE632C3"/>
    <w:rsid w:val="2B007F78"/>
    <w:rsid w:val="2B163BA8"/>
    <w:rsid w:val="2B1A4D1A"/>
    <w:rsid w:val="2B1C6CE5"/>
    <w:rsid w:val="2B290297"/>
    <w:rsid w:val="2B471FB3"/>
    <w:rsid w:val="2B4A4876"/>
    <w:rsid w:val="2B9A382D"/>
    <w:rsid w:val="2BA0394B"/>
    <w:rsid w:val="2BA35BA3"/>
    <w:rsid w:val="2BB2311B"/>
    <w:rsid w:val="2BBD4C5A"/>
    <w:rsid w:val="2BCD150F"/>
    <w:rsid w:val="2BD66E93"/>
    <w:rsid w:val="2BD93648"/>
    <w:rsid w:val="2BE912BD"/>
    <w:rsid w:val="2BEC377F"/>
    <w:rsid w:val="2BFC2CAF"/>
    <w:rsid w:val="2C1D296A"/>
    <w:rsid w:val="2C26758B"/>
    <w:rsid w:val="2C286B86"/>
    <w:rsid w:val="2C292C06"/>
    <w:rsid w:val="2C357305"/>
    <w:rsid w:val="2C383938"/>
    <w:rsid w:val="2C473F94"/>
    <w:rsid w:val="2C4958B7"/>
    <w:rsid w:val="2C5E4EB5"/>
    <w:rsid w:val="2C916EC8"/>
    <w:rsid w:val="2CA65861"/>
    <w:rsid w:val="2CB03B88"/>
    <w:rsid w:val="2CC828D8"/>
    <w:rsid w:val="2D0E75A7"/>
    <w:rsid w:val="2D197F39"/>
    <w:rsid w:val="2D215C71"/>
    <w:rsid w:val="2D272F05"/>
    <w:rsid w:val="2D3145A1"/>
    <w:rsid w:val="2D325EBE"/>
    <w:rsid w:val="2D37238E"/>
    <w:rsid w:val="2D450775"/>
    <w:rsid w:val="2D472455"/>
    <w:rsid w:val="2D477E26"/>
    <w:rsid w:val="2D4E0FF6"/>
    <w:rsid w:val="2D551367"/>
    <w:rsid w:val="2D6A1F89"/>
    <w:rsid w:val="2D9939FD"/>
    <w:rsid w:val="2DA06D16"/>
    <w:rsid w:val="2DA614AC"/>
    <w:rsid w:val="2DB476A8"/>
    <w:rsid w:val="2DB53831"/>
    <w:rsid w:val="2DCE3C7D"/>
    <w:rsid w:val="2DCF0D38"/>
    <w:rsid w:val="2DDB0505"/>
    <w:rsid w:val="2DF77CC5"/>
    <w:rsid w:val="2DFF70AD"/>
    <w:rsid w:val="2E00644A"/>
    <w:rsid w:val="2E197228"/>
    <w:rsid w:val="2E490CF6"/>
    <w:rsid w:val="2E4F2F2D"/>
    <w:rsid w:val="2E616693"/>
    <w:rsid w:val="2E640E80"/>
    <w:rsid w:val="2E685A4D"/>
    <w:rsid w:val="2E7D5CEC"/>
    <w:rsid w:val="2E85670C"/>
    <w:rsid w:val="2E93683E"/>
    <w:rsid w:val="2EAE51C5"/>
    <w:rsid w:val="2EC76F67"/>
    <w:rsid w:val="2ECE0FF5"/>
    <w:rsid w:val="2EDB35F4"/>
    <w:rsid w:val="2EE80E9D"/>
    <w:rsid w:val="2EE95130"/>
    <w:rsid w:val="2F063F34"/>
    <w:rsid w:val="2F146650"/>
    <w:rsid w:val="2F305550"/>
    <w:rsid w:val="2F340AB1"/>
    <w:rsid w:val="2F3E05FD"/>
    <w:rsid w:val="2F5A04F1"/>
    <w:rsid w:val="2F702A20"/>
    <w:rsid w:val="2F7601D5"/>
    <w:rsid w:val="2F9C3813"/>
    <w:rsid w:val="2FA03614"/>
    <w:rsid w:val="2FB13E9F"/>
    <w:rsid w:val="2FB214E2"/>
    <w:rsid w:val="2FC13835"/>
    <w:rsid w:val="2FC17679"/>
    <w:rsid w:val="2FCB33B7"/>
    <w:rsid w:val="2FE82DA7"/>
    <w:rsid w:val="2FE8558C"/>
    <w:rsid w:val="2FED6249"/>
    <w:rsid w:val="2FF41FDE"/>
    <w:rsid w:val="2FF724D0"/>
    <w:rsid w:val="3012072F"/>
    <w:rsid w:val="301601A6"/>
    <w:rsid w:val="301A150C"/>
    <w:rsid w:val="302D1BB3"/>
    <w:rsid w:val="30342F1D"/>
    <w:rsid w:val="30395C43"/>
    <w:rsid w:val="303F40CB"/>
    <w:rsid w:val="305344F9"/>
    <w:rsid w:val="305658CA"/>
    <w:rsid w:val="306C1DBC"/>
    <w:rsid w:val="307A4AC9"/>
    <w:rsid w:val="308929C6"/>
    <w:rsid w:val="30893359"/>
    <w:rsid w:val="308E0291"/>
    <w:rsid w:val="30942A46"/>
    <w:rsid w:val="309E477A"/>
    <w:rsid w:val="30A42698"/>
    <w:rsid w:val="30DB652B"/>
    <w:rsid w:val="30DC319E"/>
    <w:rsid w:val="30E639BE"/>
    <w:rsid w:val="30E74C0B"/>
    <w:rsid w:val="30F02844"/>
    <w:rsid w:val="30F30335"/>
    <w:rsid w:val="31051699"/>
    <w:rsid w:val="310D5CA5"/>
    <w:rsid w:val="311321B5"/>
    <w:rsid w:val="311A5A74"/>
    <w:rsid w:val="311F02AF"/>
    <w:rsid w:val="313A7E15"/>
    <w:rsid w:val="3145771C"/>
    <w:rsid w:val="3151177C"/>
    <w:rsid w:val="317A3376"/>
    <w:rsid w:val="318031CF"/>
    <w:rsid w:val="31890866"/>
    <w:rsid w:val="318A77C5"/>
    <w:rsid w:val="31A063FD"/>
    <w:rsid w:val="31B4416D"/>
    <w:rsid w:val="31BD32B2"/>
    <w:rsid w:val="31C6235E"/>
    <w:rsid w:val="31DD71CE"/>
    <w:rsid w:val="31E150A9"/>
    <w:rsid w:val="31F5271A"/>
    <w:rsid w:val="320061DC"/>
    <w:rsid w:val="32352A7B"/>
    <w:rsid w:val="323671A4"/>
    <w:rsid w:val="3237369F"/>
    <w:rsid w:val="323E41C1"/>
    <w:rsid w:val="32406CCF"/>
    <w:rsid w:val="32463A26"/>
    <w:rsid w:val="32552500"/>
    <w:rsid w:val="326E6E6C"/>
    <w:rsid w:val="326F3B9E"/>
    <w:rsid w:val="32700042"/>
    <w:rsid w:val="327166EE"/>
    <w:rsid w:val="3274548D"/>
    <w:rsid w:val="327C087E"/>
    <w:rsid w:val="32933F60"/>
    <w:rsid w:val="329A2FAD"/>
    <w:rsid w:val="32AA2E28"/>
    <w:rsid w:val="32CA3359"/>
    <w:rsid w:val="32E02AEF"/>
    <w:rsid w:val="32E5571A"/>
    <w:rsid w:val="32EB65E8"/>
    <w:rsid w:val="32EC120E"/>
    <w:rsid w:val="32EE756C"/>
    <w:rsid w:val="32F26CA9"/>
    <w:rsid w:val="331623EA"/>
    <w:rsid w:val="33165D81"/>
    <w:rsid w:val="331F562A"/>
    <w:rsid w:val="331F7CDC"/>
    <w:rsid w:val="33201918"/>
    <w:rsid w:val="33275293"/>
    <w:rsid w:val="33353039"/>
    <w:rsid w:val="333B2E78"/>
    <w:rsid w:val="333D0034"/>
    <w:rsid w:val="333E1EEE"/>
    <w:rsid w:val="333F5C66"/>
    <w:rsid w:val="33441CFD"/>
    <w:rsid w:val="334F40FB"/>
    <w:rsid w:val="33634E42"/>
    <w:rsid w:val="33661C03"/>
    <w:rsid w:val="3386499B"/>
    <w:rsid w:val="33895844"/>
    <w:rsid w:val="33B12A74"/>
    <w:rsid w:val="33B755E0"/>
    <w:rsid w:val="33EA22B9"/>
    <w:rsid w:val="33EE561B"/>
    <w:rsid w:val="33F2005B"/>
    <w:rsid w:val="340915D9"/>
    <w:rsid w:val="341660D6"/>
    <w:rsid w:val="34316ACF"/>
    <w:rsid w:val="343321E4"/>
    <w:rsid w:val="3449718C"/>
    <w:rsid w:val="34580D8D"/>
    <w:rsid w:val="345A7CDA"/>
    <w:rsid w:val="346B239F"/>
    <w:rsid w:val="346E704F"/>
    <w:rsid w:val="3477169F"/>
    <w:rsid w:val="347845C3"/>
    <w:rsid w:val="347A4A94"/>
    <w:rsid w:val="348061C8"/>
    <w:rsid w:val="348558FB"/>
    <w:rsid w:val="348E726D"/>
    <w:rsid w:val="34983880"/>
    <w:rsid w:val="34A72740"/>
    <w:rsid w:val="34A83CBD"/>
    <w:rsid w:val="34B00BC9"/>
    <w:rsid w:val="34C90259"/>
    <w:rsid w:val="34DC2F20"/>
    <w:rsid w:val="34F23FA0"/>
    <w:rsid w:val="34F5398E"/>
    <w:rsid w:val="35232779"/>
    <w:rsid w:val="35410B17"/>
    <w:rsid w:val="354D1DB2"/>
    <w:rsid w:val="354E7917"/>
    <w:rsid w:val="35533564"/>
    <w:rsid w:val="357F3C0D"/>
    <w:rsid w:val="35867B7C"/>
    <w:rsid w:val="359C482A"/>
    <w:rsid w:val="35A2648D"/>
    <w:rsid w:val="35C32A55"/>
    <w:rsid w:val="35EE3F20"/>
    <w:rsid w:val="35F42D38"/>
    <w:rsid w:val="363A1A40"/>
    <w:rsid w:val="364F4412"/>
    <w:rsid w:val="365057CB"/>
    <w:rsid w:val="366B4A33"/>
    <w:rsid w:val="366F05D1"/>
    <w:rsid w:val="36707E4B"/>
    <w:rsid w:val="36C06D6C"/>
    <w:rsid w:val="36C0742F"/>
    <w:rsid w:val="36C848DD"/>
    <w:rsid w:val="36CB72FE"/>
    <w:rsid w:val="370B22B6"/>
    <w:rsid w:val="3720617D"/>
    <w:rsid w:val="375A115E"/>
    <w:rsid w:val="376F7161"/>
    <w:rsid w:val="37786996"/>
    <w:rsid w:val="37863E63"/>
    <w:rsid w:val="37AB7604"/>
    <w:rsid w:val="37C60704"/>
    <w:rsid w:val="380309E4"/>
    <w:rsid w:val="38152477"/>
    <w:rsid w:val="381A3FBC"/>
    <w:rsid w:val="382F1BF9"/>
    <w:rsid w:val="383115F5"/>
    <w:rsid w:val="386A4D8B"/>
    <w:rsid w:val="387060FE"/>
    <w:rsid w:val="38780152"/>
    <w:rsid w:val="387939C8"/>
    <w:rsid w:val="387D2978"/>
    <w:rsid w:val="388242C0"/>
    <w:rsid w:val="388D490B"/>
    <w:rsid w:val="38A35CBB"/>
    <w:rsid w:val="38A65E3F"/>
    <w:rsid w:val="38AA19BF"/>
    <w:rsid w:val="38C53CA2"/>
    <w:rsid w:val="38C904AC"/>
    <w:rsid w:val="38CA274D"/>
    <w:rsid w:val="38DB3D3B"/>
    <w:rsid w:val="390E4110"/>
    <w:rsid w:val="391A3434"/>
    <w:rsid w:val="39511C84"/>
    <w:rsid w:val="396759FD"/>
    <w:rsid w:val="397958BD"/>
    <w:rsid w:val="397D3884"/>
    <w:rsid w:val="39801E55"/>
    <w:rsid w:val="39882850"/>
    <w:rsid w:val="398F55AF"/>
    <w:rsid w:val="39916AF0"/>
    <w:rsid w:val="399B079A"/>
    <w:rsid w:val="39AF7201"/>
    <w:rsid w:val="39BB72A2"/>
    <w:rsid w:val="39C61315"/>
    <w:rsid w:val="39DA200A"/>
    <w:rsid w:val="39DB1464"/>
    <w:rsid w:val="39EC4848"/>
    <w:rsid w:val="39F71049"/>
    <w:rsid w:val="39F94DC1"/>
    <w:rsid w:val="39FB1FB5"/>
    <w:rsid w:val="3A0D2327"/>
    <w:rsid w:val="3A1D23B3"/>
    <w:rsid w:val="3A3620BE"/>
    <w:rsid w:val="3A3932E5"/>
    <w:rsid w:val="3A3F327A"/>
    <w:rsid w:val="3A402C8E"/>
    <w:rsid w:val="3A502A4B"/>
    <w:rsid w:val="3A57294E"/>
    <w:rsid w:val="3A577D39"/>
    <w:rsid w:val="3A725720"/>
    <w:rsid w:val="3A8A623C"/>
    <w:rsid w:val="3A8D36C6"/>
    <w:rsid w:val="3A95562A"/>
    <w:rsid w:val="3A9D6FE0"/>
    <w:rsid w:val="3A9E50EE"/>
    <w:rsid w:val="3ABC50BD"/>
    <w:rsid w:val="3AC416E1"/>
    <w:rsid w:val="3AC802D1"/>
    <w:rsid w:val="3AE47E5B"/>
    <w:rsid w:val="3AFB0727"/>
    <w:rsid w:val="3B0E7AE4"/>
    <w:rsid w:val="3B34709E"/>
    <w:rsid w:val="3B374E54"/>
    <w:rsid w:val="3B64270E"/>
    <w:rsid w:val="3B662A70"/>
    <w:rsid w:val="3B7216AD"/>
    <w:rsid w:val="3B7A2E9E"/>
    <w:rsid w:val="3B815EBA"/>
    <w:rsid w:val="3B8B5E54"/>
    <w:rsid w:val="3B924D83"/>
    <w:rsid w:val="3B984165"/>
    <w:rsid w:val="3B9C0F7B"/>
    <w:rsid w:val="3BA044D9"/>
    <w:rsid w:val="3BB80364"/>
    <w:rsid w:val="3BC87B4C"/>
    <w:rsid w:val="3BE54BE6"/>
    <w:rsid w:val="3C043541"/>
    <w:rsid w:val="3C1746DE"/>
    <w:rsid w:val="3C1C4D96"/>
    <w:rsid w:val="3C1D0ABD"/>
    <w:rsid w:val="3C241E9D"/>
    <w:rsid w:val="3C456A27"/>
    <w:rsid w:val="3C4E0CC8"/>
    <w:rsid w:val="3C7B42E0"/>
    <w:rsid w:val="3C894E88"/>
    <w:rsid w:val="3C957F32"/>
    <w:rsid w:val="3CA37266"/>
    <w:rsid w:val="3CDD06FA"/>
    <w:rsid w:val="3CEF7ADE"/>
    <w:rsid w:val="3CF010B9"/>
    <w:rsid w:val="3CF61A27"/>
    <w:rsid w:val="3D141F11"/>
    <w:rsid w:val="3D1B7EA2"/>
    <w:rsid w:val="3D2116F3"/>
    <w:rsid w:val="3D2959BD"/>
    <w:rsid w:val="3D2E7CCB"/>
    <w:rsid w:val="3D436353"/>
    <w:rsid w:val="3D4B512D"/>
    <w:rsid w:val="3D612479"/>
    <w:rsid w:val="3D741EAE"/>
    <w:rsid w:val="3D7E2A2B"/>
    <w:rsid w:val="3D7E6297"/>
    <w:rsid w:val="3D834075"/>
    <w:rsid w:val="3D8D740C"/>
    <w:rsid w:val="3DBA72BA"/>
    <w:rsid w:val="3DC92869"/>
    <w:rsid w:val="3DD3562E"/>
    <w:rsid w:val="3DDE52D5"/>
    <w:rsid w:val="3DE43692"/>
    <w:rsid w:val="3DEE0AC0"/>
    <w:rsid w:val="3DF83223"/>
    <w:rsid w:val="3E077CBE"/>
    <w:rsid w:val="3E102F58"/>
    <w:rsid w:val="3E1B01C4"/>
    <w:rsid w:val="3E1C24A8"/>
    <w:rsid w:val="3E29618D"/>
    <w:rsid w:val="3E3C7AEA"/>
    <w:rsid w:val="3E3D4BD0"/>
    <w:rsid w:val="3E683EEA"/>
    <w:rsid w:val="3E824C64"/>
    <w:rsid w:val="3E8A0F75"/>
    <w:rsid w:val="3E987AEE"/>
    <w:rsid w:val="3E9A2284"/>
    <w:rsid w:val="3EA95F6A"/>
    <w:rsid w:val="3EAC34A7"/>
    <w:rsid w:val="3EB472BD"/>
    <w:rsid w:val="3ED35816"/>
    <w:rsid w:val="3F012022"/>
    <w:rsid w:val="3F15252A"/>
    <w:rsid w:val="3F1B5750"/>
    <w:rsid w:val="3F3177A8"/>
    <w:rsid w:val="3F496CBE"/>
    <w:rsid w:val="3F587306"/>
    <w:rsid w:val="3F6F1681"/>
    <w:rsid w:val="3F9115F7"/>
    <w:rsid w:val="3FAE024D"/>
    <w:rsid w:val="3FF033EE"/>
    <w:rsid w:val="3FF67573"/>
    <w:rsid w:val="40213BB3"/>
    <w:rsid w:val="40275EA5"/>
    <w:rsid w:val="40546C48"/>
    <w:rsid w:val="406960D0"/>
    <w:rsid w:val="40701A4C"/>
    <w:rsid w:val="40741F5B"/>
    <w:rsid w:val="40751EC0"/>
    <w:rsid w:val="40774232"/>
    <w:rsid w:val="407C4056"/>
    <w:rsid w:val="40860801"/>
    <w:rsid w:val="40865A6A"/>
    <w:rsid w:val="40884362"/>
    <w:rsid w:val="408E7435"/>
    <w:rsid w:val="40924816"/>
    <w:rsid w:val="40A427E0"/>
    <w:rsid w:val="40A8309D"/>
    <w:rsid w:val="40AE3E97"/>
    <w:rsid w:val="40BF2194"/>
    <w:rsid w:val="40F87C4C"/>
    <w:rsid w:val="40FA1B12"/>
    <w:rsid w:val="4122513C"/>
    <w:rsid w:val="41355EF0"/>
    <w:rsid w:val="41392674"/>
    <w:rsid w:val="4151260A"/>
    <w:rsid w:val="415D1E0C"/>
    <w:rsid w:val="41794F45"/>
    <w:rsid w:val="41AC2719"/>
    <w:rsid w:val="41C51A2C"/>
    <w:rsid w:val="41E24A0A"/>
    <w:rsid w:val="41E54201"/>
    <w:rsid w:val="41EA0EFE"/>
    <w:rsid w:val="41EA4D02"/>
    <w:rsid w:val="42470693"/>
    <w:rsid w:val="42517364"/>
    <w:rsid w:val="425D1C65"/>
    <w:rsid w:val="4262363F"/>
    <w:rsid w:val="42866E0B"/>
    <w:rsid w:val="42887741"/>
    <w:rsid w:val="429F227D"/>
    <w:rsid w:val="42A10A0B"/>
    <w:rsid w:val="42A82704"/>
    <w:rsid w:val="42AF630A"/>
    <w:rsid w:val="42CE76C5"/>
    <w:rsid w:val="42E27706"/>
    <w:rsid w:val="4305085A"/>
    <w:rsid w:val="431742E7"/>
    <w:rsid w:val="43312BDE"/>
    <w:rsid w:val="433862B6"/>
    <w:rsid w:val="43457D5C"/>
    <w:rsid w:val="436314FD"/>
    <w:rsid w:val="43743B53"/>
    <w:rsid w:val="43763D41"/>
    <w:rsid w:val="43843137"/>
    <w:rsid w:val="4391176E"/>
    <w:rsid w:val="43B545F0"/>
    <w:rsid w:val="43CF397F"/>
    <w:rsid w:val="43D30430"/>
    <w:rsid w:val="43D57B76"/>
    <w:rsid w:val="43EC3C39"/>
    <w:rsid w:val="43F539A2"/>
    <w:rsid w:val="440D347A"/>
    <w:rsid w:val="44134CD1"/>
    <w:rsid w:val="442A447D"/>
    <w:rsid w:val="44391ED2"/>
    <w:rsid w:val="444903F3"/>
    <w:rsid w:val="444F12A9"/>
    <w:rsid w:val="44823C05"/>
    <w:rsid w:val="449A4C45"/>
    <w:rsid w:val="44A85A06"/>
    <w:rsid w:val="44C252E7"/>
    <w:rsid w:val="44D04970"/>
    <w:rsid w:val="44D34460"/>
    <w:rsid w:val="44E43D61"/>
    <w:rsid w:val="44E72DD0"/>
    <w:rsid w:val="44EE10CA"/>
    <w:rsid w:val="452250F1"/>
    <w:rsid w:val="4525639F"/>
    <w:rsid w:val="452623E2"/>
    <w:rsid w:val="45284541"/>
    <w:rsid w:val="45316B5D"/>
    <w:rsid w:val="45534298"/>
    <w:rsid w:val="45581F32"/>
    <w:rsid w:val="45593BE6"/>
    <w:rsid w:val="456875F0"/>
    <w:rsid w:val="456F5A54"/>
    <w:rsid w:val="45A858ED"/>
    <w:rsid w:val="45A96C77"/>
    <w:rsid w:val="45AC7614"/>
    <w:rsid w:val="45AE69DF"/>
    <w:rsid w:val="45B33761"/>
    <w:rsid w:val="45C53DA9"/>
    <w:rsid w:val="45CC6425"/>
    <w:rsid w:val="45F90A33"/>
    <w:rsid w:val="461A0599"/>
    <w:rsid w:val="463F07A1"/>
    <w:rsid w:val="467D28D5"/>
    <w:rsid w:val="4691012F"/>
    <w:rsid w:val="46B67097"/>
    <w:rsid w:val="46BA5F18"/>
    <w:rsid w:val="46BC3AE3"/>
    <w:rsid w:val="46BF57EA"/>
    <w:rsid w:val="46E22B80"/>
    <w:rsid w:val="47073A3C"/>
    <w:rsid w:val="471C6162"/>
    <w:rsid w:val="471D1AE4"/>
    <w:rsid w:val="471E63A8"/>
    <w:rsid w:val="47394A4E"/>
    <w:rsid w:val="474B7E8D"/>
    <w:rsid w:val="474F4C0B"/>
    <w:rsid w:val="475F38B6"/>
    <w:rsid w:val="47685614"/>
    <w:rsid w:val="476D294A"/>
    <w:rsid w:val="47A428C2"/>
    <w:rsid w:val="47B75973"/>
    <w:rsid w:val="47C00874"/>
    <w:rsid w:val="47D236CB"/>
    <w:rsid w:val="47E41648"/>
    <w:rsid w:val="47E71D6B"/>
    <w:rsid w:val="47E801AB"/>
    <w:rsid w:val="47EC4B78"/>
    <w:rsid w:val="47F02948"/>
    <w:rsid w:val="480D47B9"/>
    <w:rsid w:val="481E59F2"/>
    <w:rsid w:val="48233849"/>
    <w:rsid w:val="48277842"/>
    <w:rsid w:val="483D20C4"/>
    <w:rsid w:val="4847319B"/>
    <w:rsid w:val="484C5F54"/>
    <w:rsid w:val="48642EEB"/>
    <w:rsid w:val="48776E5E"/>
    <w:rsid w:val="48795C23"/>
    <w:rsid w:val="488C2FD7"/>
    <w:rsid w:val="48974A79"/>
    <w:rsid w:val="489F5422"/>
    <w:rsid w:val="489F7CE0"/>
    <w:rsid w:val="48C93BB0"/>
    <w:rsid w:val="48D14BB0"/>
    <w:rsid w:val="48D2515B"/>
    <w:rsid w:val="48D41089"/>
    <w:rsid w:val="48D70F6B"/>
    <w:rsid w:val="48E50E7E"/>
    <w:rsid w:val="48F50E49"/>
    <w:rsid w:val="490E63AC"/>
    <w:rsid w:val="490F1DBB"/>
    <w:rsid w:val="49260A0E"/>
    <w:rsid w:val="492A7C7B"/>
    <w:rsid w:val="493D634C"/>
    <w:rsid w:val="49750ACF"/>
    <w:rsid w:val="498768B0"/>
    <w:rsid w:val="498D286D"/>
    <w:rsid w:val="498F1EC9"/>
    <w:rsid w:val="498F281F"/>
    <w:rsid w:val="49DE5CE3"/>
    <w:rsid w:val="49E1306F"/>
    <w:rsid w:val="4A0A6A2A"/>
    <w:rsid w:val="4A104F60"/>
    <w:rsid w:val="4A1277D9"/>
    <w:rsid w:val="4A204EC8"/>
    <w:rsid w:val="4A236AB7"/>
    <w:rsid w:val="4A4C7A60"/>
    <w:rsid w:val="4A5730A3"/>
    <w:rsid w:val="4A7D1B58"/>
    <w:rsid w:val="4A7D6FF8"/>
    <w:rsid w:val="4AA5064D"/>
    <w:rsid w:val="4ACC5BD9"/>
    <w:rsid w:val="4AD34EFA"/>
    <w:rsid w:val="4ADD1B95"/>
    <w:rsid w:val="4AE04400"/>
    <w:rsid w:val="4AE93111"/>
    <w:rsid w:val="4AFE3744"/>
    <w:rsid w:val="4B30754A"/>
    <w:rsid w:val="4B37594E"/>
    <w:rsid w:val="4B3C44DC"/>
    <w:rsid w:val="4B4546E2"/>
    <w:rsid w:val="4B5F5FC3"/>
    <w:rsid w:val="4B6549DC"/>
    <w:rsid w:val="4B6E06DF"/>
    <w:rsid w:val="4B775B45"/>
    <w:rsid w:val="4B937C35"/>
    <w:rsid w:val="4B9F2EFD"/>
    <w:rsid w:val="4BAB3B76"/>
    <w:rsid w:val="4BAF63DD"/>
    <w:rsid w:val="4BB57285"/>
    <w:rsid w:val="4BBD1489"/>
    <w:rsid w:val="4BBE6123"/>
    <w:rsid w:val="4BC36FDC"/>
    <w:rsid w:val="4BDB0C2D"/>
    <w:rsid w:val="4BEC49FE"/>
    <w:rsid w:val="4C0478A6"/>
    <w:rsid w:val="4C1C66ED"/>
    <w:rsid w:val="4C3A380D"/>
    <w:rsid w:val="4C6A0DCA"/>
    <w:rsid w:val="4C6B04B5"/>
    <w:rsid w:val="4C7F272A"/>
    <w:rsid w:val="4C934C01"/>
    <w:rsid w:val="4CB01933"/>
    <w:rsid w:val="4CB45732"/>
    <w:rsid w:val="4CBD3D2C"/>
    <w:rsid w:val="4CC24367"/>
    <w:rsid w:val="4CC254E6"/>
    <w:rsid w:val="4CD160C0"/>
    <w:rsid w:val="4D022C05"/>
    <w:rsid w:val="4D1F5342"/>
    <w:rsid w:val="4D224D75"/>
    <w:rsid w:val="4D2C7AF3"/>
    <w:rsid w:val="4D341814"/>
    <w:rsid w:val="4D343260"/>
    <w:rsid w:val="4D452701"/>
    <w:rsid w:val="4D484218"/>
    <w:rsid w:val="4D5D0D6B"/>
    <w:rsid w:val="4D5F4C58"/>
    <w:rsid w:val="4D677E3B"/>
    <w:rsid w:val="4D7267BE"/>
    <w:rsid w:val="4D7D140D"/>
    <w:rsid w:val="4DA747B2"/>
    <w:rsid w:val="4DAA2AAB"/>
    <w:rsid w:val="4DD067B1"/>
    <w:rsid w:val="4DDC7FA5"/>
    <w:rsid w:val="4E143766"/>
    <w:rsid w:val="4E4906EE"/>
    <w:rsid w:val="4E556334"/>
    <w:rsid w:val="4E577EB0"/>
    <w:rsid w:val="4E5C0BF1"/>
    <w:rsid w:val="4E692982"/>
    <w:rsid w:val="4E81128D"/>
    <w:rsid w:val="4E9E5ADF"/>
    <w:rsid w:val="4EAA2B9B"/>
    <w:rsid w:val="4EAC63A7"/>
    <w:rsid w:val="4EB44450"/>
    <w:rsid w:val="4EBE06E2"/>
    <w:rsid w:val="4EF018DD"/>
    <w:rsid w:val="4F04640B"/>
    <w:rsid w:val="4F0E3BBD"/>
    <w:rsid w:val="4F144EEE"/>
    <w:rsid w:val="4F1D07B2"/>
    <w:rsid w:val="4F4C2A01"/>
    <w:rsid w:val="4F6A776F"/>
    <w:rsid w:val="4F6B7BB9"/>
    <w:rsid w:val="4F981B6D"/>
    <w:rsid w:val="4F9C6B71"/>
    <w:rsid w:val="4FA6654E"/>
    <w:rsid w:val="4FB33A06"/>
    <w:rsid w:val="4FC96B8B"/>
    <w:rsid w:val="4FCC7BD9"/>
    <w:rsid w:val="4FD17574"/>
    <w:rsid w:val="4FD51E77"/>
    <w:rsid w:val="4FEF0962"/>
    <w:rsid w:val="4FF51ACA"/>
    <w:rsid w:val="4FF659D3"/>
    <w:rsid w:val="4FFB6AF8"/>
    <w:rsid w:val="502B33A2"/>
    <w:rsid w:val="502D6990"/>
    <w:rsid w:val="503009B9"/>
    <w:rsid w:val="503A7C33"/>
    <w:rsid w:val="503B7503"/>
    <w:rsid w:val="504B134F"/>
    <w:rsid w:val="504F133D"/>
    <w:rsid w:val="505408EF"/>
    <w:rsid w:val="50626FEC"/>
    <w:rsid w:val="50802698"/>
    <w:rsid w:val="50852092"/>
    <w:rsid w:val="50A53155"/>
    <w:rsid w:val="50B62460"/>
    <w:rsid w:val="50DF4E67"/>
    <w:rsid w:val="50E15827"/>
    <w:rsid w:val="51002F0E"/>
    <w:rsid w:val="51071B0C"/>
    <w:rsid w:val="512E279E"/>
    <w:rsid w:val="514C35D0"/>
    <w:rsid w:val="51731135"/>
    <w:rsid w:val="51753008"/>
    <w:rsid w:val="517D7903"/>
    <w:rsid w:val="51E809A2"/>
    <w:rsid w:val="51EF6CDE"/>
    <w:rsid w:val="51F219E4"/>
    <w:rsid w:val="51FE624D"/>
    <w:rsid w:val="521209E2"/>
    <w:rsid w:val="52151A1A"/>
    <w:rsid w:val="521A27C6"/>
    <w:rsid w:val="52214A5D"/>
    <w:rsid w:val="522C13B9"/>
    <w:rsid w:val="5234116C"/>
    <w:rsid w:val="52391B1D"/>
    <w:rsid w:val="523A167B"/>
    <w:rsid w:val="5254213E"/>
    <w:rsid w:val="526650E8"/>
    <w:rsid w:val="526A6404"/>
    <w:rsid w:val="5274323B"/>
    <w:rsid w:val="527812C6"/>
    <w:rsid w:val="52804735"/>
    <w:rsid w:val="529A25D5"/>
    <w:rsid w:val="52AE3750"/>
    <w:rsid w:val="52B5436D"/>
    <w:rsid w:val="52BD2046"/>
    <w:rsid w:val="52BE1CC3"/>
    <w:rsid w:val="52D25D57"/>
    <w:rsid w:val="52DB195C"/>
    <w:rsid w:val="52E25026"/>
    <w:rsid w:val="52F03D33"/>
    <w:rsid w:val="53053AB0"/>
    <w:rsid w:val="531655AF"/>
    <w:rsid w:val="536E66F9"/>
    <w:rsid w:val="53733BF6"/>
    <w:rsid w:val="53873D44"/>
    <w:rsid w:val="53962B3E"/>
    <w:rsid w:val="539F4BC3"/>
    <w:rsid w:val="53BF0089"/>
    <w:rsid w:val="53C7637D"/>
    <w:rsid w:val="53C9708E"/>
    <w:rsid w:val="53CD6E9C"/>
    <w:rsid w:val="53E3217E"/>
    <w:rsid w:val="53E51640"/>
    <w:rsid w:val="5410069F"/>
    <w:rsid w:val="541F502B"/>
    <w:rsid w:val="54271F86"/>
    <w:rsid w:val="5428422D"/>
    <w:rsid w:val="542850CE"/>
    <w:rsid w:val="542E520F"/>
    <w:rsid w:val="54412AB9"/>
    <w:rsid w:val="54484B90"/>
    <w:rsid w:val="545311AD"/>
    <w:rsid w:val="545430A1"/>
    <w:rsid w:val="5459131B"/>
    <w:rsid w:val="546B6463"/>
    <w:rsid w:val="5471114B"/>
    <w:rsid w:val="54813591"/>
    <w:rsid w:val="54A31759"/>
    <w:rsid w:val="54B14A15"/>
    <w:rsid w:val="54B14ED7"/>
    <w:rsid w:val="54B5148C"/>
    <w:rsid w:val="54BE73BB"/>
    <w:rsid w:val="54C0392D"/>
    <w:rsid w:val="54EC1A3E"/>
    <w:rsid w:val="550876C8"/>
    <w:rsid w:val="552473CE"/>
    <w:rsid w:val="55273084"/>
    <w:rsid w:val="553918DB"/>
    <w:rsid w:val="554F3566"/>
    <w:rsid w:val="555D3FFE"/>
    <w:rsid w:val="55694C7A"/>
    <w:rsid w:val="557A1F24"/>
    <w:rsid w:val="557B277B"/>
    <w:rsid w:val="55A939CC"/>
    <w:rsid w:val="55AA7895"/>
    <w:rsid w:val="55DF443D"/>
    <w:rsid w:val="55E62380"/>
    <w:rsid w:val="55F04E72"/>
    <w:rsid w:val="55FB34EE"/>
    <w:rsid w:val="56072347"/>
    <w:rsid w:val="5628417F"/>
    <w:rsid w:val="562B489D"/>
    <w:rsid w:val="56310FE7"/>
    <w:rsid w:val="56384123"/>
    <w:rsid w:val="564357FC"/>
    <w:rsid w:val="564451BE"/>
    <w:rsid w:val="5650554F"/>
    <w:rsid w:val="565C7725"/>
    <w:rsid w:val="56721800"/>
    <w:rsid w:val="568820D4"/>
    <w:rsid w:val="568D45BE"/>
    <w:rsid w:val="569D5052"/>
    <w:rsid w:val="56D33E1D"/>
    <w:rsid w:val="56DC71A4"/>
    <w:rsid w:val="56EB5C17"/>
    <w:rsid w:val="56F67432"/>
    <w:rsid w:val="56FC10C4"/>
    <w:rsid w:val="570C2AAA"/>
    <w:rsid w:val="571737E6"/>
    <w:rsid w:val="57196811"/>
    <w:rsid w:val="571D6CF2"/>
    <w:rsid w:val="57230876"/>
    <w:rsid w:val="5725461D"/>
    <w:rsid w:val="573514B2"/>
    <w:rsid w:val="57440F69"/>
    <w:rsid w:val="5754503F"/>
    <w:rsid w:val="576378C6"/>
    <w:rsid w:val="57645644"/>
    <w:rsid w:val="57650F48"/>
    <w:rsid w:val="578C51EE"/>
    <w:rsid w:val="579161E1"/>
    <w:rsid w:val="57AC7CFA"/>
    <w:rsid w:val="57C2639A"/>
    <w:rsid w:val="57E27D6D"/>
    <w:rsid w:val="57EA3B43"/>
    <w:rsid w:val="58003366"/>
    <w:rsid w:val="58135902"/>
    <w:rsid w:val="581D05D2"/>
    <w:rsid w:val="581E7B89"/>
    <w:rsid w:val="58203E2B"/>
    <w:rsid w:val="58363A1E"/>
    <w:rsid w:val="583B5B55"/>
    <w:rsid w:val="583E7652"/>
    <w:rsid w:val="583F3E8F"/>
    <w:rsid w:val="5847689F"/>
    <w:rsid w:val="586C0F12"/>
    <w:rsid w:val="586E0CF8"/>
    <w:rsid w:val="587C043C"/>
    <w:rsid w:val="587F7675"/>
    <w:rsid w:val="5892088E"/>
    <w:rsid w:val="58AA2D4B"/>
    <w:rsid w:val="58B0376F"/>
    <w:rsid w:val="58C93758"/>
    <w:rsid w:val="58D24194"/>
    <w:rsid w:val="58F61B0E"/>
    <w:rsid w:val="58FC58DC"/>
    <w:rsid w:val="590251D7"/>
    <w:rsid w:val="59075246"/>
    <w:rsid w:val="590810D4"/>
    <w:rsid w:val="592B1BE2"/>
    <w:rsid w:val="592D2065"/>
    <w:rsid w:val="593E07E2"/>
    <w:rsid w:val="593F441C"/>
    <w:rsid w:val="5949660E"/>
    <w:rsid w:val="59517920"/>
    <w:rsid w:val="59617A34"/>
    <w:rsid w:val="596C32A7"/>
    <w:rsid w:val="59721B65"/>
    <w:rsid w:val="598D4786"/>
    <w:rsid w:val="599574FB"/>
    <w:rsid w:val="599D695C"/>
    <w:rsid w:val="59A25F54"/>
    <w:rsid w:val="59A87F44"/>
    <w:rsid w:val="59C451A3"/>
    <w:rsid w:val="59C46400"/>
    <w:rsid w:val="59CE01AC"/>
    <w:rsid w:val="59DB389A"/>
    <w:rsid w:val="59FD3B38"/>
    <w:rsid w:val="5A1530F9"/>
    <w:rsid w:val="5A1F7AD4"/>
    <w:rsid w:val="5A2B7D90"/>
    <w:rsid w:val="5A3E0765"/>
    <w:rsid w:val="5A406DEB"/>
    <w:rsid w:val="5A4640AD"/>
    <w:rsid w:val="5A493D64"/>
    <w:rsid w:val="5A583C89"/>
    <w:rsid w:val="5A5E3DF2"/>
    <w:rsid w:val="5A6514E8"/>
    <w:rsid w:val="5A6E567A"/>
    <w:rsid w:val="5A8238C1"/>
    <w:rsid w:val="5A824E8E"/>
    <w:rsid w:val="5AAF6D4A"/>
    <w:rsid w:val="5AB74837"/>
    <w:rsid w:val="5AC530DC"/>
    <w:rsid w:val="5AC54D73"/>
    <w:rsid w:val="5ADF16B5"/>
    <w:rsid w:val="5B034F7D"/>
    <w:rsid w:val="5B077572"/>
    <w:rsid w:val="5B1C48F7"/>
    <w:rsid w:val="5B3D2335"/>
    <w:rsid w:val="5B596518"/>
    <w:rsid w:val="5B6A7475"/>
    <w:rsid w:val="5B825172"/>
    <w:rsid w:val="5B8A7AA0"/>
    <w:rsid w:val="5B95101E"/>
    <w:rsid w:val="5BA43574"/>
    <w:rsid w:val="5BAA3237"/>
    <w:rsid w:val="5BBA2229"/>
    <w:rsid w:val="5BC46FC8"/>
    <w:rsid w:val="5BC91312"/>
    <w:rsid w:val="5BDD6EA5"/>
    <w:rsid w:val="5BDE1220"/>
    <w:rsid w:val="5BDE3B67"/>
    <w:rsid w:val="5C1F62D6"/>
    <w:rsid w:val="5C2742D2"/>
    <w:rsid w:val="5C4471CE"/>
    <w:rsid w:val="5C510CA7"/>
    <w:rsid w:val="5C6C4B26"/>
    <w:rsid w:val="5C70627F"/>
    <w:rsid w:val="5C78121F"/>
    <w:rsid w:val="5C7E3B46"/>
    <w:rsid w:val="5C8E6AD3"/>
    <w:rsid w:val="5C962A0F"/>
    <w:rsid w:val="5C9C63C8"/>
    <w:rsid w:val="5CA04BF9"/>
    <w:rsid w:val="5CBA15A3"/>
    <w:rsid w:val="5CD82D18"/>
    <w:rsid w:val="5CDC0BDD"/>
    <w:rsid w:val="5CE96DCA"/>
    <w:rsid w:val="5CFB0D0E"/>
    <w:rsid w:val="5D077EF5"/>
    <w:rsid w:val="5D0D570F"/>
    <w:rsid w:val="5D1458EA"/>
    <w:rsid w:val="5D2D04E6"/>
    <w:rsid w:val="5D310BBF"/>
    <w:rsid w:val="5D5061F6"/>
    <w:rsid w:val="5D590772"/>
    <w:rsid w:val="5D670BC7"/>
    <w:rsid w:val="5D6F385A"/>
    <w:rsid w:val="5D8E4CA8"/>
    <w:rsid w:val="5D9702C9"/>
    <w:rsid w:val="5D9B1B67"/>
    <w:rsid w:val="5DB86D54"/>
    <w:rsid w:val="5DBE6255"/>
    <w:rsid w:val="5DCA043A"/>
    <w:rsid w:val="5DDC5EE5"/>
    <w:rsid w:val="5DE06080"/>
    <w:rsid w:val="5DE623A9"/>
    <w:rsid w:val="5DEA188D"/>
    <w:rsid w:val="5E026B09"/>
    <w:rsid w:val="5E103836"/>
    <w:rsid w:val="5E1C1E8A"/>
    <w:rsid w:val="5E1C4572"/>
    <w:rsid w:val="5E246A8B"/>
    <w:rsid w:val="5E2A4C99"/>
    <w:rsid w:val="5E303CE5"/>
    <w:rsid w:val="5E4B5198"/>
    <w:rsid w:val="5E642265"/>
    <w:rsid w:val="5E710B1A"/>
    <w:rsid w:val="5E93283E"/>
    <w:rsid w:val="5EA70CDE"/>
    <w:rsid w:val="5EBE0A06"/>
    <w:rsid w:val="5ECB1CD4"/>
    <w:rsid w:val="5ED50ED8"/>
    <w:rsid w:val="5EF779D7"/>
    <w:rsid w:val="5EFA1803"/>
    <w:rsid w:val="5EFC2014"/>
    <w:rsid w:val="5F0465E4"/>
    <w:rsid w:val="5F0E78E8"/>
    <w:rsid w:val="5F1B0A3E"/>
    <w:rsid w:val="5F3042A0"/>
    <w:rsid w:val="5F3B2D6C"/>
    <w:rsid w:val="5F41673E"/>
    <w:rsid w:val="5F4C3660"/>
    <w:rsid w:val="5F4D0535"/>
    <w:rsid w:val="5F57453E"/>
    <w:rsid w:val="5F5B53F6"/>
    <w:rsid w:val="5F60685A"/>
    <w:rsid w:val="5F8854D5"/>
    <w:rsid w:val="5FA570E4"/>
    <w:rsid w:val="5FAC744F"/>
    <w:rsid w:val="5FC353A5"/>
    <w:rsid w:val="5FCF3D4A"/>
    <w:rsid w:val="5FDC62ED"/>
    <w:rsid w:val="5FE819D3"/>
    <w:rsid w:val="5FEA6D9D"/>
    <w:rsid w:val="5FED7100"/>
    <w:rsid w:val="5FF44887"/>
    <w:rsid w:val="60432042"/>
    <w:rsid w:val="604550F9"/>
    <w:rsid w:val="6049085F"/>
    <w:rsid w:val="6051231A"/>
    <w:rsid w:val="60554CDC"/>
    <w:rsid w:val="60580311"/>
    <w:rsid w:val="60751E3A"/>
    <w:rsid w:val="60963944"/>
    <w:rsid w:val="60994E7B"/>
    <w:rsid w:val="60B751E8"/>
    <w:rsid w:val="60D07D7A"/>
    <w:rsid w:val="60DC5B8D"/>
    <w:rsid w:val="60E77EFC"/>
    <w:rsid w:val="60ED27E4"/>
    <w:rsid w:val="611C61A9"/>
    <w:rsid w:val="613227E3"/>
    <w:rsid w:val="613545B9"/>
    <w:rsid w:val="6143479C"/>
    <w:rsid w:val="619A1950"/>
    <w:rsid w:val="619D4186"/>
    <w:rsid w:val="61AE7D97"/>
    <w:rsid w:val="61F80AC1"/>
    <w:rsid w:val="62031A89"/>
    <w:rsid w:val="62316AA4"/>
    <w:rsid w:val="623E241B"/>
    <w:rsid w:val="624A237C"/>
    <w:rsid w:val="62686EAA"/>
    <w:rsid w:val="626C5880"/>
    <w:rsid w:val="62722A66"/>
    <w:rsid w:val="627D508D"/>
    <w:rsid w:val="629D1EDE"/>
    <w:rsid w:val="62A226C2"/>
    <w:rsid w:val="62C8546B"/>
    <w:rsid w:val="62D813F4"/>
    <w:rsid w:val="62DC4BD7"/>
    <w:rsid w:val="630615B2"/>
    <w:rsid w:val="632073D1"/>
    <w:rsid w:val="6329520B"/>
    <w:rsid w:val="63362285"/>
    <w:rsid w:val="635C5213"/>
    <w:rsid w:val="636D7EBA"/>
    <w:rsid w:val="639064E8"/>
    <w:rsid w:val="63AE1EC8"/>
    <w:rsid w:val="63CE15FA"/>
    <w:rsid w:val="63D83474"/>
    <w:rsid w:val="63DB6EED"/>
    <w:rsid w:val="63EF2296"/>
    <w:rsid w:val="64044E99"/>
    <w:rsid w:val="643F15A9"/>
    <w:rsid w:val="64410F8F"/>
    <w:rsid w:val="644D1BED"/>
    <w:rsid w:val="64743A57"/>
    <w:rsid w:val="64962060"/>
    <w:rsid w:val="649901EE"/>
    <w:rsid w:val="64A81117"/>
    <w:rsid w:val="64B27796"/>
    <w:rsid w:val="64B308E0"/>
    <w:rsid w:val="64C32CDA"/>
    <w:rsid w:val="64E85323"/>
    <w:rsid w:val="64E86B5E"/>
    <w:rsid w:val="64EC5266"/>
    <w:rsid w:val="64F8789F"/>
    <w:rsid w:val="651E4D27"/>
    <w:rsid w:val="65336F33"/>
    <w:rsid w:val="655834E5"/>
    <w:rsid w:val="65774DE2"/>
    <w:rsid w:val="658F6A2D"/>
    <w:rsid w:val="65962C14"/>
    <w:rsid w:val="659A6BA8"/>
    <w:rsid w:val="65A9123D"/>
    <w:rsid w:val="65AF7C90"/>
    <w:rsid w:val="65B124D6"/>
    <w:rsid w:val="65BD2414"/>
    <w:rsid w:val="65FB194F"/>
    <w:rsid w:val="661208FC"/>
    <w:rsid w:val="66134265"/>
    <w:rsid w:val="661C3008"/>
    <w:rsid w:val="66233CEE"/>
    <w:rsid w:val="6626043C"/>
    <w:rsid w:val="662D301C"/>
    <w:rsid w:val="664A36D1"/>
    <w:rsid w:val="665A7A13"/>
    <w:rsid w:val="6664740F"/>
    <w:rsid w:val="6665384F"/>
    <w:rsid w:val="66943F9D"/>
    <w:rsid w:val="6695367E"/>
    <w:rsid w:val="66986EFA"/>
    <w:rsid w:val="66B91561"/>
    <w:rsid w:val="66B91976"/>
    <w:rsid w:val="66B97C81"/>
    <w:rsid w:val="66E815AD"/>
    <w:rsid w:val="66F43DD4"/>
    <w:rsid w:val="66FC4493"/>
    <w:rsid w:val="670C7116"/>
    <w:rsid w:val="670C7632"/>
    <w:rsid w:val="67191D4F"/>
    <w:rsid w:val="673452B8"/>
    <w:rsid w:val="674B7A80"/>
    <w:rsid w:val="675C0C10"/>
    <w:rsid w:val="67801DCE"/>
    <w:rsid w:val="678D0DEB"/>
    <w:rsid w:val="67B75509"/>
    <w:rsid w:val="67C004EE"/>
    <w:rsid w:val="67CB3049"/>
    <w:rsid w:val="67DF5789"/>
    <w:rsid w:val="67E5058E"/>
    <w:rsid w:val="67E553B0"/>
    <w:rsid w:val="67EF2889"/>
    <w:rsid w:val="67FA4E8C"/>
    <w:rsid w:val="67FB568E"/>
    <w:rsid w:val="681E1C8A"/>
    <w:rsid w:val="681E74FC"/>
    <w:rsid w:val="68246020"/>
    <w:rsid w:val="6841330B"/>
    <w:rsid w:val="6846531F"/>
    <w:rsid w:val="685A18FB"/>
    <w:rsid w:val="685A261F"/>
    <w:rsid w:val="68791152"/>
    <w:rsid w:val="687C28DB"/>
    <w:rsid w:val="68907DEF"/>
    <w:rsid w:val="68976136"/>
    <w:rsid w:val="68A0278A"/>
    <w:rsid w:val="68C812E7"/>
    <w:rsid w:val="68CE0B86"/>
    <w:rsid w:val="68F540D3"/>
    <w:rsid w:val="68FA59C2"/>
    <w:rsid w:val="69082643"/>
    <w:rsid w:val="69256E15"/>
    <w:rsid w:val="692764EA"/>
    <w:rsid w:val="6939071B"/>
    <w:rsid w:val="695976F5"/>
    <w:rsid w:val="696C260A"/>
    <w:rsid w:val="699219DD"/>
    <w:rsid w:val="69A654F2"/>
    <w:rsid w:val="69B00A10"/>
    <w:rsid w:val="69B42EE2"/>
    <w:rsid w:val="69D92366"/>
    <w:rsid w:val="69DA12FC"/>
    <w:rsid w:val="69DE72A2"/>
    <w:rsid w:val="69E40BF9"/>
    <w:rsid w:val="69E95A08"/>
    <w:rsid w:val="69FA5E67"/>
    <w:rsid w:val="6A206100"/>
    <w:rsid w:val="6A263131"/>
    <w:rsid w:val="6A263720"/>
    <w:rsid w:val="6A330B04"/>
    <w:rsid w:val="6A426472"/>
    <w:rsid w:val="6A436AEC"/>
    <w:rsid w:val="6A445335"/>
    <w:rsid w:val="6A717CE3"/>
    <w:rsid w:val="6A730EA4"/>
    <w:rsid w:val="6A9260A0"/>
    <w:rsid w:val="6AAB68AC"/>
    <w:rsid w:val="6AB574DF"/>
    <w:rsid w:val="6ACC62E0"/>
    <w:rsid w:val="6ACE4105"/>
    <w:rsid w:val="6AD03793"/>
    <w:rsid w:val="6AE461D0"/>
    <w:rsid w:val="6AE608D0"/>
    <w:rsid w:val="6B1B6AC3"/>
    <w:rsid w:val="6B23269D"/>
    <w:rsid w:val="6B327AFB"/>
    <w:rsid w:val="6B336006"/>
    <w:rsid w:val="6B363102"/>
    <w:rsid w:val="6B467F07"/>
    <w:rsid w:val="6B4904A7"/>
    <w:rsid w:val="6B4B624F"/>
    <w:rsid w:val="6B4F3F91"/>
    <w:rsid w:val="6B5E78FE"/>
    <w:rsid w:val="6B622E3D"/>
    <w:rsid w:val="6B623CC4"/>
    <w:rsid w:val="6B94255A"/>
    <w:rsid w:val="6B966DF8"/>
    <w:rsid w:val="6BA01D5F"/>
    <w:rsid w:val="6BA554C4"/>
    <w:rsid w:val="6BB06E24"/>
    <w:rsid w:val="6BB211A1"/>
    <w:rsid w:val="6BD4467E"/>
    <w:rsid w:val="6BEC0E7A"/>
    <w:rsid w:val="6BF71AE5"/>
    <w:rsid w:val="6BFA67A6"/>
    <w:rsid w:val="6C00528B"/>
    <w:rsid w:val="6C0C2360"/>
    <w:rsid w:val="6C1D733F"/>
    <w:rsid w:val="6C296A44"/>
    <w:rsid w:val="6C2C23C0"/>
    <w:rsid w:val="6C382FD6"/>
    <w:rsid w:val="6C395525"/>
    <w:rsid w:val="6C54338D"/>
    <w:rsid w:val="6C577324"/>
    <w:rsid w:val="6C5F747B"/>
    <w:rsid w:val="6C6643BF"/>
    <w:rsid w:val="6C667726"/>
    <w:rsid w:val="6C6B1CC8"/>
    <w:rsid w:val="6C813704"/>
    <w:rsid w:val="6CAC14B8"/>
    <w:rsid w:val="6CAE55F6"/>
    <w:rsid w:val="6CCD618B"/>
    <w:rsid w:val="6CD41A5B"/>
    <w:rsid w:val="6CD45481"/>
    <w:rsid w:val="6D0059E8"/>
    <w:rsid w:val="6D0D058A"/>
    <w:rsid w:val="6D155705"/>
    <w:rsid w:val="6D2102DD"/>
    <w:rsid w:val="6D4F5F3E"/>
    <w:rsid w:val="6D654AF0"/>
    <w:rsid w:val="6D672DF1"/>
    <w:rsid w:val="6D702BDA"/>
    <w:rsid w:val="6D7607C6"/>
    <w:rsid w:val="6D7C6B93"/>
    <w:rsid w:val="6D91680B"/>
    <w:rsid w:val="6DBE61E8"/>
    <w:rsid w:val="6DCF760B"/>
    <w:rsid w:val="6DF45B50"/>
    <w:rsid w:val="6E02353D"/>
    <w:rsid w:val="6E0237C7"/>
    <w:rsid w:val="6E0F5CB7"/>
    <w:rsid w:val="6E3C46FC"/>
    <w:rsid w:val="6E487B8A"/>
    <w:rsid w:val="6E547FBE"/>
    <w:rsid w:val="6E62419F"/>
    <w:rsid w:val="6E9D322D"/>
    <w:rsid w:val="6EBB757B"/>
    <w:rsid w:val="6EC519AE"/>
    <w:rsid w:val="6EC53715"/>
    <w:rsid w:val="6ECA1928"/>
    <w:rsid w:val="6ED17380"/>
    <w:rsid w:val="6EEE6897"/>
    <w:rsid w:val="6F080E6D"/>
    <w:rsid w:val="6F086931"/>
    <w:rsid w:val="6F175ED7"/>
    <w:rsid w:val="6F1A63C1"/>
    <w:rsid w:val="6F222ACE"/>
    <w:rsid w:val="6F4106F3"/>
    <w:rsid w:val="6F724588"/>
    <w:rsid w:val="6F734606"/>
    <w:rsid w:val="6F812514"/>
    <w:rsid w:val="6F8C7562"/>
    <w:rsid w:val="6F8D5CB6"/>
    <w:rsid w:val="6FA9005F"/>
    <w:rsid w:val="6FC71C5E"/>
    <w:rsid w:val="6FCC43BD"/>
    <w:rsid w:val="6FD91702"/>
    <w:rsid w:val="6FE657EB"/>
    <w:rsid w:val="6FED00FF"/>
    <w:rsid w:val="6FF84890"/>
    <w:rsid w:val="70383246"/>
    <w:rsid w:val="704E6956"/>
    <w:rsid w:val="705B5186"/>
    <w:rsid w:val="70A54970"/>
    <w:rsid w:val="70A76FF5"/>
    <w:rsid w:val="70CE3BAA"/>
    <w:rsid w:val="70D02E1F"/>
    <w:rsid w:val="70D3169F"/>
    <w:rsid w:val="70DC4E9C"/>
    <w:rsid w:val="70DC62C7"/>
    <w:rsid w:val="70ED0D8F"/>
    <w:rsid w:val="71072C18"/>
    <w:rsid w:val="711F45B9"/>
    <w:rsid w:val="712802B3"/>
    <w:rsid w:val="713B1222"/>
    <w:rsid w:val="714E63D6"/>
    <w:rsid w:val="71756349"/>
    <w:rsid w:val="71780B1E"/>
    <w:rsid w:val="71834994"/>
    <w:rsid w:val="71905F74"/>
    <w:rsid w:val="71AB11C7"/>
    <w:rsid w:val="71AC3EEB"/>
    <w:rsid w:val="71E33AEE"/>
    <w:rsid w:val="71F71DF5"/>
    <w:rsid w:val="71FC66A6"/>
    <w:rsid w:val="71FD217F"/>
    <w:rsid w:val="720601C5"/>
    <w:rsid w:val="72206BCE"/>
    <w:rsid w:val="72210924"/>
    <w:rsid w:val="722B123D"/>
    <w:rsid w:val="724541FF"/>
    <w:rsid w:val="72582D54"/>
    <w:rsid w:val="727918F3"/>
    <w:rsid w:val="727D3192"/>
    <w:rsid w:val="72842B7E"/>
    <w:rsid w:val="729C6937"/>
    <w:rsid w:val="72AC0994"/>
    <w:rsid w:val="72C20476"/>
    <w:rsid w:val="72D32E9D"/>
    <w:rsid w:val="72D95E85"/>
    <w:rsid w:val="72E66B78"/>
    <w:rsid w:val="72E7502A"/>
    <w:rsid w:val="73044502"/>
    <w:rsid w:val="730832B1"/>
    <w:rsid w:val="73247AB1"/>
    <w:rsid w:val="7345735F"/>
    <w:rsid w:val="734E1B56"/>
    <w:rsid w:val="736528CC"/>
    <w:rsid w:val="736D4CD8"/>
    <w:rsid w:val="737E5EBB"/>
    <w:rsid w:val="73885D9B"/>
    <w:rsid w:val="73A019BD"/>
    <w:rsid w:val="73A9592E"/>
    <w:rsid w:val="73A960E7"/>
    <w:rsid w:val="73AA26AC"/>
    <w:rsid w:val="73B93D0D"/>
    <w:rsid w:val="73BC23E0"/>
    <w:rsid w:val="73DB7AF6"/>
    <w:rsid w:val="73DE0A03"/>
    <w:rsid w:val="73E96B3C"/>
    <w:rsid w:val="740A43A4"/>
    <w:rsid w:val="740F0761"/>
    <w:rsid w:val="74314148"/>
    <w:rsid w:val="744C7E0E"/>
    <w:rsid w:val="745775DE"/>
    <w:rsid w:val="745D758A"/>
    <w:rsid w:val="745F712C"/>
    <w:rsid w:val="74695686"/>
    <w:rsid w:val="746C3BCF"/>
    <w:rsid w:val="74726218"/>
    <w:rsid w:val="7479207F"/>
    <w:rsid w:val="74813987"/>
    <w:rsid w:val="74AF7B7D"/>
    <w:rsid w:val="74B15097"/>
    <w:rsid w:val="74B174B7"/>
    <w:rsid w:val="74B662A6"/>
    <w:rsid w:val="74C14C55"/>
    <w:rsid w:val="74C730E6"/>
    <w:rsid w:val="74D40C14"/>
    <w:rsid w:val="74DD408E"/>
    <w:rsid w:val="74E4387B"/>
    <w:rsid w:val="74EF0204"/>
    <w:rsid w:val="74F4000B"/>
    <w:rsid w:val="74F53565"/>
    <w:rsid w:val="750C0702"/>
    <w:rsid w:val="751002ED"/>
    <w:rsid w:val="75290C8A"/>
    <w:rsid w:val="75354D85"/>
    <w:rsid w:val="75381A33"/>
    <w:rsid w:val="753A05F3"/>
    <w:rsid w:val="755E271D"/>
    <w:rsid w:val="756646E4"/>
    <w:rsid w:val="75674CA9"/>
    <w:rsid w:val="756C26AF"/>
    <w:rsid w:val="7584145F"/>
    <w:rsid w:val="758B541D"/>
    <w:rsid w:val="75A152BF"/>
    <w:rsid w:val="75B5699E"/>
    <w:rsid w:val="75D02172"/>
    <w:rsid w:val="75E8126A"/>
    <w:rsid w:val="75EF0431"/>
    <w:rsid w:val="760F4A49"/>
    <w:rsid w:val="761D6F02"/>
    <w:rsid w:val="7628317F"/>
    <w:rsid w:val="763846D6"/>
    <w:rsid w:val="765C2A9A"/>
    <w:rsid w:val="76616E2A"/>
    <w:rsid w:val="766F54E7"/>
    <w:rsid w:val="767D7C04"/>
    <w:rsid w:val="768052EC"/>
    <w:rsid w:val="769470CC"/>
    <w:rsid w:val="76B90DB8"/>
    <w:rsid w:val="76B928AB"/>
    <w:rsid w:val="76D0185E"/>
    <w:rsid w:val="76EE01F5"/>
    <w:rsid w:val="7709593C"/>
    <w:rsid w:val="770F4A0E"/>
    <w:rsid w:val="771340C5"/>
    <w:rsid w:val="771B662C"/>
    <w:rsid w:val="771C23B1"/>
    <w:rsid w:val="772E2BF6"/>
    <w:rsid w:val="774804CC"/>
    <w:rsid w:val="77547927"/>
    <w:rsid w:val="77722EAD"/>
    <w:rsid w:val="777C270F"/>
    <w:rsid w:val="777C39DF"/>
    <w:rsid w:val="778B00FF"/>
    <w:rsid w:val="77A362D1"/>
    <w:rsid w:val="77CF75E3"/>
    <w:rsid w:val="77DD3B92"/>
    <w:rsid w:val="77F12A59"/>
    <w:rsid w:val="78063C29"/>
    <w:rsid w:val="780B46B4"/>
    <w:rsid w:val="782021D6"/>
    <w:rsid w:val="782C17E6"/>
    <w:rsid w:val="7831720A"/>
    <w:rsid w:val="78484242"/>
    <w:rsid w:val="784A371B"/>
    <w:rsid w:val="784D0268"/>
    <w:rsid w:val="78511BFB"/>
    <w:rsid w:val="78570929"/>
    <w:rsid w:val="78720F0B"/>
    <w:rsid w:val="787B4617"/>
    <w:rsid w:val="787B6CEB"/>
    <w:rsid w:val="787D4FC2"/>
    <w:rsid w:val="788334CC"/>
    <w:rsid w:val="7889250C"/>
    <w:rsid w:val="7895540D"/>
    <w:rsid w:val="789629A1"/>
    <w:rsid w:val="78A53442"/>
    <w:rsid w:val="78AA212A"/>
    <w:rsid w:val="78B47E62"/>
    <w:rsid w:val="78B6564F"/>
    <w:rsid w:val="78BD3A19"/>
    <w:rsid w:val="78C53AE4"/>
    <w:rsid w:val="78CA743F"/>
    <w:rsid w:val="78DB6E64"/>
    <w:rsid w:val="78FC723E"/>
    <w:rsid w:val="790068CB"/>
    <w:rsid w:val="7903576C"/>
    <w:rsid w:val="791059C4"/>
    <w:rsid w:val="79144124"/>
    <w:rsid w:val="793A002E"/>
    <w:rsid w:val="79471A66"/>
    <w:rsid w:val="794B4FBB"/>
    <w:rsid w:val="79715F03"/>
    <w:rsid w:val="797D43BF"/>
    <w:rsid w:val="798017B9"/>
    <w:rsid w:val="79832C90"/>
    <w:rsid w:val="79B34D12"/>
    <w:rsid w:val="79BA09EE"/>
    <w:rsid w:val="79CD40FA"/>
    <w:rsid w:val="79EA60FA"/>
    <w:rsid w:val="7A1376CB"/>
    <w:rsid w:val="7A2D7B93"/>
    <w:rsid w:val="7A304541"/>
    <w:rsid w:val="7A3F563E"/>
    <w:rsid w:val="7A47368D"/>
    <w:rsid w:val="7A477AC9"/>
    <w:rsid w:val="7A487312"/>
    <w:rsid w:val="7A4A7E2B"/>
    <w:rsid w:val="7A4B0FE0"/>
    <w:rsid w:val="7A4C2BA3"/>
    <w:rsid w:val="7A662F0C"/>
    <w:rsid w:val="7A922A62"/>
    <w:rsid w:val="7A9B7021"/>
    <w:rsid w:val="7AA6125A"/>
    <w:rsid w:val="7AAB161A"/>
    <w:rsid w:val="7AB744CE"/>
    <w:rsid w:val="7AD622E1"/>
    <w:rsid w:val="7AE019BD"/>
    <w:rsid w:val="7AE31DB8"/>
    <w:rsid w:val="7AF2300E"/>
    <w:rsid w:val="7B0C07ED"/>
    <w:rsid w:val="7B192506"/>
    <w:rsid w:val="7B2B7492"/>
    <w:rsid w:val="7B3B29FD"/>
    <w:rsid w:val="7B440233"/>
    <w:rsid w:val="7B446F42"/>
    <w:rsid w:val="7B505C2F"/>
    <w:rsid w:val="7B590514"/>
    <w:rsid w:val="7B631BC2"/>
    <w:rsid w:val="7B66424C"/>
    <w:rsid w:val="7BAC3148"/>
    <w:rsid w:val="7BBC0F77"/>
    <w:rsid w:val="7BBF003E"/>
    <w:rsid w:val="7BC86099"/>
    <w:rsid w:val="7BC9713C"/>
    <w:rsid w:val="7BCF61EF"/>
    <w:rsid w:val="7BDE4FC2"/>
    <w:rsid w:val="7BF85F7F"/>
    <w:rsid w:val="7C081039"/>
    <w:rsid w:val="7C251BB9"/>
    <w:rsid w:val="7C270A47"/>
    <w:rsid w:val="7C526BA2"/>
    <w:rsid w:val="7C530C03"/>
    <w:rsid w:val="7C597451"/>
    <w:rsid w:val="7C66738C"/>
    <w:rsid w:val="7C72188D"/>
    <w:rsid w:val="7C7A4BE6"/>
    <w:rsid w:val="7C887303"/>
    <w:rsid w:val="7C9E49BB"/>
    <w:rsid w:val="7CA83501"/>
    <w:rsid w:val="7CBE33F7"/>
    <w:rsid w:val="7CC320E9"/>
    <w:rsid w:val="7CDE5CED"/>
    <w:rsid w:val="7CE77E19"/>
    <w:rsid w:val="7CF873D9"/>
    <w:rsid w:val="7CFC31CC"/>
    <w:rsid w:val="7CFE5817"/>
    <w:rsid w:val="7D023B87"/>
    <w:rsid w:val="7D094AC2"/>
    <w:rsid w:val="7D277784"/>
    <w:rsid w:val="7D281411"/>
    <w:rsid w:val="7D2D0E92"/>
    <w:rsid w:val="7D2F1335"/>
    <w:rsid w:val="7D5E7AAB"/>
    <w:rsid w:val="7D613541"/>
    <w:rsid w:val="7D623196"/>
    <w:rsid w:val="7D6A383D"/>
    <w:rsid w:val="7D787EF8"/>
    <w:rsid w:val="7D853F17"/>
    <w:rsid w:val="7DB3008D"/>
    <w:rsid w:val="7DB32A7F"/>
    <w:rsid w:val="7DC3439E"/>
    <w:rsid w:val="7DD16A88"/>
    <w:rsid w:val="7DE435B1"/>
    <w:rsid w:val="7DF123E8"/>
    <w:rsid w:val="7DF13B08"/>
    <w:rsid w:val="7DF63207"/>
    <w:rsid w:val="7E0064D6"/>
    <w:rsid w:val="7E032F24"/>
    <w:rsid w:val="7E0D2455"/>
    <w:rsid w:val="7E113552"/>
    <w:rsid w:val="7E34384C"/>
    <w:rsid w:val="7E3D470A"/>
    <w:rsid w:val="7E3E2ED1"/>
    <w:rsid w:val="7E481050"/>
    <w:rsid w:val="7E4F112B"/>
    <w:rsid w:val="7E5132C5"/>
    <w:rsid w:val="7E5A6D5D"/>
    <w:rsid w:val="7E725143"/>
    <w:rsid w:val="7E7722A2"/>
    <w:rsid w:val="7E7F64E4"/>
    <w:rsid w:val="7E8D040A"/>
    <w:rsid w:val="7E977CD1"/>
    <w:rsid w:val="7EB75211"/>
    <w:rsid w:val="7ED17784"/>
    <w:rsid w:val="7EDA761A"/>
    <w:rsid w:val="7EFC4E2F"/>
    <w:rsid w:val="7F19185F"/>
    <w:rsid w:val="7F203823"/>
    <w:rsid w:val="7F20708C"/>
    <w:rsid w:val="7F413AA5"/>
    <w:rsid w:val="7F4E67C5"/>
    <w:rsid w:val="7F5E3540"/>
    <w:rsid w:val="7F6C5324"/>
    <w:rsid w:val="7F7973D7"/>
    <w:rsid w:val="7F8A2AB7"/>
    <w:rsid w:val="7F8C2BED"/>
    <w:rsid w:val="7F8F0454"/>
    <w:rsid w:val="7FAE3829"/>
    <w:rsid w:val="7FC62FFE"/>
    <w:rsid w:val="7FCA3FDF"/>
    <w:rsid w:val="7FE34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3">
    <w:name w:val="heading 1"/>
    <w:basedOn w:val="1"/>
    <w:next w:val="1"/>
    <w:link w:val="43"/>
    <w:autoRedefine/>
    <w:qFormat/>
    <w:uiPriority w:val="9"/>
    <w:pPr>
      <w:keepNext/>
      <w:keepLines/>
      <w:spacing w:line="240" w:lineRule="auto"/>
      <w:jc w:val="center"/>
      <w:outlineLvl w:val="0"/>
    </w:pPr>
    <w:rPr>
      <w:rFonts w:eastAsia="仿宋"/>
      <w:b/>
      <w:color w:val="000000"/>
      <w:kern w:val="44"/>
      <w:sz w:val="36"/>
      <w:szCs w:val="44"/>
    </w:rPr>
  </w:style>
  <w:style w:type="paragraph" w:styleId="4">
    <w:name w:val="heading 2"/>
    <w:basedOn w:val="1"/>
    <w:next w:val="1"/>
    <w:autoRedefine/>
    <w:qFormat/>
    <w:uiPriority w:val="9"/>
    <w:pPr>
      <w:keepNext/>
      <w:keepLines/>
      <w:spacing w:line="240" w:lineRule="auto"/>
      <w:outlineLvl w:val="1"/>
    </w:pPr>
    <w:rPr>
      <w:rFonts w:ascii="Calibri" w:hAnsi="Calibri" w:cs="黑体"/>
      <w:b/>
      <w:bCs/>
      <w:sz w:val="32"/>
      <w:szCs w:val="32"/>
    </w:rPr>
  </w:style>
  <w:style w:type="paragraph" w:styleId="5">
    <w:name w:val="heading 3"/>
    <w:basedOn w:val="1"/>
    <w:next w:val="1"/>
    <w:autoRedefine/>
    <w:qFormat/>
    <w:uiPriority w:val="9"/>
    <w:pPr>
      <w:keepNext/>
      <w:keepLines/>
      <w:spacing w:line="400" w:lineRule="atLeast"/>
      <w:jc w:val="center"/>
      <w:outlineLvl w:val="2"/>
    </w:pPr>
    <w:rPr>
      <w:b/>
      <w:bCs/>
      <w:sz w:val="32"/>
      <w:szCs w:val="32"/>
      <w:u w:val="double"/>
    </w:rPr>
  </w:style>
  <w:style w:type="paragraph" w:styleId="2">
    <w:name w:val="heading 4"/>
    <w:basedOn w:val="1"/>
    <w:next w:val="1"/>
    <w:autoRedefine/>
    <w:qFormat/>
    <w:uiPriority w:val="99"/>
    <w:pPr>
      <w:keepNext/>
      <w:keepLines/>
      <w:adjustRightInd w:val="0"/>
      <w:spacing w:before="280" w:after="290" w:line="376" w:lineRule="atLeast"/>
      <w:textAlignment w:val="baseline"/>
      <w:outlineLvl w:val="3"/>
    </w:pPr>
    <w:rPr>
      <w:rFonts w:ascii="Arial" w:hAnsi="Arial"/>
      <w:b/>
      <w:spacing w:val="20"/>
      <w:sz w:val="28"/>
      <w:szCs w:val="20"/>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99"/>
    <w:pPr>
      <w:ind w:firstLine="420"/>
    </w:pPr>
  </w:style>
  <w:style w:type="paragraph" w:styleId="7">
    <w:name w:val="annotation text"/>
    <w:basedOn w:val="1"/>
    <w:link w:val="47"/>
    <w:autoRedefine/>
    <w:qFormat/>
    <w:uiPriority w:val="0"/>
    <w:pPr>
      <w:jc w:val="left"/>
    </w:pPr>
  </w:style>
  <w:style w:type="paragraph" w:styleId="8">
    <w:name w:val="Body Text"/>
    <w:basedOn w:val="1"/>
    <w:next w:val="1"/>
    <w:autoRedefine/>
    <w:qFormat/>
    <w:uiPriority w:val="99"/>
    <w:pPr>
      <w:spacing w:after="120"/>
    </w:pPr>
  </w:style>
  <w:style w:type="paragraph" w:styleId="9">
    <w:name w:val="Body Text Indent"/>
    <w:basedOn w:val="1"/>
    <w:autoRedefine/>
    <w:qFormat/>
    <w:uiPriority w:val="0"/>
    <w:pPr>
      <w:spacing w:after="120"/>
      <w:ind w:left="420" w:leftChars="200"/>
    </w:pPr>
  </w:style>
  <w:style w:type="paragraph" w:styleId="10">
    <w:name w:val="Plain Text"/>
    <w:basedOn w:val="1"/>
    <w:next w:val="1"/>
    <w:autoRedefine/>
    <w:qFormat/>
    <w:uiPriority w:val="0"/>
    <w:pPr>
      <w:widowControl w:val="0"/>
      <w:jc w:val="both"/>
    </w:pPr>
    <w:rPr>
      <w:rFonts w:ascii="宋体" w:hAnsi="Courier New" w:eastAsia="宋体" w:cs="Courier New"/>
      <w:kern w:val="2"/>
      <w:sz w:val="21"/>
      <w:szCs w:val="21"/>
      <w:lang w:val="en-US" w:eastAsia="zh-CN" w:bidi="ar-SA"/>
    </w:rPr>
  </w:style>
  <w:style w:type="paragraph" w:styleId="11">
    <w:name w:val="Date"/>
    <w:next w:val="1"/>
    <w:autoRedefine/>
    <w:qFormat/>
    <w:uiPriority w:val="0"/>
    <w:pPr>
      <w:widowControl w:val="0"/>
      <w:ind w:leftChars="2500"/>
      <w:jc w:val="both"/>
    </w:pPr>
    <w:rPr>
      <w:rFonts w:hint="eastAsia" w:ascii="仿宋_GB2312" w:hAnsi="Calibri" w:eastAsia="仿宋_GB2312" w:cs="Times New Roman"/>
      <w:color w:val="000000"/>
      <w:kern w:val="0"/>
      <w:sz w:val="32"/>
      <w:szCs w:val="20"/>
      <w:lang w:val="en-US" w:eastAsia="zh-CN" w:bidi="ar-SA"/>
    </w:rPr>
  </w:style>
  <w:style w:type="paragraph" w:styleId="12">
    <w:name w:val="Balloon Text"/>
    <w:basedOn w:val="1"/>
    <w:link w:val="49"/>
    <w:autoRedefine/>
    <w:qFormat/>
    <w:uiPriority w:val="0"/>
    <w:pPr>
      <w:spacing w:line="240" w:lineRule="auto"/>
    </w:pPr>
    <w:rPr>
      <w:sz w:val="18"/>
      <w:szCs w:val="18"/>
    </w:rPr>
  </w:style>
  <w:style w:type="paragraph" w:styleId="13">
    <w:name w:val="footer"/>
    <w:basedOn w:val="1"/>
    <w:next w:val="8"/>
    <w:autoRedefine/>
    <w:qFormat/>
    <w:uiPriority w:val="99"/>
    <w:pPr>
      <w:widowControl w:val="0"/>
      <w:tabs>
        <w:tab w:val="center" w:pos="4153"/>
        <w:tab w:val="right" w:pos="8306"/>
      </w:tabs>
      <w:snapToGrid w:val="0"/>
      <w:spacing w:line="240" w:lineRule="auto"/>
      <w:jc w:val="left"/>
    </w:pPr>
    <w:rPr>
      <w:sz w:val="18"/>
    </w:rPr>
  </w:style>
  <w:style w:type="paragraph" w:styleId="14">
    <w:name w:val="header"/>
    <w:basedOn w:val="1"/>
    <w:autoRedefine/>
    <w:qFormat/>
    <w:uiPriority w:val="0"/>
    <w:pPr>
      <w:widowControl w:val="0"/>
      <w:pBdr>
        <w:bottom w:val="single" w:color="auto" w:sz="6" w:space="1"/>
      </w:pBdr>
      <w:tabs>
        <w:tab w:val="center" w:pos="4153"/>
        <w:tab w:val="right" w:pos="8306"/>
      </w:tabs>
      <w:snapToGrid w:val="0"/>
      <w:spacing w:line="240" w:lineRule="auto"/>
      <w:jc w:val="center"/>
    </w:pPr>
    <w:rPr>
      <w:sz w:val="18"/>
    </w:rPr>
  </w:style>
  <w:style w:type="paragraph" w:styleId="15">
    <w:name w:val="toc 1"/>
    <w:basedOn w:val="1"/>
    <w:next w:val="1"/>
    <w:autoRedefine/>
    <w:qFormat/>
    <w:uiPriority w:val="39"/>
  </w:style>
  <w:style w:type="paragraph" w:styleId="16">
    <w:name w:val="toc 2"/>
    <w:basedOn w:val="1"/>
    <w:next w:val="1"/>
    <w:autoRedefine/>
    <w:unhideWhenUsed/>
    <w:qFormat/>
    <w:uiPriority w:val="39"/>
    <w:pPr>
      <w:ind w:left="420" w:leftChars="200"/>
    </w:pPr>
  </w:style>
  <w:style w:type="paragraph" w:styleId="17">
    <w:name w:val="Normal (Web)"/>
    <w:basedOn w:val="1"/>
    <w:autoRedefine/>
    <w:qFormat/>
    <w:uiPriority w:val="99"/>
    <w:pPr>
      <w:spacing w:beforeAutospacing="1" w:afterAutospacing="1"/>
      <w:jc w:val="left"/>
    </w:pPr>
    <w:rPr>
      <w:rFonts w:cs="Times New Roman"/>
      <w:kern w:val="0"/>
      <w:sz w:val="24"/>
    </w:rPr>
  </w:style>
  <w:style w:type="paragraph" w:styleId="18">
    <w:name w:val="annotation subject"/>
    <w:basedOn w:val="7"/>
    <w:next w:val="7"/>
    <w:link w:val="48"/>
    <w:autoRedefine/>
    <w:qFormat/>
    <w:uiPriority w:val="0"/>
    <w:rPr>
      <w:b/>
      <w:bCs/>
    </w:rPr>
  </w:style>
  <w:style w:type="paragraph" w:styleId="19">
    <w:name w:val="Body Text First Indent"/>
    <w:basedOn w:val="8"/>
    <w:autoRedefine/>
    <w:unhideWhenUsed/>
    <w:qFormat/>
    <w:uiPriority w:val="0"/>
    <w:pPr>
      <w:spacing w:line="240" w:lineRule="auto"/>
      <w:ind w:firstLine="420" w:firstLineChars="100"/>
    </w:pPr>
    <w:rPr>
      <w:rFonts w:ascii="Times New Roman" w:hAnsi="Times New Roman"/>
      <w:sz w:val="18"/>
      <w:szCs w:val="18"/>
    </w:rPr>
  </w:style>
  <w:style w:type="paragraph" w:styleId="20">
    <w:name w:val="Body Text First Indent 2"/>
    <w:basedOn w:val="9"/>
    <w:autoRedefine/>
    <w:qFormat/>
    <w:uiPriority w:val="0"/>
    <w:pPr>
      <w:ind w:firstLine="420" w:firstLineChars="200"/>
    </w:p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
    </w:rPr>
  </w:style>
  <w:style w:type="character" w:styleId="25">
    <w:name w:val="FollowedHyperlink"/>
    <w:basedOn w:val="23"/>
    <w:autoRedefine/>
    <w:semiHidden/>
    <w:unhideWhenUsed/>
    <w:qFormat/>
    <w:uiPriority w:val="0"/>
    <w:rPr>
      <w:color w:val="800080"/>
      <w:u w:val="none"/>
    </w:rPr>
  </w:style>
  <w:style w:type="character" w:styleId="26">
    <w:name w:val="Emphasis"/>
    <w:basedOn w:val="23"/>
    <w:autoRedefine/>
    <w:qFormat/>
    <w:uiPriority w:val="0"/>
    <w:rPr>
      <w:b/>
    </w:rPr>
  </w:style>
  <w:style w:type="character" w:styleId="27">
    <w:name w:val="HTML Definition"/>
    <w:basedOn w:val="23"/>
    <w:autoRedefine/>
    <w:semiHidden/>
    <w:unhideWhenUsed/>
    <w:qFormat/>
    <w:uiPriority w:val="0"/>
  </w:style>
  <w:style w:type="character" w:styleId="28">
    <w:name w:val="HTML Typewriter"/>
    <w:basedOn w:val="23"/>
    <w:autoRedefine/>
    <w:semiHidden/>
    <w:unhideWhenUsed/>
    <w:qFormat/>
    <w:uiPriority w:val="0"/>
    <w:rPr>
      <w:rFonts w:ascii="monospace" w:hAnsi="monospace" w:eastAsia="monospace" w:cs="monospace"/>
      <w:sz w:val="20"/>
    </w:rPr>
  </w:style>
  <w:style w:type="character" w:styleId="29">
    <w:name w:val="HTML Acronym"/>
    <w:basedOn w:val="23"/>
    <w:autoRedefine/>
    <w:semiHidden/>
    <w:unhideWhenUsed/>
    <w:qFormat/>
    <w:uiPriority w:val="0"/>
  </w:style>
  <w:style w:type="character" w:styleId="30">
    <w:name w:val="HTML Variable"/>
    <w:basedOn w:val="23"/>
    <w:autoRedefine/>
    <w:semiHidden/>
    <w:unhideWhenUsed/>
    <w:qFormat/>
    <w:uiPriority w:val="0"/>
  </w:style>
  <w:style w:type="character" w:styleId="31">
    <w:name w:val="Hyperlink"/>
    <w:autoRedefine/>
    <w:qFormat/>
    <w:uiPriority w:val="99"/>
    <w:rPr>
      <w:color w:val="000000"/>
      <w:sz w:val="18"/>
      <w:szCs w:val="18"/>
      <w:u w:val="none"/>
    </w:rPr>
  </w:style>
  <w:style w:type="character" w:styleId="32">
    <w:name w:val="HTML Code"/>
    <w:basedOn w:val="23"/>
    <w:autoRedefine/>
    <w:semiHidden/>
    <w:unhideWhenUsed/>
    <w:qFormat/>
    <w:uiPriority w:val="0"/>
    <w:rPr>
      <w:rFonts w:hint="default" w:ascii="monospace" w:hAnsi="monospace" w:eastAsia="monospace" w:cs="monospace"/>
      <w:sz w:val="20"/>
    </w:rPr>
  </w:style>
  <w:style w:type="character" w:styleId="33">
    <w:name w:val="annotation reference"/>
    <w:basedOn w:val="23"/>
    <w:autoRedefine/>
    <w:qFormat/>
    <w:uiPriority w:val="0"/>
    <w:rPr>
      <w:sz w:val="21"/>
      <w:szCs w:val="21"/>
    </w:rPr>
  </w:style>
  <w:style w:type="character" w:styleId="34">
    <w:name w:val="HTML Cite"/>
    <w:basedOn w:val="23"/>
    <w:autoRedefine/>
    <w:semiHidden/>
    <w:unhideWhenUsed/>
    <w:qFormat/>
    <w:uiPriority w:val="0"/>
  </w:style>
  <w:style w:type="character" w:styleId="35">
    <w:name w:val="HTML Keyboard"/>
    <w:basedOn w:val="23"/>
    <w:autoRedefine/>
    <w:semiHidden/>
    <w:unhideWhenUsed/>
    <w:qFormat/>
    <w:uiPriority w:val="0"/>
    <w:rPr>
      <w:rFonts w:hint="default" w:ascii="monospace" w:hAnsi="monospace" w:eastAsia="monospace" w:cs="monospace"/>
      <w:sz w:val="18"/>
      <w:szCs w:val="18"/>
      <w:bdr w:val="single" w:color="D2D2D2" w:sz="2" w:space="0"/>
    </w:rPr>
  </w:style>
  <w:style w:type="character" w:styleId="36">
    <w:name w:val="HTML Sample"/>
    <w:basedOn w:val="23"/>
    <w:autoRedefine/>
    <w:semiHidden/>
    <w:unhideWhenUsed/>
    <w:qFormat/>
    <w:uiPriority w:val="0"/>
    <w:rPr>
      <w:rFonts w:hint="default" w:ascii="monospace" w:hAnsi="monospace" w:eastAsia="monospace" w:cs="monospace"/>
    </w:rPr>
  </w:style>
  <w:style w:type="paragraph" w:customStyle="1" w:styleId="37">
    <w:name w:val="正文缩进1"/>
    <w:basedOn w:val="1"/>
    <w:autoRedefine/>
    <w:qFormat/>
    <w:uiPriority w:val="0"/>
    <w:pPr>
      <w:ind w:firstLine="420" w:firstLineChars="200"/>
    </w:pPr>
  </w:style>
  <w:style w:type="paragraph" w:customStyle="1" w:styleId="38">
    <w:name w:val="正文（缩进 2 字符）"/>
    <w:basedOn w:val="1"/>
    <w:autoRedefine/>
    <w:qFormat/>
    <w:uiPriority w:val="0"/>
    <w:pPr>
      <w:ind w:firstLine="200" w:firstLineChars="200"/>
    </w:pPr>
  </w:style>
  <w:style w:type="paragraph" w:customStyle="1" w:styleId="39">
    <w:name w:val="正文（缩进 4 字符）"/>
    <w:basedOn w:val="1"/>
    <w:autoRedefine/>
    <w:qFormat/>
    <w:uiPriority w:val="0"/>
    <w:pPr>
      <w:ind w:firstLine="1134" w:firstLineChars="400"/>
    </w:pPr>
  </w:style>
  <w:style w:type="paragraph" w:customStyle="1" w:styleId="40">
    <w:name w:val="列出段落1"/>
    <w:basedOn w:val="1"/>
    <w:autoRedefine/>
    <w:qFormat/>
    <w:uiPriority w:val="99"/>
    <w:pPr>
      <w:ind w:firstLine="420" w:firstLineChars="200"/>
    </w:pPr>
  </w:style>
  <w:style w:type="paragraph" w:customStyle="1" w:styleId="41">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2">
    <w:name w:val="标题 2（投标文件）"/>
    <w:basedOn w:val="4"/>
    <w:autoRedefine/>
    <w:qFormat/>
    <w:uiPriority w:val="0"/>
    <w:pPr>
      <w:jc w:val="center"/>
    </w:pPr>
  </w:style>
  <w:style w:type="character" w:customStyle="1" w:styleId="43">
    <w:name w:val="标题 1 字符"/>
    <w:link w:val="3"/>
    <w:autoRedefine/>
    <w:qFormat/>
    <w:uiPriority w:val="9"/>
    <w:rPr>
      <w:rFonts w:eastAsia="仿宋"/>
      <w:b/>
      <w:color w:val="000000"/>
      <w:kern w:val="44"/>
      <w:sz w:val="36"/>
      <w:szCs w:val="44"/>
    </w:rPr>
  </w:style>
  <w:style w:type="paragraph" w:customStyle="1" w:styleId="44">
    <w:name w:val="标题 3（投标文件）"/>
    <w:basedOn w:val="5"/>
    <w:autoRedefine/>
    <w:qFormat/>
    <w:uiPriority w:val="0"/>
    <w:pPr>
      <w:jc w:val="left"/>
    </w:pPr>
    <w:rPr>
      <w:u w:val="none"/>
    </w:rPr>
  </w:style>
  <w:style w:type="character" w:customStyle="1" w:styleId="45">
    <w:name w:val="font21"/>
    <w:basedOn w:val="23"/>
    <w:autoRedefine/>
    <w:qFormat/>
    <w:uiPriority w:val="0"/>
    <w:rPr>
      <w:rFonts w:hint="default" w:ascii="Tahoma" w:hAnsi="Tahoma" w:eastAsia="Tahoma" w:cs="Tahoma"/>
      <w:color w:val="000000"/>
      <w:sz w:val="22"/>
      <w:szCs w:val="22"/>
      <w:u w:val="none"/>
    </w:rPr>
  </w:style>
  <w:style w:type="character" w:customStyle="1" w:styleId="46">
    <w:name w:val="font01"/>
    <w:basedOn w:val="23"/>
    <w:autoRedefine/>
    <w:qFormat/>
    <w:uiPriority w:val="0"/>
    <w:rPr>
      <w:rFonts w:hint="eastAsia" w:ascii="宋体" w:hAnsi="宋体" w:eastAsia="宋体" w:cs="宋体"/>
      <w:color w:val="000000"/>
      <w:sz w:val="22"/>
      <w:szCs w:val="22"/>
      <w:u w:val="none"/>
    </w:rPr>
  </w:style>
  <w:style w:type="character" w:customStyle="1" w:styleId="47">
    <w:name w:val="批注文字 字符"/>
    <w:basedOn w:val="23"/>
    <w:link w:val="7"/>
    <w:autoRedefine/>
    <w:qFormat/>
    <w:uiPriority w:val="0"/>
    <w:rPr>
      <w:rFonts w:ascii="Calibri Light" w:hAnsi="Calibri Light" w:eastAsia="华文仿宋" w:cs="Calibri Light"/>
      <w:kern w:val="2"/>
      <w:sz w:val="28"/>
      <w:szCs w:val="28"/>
    </w:rPr>
  </w:style>
  <w:style w:type="character" w:customStyle="1" w:styleId="48">
    <w:name w:val="批注主题 字符"/>
    <w:basedOn w:val="47"/>
    <w:link w:val="18"/>
    <w:autoRedefine/>
    <w:qFormat/>
    <w:uiPriority w:val="0"/>
    <w:rPr>
      <w:rFonts w:ascii="Calibri Light" w:hAnsi="Calibri Light" w:eastAsia="华文仿宋" w:cs="Calibri Light"/>
      <w:b/>
      <w:bCs/>
      <w:kern w:val="2"/>
      <w:sz w:val="28"/>
      <w:szCs w:val="28"/>
    </w:rPr>
  </w:style>
  <w:style w:type="character" w:customStyle="1" w:styleId="49">
    <w:name w:val="批注框文本 字符"/>
    <w:basedOn w:val="23"/>
    <w:link w:val="12"/>
    <w:autoRedefine/>
    <w:qFormat/>
    <w:uiPriority w:val="0"/>
    <w:rPr>
      <w:rFonts w:ascii="Calibri Light" w:hAnsi="Calibri Light" w:eastAsia="华文仿宋" w:cs="Calibri Light"/>
      <w:kern w:val="2"/>
      <w:sz w:val="18"/>
      <w:szCs w:val="18"/>
    </w:rPr>
  </w:style>
  <w:style w:type="paragraph" w:styleId="50">
    <w:name w:val="List Paragraph"/>
    <w:basedOn w:val="1"/>
    <w:autoRedefine/>
    <w:qFormat/>
    <w:uiPriority w:val="34"/>
    <w:pPr>
      <w:ind w:firstLine="420" w:firstLineChars="200"/>
    </w:pPr>
  </w:style>
  <w:style w:type="paragraph" w:customStyle="1" w:styleId="51">
    <w:name w:val="段"/>
    <w:next w:val="1"/>
    <w:autoRedefine/>
    <w:qFormat/>
    <w:uiPriority w:val="0"/>
    <w:pPr>
      <w:tabs>
        <w:tab w:val="center" w:pos="4201"/>
        <w:tab w:val="right" w:leader="dot" w:pos="9298"/>
      </w:tabs>
      <w:autoSpaceDE w:val="0"/>
      <w:autoSpaceDN w:val="0"/>
      <w:ind w:firstLine="420" w:firstLineChars="200"/>
      <w:jc w:val="both"/>
    </w:pPr>
    <w:rPr>
      <w:rFonts w:ascii="宋体" w:hAnsi="宋体"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62</Pages>
  <Words>12840</Words>
  <Characters>13537</Characters>
  <Lines>245</Lines>
  <Paragraphs>68</Paragraphs>
  <TotalTime>408</TotalTime>
  <ScaleCrop>false</ScaleCrop>
  <LinksUpToDate>false</LinksUpToDate>
  <CharactersWithSpaces>13727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2020-07-14T04:13:00Z</dcterms:created>
  <dc:creator>x</dc:creator>
  <cp:lastModifiedBy>王月</cp:lastModifiedBy>
  <cp:lastPrinted>2025-06-19T03:46:00Z</cp:lastPrinted>
  <dcterms:modified xsi:type="dcterms:W3CDTF">2025-06-24T03:28:11Z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C1863EAD3B154342B8010F7CF7AB9BA7</vt:lpwstr>
  </property>
  <property fmtid="{D5CDD505-2E9C-101B-9397-08002B2CF9AE}" pid="4" name="KSOTemplateDocerSaveRecord">
    <vt:lpwstr>eyJoZGlkIjoiZjljYWZhYTQ2MTJjMjYyZTIzNDY2Y2I3NzZjNmYyMWQiLCJ1c2VySWQiOiI1NzM2OTk2MzAifQ==</vt:lpwstr>
  </property>
</Properties>
</file>