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A30CE9">
      <w:pPr>
        <w:spacing w:line="240" w:lineRule="auto"/>
        <w:jc w:val="center"/>
        <w:rPr>
          <w:color w:val="auto"/>
          <w:sz w:val="52"/>
          <w:szCs w:val="52"/>
        </w:rPr>
      </w:pPr>
    </w:p>
    <w:p w14:paraId="018224E4">
      <w:pPr>
        <w:spacing w:line="240" w:lineRule="auto"/>
        <w:jc w:val="both"/>
        <w:rPr>
          <w:color w:val="auto"/>
          <w:sz w:val="52"/>
          <w:szCs w:val="52"/>
        </w:rPr>
      </w:pPr>
    </w:p>
    <w:p w14:paraId="4CAB5FDC">
      <w:pPr>
        <w:spacing w:line="240" w:lineRule="auto"/>
        <w:jc w:val="center"/>
        <w:rPr>
          <w:rFonts w:hint="eastAsia" w:ascii="方正小标宋简体" w:hAnsi="方正小标宋简体" w:eastAsia="方正小标宋简体" w:cs="方正小标宋简体"/>
          <w:b w:val="0"/>
          <w:bCs/>
          <w:color w:val="auto"/>
          <w:sz w:val="52"/>
          <w:szCs w:val="52"/>
        </w:rPr>
      </w:pPr>
      <w:r>
        <w:rPr>
          <w:rFonts w:hint="eastAsia" w:ascii="方正小标宋简体" w:hAnsi="方正小标宋简体" w:eastAsia="方正小标宋简体" w:cs="方正小标宋简体"/>
          <w:b w:val="0"/>
          <w:bCs/>
          <w:color w:val="auto"/>
          <w:kern w:val="0"/>
          <w:sz w:val="96"/>
          <w:szCs w:val="96"/>
          <w:lang w:val="en-US" w:eastAsia="zh-CN"/>
        </w:rPr>
        <w:t>汉中市</w:t>
      </w:r>
      <w:r>
        <w:rPr>
          <w:rFonts w:hint="eastAsia" w:ascii="方正小标宋简体" w:hAnsi="方正小标宋简体" w:eastAsia="方正小标宋简体" w:cs="方正小标宋简体"/>
          <w:b w:val="0"/>
          <w:bCs/>
          <w:color w:val="auto"/>
          <w:kern w:val="0"/>
          <w:sz w:val="96"/>
          <w:szCs w:val="96"/>
        </w:rPr>
        <w:t>政府采购中心</w:t>
      </w:r>
    </w:p>
    <w:p w14:paraId="46152366">
      <w:pPr>
        <w:spacing w:line="240" w:lineRule="auto"/>
        <w:jc w:val="center"/>
        <w:rPr>
          <w:rFonts w:ascii="黑体" w:hAnsi="黑体" w:eastAsia="黑体" w:cs="黑体"/>
          <w:b w:val="0"/>
          <w:bCs/>
          <w:color w:val="auto"/>
          <w:sz w:val="96"/>
          <w:szCs w:val="96"/>
        </w:rPr>
      </w:pPr>
      <w:r>
        <w:rPr>
          <w:rFonts w:hint="eastAsia" w:ascii="方正小标宋简体" w:hAnsi="方正小标宋简体" w:eastAsia="方正小标宋简体" w:cs="方正小标宋简体"/>
          <w:b w:val="0"/>
          <w:bCs/>
          <w:color w:val="auto"/>
          <w:kern w:val="0"/>
          <w:sz w:val="96"/>
          <w:szCs w:val="96"/>
        </w:rPr>
        <w:t>竞争性磋商文件</w:t>
      </w:r>
    </w:p>
    <w:p w14:paraId="2FFAAF83">
      <w:pPr>
        <w:pStyle w:val="38"/>
        <w:spacing w:line="240" w:lineRule="auto"/>
        <w:ind w:left="0" w:leftChars="0" w:right="424" w:rightChars="150" w:firstLine="0" w:firstLineChars="0"/>
        <w:jc w:val="center"/>
        <w:rPr>
          <w:rFonts w:hint="eastAsia" w:ascii="仿宋_GB2312" w:hAnsi="仿宋_GB2312" w:eastAsia="仿宋_GB2312" w:cs="仿宋_GB2312"/>
          <w:color w:val="auto"/>
          <w:sz w:val="36"/>
          <w:szCs w:val="36"/>
          <w:lang w:eastAsia="zh-CN"/>
        </w:rPr>
      </w:pPr>
      <w:r>
        <w:rPr>
          <w:rFonts w:hint="eastAsia" w:ascii="仿宋_GB2312" w:hAnsi="仿宋_GB2312" w:eastAsia="仿宋_GB2312" w:cs="仿宋_GB2312"/>
          <w:color w:val="auto"/>
          <w:sz w:val="44"/>
          <w:szCs w:val="44"/>
          <w:lang w:eastAsia="zh-CN"/>
        </w:rPr>
        <w:t>（</w:t>
      </w:r>
      <w:r>
        <w:rPr>
          <w:rFonts w:hint="eastAsia" w:ascii="仿宋_GB2312" w:hAnsi="仿宋_GB2312" w:eastAsia="仿宋_GB2312" w:cs="仿宋_GB2312"/>
          <w:color w:val="auto"/>
          <w:sz w:val="44"/>
          <w:szCs w:val="44"/>
          <w:lang w:val="en-US" w:eastAsia="zh-CN"/>
        </w:rPr>
        <w:t>专门面向中小企业采购</w:t>
      </w:r>
      <w:r>
        <w:rPr>
          <w:rFonts w:hint="eastAsia" w:ascii="仿宋_GB2312" w:hAnsi="仿宋_GB2312" w:eastAsia="仿宋_GB2312" w:cs="仿宋_GB2312"/>
          <w:color w:val="auto"/>
          <w:sz w:val="44"/>
          <w:szCs w:val="44"/>
          <w:lang w:eastAsia="zh-CN"/>
        </w:rPr>
        <w:t>）</w:t>
      </w:r>
    </w:p>
    <w:p w14:paraId="393DB32F">
      <w:pPr>
        <w:spacing w:line="240" w:lineRule="auto"/>
        <w:ind w:left="2539" w:leftChars="256" w:right="707" w:rightChars="250" w:hanging="1815" w:hangingChars="500"/>
        <w:jc w:val="left"/>
        <w:rPr>
          <w:rFonts w:hint="eastAsia" w:ascii="仿宋_GB2312" w:hAnsi="仿宋_GB2312" w:eastAsia="仿宋_GB2312" w:cs="仿宋_GB2312"/>
          <w:b w:val="0"/>
          <w:bCs w:val="0"/>
          <w:color w:val="auto"/>
          <w:w w:val="100"/>
          <w:sz w:val="36"/>
          <w:szCs w:val="36"/>
        </w:rPr>
      </w:pPr>
    </w:p>
    <w:p w14:paraId="3141B857">
      <w:pPr>
        <w:spacing w:line="240" w:lineRule="auto"/>
        <w:ind w:left="2539" w:leftChars="256" w:right="707" w:rightChars="250" w:hanging="1815" w:hangingChars="500"/>
        <w:jc w:val="left"/>
        <w:rPr>
          <w:rFonts w:hint="eastAsia" w:ascii="仿宋_GB2312" w:hAnsi="仿宋_GB2312" w:eastAsia="仿宋_GB2312" w:cs="仿宋_GB2312"/>
          <w:b w:val="0"/>
          <w:bCs w:val="0"/>
          <w:color w:val="auto"/>
          <w:w w:val="95"/>
          <w:sz w:val="36"/>
          <w:szCs w:val="36"/>
          <w:highlight w:val="yellow"/>
          <w:lang w:val="en-US" w:eastAsia="zh-CN"/>
        </w:rPr>
      </w:pPr>
      <w:r>
        <w:rPr>
          <w:rFonts w:hint="eastAsia" w:ascii="仿宋_GB2312" w:hAnsi="仿宋_GB2312" w:eastAsia="仿宋_GB2312" w:cs="仿宋_GB2312"/>
          <w:b w:val="0"/>
          <w:bCs w:val="0"/>
          <w:color w:val="auto"/>
          <w:w w:val="100"/>
          <w:sz w:val="36"/>
          <w:szCs w:val="36"/>
        </w:rPr>
        <w:t>项目名称：</w:t>
      </w:r>
      <w:r>
        <w:rPr>
          <w:rFonts w:hint="eastAsia" w:ascii="仿宋_GB2312" w:hAnsi="仿宋_GB2312" w:eastAsia="仿宋_GB2312" w:cs="仿宋_GB2312"/>
          <w:b w:val="0"/>
          <w:bCs w:val="0"/>
          <w:color w:val="auto"/>
          <w:w w:val="100"/>
          <w:sz w:val="36"/>
          <w:szCs w:val="36"/>
          <w:lang w:val="en-US" w:eastAsia="zh-CN"/>
        </w:rPr>
        <w:t>汉中市福利彩票发行中心福彩公益驿站建设采购项目</w:t>
      </w:r>
    </w:p>
    <w:p w14:paraId="0A2AF50A">
      <w:pPr>
        <w:spacing w:line="240" w:lineRule="auto"/>
        <w:ind w:left="2539" w:leftChars="256" w:right="707" w:rightChars="250" w:hanging="1815" w:hangingChars="500"/>
        <w:jc w:val="left"/>
        <w:rPr>
          <w:rFonts w:hint="eastAsia" w:ascii="仿宋_GB2312" w:hAnsi="仿宋_GB2312" w:eastAsia="仿宋_GB2312" w:cs="仿宋_GB2312"/>
          <w:b w:val="0"/>
          <w:bCs w:val="0"/>
          <w:color w:val="auto"/>
          <w:sz w:val="36"/>
          <w:szCs w:val="36"/>
        </w:rPr>
      </w:pPr>
      <w:r>
        <w:rPr>
          <w:rFonts w:hint="eastAsia" w:ascii="仿宋_GB2312" w:hAnsi="仿宋_GB2312" w:eastAsia="仿宋_GB2312" w:cs="仿宋_GB2312"/>
          <w:b w:val="0"/>
          <w:bCs w:val="0"/>
          <w:color w:val="auto"/>
          <w:sz w:val="36"/>
          <w:szCs w:val="36"/>
        </w:rPr>
        <w:t>项目编号：</w:t>
      </w:r>
      <w:r>
        <w:rPr>
          <w:rFonts w:hint="eastAsia" w:ascii="仿宋_GB2312" w:hAnsi="仿宋_GB2312" w:eastAsia="仿宋_GB2312" w:cs="仿宋_GB2312"/>
          <w:b w:val="0"/>
          <w:bCs w:val="0"/>
          <w:color w:val="auto"/>
          <w:sz w:val="36"/>
          <w:szCs w:val="36"/>
          <w:lang w:val="en-US" w:eastAsia="zh-CN"/>
        </w:rPr>
        <w:t>汉采HW【2025】9号</w:t>
      </w:r>
    </w:p>
    <w:p w14:paraId="3DB5F191">
      <w:pPr>
        <w:spacing w:line="240" w:lineRule="auto"/>
        <w:ind w:right="424" w:rightChars="150" w:firstLine="726" w:firstLineChars="200"/>
        <w:rPr>
          <w:rFonts w:hint="eastAsia" w:ascii="仿宋_GB2312" w:hAnsi="仿宋_GB2312" w:eastAsia="仿宋_GB2312" w:cs="仿宋_GB2312"/>
          <w:b w:val="0"/>
          <w:bCs w:val="0"/>
          <w:color w:val="auto"/>
          <w:sz w:val="36"/>
          <w:szCs w:val="36"/>
        </w:rPr>
      </w:pPr>
    </w:p>
    <w:p w14:paraId="65A24C04">
      <w:pPr>
        <w:spacing w:line="240" w:lineRule="auto"/>
        <w:jc w:val="center"/>
        <w:rPr>
          <w:rFonts w:hint="eastAsia" w:ascii="仿宋_GB2312" w:hAnsi="仿宋_GB2312" w:eastAsia="仿宋_GB2312" w:cs="仿宋_GB2312"/>
          <w:b w:val="0"/>
          <w:bCs w:val="0"/>
          <w:color w:val="auto"/>
          <w:sz w:val="36"/>
          <w:szCs w:val="36"/>
        </w:rPr>
      </w:pPr>
    </w:p>
    <w:p w14:paraId="645A6E31">
      <w:pPr>
        <w:pStyle w:val="2"/>
        <w:rPr>
          <w:rFonts w:hint="eastAsia" w:ascii="仿宋_GB2312" w:hAnsi="仿宋_GB2312" w:eastAsia="仿宋_GB2312" w:cs="仿宋_GB2312"/>
          <w:b w:val="0"/>
          <w:bCs w:val="0"/>
          <w:color w:val="auto"/>
          <w:sz w:val="36"/>
          <w:szCs w:val="36"/>
        </w:rPr>
      </w:pPr>
    </w:p>
    <w:p w14:paraId="3BA4963D">
      <w:pPr>
        <w:rPr>
          <w:rFonts w:hint="eastAsia" w:ascii="仿宋_GB2312" w:hAnsi="仿宋_GB2312" w:eastAsia="仿宋_GB2312" w:cs="仿宋_GB2312"/>
          <w:b w:val="0"/>
          <w:bCs w:val="0"/>
          <w:color w:val="auto"/>
          <w:sz w:val="36"/>
          <w:szCs w:val="36"/>
        </w:rPr>
      </w:pPr>
    </w:p>
    <w:p w14:paraId="52B811A9">
      <w:pPr>
        <w:rPr>
          <w:rFonts w:hint="eastAsia" w:ascii="仿宋_GB2312" w:hAnsi="仿宋_GB2312" w:eastAsia="仿宋_GB2312" w:cs="仿宋_GB2312"/>
          <w:b w:val="0"/>
          <w:bCs w:val="0"/>
          <w:color w:val="auto"/>
        </w:rPr>
      </w:pPr>
    </w:p>
    <w:p w14:paraId="3C18DC5F">
      <w:pPr>
        <w:spacing w:line="240" w:lineRule="auto"/>
        <w:jc w:val="center"/>
        <w:rPr>
          <w:rFonts w:hint="eastAsia" w:ascii="仿宋_GB2312" w:hAnsi="仿宋_GB2312" w:eastAsia="仿宋_GB2312" w:cs="仿宋_GB2312"/>
          <w:b w:val="0"/>
          <w:bCs w:val="0"/>
          <w:color w:val="auto"/>
          <w:sz w:val="36"/>
          <w:szCs w:val="36"/>
        </w:rPr>
      </w:pPr>
    </w:p>
    <w:p w14:paraId="6E0D148A">
      <w:pPr>
        <w:spacing w:line="240" w:lineRule="auto"/>
        <w:jc w:val="center"/>
        <w:rPr>
          <w:rFonts w:hint="eastAsia" w:ascii="仿宋_GB2312" w:hAnsi="仿宋_GB2312" w:eastAsia="仿宋_GB2312" w:cs="仿宋_GB2312"/>
          <w:b w:val="0"/>
          <w:bCs w:val="0"/>
          <w:color w:val="auto"/>
          <w:sz w:val="44"/>
          <w:szCs w:val="44"/>
        </w:rPr>
      </w:pPr>
      <w:r>
        <w:rPr>
          <w:rFonts w:hint="eastAsia" w:ascii="仿宋_GB2312" w:hAnsi="仿宋_GB2312" w:eastAsia="仿宋_GB2312" w:cs="仿宋_GB2312"/>
          <w:b w:val="0"/>
          <w:bCs w:val="0"/>
          <w:color w:val="auto"/>
          <w:sz w:val="44"/>
          <w:szCs w:val="44"/>
        </w:rPr>
        <w:t>202</w:t>
      </w:r>
      <w:r>
        <w:rPr>
          <w:rFonts w:hint="eastAsia" w:ascii="仿宋_GB2312" w:hAnsi="仿宋_GB2312" w:eastAsia="仿宋_GB2312" w:cs="仿宋_GB2312"/>
          <w:b w:val="0"/>
          <w:bCs w:val="0"/>
          <w:color w:val="auto"/>
          <w:sz w:val="44"/>
          <w:szCs w:val="44"/>
          <w:lang w:val="en-US" w:eastAsia="zh-CN"/>
        </w:rPr>
        <w:t>5</w:t>
      </w:r>
      <w:r>
        <w:rPr>
          <w:rFonts w:hint="eastAsia" w:ascii="仿宋_GB2312" w:hAnsi="仿宋_GB2312" w:eastAsia="仿宋_GB2312" w:cs="仿宋_GB2312"/>
          <w:b w:val="0"/>
          <w:bCs w:val="0"/>
          <w:color w:val="auto"/>
          <w:sz w:val="44"/>
          <w:szCs w:val="44"/>
        </w:rPr>
        <w:t>年</w:t>
      </w:r>
      <w:r>
        <w:rPr>
          <w:rFonts w:hint="eastAsia" w:ascii="仿宋_GB2312" w:hAnsi="仿宋_GB2312" w:eastAsia="仿宋_GB2312" w:cs="仿宋_GB2312"/>
          <w:b w:val="0"/>
          <w:bCs w:val="0"/>
          <w:color w:val="auto"/>
          <w:sz w:val="44"/>
          <w:szCs w:val="44"/>
          <w:lang w:val="en-US" w:eastAsia="zh-CN"/>
        </w:rPr>
        <w:t>7</w:t>
      </w:r>
      <w:r>
        <w:rPr>
          <w:rFonts w:hint="eastAsia" w:ascii="仿宋_GB2312" w:hAnsi="仿宋_GB2312" w:eastAsia="仿宋_GB2312" w:cs="仿宋_GB2312"/>
          <w:b w:val="0"/>
          <w:bCs w:val="0"/>
          <w:color w:val="auto"/>
          <w:sz w:val="44"/>
          <w:szCs w:val="44"/>
          <w:highlight w:val="none"/>
        </w:rPr>
        <w:t>月</w:t>
      </w:r>
      <w:r>
        <w:rPr>
          <w:rFonts w:hint="eastAsia" w:ascii="仿宋_GB2312" w:hAnsi="仿宋_GB2312" w:eastAsia="仿宋_GB2312" w:cs="仿宋_GB2312"/>
          <w:b w:val="0"/>
          <w:bCs w:val="0"/>
          <w:color w:val="auto"/>
          <w:sz w:val="44"/>
          <w:szCs w:val="44"/>
          <w:highlight w:val="none"/>
          <w:lang w:val="en-US" w:eastAsia="zh-CN"/>
        </w:rPr>
        <w:t>18</w:t>
      </w:r>
      <w:r>
        <w:rPr>
          <w:rFonts w:hint="eastAsia" w:ascii="仿宋_GB2312" w:hAnsi="仿宋_GB2312" w:eastAsia="仿宋_GB2312" w:cs="仿宋_GB2312"/>
          <w:b w:val="0"/>
          <w:bCs w:val="0"/>
          <w:color w:val="auto"/>
          <w:sz w:val="44"/>
          <w:szCs w:val="44"/>
        </w:rPr>
        <w:t>日</w:t>
      </w:r>
      <w:bookmarkStart w:id="0" w:name="_Toc10222_WPSOffice_Level1"/>
      <w:bookmarkStart w:id="1" w:name="_Toc30340_WPSOffice_Level1"/>
      <w:bookmarkStart w:id="2" w:name="_Toc30102_WPSOffice_Level1"/>
    </w:p>
    <w:p w14:paraId="162B211E">
      <w:pPr>
        <w:pStyle w:val="2"/>
        <w:rPr>
          <w:rFonts w:hint="eastAsia"/>
          <w:color w:val="auto"/>
        </w:rPr>
      </w:pPr>
    </w:p>
    <w:p w14:paraId="381F544B">
      <w:pPr>
        <w:pStyle w:val="15"/>
        <w:tabs>
          <w:tab w:val="right" w:leader="dot" w:pos="9072"/>
        </w:tabs>
        <w:spacing w:before="190" w:beforeLines="50" w:after="190" w:afterLines="50" w:line="500" w:lineRule="exact"/>
        <w:jc w:val="center"/>
        <w:rPr>
          <w:rFonts w:hint="eastAsia" w:ascii="仿宋" w:hAnsi="仿宋" w:eastAsia="仿宋" w:cs="仿宋"/>
          <w:color w:val="auto"/>
          <w:sz w:val="44"/>
          <w:szCs w:val="44"/>
        </w:rPr>
        <w:sectPr>
          <w:footerReference r:id="rId5" w:type="default"/>
          <w:pgSz w:w="11906" w:h="16838"/>
          <w:pgMar w:top="1417" w:right="1417" w:bottom="1417" w:left="1417" w:header="850" w:footer="992" w:gutter="0"/>
          <w:pgBorders>
            <w:top w:val="none" w:sz="0" w:space="0"/>
            <w:left w:val="none" w:sz="0" w:space="0"/>
            <w:bottom w:val="none" w:sz="0" w:space="0"/>
            <w:right w:val="none" w:sz="0" w:space="0"/>
          </w:pgBorders>
          <w:pgNumType w:start="1"/>
          <w:cols w:space="720" w:num="1"/>
          <w:docGrid w:type="linesAndChars" w:linePitch="381" w:charSpace="704"/>
        </w:sectPr>
      </w:pPr>
    </w:p>
    <w:p w14:paraId="799CFD80">
      <w:pPr>
        <w:tabs>
          <w:tab w:val="right" w:leader="hyphen" w:pos="8504"/>
        </w:tabs>
        <w:spacing w:after="381" w:afterLines="100" w:line="240" w:lineRule="auto"/>
        <w:ind w:left="567" w:right="566" w:rightChars="200"/>
        <w:jc w:val="center"/>
        <w:rPr>
          <w:rFonts w:ascii="仿宋" w:hAnsi="仿宋" w:eastAsia="仿宋"/>
          <w:b w:val="0"/>
          <w:bCs/>
          <w:color w:val="auto"/>
          <w:sz w:val="44"/>
        </w:rPr>
      </w:pPr>
      <w:r>
        <w:rPr>
          <w:rFonts w:hint="eastAsia" w:ascii="黑体" w:hAnsi="黑体" w:eastAsia="黑体" w:cs="黑体"/>
          <w:b w:val="0"/>
          <w:bCs/>
          <w:color w:val="auto"/>
          <w:sz w:val="44"/>
        </w:rPr>
        <w:t>目  录</w:t>
      </w:r>
    </w:p>
    <w:p w14:paraId="1F869518">
      <w:pPr>
        <w:pStyle w:val="13"/>
        <w:rPr>
          <w:color w:val="auto"/>
          <w:highlight w:val="yellow"/>
        </w:rPr>
      </w:pPr>
    </w:p>
    <w:p w14:paraId="26D436D3">
      <w:pPr>
        <w:pStyle w:val="15"/>
        <w:keepNext w:val="0"/>
        <w:keepLines w:val="0"/>
        <w:pageBreakBefore w:val="0"/>
        <w:widowControl/>
        <w:tabs>
          <w:tab w:val="right" w:leader="dot" w:pos="9072"/>
        </w:tabs>
        <w:kinsoku/>
        <w:wordWrap/>
        <w:overflowPunct/>
        <w:topLinePunct w:val="0"/>
        <w:autoSpaceDE/>
        <w:autoSpaceDN/>
        <w:bidi w:val="0"/>
        <w:adjustRightInd/>
        <w:snapToGrid/>
        <w:spacing w:line="560" w:lineRule="exact"/>
        <w:textAlignment w:val="auto"/>
        <w:rPr>
          <w:rFonts w:hint="eastAsia" w:ascii="黑体" w:hAnsi="黑体" w:eastAsia="黑体" w:cs="黑体"/>
          <w:color w:val="auto"/>
          <w:sz w:val="32"/>
          <w:szCs w:val="32"/>
        </w:rPr>
      </w:pPr>
      <w:r>
        <w:rPr>
          <w:rFonts w:hint="default"/>
          <w:color w:val="auto"/>
          <w:sz w:val="32"/>
          <w:szCs w:val="32"/>
          <w:lang w:val="en-US" w:eastAsia="zh-CN"/>
        </w:rPr>
        <w:fldChar w:fldCharType="begin"/>
      </w:r>
      <w:r>
        <w:rPr>
          <w:rFonts w:hint="default"/>
          <w:color w:val="auto"/>
          <w:sz w:val="32"/>
          <w:szCs w:val="32"/>
          <w:lang w:val="en-US" w:eastAsia="zh-CN"/>
        </w:rPr>
        <w:instrText xml:space="preserve">TOC \o "1-2" \u </w:instrText>
      </w:r>
      <w:r>
        <w:rPr>
          <w:rFonts w:hint="default"/>
          <w:color w:val="auto"/>
          <w:sz w:val="32"/>
          <w:szCs w:val="32"/>
          <w:lang w:val="en-US" w:eastAsia="zh-CN"/>
        </w:rPr>
        <w:fldChar w:fldCharType="separate"/>
      </w:r>
      <w:r>
        <w:rPr>
          <w:rFonts w:hint="eastAsia" w:ascii="黑体" w:hAnsi="黑体" w:eastAsia="黑体" w:cs="黑体"/>
          <w:color w:val="auto"/>
          <w:sz w:val="32"/>
          <w:szCs w:val="32"/>
        </w:rPr>
        <w:t>第一章 磋商邀请函</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_Toc8073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rPr>
        <w:fldChar w:fldCharType="end"/>
      </w:r>
    </w:p>
    <w:p w14:paraId="5BD60524">
      <w:pPr>
        <w:pStyle w:val="15"/>
        <w:keepNext w:val="0"/>
        <w:keepLines w:val="0"/>
        <w:pageBreakBefore w:val="0"/>
        <w:widowControl/>
        <w:tabs>
          <w:tab w:val="right" w:leader="dot" w:pos="9072"/>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rPr>
      </w:pPr>
      <w:r>
        <w:rPr>
          <w:rFonts w:hint="eastAsia" w:ascii="黑体" w:hAnsi="黑体" w:eastAsia="黑体" w:cs="黑体"/>
          <w:bCs/>
          <w:color w:val="auto"/>
          <w:sz w:val="32"/>
          <w:szCs w:val="32"/>
        </w:rPr>
        <w:t>第二章 供应商须知</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_Toc9601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rPr>
        <w:fldChar w:fldCharType="end"/>
      </w:r>
    </w:p>
    <w:p w14:paraId="4DB569EC">
      <w:pPr>
        <w:pStyle w:val="16"/>
        <w:keepNext w:val="0"/>
        <w:keepLines w:val="0"/>
        <w:pageBreakBefore w:val="0"/>
        <w:widowControl/>
        <w:tabs>
          <w:tab w:val="right" w:leader="dot" w:pos="9072"/>
        </w:tabs>
        <w:kinsoku/>
        <w:wordWrap/>
        <w:overflowPunct/>
        <w:topLinePunct w:val="0"/>
        <w:autoSpaceDE/>
        <w:autoSpaceDN/>
        <w:bidi w:val="0"/>
        <w:adjustRightInd/>
        <w:snapToGrid/>
        <w:spacing w:line="560" w:lineRule="exact"/>
        <w:ind w:left="0" w:leftChars="0" w:firstLine="646"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一、定义</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_Toc3062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rPr>
        <w:fldChar w:fldCharType="end"/>
      </w:r>
    </w:p>
    <w:p w14:paraId="283884BE">
      <w:pPr>
        <w:pStyle w:val="16"/>
        <w:keepNext w:val="0"/>
        <w:keepLines w:val="0"/>
        <w:pageBreakBefore w:val="0"/>
        <w:widowControl/>
        <w:tabs>
          <w:tab w:val="right" w:leader="dot" w:pos="9072"/>
        </w:tabs>
        <w:kinsoku/>
        <w:wordWrap/>
        <w:overflowPunct/>
        <w:topLinePunct w:val="0"/>
        <w:autoSpaceDE/>
        <w:autoSpaceDN/>
        <w:bidi w:val="0"/>
        <w:adjustRightInd/>
        <w:snapToGrid/>
        <w:spacing w:line="560" w:lineRule="exact"/>
        <w:ind w:left="0" w:leftChars="0" w:firstLine="646"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二、供应商注意事项</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_Toc24646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rPr>
        <w:fldChar w:fldCharType="end"/>
      </w:r>
    </w:p>
    <w:p w14:paraId="2F47D1D1">
      <w:pPr>
        <w:pStyle w:val="16"/>
        <w:keepNext w:val="0"/>
        <w:keepLines w:val="0"/>
        <w:pageBreakBefore w:val="0"/>
        <w:widowControl/>
        <w:tabs>
          <w:tab w:val="right" w:leader="dot" w:pos="9072"/>
        </w:tabs>
        <w:kinsoku/>
        <w:wordWrap/>
        <w:overflowPunct/>
        <w:topLinePunct w:val="0"/>
        <w:autoSpaceDE/>
        <w:autoSpaceDN/>
        <w:bidi w:val="0"/>
        <w:adjustRightInd/>
        <w:snapToGrid/>
        <w:spacing w:line="560" w:lineRule="exact"/>
        <w:ind w:left="0" w:leftChars="0" w:firstLine="646"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三、磋商文件</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_Toc3130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9</w:t>
      </w:r>
      <w:r>
        <w:rPr>
          <w:rFonts w:hint="eastAsia" w:ascii="仿宋_GB2312" w:hAnsi="仿宋_GB2312" w:eastAsia="仿宋_GB2312" w:cs="仿宋_GB2312"/>
          <w:color w:val="auto"/>
          <w:sz w:val="32"/>
          <w:szCs w:val="32"/>
        </w:rPr>
        <w:fldChar w:fldCharType="end"/>
      </w:r>
    </w:p>
    <w:p w14:paraId="2F3E4DA0">
      <w:pPr>
        <w:pStyle w:val="16"/>
        <w:keepNext w:val="0"/>
        <w:keepLines w:val="0"/>
        <w:pageBreakBefore w:val="0"/>
        <w:widowControl/>
        <w:tabs>
          <w:tab w:val="right" w:leader="dot" w:pos="9072"/>
        </w:tabs>
        <w:kinsoku/>
        <w:wordWrap/>
        <w:overflowPunct/>
        <w:topLinePunct w:val="0"/>
        <w:autoSpaceDE/>
        <w:autoSpaceDN/>
        <w:bidi w:val="0"/>
        <w:adjustRightInd/>
        <w:snapToGrid/>
        <w:spacing w:line="560" w:lineRule="exact"/>
        <w:ind w:left="0" w:leftChars="0" w:firstLine="646"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rPr>
        <w:t>、磋商报价</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_Toc3559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10</w:t>
      </w:r>
      <w:r>
        <w:rPr>
          <w:rFonts w:hint="eastAsia" w:ascii="仿宋_GB2312" w:hAnsi="仿宋_GB2312" w:eastAsia="仿宋_GB2312" w:cs="仿宋_GB2312"/>
          <w:color w:val="auto"/>
          <w:sz w:val="32"/>
          <w:szCs w:val="32"/>
        </w:rPr>
        <w:fldChar w:fldCharType="end"/>
      </w:r>
    </w:p>
    <w:p w14:paraId="48EAAE9E">
      <w:pPr>
        <w:pStyle w:val="16"/>
        <w:keepNext w:val="0"/>
        <w:keepLines w:val="0"/>
        <w:pageBreakBefore w:val="0"/>
        <w:widowControl/>
        <w:tabs>
          <w:tab w:val="right" w:leader="dot" w:pos="9072"/>
        </w:tabs>
        <w:kinsoku/>
        <w:wordWrap/>
        <w:overflowPunct/>
        <w:topLinePunct w:val="0"/>
        <w:autoSpaceDE/>
        <w:autoSpaceDN/>
        <w:bidi w:val="0"/>
        <w:adjustRightInd/>
        <w:snapToGrid/>
        <w:spacing w:line="560" w:lineRule="exact"/>
        <w:ind w:left="0" w:leftChars="0" w:firstLine="646"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rPr>
        <w:t>、响应文件</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_Toc12154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11</w:t>
      </w:r>
      <w:r>
        <w:rPr>
          <w:rFonts w:hint="eastAsia" w:ascii="仿宋_GB2312" w:hAnsi="仿宋_GB2312" w:eastAsia="仿宋_GB2312" w:cs="仿宋_GB2312"/>
          <w:color w:val="auto"/>
          <w:sz w:val="32"/>
          <w:szCs w:val="32"/>
        </w:rPr>
        <w:fldChar w:fldCharType="end"/>
      </w:r>
    </w:p>
    <w:p w14:paraId="0F33363D">
      <w:pPr>
        <w:pStyle w:val="16"/>
        <w:keepNext w:val="0"/>
        <w:keepLines w:val="0"/>
        <w:pageBreakBefore w:val="0"/>
        <w:widowControl/>
        <w:tabs>
          <w:tab w:val="right" w:leader="dot" w:pos="9072"/>
        </w:tabs>
        <w:kinsoku/>
        <w:wordWrap/>
        <w:overflowPunct/>
        <w:topLinePunct w:val="0"/>
        <w:autoSpaceDE/>
        <w:autoSpaceDN/>
        <w:bidi w:val="0"/>
        <w:adjustRightInd/>
        <w:snapToGrid/>
        <w:spacing w:line="560" w:lineRule="exact"/>
        <w:ind w:left="0" w:leftChars="0" w:firstLine="646"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响应文件开启</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_Toc17536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13</w:t>
      </w:r>
      <w:r>
        <w:rPr>
          <w:rFonts w:hint="eastAsia" w:ascii="仿宋_GB2312" w:hAnsi="仿宋_GB2312" w:eastAsia="仿宋_GB2312" w:cs="仿宋_GB2312"/>
          <w:color w:val="auto"/>
          <w:sz w:val="32"/>
          <w:szCs w:val="32"/>
        </w:rPr>
        <w:fldChar w:fldCharType="end"/>
      </w:r>
    </w:p>
    <w:p w14:paraId="5D325C97">
      <w:pPr>
        <w:pStyle w:val="16"/>
        <w:keepNext w:val="0"/>
        <w:keepLines w:val="0"/>
        <w:pageBreakBefore w:val="0"/>
        <w:widowControl/>
        <w:tabs>
          <w:tab w:val="right" w:leader="dot" w:pos="9072"/>
        </w:tabs>
        <w:kinsoku/>
        <w:wordWrap/>
        <w:overflowPunct/>
        <w:topLinePunct w:val="0"/>
        <w:autoSpaceDE/>
        <w:autoSpaceDN/>
        <w:bidi w:val="0"/>
        <w:adjustRightInd/>
        <w:snapToGrid/>
        <w:spacing w:line="560" w:lineRule="exact"/>
        <w:ind w:left="0" w:leftChars="0" w:firstLine="646"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rPr>
        <w:t>、组织评审</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_Toc31905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15</w:t>
      </w:r>
      <w:r>
        <w:rPr>
          <w:rFonts w:hint="eastAsia" w:ascii="仿宋_GB2312" w:hAnsi="仿宋_GB2312" w:eastAsia="仿宋_GB2312" w:cs="仿宋_GB2312"/>
          <w:color w:val="auto"/>
          <w:sz w:val="32"/>
          <w:szCs w:val="32"/>
        </w:rPr>
        <w:fldChar w:fldCharType="end"/>
      </w:r>
    </w:p>
    <w:p w14:paraId="11159C50">
      <w:pPr>
        <w:pStyle w:val="16"/>
        <w:keepNext w:val="0"/>
        <w:keepLines w:val="0"/>
        <w:pageBreakBefore w:val="0"/>
        <w:widowControl/>
        <w:tabs>
          <w:tab w:val="right" w:leader="dot" w:pos="9072"/>
        </w:tabs>
        <w:kinsoku/>
        <w:wordWrap/>
        <w:overflowPunct/>
        <w:topLinePunct w:val="0"/>
        <w:autoSpaceDE/>
        <w:autoSpaceDN/>
        <w:bidi w:val="0"/>
        <w:adjustRightInd/>
        <w:snapToGrid/>
        <w:spacing w:line="560" w:lineRule="exact"/>
        <w:ind w:left="0" w:leftChars="0" w:firstLine="646"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八</w:t>
      </w:r>
      <w:r>
        <w:rPr>
          <w:rFonts w:hint="eastAsia" w:ascii="仿宋_GB2312" w:hAnsi="仿宋_GB2312" w:eastAsia="仿宋_GB2312" w:cs="仿宋_GB2312"/>
          <w:color w:val="auto"/>
          <w:sz w:val="32"/>
          <w:szCs w:val="32"/>
        </w:rPr>
        <w:t>、成交</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_Toc3023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28</w:t>
      </w:r>
      <w:r>
        <w:rPr>
          <w:rFonts w:hint="eastAsia" w:ascii="仿宋_GB2312" w:hAnsi="仿宋_GB2312" w:eastAsia="仿宋_GB2312" w:cs="仿宋_GB2312"/>
          <w:color w:val="auto"/>
          <w:sz w:val="32"/>
          <w:szCs w:val="32"/>
        </w:rPr>
        <w:fldChar w:fldCharType="end"/>
      </w:r>
    </w:p>
    <w:p w14:paraId="0B6A16AD">
      <w:pPr>
        <w:pStyle w:val="16"/>
        <w:keepNext w:val="0"/>
        <w:keepLines w:val="0"/>
        <w:pageBreakBefore w:val="0"/>
        <w:widowControl/>
        <w:tabs>
          <w:tab w:val="right" w:leader="dot" w:pos="9072"/>
        </w:tabs>
        <w:kinsoku/>
        <w:wordWrap/>
        <w:overflowPunct/>
        <w:topLinePunct w:val="0"/>
        <w:autoSpaceDE/>
        <w:autoSpaceDN/>
        <w:bidi w:val="0"/>
        <w:adjustRightInd/>
        <w:snapToGrid/>
        <w:spacing w:line="560" w:lineRule="exact"/>
        <w:ind w:left="0" w:leftChars="0" w:firstLine="646"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九</w:t>
      </w:r>
      <w:r>
        <w:rPr>
          <w:rFonts w:hint="eastAsia" w:ascii="仿宋_GB2312" w:hAnsi="仿宋_GB2312" w:eastAsia="仿宋_GB2312" w:cs="仿宋_GB2312"/>
          <w:color w:val="auto"/>
          <w:sz w:val="32"/>
          <w:szCs w:val="32"/>
        </w:rPr>
        <w:t>、签订</w:t>
      </w:r>
      <w:r>
        <w:rPr>
          <w:rFonts w:hint="eastAsia" w:ascii="仿宋_GB2312" w:hAnsi="仿宋_GB2312" w:eastAsia="仿宋_GB2312" w:cs="仿宋_GB2312"/>
          <w:color w:val="auto"/>
          <w:kern w:val="0"/>
          <w:sz w:val="32"/>
          <w:szCs w:val="32"/>
        </w:rPr>
        <w:t>政府采购合同</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_Toc23938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29</w:t>
      </w:r>
      <w:r>
        <w:rPr>
          <w:rFonts w:hint="eastAsia" w:ascii="仿宋_GB2312" w:hAnsi="仿宋_GB2312" w:eastAsia="仿宋_GB2312" w:cs="仿宋_GB2312"/>
          <w:color w:val="auto"/>
          <w:sz w:val="32"/>
          <w:szCs w:val="32"/>
        </w:rPr>
        <w:fldChar w:fldCharType="end"/>
      </w:r>
    </w:p>
    <w:p w14:paraId="61907DCA">
      <w:pPr>
        <w:pStyle w:val="16"/>
        <w:keepNext w:val="0"/>
        <w:keepLines w:val="0"/>
        <w:pageBreakBefore w:val="0"/>
        <w:widowControl/>
        <w:tabs>
          <w:tab w:val="right" w:leader="dot" w:pos="9072"/>
        </w:tabs>
        <w:kinsoku/>
        <w:wordWrap/>
        <w:overflowPunct/>
        <w:topLinePunct w:val="0"/>
        <w:autoSpaceDE/>
        <w:autoSpaceDN/>
        <w:bidi w:val="0"/>
        <w:adjustRightInd/>
        <w:snapToGrid/>
        <w:spacing w:line="560" w:lineRule="exact"/>
        <w:ind w:left="0" w:leftChars="0" w:firstLine="646"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采购代理服务费</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_Toc14560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29</w:t>
      </w:r>
      <w:r>
        <w:rPr>
          <w:rFonts w:hint="eastAsia" w:ascii="仿宋_GB2312" w:hAnsi="仿宋_GB2312" w:eastAsia="仿宋_GB2312" w:cs="仿宋_GB2312"/>
          <w:color w:val="auto"/>
          <w:sz w:val="32"/>
          <w:szCs w:val="32"/>
        </w:rPr>
        <w:fldChar w:fldCharType="end"/>
      </w:r>
    </w:p>
    <w:p w14:paraId="66DDE5B9">
      <w:pPr>
        <w:pStyle w:val="15"/>
        <w:keepNext w:val="0"/>
        <w:keepLines w:val="0"/>
        <w:pageBreakBefore w:val="0"/>
        <w:widowControl/>
        <w:tabs>
          <w:tab w:val="right" w:leader="dot" w:pos="9072"/>
        </w:tabs>
        <w:kinsoku/>
        <w:wordWrap/>
        <w:overflowPunct/>
        <w:topLinePunct w:val="0"/>
        <w:autoSpaceDE/>
        <w:autoSpaceDN/>
        <w:bidi w:val="0"/>
        <w:adjustRightInd/>
        <w:snapToGrid/>
        <w:spacing w:line="560" w:lineRule="exact"/>
        <w:textAlignment w:val="auto"/>
        <w:rPr>
          <w:rFonts w:hint="eastAsia" w:ascii="黑体" w:hAnsi="黑体" w:eastAsia="黑体" w:cs="黑体"/>
          <w:color w:val="auto"/>
          <w:sz w:val="32"/>
          <w:szCs w:val="32"/>
        </w:rPr>
      </w:pPr>
      <w:r>
        <w:rPr>
          <w:rFonts w:hint="eastAsia" w:ascii="黑体" w:hAnsi="黑体" w:eastAsia="黑体" w:cs="黑体"/>
          <w:bCs/>
          <w:color w:val="auto"/>
          <w:sz w:val="32"/>
          <w:szCs w:val="32"/>
        </w:rPr>
        <w:t>第三章  磋商内容及采购要求</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_Toc2772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30</w:t>
      </w:r>
      <w:r>
        <w:rPr>
          <w:rFonts w:hint="eastAsia" w:ascii="仿宋_GB2312" w:hAnsi="仿宋_GB2312" w:eastAsia="仿宋_GB2312" w:cs="仿宋_GB2312"/>
          <w:color w:val="auto"/>
          <w:sz w:val="32"/>
          <w:szCs w:val="32"/>
        </w:rPr>
        <w:fldChar w:fldCharType="end"/>
      </w:r>
    </w:p>
    <w:p w14:paraId="18A6918B">
      <w:pPr>
        <w:pStyle w:val="15"/>
        <w:keepNext w:val="0"/>
        <w:keepLines w:val="0"/>
        <w:pageBreakBefore w:val="0"/>
        <w:widowControl/>
        <w:tabs>
          <w:tab w:val="right" w:leader="dot" w:pos="9072"/>
        </w:tabs>
        <w:kinsoku/>
        <w:wordWrap/>
        <w:overflowPunct/>
        <w:topLinePunct w:val="0"/>
        <w:autoSpaceDE/>
        <w:autoSpaceDN/>
        <w:bidi w:val="0"/>
        <w:adjustRightInd/>
        <w:snapToGrid/>
        <w:spacing w:line="560" w:lineRule="exact"/>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 xml:space="preserve">第四章 </w:t>
      </w:r>
      <w:r>
        <w:rPr>
          <w:rFonts w:hint="eastAsia" w:ascii="黑体" w:hAnsi="黑体" w:eastAsia="黑体" w:cs="黑体"/>
          <w:color w:val="auto"/>
          <w:sz w:val="32"/>
          <w:szCs w:val="32"/>
          <w:lang w:val="en-US" w:eastAsia="zh-CN"/>
        </w:rPr>
        <w:t xml:space="preserve"> </w:t>
      </w:r>
      <w:r>
        <w:rPr>
          <w:rFonts w:hint="eastAsia" w:ascii="黑体" w:hAnsi="黑体" w:eastAsia="黑体" w:cs="黑体"/>
          <w:color w:val="auto"/>
          <w:sz w:val="32"/>
          <w:szCs w:val="32"/>
        </w:rPr>
        <w:t>合同</w:t>
      </w:r>
      <w:r>
        <w:rPr>
          <w:rFonts w:hint="eastAsia" w:ascii="黑体" w:hAnsi="黑体" w:eastAsia="黑体" w:cs="黑体"/>
          <w:color w:val="auto"/>
          <w:sz w:val="32"/>
          <w:szCs w:val="32"/>
          <w:lang w:val="en-US" w:eastAsia="zh-CN"/>
        </w:rPr>
        <w:t>草案</w:t>
      </w:r>
      <w:r>
        <w:rPr>
          <w:rFonts w:hint="eastAsia" w:ascii="黑体" w:hAnsi="黑体" w:eastAsia="黑体" w:cs="黑体"/>
          <w:color w:val="auto"/>
          <w:sz w:val="32"/>
          <w:szCs w:val="32"/>
        </w:rPr>
        <w:t>条款</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_Toc10371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34</w:t>
      </w:r>
      <w:r>
        <w:rPr>
          <w:rFonts w:hint="eastAsia" w:ascii="仿宋_GB2312" w:hAnsi="仿宋_GB2312" w:eastAsia="仿宋_GB2312" w:cs="仿宋_GB2312"/>
          <w:color w:val="auto"/>
          <w:sz w:val="32"/>
          <w:szCs w:val="32"/>
        </w:rPr>
        <w:fldChar w:fldCharType="end"/>
      </w:r>
    </w:p>
    <w:p w14:paraId="0C63EB40">
      <w:pPr>
        <w:pStyle w:val="15"/>
        <w:keepNext w:val="0"/>
        <w:keepLines w:val="0"/>
        <w:pageBreakBefore w:val="0"/>
        <w:widowControl/>
        <w:tabs>
          <w:tab w:val="right" w:leader="dot" w:pos="9072"/>
        </w:tabs>
        <w:kinsoku/>
        <w:wordWrap/>
        <w:overflowPunct/>
        <w:topLinePunct w:val="0"/>
        <w:autoSpaceDE/>
        <w:autoSpaceDN/>
        <w:bidi w:val="0"/>
        <w:adjustRightInd/>
        <w:snapToGrid/>
        <w:spacing w:line="560" w:lineRule="exact"/>
        <w:textAlignment w:val="auto"/>
        <w:rPr>
          <w:rFonts w:hint="eastAsia" w:ascii="黑体" w:hAnsi="黑体" w:eastAsia="黑体" w:cs="黑体"/>
          <w:color w:val="auto"/>
          <w:sz w:val="32"/>
          <w:szCs w:val="32"/>
        </w:rPr>
      </w:pPr>
      <w:r>
        <w:rPr>
          <w:rFonts w:hint="eastAsia" w:ascii="黑体" w:hAnsi="黑体" w:eastAsia="黑体" w:cs="黑体"/>
          <w:bCs/>
          <w:color w:val="auto"/>
          <w:sz w:val="32"/>
          <w:szCs w:val="32"/>
        </w:rPr>
        <w:t>第五章  响应文件构成及格式</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_Toc5571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35</w:t>
      </w:r>
      <w:r>
        <w:rPr>
          <w:rFonts w:hint="eastAsia" w:ascii="仿宋_GB2312" w:hAnsi="仿宋_GB2312" w:eastAsia="仿宋_GB2312" w:cs="仿宋_GB2312"/>
          <w:color w:val="auto"/>
          <w:sz w:val="32"/>
          <w:szCs w:val="32"/>
        </w:rPr>
        <w:fldChar w:fldCharType="end"/>
      </w:r>
    </w:p>
    <w:p w14:paraId="364EC539">
      <w:pPr>
        <w:pStyle w:val="15"/>
        <w:keepNext w:val="0"/>
        <w:keepLines w:val="0"/>
        <w:pageBreakBefore w:val="0"/>
        <w:widowControl/>
        <w:tabs>
          <w:tab w:val="right" w:leader="dot" w:pos="9072"/>
        </w:tabs>
        <w:kinsoku/>
        <w:wordWrap/>
        <w:overflowPunct/>
        <w:topLinePunct w:val="0"/>
        <w:autoSpaceDE/>
        <w:autoSpaceDN/>
        <w:bidi w:val="0"/>
        <w:adjustRightInd/>
        <w:snapToGrid/>
        <w:spacing w:line="560" w:lineRule="exact"/>
        <w:ind w:firstLine="646" w:firstLineChars="200"/>
        <w:textAlignment w:val="auto"/>
        <w:rPr>
          <w:rFonts w:hint="eastAsia" w:ascii="黑体" w:hAnsi="黑体" w:eastAsia="黑体" w:cs="黑体"/>
          <w:color w:val="auto"/>
          <w:sz w:val="32"/>
          <w:szCs w:val="32"/>
        </w:rPr>
      </w:pPr>
      <w:r>
        <w:rPr>
          <w:rFonts w:hint="eastAsia" w:ascii="黑体" w:hAnsi="黑体" w:eastAsia="黑体" w:cs="黑体"/>
          <w:bCs/>
          <w:color w:val="auto"/>
          <w:sz w:val="32"/>
          <w:szCs w:val="32"/>
        </w:rPr>
        <w:t>第一部分  资格证明文件</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_Toc8079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38</w:t>
      </w:r>
      <w:r>
        <w:rPr>
          <w:rFonts w:hint="eastAsia" w:ascii="仿宋_GB2312" w:hAnsi="仿宋_GB2312" w:eastAsia="仿宋_GB2312" w:cs="仿宋_GB2312"/>
          <w:color w:val="auto"/>
          <w:sz w:val="32"/>
          <w:szCs w:val="32"/>
        </w:rPr>
        <w:fldChar w:fldCharType="end"/>
      </w:r>
    </w:p>
    <w:p w14:paraId="5C8E6C25">
      <w:pPr>
        <w:pStyle w:val="16"/>
        <w:keepNext w:val="0"/>
        <w:keepLines w:val="0"/>
        <w:pageBreakBefore w:val="0"/>
        <w:widowControl/>
        <w:tabs>
          <w:tab w:val="right" w:leader="dot" w:pos="9072"/>
        </w:tabs>
        <w:kinsoku/>
        <w:wordWrap/>
        <w:overflowPunct/>
        <w:topLinePunct w:val="0"/>
        <w:autoSpaceDE/>
        <w:autoSpaceDN/>
        <w:bidi w:val="0"/>
        <w:adjustRightInd/>
        <w:snapToGrid/>
        <w:spacing w:line="560" w:lineRule="exact"/>
        <w:ind w:left="0" w:leftChars="0" w:firstLine="646" w:firstLineChars="200"/>
        <w:textAlignment w:val="auto"/>
        <w:rPr>
          <w:rFonts w:hint="eastAsia" w:ascii="仿宋_GB2312" w:hAnsi="仿宋_GB2312" w:eastAsia="仿宋_GB2312" w:cs="仿宋_GB2312"/>
          <w:color w:val="auto"/>
          <w:sz w:val="32"/>
          <w:szCs w:val="32"/>
        </w:rPr>
      </w:pPr>
      <w:r>
        <w:rPr>
          <w:rFonts w:hint="eastAsia" w:ascii="黑体" w:hAnsi="黑体" w:eastAsia="黑体" w:cs="黑体"/>
          <w:color w:val="auto"/>
          <w:sz w:val="32"/>
          <w:szCs w:val="32"/>
        </w:rPr>
        <w:t>第二部分  符合性证明文件</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_Toc9751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42</w:t>
      </w:r>
      <w:r>
        <w:rPr>
          <w:rFonts w:hint="eastAsia" w:ascii="仿宋_GB2312" w:hAnsi="仿宋_GB2312" w:eastAsia="仿宋_GB2312" w:cs="仿宋_GB2312"/>
          <w:color w:val="auto"/>
          <w:sz w:val="32"/>
          <w:szCs w:val="32"/>
        </w:rPr>
        <w:fldChar w:fldCharType="end"/>
      </w:r>
    </w:p>
    <w:p w14:paraId="0F3F103D">
      <w:pPr>
        <w:pStyle w:val="16"/>
        <w:keepNext w:val="0"/>
        <w:keepLines w:val="0"/>
        <w:pageBreakBefore w:val="0"/>
        <w:widowControl/>
        <w:tabs>
          <w:tab w:val="right" w:leader="dot" w:pos="9072"/>
        </w:tabs>
        <w:kinsoku/>
        <w:wordWrap/>
        <w:overflowPunct/>
        <w:topLinePunct w:val="0"/>
        <w:autoSpaceDE/>
        <w:autoSpaceDN/>
        <w:bidi w:val="0"/>
        <w:adjustRightInd/>
        <w:snapToGrid/>
        <w:spacing w:line="560" w:lineRule="exact"/>
        <w:ind w:left="0" w:leftChars="0" w:firstLine="646" w:firstLineChars="200"/>
        <w:textAlignment w:val="auto"/>
        <w:rPr>
          <w:rFonts w:hint="eastAsia" w:ascii="黑体" w:hAnsi="黑体" w:eastAsia="黑体" w:cs="黑体"/>
          <w:color w:val="auto"/>
          <w:sz w:val="32"/>
          <w:szCs w:val="32"/>
        </w:rPr>
      </w:pPr>
      <w:r>
        <w:rPr>
          <w:rFonts w:hint="eastAsia" w:ascii="黑体" w:hAnsi="黑体" w:eastAsia="黑体" w:cs="黑体"/>
          <w:bCs w:val="0"/>
          <w:color w:val="auto"/>
          <w:sz w:val="32"/>
          <w:szCs w:val="32"/>
        </w:rPr>
        <w:t>第三部分  响应方案</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_Toc17248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49</w:t>
      </w:r>
      <w:r>
        <w:rPr>
          <w:rFonts w:hint="eastAsia" w:ascii="仿宋_GB2312" w:hAnsi="仿宋_GB2312" w:eastAsia="仿宋_GB2312" w:cs="仿宋_GB2312"/>
          <w:color w:val="auto"/>
          <w:sz w:val="32"/>
          <w:szCs w:val="32"/>
        </w:rPr>
        <w:fldChar w:fldCharType="end"/>
      </w:r>
    </w:p>
    <w:p w14:paraId="415C7108">
      <w:pPr>
        <w:keepNext w:val="0"/>
        <w:keepLines w:val="0"/>
        <w:pageBreakBefore w:val="0"/>
        <w:widowControl/>
        <w:kinsoku/>
        <w:wordWrap/>
        <w:overflowPunct/>
        <w:topLinePunct w:val="0"/>
        <w:autoSpaceDE/>
        <w:autoSpaceDN/>
        <w:bidi w:val="0"/>
        <w:adjustRightInd/>
        <w:snapToGrid/>
        <w:spacing w:line="560" w:lineRule="exact"/>
        <w:textAlignment w:val="auto"/>
        <w:rPr>
          <w:rFonts w:hint="default"/>
          <w:color w:val="auto"/>
          <w:lang w:val="en-US" w:eastAsia="zh-CN"/>
        </w:rPr>
      </w:pPr>
      <w:r>
        <w:rPr>
          <w:rFonts w:hint="default"/>
          <w:color w:val="auto"/>
          <w:sz w:val="32"/>
          <w:szCs w:val="32"/>
          <w:lang w:val="en-US" w:eastAsia="zh-CN"/>
        </w:rPr>
        <w:fldChar w:fldCharType="end"/>
      </w:r>
    </w:p>
    <w:p w14:paraId="29FD1410">
      <w:pPr>
        <w:pageBreakBefore w:val="0"/>
        <w:kinsoku/>
        <w:wordWrap/>
        <w:overflowPunct/>
        <w:topLinePunct w:val="0"/>
        <w:bidi w:val="0"/>
        <w:snapToGrid/>
        <w:spacing w:line="560" w:lineRule="exact"/>
        <w:textAlignment w:val="auto"/>
        <w:rPr>
          <w:color w:val="auto"/>
        </w:rPr>
      </w:pPr>
    </w:p>
    <w:p w14:paraId="700F4FEF">
      <w:pPr>
        <w:pStyle w:val="3"/>
        <w:pageBreakBefore w:val="0"/>
        <w:kinsoku/>
        <w:wordWrap/>
        <w:overflowPunct/>
        <w:topLinePunct w:val="0"/>
        <w:bidi w:val="0"/>
        <w:snapToGrid/>
        <w:spacing w:line="560" w:lineRule="exact"/>
        <w:textAlignment w:val="auto"/>
        <w:rPr>
          <w:rFonts w:ascii="黑体" w:hAnsi="黑体" w:eastAsia="黑体"/>
          <w:b w:val="0"/>
          <w:color w:val="auto"/>
          <w:sz w:val="32"/>
          <w:szCs w:val="32"/>
        </w:rPr>
        <w:sectPr>
          <w:footerReference r:id="rId6" w:type="default"/>
          <w:pgSz w:w="11906" w:h="16838"/>
          <w:pgMar w:top="1417" w:right="1417" w:bottom="1417" w:left="1417" w:header="850" w:footer="992" w:gutter="0"/>
          <w:pgBorders>
            <w:top w:val="none" w:sz="0" w:space="0"/>
            <w:left w:val="none" w:sz="0" w:space="0"/>
            <w:bottom w:val="none" w:sz="0" w:space="0"/>
            <w:right w:val="none" w:sz="0" w:space="0"/>
          </w:pgBorders>
          <w:pgNumType w:start="1"/>
          <w:cols w:space="720" w:num="1"/>
          <w:docGrid w:type="linesAndChars" w:linePitch="381" w:charSpace="704"/>
        </w:sectPr>
      </w:pPr>
    </w:p>
    <w:p w14:paraId="1C43DEBA">
      <w:pPr>
        <w:pStyle w:val="3"/>
        <w:pageBreakBefore w:val="0"/>
        <w:numPr>
          <w:ilvl w:val="0"/>
          <w:numId w:val="1"/>
        </w:numPr>
        <w:kinsoku/>
        <w:wordWrap/>
        <w:overflowPunct/>
        <w:topLinePunct w:val="0"/>
        <w:bidi w:val="0"/>
        <w:snapToGrid/>
        <w:spacing w:line="560" w:lineRule="exact"/>
        <w:textAlignment w:val="auto"/>
        <w:rPr>
          <w:rFonts w:ascii="黑体" w:hAnsi="黑体" w:eastAsia="黑体"/>
          <w:b w:val="0"/>
          <w:color w:val="auto"/>
          <w:sz w:val="32"/>
          <w:szCs w:val="32"/>
        </w:rPr>
      </w:pPr>
      <w:bookmarkStart w:id="3" w:name="_Toc21489"/>
      <w:bookmarkStart w:id="4" w:name="_Toc5655"/>
      <w:bookmarkStart w:id="5" w:name="_Toc26235"/>
      <w:r>
        <w:rPr>
          <w:rFonts w:ascii="黑体" w:hAnsi="黑体" w:eastAsia="黑体"/>
          <w:b w:val="0"/>
          <w:color w:val="auto"/>
          <w:sz w:val="32"/>
          <w:szCs w:val="32"/>
        </w:rPr>
        <w:t xml:space="preserve"> </w:t>
      </w:r>
      <w:bookmarkStart w:id="6" w:name="_Toc8073"/>
      <w:r>
        <w:rPr>
          <w:rFonts w:hint="eastAsia" w:ascii="黑体" w:hAnsi="黑体" w:eastAsia="黑体"/>
          <w:b w:val="0"/>
          <w:color w:val="auto"/>
          <w:sz w:val="32"/>
          <w:szCs w:val="32"/>
        </w:rPr>
        <w:t>磋商</w:t>
      </w:r>
      <w:r>
        <w:rPr>
          <w:rFonts w:ascii="黑体" w:hAnsi="黑体" w:eastAsia="黑体"/>
          <w:b w:val="0"/>
          <w:color w:val="auto"/>
          <w:sz w:val="32"/>
          <w:szCs w:val="32"/>
        </w:rPr>
        <w:t>邀请函</w:t>
      </w:r>
      <w:bookmarkEnd w:id="0"/>
      <w:bookmarkEnd w:id="1"/>
      <w:bookmarkEnd w:id="2"/>
      <w:bookmarkEnd w:id="3"/>
      <w:bookmarkEnd w:id="4"/>
      <w:bookmarkEnd w:id="5"/>
      <w:bookmarkEnd w:id="6"/>
    </w:p>
    <w:p w14:paraId="5FDEE92C">
      <w:pPr>
        <w:keepLines w:val="0"/>
        <w:pageBreakBefore w:val="0"/>
        <w:widowControl w:val="0"/>
        <w:kinsoku/>
        <w:wordWrap/>
        <w:overflowPunct/>
        <w:topLinePunct w:val="0"/>
        <w:bidi w:val="0"/>
        <w:snapToGrid/>
        <w:spacing w:line="560" w:lineRule="exact"/>
        <w:textAlignment w:val="auto"/>
        <w:rPr>
          <w:rFonts w:hint="eastAsia" w:ascii="仿宋_GB2312" w:hAnsi="仿宋_GB2312" w:eastAsia="仿宋_GB2312" w:cs="仿宋_GB2312"/>
          <w:color w:val="auto"/>
          <w:sz w:val="28"/>
          <w:szCs w:val="28"/>
        </w:rPr>
      </w:pPr>
    </w:p>
    <w:p w14:paraId="7633A0ED">
      <w:pPr>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bidi w:val="0"/>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项目概况</w:t>
      </w:r>
    </w:p>
    <w:p w14:paraId="56121C98">
      <w:pPr>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bidi w:val="0"/>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highlight w:val="none"/>
          <w:u w:val="single"/>
          <w:lang w:val="en-US" w:eastAsia="zh-CN"/>
        </w:rPr>
        <w:t xml:space="preserve">  汉中市福利彩票发行中心福彩公益驿站建设</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rPr>
        <w:t xml:space="preserve"> 采购项目的潜在供应商应在</w:t>
      </w:r>
      <w:r>
        <w:rPr>
          <w:rFonts w:hint="eastAsia" w:ascii="仿宋_GB2312" w:hAnsi="仿宋_GB2312" w:eastAsia="仿宋_GB2312" w:cs="仿宋_GB2312"/>
          <w:color w:val="auto"/>
          <w:sz w:val="28"/>
          <w:szCs w:val="28"/>
          <w:u w:val="single"/>
          <w:lang w:val="en-US" w:eastAsia="zh-CN"/>
        </w:rPr>
        <w:t xml:space="preserve"> 全国公共资源交易平台（汉中市）（sxggzyjy.hanzhong.gov.cn） </w:t>
      </w:r>
      <w:r>
        <w:rPr>
          <w:rFonts w:hint="eastAsia" w:ascii="仿宋_GB2312" w:hAnsi="仿宋_GB2312" w:eastAsia="仿宋_GB2312" w:cs="仿宋_GB2312"/>
          <w:color w:val="auto"/>
          <w:sz w:val="28"/>
          <w:szCs w:val="28"/>
        </w:rPr>
        <w:t>获取采购文件，并于</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2025</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bCs/>
          <w:color w:val="auto"/>
          <w:sz w:val="28"/>
          <w:szCs w:val="28"/>
          <w:u w:val="single"/>
        </w:rPr>
        <w:t>年</w:t>
      </w:r>
      <w:r>
        <w:rPr>
          <w:rFonts w:hint="eastAsia" w:ascii="仿宋_GB2312" w:hAnsi="仿宋_GB2312" w:eastAsia="仿宋_GB2312" w:cs="仿宋_GB2312"/>
          <w:bCs/>
          <w:color w:val="auto"/>
          <w:sz w:val="28"/>
          <w:szCs w:val="28"/>
          <w:u w:val="single"/>
          <w:lang w:val="en-US" w:eastAsia="zh-CN"/>
        </w:rPr>
        <w:t>8</w:t>
      </w:r>
      <w:r>
        <w:rPr>
          <w:rFonts w:hint="eastAsia" w:ascii="仿宋_GB2312" w:hAnsi="仿宋_GB2312" w:eastAsia="仿宋_GB2312" w:cs="仿宋_GB2312"/>
          <w:bCs/>
          <w:color w:val="auto"/>
          <w:sz w:val="28"/>
          <w:szCs w:val="28"/>
          <w:u w:val="single"/>
        </w:rPr>
        <w:t>月</w:t>
      </w:r>
      <w:r>
        <w:rPr>
          <w:rFonts w:hint="eastAsia" w:ascii="仿宋_GB2312" w:hAnsi="仿宋_GB2312" w:eastAsia="仿宋_GB2312" w:cs="仿宋_GB2312"/>
          <w:bCs/>
          <w:color w:val="auto"/>
          <w:sz w:val="28"/>
          <w:szCs w:val="28"/>
          <w:u w:val="single"/>
          <w:lang w:val="en-US" w:eastAsia="zh-CN"/>
        </w:rPr>
        <w:t>8</w:t>
      </w:r>
      <w:r>
        <w:rPr>
          <w:rFonts w:hint="eastAsia" w:ascii="仿宋_GB2312" w:hAnsi="仿宋_GB2312" w:eastAsia="仿宋_GB2312" w:cs="仿宋_GB2312"/>
          <w:bCs/>
          <w:color w:val="auto"/>
          <w:sz w:val="28"/>
          <w:szCs w:val="28"/>
          <w:u w:val="single"/>
        </w:rPr>
        <w:t>日</w:t>
      </w:r>
      <w:r>
        <w:rPr>
          <w:rFonts w:hint="eastAsia" w:ascii="仿宋_GB2312" w:hAnsi="仿宋_GB2312" w:eastAsia="仿宋_GB2312" w:cs="仿宋_GB2312"/>
          <w:bCs/>
          <w:color w:val="auto"/>
          <w:sz w:val="28"/>
          <w:szCs w:val="28"/>
          <w:u w:val="single"/>
          <w:lang w:val="en-US" w:eastAsia="zh-CN"/>
        </w:rPr>
        <w:t xml:space="preserve"> 9 </w:t>
      </w:r>
      <w:r>
        <w:rPr>
          <w:rFonts w:hint="eastAsia" w:ascii="仿宋_GB2312" w:hAnsi="仿宋_GB2312" w:eastAsia="仿宋_GB2312" w:cs="仿宋_GB2312"/>
          <w:bCs/>
          <w:color w:val="auto"/>
          <w:sz w:val="28"/>
          <w:szCs w:val="28"/>
          <w:u w:val="single"/>
        </w:rPr>
        <w:t>点</w:t>
      </w:r>
      <w:r>
        <w:rPr>
          <w:rFonts w:hint="eastAsia" w:ascii="仿宋_GB2312" w:hAnsi="仿宋_GB2312" w:eastAsia="仿宋_GB2312" w:cs="仿宋_GB2312"/>
          <w:bCs/>
          <w:color w:val="auto"/>
          <w:sz w:val="28"/>
          <w:szCs w:val="28"/>
          <w:u w:val="single"/>
          <w:lang w:val="en-US" w:eastAsia="zh-CN"/>
        </w:rPr>
        <w:t xml:space="preserve"> 30</w:t>
      </w:r>
      <w:r>
        <w:rPr>
          <w:rFonts w:hint="eastAsia" w:ascii="仿宋_GB2312" w:hAnsi="仿宋_GB2312" w:eastAsia="仿宋_GB2312" w:cs="仿宋_GB2312"/>
          <w:bCs/>
          <w:color w:val="auto"/>
          <w:sz w:val="28"/>
          <w:szCs w:val="28"/>
          <w:u w:val="single"/>
        </w:rPr>
        <w:t>分</w:t>
      </w:r>
      <w:r>
        <w:rPr>
          <w:rFonts w:hint="eastAsia" w:ascii="仿宋_GB2312" w:hAnsi="仿宋_GB2312" w:eastAsia="仿宋_GB2312" w:cs="仿宋_GB2312"/>
          <w:bCs/>
          <w:color w:val="auto"/>
          <w:sz w:val="28"/>
          <w:szCs w:val="28"/>
        </w:rPr>
        <w:t>（北京时间）前提交响应文件</w:t>
      </w:r>
      <w:r>
        <w:rPr>
          <w:rFonts w:hint="eastAsia" w:ascii="仿宋_GB2312" w:hAnsi="仿宋_GB2312" w:eastAsia="仿宋_GB2312" w:cs="仿宋_GB2312"/>
          <w:color w:val="auto"/>
          <w:sz w:val="28"/>
          <w:szCs w:val="28"/>
        </w:rPr>
        <w:t>。</w:t>
      </w:r>
    </w:p>
    <w:p w14:paraId="58094B36">
      <w:pPr>
        <w:keepLines w:val="0"/>
        <w:pageBreakBefore w:val="0"/>
        <w:widowControl w:val="0"/>
        <w:kinsoku/>
        <w:wordWrap/>
        <w:overflowPunct/>
        <w:topLinePunct w:val="0"/>
        <w:bidi w:val="0"/>
        <w:snapToGrid/>
        <w:spacing w:line="560" w:lineRule="exact"/>
        <w:textAlignment w:val="auto"/>
        <w:rPr>
          <w:rFonts w:hint="eastAsia" w:ascii="仿宋_GB2312" w:hAnsi="仿宋_GB2312" w:eastAsia="仿宋_GB2312" w:cs="仿宋_GB2312"/>
          <w:color w:val="auto"/>
          <w:sz w:val="28"/>
          <w:szCs w:val="28"/>
        </w:rPr>
      </w:pPr>
    </w:p>
    <w:p w14:paraId="64864E3C">
      <w:pPr>
        <w:keepNext/>
        <w:keepLines w:val="0"/>
        <w:pageBreakBefore w:val="0"/>
        <w:widowControl w:val="0"/>
        <w:kinsoku/>
        <w:wordWrap/>
        <w:overflowPunct/>
        <w:topLinePunct w:val="0"/>
        <w:autoSpaceDE w:val="0"/>
        <w:autoSpaceDN w:val="0"/>
        <w:bidi w:val="0"/>
        <w:adjustRightInd w:val="0"/>
        <w:snapToGrid/>
        <w:spacing w:line="560" w:lineRule="exact"/>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7" w:name="_Toc35393798"/>
      <w:bookmarkStart w:id="8" w:name="_Toc28840"/>
      <w:bookmarkStart w:id="9" w:name="_Toc28359089"/>
      <w:bookmarkStart w:id="10" w:name="_Toc28359012"/>
      <w:bookmarkStart w:id="11" w:name="_Toc35393629"/>
      <w:r>
        <w:rPr>
          <w:rFonts w:hint="eastAsia" w:ascii="仿宋_GB2312" w:hAnsi="仿宋_GB2312" w:eastAsia="仿宋_GB2312" w:cs="仿宋_GB2312"/>
          <w:b/>
          <w:bCs/>
          <w:color w:val="auto"/>
          <w:kern w:val="2"/>
          <w:sz w:val="28"/>
          <w:szCs w:val="28"/>
          <w:lang w:val="en-US" w:eastAsia="zh-CN" w:bidi="ar-SA"/>
        </w:rPr>
        <w:t>一、项目基本情况</w:t>
      </w:r>
      <w:bookmarkEnd w:id="7"/>
      <w:bookmarkEnd w:id="8"/>
      <w:bookmarkEnd w:id="9"/>
      <w:bookmarkEnd w:id="10"/>
      <w:bookmarkEnd w:id="11"/>
    </w:p>
    <w:p w14:paraId="7312CD17">
      <w:pPr>
        <w:keepLines w:val="0"/>
        <w:pageBreakBefore w:val="0"/>
        <w:widowControl w:val="0"/>
        <w:kinsoku/>
        <w:wordWrap/>
        <w:overflowPunct/>
        <w:topLinePunct w:val="0"/>
        <w:bidi w:val="0"/>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项目编号：汉采</w:t>
      </w:r>
      <w:r>
        <w:rPr>
          <w:rFonts w:hint="eastAsia" w:ascii="仿宋_GB2312" w:hAnsi="仿宋_GB2312" w:eastAsia="仿宋_GB2312" w:cs="仿宋_GB2312"/>
          <w:color w:val="auto"/>
          <w:sz w:val="28"/>
          <w:szCs w:val="28"/>
          <w:lang w:val="en-US" w:eastAsia="zh-CN"/>
        </w:rPr>
        <w:t>HW</w:t>
      </w:r>
      <w:r>
        <w:rPr>
          <w:rFonts w:hint="eastAsia" w:ascii="仿宋_GB2312" w:hAnsi="仿宋_GB2312" w:eastAsia="仿宋_GB2312" w:cs="仿宋_GB2312"/>
          <w:color w:val="auto"/>
          <w:sz w:val="28"/>
          <w:szCs w:val="28"/>
        </w:rPr>
        <w:t>【202</w:t>
      </w: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9</w:t>
      </w:r>
      <w:r>
        <w:rPr>
          <w:rFonts w:hint="eastAsia" w:ascii="仿宋_GB2312" w:hAnsi="仿宋_GB2312" w:eastAsia="仿宋_GB2312" w:cs="仿宋_GB2312"/>
          <w:color w:val="auto"/>
          <w:sz w:val="28"/>
          <w:szCs w:val="28"/>
        </w:rPr>
        <w:t>号</w:t>
      </w:r>
    </w:p>
    <w:p w14:paraId="66E26FF2">
      <w:pPr>
        <w:keepLines w:val="0"/>
        <w:pageBreakBefore w:val="0"/>
        <w:widowControl w:val="0"/>
        <w:kinsoku/>
        <w:wordWrap/>
        <w:overflowPunct/>
        <w:topLinePunct w:val="0"/>
        <w:bidi w:val="0"/>
        <w:snapToGrid/>
        <w:spacing w:line="560" w:lineRule="exact"/>
        <w:ind w:firstLine="566" w:firstLineChars="200"/>
        <w:textAlignment w:val="auto"/>
        <w:rPr>
          <w:rFonts w:hint="eastAsia" w:ascii="仿宋_GB2312" w:hAnsi="仿宋_GB2312" w:eastAsia="仿宋_GB2312" w:cs="仿宋_GB2312"/>
          <w:color w:val="auto"/>
          <w:sz w:val="28"/>
          <w:szCs w:val="28"/>
          <w:highlight w:val="yellow"/>
          <w:u w:val="single"/>
          <w:lang w:val="en-US" w:eastAsia="zh-CN"/>
        </w:rPr>
      </w:pPr>
      <w:r>
        <w:rPr>
          <w:rFonts w:hint="eastAsia" w:ascii="仿宋_GB2312" w:hAnsi="仿宋_GB2312" w:eastAsia="仿宋_GB2312" w:cs="仿宋_GB2312"/>
          <w:color w:val="auto"/>
          <w:sz w:val="28"/>
          <w:szCs w:val="28"/>
        </w:rPr>
        <w:t>项目名称：</w:t>
      </w:r>
      <w:r>
        <w:rPr>
          <w:rFonts w:hint="eastAsia" w:ascii="仿宋_GB2312" w:hAnsi="仿宋_GB2312" w:eastAsia="仿宋_GB2312" w:cs="仿宋_GB2312"/>
          <w:color w:val="auto"/>
          <w:sz w:val="28"/>
          <w:szCs w:val="28"/>
          <w:highlight w:val="none"/>
          <w:lang w:val="en-US" w:eastAsia="zh-CN"/>
        </w:rPr>
        <w:t>汉中市福利彩票发行中心福彩公益驿站建设采购项目</w:t>
      </w:r>
    </w:p>
    <w:p w14:paraId="06BB4722">
      <w:pPr>
        <w:keepLines w:val="0"/>
        <w:pageBreakBefore w:val="0"/>
        <w:widowControl w:val="0"/>
        <w:kinsoku/>
        <w:wordWrap/>
        <w:overflowPunct/>
        <w:topLinePunct w:val="0"/>
        <w:bidi w:val="0"/>
        <w:snapToGrid/>
        <w:spacing w:line="560" w:lineRule="exact"/>
        <w:ind w:firstLine="566"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rPr>
        <w:t>采购方式：竞</w:t>
      </w:r>
      <w:r>
        <w:rPr>
          <w:rFonts w:hint="eastAsia" w:ascii="仿宋_GB2312" w:hAnsi="仿宋_GB2312" w:eastAsia="仿宋_GB2312" w:cs="仿宋_GB2312"/>
          <w:color w:val="auto"/>
          <w:sz w:val="28"/>
          <w:szCs w:val="28"/>
          <w:highlight w:val="none"/>
        </w:rPr>
        <w:t>争性磋商</w:t>
      </w:r>
    </w:p>
    <w:p w14:paraId="1B90EDBA">
      <w:pPr>
        <w:keepLines w:val="0"/>
        <w:pageBreakBefore w:val="0"/>
        <w:widowControl w:val="0"/>
        <w:kinsoku/>
        <w:wordWrap/>
        <w:overflowPunct/>
        <w:topLinePunct w:val="0"/>
        <w:bidi w:val="0"/>
        <w:snapToGrid/>
        <w:spacing w:line="560" w:lineRule="exact"/>
        <w:ind w:firstLine="566"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预算金额：</w:t>
      </w:r>
      <w:r>
        <w:rPr>
          <w:rFonts w:hint="eastAsia" w:ascii="仿宋_GB2312" w:hAnsi="仿宋_GB2312" w:eastAsia="仿宋_GB2312" w:cs="仿宋_GB2312"/>
          <w:color w:val="auto"/>
          <w:sz w:val="28"/>
          <w:szCs w:val="28"/>
          <w:highlight w:val="none"/>
          <w:lang w:val="en-US" w:eastAsia="zh-CN"/>
        </w:rPr>
        <w:t>345000元</w:t>
      </w:r>
    </w:p>
    <w:p w14:paraId="1F53BD29">
      <w:pPr>
        <w:keepLines w:val="0"/>
        <w:pageBreakBefore w:val="0"/>
        <w:widowControl w:val="0"/>
        <w:kinsoku/>
        <w:wordWrap/>
        <w:overflowPunct/>
        <w:topLinePunct w:val="0"/>
        <w:bidi w:val="0"/>
        <w:snapToGrid/>
        <w:spacing w:line="560" w:lineRule="exact"/>
        <w:ind w:firstLine="566" w:firstLineChars="200"/>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最高限价：</w:t>
      </w:r>
      <w:r>
        <w:rPr>
          <w:rFonts w:hint="eastAsia" w:ascii="仿宋_GB2312" w:hAnsi="仿宋_GB2312" w:eastAsia="仿宋_GB2312" w:cs="仿宋_GB2312"/>
          <w:color w:val="auto"/>
          <w:sz w:val="28"/>
          <w:szCs w:val="28"/>
          <w:highlight w:val="none"/>
          <w:lang w:val="en-US" w:eastAsia="zh-CN"/>
        </w:rPr>
        <w:t>无</w:t>
      </w:r>
    </w:p>
    <w:p w14:paraId="618A9CB7">
      <w:pPr>
        <w:keepLines w:val="0"/>
        <w:pageBreakBefore w:val="0"/>
        <w:widowControl w:val="0"/>
        <w:kinsoku/>
        <w:wordWrap/>
        <w:overflowPunct/>
        <w:topLinePunct w:val="0"/>
        <w:bidi w:val="0"/>
        <w:snapToGrid/>
        <w:spacing w:line="560" w:lineRule="exact"/>
        <w:ind w:firstLine="566" w:firstLineChars="200"/>
        <w:textAlignment w:val="auto"/>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rPr>
        <w:t>采购需求：</w:t>
      </w:r>
      <w:r>
        <w:rPr>
          <w:rFonts w:hint="eastAsia" w:ascii="仿宋_GB2312" w:hAnsi="仿宋_GB2312" w:eastAsia="仿宋_GB2312" w:cs="仿宋_GB2312"/>
          <w:color w:val="auto"/>
          <w:sz w:val="28"/>
          <w:szCs w:val="28"/>
          <w:highlight w:val="none"/>
          <w:lang w:val="en-US" w:eastAsia="zh-CN"/>
        </w:rPr>
        <w:t>智能积分礼品兑换柜23台等（详见第三章）</w:t>
      </w:r>
    </w:p>
    <w:p w14:paraId="3B372EE7">
      <w:pPr>
        <w:keepLines w:val="0"/>
        <w:pageBreakBefore w:val="0"/>
        <w:widowControl w:val="0"/>
        <w:kinsoku/>
        <w:wordWrap/>
        <w:overflowPunct/>
        <w:topLinePunct w:val="0"/>
        <w:bidi w:val="0"/>
        <w:snapToGrid/>
        <w:spacing w:line="560" w:lineRule="exact"/>
        <w:ind w:firstLine="566" w:firstLineChars="200"/>
        <w:textAlignment w:val="auto"/>
        <w:rPr>
          <w:rFonts w:hint="eastAsia" w:ascii="仿宋_GB2312" w:hAnsi="仿宋_GB2312" w:eastAsia="仿宋_GB2312" w:cs="仿宋_GB2312"/>
          <w:color w:val="auto"/>
          <w:sz w:val="28"/>
          <w:szCs w:val="28"/>
          <w:highlight w:val="none"/>
          <w:u w:val="single"/>
          <w:lang w:val="en-US" w:eastAsia="zh-CN"/>
        </w:rPr>
      </w:pPr>
      <w:r>
        <w:rPr>
          <w:rFonts w:hint="eastAsia" w:ascii="仿宋_GB2312" w:hAnsi="仿宋_GB2312" w:eastAsia="仿宋_GB2312" w:cs="仿宋_GB2312"/>
          <w:color w:val="auto"/>
          <w:sz w:val="28"/>
          <w:szCs w:val="28"/>
          <w:highlight w:val="none"/>
        </w:rPr>
        <w:t>合同履行期限：</w:t>
      </w:r>
      <w:r>
        <w:rPr>
          <w:rFonts w:hint="eastAsia" w:ascii="仿宋_GB2312" w:hAnsi="仿宋_GB2312" w:eastAsia="仿宋_GB2312" w:cs="仿宋_GB2312"/>
          <w:color w:val="auto"/>
          <w:sz w:val="28"/>
          <w:szCs w:val="28"/>
          <w:highlight w:val="none"/>
          <w:lang w:val="en-US" w:eastAsia="zh-CN"/>
        </w:rPr>
        <w:t>签订合同后30天内。</w:t>
      </w:r>
    </w:p>
    <w:p w14:paraId="60748AB8">
      <w:pPr>
        <w:keepLines w:val="0"/>
        <w:pageBreakBefore w:val="0"/>
        <w:widowControl w:val="0"/>
        <w:kinsoku/>
        <w:wordWrap/>
        <w:overflowPunct/>
        <w:topLinePunct w:val="0"/>
        <w:bidi w:val="0"/>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w:t>
      </w:r>
      <w:r>
        <w:rPr>
          <w:rFonts w:hint="eastAsia" w:ascii="仿宋_GB2312" w:hAnsi="仿宋_GB2312" w:eastAsia="仿宋_GB2312" w:cs="仿宋_GB2312"/>
          <w:color w:val="auto"/>
          <w:sz w:val="28"/>
          <w:szCs w:val="28"/>
          <w:lang w:val="en-US" w:eastAsia="zh-CN"/>
        </w:rPr>
        <w:t>不</w:t>
      </w:r>
      <w:r>
        <w:rPr>
          <w:rFonts w:hint="eastAsia" w:ascii="仿宋_GB2312" w:hAnsi="仿宋_GB2312" w:eastAsia="仿宋_GB2312" w:cs="仿宋_GB2312"/>
          <w:color w:val="auto"/>
          <w:sz w:val="28"/>
          <w:szCs w:val="28"/>
        </w:rPr>
        <w:t>接受联合体。</w:t>
      </w:r>
    </w:p>
    <w:p w14:paraId="691F17E4">
      <w:pPr>
        <w:keepNext/>
        <w:keepLines w:val="0"/>
        <w:pageBreakBefore w:val="0"/>
        <w:widowControl w:val="0"/>
        <w:kinsoku/>
        <w:wordWrap/>
        <w:overflowPunct/>
        <w:topLinePunct w:val="0"/>
        <w:autoSpaceDE w:val="0"/>
        <w:autoSpaceDN w:val="0"/>
        <w:bidi w:val="0"/>
        <w:adjustRightInd w:val="0"/>
        <w:snapToGrid/>
        <w:spacing w:line="560" w:lineRule="exact"/>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12" w:name="_Toc28359013"/>
      <w:bookmarkStart w:id="13" w:name="_Toc35393630"/>
      <w:bookmarkStart w:id="14" w:name="_Toc35393799"/>
      <w:bookmarkStart w:id="15" w:name="_Toc3608"/>
      <w:bookmarkStart w:id="16" w:name="_Toc28359090"/>
      <w:r>
        <w:rPr>
          <w:rFonts w:hint="eastAsia" w:ascii="仿宋_GB2312" w:hAnsi="仿宋_GB2312" w:eastAsia="仿宋_GB2312" w:cs="仿宋_GB2312"/>
          <w:b/>
          <w:bCs/>
          <w:color w:val="auto"/>
          <w:kern w:val="2"/>
          <w:sz w:val="28"/>
          <w:szCs w:val="28"/>
          <w:lang w:val="en-US" w:eastAsia="zh-CN" w:bidi="ar-SA"/>
        </w:rPr>
        <w:t>二、申请人的资格要求：</w:t>
      </w:r>
      <w:bookmarkEnd w:id="12"/>
      <w:bookmarkEnd w:id="13"/>
      <w:bookmarkEnd w:id="14"/>
      <w:bookmarkEnd w:id="15"/>
      <w:bookmarkEnd w:id="16"/>
    </w:p>
    <w:p w14:paraId="4836ED5B">
      <w:pPr>
        <w:keepLines w:val="0"/>
        <w:pageBreakBefore w:val="0"/>
        <w:widowControl w:val="0"/>
        <w:kinsoku/>
        <w:wordWrap/>
        <w:overflowPunct/>
        <w:topLinePunct w:val="0"/>
        <w:bidi w:val="0"/>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1.满足《中华人民共和国政府采购法》第二十二条规定；</w:t>
      </w:r>
    </w:p>
    <w:p w14:paraId="163E2CB3">
      <w:pPr>
        <w:keepLines w:val="0"/>
        <w:pageBreakBefore w:val="0"/>
        <w:widowControl w:val="0"/>
        <w:kinsoku/>
        <w:wordWrap/>
        <w:overflowPunct/>
        <w:topLinePunct w:val="0"/>
        <w:bidi w:val="0"/>
        <w:snapToGrid/>
        <w:spacing w:line="560" w:lineRule="exact"/>
        <w:ind w:firstLine="566" w:firstLineChars="200"/>
        <w:textAlignment w:val="auto"/>
        <w:rPr>
          <w:rFonts w:hint="eastAsia" w:ascii="仿宋_GB2312" w:hAnsi="仿宋_GB2312" w:eastAsia="仿宋_GB2312" w:cs="仿宋_GB2312"/>
          <w:color w:val="auto"/>
          <w:sz w:val="28"/>
          <w:szCs w:val="28"/>
          <w:lang w:eastAsia="zh-CN"/>
        </w:rPr>
      </w:pPr>
      <w:bookmarkStart w:id="17" w:name="_Toc28359091"/>
      <w:bookmarkStart w:id="18" w:name="_Toc28359014"/>
      <w:r>
        <w:rPr>
          <w:rFonts w:hint="eastAsia" w:ascii="仿宋_GB2312" w:hAnsi="仿宋_GB2312" w:eastAsia="仿宋_GB2312" w:cs="仿宋_GB2312"/>
          <w:color w:val="auto"/>
          <w:sz w:val="28"/>
          <w:szCs w:val="28"/>
        </w:rPr>
        <w:t>2.落实政府采购政策需满足的资格</w:t>
      </w:r>
      <w:r>
        <w:rPr>
          <w:rFonts w:hint="eastAsia" w:ascii="仿宋_GB2312" w:hAnsi="仿宋_GB2312" w:eastAsia="仿宋_GB2312" w:cs="仿宋_GB2312"/>
          <w:color w:val="auto"/>
          <w:sz w:val="28"/>
          <w:szCs w:val="28"/>
          <w:highlight w:val="none"/>
        </w:rPr>
        <w:t>要求：</w:t>
      </w:r>
      <w:r>
        <w:rPr>
          <w:rFonts w:hint="eastAsia" w:ascii="仿宋_GB2312" w:hAnsi="仿宋_GB2312" w:eastAsia="仿宋_GB2312" w:cs="仿宋_GB2312"/>
          <w:color w:val="auto"/>
          <w:sz w:val="28"/>
          <w:szCs w:val="28"/>
          <w:highlight w:val="none"/>
          <w:u w:val="none"/>
          <w:lang w:val="en-US" w:eastAsia="zh-CN"/>
        </w:rPr>
        <w:t>本项目专门面向中小企业采购，供应商应为中小微企业，磋商时须提供《中小企业声明函》（按第五章格式填写）。本项目采购标的对应的中小企业划分标准所属行业为：工业。</w:t>
      </w:r>
    </w:p>
    <w:p w14:paraId="7D226431">
      <w:pPr>
        <w:keepLines w:val="0"/>
        <w:pageBreakBefore w:val="0"/>
        <w:widowControl w:val="0"/>
        <w:kinsoku/>
        <w:wordWrap/>
        <w:overflowPunct/>
        <w:topLinePunct w:val="0"/>
        <w:bidi w:val="0"/>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3.本项目的特定资格要求：</w:t>
      </w:r>
    </w:p>
    <w:p w14:paraId="6AC0D32B">
      <w:pPr>
        <w:keepLines w:val="0"/>
        <w:pageBreakBefore w:val="0"/>
        <w:widowControl w:val="0"/>
        <w:kinsoku/>
        <w:wordWrap/>
        <w:overflowPunct/>
        <w:topLinePunct w:val="0"/>
        <w:bidi w:val="0"/>
        <w:snapToGrid/>
        <w:spacing w:line="50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（1）营业执照等主体资格证明文件：提供有效存续的企业营业执照（副本）/事业单位法人证书/专业服务机构执业许可证/民办非企业单位登记证书。</w:t>
      </w:r>
    </w:p>
    <w:p w14:paraId="3AEFC2E9">
      <w:pPr>
        <w:keepLines w:val="0"/>
        <w:pageBreakBefore w:val="0"/>
        <w:widowControl w:val="0"/>
        <w:kinsoku/>
        <w:wordWrap/>
        <w:overflowPunct/>
        <w:topLinePunct w:val="0"/>
        <w:bidi w:val="0"/>
        <w:snapToGrid/>
        <w:spacing w:line="50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法定代表人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按第</w:t>
      </w:r>
      <w:r>
        <w:rPr>
          <w:rFonts w:hint="eastAsia" w:ascii="仿宋_GB2312" w:hAnsi="仿宋_GB2312" w:eastAsia="仿宋_GB2312" w:cs="仿宋_GB2312"/>
          <w:color w:val="auto"/>
          <w:sz w:val="28"/>
          <w:szCs w:val="28"/>
          <w:lang w:val="en-US" w:eastAsia="zh-CN"/>
        </w:rPr>
        <w:t>五</w:t>
      </w:r>
      <w:r>
        <w:rPr>
          <w:rFonts w:hint="eastAsia" w:ascii="仿宋_GB2312" w:hAnsi="仿宋_GB2312" w:eastAsia="仿宋_GB2312" w:cs="仿宋_GB2312"/>
          <w:color w:val="auto"/>
          <w:sz w:val="28"/>
          <w:szCs w:val="28"/>
        </w:rPr>
        <w:t xml:space="preserve">章格式填写） </w:t>
      </w:r>
    </w:p>
    <w:p w14:paraId="2A3E8C2F">
      <w:pPr>
        <w:keepLines w:val="0"/>
        <w:pageBreakBefore w:val="0"/>
        <w:widowControl w:val="0"/>
        <w:kinsoku/>
        <w:wordWrap/>
        <w:overflowPunct/>
        <w:topLinePunct w:val="0"/>
        <w:bidi w:val="0"/>
        <w:snapToGrid/>
        <w:spacing w:line="50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法人的分支机构参与磋商时，除提供《法定代表人(负责人)授权委托书》外，还须同时提供法人给分支机构出具的授权书。（法人只能授权一家分支机构参与磋商，且不能与分支机构同时参与磋商。）</w:t>
      </w:r>
    </w:p>
    <w:p w14:paraId="046FB155">
      <w:pPr>
        <w:keepLines w:val="0"/>
        <w:pageBreakBefore w:val="0"/>
        <w:widowControl w:val="0"/>
        <w:kinsoku/>
        <w:wordWrap/>
        <w:overflowPunct/>
        <w:topLinePunct w:val="0"/>
        <w:bidi w:val="0"/>
        <w:snapToGrid/>
        <w:spacing w:line="500" w:lineRule="exact"/>
        <w:ind w:firstLine="566"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（3）资格承诺函：提供《汉中市政府采购供应商资格承诺函》。（按第五章格式填写）</w:t>
      </w:r>
      <w:r>
        <w:rPr>
          <w:rFonts w:hint="eastAsia" w:ascii="仿宋_GB2312" w:hAnsi="仿宋_GB2312" w:eastAsia="仿宋_GB2312" w:cs="仿宋_GB2312"/>
          <w:color w:val="auto"/>
          <w:sz w:val="28"/>
          <w:szCs w:val="28"/>
          <w:lang w:val="en-US" w:eastAsia="zh-CN"/>
        </w:rPr>
        <w:t xml:space="preserve"> </w:t>
      </w:r>
    </w:p>
    <w:p w14:paraId="7D29B898">
      <w:pPr>
        <w:keepNext/>
        <w:keepLines w:val="0"/>
        <w:pageBreakBefore w:val="0"/>
        <w:widowControl w:val="0"/>
        <w:kinsoku/>
        <w:wordWrap/>
        <w:overflowPunct/>
        <w:topLinePunct w:val="0"/>
        <w:autoSpaceDE w:val="0"/>
        <w:autoSpaceDN w:val="0"/>
        <w:bidi w:val="0"/>
        <w:adjustRightInd w:val="0"/>
        <w:snapToGrid/>
        <w:spacing w:line="560" w:lineRule="exact"/>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19" w:name="_Toc35393631"/>
      <w:bookmarkStart w:id="20" w:name="_Toc35393800"/>
      <w:bookmarkStart w:id="21" w:name="_Toc29259"/>
      <w:r>
        <w:rPr>
          <w:rFonts w:hint="eastAsia" w:ascii="仿宋_GB2312" w:hAnsi="仿宋_GB2312" w:eastAsia="仿宋_GB2312" w:cs="仿宋_GB2312"/>
          <w:b/>
          <w:bCs/>
          <w:color w:val="auto"/>
          <w:kern w:val="2"/>
          <w:sz w:val="28"/>
          <w:szCs w:val="28"/>
          <w:lang w:val="en-US" w:eastAsia="zh-CN" w:bidi="ar-SA"/>
        </w:rPr>
        <w:t>三、获取采购文件</w:t>
      </w:r>
      <w:bookmarkEnd w:id="17"/>
      <w:bookmarkEnd w:id="18"/>
      <w:bookmarkEnd w:id="19"/>
      <w:bookmarkEnd w:id="20"/>
      <w:bookmarkEnd w:id="21"/>
    </w:p>
    <w:p w14:paraId="3D0DA401">
      <w:pPr>
        <w:keepNext w:val="0"/>
        <w:keepLines w:val="0"/>
        <w:pageBreakBefore w:val="0"/>
        <w:widowControl w:val="0"/>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rPr>
        <w:t>时间：</w:t>
      </w:r>
      <w:r>
        <w:rPr>
          <w:rFonts w:hint="eastAsia" w:ascii="仿宋_GB2312" w:hAnsi="仿宋_GB2312" w:eastAsia="仿宋_GB2312" w:cs="仿宋_GB2312"/>
          <w:color w:val="auto"/>
          <w:sz w:val="28"/>
          <w:szCs w:val="28"/>
          <w:u w:val="single"/>
          <w:lang w:val="en-US" w:eastAsia="zh-CN"/>
        </w:rPr>
        <w:t>20</w:t>
      </w:r>
      <w:r>
        <w:rPr>
          <w:rFonts w:hint="eastAsia" w:ascii="仿宋_GB2312" w:hAnsi="仿宋_GB2312" w:eastAsia="仿宋_GB2312" w:cs="仿宋_GB2312"/>
          <w:color w:val="auto"/>
          <w:sz w:val="28"/>
          <w:szCs w:val="28"/>
          <w:highlight w:val="none"/>
          <w:u w:val="single"/>
          <w:lang w:val="en-US" w:eastAsia="zh-CN"/>
        </w:rPr>
        <w:t>25</w:t>
      </w:r>
      <w:r>
        <w:rPr>
          <w:rFonts w:hint="eastAsia" w:ascii="仿宋_GB2312" w:hAnsi="仿宋_GB2312" w:eastAsia="仿宋_GB2312" w:cs="仿宋_GB2312"/>
          <w:color w:val="auto"/>
          <w:sz w:val="28"/>
          <w:szCs w:val="28"/>
          <w:highlight w:val="none"/>
          <w:u w:val="single"/>
        </w:rPr>
        <w:t xml:space="preserve"> 年</w:t>
      </w:r>
      <w:r>
        <w:rPr>
          <w:rFonts w:hint="eastAsia" w:ascii="仿宋_GB2312" w:hAnsi="仿宋_GB2312" w:eastAsia="仿宋_GB2312" w:cs="仿宋_GB2312"/>
          <w:color w:val="auto"/>
          <w:sz w:val="28"/>
          <w:szCs w:val="28"/>
          <w:highlight w:val="none"/>
          <w:u w:val="single"/>
          <w:lang w:val="en-US" w:eastAsia="zh-CN"/>
        </w:rPr>
        <w:t>7</w:t>
      </w:r>
      <w:r>
        <w:rPr>
          <w:rFonts w:hint="eastAsia" w:ascii="仿宋_GB2312" w:hAnsi="仿宋_GB2312" w:eastAsia="仿宋_GB2312" w:cs="仿宋_GB2312"/>
          <w:color w:val="auto"/>
          <w:sz w:val="28"/>
          <w:szCs w:val="28"/>
          <w:highlight w:val="none"/>
          <w:u w:val="single"/>
        </w:rPr>
        <w:t>月</w:t>
      </w:r>
      <w:r>
        <w:rPr>
          <w:rFonts w:hint="eastAsia" w:ascii="仿宋_GB2312" w:hAnsi="仿宋_GB2312" w:eastAsia="仿宋_GB2312" w:cs="仿宋_GB2312"/>
          <w:color w:val="auto"/>
          <w:sz w:val="28"/>
          <w:szCs w:val="28"/>
          <w:highlight w:val="none"/>
          <w:u w:val="single"/>
          <w:lang w:val="en-US" w:eastAsia="zh-CN"/>
        </w:rPr>
        <w:t>21</w:t>
      </w:r>
      <w:r>
        <w:rPr>
          <w:rFonts w:hint="eastAsia" w:ascii="仿宋_GB2312" w:hAnsi="仿宋_GB2312" w:eastAsia="仿宋_GB2312" w:cs="仿宋_GB2312"/>
          <w:color w:val="auto"/>
          <w:sz w:val="28"/>
          <w:szCs w:val="28"/>
          <w:highlight w:val="none"/>
          <w:u w:val="single"/>
        </w:rPr>
        <w:t>日</w:t>
      </w:r>
      <w:r>
        <w:rPr>
          <w:rFonts w:hint="eastAsia" w:ascii="仿宋_GB2312" w:hAnsi="仿宋_GB2312" w:eastAsia="仿宋_GB2312" w:cs="仿宋_GB2312"/>
          <w:color w:val="auto"/>
          <w:sz w:val="28"/>
          <w:szCs w:val="28"/>
          <w:highlight w:val="none"/>
          <w:u w:val="single"/>
          <w:lang w:val="en-US" w:eastAsia="zh-CN"/>
        </w:rPr>
        <w:t xml:space="preserve"> 0 点 00 分</w:t>
      </w:r>
      <w:r>
        <w:rPr>
          <w:rFonts w:hint="eastAsia" w:ascii="仿宋_GB2312" w:hAnsi="仿宋_GB2312" w:eastAsia="仿宋_GB2312" w:cs="仿宋_GB2312"/>
          <w:color w:val="auto"/>
          <w:sz w:val="28"/>
          <w:szCs w:val="28"/>
          <w:highlight w:val="none"/>
        </w:rPr>
        <w:t>至</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2025</w:t>
      </w:r>
      <w:r>
        <w:rPr>
          <w:rFonts w:hint="eastAsia" w:ascii="仿宋_GB2312" w:hAnsi="仿宋_GB2312" w:eastAsia="仿宋_GB2312" w:cs="仿宋_GB2312"/>
          <w:color w:val="auto"/>
          <w:sz w:val="28"/>
          <w:szCs w:val="28"/>
          <w:highlight w:val="none"/>
          <w:u w:val="single"/>
        </w:rPr>
        <w:t xml:space="preserve"> 年</w:t>
      </w:r>
      <w:r>
        <w:rPr>
          <w:rFonts w:hint="eastAsia" w:ascii="仿宋_GB2312" w:hAnsi="仿宋_GB2312" w:eastAsia="仿宋_GB2312" w:cs="仿宋_GB2312"/>
          <w:color w:val="auto"/>
          <w:sz w:val="28"/>
          <w:szCs w:val="28"/>
          <w:highlight w:val="none"/>
          <w:u w:val="single"/>
          <w:lang w:val="en-US" w:eastAsia="zh-CN"/>
        </w:rPr>
        <w:t>7</w:t>
      </w:r>
      <w:r>
        <w:rPr>
          <w:rFonts w:hint="eastAsia" w:ascii="仿宋_GB2312" w:hAnsi="仿宋_GB2312" w:eastAsia="仿宋_GB2312" w:cs="仿宋_GB2312"/>
          <w:color w:val="auto"/>
          <w:sz w:val="28"/>
          <w:szCs w:val="28"/>
          <w:highlight w:val="none"/>
          <w:u w:val="single"/>
        </w:rPr>
        <w:t>月</w:t>
      </w:r>
      <w:r>
        <w:rPr>
          <w:rFonts w:hint="eastAsia" w:ascii="仿宋_GB2312" w:hAnsi="仿宋_GB2312" w:eastAsia="仿宋_GB2312" w:cs="仿宋_GB2312"/>
          <w:color w:val="auto"/>
          <w:sz w:val="28"/>
          <w:szCs w:val="28"/>
          <w:highlight w:val="none"/>
          <w:u w:val="single"/>
          <w:lang w:val="en-US" w:eastAsia="zh-CN"/>
        </w:rPr>
        <w:t>25</w:t>
      </w:r>
      <w:r>
        <w:rPr>
          <w:rFonts w:hint="eastAsia" w:ascii="仿宋_GB2312" w:hAnsi="仿宋_GB2312" w:eastAsia="仿宋_GB2312" w:cs="仿宋_GB2312"/>
          <w:color w:val="auto"/>
          <w:sz w:val="28"/>
          <w:szCs w:val="28"/>
          <w:highlight w:val="none"/>
          <w:u w:val="single"/>
        </w:rPr>
        <w:t>日</w:t>
      </w:r>
      <w:r>
        <w:rPr>
          <w:rFonts w:hint="eastAsia" w:ascii="仿宋_GB2312" w:hAnsi="仿宋_GB2312" w:eastAsia="仿宋_GB2312" w:cs="仿宋_GB2312"/>
          <w:color w:val="auto"/>
          <w:sz w:val="28"/>
          <w:szCs w:val="28"/>
          <w:highlight w:val="none"/>
          <w:u w:val="single"/>
          <w:lang w:val="en-US" w:eastAsia="zh-CN"/>
        </w:rPr>
        <w:t xml:space="preserve"> 24 点 00 分（北京时间）</w:t>
      </w:r>
    </w:p>
    <w:p w14:paraId="29163470">
      <w:pPr>
        <w:keepLines w:val="0"/>
        <w:pageBreakBefore w:val="0"/>
        <w:widowControl w:val="0"/>
        <w:kinsoku/>
        <w:wordWrap/>
        <w:overflowPunct/>
        <w:topLinePunct w:val="0"/>
        <w:bidi w:val="0"/>
        <w:snapToGrid/>
        <w:spacing w:line="560" w:lineRule="exact"/>
        <w:ind w:firstLine="540"/>
        <w:textAlignment w:val="auto"/>
        <w:rPr>
          <w:rFonts w:hint="eastAsia" w:ascii="仿宋_GB2312" w:hAnsi="仿宋_GB2312" w:eastAsia="仿宋_GB2312" w:cs="仿宋_GB2312"/>
          <w:color w:val="auto"/>
          <w:sz w:val="28"/>
          <w:szCs w:val="28"/>
          <w:highlight w:val="none"/>
          <w:u w:val="single"/>
          <w:lang w:eastAsia="zh-CN"/>
        </w:rPr>
      </w:pPr>
      <w:r>
        <w:rPr>
          <w:rFonts w:hint="eastAsia" w:ascii="仿宋_GB2312" w:hAnsi="仿宋_GB2312" w:eastAsia="仿宋_GB2312" w:cs="仿宋_GB2312"/>
          <w:color w:val="auto"/>
          <w:sz w:val="28"/>
          <w:szCs w:val="28"/>
          <w:highlight w:val="none"/>
        </w:rPr>
        <w:t>地点：</w:t>
      </w:r>
      <w:r>
        <w:rPr>
          <w:rFonts w:hint="eastAsia" w:ascii="仿宋_GB2312" w:hAnsi="仿宋_GB2312" w:eastAsia="仿宋_GB2312" w:cs="仿宋_GB2312"/>
          <w:color w:val="auto"/>
          <w:sz w:val="28"/>
          <w:szCs w:val="28"/>
          <w:highlight w:val="none"/>
          <w:lang w:val="en-US" w:eastAsia="zh-CN"/>
        </w:rPr>
        <w:t>响应人</w:t>
      </w:r>
      <w:r>
        <w:rPr>
          <w:rFonts w:hint="eastAsia" w:ascii="仿宋_GB2312" w:hAnsi="仿宋_GB2312" w:eastAsia="仿宋_GB2312" w:cs="仿宋_GB2312"/>
          <w:color w:val="auto"/>
          <w:sz w:val="28"/>
          <w:szCs w:val="28"/>
          <w:highlight w:val="none"/>
        </w:rPr>
        <w:t>登录全国公共资源交易平台（汉中市）（sxggzyjy.hanzhong.gov.cn）〖首页·〉电子交易平台·〉企业端〗后，在〖招标公告/出让公告·〉政府采购〗模块中选择项目点击“我要投标”，参与</w:t>
      </w:r>
      <w:r>
        <w:rPr>
          <w:rFonts w:hint="eastAsia" w:ascii="仿宋_GB2312" w:hAnsi="仿宋_GB2312" w:eastAsia="仿宋_GB2312" w:cs="仿宋_GB2312"/>
          <w:color w:val="auto"/>
          <w:sz w:val="28"/>
          <w:szCs w:val="28"/>
          <w:highlight w:val="none"/>
          <w:lang w:val="en-US" w:eastAsia="zh-CN"/>
        </w:rPr>
        <w:t>采购</w:t>
      </w:r>
      <w:r>
        <w:rPr>
          <w:rFonts w:hint="eastAsia" w:ascii="仿宋_GB2312" w:hAnsi="仿宋_GB2312" w:eastAsia="仿宋_GB2312" w:cs="仿宋_GB2312"/>
          <w:color w:val="auto"/>
          <w:sz w:val="28"/>
          <w:szCs w:val="28"/>
          <w:highlight w:val="none"/>
        </w:rPr>
        <w:t>活动</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然后即可在〖我的项目〗中点击“项目流程&gt;交易文件下载”下载电子招标文件（*.SXSZF）。</w:t>
      </w:r>
      <w:r>
        <w:rPr>
          <w:rFonts w:hint="eastAsia" w:ascii="仿宋_GB2312" w:hAnsi="仿宋_GB2312" w:eastAsia="仿宋_GB2312" w:cs="仿宋_GB2312"/>
          <w:color w:val="auto"/>
          <w:sz w:val="28"/>
          <w:szCs w:val="28"/>
          <w:highlight w:val="none"/>
          <w:lang w:val="en-US" w:eastAsia="zh-CN"/>
        </w:rPr>
        <w:t>操作流程详见</w:t>
      </w:r>
      <w:r>
        <w:rPr>
          <w:rFonts w:hint="eastAsia" w:ascii="仿宋_GB2312" w:hAnsi="仿宋_GB2312" w:eastAsia="仿宋_GB2312" w:cs="仿宋_GB2312"/>
          <w:color w:val="auto"/>
          <w:sz w:val="28"/>
          <w:szCs w:val="28"/>
          <w:highlight w:val="none"/>
          <w:lang w:eastAsia="zh-CN"/>
        </w:rPr>
        <w:t>全国公共资源交易平台（汉中市）网站〖首页·〉服务指南·〉下载专区〗中的《政府采购供应商操作手册》。</w:t>
      </w:r>
    </w:p>
    <w:p w14:paraId="1116CE21">
      <w:pPr>
        <w:keepLines w:val="0"/>
        <w:pageBreakBefore w:val="0"/>
        <w:widowControl w:val="0"/>
        <w:kinsoku/>
        <w:wordWrap/>
        <w:overflowPunct/>
        <w:topLinePunct w:val="0"/>
        <w:bidi w:val="0"/>
        <w:snapToGrid/>
        <w:spacing w:line="560" w:lineRule="exact"/>
        <w:ind w:firstLine="540"/>
        <w:textAlignment w:val="auto"/>
        <w:rPr>
          <w:rFonts w:hint="eastAsia" w:ascii="仿宋_GB2312" w:hAnsi="仿宋_GB2312" w:eastAsia="仿宋_GB2312" w:cs="仿宋_GB2312"/>
          <w:color w:val="auto"/>
          <w:sz w:val="28"/>
          <w:szCs w:val="28"/>
          <w:highlight w:val="none"/>
          <w:u w:val="single"/>
          <w:lang w:val="en-US" w:eastAsia="zh-CN"/>
        </w:rPr>
      </w:pPr>
      <w:r>
        <w:rPr>
          <w:rFonts w:hint="eastAsia" w:ascii="仿宋_GB2312" w:hAnsi="仿宋_GB2312" w:eastAsia="仿宋_GB2312" w:cs="仿宋_GB2312"/>
          <w:color w:val="auto"/>
          <w:sz w:val="28"/>
          <w:szCs w:val="28"/>
          <w:highlight w:val="none"/>
        </w:rPr>
        <w:t>方式：</w:t>
      </w:r>
      <w:r>
        <w:rPr>
          <w:rFonts w:hint="eastAsia" w:ascii="仿宋_GB2312" w:hAnsi="仿宋_GB2312" w:eastAsia="仿宋_GB2312" w:cs="仿宋_GB2312"/>
          <w:color w:val="auto"/>
          <w:sz w:val="28"/>
          <w:szCs w:val="28"/>
          <w:highlight w:val="none"/>
          <w:lang w:val="en-US" w:eastAsia="zh-CN"/>
        </w:rPr>
        <w:t>线上获取</w:t>
      </w:r>
    </w:p>
    <w:p w14:paraId="75A22976">
      <w:pPr>
        <w:keepLines w:val="0"/>
        <w:pageBreakBefore w:val="0"/>
        <w:widowControl w:val="0"/>
        <w:kinsoku/>
        <w:wordWrap/>
        <w:overflowPunct/>
        <w:topLinePunct w:val="0"/>
        <w:bidi w:val="0"/>
        <w:snapToGrid/>
        <w:spacing w:line="560" w:lineRule="exact"/>
        <w:ind w:firstLine="5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售价：</w:t>
      </w:r>
      <w:r>
        <w:rPr>
          <w:rFonts w:hint="eastAsia" w:ascii="仿宋_GB2312" w:hAnsi="仿宋_GB2312" w:eastAsia="仿宋_GB2312" w:cs="仿宋_GB2312"/>
          <w:color w:val="auto"/>
          <w:sz w:val="28"/>
          <w:szCs w:val="28"/>
          <w:highlight w:val="none"/>
          <w:lang w:val="en-US" w:eastAsia="zh-CN"/>
        </w:rPr>
        <w:t>0.00元</w:t>
      </w:r>
    </w:p>
    <w:p w14:paraId="180C58A5">
      <w:pPr>
        <w:keepNext/>
        <w:keepLines w:val="0"/>
        <w:pageBreakBefore w:val="0"/>
        <w:widowControl w:val="0"/>
        <w:kinsoku/>
        <w:wordWrap/>
        <w:overflowPunct/>
        <w:topLinePunct w:val="0"/>
        <w:autoSpaceDE w:val="0"/>
        <w:autoSpaceDN w:val="0"/>
        <w:bidi w:val="0"/>
        <w:adjustRightInd w:val="0"/>
        <w:snapToGrid/>
        <w:spacing w:line="560" w:lineRule="exact"/>
        <w:jc w:val="both"/>
        <w:textAlignment w:val="auto"/>
        <w:outlineLvl w:val="1"/>
        <w:rPr>
          <w:rFonts w:hint="eastAsia" w:ascii="仿宋_GB2312" w:hAnsi="仿宋_GB2312" w:eastAsia="仿宋_GB2312" w:cs="仿宋_GB2312"/>
          <w:b/>
          <w:bCs/>
          <w:color w:val="auto"/>
          <w:kern w:val="2"/>
          <w:sz w:val="28"/>
          <w:szCs w:val="28"/>
          <w:highlight w:val="none"/>
          <w:lang w:val="en-US" w:eastAsia="zh-CN" w:bidi="ar-SA"/>
        </w:rPr>
      </w:pPr>
      <w:bookmarkStart w:id="22" w:name="_Toc859"/>
      <w:bookmarkStart w:id="23" w:name="_Toc28359092"/>
      <w:bookmarkStart w:id="24" w:name="_Toc28359015"/>
      <w:bookmarkStart w:id="25" w:name="_Toc35393632"/>
      <w:bookmarkStart w:id="26" w:name="_Toc35393801"/>
      <w:r>
        <w:rPr>
          <w:rFonts w:hint="eastAsia" w:ascii="仿宋_GB2312" w:hAnsi="仿宋_GB2312" w:eastAsia="仿宋_GB2312" w:cs="仿宋_GB2312"/>
          <w:b/>
          <w:bCs/>
          <w:color w:val="auto"/>
          <w:kern w:val="2"/>
          <w:sz w:val="28"/>
          <w:szCs w:val="28"/>
          <w:highlight w:val="none"/>
          <w:lang w:val="en-US" w:eastAsia="zh-CN" w:bidi="ar-SA"/>
        </w:rPr>
        <w:t>四、响应文件提交</w:t>
      </w:r>
      <w:bookmarkEnd w:id="22"/>
      <w:bookmarkEnd w:id="23"/>
      <w:bookmarkEnd w:id="24"/>
      <w:bookmarkEnd w:id="25"/>
      <w:bookmarkEnd w:id="26"/>
    </w:p>
    <w:p w14:paraId="664CC865">
      <w:pPr>
        <w:keepLines w:val="0"/>
        <w:pageBreakBefore w:val="0"/>
        <w:widowControl w:val="0"/>
        <w:kinsoku/>
        <w:wordWrap/>
        <w:overflowPunct/>
        <w:topLinePunct w:val="0"/>
        <w:bidi w:val="0"/>
        <w:snapToGrid/>
        <w:spacing w:line="560" w:lineRule="exact"/>
        <w:ind w:firstLine="566" w:firstLineChars="200"/>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color w:val="auto"/>
          <w:sz w:val="28"/>
          <w:szCs w:val="28"/>
          <w:highlight w:val="none"/>
        </w:rPr>
        <w:t>截止时间：</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2025</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bCs/>
          <w:color w:val="auto"/>
          <w:sz w:val="28"/>
          <w:szCs w:val="28"/>
          <w:highlight w:val="none"/>
          <w:u w:val="single"/>
        </w:rPr>
        <w:t>年</w:t>
      </w:r>
      <w:r>
        <w:rPr>
          <w:rFonts w:hint="eastAsia" w:ascii="仿宋_GB2312" w:hAnsi="仿宋_GB2312" w:eastAsia="仿宋_GB2312" w:cs="仿宋_GB2312"/>
          <w:bCs/>
          <w:color w:val="auto"/>
          <w:sz w:val="28"/>
          <w:szCs w:val="28"/>
          <w:highlight w:val="none"/>
          <w:u w:val="single"/>
          <w:lang w:val="en-US" w:eastAsia="zh-CN"/>
        </w:rPr>
        <w:t>8</w:t>
      </w:r>
      <w:r>
        <w:rPr>
          <w:rFonts w:hint="eastAsia" w:ascii="仿宋_GB2312" w:hAnsi="仿宋_GB2312" w:eastAsia="仿宋_GB2312" w:cs="仿宋_GB2312"/>
          <w:bCs/>
          <w:color w:val="auto"/>
          <w:sz w:val="28"/>
          <w:szCs w:val="28"/>
          <w:highlight w:val="none"/>
          <w:u w:val="single"/>
        </w:rPr>
        <w:t>月</w:t>
      </w:r>
      <w:r>
        <w:rPr>
          <w:rFonts w:hint="eastAsia" w:ascii="仿宋_GB2312" w:hAnsi="仿宋_GB2312" w:eastAsia="仿宋_GB2312" w:cs="仿宋_GB2312"/>
          <w:bCs/>
          <w:color w:val="auto"/>
          <w:sz w:val="28"/>
          <w:szCs w:val="28"/>
          <w:highlight w:val="none"/>
          <w:u w:val="single"/>
          <w:lang w:val="en-US" w:eastAsia="zh-CN"/>
        </w:rPr>
        <w:t>8</w:t>
      </w:r>
      <w:r>
        <w:rPr>
          <w:rFonts w:hint="eastAsia" w:ascii="仿宋_GB2312" w:hAnsi="仿宋_GB2312" w:eastAsia="仿宋_GB2312" w:cs="仿宋_GB2312"/>
          <w:bCs/>
          <w:color w:val="auto"/>
          <w:sz w:val="28"/>
          <w:szCs w:val="28"/>
          <w:highlight w:val="none"/>
          <w:u w:val="single"/>
        </w:rPr>
        <w:t xml:space="preserve">日 </w:t>
      </w:r>
      <w:r>
        <w:rPr>
          <w:rFonts w:hint="eastAsia" w:ascii="仿宋_GB2312" w:hAnsi="仿宋_GB2312" w:eastAsia="仿宋_GB2312" w:cs="仿宋_GB2312"/>
          <w:bCs/>
          <w:color w:val="auto"/>
          <w:sz w:val="28"/>
          <w:szCs w:val="28"/>
          <w:highlight w:val="none"/>
          <w:u w:val="single"/>
          <w:lang w:val="en-US" w:eastAsia="zh-CN"/>
        </w:rPr>
        <w:t>9</w:t>
      </w:r>
      <w:r>
        <w:rPr>
          <w:rFonts w:hint="eastAsia" w:ascii="仿宋_GB2312" w:hAnsi="仿宋_GB2312" w:eastAsia="仿宋_GB2312" w:cs="仿宋_GB2312"/>
          <w:bCs/>
          <w:color w:val="auto"/>
          <w:sz w:val="28"/>
          <w:szCs w:val="28"/>
          <w:highlight w:val="none"/>
          <w:u w:val="single"/>
        </w:rPr>
        <w:t xml:space="preserve"> 点 </w:t>
      </w:r>
      <w:r>
        <w:rPr>
          <w:rFonts w:hint="eastAsia" w:ascii="仿宋_GB2312" w:hAnsi="仿宋_GB2312" w:eastAsia="仿宋_GB2312" w:cs="仿宋_GB2312"/>
          <w:bCs/>
          <w:color w:val="auto"/>
          <w:sz w:val="28"/>
          <w:szCs w:val="28"/>
          <w:highlight w:val="none"/>
          <w:u w:val="single"/>
          <w:lang w:val="en-US" w:eastAsia="zh-CN"/>
        </w:rPr>
        <w:t>30</w:t>
      </w:r>
      <w:r>
        <w:rPr>
          <w:rFonts w:hint="eastAsia" w:ascii="仿宋_GB2312" w:hAnsi="仿宋_GB2312" w:eastAsia="仿宋_GB2312" w:cs="仿宋_GB2312"/>
          <w:bCs/>
          <w:color w:val="auto"/>
          <w:sz w:val="28"/>
          <w:szCs w:val="28"/>
          <w:highlight w:val="none"/>
          <w:u w:val="single"/>
        </w:rPr>
        <w:t xml:space="preserve"> 分</w:t>
      </w:r>
      <w:r>
        <w:rPr>
          <w:rFonts w:hint="eastAsia" w:ascii="仿宋_GB2312" w:hAnsi="仿宋_GB2312" w:eastAsia="仿宋_GB2312" w:cs="仿宋_GB2312"/>
          <w:bCs/>
          <w:color w:val="auto"/>
          <w:sz w:val="28"/>
          <w:szCs w:val="28"/>
          <w:highlight w:val="none"/>
        </w:rPr>
        <w:t>（北京时间）</w:t>
      </w:r>
    </w:p>
    <w:p w14:paraId="4B054986">
      <w:pPr>
        <w:keepLines w:val="0"/>
        <w:pageBreakBefore w:val="0"/>
        <w:widowControl w:val="0"/>
        <w:kinsoku/>
        <w:wordWrap/>
        <w:overflowPunct/>
        <w:topLinePunct w:val="0"/>
        <w:bidi w:val="0"/>
        <w:snapToGrid/>
        <w:spacing w:line="560" w:lineRule="exact"/>
        <w:ind w:firstLine="566" w:firstLineChars="200"/>
        <w:textAlignment w:val="auto"/>
        <w:rPr>
          <w:rFonts w:hint="eastAsia" w:ascii="仿宋_GB2312" w:hAnsi="仿宋_GB2312" w:eastAsia="仿宋_GB2312" w:cs="仿宋_GB2312"/>
          <w:bCs/>
          <w:color w:val="auto"/>
          <w:sz w:val="28"/>
          <w:szCs w:val="28"/>
          <w:highlight w:val="none"/>
          <w:u w:val="single"/>
          <w:lang w:val="en-US" w:eastAsia="zh-CN"/>
        </w:rPr>
      </w:pPr>
      <w:r>
        <w:rPr>
          <w:rFonts w:hint="eastAsia" w:ascii="仿宋_GB2312" w:hAnsi="仿宋_GB2312" w:eastAsia="仿宋_GB2312" w:cs="仿宋_GB2312"/>
          <w:color w:val="auto"/>
          <w:sz w:val="28"/>
          <w:szCs w:val="28"/>
          <w:highlight w:val="none"/>
        </w:rPr>
        <w:t>地点：电子</w:t>
      </w:r>
      <w:r>
        <w:rPr>
          <w:rFonts w:hint="eastAsia" w:ascii="仿宋_GB2312" w:hAnsi="仿宋_GB2312" w:eastAsia="仿宋_GB2312" w:cs="仿宋_GB2312"/>
          <w:color w:val="auto"/>
          <w:sz w:val="28"/>
          <w:szCs w:val="28"/>
          <w:highlight w:val="none"/>
          <w:lang w:val="en-US" w:eastAsia="zh-CN"/>
        </w:rPr>
        <w:t>响应</w:t>
      </w:r>
      <w:r>
        <w:rPr>
          <w:rFonts w:hint="eastAsia" w:ascii="仿宋_GB2312" w:hAnsi="仿宋_GB2312" w:eastAsia="仿宋_GB2312" w:cs="仿宋_GB2312"/>
          <w:color w:val="auto"/>
          <w:sz w:val="28"/>
          <w:szCs w:val="28"/>
          <w:highlight w:val="none"/>
        </w:rPr>
        <w:t>文件（*.SXSTF）可于提交</w:t>
      </w:r>
      <w:r>
        <w:rPr>
          <w:rFonts w:hint="eastAsia" w:ascii="仿宋_GB2312" w:hAnsi="仿宋_GB2312" w:eastAsia="仿宋_GB2312" w:cs="仿宋_GB2312"/>
          <w:color w:val="auto"/>
          <w:sz w:val="28"/>
          <w:szCs w:val="28"/>
          <w:highlight w:val="none"/>
          <w:lang w:val="en-US" w:eastAsia="zh-CN"/>
        </w:rPr>
        <w:t>响应</w:t>
      </w:r>
      <w:r>
        <w:rPr>
          <w:rFonts w:hint="eastAsia" w:ascii="仿宋_GB2312" w:hAnsi="仿宋_GB2312" w:eastAsia="仿宋_GB2312" w:cs="仿宋_GB2312"/>
          <w:color w:val="auto"/>
          <w:sz w:val="28"/>
          <w:szCs w:val="28"/>
          <w:highlight w:val="none"/>
        </w:rPr>
        <w:t>文件截止时间前任意时段登录全国公共资源交易平台（</w:t>
      </w:r>
      <w:r>
        <w:rPr>
          <w:rFonts w:hint="eastAsia" w:ascii="仿宋_GB2312" w:hAnsi="仿宋_GB2312" w:eastAsia="仿宋_GB2312" w:cs="仿宋_GB2312"/>
          <w:color w:val="auto"/>
          <w:sz w:val="28"/>
          <w:szCs w:val="28"/>
          <w:highlight w:val="none"/>
          <w:lang w:val="en-US" w:eastAsia="zh-CN"/>
        </w:rPr>
        <w:t>汉中市</w:t>
      </w:r>
      <w:r>
        <w:rPr>
          <w:rFonts w:hint="eastAsia" w:ascii="仿宋_GB2312" w:hAnsi="仿宋_GB2312" w:eastAsia="仿宋_GB2312" w:cs="仿宋_GB2312"/>
          <w:color w:val="auto"/>
          <w:sz w:val="28"/>
          <w:szCs w:val="28"/>
          <w:highlight w:val="none"/>
        </w:rPr>
        <w:t>）网站进行提交</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逾期系统将拒绝接收。</w:t>
      </w:r>
    </w:p>
    <w:p w14:paraId="024B78C3">
      <w:pPr>
        <w:keepNext/>
        <w:keepLines w:val="0"/>
        <w:pageBreakBefore w:val="0"/>
        <w:widowControl w:val="0"/>
        <w:kinsoku/>
        <w:wordWrap/>
        <w:overflowPunct/>
        <w:topLinePunct w:val="0"/>
        <w:autoSpaceDE w:val="0"/>
        <w:autoSpaceDN w:val="0"/>
        <w:bidi w:val="0"/>
        <w:adjustRightInd w:val="0"/>
        <w:snapToGrid/>
        <w:spacing w:line="560" w:lineRule="exact"/>
        <w:jc w:val="both"/>
        <w:textAlignment w:val="auto"/>
        <w:outlineLvl w:val="1"/>
        <w:rPr>
          <w:rFonts w:hint="eastAsia" w:ascii="仿宋_GB2312" w:hAnsi="仿宋_GB2312" w:eastAsia="仿宋_GB2312" w:cs="仿宋_GB2312"/>
          <w:b/>
          <w:bCs/>
          <w:color w:val="auto"/>
          <w:kern w:val="2"/>
          <w:sz w:val="28"/>
          <w:szCs w:val="28"/>
          <w:highlight w:val="none"/>
          <w:lang w:val="en-US" w:eastAsia="zh-CN" w:bidi="ar-SA"/>
        </w:rPr>
      </w:pPr>
      <w:bookmarkStart w:id="27" w:name="_Toc28359016"/>
      <w:bookmarkStart w:id="28" w:name="_Toc35393633"/>
      <w:bookmarkStart w:id="29" w:name="_Toc32165"/>
      <w:bookmarkStart w:id="30" w:name="_Toc28359093"/>
      <w:bookmarkStart w:id="31" w:name="_Toc35393802"/>
      <w:r>
        <w:rPr>
          <w:rFonts w:hint="eastAsia" w:ascii="仿宋_GB2312" w:hAnsi="仿宋_GB2312" w:eastAsia="仿宋_GB2312" w:cs="仿宋_GB2312"/>
          <w:b/>
          <w:bCs/>
          <w:color w:val="auto"/>
          <w:kern w:val="2"/>
          <w:sz w:val="28"/>
          <w:szCs w:val="28"/>
          <w:highlight w:val="none"/>
          <w:lang w:val="en-US" w:eastAsia="zh-CN" w:bidi="ar-SA"/>
        </w:rPr>
        <w:t>五、开启</w:t>
      </w:r>
      <w:bookmarkEnd w:id="27"/>
      <w:bookmarkEnd w:id="28"/>
      <w:bookmarkEnd w:id="29"/>
      <w:bookmarkEnd w:id="30"/>
      <w:bookmarkEnd w:id="31"/>
    </w:p>
    <w:p w14:paraId="60FEAD07">
      <w:pPr>
        <w:keepLines w:val="0"/>
        <w:pageBreakBefore w:val="0"/>
        <w:widowControl w:val="0"/>
        <w:kinsoku/>
        <w:wordWrap/>
        <w:overflowPunct/>
        <w:topLinePunct w:val="0"/>
        <w:bidi w:val="0"/>
        <w:snapToGrid/>
        <w:spacing w:line="560" w:lineRule="exact"/>
        <w:ind w:firstLine="566" w:firstLineChars="200"/>
        <w:textAlignment w:val="auto"/>
        <w:rPr>
          <w:rFonts w:hint="eastAsia" w:ascii="仿宋_GB2312" w:hAnsi="仿宋_GB2312" w:eastAsia="仿宋_GB2312" w:cs="仿宋_GB2312"/>
          <w:bCs/>
          <w:color w:val="auto"/>
          <w:sz w:val="28"/>
          <w:szCs w:val="28"/>
          <w:highlight w:val="none"/>
          <w:u w:val="single"/>
        </w:rPr>
      </w:pPr>
      <w:r>
        <w:rPr>
          <w:rFonts w:hint="eastAsia" w:ascii="仿宋_GB2312" w:hAnsi="仿宋_GB2312" w:eastAsia="仿宋_GB2312" w:cs="仿宋_GB2312"/>
          <w:color w:val="auto"/>
          <w:sz w:val="28"/>
          <w:szCs w:val="28"/>
          <w:highlight w:val="none"/>
        </w:rPr>
        <w:t>时间：</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2025</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bCs/>
          <w:color w:val="auto"/>
          <w:sz w:val="28"/>
          <w:szCs w:val="28"/>
          <w:highlight w:val="none"/>
          <w:u w:val="single"/>
        </w:rPr>
        <w:t>年</w:t>
      </w:r>
      <w:r>
        <w:rPr>
          <w:rFonts w:hint="eastAsia" w:ascii="仿宋_GB2312" w:hAnsi="仿宋_GB2312" w:eastAsia="仿宋_GB2312" w:cs="仿宋_GB2312"/>
          <w:bCs/>
          <w:color w:val="auto"/>
          <w:sz w:val="28"/>
          <w:szCs w:val="28"/>
          <w:highlight w:val="none"/>
          <w:u w:val="single"/>
          <w:lang w:val="en-US" w:eastAsia="zh-CN"/>
        </w:rPr>
        <w:t>8</w:t>
      </w:r>
      <w:r>
        <w:rPr>
          <w:rFonts w:hint="eastAsia" w:ascii="仿宋_GB2312" w:hAnsi="仿宋_GB2312" w:eastAsia="仿宋_GB2312" w:cs="仿宋_GB2312"/>
          <w:bCs/>
          <w:color w:val="auto"/>
          <w:sz w:val="28"/>
          <w:szCs w:val="28"/>
          <w:highlight w:val="none"/>
          <w:u w:val="single"/>
        </w:rPr>
        <w:t>月</w:t>
      </w:r>
      <w:r>
        <w:rPr>
          <w:rFonts w:hint="eastAsia" w:ascii="仿宋_GB2312" w:hAnsi="仿宋_GB2312" w:eastAsia="仿宋_GB2312" w:cs="仿宋_GB2312"/>
          <w:bCs/>
          <w:color w:val="auto"/>
          <w:sz w:val="28"/>
          <w:szCs w:val="28"/>
          <w:highlight w:val="none"/>
          <w:u w:val="single"/>
          <w:lang w:val="en-US" w:eastAsia="zh-CN"/>
        </w:rPr>
        <w:t>8</w:t>
      </w:r>
      <w:bookmarkStart w:id="413" w:name="_GoBack"/>
      <w:bookmarkEnd w:id="413"/>
      <w:r>
        <w:rPr>
          <w:rFonts w:hint="eastAsia" w:ascii="仿宋_GB2312" w:hAnsi="仿宋_GB2312" w:eastAsia="仿宋_GB2312" w:cs="仿宋_GB2312"/>
          <w:bCs/>
          <w:color w:val="auto"/>
          <w:sz w:val="28"/>
          <w:szCs w:val="28"/>
          <w:highlight w:val="none"/>
          <w:u w:val="single"/>
        </w:rPr>
        <w:t xml:space="preserve">日 </w:t>
      </w:r>
      <w:r>
        <w:rPr>
          <w:rFonts w:hint="eastAsia" w:ascii="仿宋_GB2312" w:hAnsi="仿宋_GB2312" w:eastAsia="仿宋_GB2312" w:cs="仿宋_GB2312"/>
          <w:bCs/>
          <w:color w:val="auto"/>
          <w:sz w:val="28"/>
          <w:szCs w:val="28"/>
          <w:highlight w:val="none"/>
          <w:u w:val="single"/>
          <w:lang w:val="en-US" w:eastAsia="zh-CN"/>
        </w:rPr>
        <w:t>9</w:t>
      </w:r>
      <w:r>
        <w:rPr>
          <w:rFonts w:hint="eastAsia" w:ascii="仿宋_GB2312" w:hAnsi="仿宋_GB2312" w:eastAsia="仿宋_GB2312" w:cs="仿宋_GB2312"/>
          <w:bCs/>
          <w:color w:val="auto"/>
          <w:sz w:val="28"/>
          <w:szCs w:val="28"/>
          <w:highlight w:val="none"/>
          <w:u w:val="single"/>
        </w:rPr>
        <w:t xml:space="preserve"> 点 </w:t>
      </w:r>
      <w:r>
        <w:rPr>
          <w:rFonts w:hint="eastAsia" w:ascii="仿宋_GB2312" w:hAnsi="仿宋_GB2312" w:eastAsia="仿宋_GB2312" w:cs="仿宋_GB2312"/>
          <w:bCs/>
          <w:color w:val="auto"/>
          <w:sz w:val="28"/>
          <w:szCs w:val="28"/>
          <w:highlight w:val="none"/>
          <w:u w:val="single"/>
          <w:lang w:val="en-US" w:eastAsia="zh-CN"/>
        </w:rPr>
        <w:t>30</w:t>
      </w:r>
      <w:r>
        <w:rPr>
          <w:rFonts w:hint="eastAsia" w:ascii="仿宋_GB2312" w:hAnsi="仿宋_GB2312" w:eastAsia="仿宋_GB2312" w:cs="仿宋_GB2312"/>
          <w:bCs/>
          <w:color w:val="auto"/>
          <w:sz w:val="28"/>
          <w:szCs w:val="28"/>
          <w:highlight w:val="none"/>
          <w:u w:val="single"/>
        </w:rPr>
        <w:t xml:space="preserve"> 分</w:t>
      </w:r>
      <w:r>
        <w:rPr>
          <w:rFonts w:hint="eastAsia" w:ascii="仿宋_GB2312" w:hAnsi="仿宋_GB2312" w:eastAsia="仿宋_GB2312" w:cs="仿宋_GB2312"/>
          <w:bCs/>
          <w:color w:val="auto"/>
          <w:sz w:val="28"/>
          <w:szCs w:val="28"/>
          <w:highlight w:val="none"/>
        </w:rPr>
        <w:t>（北京时间）</w:t>
      </w:r>
    </w:p>
    <w:p w14:paraId="4FACB4B8">
      <w:pPr>
        <w:keepLines w:val="0"/>
        <w:pageBreakBefore w:val="0"/>
        <w:widowControl w:val="0"/>
        <w:kinsoku/>
        <w:wordWrap/>
        <w:overflowPunct/>
        <w:topLinePunct w:val="0"/>
        <w:bidi w:val="0"/>
        <w:snapToGrid/>
        <w:spacing w:line="560" w:lineRule="exact"/>
        <w:ind w:firstLine="566" w:firstLineChars="200"/>
        <w:textAlignment w:val="auto"/>
        <w:rPr>
          <w:rFonts w:hint="eastAsia" w:ascii="仿宋_GB2312" w:hAnsi="仿宋_GB2312" w:eastAsia="仿宋_GB2312" w:cs="仿宋_GB2312"/>
          <w:bCs/>
          <w:color w:val="auto"/>
          <w:sz w:val="28"/>
          <w:szCs w:val="28"/>
          <w:u w:val="single"/>
        </w:rPr>
      </w:pPr>
      <w:r>
        <w:rPr>
          <w:rFonts w:hint="eastAsia" w:ascii="仿宋_GB2312" w:hAnsi="仿宋_GB2312" w:eastAsia="仿宋_GB2312" w:cs="仿宋_GB2312"/>
          <w:color w:val="auto"/>
          <w:sz w:val="28"/>
          <w:szCs w:val="28"/>
        </w:rPr>
        <w:t>地点：</w:t>
      </w:r>
      <w:r>
        <w:rPr>
          <w:rFonts w:hint="eastAsia" w:ascii="仿宋_GB2312" w:hAnsi="仿宋_GB2312" w:eastAsia="仿宋_GB2312" w:cs="仿宋_GB2312"/>
          <w:b/>
          <w:bCs/>
          <w:color w:val="auto"/>
          <w:sz w:val="28"/>
          <w:szCs w:val="28"/>
          <w:highlight w:val="none"/>
        </w:rPr>
        <w:t>采用</w:t>
      </w:r>
      <w:r>
        <w:rPr>
          <w:rFonts w:hint="eastAsia" w:ascii="仿宋_GB2312" w:hAnsi="仿宋_GB2312" w:eastAsia="仿宋_GB2312" w:cs="仿宋_GB2312"/>
          <w:b/>
          <w:bCs/>
          <w:color w:val="auto"/>
          <w:sz w:val="28"/>
          <w:szCs w:val="28"/>
          <w:highlight w:val="none"/>
          <w:lang w:eastAsia="zh-CN"/>
        </w:rPr>
        <w:t>“</w:t>
      </w:r>
      <w:r>
        <w:rPr>
          <w:rFonts w:hint="eastAsia" w:ascii="仿宋_GB2312" w:hAnsi="仿宋_GB2312" w:eastAsia="仿宋_GB2312" w:cs="仿宋_GB2312"/>
          <w:b/>
          <w:bCs/>
          <w:color w:val="auto"/>
          <w:sz w:val="28"/>
          <w:szCs w:val="28"/>
          <w:highlight w:val="none"/>
        </w:rPr>
        <w:t>不见面开标方式</w:t>
      </w:r>
      <w:r>
        <w:rPr>
          <w:rFonts w:hint="eastAsia" w:ascii="仿宋_GB2312" w:hAnsi="仿宋_GB2312" w:eastAsia="仿宋_GB2312" w:cs="仿宋_GB2312"/>
          <w:b/>
          <w:bCs/>
          <w:color w:val="auto"/>
          <w:sz w:val="28"/>
          <w:szCs w:val="28"/>
          <w:highlight w:val="none"/>
          <w:lang w:eastAsia="zh-CN"/>
        </w:rPr>
        <w:t>”</w:t>
      </w:r>
      <w:r>
        <w:rPr>
          <w:rFonts w:hint="eastAsia" w:ascii="仿宋_GB2312" w:hAnsi="仿宋_GB2312" w:eastAsia="仿宋_GB2312" w:cs="仿宋_GB2312"/>
          <w:b/>
          <w:bCs/>
          <w:color w:val="auto"/>
          <w:sz w:val="28"/>
          <w:szCs w:val="28"/>
          <w:highlight w:val="none"/>
        </w:rPr>
        <w:t>。</w:t>
      </w:r>
      <w:r>
        <w:rPr>
          <w:rFonts w:hint="eastAsia" w:ascii="仿宋_GB2312" w:hAnsi="仿宋_GB2312" w:eastAsia="仿宋_GB2312" w:cs="仿宋_GB2312"/>
          <w:color w:val="auto"/>
          <w:sz w:val="28"/>
          <w:szCs w:val="28"/>
          <w:lang w:val="en-US" w:eastAsia="zh-CN"/>
        </w:rPr>
        <w:t>开启</w:t>
      </w:r>
      <w:r>
        <w:rPr>
          <w:rFonts w:hint="eastAsia" w:ascii="仿宋_GB2312" w:hAnsi="仿宋_GB2312" w:eastAsia="仿宋_GB2312" w:cs="仿宋_GB2312"/>
          <w:color w:val="auto"/>
          <w:sz w:val="28"/>
          <w:szCs w:val="28"/>
        </w:rPr>
        <w:t>前，</w:t>
      </w:r>
      <w:r>
        <w:rPr>
          <w:rFonts w:hint="eastAsia" w:ascii="仿宋_GB2312" w:hAnsi="仿宋_GB2312" w:eastAsia="仿宋_GB2312" w:cs="仿宋_GB2312"/>
          <w:color w:val="auto"/>
          <w:sz w:val="28"/>
          <w:szCs w:val="28"/>
          <w:lang w:val="en-US" w:eastAsia="zh-CN"/>
        </w:rPr>
        <w:t>响应</w:t>
      </w:r>
      <w:r>
        <w:rPr>
          <w:rFonts w:hint="eastAsia" w:ascii="仿宋_GB2312" w:hAnsi="仿宋_GB2312" w:eastAsia="仿宋_GB2312" w:cs="仿宋_GB2312"/>
          <w:color w:val="auto"/>
          <w:sz w:val="28"/>
          <w:szCs w:val="28"/>
        </w:rPr>
        <w:t>人登录全国公共资源交易平台（陕西省·汉中市）网站〖首页〉不见面开标〗系统，在线参加</w:t>
      </w:r>
      <w:r>
        <w:rPr>
          <w:rFonts w:hint="eastAsia" w:ascii="仿宋_GB2312" w:hAnsi="仿宋_GB2312" w:eastAsia="仿宋_GB2312" w:cs="仿宋_GB2312"/>
          <w:color w:val="auto"/>
          <w:sz w:val="28"/>
          <w:szCs w:val="28"/>
          <w:lang w:val="en-US" w:eastAsia="zh-CN"/>
        </w:rPr>
        <w:t>开启</w:t>
      </w:r>
      <w:r>
        <w:rPr>
          <w:rFonts w:hint="eastAsia" w:ascii="仿宋_GB2312" w:hAnsi="仿宋_GB2312" w:eastAsia="仿宋_GB2312" w:cs="仿宋_GB2312"/>
          <w:color w:val="auto"/>
          <w:sz w:val="28"/>
          <w:szCs w:val="28"/>
        </w:rPr>
        <w:t>过程。</w:t>
      </w:r>
      <w:r>
        <w:rPr>
          <w:rFonts w:hint="eastAsia" w:ascii="仿宋_GB2312" w:hAnsi="仿宋_GB2312" w:eastAsia="仿宋_GB2312" w:cs="仿宋_GB2312"/>
          <w:color w:val="auto"/>
          <w:sz w:val="28"/>
          <w:szCs w:val="28"/>
          <w:lang w:val="en-US" w:eastAsia="zh-CN"/>
        </w:rPr>
        <w:t>开启</w:t>
      </w:r>
      <w:r>
        <w:rPr>
          <w:rFonts w:hint="eastAsia" w:ascii="仿宋_GB2312" w:hAnsi="仿宋_GB2312" w:eastAsia="仿宋_GB2312" w:cs="仿宋_GB2312"/>
          <w:color w:val="auto"/>
          <w:sz w:val="28"/>
          <w:szCs w:val="28"/>
        </w:rPr>
        <w:t>时，按照工作人员要求进行远程解密，如因</w:t>
      </w:r>
      <w:r>
        <w:rPr>
          <w:rFonts w:hint="eastAsia" w:ascii="仿宋_GB2312" w:hAnsi="仿宋_GB2312" w:eastAsia="仿宋_GB2312" w:cs="仿宋_GB2312"/>
          <w:color w:val="auto"/>
          <w:sz w:val="28"/>
          <w:szCs w:val="28"/>
          <w:lang w:val="en-US" w:eastAsia="zh-CN"/>
        </w:rPr>
        <w:t>响应</w:t>
      </w:r>
      <w:r>
        <w:rPr>
          <w:rFonts w:hint="eastAsia" w:ascii="仿宋_GB2312" w:hAnsi="仿宋_GB2312" w:eastAsia="仿宋_GB2312" w:cs="仿宋_GB2312"/>
          <w:color w:val="auto"/>
          <w:sz w:val="28"/>
          <w:szCs w:val="28"/>
        </w:rPr>
        <w:t>人自身原因造成无法解密</w:t>
      </w:r>
      <w:r>
        <w:rPr>
          <w:rFonts w:hint="eastAsia" w:ascii="仿宋_GB2312" w:hAnsi="仿宋_GB2312" w:eastAsia="仿宋_GB2312" w:cs="仿宋_GB2312"/>
          <w:color w:val="auto"/>
          <w:sz w:val="28"/>
          <w:szCs w:val="28"/>
          <w:lang w:val="en-US" w:eastAsia="zh-CN"/>
        </w:rPr>
        <w:t>响应</w:t>
      </w:r>
      <w:r>
        <w:rPr>
          <w:rFonts w:hint="eastAsia" w:ascii="仿宋_GB2312" w:hAnsi="仿宋_GB2312" w:eastAsia="仿宋_GB2312" w:cs="仿宋_GB2312"/>
          <w:color w:val="auto"/>
          <w:sz w:val="28"/>
          <w:szCs w:val="28"/>
        </w:rPr>
        <w:t>文件，按无效</w:t>
      </w:r>
      <w:r>
        <w:rPr>
          <w:rFonts w:hint="eastAsia" w:ascii="仿宋_GB2312" w:hAnsi="仿宋_GB2312" w:eastAsia="仿宋_GB2312" w:cs="仿宋_GB2312"/>
          <w:color w:val="auto"/>
          <w:sz w:val="28"/>
          <w:szCs w:val="28"/>
          <w:lang w:val="en-US" w:eastAsia="zh-CN"/>
        </w:rPr>
        <w:t>响应</w:t>
      </w:r>
      <w:r>
        <w:rPr>
          <w:rFonts w:hint="eastAsia" w:ascii="仿宋_GB2312" w:hAnsi="仿宋_GB2312" w:eastAsia="仿宋_GB2312" w:cs="仿宋_GB2312"/>
          <w:color w:val="auto"/>
          <w:sz w:val="28"/>
          <w:szCs w:val="28"/>
        </w:rPr>
        <w:t>对待。</w:t>
      </w:r>
    </w:p>
    <w:p w14:paraId="6294D75A">
      <w:pPr>
        <w:keepNext/>
        <w:keepLines w:val="0"/>
        <w:pageBreakBefore w:val="0"/>
        <w:widowControl w:val="0"/>
        <w:kinsoku/>
        <w:wordWrap/>
        <w:overflowPunct/>
        <w:topLinePunct w:val="0"/>
        <w:autoSpaceDE w:val="0"/>
        <w:autoSpaceDN w:val="0"/>
        <w:bidi w:val="0"/>
        <w:adjustRightInd w:val="0"/>
        <w:snapToGrid/>
        <w:spacing w:line="560" w:lineRule="exact"/>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32" w:name="_Toc4869"/>
      <w:bookmarkStart w:id="33" w:name="_Toc35393634"/>
      <w:bookmarkStart w:id="34" w:name="_Toc28359017"/>
      <w:bookmarkStart w:id="35" w:name="_Toc35393803"/>
      <w:bookmarkStart w:id="36" w:name="_Toc28359094"/>
      <w:r>
        <w:rPr>
          <w:rFonts w:hint="eastAsia" w:ascii="仿宋_GB2312" w:hAnsi="仿宋_GB2312" w:eastAsia="仿宋_GB2312" w:cs="仿宋_GB2312"/>
          <w:b/>
          <w:bCs/>
          <w:color w:val="auto"/>
          <w:kern w:val="2"/>
          <w:sz w:val="28"/>
          <w:szCs w:val="28"/>
          <w:lang w:val="en-US" w:eastAsia="zh-CN" w:bidi="ar-SA"/>
        </w:rPr>
        <w:t>六、公告期限</w:t>
      </w:r>
      <w:bookmarkEnd w:id="32"/>
      <w:bookmarkEnd w:id="33"/>
      <w:bookmarkEnd w:id="34"/>
      <w:bookmarkEnd w:id="35"/>
      <w:bookmarkEnd w:id="36"/>
    </w:p>
    <w:p w14:paraId="6139966D">
      <w:pPr>
        <w:keepLines w:val="0"/>
        <w:pageBreakBefore w:val="0"/>
        <w:widowControl w:val="0"/>
        <w:kinsoku/>
        <w:wordWrap/>
        <w:overflowPunct/>
        <w:topLinePunct w:val="0"/>
        <w:bidi w:val="0"/>
        <w:snapToGrid/>
        <w:spacing w:line="560" w:lineRule="exact"/>
        <w:ind w:firstLine="566" w:firstLineChars="200"/>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自本公告发布之日起3个工作日。</w:t>
      </w:r>
    </w:p>
    <w:p w14:paraId="5781018B">
      <w:pPr>
        <w:keepNext/>
        <w:keepLines w:val="0"/>
        <w:pageBreakBefore w:val="0"/>
        <w:widowControl w:val="0"/>
        <w:kinsoku/>
        <w:wordWrap/>
        <w:overflowPunct/>
        <w:topLinePunct w:val="0"/>
        <w:autoSpaceDE w:val="0"/>
        <w:autoSpaceDN w:val="0"/>
        <w:bidi w:val="0"/>
        <w:adjustRightInd w:val="0"/>
        <w:snapToGrid/>
        <w:spacing w:line="560" w:lineRule="exact"/>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37" w:name="_Toc24605"/>
      <w:bookmarkStart w:id="38" w:name="_Toc35393635"/>
      <w:bookmarkStart w:id="39" w:name="_Toc35393804"/>
      <w:r>
        <w:rPr>
          <w:rFonts w:hint="eastAsia" w:ascii="仿宋_GB2312" w:hAnsi="仿宋_GB2312" w:eastAsia="仿宋_GB2312" w:cs="仿宋_GB2312"/>
          <w:b/>
          <w:bCs/>
          <w:color w:val="auto"/>
          <w:kern w:val="2"/>
          <w:sz w:val="28"/>
          <w:szCs w:val="28"/>
          <w:lang w:val="en-US" w:eastAsia="zh-CN" w:bidi="ar-SA"/>
        </w:rPr>
        <w:t>七、其他补充事宜</w:t>
      </w:r>
      <w:bookmarkEnd w:id="37"/>
      <w:bookmarkEnd w:id="38"/>
      <w:bookmarkEnd w:id="39"/>
    </w:p>
    <w:p w14:paraId="04DFE367">
      <w:pPr>
        <w:keepLines w:val="0"/>
        <w:pageBreakBefore w:val="0"/>
        <w:widowControl w:val="0"/>
        <w:kinsoku/>
        <w:wordWrap/>
        <w:overflowPunct/>
        <w:topLinePunct w:val="0"/>
        <w:bidi w:val="0"/>
        <w:snapToGrid/>
        <w:spacing w:line="560" w:lineRule="exact"/>
        <w:ind w:firstLine="566" w:firstLineChars="200"/>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１、响应人初次使用交易平台，须先完成诚信入库登记、数字认证证书 （CA 锁）认证及企业信息绑定。电子交易平台现已接入陕西CA、深圳CA、西部CA、北京CA四家数字证书公司，各供应商在交易过程中登录系统、加密/解密投标文件、文件签章等均可使用上述四家CA公司签发的数字证书。办理须知及所需资料详见：http://www.sxggzyjy.cn/fwzn/004003/20220701/6972fe02-f996-4928-951e-545dab02e53c.html</w:t>
      </w:r>
    </w:p>
    <w:p w14:paraId="5742B321">
      <w:pPr>
        <w:keepLines w:val="0"/>
        <w:pageBreakBefore w:val="0"/>
        <w:widowControl w:val="0"/>
        <w:kinsoku/>
        <w:wordWrap/>
        <w:overflowPunct/>
        <w:topLinePunct w:val="0"/>
        <w:bidi w:val="0"/>
        <w:snapToGrid/>
        <w:spacing w:line="560" w:lineRule="exact"/>
        <w:ind w:firstLine="566" w:firstLineChars="200"/>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w:t>
      </w:r>
      <w:r>
        <w:rPr>
          <w:rFonts w:hint="eastAsia" w:ascii="仿宋_GB2312" w:hAnsi="仿宋_GB2312" w:eastAsia="仿宋_GB2312" w:cs="仿宋_GB2312"/>
          <w:b/>
          <w:bCs/>
          <w:color w:val="auto"/>
          <w:kern w:val="0"/>
          <w:sz w:val="28"/>
          <w:szCs w:val="28"/>
          <w:lang w:val="en-US" w:eastAsia="zh-CN"/>
        </w:rPr>
        <w:t>本项目采用“电子化采购”及“不见面开标”方式，</w:t>
      </w:r>
      <w:r>
        <w:rPr>
          <w:rFonts w:hint="eastAsia" w:ascii="仿宋_GB2312" w:hAnsi="仿宋_GB2312" w:eastAsia="仿宋_GB2312" w:cs="仿宋_GB2312"/>
          <w:color w:val="auto"/>
          <w:kern w:val="0"/>
          <w:sz w:val="28"/>
          <w:szCs w:val="28"/>
          <w:lang w:val="en-US" w:eastAsia="zh-CN"/>
        </w:rPr>
        <w:t>响应人须使用数字认证证书（CA锁）对电子响应文件进行签章、加密、递交及开启时解密等相关事宜。（操作手册详见〖首页〉服务指南〉下载专区〗中的《汉中公共资源交易不见面开标大厅投标单位操作手册》）</w:t>
      </w:r>
    </w:p>
    <w:p w14:paraId="757583D3">
      <w:pPr>
        <w:keepLines w:val="0"/>
        <w:pageBreakBefore w:val="0"/>
        <w:widowControl w:val="0"/>
        <w:kinsoku/>
        <w:wordWrap/>
        <w:overflowPunct/>
        <w:topLinePunct w:val="0"/>
        <w:bidi w:val="0"/>
        <w:snapToGrid/>
        <w:spacing w:line="560" w:lineRule="exact"/>
        <w:ind w:firstLine="566" w:firstLineChars="200"/>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3、请响应人务必及时下载采购文件并做好备份，否则会影响响应文件编制及后续采购活动。 </w:t>
      </w:r>
    </w:p>
    <w:p w14:paraId="2FED8195">
      <w:pPr>
        <w:keepLines w:val="0"/>
        <w:pageBreakBefore w:val="0"/>
        <w:widowControl w:val="0"/>
        <w:kinsoku/>
        <w:wordWrap/>
        <w:overflowPunct/>
        <w:topLinePunct w:val="0"/>
        <w:bidi w:val="0"/>
        <w:snapToGrid/>
        <w:spacing w:line="560" w:lineRule="exact"/>
        <w:ind w:firstLine="566" w:firstLineChars="200"/>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4、按照2018年12月26日发布的“陕西省财政厅关于政府采购供应商注册登记有关事项的通知”要求，我省政府采购供应商注册登记工作自本通知印发之日起恢复办理。符合《政府采购法》第二十二条规定的合格供应商通过陕西省政府采购网（http://www.ccgp-shaanxi.gov.cn/）注册登记加入陕西省政府采购供应商库。详细内容请查阅“陕西省政府采购网”。供应商注册登记咨询电话：029-96702-7  87611761。</w:t>
      </w:r>
    </w:p>
    <w:p w14:paraId="75467AC2">
      <w:pPr>
        <w:keepLines w:val="0"/>
        <w:pageBreakBefore w:val="0"/>
        <w:widowControl w:val="0"/>
        <w:kinsoku/>
        <w:wordWrap/>
        <w:overflowPunct/>
        <w:topLinePunct w:val="0"/>
        <w:bidi w:val="0"/>
        <w:snapToGrid/>
        <w:spacing w:line="560" w:lineRule="exact"/>
        <w:ind w:firstLine="566" w:firstLineChars="200"/>
        <w:textAlignment w:val="auto"/>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5、有融资需求的中标（成交）供应商可根据自身情况，根据《陕西省财政厅关于加快推进我省中小企业政府采购信用融资工作的通知》（陕财办采〔2020〕15号）文件精神，自主选择融资平台或金融机构及其融资产品，凭政府采购中标（成交）通知书或政府采购合同向金融机构提出融资申请。</w:t>
      </w:r>
    </w:p>
    <w:p w14:paraId="41D230DB">
      <w:pPr>
        <w:keepNext/>
        <w:keepLines w:val="0"/>
        <w:pageBreakBefore w:val="0"/>
        <w:widowControl w:val="0"/>
        <w:kinsoku/>
        <w:wordWrap/>
        <w:overflowPunct/>
        <w:topLinePunct w:val="0"/>
        <w:autoSpaceDE w:val="0"/>
        <w:autoSpaceDN w:val="0"/>
        <w:bidi w:val="0"/>
        <w:adjustRightInd w:val="0"/>
        <w:snapToGrid/>
        <w:spacing w:line="560" w:lineRule="exact"/>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40" w:name="_Toc35393805"/>
      <w:bookmarkStart w:id="41" w:name="_Toc28359095"/>
      <w:bookmarkStart w:id="42" w:name="_Toc17247"/>
      <w:bookmarkStart w:id="43" w:name="_Toc28359018"/>
      <w:bookmarkStart w:id="44" w:name="_Toc35393636"/>
      <w:r>
        <w:rPr>
          <w:rFonts w:hint="eastAsia" w:ascii="仿宋_GB2312" w:hAnsi="仿宋_GB2312" w:eastAsia="仿宋_GB2312" w:cs="仿宋_GB2312"/>
          <w:b/>
          <w:bCs/>
          <w:color w:val="auto"/>
          <w:kern w:val="2"/>
          <w:sz w:val="28"/>
          <w:szCs w:val="28"/>
          <w:lang w:val="en-US" w:eastAsia="zh-CN" w:bidi="ar-SA"/>
        </w:rPr>
        <w:t>八、凡对本次采购提出询问，请按以下方式联系。</w:t>
      </w:r>
      <w:bookmarkEnd w:id="40"/>
      <w:bookmarkEnd w:id="41"/>
      <w:bookmarkEnd w:id="42"/>
      <w:bookmarkEnd w:id="43"/>
      <w:bookmarkEnd w:id="44"/>
    </w:p>
    <w:p w14:paraId="71859067">
      <w:pPr>
        <w:keepNext/>
        <w:keepLines w:val="0"/>
        <w:pageBreakBefore w:val="0"/>
        <w:widowControl w:val="0"/>
        <w:kinsoku/>
        <w:wordWrap/>
        <w:overflowPunct/>
        <w:topLinePunct w:val="0"/>
        <w:autoSpaceDE w:val="0"/>
        <w:autoSpaceDN w:val="0"/>
        <w:bidi w:val="0"/>
        <w:adjustRightInd w:val="0"/>
        <w:snapToGrid/>
        <w:spacing w:line="560" w:lineRule="exact"/>
        <w:ind w:firstLine="849" w:firstLineChars="300"/>
        <w:jc w:val="both"/>
        <w:textAlignment w:val="auto"/>
        <w:outlineLvl w:val="1"/>
        <w:rPr>
          <w:rFonts w:hint="eastAsia" w:ascii="仿宋_GB2312" w:hAnsi="仿宋_GB2312" w:eastAsia="仿宋_GB2312" w:cs="仿宋_GB2312"/>
          <w:b w:val="0"/>
          <w:color w:val="auto"/>
          <w:kern w:val="2"/>
          <w:sz w:val="28"/>
          <w:szCs w:val="28"/>
          <w:lang w:val="en-US" w:eastAsia="zh-CN" w:bidi="ar-SA"/>
        </w:rPr>
      </w:pPr>
      <w:bookmarkStart w:id="45" w:name="_Toc28359019"/>
      <w:bookmarkStart w:id="46" w:name="_Toc35393806"/>
      <w:bookmarkStart w:id="47" w:name="_Toc35393637"/>
      <w:bookmarkStart w:id="48" w:name="_Toc9063"/>
      <w:bookmarkStart w:id="49" w:name="_Toc28359096"/>
      <w:r>
        <w:rPr>
          <w:rFonts w:hint="eastAsia" w:ascii="仿宋_GB2312" w:hAnsi="仿宋_GB2312" w:eastAsia="仿宋_GB2312" w:cs="仿宋_GB2312"/>
          <w:b w:val="0"/>
          <w:color w:val="auto"/>
          <w:kern w:val="2"/>
          <w:sz w:val="28"/>
          <w:szCs w:val="28"/>
          <w:lang w:val="en-US" w:eastAsia="zh-CN" w:bidi="ar-SA"/>
        </w:rPr>
        <w:t>1.采购人信息</w:t>
      </w:r>
      <w:bookmarkEnd w:id="45"/>
      <w:bookmarkEnd w:id="46"/>
      <w:bookmarkEnd w:id="47"/>
      <w:bookmarkEnd w:id="48"/>
      <w:bookmarkEnd w:id="49"/>
    </w:p>
    <w:p w14:paraId="751632F7">
      <w:pPr>
        <w:keepNext w:val="0"/>
        <w:keepLines w:val="0"/>
        <w:pageBreakBefore w:val="0"/>
        <w:widowControl w:val="0"/>
        <w:kinsoku/>
        <w:wordWrap/>
        <w:overflowPunct/>
        <w:topLinePunct w:val="0"/>
        <w:autoSpaceDE/>
        <w:autoSpaceDN/>
        <w:bidi w:val="0"/>
        <w:adjustRightInd/>
        <w:snapToGrid/>
        <w:spacing w:line="560" w:lineRule="exact"/>
        <w:ind w:firstLine="849" w:firstLineChars="300"/>
        <w:jc w:val="left"/>
        <w:textAlignment w:val="auto"/>
        <w:rPr>
          <w:rFonts w:hint="eastAsia" w:ascii="仿宋_GB2312" w:hAnsi="仿宋_GB2312" w:eastAsia="仿宋_GB2312" w:cs="仿宋_GB2312"/>
          <w:color w:val="auto"/>
          <w:sz w:val="28"/>
          <w:szCs w:val="28"/>
          <w:u w:val="single"/>
          <w:lang w:val="en-US" w:eastAsia="zh-CN"/>
        </w:rPr>
      </w:pPr>
      <w:bookmarkStart w:id="50" w:name="_Toc35393638"/>
      <w:bookmarkStart w:id="51" w:name="_Toc35393807"/>
      <w:bookmarkStart w:id="52" w:name="_Toc28359097"/>
      <w:bookmarkStart w:id="53" w:name="_Toc28359020"/>
      <w:r>
        <w:rPr>
          <w:rFonts w:hint="eastAsia" w:ascii="仿宋_GB2312" w:hAnsi="仿宋_GB2312" w:eastAsia="仿宋_GB2312" w:cs="仿宋_GB2312"/>
          <w:color w:val="auto"/>
          <w:sz w:val="28"/>
          <w:szCs w:val="28"/>
          <w:u w:val="none"/>
        </w:rPr>
        <w:t>名</w:t>
      </w:r>
      <w:r>
        <w:rPr>
          <w:rFonts w:hint="eastAsia" w:ascii="仿宋_GB2312" w:hAnsi="仿宋_GB2312" w:eastAsia="仿宋_GB2312" w:cs="仿宋_GB2312"/>
          <w:color w:val="auto"/>
          <w:sz w:val="28"/>
          <w:szCs w:val="28"/>
          <w:u w:val="none"/>
          <w:lang w:val="en-US" w:eastAsia="zh-CN"/>
        </w:rPr>
        <w:t xml:space="preserve">    称：</w:t>
      </w:r>
      <w:r>
        <w:rPr>
          <w:rFonts w:hint="eastAsia" w:ascii="仿宋_GB2312" w:hAnsi="仿宋_GB2312" w:eastAsia="仿宋_GB2312" w:cs="仿宋_GB2312"/>
          <w:color w:val="auto"/>
          <w:sz w:val="28"/>
          <w:szCs w:val="28"/>
          <w:u w:val="single"/>
          <w:lang w:val="en-US" w:eastAsia="zh-CN"/>
        </w:rPr>
        <w:t>　汉中市福利彩票发行中心 　</w:t>
      </w:r>
    </w:p>
    <w:p w14:paraId="4EF83B9B">
      <w:pPr>
        <w:keepNext w:val="0"/>
        <w:keepLines w:val="0"/>
        <w:pageBreakBefore w:val="0"/>
        <w:widowControl w:val="0"/>
        <w:kinsoku/>
        <w:wordWrap/>
        <w:overflowPunct/>
        <w:topLinePunct w:val="0"/>
        <w:autoSpaceDE/>
        <w:autoSpaceDN/>
        <w:bidi w:val="0"/>
        <w:adjustRightInd/>
        <w:snapToGrid/>
        <w:spacing w:line="560" w:lineRule="exact"/>
        <w:ind w:firstLine="849" w:firstLineChars="300"/>
        <w:jc w:val="left"/>
        <w:textAlignment w:val="auto"/>
        <w:rPr>
          <w:rFonts w:hint="eastAsia" w:ascii="仿宋_GB2312" w:hAnsi="仿宋_GB2312" w:eastAsia="仿宋_GB2312" w:cs="仿宋_GB2312"/>
          <w:color w:val="auto"/>
          <w:sz w:val="28"/>
          <w:szCs w:val="28"/>
          <w:u w:val="single"/>
          <w:lang w:val="en-US" w:eastAsia="zh-CN"/>
        </w:rPr>
      </w:pPr>
      <w:r>
        <w:rPr>
          <w:rFonts w:hint="eastAsia" w:ascii="仿宋_GB2312" w:hAnsi="仿宋_GB2312" w:eastAsia="仿宋_GB2312" w:cs="仿宋_GB2312"/>
          <w:color w:val="auto"/>
          <w:sz w:val="28"/>
          <w:szCs w:val="28"/>
          <w:u w:val="none"/>
          <w:lang w:val="en-US" w:eastAsia="zh-CN"/>
        </w:rPr>
        <w:t>地    址：</w:t>
      </w:r>
      <w:r>
        <w:rPr>
          <w:rFonts w:hint="eastAsia" w:ascii="仿宋_GB2312" w:hAnsi="仿宋_GB2312" w:eastAsia="仿宋_GB2312" w:cs="仿宋_GB2312"/>
          <w:color w:val="auto"/>
          <w:sz w:val="28"/>
          <w:szCs w:val="28"/>
          <w:u w:val="single"/>
          <w:lang w:val="en-US" w:eastAsia="zh-CN"/>
        </w:rPr>
        <w:t>　汉中市汉台区汉宁路 　</w:t>
      </w:r>
    </w:p>
    <w:p w14:paraId="2CA0FCA5">
      <w:pPr>
        <w:keepNext w:val="0"/>
        <w:keepLines w:val="0"/>
        <w:pageBreakBefore w:val="0"/>
        <w:widowControl w:val="0"/>
        <w:kinsoku/>
        <w:wordWrap/>
        <w:overflowPunct/>
        <w:topLinePunct w:val="0"/>
        <w:autoSpaceDE/>
        <w:autoSpaceDN/>
        <w:bidi w:val="0"/>
        <w:adjustRightInd/>
        <w:snapToGrid/>
        <w:spacing w:line="560" w:lineRule="exact"/>
        <w:ind w:firstLine="849" w:firstLineChars="3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联系方式：</w:t>
      </w:r>
      <w:r>
        <w:rPr>
          <w:rFonts w:hint="eastAsia" w:ascii="仿宋_GB2312" w:hAnsi="仿宋_GB2312" w:eastAsia="仿宋_GB2312" w:cs="仿宋_GB2312"/>
          <w:color w:val="auto"/>
          <w:sz w:val="28"/>
          <w:szCs w:val="28"/>
          <w:u w:val="single"/>
        </w:rPr>
        <w:t>　</w:t>
      </w:r>
      <w:r>
        <w:rPr>
          <w:rFonts w:hint="eastAsia" w:ascii="仿宋_GB2312" w:hAnsi="仿宋_GB2312" w:eastAsia="仿宋_GB2312" w:cs="仿宋_GB2312"/>
          <w:color w:val="auto"/>
          <w:sz w:val="28"/>
          <w:szCs w:val="28"/>
          <w:u w:val="single"/>
          <w:lang w:val="en-US" w:eastAsia="zh-CN"/>
        </w:rPr>
        <w:t>18109161881</w:t>
      </w:r>
      <w:r>
        <w:rPr>
          <w:rFonts w:hint="eastAsia" w:ascii="仿宋_GB2312" w:hAnsi="仿宋_GB2312" w:eastAsia="仿宋_GB2312" w:cs="仿宋_GB2312"/>
          <w:color w:val="auto"/>
          <w:sz w:val="28"/>
          <w:szCs w:val="28"/>
          <w:u w:val="single"/>
        </w:rPr>
        <w:t>　</w:t>
      </w:r>
    </w:p>
    <w:p w14:paraId="0AB52392">
      <w:pPr>
        <w:keepNext/>
        <w:keepLines w:val="0"/>
        <w:pageBreakBefore w:val="0"/>
        <w:widowControl w:val="0"/>
        <w:kinsoku/>
        <w:wordWrap/>
        <w:overflowPunct/>
        <w:topLinePunct w:val="0"/>
        <w:autoSpaceDE w:val="0"/>
        <w:autoSpaceDN w:val="0"/>
        <w:bidi w:val="0"/>
        <w:adjustRightInd w:val="0"/>
        <w:snapToGrid/>
        <w:spacing w:line="560" w:lineRule="exact"/>
        <w:ind w:firstLine="849" w:firstLineChars="300"/>
        <w:jc w:val="both"/>
        <w:textAlignment w:val="auto"/>
        <w:outlineLvl w:val="1"/>
        <w:rPr>
          <w:rFonts w:hint="eastAsia" w:ascii="仿宋_GB2312" w:hAnsi="仿宋_GB2312" w:eastAsia="仿宋_GB2312" w:cs="仿宋_GB2312"/>
          <w:b w:val="0"/>
          <w:color w:val="auto"/>
          <w:kern w:val="2"/>
          <w:sz w:val="28"/>
          <w:szCs w:val="28"/>
          <w:lang w:val="en-US" w:eastAsia="zh-CN" w:bidi="ar-SA"/>
        </w:rPr>
      </w:pPr>
      <w:bookmarkStart w:id="54" w:name="_Toc27032"/>
      <w:r>
        <w:rPr>
          <w:rFonts w:hint="eastAsia" w:ascii="仿宋_GB2312" w:hAnsi="仿宋_GB2312" w:eastAsia="仿宋_GB2312" w:cs="仿宋_GB2312"/>
          <w:b w:val="0"/>
          <w:color w:val="auto"/>
          <w:kern w:val="2"/>
          <w:sz w:val="28"/>
          <w:szCs w:val="28"/>
          <w:lang w:val="en-US" w:eastAsia="zh-CN" w:bidi="ar-SA"/>
        </w:rPr>
        <w:t>2.采购代理机构信息</w:t>
      </w:r>
      <w:bookmarkEnd w:id="50"/>
      <w:bookmarkEnd w:id="51"/>
      <w:bookmarkEnd w:id="52"/>
      <w:bookmarkEnd w:id="53"/>
      <w:bookmarkEnd w:id="54"/>
    </w:p>
    <w:p w14:paraId="185F4694">
      <w:pPr>
        <w:keepLines w:val="0"/>
        <w:pageBreakBefore w:val="0"/>
        <w:widowControl w:val="0"/>
        <w:kinsoku/>
        <w:wordWrap/>
        <w:overflowPunct/>
        <w:topLinePunct w:val="0"/>
        <w:bidi w:val="0"/>
        <w:snapToGrid/>
        <w:spacing w:line="560" w:lineRule="exact"/>
        <w:ind w:firstLine="849" w:firstLineChars="3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名    称：</w:t>
      </w:r>
      <w:r>
        <w:rPr>
          <w:rFonts w:hint="eastAsia" w:ascii="仿宋_GB2312" w:hAnsi="仿宋_GB2312" w:eastAsia="仿宋_GB2312" w:cs="仿宋_GB2312"/>
          <w:color w:val="auto"/>
          <w:sz w:val="28"/>
          <w:szCs w:val="28"/>
          <w:u w:val="single"/>
        </w:rPr>
        <w:t>　</w:t>
      </w:r>
      <w:r>
        <w:rPr>
          <w:rFonts w:hint="eastAsia" w:ascii="仿宋_GB2312" w:hAnsi="仿宋_GB2312" w:eastAsia="仿宋_GB2312" w:cs="仿宋_GB2312"/>
          <w:color w:val="auto"/>
          <w:sz w:val="28"/>
          <w:szCs w:val="28"/>
          <w:u w:val="single"/>
          <w:lang w:val="en-US" w:eastAsia="zh-CN"/>
        </w:rPr>
        <w:t>汉中市政府采购中心</w:t>
      </w:r>
      <w:r>
        <w:rPr>
          <w:rFonts w:hint="eastAsia" w:ascii="仿宋_GB2312" w:hAnsi="仿宋_GB2312" w:eastAsia="仿宋_GB2312" w:cs="仿宋_GB2312"/>
          <w:color w:val="auto"/>
          <w:sz w:val="28"/>
          <w:szCs w:val="28"/>
          <w:u w:val="single"/>
        </w:rPr>
        <w:t>　</w:t>
      </w:r>
    </w:p>
    <w:p w14:paraId="1341F053">
      <w:pPr>
        <w:keepLines w:val="0"/>
        <w:pageBreakBefore w:val="0"/>
        <w:widowControl w:val="0"/>
        <w:kinsoku/>
        <w:wordWrap/>
        <w:overflowPunct/>
        <w:topLinePunct w:val="0"/>
        <w:bidi w:val="0"/>
        <w:snapToGrid/>
        <w:spacing w:line="560" w:lineRule="exact"/>
        <w:ind w:firstLine="849" w:firstLineChars="3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地　　址：</w:t>
      </w:r>
      <w:r>
        <w:rPr>
          <w:rFonts w:hint="eastAsia" w:ascii="仿宋_GB2312" w:hAnsi="仿宋_GB2312" w:eastAsia="仿宋_GB2312" w:cs="仿宋_GB2312"/>
          <w:color w:val="auto"/>
          <w:sz w:val="28"/>
          <w:szCs w:val="28"/>
          <w:u w:val="single"/>
        </w:rPr>
        <w:t>　</w:t>
      </w:r>
      <w:r>
        <w:rPr>
          <w:rFonts w:hint="eastAsia" w:ascii="仿宋_GB2312" w:hAnsi="仿宋_GB2312" w:eastAsia="仿宋_GB2312" w:cs="仿宋_GB2312"/>
          <w:color w:val="auto"/>
          <w:sz w:val="28"/>
          <w:szCs w:val="28"/>
          <w:u w:val="single"/>
          <w:lang w:val="en-US" w:eastAsia="zh-CN"/>
        </w:rPr>
        <w:t>汉中市汉台区南团结街与汉宁路十字金格大厦四楼　</w:t>
      </w:r>
    </w:p>
    <w:p w14:paraId="354FA538">
      <w:pPr>
        <w:keepLines w:val="0"/>
        <w:pageBreakBefore w:val="0"/>
        <w:widowControl w:val="0"/>
        <w:kinsoku/>
        <w:wordWrap/>
        <w:overflowPunct/>
        <w:topLinePunct w:val="0"/>
        <w:bidi w:val="0"/>
        <w:snapToGrid/>
        <w:spacing w:line="560" w:lineRule="exact"/>
        <w:ind w:firstLine="849" w:firstLineChars="300"/>
        <w:textAlignment w:val="auto"/>
        <w:rPr>
          <w:rFonts w:hint="eastAsia" w:ascii="仿宋_GB2312" w:hAnsi="仿宋_GB2312" w:eastAsia="仿宋_GB2312" w:cs="仿宋_GB2312"/>
          <w:color w:val="auto"/>
          <w:sz w:val="28"/>
          <w:szCs w:val="28"/>
          <w:u w:val="single"/>
        </w:rPr>
      </w:pPr>
      <w:r>
        <w:rPr>
          <w:rFonts w:hint="eastAsia" w:ascii="仿宋_GB2312" w:hAnsi="仿宋_GB2312" w:eastAsia="仿宋_GB2312" w:cs="仿宋_GB2312"/>
          <w:color w:val="auto"/>
          <w:sz w:val="28"/>
          <w:szCs w:val="28"/>
        </w:rPr>
        <w:t>联系方式：</w:t>
      </w:r>
      <w:r>
        <w:rPr>
          <w:rFonts w:hint="eastAsia" w:ascii="仿宋_GB2312" w:hAnsi="仿宋_GB2312" w:eastAsia="仿宋_GB2312" w:cs="仿宋_GB2312"/>
          <w:color w:val="auto"/>
          <w:sz w:val="28"/>
          <w:szCs w:val="28"/>
          <w:u w:val="single"/>
        </w:rPr>
        <w:t>　</w:t>
      </w:r>
      <w:r>
        <w:rPr>
          <w:rFonts w:hint="eastAsia" w:ascii="仿宋_GB2312" w:hAnsi="仿宋_GB2312" w:eastAsia="仿宋_GB2312" w:cs="仿宋_GB2312"/>
          <w:color w:val="auto"/>
          <w:sz w:val="28"/>
          <w:szCs w:val="28"/>
          <w:u w:val="single"/>
          <w:lang w:val="en-US" w:eastAsia="zh-CN"/>
        </w:rPr>
        <w:t>0916-2109082</w:t>
      </w:r>
      <w:r>
        <w:rPr>
          <w:rFonts w:hint="eastAsia" w:ascii="仿宋_GB2312" w:hAnsi="仿宋_GB2312" w:eastAsia="仿宋_GB2312" w:cs="仿宋_GB2312"/>
          <w:color w:val="auto"/>
          <w:sz w:val="28"/>
          <w:szCs w:val="28"/>
          <w:u w:val="single"/>
        </w:rPr>
        <w:t>　</w:t>
      </w:r>
    </w:p>
    <w:p w14:paraId="5012BDBA">
      <w:pPr>
        <w:keepNext/>
        <w:keepLines w:val="0"/>
        <w:pageBreakBefore w:val="0"/>
        <w:widowControl w:val="0"/>
        <w:kinsoku/>
        <w:wordWrap/>
        <w:overflowPunct/>
        <w:topLinePunct w:val="0"/>
        <w:autoSpaceDE w:val="0"/>
        <w:autoSpaceDN w:val="0"/>
        <w:bidi w:val="0"/>
        <w:adjustRightInd w:val="0"/>
        <w:snapToGrid/>
        <w:spacing w:line="560" w:lineRule="exact"/>
        <w:ind w:firstLine="849" w:firstLineChars="300"/>
        <w:jc w:val="both"/>
        <w:textAlignment w:val="auto"/>
        <w:outlineLvl w:val="1"/>
        <w:rPr>
          <w:rFonts w:hint="eastAsia" w:ascii="仿宋_GB2312" w:hAnsi="仿宋_GB2312" w:eastAsia="仿宋_GB2312" w:cs="仿宋_GB2312"/>
          <w:b w:val="0"/>
          <w:color w:val="auto"/>
          <w:kern w:val="2"/>
          <w:sz w:val="28"/>
          <w:szCs w:val="28"/>
          <w:lang w:val="en-US" w:eastAsia="zh-CN" w:bidi="ar-SA"/>
        </w:rPr>
      </w:pPr>
      <w:bookmarkStart w:id="55" w:name="_Toc35393808"/>
      <w:bookmarkStart w:id="56" w:name="_Toc28359098"/>
      <w:bookmarkStart w:id="57" w:name="_Toc28359021"/>
      <w:bookmarkStart w:id="58" w:name="_Toc6426"/>
      <w:bookmarkStart w:id="59" w:name="_Toc35393639"/>
      <w:r>
        <w:rPr>
          <w:rFonts w:hint="eastAsia" w:ascii="仿宋_GB2312" w:hAnsi="仿宋_GB2312" w:eastAsia="仿宋_GB2312" w:cs="仿宋_GB2312"/>
          <w:b w:val="0"/>
          <w:color w:val="auto"/>
          <w:kern w:val="2"/>
          <w:sz w:val="28"/>
          <w:szCs w:val="28"/>
          <w:lang w:val="en-US" w:eastAsia="zh-CN" w:bidi="ar-SA"/>
        </w:rPr>
        <w:t>3.项目联系方式</w:t>
      </w:r>
      <w:bookmarkEnd w:id="55"/>
      <w:bookmarkEnd w:id="56"/>
      <w:bookmarkEnd w:id="57"/>
      <w:bookmarkEnd w:id="58"/>
      <w:bookmarkEnd w:id="59"/>
    </w:p>
    <w:p w14:paraId="1D65F65D">
      <w:pPr>
        <w:pStyle w:val="10"/>
        <w:keepLines w:val="0"/>
        <w:pageBreakBefore w:val="0"/>
        <w:widowControl w:val="0"/>
        <w:kinsoku/>
        <w:wordWrap/>
        <w:overflowPunct/>
        <w:topLinePunct w:val="0"/>
        <w:bidi w:val="0"/>
        <w:snapToGrid/>
        <w:spacing w:line="560" w:lineRule="exact"/>
        <w:ind w:firstLine="849" w:firstLineChars="3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项目联系人：</w:t>
      </w:r>
      <w:r>
        <w:rPr>
          <w:rFonts w:hint="eastAsia" w:ascii="仿宋_GB2312" w:hAnsi="仿宋_GB2312" w:eastAsia="仿宋_GB2312" w:cs="仿宋_GB2312"/>
          <w:color w:val="auto"/>
          <w:kern w:val="2"/>
          <w:sz w:val="28"/>
          <w:szCs w:val="28"/>
          <w:u w:val="single"/>
          <w:lang w:val="en-US" w:eastAsia="zh-CN" w:bidi="ar-SA"/>
        </w:rPr>
        <w:t xml:space="preserve">  王博 </w:t>
      </w:r>
      <w:r>
        <w:rPr>
          <w:rFonts w:hint="eastAsia" w:ascii="仿宋_GB2312" w:hAnsi="仿宋_GB2312" w:eastAsia="仿宋_GB2312" w:cs="仿宋_GB2312"/>
          <w:color w:val="auto"/>
          <w:sz w:val="28"/>
          <w:szCs w:val="28"/>
          <w:u w:val="single"/>
        </w:rPr>
        <w:t>　</w:t>
      </w:r>
    </w:p>
    <w:p w14:paraId="7F6835B9">
      <w:pPr>
        <w:keepLines w:val="0"/>
        <w:pageBreakBefore w:val="0"/>
        <w:widowControl w:val="0"/>
        <w:kinsoku/>
        <w:wordWrap/>
        <w:overflowPunct/>
        <w:topLinePunct w:val="0"/>
        <w:bidi w:val="0"/>
        <w:snapToGrid/>
        <w:spacing w:line="560" w:lineRule="exact"/>
        <w:ind w:firstLine="849" w:firstLineChars="30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color w:val="auto"/>
          <w:sz w:val="28"/>
          <w:szCs w:val="28"/>
        </w:rPr>
        <w:t>电　</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　 话：</w:t>
      </w:r>
      <w:r>
        <w:rPr>
          <w:rFonts w:hint="eastAsia" w:ascii="仿宋_GB2312" w:hAnsi="仿宋_GB2312" w:eastAsia="仿宋_GB2312" w:cs="仿宋_GB2312"/>
          <w:color w:val="auto"/>
          <w:sz w:val="28"/>
          <w:szCs w:val="28"/>
          <w:u w:val="single"/>
        </w:rPr>
        <w:t>　</w:t>
      </w:r>
      <w:r>
        <w:rPr>
          <w:rFonts w:hint="eastAsia" w:ascii="仿宋_GB2312" w:hAnsi="仿宋_GB2312" w:eastAsia="仿宋_GB2312" w:cs="仿宋_GB2312"/>
          <w:color w:val="auto"/>
          <w:sz w:val="28"/>
          <w:szCs w:val="28"/>
          <w:u w:val="single"/>
          <w:lang w:val="en-US" w:eastAsia="zh-CN"/>
        </w:rPr>
        <w:t>0916-2109082</w:t>
      </w:r>
      <w:r>
        <w:rPr>
          <w:rFonts w:hint="eastAsia" w:ascii="仿宋_GB2312" w:hAnsi="仿宋_GB2312" w:eastAsia="仿宋_GB2312" w:cs="仿宋_GB2312"/>
          <w:color w:val="auto"/>
          <w:sz w:val="28"/>
          <w:szCs w:val="28"/>
          <w:u w:val="single"/>
        </w:rPr>
        <w:t>　</w:t>
      </w:r>
    </w:p>
    <w:p w14:paraId="7F5B8C30">
      <w:pPr>
        <w:pStyle w:val="3"/>
        <w:rPr>
          <w:rFonts w:ascii="黑体" w:hAnsi="黑体" w:eastAsia="黑体"/>
          <w:color w:val="auto"/>
          <w:sz w:val="32"/>
          <w:szCs w:val="32"/>
        </w:rPr>
      </w:pPr>
      <w:r>
        <w:rPr>
          <w:color w:val="auto"/>
          <w:sz w:val="28"/>
          <w:szCs w:val="28"/>
        </w:rPr>
        <w:br w:type="page"/>
      </w:r>
      <w:bookmarkStart w:id="60" w:name="_Toc19337_WPSOffice_Level1"/>
      <w:bookmarkStart w:id="61" w:name="_Toc495014919"/>
      <w:bookmarkStart w:id="62" w:name="_Toc22804_WPSOffice_Level1"/>
      <w:bookmarkStart w:id="63" w:name="_Toc495012770"/>
      <w:bookmarkStart w:id="64" w:name="_Toc10140"/>
      <w:bookmarkStart w:id="65" w:name="_Toc495014610"/>
      <w:bookmarkStart w:id="66" w:name="_Toc9601"/>
      <w:bookmarkStart w:id="67" w:name="_Toc495014648"/>
      <w:bookmarkStart w:id="68" w:name="_Toc495014953"/>
      <w:bookmarkStart w:id="69" w:name="_Toc4326"/>
      <w:bookmarkStart w:id="70" w:name="_Toc15046_WPSOffice_Level1"/>
      <w:bookmarkStart w:id="71" w:name="_Toc495012820"/>
      <w:bookmarkStart w:id="72" w:name="_Toc495014584"/>
      <w:bookmarkStart w:id="73" w:name="_Toc445306492"/>
      <w:bookmarkStart w:id="74" w:name="_Toc7814"/>
      <w:r>
        <w:rPr>
          <w:rFonts w:ascii="黑体" w:hAnsi="黑体" w:eastAsia="黑体"/>
          <w:b w:val="0"/>
          <w:bCs/>
          <w:color w:val="auto"/>
          <w:sz w:val="32"/>
          <w:szCs w:val="32"/>
        </w:rPr>
        <w:t xml:space="preserve">第二章  </w:t>
      </w:r>
      <w:r>
        <w:rPr>
          <w:rFonts w:hint="eastAsia" w:ascii="黑体" w:hAnsi="黑体" w:eastAsia="黑体"/>
          <w:b w:val="0"/>
          <w:bCs/>
          <w:color w:val="auto"/>
          <w:sz w:val="32"/>
          <w:szCs w:val="32"/>
        </w:rPr>
        <w:t>供应商</w:t>
      </w:r>
      <w:r>
        <w:rPr>
          <w:rFonts w:ascii="黑体" w:hAnsi="黑体" w:eastAsia="黑体"/>
          <w:b w:val="0"/>
          <w:bCs/>
          <w:color w:val="auto"/>
          <w:sz w:val="32"/>
          <w:szCs w:val="32"/>
        </w:rPr>
        <w:t>须知</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458C2B84">
      <w:pPr>
        <w:pStyle w:val="4"/>
        <w:pageBreakBefore w:val="0"/>
        <w:widowControl/>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bookmarkStart w:id="75" w:name="_Toc3858_WPSOffice_Level2"/>
      <w:bookmarkStart w:id="76" w:name="_Toc24451_WPSOffice_Level2"/>
      <w:bookmarkStart w:id="77" w:name="_Toc16238"/>
      <w:bookmarkStart w:id="78" w:name="_Toc18466_WPSOffice_Level2"/>
      <w:bookmarkStart w:id="79" w:name="_Toc23184"/>
      <w:bookmarkStart w:id="80" w:name="_Toc12337"/>
      <w:bookmarkStart w:id="81" w:name="_Toc3062"/>
      <w:r>
        <w:rPr>
          <w:rFonts w:hint="eastAsia" w:ascii="仿宋_GB2312" w:hAnsi="仿宋_GB2312" w:eastAsia="仿宋_GB2312" w:cs="仿宋_GB2312"/>
          <w:color w:val="auto"/>
          <w:sz w:val="28"/>
          <w:szCs w:val="28"/>
        </w:rPr>
        <w:t>一、定义</w:t>
      </w:r>
      <w:bookmarkEnd w:id="75"/>
      <w:bookmarkEnd w:id="76"/>
      <w:bookmarkEnd w:id="77"/>
      <w:bookmarkEnd w:id="78"/>
      <w:bookmarkEnd w:id="79"/>
      <w:bookmarkEnd w:id="80"/>
      <w:bookmarkEnd w:id="81"/>
    </w:p>
    <w:p w14:paraId="58001E38">
      <w:pPr>
        <w:pageBreakBefore w:val="0"/>
        <w:widowControl/>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lang w:val="en-US" w:eastAsia="zh-CN"/>
        </w:rPr>
      </w:pPr>
      <w:bookmarkStart w:id="82" w:name="_Toc11840_WPSOffice_Level3"/>
      <w:r>
        <w:rPr>
          <w:rFonts w:hint="eastAsia" w:ascii="仿宋_GB2312" w:hAnsi="仿宋_GB2312" w:eastAsia="仿宋_GB2312" w:cs="仿宋_GB2312"/>
          <w:color w:val="auto"/>
          <w:sz w:val="28"/>
          <w:szCs w:val="28"/>
        </w:rPr>
        <w:t>（一）采 购 人</w:t>
      </w:r>
      <w:r>
        <w:rPr>
          <w:rFonts w:hint="eastAsia" w:ascii="仿宋_GB2312" w:hAnsi="仿宋_GB2312" w:eastAsia="仿宋_GB2312" w:cs="仿宋_GB2312"/>
          <w:color w:val="auto"/>
          <w:sz w:val="28"/>
          <w:szCs w:val="28"/>
          <w:lang w:val="en-US" w:eastAsia="zh-CN"/>
        </w:rPr>
        <w:t>：</w:t>
      </w:r>
      <w:bookmarkEnd w:id="82"/>
      <w:bookmarkStart w:id="83" w:name="_Toc9917_WPSOffice_Level3"/>
      <w:r>
        <w:rPr>
          <w:rFonts w:hint="eastAsia" w:ascii="仿宋_GB2312" w:hAnsi="仿宋_GB2312" w:eastAsia="仿宋_GB2312" w:cs="仿宋_GB2312"/>
          <w:color w:val="auto"/>
          <w:sz w:val="28"/>
          <w:szCs w:val="28"/>
          <w:lang w:val="en-US" w:eastAsia="zh-CN"/>
        </w:rPr>
        <w:t>汉中市福利彩票发行中心</w:t>
      </w:r>
    </w:p>
    <w:p w14:paraId="3CB5EEA5">
      <w:pPr>
        <w:pageBreakBefore w:val="0"/>
        <w:widowControl/>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（二）监督机构：</w:t>
      </w:r>
      <w:bookmarkEnd w:id="83"/>
      <w:r>
        <w:rPr>
          <w:rFonts w:hint="eastAsia" w:ascii="仿宋_GB2312" w:hAnsi="仿宋_GB2312" w:eastAsia="仿宋_GB2312" w:cs="仿宋_GB2312"/>
          <w:color w:val="auto"/>
          <w:sz w:val="28"/>
          <w:szCs w:val="28"/>
          <w:lang w:val="en-US" w:eastAsia="zh-CN"/>
        </w:rPr>
        <w:t>汉中市财政局</w:t>
      </w:r>
    </w:p>
    <w:p w14:paraId="69112AD3">
      <w:pPr>
        <w:pageBreakBefore w:val="0"/>
        <w:widowControl/>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bookmarkStart w:id="84" w:name="_Toc8219_WPSOffice_Level3"/>
      <w:r>
        <w:rPr>
          <w:rFonts w:hint="eastAsia" w:ascii="仿宋_GB2312" w:hAnsi="仿宋_GB2312" w:eastAsia="仿宋_GB2312" w:cs="仿宋_GB2312"/>
          <w:color w:val="auto"/>
          <w:sz w:val="28"/>
          <w:szCs w:val="28"/>
        </w:rPr>
        <w:t>（三）集中采购机构</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采购代理机构</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汉中市</w:t>
      </w:r>
      <w:r>
        <w:rPr>
          <w:rFonts w:hint="eastAsia" w:ascii="仿宋_GB2312" w:hAnsi="仿宋_GB2312" w:eastAsia="仿宋_GB2312" w:cs="仿宋_GB2312"/>
          <w:color w:val="auto"/>
          <w:sz w:val="28"/>
          <w:szCs w:val="28"/>
        </w:rPr>
        <w:t>政府采购中心</w:t>
      </w:r>
      <w:bookmarkEnd w:id="84"/>
    </w:p>
    <w:p w14:paraId="2225005F">
      <w:pPr>
        <w:pageBreakBefore w:val="0"/>
        <w:widowControl/>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bookmarkStart w:id="85" w:name="_Toc20141_WPSOffice_Level3"/>
      <w:r>
        <w:rPr>
          <w:rFonts w:hint="eastAsia" w:ascii="仿宋_GB2312" w:hAnsi="仿宋_GB2312" w:eastAsia="仿宋_GB2312" w:cs="仿宋_GB2312"/>
          <w:color w:val="auto"/>
          <w:sz w:val="28"/>
          <w:szCs w:val="28"/>
        </w:rPr>
        <w:t>（四）供应商：拟向采购人提供货物、工程或者服务的法人、其他组织或者自然人</w:t>
      </w:r>
      <w:bookmarkEnd w:id="85"/>
    </w:p>
    <w:p w14:paraId="77658B97">
      <w:pPr>
        <w:pStyle w:val="4"/>
        <w:pageBreakBefore w:val="0"/>
        <w:widowControl/>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bookmarkStart w:id="86" w:name="_Toc4606"/>
      <w:bookmarkStart w:id="87" w:name="_Toc20906_WPSOffice_Level2"/>
      <w:bookmarkStart w:id="88" w:name="_Toc27278_WPSOffice_Level2"/>
      <w:bookmarkStart w:id="89" w:name="_Toc24646"/>
      <w:bookmarkStart w:id="90" w:name="_Toc13654"/>
      <w:bookmarkStart w:id="91" w:name="_Toc9291"/>
      <w:bookmarkStart w:id="92" w:name="_Toc11745_WPSOffice_Level2"/>
      <w:r>
        <w:rPr>
          <w:rFonts w:hint="eastAsia" w:ascii="仿宋_GB2312" w:hAnsi="仿宋_GB2312" w:eastAsia="仿宋_GB2312" w:cs="仿宋_GB2312"/>
          <w:color w:val="auto"/>
          <w:sz w:val="28"/>
          <w:szCs w:val="28"/>
        </w:rPr>
        <w:t>二、供应商注意事项</w:t>
      </w:r>
      <w:bookmarkEnd w:id="86"/>
      <w:bookmarkEnd w:id="87"/>
      <w:bookmarkEnd w:id="88"/>
      <w:bookmarkEnd w:id="89"/>
      <w:bookmarkEnd w:id="90"/>
      <w:bookmarkEnd w:id="91"/>
      <w:bookmarkEnd w:id="92"/>
    </w:p>
    <w:p w14:paraId="50045CB5">
      <w:pPr>
        <w:pageBreakBefore w:val="0"/>
        <w:widowControl/>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color w:val="auto"/>
          <w:sz w:val="28"/>
          <w:szCs w:val="28"/>
        </w:rPr>
      </w:pPr>
      <w:bookmarkStart w:id="93" w:name="_Toc21291"/>
      <w:bookmarkStart w:id="94" w:name="_Toc26982_WPSOffice_Level3"/>
      <w:r>
        <w:rPr>
          <w:rFonts w:hint="eastAsia" w:ascii="仿宋_GB2312" w:hAnsi="仿宋_GB2312" w:eastAsia="仿宋_GB2312" w:cs="仿宋_GB2312"/>
          <w:b/>
          <w:bCs/>
          <w:color w:val="auto"/>
          <w:sz w:val="28"/>
          <w:szCs w:val="28"/>
        </w:rPr>
        <w:t>（一）</w:t>
      </w:r>
      <w:r>
        <w:rPr>
          <w:rFonts w:hint="eastAsia" w:ascii="仿宋_GB2312" w:hAnsi="仿宋_GB2312" w:eastAsia="仿宋_GB2312" w:cs="仿宋_GB2312"/>
          <w:b/>
          <w:color w:val="auto"/>
          <w:sz w:val="28"/>
          <w:szCs w:val="28"/>
        </w:rPr>
        <w:t>现场</w:t>
      </w:r>
      <w:r>
        <w:rPr>
          <w:rFonts w:hint="eastAsia" w:ascii="仿宋_GB2312" w:hAnsi="仿宋_GB2312" w:eastAsia="仿宋_GB2312" w:cs="仿宋_GB2312"/>
          <w:b/>
          <w:color w:val="auto"/>
          <w:sz w:val="28"/>
          <w:szCs w:val="28"/>
          <w:lang w:val="en-US" w:eastAsia="zh-CN"/>
        </w:rPr>
        <w:t>考察</w:t>
      </w:r>
      <w:r>
        <w:rPr>
          <w:rFonts w:hint="eastAsia" w:ascii="仿宋_GB2312" w:hAnsi="仿宋_GB2312" w:eastAsia="仿宋_GB2312" w:cs="仿宋_GB2312"/>
          <w:b/>
          <w:color w:val="auto"/>
          <w:sz w:val="28"/>
          <w:szCs w:val="28"/>
        </w:rPr>
        <w:t>及</w:t>
      </w:r>
      <w:r>
        <w:rPr>
          <w:rFonts w:hint="eastAsia" w:ascii="仿宋_GB2312" w:hAnsi="仿宋_GB2312" w:eastAsia="仿宋_GB2312" w:cs="仿宋_GB2312"/>
          <w:b/>
          <w:color w:val="auto"/>
          <w:sz w:val="28"/>
          <w:szCs w:val="28"/>
          <w:lang w:val="en-US" w:eastAsia="zh-CN"/>
        </w:rPr>
        <w:t>磋商</w:t>
      </w:r>
      <w:r>
        <w:rPr>
          <w:rFonts w:hint="eastAsia" w:ascii="仿宋_GB2312" w:hAnsi="仿宋_GB2312" w:eastAsia="仿宋_GB2312" w:cs="仿宋_GB2312"/>
          <w:b/>
          <w:color w:val="auto"/>
          <w:sz w:val="28"/>
          <w:szCs w:val="28"/>
        </w:rPr>
        <w:t>前答疑会</w:t>
      </w:r>
    </w:p>
    <w:p w14:paraId="1DEAA88F">
      <w:pPr>
        <w:pageBreakBefore w:val="0"/>
        <w:widowControl/>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采购项目安排现场考察和</w:t>
      </w:r>
      <w:r>
        <w:rPr>
          <w:rFonts w:hint="eastAsia" w:ascii="仿宋_GB2312" w:hAnsi="仿宋_GB2312" w:eastAsia="仿宋_GB2312" w:cs="仿宋_GB2312"/>
          <w:bCs/>
          <w:color w:val="auto"/>
          <w:sz w:val="28"/>
          <w:szCs w:val="28"/>
          <w:lang w:val="en-US" w:eastAsia="zh-CN"/>
        </w:rPr>
        <w:t>磋商</w:t>
      </w:r>
      <w:r>
        <w:rPr>
          <w:rFonts w:hint="eastAsia" w:ascii="仿宋_GB2312" w:hAnsi="仿宋_GB2312" w:eastAsia="仿宋_GB2312" w:cs="仿宋_GB2312"/>
          <w:bCs/>
          <w:color w:val="auto"/>
          <w:sz w:val="28"/>
          <w:szCs w:val="28"/>
        </w:rPr>
        <w:t>前答疑的，采购人应尽量在现场予以解答 （口头提问可口头答复），现场不能做出解答的，应在三个工作日内书面答复，并交由</w:t>
      </w:r>
      <w:r>
        <w:rPr>
          <w:rFonts w:hint="eastAsia" w:ascii="仿宋_GB2312" w:hAnsi="仿宋_GB2312" w:eastAsia="仿宋_GB2312" w:cs="仿宋_GB2312"/>
          <w:bCs/>
          <w:color w:val="auto"/>
          <w:sz w:val="28"/>
          <w:szCs w:val="28"/>
          <w:lang w:val="en-US" w:eastAsia="zh-CN"/>
        </w:rPr>
        <w:t>集中采购机构</w:t>
      </w:r>
      <w:r>
        <w:rPr>
          <w:rFonts w:hint="eastAsia" w:ascii="仿宋_GB2312" w:hAnsi="仿宋_GB2312" w:eastAsia="仿宋_GB2312" w:cs="仿宋_GB2312"/>
          <w:bCs/>
          <w:color w:val="auto"/>
          <w:sz w:val="28"/>
          <w:szCs w:val="28"/>
        </w:rPr>
        <w:t>在财政部门指定的媒体上发布。 答复内容可能影响响应文件编制的，应当顺延</w:t>
      </w:r>
      <w:r>
        <w:rPr>
          <w:rFonts w:hint="eastAsia" w:ascii="仿宋_GB2312" w:hAnsi="仿宋_GB2312" w:eastAsia="仿宋_GB2312" w:cs="仿宋_GB2312"/>
          <w:bCs/>
          <w:color w:val="auto"/>
          <w:sz w:val="28"/>
          <w:szCs w:val="28"/>
          <w:lang w:val="en-US" w:eastAsia="zh-CN"/>
        </w:rPr>
        <w:t>磋商</w:t>
      </w:r>
      <w:r>
        <w:rPr>
          <w:rFonts w:hint="eastAsia" w:ascii="仿宋_GB2312" w:hAnsi="仿宋_GB2312" w:eastAsia="仿宋_GB2312" w:cs="仿宋_GB2312"/>
          <w:bCs/>
          <w:color w:val="auto"/>
          <w:sz w:val="28"/>
          <w:szCs w:val="28"/>
        </w:rPr>
        <w:t xml:space="preserve">时间。凡未参加现场考察及磋商前答疑会的供应商，由此造成的偏差由各供应商自行负责。 </w:t>
      </w:r>
    </w:p>
    <w:p w14:paraId="1536DE53">
      <w:pPr>
        <w:pageBreakBefore w:val="0"/>
        <w:widowControl/>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b/>
          <w:color w:val="auto"/>
          <w:sz w:val="28"/>
          <w:szCs w:val="28"/>
        </w:rPr>
        <w:t>本项目</w:t>
      </w:r>
      <w:r>
        <w:rPr>
          <w:rFonts w:hint="eastAsia" w:ascii="仿宋_GB2312" w:hAnsi="仿宋_GB2312" w:eastAsia="仿宋_GB2312" w:cs="仿宋_GB2312"/>
          <w:b/>
          <w:color w:val="auto"/>
          <w:sz w:val="28"/>
          <w:szCs w:val="28"/>
          <w:lang w:val="en-US" w:eastAsia="zh-CN"/>
        </w:rPr>
        <w:t>不</w:t>
      </w:r>
      <w:r>
        <w:rPr>
          <w:rFonts w:hint="eastAsia" w:ascii="仿宋_GB2312" w:hAnsi="仿宋_GB2312" w:eastAsia="仿宋_GB2312" w:cs="仿宋_GB2312"/>
          <w:b/>
          <w:color w:val="auto"/>
          <w:sz w:val="28"/>
          <w:szCs w:val="28"/>
        </w:rPr>
        <w:t>组织集中踏勘</w:t>
      </w:r>
      <w:r>
        <w:rPr>
          <w:rFonts w:hint="eastAsia" w:ascii="仿宋_GB2312" w:hAnsi="仿宋_GB2312" w:eastAsia="仿宋_GB2312" w:cs="仿宋_GB2312"/>
          <w:b/>
          <w:color w:val="auto"/>
          <w:sz w:val="28"/>
          <w:szCs w:val="28"/>
          <w:lang w:val="en-US" w:eastAsia="zh-CN"/>
        </w:rPr>
        <w:t>和磋商前答疑会</w:t>
      </w:r>
      <w:r>
        <w:rPr>
          <w:rFonts w:hint="eastAsia" w:ascii="仿宋_GB2312" w:hAnsi="仿宋_GB2312" w:eastAsia="仿宋_GB2312" w:cs="仿宋_GB2312"/>
          <w:b/>
          <w:color w:val="auto"/>
          <w:sz w:val="28"/>
          <w:szCs w:val="28"/>
        </w:rPr>
        <w:t>。</w:t>
      </w:r>
      <w:bookmarkEnd w:id="93"/>
      <w:bookmarkEnd w:id="94"/>
      <w:bookmarkStart w:id="95" w:name="_Toc669_WPSOffice_Level3"/>
    </w:p>
    <w:p w14:paraId="60E06558">
      <w:pPr>
        <w:pageBreakBefore w:val="0"/>
        <w:widowControl/>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color w:val="auto"/>
          <w:sz w:val="28"/>
          <w:szCs w:val="28"/>
        </w:rPr>
        <w:t>（二）</w:t>
      </w:r>
      <w:bookmarkEnd w:id="95"/>
      <w:bookmarkStart w:id="96" w:name="_Toc9412_WPSOffice_Level3"/>
      <w:r>
        <w:rPr>
          <w:rFonts w:hint="eastAsia" w:ascii="仿宋_GB2312" w:hAnsi="仿宋_GB2312" w:eastAsia="仿宋_GB2312" w:cs="仿宋_GB2312"/>
          <w:b/>
          <w:bCs/>
          <w:color w:val="auto"/>
          <w:sz w:val="28"/>
          <w:szCs w:val="28"/>
        </w:rPr>
        <w:t>询问</w:t>
      </w:r>
    </w:p>
    <w:p w14:paraId="13D229C5">
      <w:pPr>
        <w:pageBreakBefore w:val="0"/>
        <w:widowControl/>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供应商</w:t>
      </w:r>
      <w:r>
        <w:rPr>
          <w:rFonts w:hint="eastAsia" w:ascii="仿宋_GB2312" w:hAnsi="仿宋_GB2312" w:eastAsia="仿宋_GB2312" w:cs="仿宋_GB2312"/>
          <w:color w:val="auto"/>
          <w:sz w:val="28"/>
          <w:szCs w:val="28"/>
          <w:lang w:val="en-US" w:eastAsia="zh-CN"/>
        </w:rPr>
        <w:t>针对采购文件，向采购人</w:t>
      </w:r>
      <w:r>
        <w:rPr>
          <w:rFonts w:hint="eastAsia" w:ascii="仿宋_GB2312" w:hAnsi="仿宋_GB2312" w:eastAsia="仿宋_GB2312" w:cs="仿宋_GB2312"/>
          <w:color w:val="auto"/>
          <w:sz w:val="28"/>
          <w:szCs w:val="28"/>
        </w:rPr>
        <w:t>提出书面询问的，采购人应在三个工作日内书面答复；供应商向</w:t>
      </w:r>
      <w:r>
        <w:rPr>
          <w:rFonts w:hint="eastAsia" w:ascii="仿宋_GB2312" w:hAnsi="仿宋_GB2312" w:eastAsia="仿宋_GB2312" w:cs="仿宋_GB2312"/>
          <w:color w:val="auto"/>
          <w:sz w:val="28"/>
          <w:szCs w:val="28"/>
          <w:lang w:val="en-US" w:eastAsia="zh-CN"/>
        </w:rPr>
        <w:t>集中采购机构</w:t>
      </w:r>
      <w:r>
        <w:rPr>
          <w:rFonts w:hint="eastAsia" w:ascii="仿宋_GB2312" w:hAnsi="仿宋_GB2312" w:eastAsia="仿宋_GB2312" w:cs="仿宋_GB2312"/>
          <w:color w:val="auto"/>
          <w:sz w:val="28"/>
          <w:szCs w:val="28"/>
        </w:rPr>
        <w:t>提出书面询问的，</w:t>
      </w:r>
      <w:r>
        <w:rPr>
          <w:rFonts w:hint="eastAsia" w:ascii="仿宋_GB2312" w:hAnsi="仿宋_GB2312" w:eastAsia="仿宋_GB2312" w:cs="仿宋_GB2312"/>
          <w:color w:val="auto"/>
          <w:sz w:val="28"/>
          <w:szCs w:val="28"/>
          <w:lang w:val="en-US" w:eastAsia="zh-CN"/>
        </w:rPr>
        <w:t>汉中市</w:t>
      </w:r>
      <w:r>
        <w:rPr>
          <w:rFonts w:hint="eastAsia" w:ascii="仿宋_GB2312" w:hAnsi="仿宋_GB2312" w:eastAsia="仿宋_GB2312" w:cs="仿宋_GB2312"/>
          <w:color w:val="auto"/>
          <w:sz w:val="28"/>
          <w:szCs w:val="28"/>
        </w:rPr>
        <w:t>政府采购中心</w:t>
      </w:r>
      <w:r>
        <w:rPr>
          <w:rFonts w:hint="eastAsia" w:ascii="仿宋_GB2312" w:hAnsi="仿宋_GB2312" w:eastAsia="仿宋_GB2312" w:cs="仿宋_GB2312"/>
          <w:color w:val="auto"/>
          <w:sz w:val="28"/>
          <w:szCs w:val="28"/>
          <w:lang w:val="en-US" w:eastAsia="zh-CN"/>
        </w:rPr>
        <w:t>在委托授权范围内作出答复，超出范围</w:t>
      </w:r>
      <w:r>
        <w:rPr>
          <w:rFonts w:hint="eastAsia" w:ascii="仿宋_GB2312" w:hAnsi="仿宋_GB2312" w:eastAsia="仿宋_GB2312" w:cs="仿宋_GB2312"/>
          <w:color w:val="auto"/>
          <w:sz w:val="28"/>
          <w:szCs w:val="28"/>
        </w:rPr>
        <w:t>应告知采购人</w:t>
      </w:r>
      <w:r>
        <w:rPr>
          <w:rFonts w:hint="eastAsia" w:ascii="仿宋_GB2312" w:hAnsi="仿宋_GB2312" w:eastAsia="仿宋_GB2312" w:cs="仿宋_GB2312"/>
          <w:color w:val="auto"/>
          <w:sz w:val="28"/>
          <w:szCs w:val="28"/>
          <w:lang w:val="en-US" w:eastAsia="zh-CN"/>
        </w:rPr>
        <w:t>作</w:t>
      </w:r>
      <w:r>
        <w:rPr>
          <w:rFonts w:hint="eastAsia" w:ascii="仿宋_GB2312" w:hAnsi="仿宋_GB2312" w:eastAsia="仿宋_GB2312" w:cs="仿宋_GB2312"/>
          <w:color w:val="auto"/>
          <w:sz w:val="28"/>
          <w:szCs w:val="28"/>
        </w:rPr>
        <w:t xml:space="preserve">出答复。 </w:t>
      </w:r>
    </w:p>
    <w:p w14:paraId="4C9FD460">
      <w:pPr>
        <w:pageBreakBefore w:val="0"/>
        <w:widowControl/>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Cs/>
          <w:color w:val="auto"/>
          <w:sz w:val="28"/>
          <w:szCs w:val="28"/>
          <w:lang w:val="en-US" w:eastAsia="zh-CN"/>
        </w:rPr>
      </w:pP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供应商</w:t>
      </w:r>
      <w:r>
        <w:rPr>
          <w:rFonts w:hint="eastAsia" w:ascii="仿宋_GB2312" w:hAnsi="仿宋_GB2312" w:eastAsia="仿宋_GB2312" w:cs="仿宋_GB2312"/>
          <w:color w:val="auto"/>
          <w:sz w:val="28"/>
          <w:szCs w:val="28"/>
          <w:lang w:val="en-US" w:eastAsia="zh-CN"/>
        </w:rPr>
        <w:t>针</w:t>
      </w:r>
      <w:r>
        <w:rPr>
          <w:rFonts w:hint="eastAsia" w:ascii="仿宋_GB2312" w:hAnsi="仿宋_GB2312" w:eastAsia="仿宋_GB2312" w:cs="仿宋_GB2312"/>
          <w:color w:val="auto"/>
          <w:sz w:val="28"/>
          <w:szCs w:val="28"/>
        </w:rPr>
        <w:t>对采购过程、中标（成交）结果，向</w:t>
      </w:r>
      <w:r>
        <w:rPr>
          <w:rFonts w:hint="eastAsia" w:ascii="仿宋_GB2312" w:hAnsi="仿宋_GB2312" w:eastAsia="仿宋_GB2312" w:cs="仿宋_GB2312"/>
          <w:color w:val="auto"/>
          <w:sz w:val="28"/>
          <w:szCs w:val="28"/>
          <w:lang w:val="en-US" w:eastAsia="zh-CN"/>
        </w:rPr>
        <w:t>集中采购机构</w:t>
      </w:r>
      <w:r>
        <w:rPr>
          <w:rFonts w:hint="eastAsia" w:ascii="仿宋_GB2312" w:hAnsi="仿宋_GB2312" w:eastAsia="仿宋_GB2312" w:cs="仿宋_GB2312"/>
          <w:color w:val="auto"/>
          <w:sz w:val="28"/>
          <w:szCs w:val="28"/>
        </w:rPr>
        <w:t>提出书面询问的，</w:t>
      </w:r>
      <w:r>
        <w:rPr>
          <w:rFonts w:hint="eastAsia" w:ascii="仿宋_GB2312" w:hAnsi="仿宋_GB2312" w:eastAsia="仿宋_GB2312" w:cs="仿宋_GB2312"/>
          <w:color w:val="auto"/>
          <w:sz w:val="28"/>
          <w:szCs w:val="28"/>
          <w:lang w:val="en-US" w:eastAsia="zh-CN"/>
        </w:rPr>
        <w:t>集中采购机构</w:t>
      </w:r>
      <w:r>
        <w:rPr>
          <w:rFonts w:hint="eastAsia" w:ascii="仿宋_GB2312" w:hAnsi="仿宋_GB2312" w:eastAsia="仿宋_GB2312" w:cs="仿宋_GB2312"/>
          <w:color w:val="auto"/>
          <w:sz w:val="28"/>
          <w:szCs w:val="28"/>
        </w:rPr>
        <w:t>应在三个工作日内书面答复</w:t>
      </w:r>
      <w:r>
        <w:rPr>
          <w:rFonts w:hint="eastAsia" w:ascii="仿宋_GB2312" w:hAnsi="仿宋_GB2312" w:eastAsia="仿宋_GB2312" w:cs="仿宋_GB2312"/>
          <w:color w:val="auto"/>
          <w:sz w:val="28"/>
          <w:szCs w:val="28"/>
          <w:lang w:eastAsia="zh-CN"/>
        </w:rPr>
        <w:t>。</w:t>
      </w:r>
    </w:p>
    <w:p w14:paraId="49B3B383">
      <w:pPr>
        <w:pageBreakBefore w:val="0"/>
        <w:widowControl/>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（三）质疑和投诉</w:t>
      </w:r>
      <w:bookmarkEnd w:id="96"/>
    </w:p>
    <w:p w14:paraId="43B1F5A9">
      <w:pPr>
        <w:pageBreakBefore w:val="0"/>
        <w:widowControl/>
        <w:kinsoku/>
        <w:wordWrap/>
        <w:overflowPunct/>
        <w:topLinePunct w:val="0"/>
        <w:autoSpaceDE/>
        <w:autoSpaceDN/>
        <w:bidi w:val="0"/>
        <w:adjustRightInd/>
        <w:snapToGrid/>
        <w:spacing w:line="560" w:lineRule="exact"/>
        <w:ind w:firstLine="566" w:firstLineChars="200"/>
        <w:contextualSpacing/>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供应商如果认为采购过程</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中标</w:t>
      </w:r>
      <w:r>
        <w:rPr>
          <w:rFonts w:hint="eastAsia" w:ascii="仿宋_GB2312" w:hAnsi="仿宋_GB2312" w:eastAsia="仿宋_GB2312" w:cs="仿宋_GB2312"/>
          <w:color w:val="auto"/>
          <w:sz w:val="28"/>
          <w:szCs w:val="28"/>
          <w:lang w:val="en-US" w:eastAsia="zh-CN"/>
        </w:rPr>
        <w:t>或者成交</w:t>
      </w:r>
      <w:r>
        <w:rPr>
          <w:rFonts w:hint="eastAsia" w:ascii="仿宋_GB2312" w:hAnsi="仿宋_GB2312" w:eastAsia="仿宋_GB2312" w:cs="仿宋_GB2312"/>
          <w:color w:val="auto"/>
          <w:sz w:val="28"/>
          <w:szCs w:val="28"/>
        </w:rPr>
        <w:t>结果使自身的合法权益受到损害，可以在知道或者应知其权益受到损害之日起7个工作日内，以书面形式向采购人、</w:t>
      </w:r>
      <w:r>
        <w:rPr>
          <w:rFonts w:hint="eastAsia" w:ascii="仿宋_GB2312" w:hAnsi="仿宋_GB2312" w:eastAsia="仿宋_GB2312" w:cs="仿宋_GB2312"/>
          <w:color w:val="auto"/>
          <w:sz w:val="28"/>
          <w:szCs w:val="28"/>
          <w:lang w:val="en-US" w:eastAsia="zh-CN"/>
        </w:rPr>
        <w:t>集中采购机构</w:t>
      </w:r>
      <w:r>
        <w:rPr>
          <w:rFonts w:hint="eastAsia" w:ascii="仿宋_GB2312" w:hAnsi="仿宋_GB2312" w:eastAsia="仿宋_GB2312" w:cs="仿宋_GB2312"/>
          <w:color w:val="auto"/>
          <w:sz w:val="28"/>
          <w:szCs w:val="28"/>
        </w:rPr>
        <w:t>提出质疑。</w:t>
      </w:r>
    </w:p>
    <w:p w14:paraId="261B6F75">
      <w:pPr>
        <w:keepNext w:val="0"/>
        <w:keepLines w:val="0"/>
        <w:pageBreakBefore w:val="0"/>
        <w:widowControl/>
        <w:kinsoku/>
        <w:wordWrap/>
        <w:overflowPunct/>
        <w:topLinePunct w:val="0"/>
        <w:autoSpaceDE/>
        <w:autoSpaceDN/>
        <w:bidi w:val="0"/>
        <w:adjustRightInd/>
        <w:snapToGrid/>
        <w:spacing w:line="560" w:lineRule="exact"/>
        <w:ind w:firstLine="566" w:firstLineChars="200"/>
        <w:contextualSpacing/>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潜在供应商已依法获取其可质疑的采购文件的，可以对该文件提出质疑。对采购文件提出质疑的，应当在获取采购文件或者采购文件公告期限届满之日起7个工作日内提出。</w:t>
      </w:r>
    </w:p>
    <w:p w14:paraId="752D327A">
      <w:pPr>
        <w:keepNext w:val="0"/>
        <w:keepLines w:val="0"/>
        <w:pageBreakBefore w:val="0"/>
        <w:widowControl/>
        <w:kinsoku/>
        <w:wordWrap/>
        <w:overflowPunct/>
        <w:topLinePunct w:val="0"/>
        <w:autoSpaceDE/>
        <w:autoSpaceDN/>
        <w:bidi w:val="0"/>
        <w:adjustRightInd/>
        <w:snapToGrid/>
        <w:spacing w:line="560" w:lineRule="exact"/>
        <w:ind w:firstLine="566" w:firstLineChars="200"/>
        <w:contextualSpacing/>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供应商在法定质疑期内针对同一采购程序环节的质疑</w:t>
      </w:r>
      <w:r>
        <w:rPr>
          <w:rFonts w:hint="eastAsia" w:ascii="仿宋_GB2312" w:hAnsi="仿宋_GB2312" w:eastAsia="仿宋_GB2312" w:cs="仿宋_GB2312"/>
          <w:color w:val="auto"/>
          <w:sz w:val="28"/>
          <w:szCs w:val="28"/>
          <w:lang w:val="en-US" w:eastAsia="zh-CN"/>
        </w:rPr>
        <w:t>应</w:t>
      </w:r>
      <w:r>
        <w:rPr>
          <w:rFonts w:hint="eastAsia" w:ascii="仿宋_GB2312" w:hAnsi="仿宋_GB2312" w:eastAsia="仿宋_GB2312" w:cs="仿宋_GB2312"/>
          <w:color w:val="auto"/>
          <w:sz w:val="28"/>
          <w:szCs w:val="28"/>
        </w:rPr>
        <w:t>一次性提出</w:t>
      </w:r>
      <w:r>
        <w:rPr>
          <w:rFonts w:hint="eastAsia" w:ascii="仿宋_GB2312" w:hAnsi="仿宋_GB2312" w:eastAsia="仿宋_GB2312" w:cs="仿宋_GB2312"/>
          <w:color w:val="auto"/>
          <w:sz w:val="28"/>
          <w:szCs w:val="28"/>
          <w:lang w:eastAsia="zh-CN"/>
        </w:rPr>
        <w:t>。</w:t>
      </w:r>
    </w:p>
    <w:p w14:paraId="79E06851">
      <w:pPr>
        <w:pageBreakBefore w:val="0"/>
        <w:widowControl/>
        <w:kinsoku/>
        <w:wordWrap/>
        <w:overflowPunct/>
        <w:topLinePunct w:val="0"/>
        <w:autoSpaceDE/>
        <w:autoSpaceDN/>
        <w:bidi w:val="0"/>
        <w:adjustRightInd/>
        <w:snapToGrid/>
        <w:spacing w:line="560" w:lineRule="exact"/>
        <w:ind w:firstLine="566" w:firstLineChars="200"/>
        <w:contextualSpacing/>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供应商提出质疑应当提交质疑函和必要的证明材料，并按财政部《质疑函范本》给定的格式进行填写，范本下载详见【财政部国库司（gks.mof.gov.cn）】网站〖首页•〉政府采购管理〗栏目中的《政府采购供应商质疑函范本》。</w:t>
      </w:r>
    </w:p>
    <w:p w14:paraId="517D184D">
      <w:pPr>
        <w:keepNext w:val="0"/>
        <w:keepLines w:val="0"/>
        <w:pageBreakBefore w:val="0"/>
        <w:widowControl/>
        <w:kinsoku/>
        <w:wordWrap/>
        <w:overflowPunct/>
        <w:topLinePunct w:val="0"/>
        <w:autoSpaceDE/>
        <w:autoSpaceDN/>
        <w:bidi w:val="0"/>
        <w:adjustRightInd/>
        <w:snapToGrid/>
        <w:spacing w:line="560" w:lineRule="exact"/>
        <w:ind w:firstLine="566" w:firstLineChars="200"/>
        <w:contextualSpacing/>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《政府采购供应商质疑函范本》链接地址</w:t>
      </w:r>
      <w:r>
        <w:rPr>
          <w:rFonts w:hint="eastAsia" w:ascii="仿宋_GB2312" w:hAnsi="仿宋_GB2312" w:eastAsia="仿宋_GB2312" w:cs="仿宋_GB2312"/>
          <w:color w:val="auto"/>
          <w:sz w:val="28"/>
          <w:szCs w:val="28"/>
          <w:lang w:eastAsia="zh-CN"/>
        </w:rPr>
        <w:t>：</w:t>
      </w:r>
    </w:p>
    <w:p w14:paraId="78A03ADA">
      <w:pPr>
        <w:keepNext w:val="0"/>
        <w:keepLines w:val="0"/>
        <w:pageBreakBefore w:val="0"/>
        <w:widowControl/>
        <w:kinsoku/>
        <w:wordWrap/>
        <w:overflowPunct/>
        <w:topLinePunct w:val="0"/>
        <w:autoSpaceDE/>
        <w:autoSpaceDN/>
        <w:bidi w:val="0"/>
        <w:adjustRightInd/>
        <w:snapToGrid/>
        <w:spacing w:line="560" w:lineRule="exact"/>
        <w:ind w:firstLine="566" w:firstLineChars="200"/>
        <w:contextualSpacing/>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http://gks.mof.gov.cn/ztztz/zhengfucaigouguanli/201802/t20180201_2804589.htm</w:t>
      </w:r>
    </w:p>
    <w:p w14:paraId="7F326E06">
      <w:pPr>
        <w:pageBreakBefore w:val="0"/>
        <w:widowControl/>
        <w:kinsoku/>
        <w:overflowPunct/>
        <w:topLinePunct w:val="0"/>
        <w:autoSpaceDE/>
        <w:autoSpaceDN/>
        <w:bidi w:val="0"/>
        <w:adjustRightInd/>
        <w:snapToGrid/>
        <w:spacing w:line="560" w:lineRule="exact"/>
        <w:ind w:firstLine="566" w:firstLineChars="200"/>
        <w:contextualSpacing/>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rPr>
        <w:t>质疑人为自然人的，应当由本人签字；质疑人为法人或者其他组织的，应当由法定代表人、主要负责人，或者其授权代表签字或者盖章，并加盖公章。授权代表办理质疑事项时，除提交质疑函外，还应当提交授权委托书及授权代表的有效身份证明，授权委托书应当载明委托代理的具体权限和事项。</w:t>
      </w:r>
    </w:p>
    <w:p w14:paraId="5901F1A3">
      <w:pPr>
        <w:pageBreakBefore w:val="0"/>
        <w:widowControl/>
        <w:kinsoku/>
        <w:overflowPunct/>
        <w:topLinePunct w:val="0"/>
        <w:autoSpaceDE/>
        <w:autoSpaceDN/>
        <w:bidi w:val="0"/>
        <w:adjustRightInd/>
        <w:snapToGrid/>
        <w:spacing w:line="560" w:lineRule="exact"/>
        <w:ind w:firstLine="566" w:firstLineChars="200"/>
        <w:contextualSpacing/>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6、</w:t>
      </w:r>
      <w:r>
        <w:rPr>
          <w:rFonts w:hint="eastAsia" w:ascii="仿宋_GB2312" w:hAnsi="仿宋_GB2312" w:eastAsia="仿宋_GB2312" w:cs="仿宋_GB2312"/>
          <w:color w:val="auto"/>
          <w:sz w:val="28"/>
          <w:szCs w:val="28"/>
        </w:rPr>
        <w:t>接收质疑函方式：现场递交或邮件（快递）寄送；</w:t>
      </w:r>
    </w:p>
    <w:p w14:paraId="0D44F0F9">
      <w:pPr>
        <w:pageBreakBefore w:val="0"/>
        <w:widowControl/>
        <w:kinsoku/>
        <w:overflowPunct/>
        <w:topLinePunct w:val="0"/>
        <w:autoSpaceDE/>
        <w:autoSpaceDN/>
        <w:bidi w:val="0"/>
        <w:adjustRightInd/>
        <w:snapToGrid/>
        <w:spacing w:line="560" w:lineRule="exact"/>
        <w:ind w:firstLine="566" w:firstLineChars="200"/>
        <w:contextualSpacing/>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联系部门：</w:t>
      </w:r>
      <w:r>
        <w:rPr>
          <w:rFonts w:hint="eastAsia" w:ascii="仿宋_GB2312" w:hAnsi="仿宋_GB2312" w:eastAsia="仿宋_GB2312" w:cs="仿宋_GB2312"/>
          <w:color w:val="auto"/>
          <w:sz w:val="28"/>
          <w:szCs w:val="28"/>
          <w:lang w:val="en-US" w:eastAsia="zh-CN"/>
        </w:rPr>
        <w:t>交易监督科</w:t>
      </w:r>
      <w:r>
        <w:rPr>
          <w:rFonts w:hint="eastAsia" w:ascii="仿宋_GB2312" w:hAnsi="仿宋_GB2312" w:eastAsia="仿宋_GB2312" w:cs="仿宋_GB2312"/>
          <w:color w:val="auto"/>
          <w:sz w:val="28"/>
          <w:szCs w:val="28"/>
        </w:rPr>
        <w:t>；</w:t>
      </w:r>
    </w:p>
    <w:p w14:paraId="4A07302C">
      <w:pPr>
        <w:pageBreakBefore w:val="0"/>
        <w:widowControl/>
        <w:kinsoku/>
        <w:overflowPunct/>
        <w:topLinePunct w:val="0"/>
        <w:autoSpaceDE/>
        <w:autoSpaceDN/>
        <w:bidi w:val="0"/>
        <w:adjustRightInd/>
        <w:snapToGrid/>
        <w:spacing w:line="560" w:lineRule="exact"/>
        <w:ind w:firstLine="566" w:firstLineChars="200"/>
        <w:contextualSpacing/>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联系电话：0916-210908</w:t>
      </w:r>
      <w:r>
        <w:rPr>
          <w:rFonts w:hint="eastAsia" w:ascii="仿宋_GB2312" w:hAnsi="仿宋_GB2312" w:eastAsia="仿宋_GB2312" w:cs="仿宋_GB2312"/>
          <w:color w:val="auto"/>
          <w:sz w:val="28"/>
          <w:szCs w:val="28"/>
          <w:lang w:val="en-US" w:eastAsia="zh-CN"/>
        </w:rPr>
        <w:t>6</w:t>
      </w:r>
      <w:r>
        <w:rPr>
          <w:rFonts w:hint="eastAsia" w:ascii="仿宋_GB2312" w:hAnsi="仿宋_GB2312" w:eastAsia="仿宋_GB2312" w:cs="仿宋_GB2312"/>
          <w:color w:val="auto"/>
          <w:sz w:val="28"/>
          <w:szCs w:val="28"/>
        </w:rPr>
        <w:t>；</w:t>
      </w:r>
    </w:p>
    <w:p w14:paraId="1EA84020">
      <w:pPr>
        <w:pageBreakBefore w:val="0"/>
        <w:widowControl/>
        <w:kinsoku/>
        <w:overflowPunct/>
        <w:topLinePunct w:val="0"/>
        <w:autoSpaceDE/>
        <w:autoSpaceDN/>
        <w:bidi w:val="0"/>
        <w:adjustRightInd/>
        <w:snapToGrid/>
        <w:spacing w:line="560" w:lineRule="exact"/>
        <w:ind w:firstLine="566" w:firstLineChars="200"/>
        <w:contextualSpacing/>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通讯地址：汉中市汉台区南团结街与汉宁路十字金格大厦四楼4</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rPr>
        <w:t>室。</w:t>
      </w:r>
    </w:p>
    <w:p w14:paraId="38EA2770">
      <w:pPr>
        <w:pageBreakBefore w:val="0"/>
        <w:widowControl/>
        <w:kinsoku/>
        <w:overflowPunct/>
        <w:topLinePunct w:val="0"/>
        <w:autoSpaceDE/>
        <w:autoSpaceDN/>
        <w:bidi w:val="0"/>
        <w:adjustRightInd/>
        <w:snapToGrid/>
        <w:spacing w:line="560" w:lineRule="exact"/>
        <w:ind w:firstLine="566" w:firstLineChars="200"/>
        <w:contextualSpacing/>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7</w:t>
      </w:r>
      <w:r>
        <w:rPr>
          <w:rFonts w:hint="eastAsia" w:ascii="仿宋_GB2312" w:hAnsi="仿宋_GB2312" w:eastAsia="仿宋_GB2312" w:cs="仿宋_GB2312"/>
          <w:color w:val="auto"/>
          <w:sz w:val="28"/>
          <w:szCs w:val="28"/>
        </w:rPr>
        <w:t>、采购代理机构或采购人将在收到书面质疑后7个工作日内做出答复，并以书面形式通知质疑人和其他有关供应商。</w:t>
      </w:r>
    </w:p>
    <w:p w14:paraId="7285D0BC">
      <w:pPr>
        <w:pageBreakBefore w:val="0"/>
        <w:widowControl/>
        <w:kinsoku/>
        <w:overflowPunct/>
        <w:topLinePunct w:val="0"/>
        <w:autoSpaceDE/>
        <w:autoSpaceDN/>
        <w:bidi w:val="0"/>
        <w:adjustRightInd/>
        <w:snapToGrid/>
        <w:spacing w:line="560" w:lineRule="exact"/>
        <w:ind w:firstLine="566" w:firstLineChars="200"/>
        <w:contextualSpacing/>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8</w:t>
      </w:r>
      <w:r>
        <w:rPr>
          <w:rFonts w:hint="eastAsia" w:ascii="仿宋_GB2312" w:hAnsi="仿宋_GB2312" w:eastAsia="仿宋_GB2312" w:cs="仿宋_GB2312"/>
          <w:color w:val="auto"/>
          <w:sz w:val="28"/>
          <w:szCs w:val="28"/>
        </w:rPr>
        <w:t>、质疑</w:t>
      </w:r>
      <w:r>
        <w:rPr>
          <w:rFonts w:hint="eastAsia" w:ascii="仿宋_GB2312" w:hAnsi="仿宋_GB2312" w:eastAsia="仿宋_GB2312" w:cs="仿宋_GB2312"/>
          <w:color w:val="auto"/>
          <w:sz w:val="28"/>
          <w:szCs w:val="28"/>
          <w:lang w:val="en-US" w:eastAsia="zh-CN"/>
        </w:rPr>
        <w:t>供应商</w:t>
      </w:r>
      <w:r>
        <w:rPr>
          <w:rFonts w:hint="eastAsia" w:ascii="仿宋_GB2312" w:hAnsi="仿宋_GB2312" w:eastAsia="仿宋_GB2312" w:cs="仿宋_GB2312"/>
          <w:color w:val="auto"/>
          <w:sz w:val="28"/>
          <w:szCs w:val="28"/>
        </w:rPr>
        <w:t>对</w:t>
      </w:r>
      <w:r>
        <w:rPr>
          <w:rFonts w:hint="eastAsia" w:ascii="仿宋_GB2312" w:hAnsi="仿宋_GB2312" w:eastAsia="仿宋_GB2312" w:cs="仿宋_GB2312"/>
          <w:color w:val="auto"/>
          <w:sz w:val="28"/>
          <w:szCs w:val="28"/>
          <w:lang w:val="en-US" w:eastAsia="zh-CN"/>
        </w:rPr>
        <w:t>集中采购机构</w:t>
      </w:r>
      <w:r>
        <w:rPr>
          <w:rFonts w:hint="eastAsia" w:ascii="仿宋_GB2312" w:hAnsi="仿宋_GB2312" w:eastAsia="仿宋_GB2312" w:cs="仿宋_GB2312"/>
          <w:color w:val="auto"/>
          <w:sz w:val="28"/>
          <w:szCs w:val="28"/>
        </w:rPr>
        <w:t>或采购人的答复不满意，以及</w:t>
      </w:r>
      <w:r>
        <w:rPr>
          <w:rFonts w:hint="eastAsia" w:ascii="仿宋_GB2312" w:hAnsi="仿宋_GB2312" w:eastAsia="仿宋_GB2312" w:cs="仿宋_GB2312"/>
          <w:color w:val="auto"/>
          <w:sz w:val="28"/>
          <w:szCs w:val="28"/>
          <w:lang w:val="en-US" w:eastAsia="zh-CN"/>
        </w:rPr>
        <w:t>集中采购机构</w:t>
      </w:r>
      <w:r>
        <w:rPr>
          <w:rFonts w:hint="eastAsia" w:ascii="仿宋_GB2312" w:hAnsi="仿宋_GB2312" w:eastAsia="仿宋_GB2312" w:cs="仿宋_GB2312"/>
          <w:color w:val="auto"/>
          <w:sz w:val="28"/>
          <w:szCs w:val="28"/>
        </w:rPr>
        <w:t>或采购人未在规定时间内</w:t>
      </w:r>
      <w:r>
        <w:rPr>
          <w:rFonts w:hint="eastAsia" w:ascii="仿宋_GB2312" w:hAnsi="仿宋_GB2312" w:eastAsia="仿宋_GB2312" w:cs="仿宋_GB2312"/>
          <w:color w:val="auto"/>
          <w:sz w:val="28"/>
          <w:szCs w:val="28"/>
          <w:lang w:val="en-US" w:eastAsia="zh-CN"/>
        </w:rPr>
        <w:t>作出</w:t>
      </w:r>
      <w:r>
        <w:rPr>
          <w:rFonts w:hint="eastAsia" w:ascii="仿宋_GB2312" w:hAnsi="仿宋_GB2312" w:eastAsia="仿宋_GB2312" w:cs="仿宋_GB2312"/>
          <w:color w:val="auto"/>
          <w:sz w:val="28"/>
          <w:szCs w:val="28"/>
        </w:rPr>
        <w:t>答复的，可以在答复期满后15个工作日内向政府采购监管机构提出投诉。</w:t>
      </w:r>
    </w:p>
    <w:p w14:paraId="55F18357">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color w:val="auto"/>
          <w:sz w:val="28"/>
          <w:szCs w:val="28"/>
        </w:rPr>
      </w:pPr>
      <w:bookmarkStart w:id="97" w:name="_Toc14110_WPSOffice_Level3"/>
      <w:r>
        <w:rPr>
          <w:rFonts w:hint="eastAsia" w:ascii="仿宋_GB2312" w:hAnsi="仿宋_GB2312" w:eastAsia="仿宋_GB2312" w:cs="仿宋_GB2312"/>
          <w:b/>
          <w:color w:val="auto"/>
          <w:sz w:val="28"/>
          <w:szCs w:val="28"/>
        </w:rPr>
        <w:t>（四）对参加政府采购活动的中小企业的扶持政策[依据《政府采购促进中小企业发展管理办法》（财库〔2020〕46号）相关规定]</w:t>
      </w:r>
    </w:p>
    <w:bookmarkEnd w:id="97"/>
    <w:p w14:paraId="150C6075">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本项目专门面向中小企业采购，不再执行价格评审优惠扶持政策；本项目采购标的对应的中小企业划分标准所属行业为：</w:t>
      </w:r>
      <w:r>
        <w:rPr>
          <w:rFonts w:hint="eastAsia" w:ascii="仿宋_GB2312" w:hAnsi="仿宋_GB2312" w:eastAsia="仿宋_GB2312" w:cs="仿宋_GB2312"/>
          <w:b/>
          <w:bCs/>
          <w:color w:val="auto"/>
          <w:sz w:val="28"/>
          <w:szCs w:val="28"/>
          <w:u w:val="none"/>
        </w:rPr>
        <w:t>工业</w:t>
      </w:r>
      <w:r>
        <w:rPr>
          <w:rFonts w:hint="eastAsia" w:ascii="仿宋_GB2312" w:hAnsi="仿宋_GB2312" w:eastAsia="仿宋_GB2312" w:cs="仿宋_GB2312"/>
          <w:b/>
          <w:bCs/>
          <w:color w:val="auto"/>
          <w:sz w:val="28"/>
          <w:szCs w:val="28"/>
        </w:rPr>
        <w:t>。</w:t>
      </w:r>
    </w:p>
    <w:p w14:paraId="7F619F4D">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供应商提供的货物、工程或者服务符合下列情形的，享受相关中小企业扶持政策：</w:t>
      </w:r>
    </w:p>
    <w:p w14:paraId="68FF80D0">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（1）在货物采购项目中，货物由中小企业制造，即货物由中小企业生产且使用该中小企业商号或者注册商标；</w:t>
      </w:r>
    </w:p>
    <w:p w14:paraId="7DB814AD">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（2）在工程采购项目中，工程由中小企业承建，即工程施工单位为中小企业；</w:t>
      </w:r>
    </w:p>
    <w:p w14:paraId="37715DC4">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（3）在服务采购项目中，服务由中小企业承接，即提供服务的人员为中小企业依照《中华人民共和国劳动合同法》订立劳动合同的从业人员。</w:t>
      </w:r>
    </w:p>
    <w:p w14:paraId="7CC99644">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在货物采购项目中，供应商提供的货物既有中小企业制造货物，也有大型企业制造货物的，不享受相关中小企业扶持政策。</w:t>
      </w:r>
    </w:p>
    <w:p w14:paraId="1B15338C">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以联合体形式参加政府采购活动，联合体各方均为中小企业的，联合体视同中小企业。其中，联合体各方均为小微企业的，联合体视同小微企业。</w:t>
      </w:r>
    </w:p>
    <w:p w14:paraId="0871FF4B">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 xml:space="preserve">对符合上述情形的小微企业报价给予 </w:t>
      </w:r>
      <w:r>
        <w:rPr>
          <w:rFonts w:hint="eastAsia" w:ascii="仿宋_GB2312" w:hAnsi="仿宋_GB2312" w:eastAsia="仿宋_GB2312" w:cs="仿宋_GB2312"/>
          <w:color w:val="auto"/>
          <w:sz w:val="28"/>
          <w:szCs w:val="28"/>
          <w:lang w:val="en-US" w:eastAsia="zh-CN"/>
        </w:rPr>
        <w:t>10</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14:paraId="61232D01">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 </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6</w:t>
      </w:r>
      <w:r>
        <w:rPr>
          <w:rFonts w:hint="eastAsia" w:ascii="仿宋_GB2312" w:hAnsi="仿宋_GB2312" w:eastAsia="仿宋_GB2312" w:cs="仿宋_GB2312"/>
          <w:color w:val="auto"/>
          <w:sz w:val="28"/>
          <w:szCs w:val="28"/>
        </w:rPr>
        <w:t>%（工程项目为 1%—2%）的扣除，用扣除后的价格参加评审。适用招标投标法的政府采购工程建设项目，采用综合评估法但未采用低价优先法计算价格分的，评标时应当在采用原报价进行评分的基础上增加其价格得分的1%—2%作为其价格分。组成联合体或者接受分包的小微企业与联合体内其他企业、分包企业之间存在直接控股、管理关系的，不享受价格扣除优惠政策。</w:t>
      </w:r>
    </w:p>
    <w:p w14:paraId="07E41649">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价格扣除比例或者价格分加分比例对小型企业和微型企业同等对待，不作区分。</w:t>
      </w:r>
    </w:p>
    <w:p w14:paraId="232662DF">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中小企业参加政府采购活动，应当出具《中小企业声明函》（见附件），否则不得享受相关中小企业扶持政策。</w:t>
      </w:r>
    </w:p>
    <w:p w14:paraId="194D8A5C">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中标、成交供应商享受相关中小企业扶持政策的，将随中标、成交结果公开中标、成交供应商的《中小企业声明函》。适用招标投标法的政府采购工程建设项目，将在公示中标候选人时公开中标候选人的《中小企业声明函》。</w:t>
      </w:r>
    </w:p>
    <w:p w14:paraId="441BD790">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授予中小企业政府采购合同预付款比例不得低于合同价款的40%。</w:t>
      </w:r>
    </w:p>
    <w:p w14:paraId="535D5315">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中小企业投标（包括磋商、谈判、询价）保证金（需要交纳保证金时）减半，履约保证金全免。</w:t>
      </w:r>
    </w:p>
    <w:p w14:paraId="4E2FD9E2">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7</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监狱企业、残疾人福利性单位等视同小型、微型企业情况按照《财政部司法部关于政府采购支持监狱企业发展有关问题的通知》（财库〔2014〕68 号）及《关于促进残疾人就业政府采购政策的通知》（财库〔2017〕141 号）等相关内容执行。</w:t>
      </w:r>
    </w:p>
    <w:p w14:paraId="5169BAF7">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8、</w:t>
      </w:r>
      <w:r>
        <w:rPr>
          <w:rFonts w:hint="eastAsia" w:ascii="仿宋_GB2312" w:hAnsi="仿宋_GB2312" w:eastAsia="仿宋_GB2312" w:cs="仿宋_GB2312"/>
          <w:color w:val="auto"/>
          <w:sz w:val="28"/>
          <w:szCs w:val="28"/>
        </w:rPr>
        <w:t>未尽事宜以《政府采购促进中小企业发展管理办法》（财库〔2020〕46号）为准。</w:t>
      </w:r>
      <w:bookmarkStart w:id="98" w:name="_Toc11745_WPSOffice_Level3"/>
    </w:p>
    <w:p w14:paraId="6921FCCE">
      <w:pPr>
        <w:spacing w:line="500" w:lineRule="exact"/>
        <w:ind w:firstLine="566" w:firstLineChars="200"/>
        <w:contextualSpacing/>
        <w:rPr>
          <w:rFonts w:hint="eastAsia" w:ascii="仿宋" w:hAnsi="仿宋" w:eastAsia="仿宋"/>
          <w:b/>
          <w:bCs/>
        </w:rPr>
      </w:pPr>
      <w:r>
        <w:rPr>
          <w:rFonts w:hint="eastAsia" w:ascii="华文仿宋" w:hAnsi="华文仿宋" w:cs="华文仿宋"/>
          <w:b/>
          <w:lang w:val="en-US" w:eastAsia="zh-CN"/>
        </w:rPr>
        <w:t>（五）关于同一品牌产品的处理</w:t>
      </w:r>
      <w:r>
        <w:rPr>
          <w:rFonts w:hint="eastAsia" w:ascii="仿宋" w:hAnsi="仿宋" w:eastAsia="仿宋"/>
          <w:b/>
          <w:bCs/>
          <w:lang w:val="en-US" w:eastAsia="zh-CN"/>
        </w:rPr>
        <w:t xml:space="preserve"> </w:t>
      </w:r>
    </w:p>
    <w:p w14:paraId="2CE95991">
      <w:pPr>
        <w:spacing w:line="500" w:lineRule="exact"/>
        <w:ind w:firstLine="566" w:firstLineChars="200"/>
        <w:rPr>
          <w:rFonts w:hint="eastAsia" w:ascii="华文仿宋" w:hAnsi="华文仿宋" w:cs="华文仿宋"/>
          <w:lang w:val="en-US" w:eastAsia="zh-CN"/>
        </w:rPr>
      </w:pPr>
      <w:r>
        <w:rPr>
          <w:rFonts w:hint="eastAsia" w:ascii="华文仿宋" w:hAnsi="华文仿宋" w:cs="华文仿宋"/>
          <w:lang w:val="en-US" w:eastAsia="zh-CN"/>
        </w:rPr>
        <w:t>1、提供相同品牌产品且通过资格审查、符合性审查的不同响应人参加同一合同项下磋商的，按一家响应人计算，评审后得分最高的同品牌响应人获得成交人推荐资格；评审得分相同的，由磋商小组按照报价最低的方式确定一个响应人获得成交人推荐资格，其他同品牌响应人不作为成交候选人。</w:t>
      </w:r>
    </w:p>
    <w:p w14:paraId="436D7AAB">
      <w:pPr>
        <w:spacing w:line="500" w:lineRule="exact"/>
        <w:ind w:firstLine="566" w:firstLineChars="200"/>
        <w:rPr>
          <w:rFonts w:hint="eastAsia" w:ascii="华文仿宋" w:hAnsi="华文仿宋" w:cs="华文仿宋"/>
          <w:lang w:val="en-US" w:eastAsia="zh-CN"/>
        </w:rPr>
      </w:pPr>
      <w:r>
        <w:rPr>
          <w:rFonts w:hint="eastAsia" w:ascii="华文仿宋" w:hAnsi="华文仿宋" w:cs="华文仿宋"/>
          <w:lang w:val="en-US" w:eastAsia="zh-CN"/>
        </w:rPr>
        <w:t>2、非单一产品采购项目，采购人将根据采购项目技术构成、产品价格比重等合理确定核心产品，并在磋商文件中载明。多家响应人提供的核心产品品牌相同的，按前款规定处理。</w:t>
      </w:r>
    </w:p>
    <w:p w14:paraId="2DD5EF88">
      <w:pPr>
        <w:spacing w:line="500" w:lineRule="exact"/>
        <w:ind w:firstLine="566" w:firstLineChars="200"/>
        <w:contextualSpacing/>
        <w:rPr>
          <w:rFonts w:hint="eastAsia" w:ascii="华文仿宋" w:hAnsi="华文仿宋" w:cs="华文仿宋"/>
          <w:b w:val="0"/>
          <w:bCs/>
          <w:lang w:val="en-US" w:eastAsia="zh-CN"/>
        </w:rPr>
      </w:pPr>
      <w:r>
        <w:rPr>
          <w:rFonts w:hint="eastAsia" w:ascii="华文仿宋" w:hAnsi="华文仿宋" w:cs="华文仿宋"/>
          <w:b w:val="0"/>
          <w:bCs/>
          <w:lang w:val="en-US" w:eastAsia="zh-CN"/>
        </w:rPr>
        <w:t>3、核心产品为两个及以上时，多家供应商提供的核心产品中任意一个采用相同品牌的，按一家供应商计算。</w:t>
      </w:r>
    </w:p>
    <w:bookmarkEnd w:id="98"/>
    <w:p w14:paraId="6CF75532">
      <w:pPr>
        <w:pStyle w:val="4"/>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bookmarkStart w:id="99" w:name="_Toc10768_WPSOffice_Level2"/>
      <w:bookmarkStart w:id="100" w:name="_Toc2960"/>
      <w:bookmarkStart w:id="101" w:name="_Toc8798_WPSOffice_Level2"/>
      <w:bookmarkStart w:id="102" w:name="_Toc3130"/>
      <w:bookmarkStart w:id="103" w:name="_Toc9976"/>
      <w:bookmarkStart w:id="104" w:name="_Toc30436"/>
      <w:bookmarkStart w:id="105" w:name="_Toc17868_WPSOffice_Level2"/>
      <w:r>
        <w:rPr>
          <w:rFonts w:hint="eastAsia" w:ascii="仿宋_GB2312" w:hAnsi="仿宋_GB2312" w:eastAsia="仿宋_GB2312" w:cs="仿宋_GB2312"/>
          <w:color w:val="auto"/>
          <w:sz w:val="28"/>
          <w:szCs w:val="28"/>
        </w:rPr>
        <w:t>三、磋商文件</w:t>
      </w:r>
      <w:bookmarkEnd w:id="99"/>
      <w:bookmarkEnd w:id="100"/>
      <w:bookmarkEnd w:id="101"/>
      <w:bookmarkEnd w:id="102"/>
      <w:bookmarkEnd w:id="103"/>
      <w:bookmarkEnd w:id="104"/>
      <w:bookmarkEnd w:id="105"/>
    </w:p>
    <w:p w14:paraId="21D99B95">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color w:val="auto"/>
          <w:sz w:val="28"/>
          <w:szCs w:val="28"/>
        </w:rPr>
      </w:pPr>
      <w:bookmarkStart w:id="106" w:name="_Toc20873_WPSOffice_Level3"/>
      <w:r>
        <w:rPr>
          <w:rFonts w:hint="eastAsia" w:ascii="仿宋_GB2312" w:hAnsi="仿宋_GB2312" w:eastAsia="仿宋_GB2312" w:cs="仿宋_GB2312"/>
          <w:b/>
          <w:color w:val="auto"/>
          <w:sz w:val="28"/>
          <w:szCs w:val="28"/>
        </w:rPr>
        <w:t>（一）磋商文件包括下列内容</w:t>
      </w:r>
      <w:bookmarkEnd w:id="106"/>
    </w:p>
    <w:p w14:paraId="2B9A55EC">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第一章　磋商邀请函</w:t>
      </w:r>
    </w:p>
    <w:p w14:paraId="75524BA4">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第二章　供应商须知</w:t>
      </w:r>
    </w:p>
    <w:p w14:paraId="192AFE11">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Cs/>
          <w:color w:val="auto"/>
          <w:sz w:val="28"/>
          <w:szCs w:val="28"/>
        </w:rPr>
      </w:pPr>
      <w:bookmarkStart w:id="107" w:name="_Toc20041_WPSOffice_Level3"/>
      <w:r>
        <w:rPr>
          <w:rFonts w:hint="eastAsia" w:ascii="仿宋_GB2312" w:hAnsi="仿宋_GB2312" w:eastAsia="仿宋_GB2312" w:cs="仿宋_GB2312"/>
          <w:bCs/>
          <w:color w:val="auto"/>
          <w:sz w:val="28"/>
          <w:szCs w:val="28"/>
        </w:rPr>
        <w:t>第三章　磋商内容及采购要求</w:t>
      </w:r>
    </w:p>
    <w:p w14:paraId="3862CDF5">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第四章　合同</w:t>
      </w:r>
      <w:r>
        <w:rPr>
          <w:rFonts w:hint="eastAsia" w:ascii="仿宋_GB2312" w:hAnsi="仿宋_GB2312" w:eastAsia="仿宋_GB2312" w:cs="仿宋_GB2312"/>
          <w:bCs/>
          <w:color w:val="auto"/>
          <w:sz w:val="28"/>
          <w:szCs w:val="28"/>
          <w:lang w:val="en-US" w:eastAsia="zh-CN"/>
        </w:rPr>
        <w:t>草案</w:t>
      </w:r>
      <w:r>
        <w:rPr>
          <w:rFonts w:hint="eastAsia" w:ascii="仿宋_GB2312" w:hAnsi="仿宋_GB2312" w:eastAsia="仿宋_GB2312" w:cs="仿宋_GB2312"/>
          <w:bCs/>
          <w:color w:val="auto"/>
          <w:sz w:val="28"/>
          <w:szCs w:val="28"/>
        </w:rPr>
        <w:t>条款</w:t>
      </w:r>
    </w:p>
    <w:p w14:paraId="0F85768A">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第五章　响应文件构成及格式</w:t>
      </w:r>
    </w:p>
    <w:p w14:paraId="4B92481F">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（二）磋商文件的检查及阅读</w:t>
      </w:r>
      <w:bookmarkEnd w:id="107"/>
    </w:p>
    <w:p w14:paraId="29047343">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供应商下载磋商文件后应仔细阅读检查磋商文件中的所有内容，按照磋商文件中所列事项、条款、规范要求及格式，在响应文件中对磋商文件做出全面的响</w:t>
      </w:r>
      <w:r>
        <w:rPr>
          <w:rFonts w:hint="eastAsia" w:ascii="仿宋_GB2312" w:hAnsi="仿宋_GB2312" w:eastAsia="仿宋_GB2312" w:cs="仿宋_GB2312"/>
          <w:color w:val="auto"/>
          <w:w w:val="1"/>
          <w:sz w:val="28"/>
          <w:szCs w:val="28"/>
        </w:rPr>
        <w:t xml:space="preserve"> </w:t>
      </w:r>
      <w:r>
        <w:rPr>
          <w:rFonts w:hint="eastAsia" w:ascii="仿宋_GB2312" w:hAnsi="仿宋_GB2312" w:eastAsia="仿宋_GB2312" w:cs="仿宋_GB2312"/>
          <w:color w:val="auto"/>
          <w:sz w:val="28"/>
          <w:szCs w:val="28"/>
        </w:rPr>
        <w:t>应，并按磋商文件的要求提交全部资料。</w:t>
      </w:r>
    </w:p>
    <w:p w14:paraId="2984A092">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color w:val="auto"/>
          <w:sz w:val="28"/>
          <w:szCs w:val="28"/>
        </w:rPr>
      </w:pPr>
      <w:bookmarkStart w:id="108" w:name="_Toc12798_WPSOffice_Level3"/>
      <w:r>
        <w:rPr>
          <w:rFonts w:hint="eastAsia" w:ascii="仿宋_GB2312" w:hAnsi="仿宋_GB2312" w:eastAsia="仿宋_GB2312" w:cs="仿宋_GB2312"/>
          <w:b/>
          <w:color w:val="auto"/>
          <w:sz w:val="28"/>
          <w:szCs w:val="28"/>
        </w:rPr>
        <w:t>（三）磋商文件的修改、澄清</w:t>
      </w:r>
      <w:bookmarkEnd w:id="108"/>
    </w:p>
    <w:p w14:paraId="4232A3C6">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1、在提交响应文件截止之日前，</w:t>
      </w:r>
      <w:r>
        <w:rPr>
          <w:rFonts w:hint="eastAsia" w:ascii="仿宋_GB2312" w:hAnsi="仿宋_GB2312" w:eastAsia="仿宋_GB2312" w:cs="仿宋_GB2312"/>
          <w:color w:val="auto"/>
          <w:sz w:val="28"/>
          <w:szCs w:val="28"/>
          <w:lang w:val="en-US" w:eastAsia="zh-CN"/>
        </w:rPr>
        <w:t>集中采购机构</w:t>
      </w:r>
      <w:r>
        <w:rPr>
          <w:rFonts w:hint="eastAsia" w:ascii="仿宋_GB2312" w:hAnsi="仿宋_GB2312" w:eastAsia="仿宋_GB2312" w:cs="仿宋_GB2312"/>
          <w:color w:val="auto"/>
          <w:sz w:val="28"/>
          <w:szCs w:val="28"/>
        </w:rPr>
        <w:t>可对已发出的磋商文件进行必要的澄清或者修改，澄清或者修改的内容作为磋商文件的组成部分。澄清或者修改的内容可能影响响应文件编制的，</w:t>
      </w:r>
      <w:r>
        <w:rPr>
          <w:rFonts w:hint="eastAsia" w:ascii="仿宋_GB2312" w:hAnsi="仿宋_GB2312" w:eastAsia="仿宋_GB2312" w:cs="仿宋_GB2312"/>
          <w:color w:val="auto"/>
          <w:sz w:val="28"/>
          <w:szCs w:val="28"/>
          <w:lang w:val="en-US" w:eastAsia="zh-CN"/>
        </w:rPr>
        <w:t>集中采购机构</w:t>
      </w:r>
      <w:r>
        <w:rPr>
          <w:rFonts w:hint="eastAsia" w:ascii="仿宋_GB2312" w:hAnsi="仿宋_GB2312" w:eastAsia="仿宋_GB2312" w:cs="仿宋_GB2312"/>
          <w:color w:val="auto"/>
          <w:sz w:val="28"/>
          <w:szCs w:val="28"/>
        </w:rPr>
        <w:t>将在提交响应文件截止之日至少5日前，在财政部门指定的政府采购信息发布媒体上</w:t>
      </w:r>
      <w:r>
        <w:rPr>
          <w:rFonts w:hint="eastAsia" w:ascii="仿宋_GB2312" w:hAnsi="仿宋_GB2312" w:eastAsia="仿宋_GB2312" w:cs="仿宋_GB2312"/>
          <w:b/>
          <w:bCs/>
          <w:color w:val="auto"/>
          <w:sz w:val="28"/>
          <w:szCs w:val="28"/>
        </w:rPr>
        <w:t>发布更正公告</w:t>
      </w:r>
      <w:r>
        <w:rPr>
          <w:rFonts w:hint="eastAsia" w:ascii="仿宋_GB2312" w:hAnsi="仿宋_GB2312" w:eastAsia="仿宋_GB2312" w:cs="仿宋_GB2312"/>
          <w:color w:val="auto"/>
          <w:sz w:val="28"/>
          <w:szCs w:val="28"/>
        </w:rPr>
        <w:t>；不足5日，</w:t>
      </w:r>
      <w:r>
        <w:rPr>
          <w:rFonts w:hint="eastAsia" w:ascii="仿宋_GB2312" w:hAnsi="仿宋_GB2312" w:eastAsia="仿宋_GB2312" w:cs="仿宋_GB2312"/>
          <w:color w:val="auto"/>
          <w:sz w:val="28"/>
          <w:szCs w:val="28"/>
          <w:lang w:val="en-US" w:eastAsia="zh-CN"/>
        </w:rPr>
        <w:t>集中采购机构</w:t>
      </w:r>
      <w:r>
        <w:rPr>
          <w:rFonts w:hint="eastAsia" w:ascii="仿宋_GB2312" w:hAnsi="仿宋_GB2312" w:eastAsia="仿宋_GB2312" w:cs="仿宋_GB2312"/>
          <w:color w:val="auto"/>
          <w:sz w:val="28"/>
          <w:szCs w:val="28"/>
        </w:rPr>
        <w:t>将顺延提交响应文件的截止时间。</w:t>
      </w:r>
    </w:p>
    <w:p w14:paraId="2DA8251F">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2、各供应商在提交响应文件截止时间之前，应随时关注下列地址发布的变更公告，也可登录全国公共资源交易平台（</w:t>
      </w:r>
      <w:r>
        <w:rPr>
          <w:rFonts w:hint="eastAsia" w:ascii="仿宋_GB2312" w:hAnsi="仿宋_GB2312" w:eastAsia="仿宋_GB2312" w:cs="仿宋_GB2312"/>
          <w:color w:val="auto"/>
          <w:sz w:val="28"/>
          <w:szCs w:val="28"/>
          <w:lang w:val="en-US" w:eastAsia="zh-CN"/>
        </w:rPr>
        <w:t>汉中市</w:t>
      </w:r>
      <w:r>
        <w:rPr>
          <w:rFonts w:hint="eastAsia" w:ascii="仿宋_GB2312" w:hAnsi="仿宋_GB2312" w:eastAsia="仿宋_GB2312" w:cs="仿宋_GB2312"/>
          <w:color w:val="auto"/>
          <w:sz w:val="28"/>
          <w:szCs w:val="28"/>
        </w:rPr>
        <w:t>）政府采购交易系统查看</w:t>
      </w:r>
      <w:r>
        <w:rPr>
          <w:rFonts w:hint="eastAsia" w:ascii="仿宋_GB2312" w:hAnsi="仿宋_GB2312" w:eastAsia="仿宋_GB2312" w:cs="仿宋_GB2312"/>
          <w:color w:val="auto"/>
          <w:sz w:val="28"/>
          <w:szCs w:val="28"/>
          <w:lang w:val="en-US" w:eastAsia="zh-CN"/>
        </w:rPr>
        <w:t>右</w:t>
      </w:r>
      <w:r>
        <w:rPr>
          <w:rFonts w:hint="eastAsia" w:ascii="仿宋_GB2312" w:hAnsi="仿宋_GB2312" w:eastAsia="仿宋_GB2312" w:cs="仿宋_GB2312"/>
          <w:color w:val="auto"/>
          <w:sz w:val="28"/>
          <w:szCs w:val="28"/>
        </w:rPr>
        <w:t>上角的信息提醒，</w:t>
      </w:r>
      <w:r>
        <w:rPr>
          <w:rFonts w:hint="eastAsia" w:ascii="仿宋_GB2312" w:hAnsi="仿宋_GB2312" w:eastAsia="仿宋_GB2312" w:cs="仿宋_GB2312"/>
          <w:color w:val="auto"/>
          <w:sz w:val="28"/>
          <w:szCs w:val="28"/>
          <w:lang w:val="en-US" w:eastAsia="zh-CN"/>
        </w:rPr>
        <w:t>集中采购机构</w:t>
      </w:r>
      <w:r>
        <w:rPr>
          <w:rFonts w:hint="eastAsia" w:ascii="仿宋_GB2312" w:hAnsi="仿宋_GB2312" w:eastAsia="仿宋_GB2312" w:cs="仿宋_GB2312"/>
          <w:b/>
          <w:bCs/>
          <w:color w:val="auto"/>
          <w:sz w:val="28"/>
          <w:szCs w:val="28"/>
        </w:rPr>
        <w:t>不再单独通知，因供应商未及时关注所造成的一切后果由供应商自行承担：</w:t>
      </w:r>
    </w:p>
    <w:p w14:paraId="642C5883">
      <w:pPr>
        <w:pageBreakBefore w:val="0"/>
        <w:widowControl/>
        <w:kinsoku/>
        <w:wordWrap w:val="0"/>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"http://www.ccgp-shaanxi.gov.cn/" </w:instrText>
      </w:r>
      <w:r>
        <w:rPr>
          <w:rFonts w:hint="eastAsia" w:ascii="仿宋_GB2312" w:hAnsi="仿宋_GB2312" w:eastAsia="仿宋_GB2312" w:cs="仿宋_GB2312"/>
          <w:color w:val="auto"/>
          <w:sz w:val="28"/>
          <w:szCs w:val="28"/>
        </w:rPr>
        <w:fldChar w:fldCharType="separate"/>
      </w:r>
      <w:r>
        <w:rPr>
          <w:rStyle w:val="31"/>
          <w:rFonts w:hint="eastAsia" w:ascii="仿宋_GB2312" w:hAnsi="仿宋_GB2312" w:eastAsia="仿宋_GB2312" w:cs="仿宋_GB2312"/>
          <w:color w:val="auto"/>
          <w:sz w:val="28"/>
          <w:szCs w:val="28"/>
        </w:rPr>
        <w:t>陕西省政府采购网</w:t>
      </w:r>
      <w:r>
        <w:rPr>
          <w:rStyle w:val="31"/>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（www.ccgp-shaanxi.gov.cn/）】中的〖首页·〉</w:t>
      </w:r>
      <w:r>
        <w:rPr>
          <w:rFonts w:hint="eastAsia" w:ascii="仿宋_GB2312" w:hAnsi="仿宋_GB2312" w:eastAsia="仿宋_GB2312" w:cs="仿宋_GB2312"/>
          <w:color w:val="auto"/>
          <w:sz w:val="28"/>
          <w:szCs w:val="28"/>
          <w:lang w:val="en-US" w:eastAsia="zh-CN"/>
        </w:rPr>
        <w:t>市级</w:t>
      </w:r>
      <w:r>
        <w:rPr>
          <w:rFonts w:hint="eastAsia" w:ascii="仿宋_GB2312" w:hAnsi="仿宋_GB2312" w:eastAsia="仿宋_GB2312" w:cs="仿宋_GB2312"/>
          <w:color w:val="auto"/>
          <w:sz w:val="28"/>
          <w:szCs w:val="28"/>
        </w:rPr>
        <w:t>公告·〉更正公告〗；</w:t>
      </w:r>
    </w:p>
    <w:p w14:paraId="65CB4FCE">
      <w:pPr>
        <w:pageBreakBefore w:val="0"/>
        <w:widowControl/>
        <w:kinsoku/>
        <w:wordWrap w:val="0"/>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（2）【全国公共资源交易平台（</w:t>
      </w:r>
      <w:r>
        <w:rPr>
          <w:rFonts w:hint="eastAsia" w:ascii="仿宋_GB2312" w:hAnsi="仿宋_GB2312" w:eastAsia="仿宋_GB2312" w:cs="仿宋_GB2312"/>
          <w:color w:val="auto"/>
          <w:sz w:val="28"/>
          <w:szCs w:val="28"/>
          <w:lang w:val="en-US" w:eastAsia="zh-CN"/>
        </w:rPr>
        <w:t>汉中市</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kern w:val="0"/>
          <w:sz w:val="28"/>
          <w:szCs w:val="28"/>
        </w:rPr>
        <w:t>（sxggzyjy.hanzhong.gov.cn）</w:t>
      </w:r>
      <w:r>
        <w:rPr>
          <w:rFonts w:hint="eastAsia" w:ascii="仿宋_GB2312" w:hAnsi="仿宋_GB2312" w:eastAsia="仿宋_GB2312" w:cs="仿宋_GB2312"/>
          <w:color w:val="auto"/>
          <w:sz w:val="28"/>
          <w:szCs w:val="28"/>
        </w:rPr>
        <w:t>】中的〖首页·〉交易大厅·〉政府采购·〉</w:t>
      </w:r>
      <w:r>
        <w:rPr>
          <w:rFonts w:hint="eastAsia" w:ascii="仿宋_GB2312" w:hAnsi="仿宋_GB2312" w:eastAsia="仿宋_GB2312" w:cs="仿宋_GB2312"/>
          <w:color w:val="auto"/>
          <w:sz w:val="28"/>
          <w:szCs w:val="28"/>
          <w:lang w:val="en-US" w:eastAsia="zh-CN"/>
        </w:rPr>
        <w:t>更正公告</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w:t>
      </w:r>
    </w:p>
    <w:p w14:paraId="7F27BF14">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bookmarkStart w:id="109" w:name="_Toc18733_WPSOffice_Level3"/>
      <w:r>
        <w:rPr>
          <w:rFonts w:hint="eastAsia" w:ascii="仿宋_GB2312" w:hAnsi="仿宋_GB2312" w:eastAsia="仿宋_GB2312" w:cs="仿宋_GB2312"/>
          <w:b/>
          <w:color w:val="auto"/>
          <w:sz w:val="28"/>
          <w:szCs w:val="28"/>
        </w:rPr>
        <w:t>（四）磋商文件的解释权归</w:t>
      </w:r>
      <w:r>
        <w:rPr>
          <w:rFonts w:hint="eastAsia" w:ascii="仿宋_GB2312" w:hAnsi="仿宋_GB2312" w:eastAsia="仿宋_GB2312" w:cs="仿宋_GB2312"/>
          <w:b/>
          <w:color w:val="auto"/>
          <w:sz w:val="28"/>
          <w:szCs w:val="28"/>
          <w:lang w:val="en-US" w:eastAsia="zh-CN"/>
        </w:rPr>
        <w:t>集中采购机构</w:t>
      </w:r>
      <w:r>
        <w:rPr>
          <w:rFonts w:hint="eastAsia" w:ascii="仿宋_GB2312" w:hAnsi="仿宋_GB2312" w:eastAsia="仿宋_GB2312" w:cs="仿宋_GB2312"/>
          <w:b/>
          <w:color w:val="auto"/>
          <w:sz w:val="28"/>
          <w:szCs w:val="28"/>
        </w:rPr>
        <w:t>。</w:t>
      </w:r>
      <w:bookmarkEnd w:id="109"/>
    </w:p>
    <w:p w14:paraId="3935FCF4">
      <w:pPr>
        <w:pStyle w:val="4"/>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bookmarkStart w:id="110" w:name="_Toc19768_WPSOffice_Level2"/>
      <w:bookmarkStart w:id="111" w:name="_Toc3559"/>
      <w:bookmarkStart w:id="112" w:name="_Toc20873_WPSOffice_Level2"/>
      <w:bookmarkStart w:id="113" w:name="_Toc13064"/>
      <w:bookmarkStart w:id="114" w:name="_Toc30095"/>
      <w:bookmarkStart w:id="115" w:name="_Toc30415"/>
      <w:bookmarkStart w:id="116" w:name="_Toc22501_WPSOffice_Level2"/>
      <w:r>
        <w:rPr>
          <w:rFonts w:hint="eastAsia" w:ascii="仿宋_GB2312" w:hAnsi="仿宋_GB2312" w:eastAsia="仿宋_GB2312" w:cs="仿宋_GB2312"/>
          <w:color w:val="auto"/>
          <w:sz w:val="28"/>
          <w:szCs w:val="28"/>
          <w:lang w:val="en-US" w:eastAsia="zh-CN"/>
        </w:rPr>
        <w:t>四</w:t>
      </w:r>
      <w:r>
        <w:rPr>
          <w:rFonts w:hint="eastAsia" w:ascii="仿宋_GB2312" w:hAnsi="仿宋_GB2312" w:eastAsia="仿宋_GB2312" w:cs="仿宋_GB2312"/>
          <w:color w:val="auto"/>
          <w:sz w:val="28"/>
          <w:szCs w:val="28"/>
        </w:rPr>
        <w:t>、磋商报价</w:t>
      </w:r>
      <w:bookmarkEnd w:id="110"/>
      <w:bookmarkEnd w:id="111"/>
      <w:bookmarkEnd w:id="112"/>
      <w:bookmarkEnd w:id="113"/>
      <w:bookmarkEnd w:id="114"/>
      <w:bookmarkEnd w:id="115"/>
      <w:bookmarkEnd w:id="116"/>
    </w:p>
    <w:p w14:paraId="0053F9ED">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磋商报价是供应商响应</w:t>
      </w:r>
      <w:r>
        <w:rPr>
          <w:rFonts w:hint="eastAsia" w:ascii="仿宋_GB2312" w:hAnsi="仿宋_GB2312" w:eastAsia="仿宋_GB2312" w:cs="仿宋_GB2312"/>
          <w:color w:val="auto"/>
          <w:sz w:val="28"/>
          <w:szCs w:val="28"/>
          <w:lang w:val="en-US" w:eastAsia="zh-CN"/>
        </w:rPr>
        <w:t>采购</w:t>
      </w:r>
      <w:r>
        <w:rPr>
          <w:rFonts w:hint="eastAsia" w:ascii="仿宋_GB2312" w:hAnsi="仿宋_GB2312" w:eastAsia="仿宋_GB2312" w:cs="仿宋_GB2312"/>
          <w:color w:val="auto"/>
          <w:sz w:val="28"/>
          <w:szCs w:val="28"/>
        </w:rPr>
        <w:t>项目要求的全部工作内容的价格体现，包括完成采购内容所需的直接费、间接费、利润、税金及其它相关的一切费用。供应商在报价时应充分考虑所有可能发生的费用，</w:t>
      </w:r>
      <w:r>
        <w:rPr>
          <w:rFonts w:hint="eastAsia" w:ascii="仿宋_GB2312" w:hAnsi="仿宋_GB2312" w:eastAsia="仿宋_GB2312" w:cs="仿宋_GB2312"/>
          <w:color w:val="auto"/>
          <w:sz w:val="28"/>
          <w:szCs w:val="28"/>
          <w:lang w:val="zh-CN"/>
        </w:rPr>
        <w:t>磋商</w:t>
      </w:r>
      <w:r>
        <w:rPr>
          <w:rFonts w:hint="eastAsia" w:ascii="仿宋_GB2312" w:hAnsi="仿宋_GB2312" w:eastAsia="仿宋_GB2312" w:cs="仿宋_GB2312"/>
          <w:color w:val="auto"/>
          <w:sz w:val="28"/>
          <w:szCs w:val="28"/>
        </w:rPr>
        <w:t>文件未列明，而供应商认为应当计取的费用均应列入报价中。报价时不论是否计取，采购人均按已计取对待。</w:t>
      </w:r>
    </w:p>
    <w:p w14:paraId="36CC8F66">
      <w:pPr>
        <w:pageBreakBefore w:val="0"/>
        <w:widowControl/>
        <w:numPr>
          <w:ilvl w:val="0"/>
          <w:numId w:val="2"/>
        </w:numPr>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供应商应按照《响应文件构成及格式》中《第一次磋商报价表》中的相关要求填写需要响应的内容。</w:t>
      </w:r>
    </w:p>
    <w:p w14:paraId="55C293FC">
      <w:pPr>
        <w:pageBreakBefore w:val="0"/>
        <w:widowControl/>
        <w:numPr>
          <w:ilvl w:val="0"/>
          <w:numId w:val="2"/>
        </w:numPr>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磋商报价采取多轮报价的办法，最后报价作为计算价格分值的依据。供应商应在磋商当天，磋商小组规定的报价时间内，使用制作标书的数字认证证书（CA锁）登录全国公共资源交易平台（</w:t>
      </w:r>
      <w:r>
        <w:rPr>
          <w:rFonts w:hint="eastAsia" w:ascii="仿宋_GB2312" w:hAnsi="仿宋_GB2312" w:eastAsia="仿宋_GB2312" w:cs="仿宋_GB2312"/>
          <w:b/>
          <w:bCs/>
          <w:color w:val="auto"/>
          <w:sz w:val="28"/>
          <w:szCs w:val="28"/>
          <w:lang w:val="en-US" w:eastAsia="zh-CN"/>
        </w:rPr>
        <w:t>汉中市</w:t>
      </w:r>
      <w:r>
        <w:rPr>
          <w:rFonts w:hint="eastAsia" w:ascii="仿宋_GB2312" w:hAnsi="仿宋_GB2312" w:eastAsia="仿宋_GB2312" w:cs="仿宋_GB2312"/>
          <w:b/>
          <w:bCs/>
          <w:color w:val="auto"/>
          <w:sz w:val="28"/>
          <w:szCs w:val="28"/>
        </w:rPr>
        <w:t>）网站〖首页·〉电子交易平台·〉企业端〗后，在〖我的项目〗下找到本次磋商的项目，填写最后报价表，签章并提交。</w:t>
      </w:r>
    </w:p>
    <w:p w14:paraId="0C46D5A1">
      <w:pPr>
        <w:pageBreakBefore w:val="0"/>
        <w:widowControl/>
        <w:numPr>
          <w:ilvl w:val="0"/>
          <w:numId w:val="2"/>
        </w:numPr>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如采购内容无实质性变更，各供应商的报价应逐次降低。本次报价超过采购预算或磋商文件规定的最高限价的，按无效投标处理；本次报价超过上次报价但未超过采购预算或磋商文件规定的最高限价的，或在规定时间内最后报价提交不成功的均为无效报价，磋商小组在综合比较与评价时将使用上一轮有效报价进行报价评审。</w:t>
      </w:r>
    </w:p>
    <w:p w14:paraId="55C4616F">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w:t>
      </w:r>
      <w:r>
        <w:rPr>
          <w:rFonts w:hint="eastAsia" w:ascii="仿宋_GB2312" w:hAnsi="仿宋_GB2312" w:eastAsia="仿宋_GB2312" w:cs="仿宋_GB2312"/>
          <w:color w:val="auto"/>
          <w:sz w:val="28"/>
          <w:szCs w:val="28"/>
          <w:lang w:val="zh-CN"/>
        </w:rPr>
        <w:t>磋商</w:t>
      </w:r>
      <w:r>
        <w:rPr>
          <w:rFonts w:hint="eastAsia" w:ascii="仿宋_GB2312" w:hAnsi="仿宋_GB2312" w:eastAsia="仿宋_GB2312" w:cs="仿宋_GB2312"/>
          <w:color w:val="auto"/>
          <w:sz w:val="28"/>
          <w:szCs w:val="28"/>
        </w:rPr>
        <w:t>报价货币：</w:t>
      </w:r>
      <w:r>
        <w:rPr>
          <w:rFonts w:hint="eastAsia" w:ascii="仿宋_GB2312" w:hAnsi="仿宋_GB2312" w:eastAsia="仿宋_GB2312" w:cs="仿宋_GB2312"/>
          <w:b/>
          <w:color w:val="auto"/>
          <w:sz w:val="28"/>
          <w:szCs w:val="28"/>
        </w:rPr>
        <w:t>人民币</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b/>
          <w:bCs/>
          <w:color w:val="auto"/>
          <w:sz w:val="28"/>
          <w:szCs w:val="28"/>
        </w:rPr>
        <w:t>单位：元</w:t>
      </w:r>
      <w:r>
        <w:rPr>
          <w:rFonts w:hint="eastAsia" w:ascii="仿宋_GB2312" w:hAnsi="仿宋_GB2312" w:eastAsia="仿宋_GB2312" w:cs="仿宋_GB2312"/>
          <w:bCs/>
          <w:color w:val="auto"/>
          <w:sz w:val="28"/>
          <w:szCs w:val="28"/>
        </w:rPr>
        <w:t>，</w:t>
      </w:r>
      <w:r>
        <w:rPr>
          <w:rFonts w:hint="eastAsia" w:ascii="仿宋_GB2312" w:hAnsi="仿宋_GB2312" w:eastAsia="仿宋_GB2312" w:cs="仿宋_GB2312"/>
          <w:b/>
          <w:color w:val="auto"/>
          <w:sz w:val="28"/>
          <w:szCs w:val="28"/>
        </w:rPr>
        <w:t>保留到元</w:t>
      </w:r>
      <w:r>
        <w:rPr>
          <w:rFonts w:hint="eastAsia" w:ascii="仿宋_GB2312" w:hAnsi="仿宋_GB2312" w:eastAsia="仿宋_GB2312" w:cs="仿宋_GB2312"/>
          <w:bCs/>
          <w:color w:val="auto"/>
          <w:sz w:val="28"/>
          <w:szCs w:val="28"/>
        </w:rPr>
        <w:t>。</w:t>
      </w:r>
    </w:p>
    <w:p w14:paraId="3B986E77">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（五）磋商报价大小写不一致的以大写为准。</w:t>
      </w:r>
    </w:p>
    <w:p w14:paraId="280960D7">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（六）因供应商对磋商文件理解不透、误解、疏漏或对市场行情了解不清造成的后果和风险，均由供应商自己负责。</w:t>
      </w:r>
    </w:p>
    <w:p w14:paraId="6B7808A0">
      <w:pPr>
        <w:pStyle w:val="4"/>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bookmarkStart w:id="117" w:name="_Toc29669_WPSOffice_Level2"/>
      <w:bookmarkStart w:id="118" w:name="_Toc12154"/>
      <w:bookmarkStart w:id="119" w:name="_Toc20041_WPSOffice_Level2"/>
      <w:bookmarkStart w:id="120" w:name="_Toc14959_WPSOffice_Level2"/>
      <w:bookmarkStart w:id="121" w:name="_Toc14979"/>
      <w:bookmarkStart w:id="122" w:name="_Toc666"/>
      <w:bookmarkStart w:id="123" w:name="_Toc11009"/>
      <w:r>
        <w:rPr>
          <w:rFonts w:hint="eastAsia" w:ascii="仿宋_GB2312" w:hAnsi="仿宋_GB2312" w:eastAsia="仿宋_GB2312" w:cs="仿宋_GB2312"/>
          <w:color w:val="auto"/>
          <w:sz w:val="28"/>
          <w:szCs w:val="28"/>
          <w:lang w:val="en-US" w:eastAsia="zh-CN"/>
        </w:rPr>
        <w:t>五</w:t>
      </w:r>
      <w:r>
        <w:rPr>
          <w:rFonts w:hint="eastAsia" w:ascii="仿宋_GB2312" w:hAnsi="仿宋_GB2312" w:eastAsia="仿宋_GB2312" w:cs="仿宋_GB2312"/>
          <w:color w:val="auto"/>
          <w:sz w:val="28"/>
          <w:szCs w:val="28"/>
        </w:rPr>
        <w:t>、响应文件</w:t>
      </w:r>
      <w:bookmarkEnd w:id="117"/>
      <w:bookmarkEnd w:id="118"/>
      <w:bookmarkEnd w:id="119"/>
      <w:bookmarkEnd w:id="120"/>
      <w:bookmarkEnd w:id="121"/>
      <w:bookmarkEnd w:id="122"/>
      <w:bookmarkEnd w:id="123"/>
    </w:p>
    <w:p w14:paraId="14BE0C9F">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（一）响应文件形式</w:t>
      </w:r>
    </w:p>
    <w:p w14:paraId="5A1AD7CB">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本项目采用电子响应文件，供应商在</w:t>
      </w:r>
      <w:r>
        <w:rPr>
          <w:rFonts w:hint="eastAsia" w:ascii="仿宋_GB2312" w:hAnsi="仿宋_GB2312" w:eastAsia="仿宋_GB2312" w:cs="仿宋_GB2312"/>
          <w:color w:val="auto"/>
          <w:sz w:val="28"/>
          <w:szCs w:val="28"/>
          <w:lang w:val="en-US" w:eastAsia="zh-CN"/>
        </w:rPr>
        <w:t>磋商</w:t>
      </w:r>
      <w:r>
        <w:rPr>
          <w:rFonts w:hint="eastAsia" w:ascii="仿宋_GB2312" w:hAnsi="仿宋_GB2312" w:eastAsia="仿宋_GB2312" w:cs="仿宋_GB2312"/>
          <w:color w:val="auto"/>
          <w:sz w:val="28"/>
          <w:szCs w:val="28"/>
        </w:rPr>
        <w:t>时须提供电子响应文件。</w:t>
      </w:r>
      <w:bookmarkStart w:id="124" w:name="_Toc18733_WPSOffice_Level2"/>
      <w:bookmarkStart w:id="125" w:name="_Toc7898_WPSOffice_Level2"/>
      <w:bookmarkStart w:id="126" w:name="_Toc30535_WPSOffice_Level2"/>
    </w:p>
    <w:p w14:paraId="7F2D8044">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编制电子响应文件时，应使用最新发布的电子磋商文件及专用制作工具进行编制。并使用数字认证证书（CA锁）对电子响应文件进行签署、加密、递交及磋商时解密等相关操作。</w:t>
      </w:r>
    </w:p>
    <w:p w14:paraId="382CE29A">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1、电子磋商文件下载。供应商登录全国公共资源交易平台（</w:t>
      </w:r>
      <w:r>
        <w:rPr>
          <w:rFonts w:hint="eastAsia" w:ascii="仿宋_GB2312" w:hAnsi="仿宋_GB2312" w:eastAsia="仿宋_GB2312" w:cs="仿宋_GB2312"/>
          <w:color w:val="auto"/>
          <w:sz w:val="28"/>
          <w:szCs w:val="28"/>
          <w:lang w:val="en-US" w:eastAsia="zh-CN"/>
        </w:rPr>
        <w:t>汉中市</w:t>
      </w:r>
      <w:r>
        <w:rPr>
          <w:rFonts w:hint="eastAsia" w:ascii="仿宋_GB2312" w:hAnsi="仿宋_GB2312" w:eastAsia="仿宋_GB2312" w:cs="仿宋_GB2312"/>
          <w:color w:val="auto"/>
          <w:sz w:val="28"/>
          <w:szCs w:val="28"/>
        </w:rPr>
        <w:t>）网站〖首页·〉电子交易平台·〉企业端〗后，在〖招标公告/出让公告·〉</w:t>
      </w:r>
      <w:r>
        <w:rPr>
          <w:rFonts w:hint="eastAsia" w:ascii="仿宋_GB2312" w:hAnsi="仿宋_GB2312" w:eastAsia="仿宋_GB2312" w:cs="仿宋_GB2312"/>
          <w:color w:val="auto"/>
          <w:sz w:val="28"/>
          <w:szCs w:val="28"/>
          <w:lang w:val="en-US" w:eastAsia="zh-CN"/>
        </w:rPr>
        <w:t>政府采购</w:t>
      </w:r>
      <w:r>
        <w:rPr>
          <w:rFonts w:hint="eastAsia" w:ascii="仿宋_GB2312" w:hAnsi="仿宋_GB2312" w:eastAsia="仿宋_GB2312" w:cs="仿宋_GB2312"/>
          <w:color w:val="auto"/>
          <w:sz w:val="28"/>
          <w:szCs w:val="28"/>
        </w:rPr>
        <w:t>〗模块中选择项目</w:t>
      </w:r>
      <w:r>
        <w:rPr>
          <w:rFonts w:hint="eastAsia" w:ascii="仿宋_GB2312" w:hAnsi="仿宋_GB2312" w:eastAsia="仿宋_GB2312" w:cs="仿宋_GB2312"/>
          <w:bCs/>
          <w:color w:val="auto"/>
          <w:sz w:val="28"/>
          <w:szCs w:val="28"/>
        </w:rPr>
        <w:t>点击“我要投标”，参与投标活动。然后即可</w:t>
      </w:r>
      <w:r>
        <w:rPr>
          <w:rFonts w:hint="eastAsia" w:ascii="仿宋_GB2312" w:hAnsi="仿宋_GB2312" w:eastAsia="仿宋_GB2312" w:cs="仿宋_GB2312"/>
          <w:color w:val="auto"/>
          <w:sz w:val="28"/>
          <w:szCs w:val="28"/>
        </w:rPr>
        <w:t>在〖我的项目〗中点击“项目流程&gt;交易文件下载”下载电子磋商文件（*.SXSZF）。</w:t>
      </w:r>
    </w:p>
    <w:p w14:paraId="1960DE0D">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注意：该项目如有变更文件，则应点击“项目流程&gt;答疑文件下载”下载更新后的电子磋商文件（*.SXSCF），使用旧版电子磋商文件制作的电子响应文件，系统将拒绝接收。</w:t>
      </w:r>
    </w:p>
    <w:p w14:paraId="4E3E40F3">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电子磋商文件需要使用专用软件打开、浏览。供应商可在全国公共资源交易平台（</w:t>
      </w:r>
      <w:r>
        <w:rPr>
          <w:rFonts w:hint="eastAsia" w:ascii="仿宋_GB2312" w:hAnsi="仿宋_GB2312" w:eastAsia="仿宋_GB2312" w:cs="仿宋_GB2312"/>
          <w:color w:val="auto"/>
          <w:sz w:val="28"/>
          <w:szCs w:val="28"/>
          <w:lang w:val="en-US" w:eastAsia="zh-CN"/>
        </w:rPr>
        <w:t>汉中市</w:t>
      </w:r>
      <w:r>
        <w:rPr>
          <w:rFonts w:hint="eastAsia" w:ascii="仿宋_GB2312" w:hAnsi="仿宋_GB2312" w:eastAsia="仿宋_GB2312" w:cs="仿宋_GB2312"/>
          <w:color w:val="auto"/>
          <w:sz w:val="28"/>
          <w:szCs w:val="28"/>
        </w:rPr>
        <w:t>）网站〖首页·〉服务指南·〉下载专区〗免费下载“陕西省公共资源交易平台政府采购电子标书制作工具”，并升级至最新版本，使用该客户端可以打开电子磋商文件。软件操作手册详见全国公共资源交易平台（</w:t>
      </w:r>
      <w:r>
        <w:rPr>
          <w:rFonts w:hint="eastAsia" w:ascii="仿宋_GB2312" w:hAnsi="仿宋_GB2312" w:eastAsia="仿宋_GB2312" w:cs="仿宋_GB2312"/>
          <w:color w:val="auto"/>
          <w:sz w:val="28"/>
          <w:szCs w:val="28"/>
          <w:lang w:val="en-US" w:eastAsia="zh-CN"/>
        </w:rPr>
        <w:t>汉中市</w:t>
      </w:r>
      <w:r>
        <w:rPr>
          <w:rFonts w:hint="eastAsia" w:ascii="仿宋_GB2312" w:hAnsi="仿宋_GB2312" w:eastAsia="仿宋_GB2312" w:cs="仿宋_GB2312"/>
          <w:color w:val="auto"/>
          <w:sz w:val="28"/>
          <w:szCs w:val="28"/>
        </w:rPr>
        <w:t>）网站〖首页·〉服务指南·〉下载专区〗中的《政府采购</w:t>
      </w:r>
      <w:r>
        <w:rPr>
          <w:rFonts w:hint="eastAsia" w:ascii="仿宋_GB2312" w:hAnsi="仿宋_GB2312" w:eastAsia="仿宋_GB2312" w:cs="仿宋_GB2312"/>
          <w:color w:val="auto"/>
          <w:sz w:val="28"/>
          <w:szCs w:val="28"/>
          <w:lang w:val="en-US" w:eastAsia="zh-CN"/>
        </w:rPr>
        <w:t>供应商</w:t>
      </w:r>
      <w:r>
        <w:rPr>
          <w:rFonts w:hint="eastAsia" w:ascii="仿宋_GB2312" w:hAnsi="仿宋_GB2312" w:eastAsia="仿宋_GB2312" w:cs="仿宋_GB2312"/>
          <w:color w:val="auto"/>
          <w:sz w:val="28"/>
          <w:szCs w:val="28"/>
        </w:rPr>
        <w:t>操作手册》。</w:t>
      </w:r>
    </w:p>
    <w:p w14:paraId="23C8FD4F">
      <w:pPr>
        <w:pStyle w:val="4"/>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val="0"/>
          <w:bCs w:val="0"/>
          <w:color w:val="auto"/>
          <w:sz w:val="28"/>
          <w:szCs w:val="28"/>
          <w:lang w:eastAsia="zh-CN"/>
        </w:rPr>
      </w:pPr>
      <w:bookmarkStart w:id="127" w:name="_Toc9096"/>
      <w:r>
        <w:rPr>
          <w:rFonts w:hint="eastAsia" w:ascii="仿宋_GB2312" w:hAnsi="仿宋_GB2312" w:eastAsia="仿宋_GB2312" w:cs="仿宋_GB2312"/>
          <w:b w:val="0"/>
          <w:bCs w:val="0"/>
          <w:color w:val="auto"/>
          <w:sz w:val="28"/>
          <w:szCs w:val="28"/>
        </w:rPr>
        <w:t>3、制作电子响应文件。电子响应文件同样需要使用上述软件进行编制。在编制过程中，如有技术性问题，请先翻阅操作手册，或致电软件开发商。技术支持热线：4009980000</w:t>
      </w:r>
      <w:bookmarkStart w:id="128" w:name="_Toc18427_WPSOffice_Level3"/>
      <w:bookmarkStart w:id="129" w:name="_Toc11164"/>
      <w:r>
        <w:rPr>
          <w:rFonts w:hint="eastAsia" w:ascii="仿宋_GB2312" w:hAnsi="仿宋_GB2312" w:eastAsia="仿宋_GB2312" w:cs="仿宋_GB2312"/>
          <w:b w:val="0"/>
          <w:bCs w:val="0"/>
          <w:color w:val="auto"/>
          <w:sz w:val="28"/>
          <w:szCs w:val="28"/>
          <w:lang w:eastAsia="zh-CN"/>
        </w:rPr>
        <w:t>。</w:t>
      </w:r>
      <w:bookmarkEnd w:id="127"/>
    </w:p>
    <w:p w14:paraId="16F167B7">
      <w:pPr>
        <w:keepNext w:val="0"/>
        <w:keepLines w:val="0"/>
        <w:pageBreakBefore w:val="0"/>
        <w:widowControl/>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（需要法定代表人签字或盖章的地方，请使用“法人CA”进行签章；需要加盖响应人公章的地方，请使用“企业 CA”进行盖章。加密和解密应当使用同一CA，否则将会导致解密失败。请勿同时插入企业CA和法人CA，以免系统自动识别法人CA导致开启时标书解密失败。）</w:t>
      </w:r>
    </w:p>
    <w:bookmarkEnd w:id="128"/>
    <w:bookmarkEnd w:id="129"/>
    <w:p w14:paraId="3FA41D74">
      <w:pPr>
        <w:keepNext w:val="0"/>
        <w:keepLines w:val="0"/>
        <w:pageBreakBefore w:val="0"/>
        <w:widowControl/>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（二）</w:t>
      </w:r>
      <w:r>
        <w:rPr>
          <w:rFonts w:hint="eastAsia" w:ascii="仿宋_GB2312" w:hAnsi="仿宋_GB2312" w:eastAsia="仿宋_GB2312" w:cs="仿宋_GB2312"/>
          <w:b/>
          <w:bCs/>
          <w:color w:val="auto"/>
          <w:sz w:val="28"/>
          <w:szCs w:val="28"/>
        </w:rPr>
        <w:t>响应文件有效期</w:t>
      </w:r>
    </w:p>
    <w:p w14:paraId="3C802CF2">
      <w:pPr>
        <w:keepNext w:val="0"/>
        <w:keepLines w:val="0"/>
        <w:pageBreakBefore w:val="0"/>
        <w:widowControl/>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1、响应活动的所有文件、资料、函电文均使用简体中文，确需提交用 其他语言形成的资料，必须翻译成简体中文，如有差异，以简体中文为准。 </w:t>
      </w:r>
    </w:p>
    <w:p w14:paraId="65317C2B">
      <w:pPr>
        <w:keepNext w:val="0"/>
        <w:keepLines w:val="0"/>
        <w:pageBreakBefore w:val="0"/>
        <w:widowControl/>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2、响应文件有效期为自响应文件开启之日起 90 个日历日。如成交， 延长至合同执行完毕时止。</w:t>
      </w:r>
    </w:p>
    <w:p w14:paraId="2BE51C77">
      <w:pPr>
        <w:keepNext w:val="0"/>
        <w:keepLines w:val="0"/>
        <w:pageBreakBefore w:val="0"/>
        <w:widowControl/>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（三）响应文件的提交</w:t>
      </w:r>
    </w:p>
    <w:p w14:paraId="37D56ACA">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电子响应文件可于提交响应文件截止时间前任意时段登录全国公共资源交易平台（</w:t>
      </w:r>
      <w:r>
        <w:rPr>
          <w:rFonts w:hint="eastAsia" w:ascii="仿宋_GB2312" w:hAnsi="仿宋_GB2312" w:eastAsia="仿宋_GB2312" w:cs="仿宋_GB2312"/>
          <w:color w:val="auto"/>
          <w:sz w:val="28"/>
          <w:szCs w:val="28"/>
          <w:lang w:val="en-US" w:eastAsia="zh-CN"/>
        </w:rPr>
        <w:t>汉中市</w:t>
      </w:r>
      <w:r>
        <w:rPr>
          <w:rFonts w:hint="eastAsia" w:ascii="仿宋_GB2312" w:hAnsi="仿宋_GB2312" w:eastAsia="仿宋_GB2312" w:cs="仿宋_GB2312"/>
          <w:color w:val="auto"/>
          <w:sz w:val="28"/>
          <w:szCs w:val="28"/>
        </w:rPr>
        <w:t>）网站“电子交易平台&gt;企业端”进行提交，逾期系统将拒绝接收。提交时，供应商应登录全国公共资源交易中心平台（</w:t>
      </w:r>
      <w:r>
        <w:rPr>
          <w:rFonts w:hint="eastAsia" w:ascii="仿宋_GB2312" w:hAnsi="仿宋_GB2312" w:eastAsia="仿宋_GB2312" w:cs="仿宋_GB2312"/>
          <w:color w:val="auto"/>
          <w:sz w:val="28"/>
          <w:szCs w:val="28"/>
          <w:lang w:val="en-US" w:eastAsia="zh-CN"/>
        </w:rPr>
        <w:t>汉中市</w:t>
      </w:r>
      <w:r>
        <w:rPr>
          <w:rFonts w:hint="eastAsia" w:ascii="仿宋_GB2312" w:hAnsi="仿宋_GB2312" w:eastAsia="仿宋_GB2312" w:cs="仿宋_GB2312"/>
          <w:color w:val="auto"/>
          <w:sz w:val="28"/>
          <w:szCs w:val="28"/>
        </w:rPr>
        <w:t>），选择“首页&gt;电子交易平台&gt;企业端&gt;我的项目”，点击“项目流程”，在打开的“项目管理”对话框中选择“上传响应文件”，上传加密的电子响应文件（*.SXSTF）。上传成功后，电子化平台将予以记录。</w:t>
      </w:r>
    </w:p>
    <w:p w14:paraId="33F2000C">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color w:val="auto"/>
          <w:sz w:val="28"/>
          <w:szCs w:val="28"/>
        </w:rPr>
      </w:pPr>
      <w:bookmarkStart w:id="130" w:name="_Toc24468"/>
      <w:bookmarkStart w:id="131" w:name="_Toc15608"/>
      <w:bookmarkStart w:id="132" w:name="_Toc6095"/>
      <w:r>
        <w:rPr>
          <w:rFonts w:hint="eastAsia" w:ascii="仿宋_GB2312" w:hAnsi="仿宋_GB2312" w:eastAsia="仿宋_GB2312" w:cs="仿宋_GB2312"/>
          <w:b/>
          <w:color w:val="auto"/>
          <w:sz w:val="28"/>
          <w:szCs w:val="28"/>
        </w:rPr>
        <w:t>（四）响应文件的补充、修改和撤回</w:t>
      </w:r>
      <w:bookmarkEnd w:id="130"/>
      <w:bookmarkEnd w:id="131"/>
      <w:bookmarkEnd w:id="132"/>
    </w:p>
    <w:p w14:paraId="794D8C44">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1、供应商在递交电子响应文件后，且在提交电子响应文件截止时间前，可以对所提交的电子响应文件进行补充、修改或撤回。</w:t>
      </w:r>
    </w:p>
    <w:p w14:paraId="52B145F9">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2、对电子响应文件进行补充、修改的，应先从电子交易平台上撤回旧版，再重新提交新版。</w:t>
      </w:r>
    </w:p>
    <w:p w14:paraId="6D3DA049">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3、电子响应文件提交截止时间后，供应商不得对其电子响应文件做任何修改。</w:t>
      </w:r>
    </w:p>
    <w:p w14:paraId="396BBEF8">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（五）供应商提交响应文件时，出现下列情况之一的，其响应文件将被拒绝接收：</w:t>
      </w:r>
    </w:p>
    <w:p w14:paraId="22DBBB6C">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bookmarkStart w:id="133" w:name="_Toc10744"/>
      <w:bookmarkStart w:id="134" w:name="_Toc595"/>
      <w:bookmarkStart w:id="135" w:name="_Toc28054"/>
      <w:bookmarkStart w:id="136" w:name="_Toc6837"/>
      <w:bookmarkStart w:id="137" w:name="_Toc7022"/>
      <w:bookmarkStart w:id="138" w:name="_Toc8003"/>
      <w:r>
        <w:rPr>
          <w:rFonts w:hint="eastAsia" w:ascii="仿宋_GB2312" w:hAnsi="仿宋_GB2312" w:eastAsia="仿宋_GB2312" w:cs="仿宋_GB2312"/>
          <w:color w:val="auto"/>
          <w:sz w:val="28"/>
          <w:szCs w:val="28"/>
        </w:rPr>
        <w:t>1、逾期提交电子响应文件的；</w:t>
      </w:r>
    </w:p>
    <w:p w14:paraId="01B33095">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2、提交的电子响应文件与本项目不相符的。</w:t>
      </w:r>
    </w:p>
    <w:p w14:paraId="2C7DC54D">
      <w:pPr>
        <w:pStyle w:val="4"/>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lang w:val="en-US" w:eastAsia="zh-CN"/>
        </w:rPr>
      </w:pPr>
      <w:bookmarkStart w:id="139" w:name="_Toc17536"/>
      <w:r>
        <w:rPr>
          <w:rFonts w:hint="eastAsia" w:ascii="仿宋_GB2312" w:hAnsi="仿宋_GB2312" w:eastAsia="仿宋_GB2312" w:cs="仿宋_GB2312"/>
          <w:color w:val="auto"/>
          <w:sz w:val="28"/>
          <w:szCs w:val="28"/>
          <w:lang w:val="en-US" w:eastAsia="zh-CN"/>
        </w:rPr>
        <w:t>六</w:t>
      </w:r>
      <w:r>
        <w:rPr>
          <w:rFonts w:hint="eastAsia" w:ascii="仿宋_GB2312" w:hAnsi="仿宋_GB2312" w:eastAsia="仿宋_GB2312" w:cs="仿宋_GB2312"/>
          <w:color w:val="auto"/>
          <w:sz w:val="28"/>
          <w:szCs w:val="28"/>
        </w:rPr>
        <w:t>、</w:t>
      </w:r>
      <w:bookmarkEnd w:id="133"/>
      <w:bookmarkEnd w:id="134"/>
      <w:bookmarkEnd w:id="135"/>
      <w:bookmarkEnd w:id="136"/>
      <w:bookmarkEnd w:id="137"/>
      <w:bookmarkEnd w:id="138"/>
      <w:bookmarkEnd w:id="139"/>
      <w:r>
        <w:rPr>
          <w:rFonts w:hint="eastAsia" w:ascii="仿宋_GB2312" w:hAnsi="仿宋_GB2312" w:eastAsia="仿宋_GB2312" w:cs="仿宋_GB2312"/>
          <w:color w:val="auto"/>
          <w:sz w:val="28"/>
          <w:szCs w:val="28"/>
          <w:lang w:val="en-US" w:eastAsia="zh-CN"/>
        </w:rPr>
        <w:t>响应文件开启</w:t>
      </w:r>
    </w:p>
    <w:p w14:paraId="79E4012F">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w:t>
      </w:r>
      <w:r>
        <w:rPr>
          <w:rFonts w:hint="eastAsia" w:ascii="仿宋_GB2312" w:hAnsi="仿宋_GB2312" w:eastAsia="仿宋_GB2312" w:cs="仿宋_GB2312"/>
          <w:color w:val="auto"/>
          <w:sz w:val="28"/>
          <w:szCs w:val="28"/>
          <w:lang w:val="en-US" w:eastAsia="zh-CN"/>
        </w:rPr>
        <w:t>集中采购机构</w:t>
      </w:r>
      <w:r>
        <w:rPr>
          <w:rFonts w:hint="eastAsia" w:ascii="仿宋_GB2312" w:hAnsi="仿宋_GB2312" w:eastAsia="仿宋_GB2312" w:cs="仿宋_GB2312"/>
          <w:color w:val="auto"/>
          <w:sz w:val="28"/>
          <w:szCs w:val="28"/>
        </w:rPr>
        <w:t>组织响应文件开启、评审工作，整个过程受政府采购监管机构的监督、管理。</w:t>
      </w:r>
    </w:p>
    <w:p w14:paraId="1614CC79">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（二）</w:t>
      </w:r>
      <w:r>
        <w:rPr>
          <w:rFonts w:hint="eastAsia" w:ascii="仿宋_GB2312" w:hAnsi="仿宋_GB2312" w:eastAsia="仿宋_GB2312" w:cs="仿宋_GB2312"/>
          <w:b/>
          <w:bCs/>
          <w:color w:val="auto"/>
          <w:sz w:val="28"/>
          <w:szCs w:val="28"/>
          <w:lang w:val="en-US" w:eastAsia="zh-CN"/>
        </w:rPr>
        <w:t>本项目采用“不见面开标”方式。供应商需在开启前最少一小时登录全国公共资源交易平台（汉中市）首页选择“不见面开标”自行调试。并按照工作人员要求进行响应文件解密，远程观看开启直播。如遇困难，请拨打系统平台技术支持电话：4009980000。</w:t>
      </w:r>
    </w:p>
    <w:p w14:paraId="2C76B39A">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lang w:val="en-US" w:eastAsia="zh-CN"/>
        </w:rPr>
        <w:t>响应</w:t>
      </w:r>
      <w:r>
        <w:rPr>
          <w:rFonts w:hint="eastAsia" w:ascii="仿宋_GB2312" w:hAnsi="仿宋_GB2312" w:eastAsia="仿宋_GB2312" w:cs="仿宋_GB2312"/>
          <w:b/>
          <w:bCs/>
          <w:color w:val="auto"/>
          <w:sz w:val="28"/>
          <w:szCs w:val="28"/>
        </w:rPr>
        <w:t>人需安装新点播放器，以便观看远程不见面开标直播画面（播放器下载链接为：http://sxggzyjy.hanzhong.gov.cn/fwzn/004003/20230223/17ebe025-dd9a-4eba-b702-8f1696646f01.html）。</w:t>
      </w:r>
    </w:p>
    <w:p w14:paraId="018E0CA6">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供应商不足3家的，不得开启响应文件。</w:t>
      </w:r>
    </w:p>
    <w:p w14:paraId="2529B2A4">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（三）响应文件开启时，</w:t>
      </w:r>
      <w:r>
        <w:rPr>
          <w:rFonts w:hint="eastAsia" w:ascii="仿宋_GB2312" w:hAnsi="仿宋_GB2312" w:eastAsia="仿宋_GB2312" w:cs="仿宋_GB2312"/>
          <w:color w:val="auto"/>
          <w:sz w:val="28"/>
          <w:szCs w:val="28"/>
          <w:lang w:val="en-US" w:eastAsia="zh-CN"/>
        </w:rPr>
        <w:t>集中采购机构</w:t>
      </w:r>
      <w:r>
        <w:rPr>
          <w:rFonts w:hint="eastAsia" w:ascii="仿宋_GB2312" w:hAnsi="仿宋_GB2312" w:eastAsia="仿宋_GB2312" w:cs="仿宋_GB2312"/>
          <w:color w:val="auto"/>
          <w:sz w:val="28"/>
          <w:szCs w:val="28"/>
        </w:rPr>
        <w:t>现场工作人员将根据项目</w:t>
      </w:r>
      <w:r>
        <w:rPr>
          <w:rFonts w:hint="eastAsia" w:ascii="仿宋_GB2312" w:hAnsi="仿宋_GB2312" w:eastAsia="仿宋_GB2312" w:cs="仿宋_GB2312"/>
          <w:color w:val="auto"/>
          <w:sz w:val="28"/>
          <w:szCs w:val="28"/>
          <w:lang w:val="en-US" w:eastAsia="zh-CN"/>
        </w:rPr>
        <w:t>响应家</w:t>
      </w:r>
      <w:r>
        <w:rPr>
          <w:rFonts w:hint="eastAsia" w:ascii="仿宋_GB2312" w:hAnsi="仿宋_GB2312" w:eastAsia="仿宋_GB2312" w:cs="仿宋_GB2312"/>
          <w:color w:val="auto"/>
          <w:sz w:val="28"/>
          <w:szCs w:val="28"/>
        </w:rPr>
        <w:t>数约定解密时长，供应商应在规定时间内，须使用电子响应文件加密时所用的数字认证证书（CA锁）自行解密电子响应文件，未在规定时间内解密的，视为无效</w:t>
      </w:r>
      <w:r>
        <w:rPr>
          <w:rFonts w:hint="eastAsia" w:ascii="仿宋_GB2312" w:hAnsi="仿宋_GB2312" w:eastAsia="仿宋_GB2312" w:cs="仿宋_GB2312"/>
          <w:color w:val="auto"/>
          <w:sz w:val="28"/>
          <w:szCs w:val="28"/>
          <w:lang w:val="en-US" w:eastAsia="zh-CN"/>
        </w:rPr>
        <w:t>响应</w:t>
      </w:r>
      <w:r>
        <w:rPr>
          <w:rFonts w:hint="eastAsia" w:ascii="仿宋_GB2312" w:hAnsi="仿宋_GB2312" w:eastAsia="仿宋_GB2312" w:cs="仿宋_GB2312"/>
          <w:color w:val="auto"/>
          <w:sz w:val="28"/>
          <w:szCs w:val="28"/>
        </w:rPr>
        <w:t>。</w:t>
      </w:r>
    </w:p>
    <w:p w14:paraId="3EB8433A">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highlight w:val="yellow"/>
        </w:rPr>
      </w:pPr>
      <w:r>
        <w:rPr>
          <w:rFonts w:hint="eastAsia" w:ascii="仿宋_GB2312" w:hAnsi="仿宋_GB2312" w:eastAsia="仿宋_GB2312" w:cs="仿宋_GB2312"/>
          <w:color w:val="auto"/>
          <w:sz w:val="28"/>
          <w:szCs w:val="28"/>
          <w:highlight w:val="none"/>
        </w:rPr>
        <w:t>（四）</w:t>
      </w:r>
      <w:r>
        <w:rPr>
          <w:rFonts w:hint="eastAsia" w:ascii="仿宋_GB2312" w:hAnsi="仿宋_GB2312" w:eastAsia="仿宋_GB2312" w:cs="仿宋_GB2312"/>
          <w:color w:val="auto"/>
          <w:sz w:val="28"/>
          <w:szCs w:val="28"/>
          <w:lang w:val="en-US" w:eastAsia="zh-CN"/>
        </w:rPr>
        <w:t>响应人</w:t>
      </w:r>
      <w:r>
        <w:rPr>
          <w:rFonts w:hint="eastAsia" w:ascii="仿宋_GB2312" w:hAnsi="仿宋_GB2312" w:eastAsia="仿宋_GB2312" w:cs="仿宋_GB2312"/>
          <w:color w:val="auto"/>
          <w:sz w:val="28"/>
          <w:szCs w:val="28"/>
        </w:rPr>
        <w:t>对响应文件开启过程和记录有疑义，以及认为采购人、</w:t>
      </w:r>
      <w:r>
        <w:rPr>
          <w:rFonts w:hint="eastAsia" w:ascii="仿宋_GB2312" w:hAnsi="仿宋_GB2312" w:eastAsia="仿宋_GB2312" w:cs="仿宋_GB2312"/>
          <w:color w:val="auto"/>
          <w:sz w:val="28"/>
          <w:szCs w:val="28"/>
          <w:lang w:val="en-US" w:eastAsia="zh-CN"/>
        </w:rPr>
        <w:t>集中采购机构</w:t>
      </w:r>
      <w:r>
        <w:rPr>
          <w:rFonts w:hint="eastAsia" w:ascii="仿宋_GB2312" w:hAnsi="仿宋_GB2312" w:eastAsia="仿宋_GB2312" w:cs="仿宋_GB2312"/>
          <w:color w:val="auto"/>
          <w:sz w:val="28"/>
          <w:szCs w:val="28"/>
        </w:rPr>
        <w:t>相关工作人员有需要回避情形的，应在</w:t>
      </w:r>
      <w:r>
        <w:rPr>
          <w:rFonts w:hint="eastAsia" w:ascii="仿宋_GB2312" w:hAnsi="仿宋_GB2312" w:eastAsia="仿宋_GB2312" w:cs="仿宋_GB2312"/>
          <w:color w:val="auto"/>
          <w:sz w:val="28"/>
          <w:szCs w:val="28"/>
          <w:lang w:val="en-US" w:eastAsia="zh-CN"/>
        </w:rPr>
        <w:t>不见面开标大厅</w:t>
      </w:r>
      <w:r>
        <w:rPr>
          <w:rFonts w:hint="eastAsia" w:ascii="仿宋_GB2312" w:hAnsi="仿宋_GB2312" w:eastAsia="仿宋_GB2312" w:cs="仿宋_GB2312"/>
          <w:color w:val="auto"/>
          <w:sz w:val="28"/>
          <w:szCs w:val="28"/>
        </w:rPr>
        <w:t>提出询问或回避申请，采购人、</w:t>
      </w:r>
      <w:r>
        <w:rPr>
          <w:rFonts w:hint="eastAsia" w:ascii="仿宋_GB2312" w:hAnsi="仿宋_GB2312" w:eastAsia="仿宋_GB2312" w:cs="仿宋_GB2312"/>
          <w:color w:val="auto"/>
          <w:sz w:val="28"/>
          <w:szCs w:val="28"/>
          <w:lang w:val="en-US" w:eastAsia="zh-CN"/>
        </w:rPr>
        <w:t>集中采购机构</w:t>
      </w:r>
      <w:r>
        <w:rPr>
          <w:rFonts w:hint="eastAsia" w:ascii="仿宋_GB2312" w:hAnsi="仿宋_GB2312" w:eastAsia="仿宋_GB2312" w:cs="仿宋_GB2312"/>
          <w:color w:val="auto"/>
          <w:sz w:val="28"/>
          <w:szCs w:val="28"/>
        </w:rPr>
        <w:t>应当及时处理。</w:t>
      </w:r>
    </w:p>
    <w:p w14:paraId="0675FFA4">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（五）响应供应商未参加响应文件开启的，视同认可</w:t>
      </w:r>
      <w:r>
        <w:rPr>
          <w:rFonts w:hint="eastAsia" w:ascii="仿宋_GB2312" w:hAnsi="仿宋_GB2312" w:eastAsia="仿宋_GB2312" w:cs="仿宋_GB2312"/>
          <w:color w:val="auto"/>
          <w:sz w:val="28"/>
          <w:szCs w:val="28"/>
          <w:lang w:val="en-US" w:eastAsia="zh-CN"/>
        </w:rPr>
        <w:t>开启</w:t>
      </w:r>
      <w:r>
        <w:rPr>
          <w:rFonts w:hint="eastAsia" w:ascii="仿宋_GB2312" w:hAnsi="仿宋_GB2312" w:eastAsia="仿宋_GB2312" w:cs="仿宋_GB2312"/>
          <w:color w:val="auto"/>
          <w:sz w:val="28"/>
          <w:szCs w:val="28"/>
        </w:rPr>
        <w:t>结果。</w:t>
      </w:r>
    </w:p>
    <w:p w14:paraId="0C3EC45D">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（六）在响应文件开启出现下列情况之一的，其响应文件视为无效文件：</w:t>
      </w:r>
    </w:p>
    <w:p w14:paraId="6EBC97D3">
      <w:pPr>
        <w:keepNext w:val="0"/>
        <w:keepLines w:val="0"/>
        <w:pageBreakBefore w:val="0"/>
        <w:widowControl/>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1、供应商拒绝对电子响应文件进行解密的；</w:t>
      </w:r>
    </w:p>
    <w:p w14:paraId="582BA926">
      <w:pPr>
        <w:keepNext w:val="0"/>
        <w:keepLines w:val="0"/>
        <w:pageBreakBefore w:val="0"/>
        <w:widowControl/>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2、因供应商自身原因（如迟到、或所</w:t>
      </w:r>
      <w:r>
        <w:rPr>
          <w:rFonts w:hint="eastAsia" w:ascii="仿宋_GB2312" w:hAnsi="仿宋_GB2312" w:eastAsia="仿宋_GB2312" w:cs="仿宋_GB2312"/>
          <w:color w:val="auto"/>
          <w:sz w:val="28"/>
          <w:szCs w:val="28"/>
          <w:lang w:val="en-US" w:eastAsia="zh-CN"/>
        </w:rPr>
        <w:t>用</w:t>
      </w:r>
      <w:r>
        <w:rPr>
          <w:rFonts w:hint="eastAsia" w:ascii="仿宋_GB2312" w:hAnsi="仿宋_GB2312" w:eastAsia="仿宋_GB2312" w:cs="仿宋_GB2312"/>
          <w:color w:val="auto"/>
          <w:sz w:val="28"/>
          <w:szCs w:val="28"/>
        </w:rPr>
        <w:t>CA锁与制作电子响应文件使用的CA锁不一致、或沿用旧版磋商文件编制响应文件等情形），导致在规定时间内无法解密响应文件的；</w:t>
      </w:r>
    </w:p>
    <w:p w14:paraId="2DE49FEB">
      <w:pPr>
        <w:keepNext w:val="0"/>
        <w:keepLines w:val="0"/>
        <w:pageBreakBefore w:val="0"/>
        <w:widowControl/>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3、上传的电子响应文件无法打开的；</w:t>
      </w:r>
    </w:p>
    <w:p w14:paraId="0B86A58D">
      <w:pPr>
        <w:keepNext w:val="0"/>
        <w:keepLines w:val="0"/>
        <w:pageBreakBefore w:val="0"/>
        <w:widowControl/>
        <w:kinsoku/>
        <w:wordWrap/>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4、政府采购法律法规规定的其他无效情形。</w:t>
      </w:r>
    </w:p>
    <w:p w14:paraId="223AE343">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w:t>
      </w:r>
      <w:r>
        <w:rPr>
          <w:rFonts w:hint="eastAsia" w:ascii="仿宋_GB2312" w:hAnsi="仿宋_GB2312" w:eastAsia="仿宋_GB2312" w:cs="仿宋_GB2312"/>
          <w:b/>
          <w:bCs/>
          <w:color w:val="auto"/>
          <w:sz w:val="28"/>
          <w:szCs w:val="28"/>
          <w:lang w:val="en-US" w:eastAsia="zh-CN"/>
        </w:rPr>
        <w:t>七</w:t>
      </w:r>
      <w:r>
        <w:rPr>
          <w:rFonts w:hint="eastAsia" w:ascii="仿宋_GB2312" w:hAnsi="仿宋_GB2312" w:eastAsia="仿宋_GB2312" w:cs="仿宋_GB2312"/>
          <w:b/>
          <w:bCs/>
          <w:color w:val="auto"/>
          <w:sz w:val="28"/>
          <w:szCs w:val="28"/>
        </w:rPr>
        <w:t>）特殊情形下的应急处置</w:t>
      </w:r>
    </w:p>
    <w:p w14:paraId="7714A1EE">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在响应文件开启、评审过程中，如因停电、断网、电子化系统故障等特殊原因导致电子化开、评审工作无法正常进行时，将视文件解密情况特殊处理。</w:t>
      </w:r>
    </w:p>
    <w:p w14:paraId="13B31A89">
      <w:pPr>
        <w:pStyle w:val="2"/>
        <w:pageBreakBefore w:val="0"/>
        <w:widowControl/>
        <w:kinsoku/>
        <w:overflowPunct/>
        <w:topLinePunct w:val="0"/>
        <w:autoSpaceDE/>
        <w:autoSpaceDN/>
        <w:bidi w:val="0"/>
        <w:adjustRightInd/>
        <w:snapToGrid/>
        <w:spacing w:after="0" w:line="560" w:lineRule="exact"/>
        <w:ind w:firstLine="567"/>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1、响应文件开启时文件未解密的，将另行确定时间继续完成</w:t>
      </w:r>
      <w:r>
        <w:rPr>
          <w:rFonts w:hint="eastAsia" w:ascii="仿宋_GB2312" w:hAnsi="仿宋_GB2312" w:eastAsia="仿宋_GB2312" w:cs="仿宋_GB2312"/>
          <w:color w:val="auto"/>
          <w:sz w:val="28"/>
          <w:szCs w:val="28"/>
          <w:lang w:val="en-US" w:eastAsia="zh-CN"/>
        </w:rPr>
        <w:t>开启</w:t>
      </w:r>
      <w:r>
        <w:rPr>
          <w:rFonts w:hint="eastAsia" w:ascii="仿宋_GB2312" w:hAnsi="仿宋_GB2312" w:eastAsia="仿宋_GB2312" w:cs="仿宋_GB2312"/>
          <w:color w:val="auto"/>
          <w:sz w:val="28"/>
          <w:szCs w:val="28"/>
        </w:rPr>
        <w:t>程序；</w:t>
      </w:r>
    </w:p>
    <w:p w14:paraId="6F67489B">
      <w:pPr>
        <w:pageBreakBefore w:val="0"/>
        <w:widowControl/>
        <w:kinsoku/>
        <w:overflowPunct/>
        <w:topLinePunct w:val="0"/>
        <w:autoSpaceDE/>
        <w:autoSpaceDN/>
        <w:bidi w:val="0"/>
        <w:adjustRightInd/>
        <w:snapToGrid/>
        <w:spacing w:line="560" w:lineRule="exact"/>
        <w:ind w:firstLine="566"/>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2、文件已解密但评审结论未形成的，将发布</w:t>
      </w:r>
      <w:r>
        <w:rPr>
          <w:rFonts w:hint="eastAsia" w:ascii="仿宋_GB2312" w:hAnsi="仿宋_GB2312" w:eastAsia="仿宋_GB2312" w:cs="仿宋_GB2312"/>
          <w:color w:val="auto"/>
          <w:sz w:val="28"/>
          <w:szCs w:val="28"/>
          <w:lang w:val="en-US" w:eastAsia="zh-CN"/>
        </w:rPr>
        <w:t>终止</w:t>
      </w:r>
      <w:r>
        <w:rPr>
          <w:rFonts w:hint="eastAsia" w:ascii="仿宋_GB2312" w:hAnsi="仿宋_GB2312" w:eastAsia="仿宋_GB2312" w:cs="仿宋_GB2312"/>
          <w:color w:val="auto"/>
          <w:sz w:val="28"/>
          <w:szCs w:val="28"/>
        </w:rPr>
        <w:t>公告，重新组织采购活动；</w:t>
      </w:r>
    </w:p>
    <w:p w14:paraId="2FCA4E2B">
      <w:pPr>
        <w:pStyle w:val="2"/>
        <w:pageBreakBefore w:val="0"/>
        <w:widowControl/>
        <w:kinsoku/>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3、文件已解密且评审结论已形成的，待特殊情况排除后，继续完成评审活动。</w:t>
      </w:r>
      <w:bookmarkStart w:id="140" w:name="_Toc8460"/>
      <w:bookmarkStart w:id="141" w:name="_Toc31720"/>
      <w:bookmarkStart w:id="142" w:name="_Toc8349"/>
    </w:p>
    <w:p w14:paraId="4562FC2E">
      <w:pPr>
        <w:pStyle w:val="4"/>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bookmarkStart w:id="143" w:name="_Toc31905"/>
      <w:r>
        <w:rPr>
          <w:rFonts w:hint="eastAsia" w:ascii="仿宋_GB2312" w:hAnsi="仿宋_GB2312" w:eastAsia="仿宋_GB2312" w:cs="仿宋_GB2312"/>
          <w:color w:val="auto"/>
          <w:sz w:val="28"/>
          <w:szCs w:val="28"/>
          <w:lang w:val="en-US" w:eastAsia="zh-CN"/>
        </w:rPr>
        <w:t>七</w:t>
      </w:r>
      <w:r>
        <w:rPr>
          <w:rFonts w:hint="eastAsia" w:ascii="仿宋_GB2312" w:hAnsi="仿宋_GB2312" w:eastAsia="仿宋_GB2312" w:cs="仿宋_GB2312"/>
          <w:color w:val="auto"/>
          <w:sz w:val="28"/>
          <w:szCs w:val="28"/>
        </w:rPr>
        <w:t>、组织评审</w:t>
      </w:r>
      <w:bookmarkEnd w:id="124"/>
      <w:bookmarkEnd w:id="125"/>
      <w:bookmarkEnd w:id="126"/>
      <w:bookmarkEnd w:id="140"/>
      <w:bookmarkEnd w:id="141"/>
      <w:bookmarkEnd w:id="142"/>
      <w:bookmarkEnd w:id="143"/>
    </w:p>
    <w:p w14:paraId="6EF2CA41">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bCs/>
          <w:color w:val="auto"/>
          <w:sz w:val="28"/>
          <w:szCs w:val="28"/>
        </w:rPr>
      </w:pPr>
      <w:bookmarkStart w:id="144" w:name="_Toc3816_WPSOffice_Level3"/>
      <w:r>
        <w:rPr>
          <w:rFonts w:hint="eastAsia" w:ascii="仿宋_GB2312" w:hAnsi="仿宋_GB2312" w:eastAsia="仿宋_GB2312" w:cs="仿宋_GB2312"/>
          <w:b/>
          <w:bCs/>
          <w:color w:val="auto"/>
          <w:sz w:val="28"/>
          <w:szCs w:val="28"/>
          <w:shd w:val="clear" w:color="auto" w:fill="FFFFFF"/>
        </w:rPr>
        <w:t>（一）</w:t>
      </w:r>
      <w:bookmarkEnd w:id="144"/>
      <w:r>
        <w:rPr>
          <w:rFonts w:hint="eastAsia" w:ascii="仿宋_GB2312" w:hAnsi="仿宋_GB2312" w:eastAsia="仿宋_GB2312" w:cs="仿宋_GB2312"/>
          <w:b/>
          <w:bCs/>
          <w:color w:val="auto"/>
          <w:sz w:val="28"/>
          <w:szCs w:val="28"/>
        </w:rPr>
        <w:t>成立磋商小组</w:t>
      </w:r>
    </w:p>
    <w:p w14:paraId="3B160738">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1、为了确保磋商工作的公平、公正，依据政府采购法和政府采购相关法规、规章，成立磋商小组，磋商小组由采购人代表和评审专家共3人以上单数组成，其中评审专家人数不少于磋商小组成员总数的三分之二。</w:t>
      </w:r>
    </w:p>
    <w:p w14:paraId="0D045EFC">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评审专家对本单位的采购项目只能作为采购人代表参与评审。采购代理机构工作人员不得参加由本机构代理的政府采购项目的评审。</w:t>
      </w:r>
    </w:p>
    <w:p w14:paraId="1509A50A">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磋商小组成员名单在评审结果公告前应当保密。</w:t>
      </w:r>
    </w:p>
    <w:p w14:paraId="02EB5843">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评审专家将从政府采购评审专家库内相关专业的专家名单中随机抽取。市场竞争不充分的科研项目、需要扶持的科技成果转化项目，以及情况特殊、通过随机方式难以确定合适的评审专家的项目，经主管预算单位同意，可以自行选定评审专家。技术复杂、专业性强的采购项目，评审专家中应当包含1名法律专家。</w:t>
      </w:r>
    </w:p>
    <w:p w14:paraId="3ED0858D">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3、评审中因磋商小组成员缺席、回避或者健康等特殊原因导致磋商小组组成不符合规定的，</w:t>
      </w:r>
      <w:r>
        <w:rPr>
          <w:rFonts w:hint="eastAsia" w:ascii="仿宋_GB2312" w:hAnsi="仿宋_GB2312" w:eastAsia="仿宋_GB2312" w:cs="仿宋_GB2312"/>
          <w:color w:val="auto"/>
          <w:sz w:val="28"/>
          <w:szCs w:val="28"/>
          <w:lang w:val="en-US" w:eastAsia="zh-CN"/>
        </w:rPr>
        <w:t>集中采购机构</w:t>
      </w:r>
      <w:r>
        <w:rPr>
          <w:rFonts w:hint="eastAsia" w:ascii="仿宋_GB2312" w:hAnsi="仿宋_GB2312" w:eastAsia="仿宋_GB2312" w:cs="仿宋_GB2312"/>
          <w:color w:val="auto"/>
          <w:sz w:val="28"/>
          <w:szCs w:val="28"/>
        </w:rPr>
        <w:t>应当依法补足后继续评审。被更换的磋商小组成员所做出的评审意见无效。无法及时补足磋商小组成员的，</w:t>
      </w:r>
      <w:r>
        <w:rPr>
          <w:rFonts w:hint="eastAsia" w:ascii="仿宋_GB2312" w:hAnsi="仿宋_GB2312" w:eastAsia="仿宋_GB2312" w:cs="仿宋_GB2312"/>
          <w:color w:val="auto"/>
          <w:sz w:val="28"/>
          <w:szCs w:val="28"/>
          <w:lang w:val="en-US" w:eastAsia="zh-CN"/>
        </w:rPr>
        <w:t>集中采购机构</w:t>
      </w:r>
      <w:r>
        <w:rPr>
          <w:rFonts w:hint="eastAsia" w:ascii="仿宋_GB2312" w:hAnsi="仿宋_GB2312" w:eastAsia="仿宋_GB2312" w:cs="仿宋_GB2312"/>
          <w:color w:val="auto"/>
          <w:sz w:val="28"/>
          <w:szCs w:val="28"/>
        </w:rPr>
        <w:t>应当停止评审活动，封存所有响应文件和开标、评审资料，依法重新组建磋商小组进行评审。原磋商小组所做出的评审意见无效。</w:t>
      </w:r>
    </w:p>
    <w:p w14:paraId="5AB6945B">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集中采购机构</w:t>
      </w:r>
      <w:r>
        <w:rPr>
          <w:rFonts w:hint="eastAsia" w:ascii="仿宋_GB2312" w:hAnsi="仿宋_GB2312" w:eastAsia="仿宋_GB2312" w:cs="仿宋_GB2312"/>
          <w:color w:val="auto"/>
          <w:sz w:val="28"/>
          <w:szCs w:val="28"/>
        </w:rPr>
        <w:t>应当将变更、重新组建磋商小组的情况予以记录，并随采购文件一并存档。</w:t>
      </w:r>
    </w:p>
    <w:p w14:paraId="11F649E2">
      <w:pPr>
        <w:pStyle w:val="17"/>
        <w:pageBreakBefore w:val="0"/>
        <w:widowControl/>
        <w:kinsoku/>
        <w:overflowPunct/>
        <w:topLinePunct w:val="0"/>
        <w:autoSpaceDE/>
        <w:autoSpaceDN/>
        <w:bidi w:val="0"/>
        <w:adjustRightInd/>
        <w:snapToGrid/>
        <w:spacing w:beforeAutospacing="0" w:afterAutospacing="0" w:line="560" w:lineRule="exact"/>
        <w:ind w:firstLine="420"/>
        <w:textAlignment w:val="auto"/>
        <w:rPr>
          <w:rFonts w:hint="eastAsia" w:ascii="仿宋_GB2312" w:hAnsi="仿宋_GB2312" w:eastAsia="仿宋_GB2312" w:cs="仿宋_GB2312"/>
          <w:b/>
          <w:bCs/>
          <w:color w:val="auto"/>
          <w:sz w:val="28"/>
          <w:szCs w:val="28"/>
        </w:rPr>
      </w:pPr>
      <w:bookmarkStart w:id="145" w:name="_Toc3147_WPSOffice_Level3"/>
      <w:r>
        <w:rPr>
          <w:rFonts w:hint="eastAsia" w:ascii="仿宋_GB2312" w:hAnsi="仿宋_GB2312" w:eastAsia="仿宋_GB2312" w:cs="仿宋_GB2312"/>
          <w:b/>
          <w:bCs/>
          <w:color w:val="auto"/>
          <w:sz w:val="28"/>
          <w:szCs w:val="28"/>
          <w:shd w:val="clear" w:color="auto" w:fill="FFFFFF"/>
        </w:rPr>
        <w:t>（二）磋商小组负责具体评审事务，并独立履行下列职责：</w:t>
      </w:r>
      <w:bookmarkEnd w:id="145"/>
    </w:p>
    <w:p w14:paraId="3EFB6E50">
      <w:pPr>
        <w:pStyle w:val="17"/>
        <w:pageBreakBefore w:val="0"/>
        <w:widowControl/>
        <w:kinsoku/>
        <w:overflowPunct/>
        <w:topLinePunct w:val="0"/>
        <w:autoSpaceDE/>
        <w:autoSpaceDN/>
        <w:bidi w:val="0"/>
        <w:adjustRightInd/>
        <w:snapToGrid/>
        <w:spacing w:beforeAutospacing="0" w:afterAutospacing="0" w:line="560" w:lineRule="exact"/>
        <w:ind w:firstLine="566" w:firstLineChars="200"/>
        <w:textAlignment w:val="auto"/>
        <w:rPr>
          <w:rFonts w:hint="eastAsia" w:ascii="仿宋_GB2312" w:hAnsi="仿宋_GB2312" w:eastAsia="仿宋_GB2312" w:cs="仿宋_GB2312"/>
          <w:color w:val="auto"/>
          <w:sz w:val="28"/>
          <w:szCs w:val="28"/>
          <w:shd w:val="clear" w:color="auto" w:fill="FFFFFF"/>
          <w:lang w:val="en-US" w:eastAsia="zh-CN"/>
        </w:rPr>
      </w:pPr>
      <w:r>
        <w:rPr>
          <w:rFonts w:hint="eastAsia" w:ascii="仿宋_GB2312" w:hAnsi="仿宋_GB2312" w:eastAsia="仿宋_GB2312" w:cs="仿宋_GB2312"/>
          <w:color w:val="auto"/>
          <w:sz w:val="28"/>
          <w:szCs w:val="28"/>
          <w:shd w:val="clear" w:color="auto" w:fill="FFFFFF"/>
          <w:lang w:val="en-US" w:eastAsia="zh-CN"/>
        </w:rPr>
        <w:t>1、遵守评审工作纪律，不得泄露评审情况和评审中获悉的商业秘密；</w:t>
      </w:r>
    </w:p>
    <w:p w14:paraId="7DEC79FC">
      <w:pPr>
        <w:pStyle w:val="17"/>
        <w:pageBreakBefore w:val="0"/>
        <w:widowControl/>
        <w:kinsoku/>
        <w:overflowPunct/>
        <w:topLinePunct w:val="0"/>
        <w:autoSpaceDE/>
        <w:autoSpaceDN/>
        <w:bidi w:val="0"/>
        <w:adjustRightInd/>
        <w:snapToGrid/>
        <w:spacing w:beforeAutospacing="0" w:afterAutospacing="0" w:line="560" w:lineRule="exact"/>
        <w:ind w:firstLine="566" w:firstLineChars="200"/>
        <w:textAlignment w:val="auto"/>
        <w:rPr>
          <w:rFonts w:hint="eastAsia" w:ascii="仿宋_GB2312" w:hAnsi="仿宋_GB2312" w:eastAsia="仿宋_GB2312" w:cs="仿宋_GB2312"/>
          <w:color w:val="auto"/>
          <w:sz w:val="28"/>
          <w:szCs w:val="28"/>
          <w:shd w:val="clear" w:color="auto" w:fill="FFFFFF"/>
        </w:rPr>
      </w:pPr>
      <w:r>
        <w:rPr>
          <w:rFonts w:hint="eastAsia" w:ascii="仿宋_GB2312" w:hAnsi="仿宋_GB2312" w:eastAsia="仿宋_GB2312" w:cs="仿宋_GB2312"/>
          <w:color w:val="auto"/>
          <w:sz w:val="28"/>
          <w:szCs w:val="28"/>
          <w:shd w:val="clear" w:color="auto" w:fill="FFFFFF"/>
          <w:lang w:val="en-US" w:eastAsia="zh-CN"/>
        </w:rPr>
        <w:t xml:space="preserve">2、按照客观、公正、审慎的原则，根据磋商文件规定的评审程序、评审方法和评审标准进行独立评审； </w:t>
      </w:r>
    </w:p>
    <w:p w14:paraId="2042BA1E">
      <w:pPr>
        <w:pStyle w:val="17"/>
        <w:pageBreakBefore w:val="0"/>
        <w:widowControl/>
        <w:kinsoku/>
        <w:overflowPunct/>
        <w:topLinePunct w:val="0"/>
        <w:autoSpaceDE/>
        <w:autoSpaceDN/>
        <w:bidi w:val="0"/>
        <w:adjustRightInd/>
        <w:snapToGrid/>
        <w:spacing w:beforeAutospacing="0" w:afterAutospacing="0" w:line="560" w:lineRule="exact"/>
        <w:ind w:firstLine="566" w:firstLineChars="200"/>
        <w:textAlignment w:val="auto"/>
        <w:rPr>
          <w:rFonts w:hint="eastAsia" w:ascii="仿宋_GB2312" w:hAnsi="仿宋_GB2312" w:eastAsia="仿宋_GB2312" w:cs="仿宋_GB2312"/>
          <w:color w:val="auto"/>
          <w:sz w:val="28"/>
          <w:szCs w:val="28"/>
          <w:shd w:val="clear" w:color="auto" w:fill="FFFFFF"/>
        </w:rPr>
      </w:pPr>
      <w:r>
        <w:rPr>
          <w:rFonts w:hint="eastAsia" w:ascii="仿宋_GB2312" w:hAnsi="仿宋_GB2312" w:eastAsia="仿宋_GB2312" w:cs="仿宋_GB2312"/>
          <w:color w:val="auto"/>
          <w:sz w:val="28"/>
          <w:szCs w:val="28"/>
          <w:shd w:val="clear" w:color="auto" w:fill="FFFFFF"/>
          <w:lang w:val="en-US" w:eastAsia="zh-CN"/>
        </w:rPr>
        <w:t xml:space="preserve">3、要求供应商对响应文件有关事项做出澄清或者说明； </w:t>
      </w:r>
    </w:p>
    <w:p w14:paraId="092E5B36">
      <w:pPr>
        <w:pStyle w:val="17"/>
        <w:pageBreakBefore w:val="0"/>
        <w:widowControl/>
        <w:kinsoku/>
        <w:overflowPunct/>
        <w:topLinePunct w:val="0"/>
        <w:autoSpaceDE/>
        <w:autoSpaceDN/>
        <w:bidi w:val="0"/>
        <w:adjustRightInd/>
        <w:snapToGrid/>
        <w:spacing w:beforeAutospacing="0" w:afterAutospacing="0" w:line="560" w:lineRule="exact"/>
        <w:ind w:firstLine="566" w:firstLineChars="200"/>
        <w:textAlignment w:val="auto"/>
        <w:rPr>
          <w:rFonts w:hint="eastAsia" w:ascii="仿宋_GB2312" w:hAnsi="仿宋_GB2312" w:eastAsia="仿宋_GB2312" w:cs="仿宋_GB2312"/>
          <w:color w:val="auto"/>
          <w:sz w:val="28"/>
          <w:szCs w:val="28"/>
          <w:shd w:val="clear" w:color="auto" w:fill="FFFFFF"/>
        </w:rPr>
      </w:pPr>
      <w:r>
        <w:rPr>
          <w:rFonts w:hint="eastAsia" w:ascii="仿宋_GB2312" w:hAnsi="仿宋_GB2312" w:eastAsia="仿宋_GB2312" w:cs="仿宋_GB2312"/>
          <w:color w:val="auto"/>
          <w:sz w:val="28"/>
          <w:szCs w:val="28"/>
          <w:shd w:val="clear" w:color="auto" w:fill="FFFFFF"/>
          <w:lang w:val="en-US" w:eastAsia="zh-CN"/>
        </w:rPr>
        <w:t xml:space="preserve">4、与供应商分别进行磋商； </w:t>
      </w:r>
    </w:p>
    <w:p w14:paraId="51D2050D">
      <w:pPr>
        <w:pStyle w:val="17"/>
        <w:pageBreakBefore w:val="0"/>
        <w:widowControl/>
        <w:kinsoku/>
        <w:overflowPunct/>
        <w:topLinePunct w:val="0"/>
        <w:autoSpaceDE/>
        <w:autoSpaceDN/>
        <w:bidi w:val="0"/>
        <w:adjustRightInd/>
        <w:snapToGrid/>
        <w:spacing w:beforeAutospacing="0" w:afterAutospacing="0" w:line="560" w:lineRule="exact"/>
        <w:ind w:firstLine="566" w:firstLineChars="200"/>
        <w:textAlignment w:val="auto"/>
        <w:rPr>
          <w:rFonts w:hint="eastAsia" w:ascii="仿宋_GB2312" w:hAnsi="仿宋_GB2312" w:eastAsia="仿宋_GB2312" w:cs="仿宋_GB2312"/>
          <w:color w:val="auto"/>
          <w:sz w:val="28"/>
          <w:szCs w:val="28"/>
          <w:shd w:val="clear" w:color="auto" w:fill="FFFFFF"/>
        </w:rPr>
      </w:pPr>
      <w:r>
        <w:rPr>
          <w:rFonts w:hint="eastAsia" w:ascii="仿宋_GB2312" w:hAnsi="仿宋_GB2312" w:eastAsia="仿宋_GB2312" w:cs="仿宋_GB2312"/>
          <w:color w:val="auto"/>
          <w:sz w:val="28"/>
          <w:szCs w:val="28"/>
          <w:shd w:val="clear" w:color="auto" w:fill="FFFFFF"/>
          <w:lang w:val="en-US" w:eastAsia="zh-CN"/>
        </w:rPr>
        <w:t xml:space="preserve">5、对响应文件进行比较和评价； </w:t>
      </w:r>
    </w:p>
    <w:p w14:paraId="62A920B2">
      <w:pPr>
        <w:pStyle w:val="17"/>
        <w:pageBreakBefore w:val="0"/>
        <w:widowControl/>
        <w:kinsoku/>
        <w:overflowPunct/>
        <w:topLinePunct w:val="0"/>
        <w:autoSpaceDE/>
        <w:autoSpaceDN/>
        <w:bidi w:val="0"/>
        <w:adjustRightInd/>
        <w:snapToGrid/>
        <w:spacing w:beforeAutospacing="0" w:afterAutospacing="0" w:line="560" w:lineRule="exact"/>
        <w:ind w:firstLine="566" w:firstLineChars="200"/>
        <w:textAlignment w:val="auto"/>
        <w:rPr>
          <w:rFonts w:hint="eastAsia" w:ascii="仿宋_GB2312" w:hAnsi="仿宋_GB2312" w:eastAsia="仿宋_GB2312" w:cs="仿宋_GB2312"/>
          <w:color w:val="auto"/>
          <w:sz w:val="28"/>
          <w:szCs w:val="28"/>
          <w:shd w:val="clear" w:color="auto" w:fill="FFFFFF"/>
        </w:rPr>
      </w:pPr>
      <w:r>
        <w:rPr>
          <w:rFonts w:hint="eastAsia" w:ascii="仿宋_GB2312" w:hAnsi="仿宋_GB2312" w:eastAsia="仿宋_GB2312" w:cs="仿宋_GB2312"/>
          <w:color w:val="auto"/>
          <w:sz w:val="28"/>
          <w:szCs w:val="28"/>
          <w:shd w:val="clear" w:color="auto" w:fill="FFFFFF"/>
          <w:lang w:val="en-US" w:eastAsia="zh-CN"/>
        </w:rPr>
        <w:t xml:space="preserve">6、确定成交候选人名单，以及根据采购人委托直接确定成交供应商； </w:t>
      </w:r>
    </w:p>
    <w:p w14:paraId="74D0D22D">
      <w:pPr>
        <w:pStyle w:val="17"/>
        <w:pageBreakBefore w:val="0"/>
        <w:widowControl/>
        <w:kinsoku/>
        <w:overflowPunct/>
        <w:topLinePunct w:val="0"/>
        <w:autoSpaceDE/>
        <w:autoSpaceDN/>
        <w:bidi w:val="0"/>
        <w:adjustRightInd/>
        <w:snapToGrid/>
        <w:spacing w:beforeAutospacing="0" w:afterAutospacing="0" w:line="560" w:lineRule="exact"/>
        <w:ind w:firstLine="566" w:firstLineChars="200"/>
        <w:textAlignment w:val="auto"/>
        <w:rPr>
          <w:rFonts w:hint="eastAsia" w:ascii="仿宋_GB2312" w:hAnsi="仿宋_GB2312" w:eastAsia="仿宋_GB2312" w:cs="仿宋_GB2312"/>
          <w:color w:val="auto"/>
          <w:sz w:val="28"/>
          <w:szCs w:val="28"/>
          <w:shd w:val="clear" w:color="auto" w:fill="FFFFFF"/>
        </w:rPr>
      </w:pPr>
      <w:r>
        <w:rPr>
          <w:rFonts w:hint="eastAsia" w:ascii="仿宋_GB2312" w:hAnsi="仿宋_GB2312" w:eastAsia="仿宋_GB2312" w:cs="仿宋_GB2312"/>
          <w:color w:val="auto"/>
          <w:sz w:val="28"/>
          <w:szCs w:val="28"/>
          <w:shd w:val="clear" w:color="auto" w:fill="FFFFFF"/>
          <w:lang w:val="en-US" w:eastAsia="zh-CN"/>
        </w:rPr>
        <w:t xml:space="preserve">7、配合答复供应商的询问、质疑和投诉等事项，不得泄露评审文件、评审情况和在评审过程中获悉的商业秘密； </w:t>
      </w:r>
    </w:p>
    <w:p w14:paraId="0A5A9C99">
      <w:pPr>
        <w:pStyle w:val="17"/>
        <w:pageBreakBefore w:val="0"/>
        <w:widowControl/>
        <w:kinsoku/>
        <w:overflowPunct/>
        <w:topLinePunct w:val="0"/>
        <w:autoSpaceDE/>
        <w:autoSpaceDN/>
        <w:bidi w:val="0"/>
        <w:adjustRightInd/>
        <w:snapToGrid/>
        <w:spacing w:beforeAutospacing="0" w:afterAutospacing="0"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shd w:val="clear" w:color="auto" w:fill="FFFFFF"/>
          <w:lang w:val="en-US" w:eastAsia="zh-CN"/>
        </w:rPr>
        <w:t xml:space="preserve">8、向采购人、集中采购机构或者有关部门报告评审中发现的违法行为。 </w:t>
      </w:r>
    </w:p>
    <w:p w14:paraId="02D88D2B">
      <w:pPr>
        <w:pStyle w:val="17"/>
        <w:pageBreakBefore w:val="0"/>
        <w:widowControl/>
        <w:kinsoku/>
        <w:overflowPunct/>
        <w:topLinePunct w:val="0"/>
        <w:autoSpaceDE/>
        <w:autoSpaceDN/>
        <w:bidi w:val="0"/>
        <w:adjustRightInd/>
        <w:snapToGrid/>
        <w:spacing w:beforeAutospacing="0" w:afterAutospacing="0" w:line="560" w:lineRule="exact"/>
        <w:ind w:firstLine="420"/>
        <w:textAlignment w:val="auto"/>
        <w:rPr>
          <w:rFonts w:hint="eastAsia" w:ascii="仿宋_GB2312" w:hAnsi="仿宋_GB2312" w:eastAsia="仿宋_GB2312" w:cs="仿宋_GB2312"/>
          <w:b/>
          <w:bCs/>
          <w:color w:val="auto"/>
          <w:sz w:val="28"/>
          <w:szCs w:val="28"/>
        </w:rPr>
      </w:pPr>
      <w:bookmarkStart w:id="146" w:name="_Toc8872_WPSOffice_Level3"/>
      <w:r>
        <w:rPr>
          <w:rFonts w:hint="eastAsia" w:ascii="仿宋_GB2312" w:hAnsi="仿宋_GB2312" w:eastAsia="仿宋_GB2312" w:cs="仿宋_GB2312"/>
          <w:b/>
          <w:bCs/>
          <w:color w:val="auto"/>
          <w:sz w:val="28"/>
          <w:szCs w:val="28"/>
        </w:rPr>
        <w:t>（三）</w:t>
      </w:r>
      <w:r>
        <w:rPr>
          <w:rFonts w:hint="eastAsia" w:ascii="仿宋_GB2312" w:hAnsi="仿宋_GB2312" w:eastAsia="仿宋_GB2312" w:cs="仿宋_GB2312"/>
          <w:b/>
          <w:bCs/>
          <w:color w:val="auto"/>
          <w:sz w:val="28"/>
          <w:szCs w:val="28"/>
          <w:shd w:val="clear" w:color="auto" w:fill="FFFFFF"/>
        </w:rPr>
        <w:t>集中采购机构负责组织评审工作，并履行下列职责：</w:t>
      </w:r>
    </w:p>
    <w:p w14:paraId="74C46912">
      <w:pPr>
        <w:pStyle w:val="17"/>
        <w:pageBreakBefore w:val="0"/>
        <w:widowControl/>
        <w:kinsoku/>
        <w:overflowPunct/>
        <w:topLinePunct w:val="0"/>
        <w:autoSpaceDE/>
        <w:autoSpaceDN/>
        <w:bidi w:val="0"/>
        <w:adjustRightInd/>
        <w:snapToGrid/>
        <w:spacing w:beforeAutospacing="0" w:afterAutospacing="0"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shd w:val="clear" w:color="auto" w:fill="FFFFFF"/>
        </w:rPr>
        <w:t>1、核对评审专家身份和采购人代表授权函，对评审专家在政府采购活动中的职责履行情况予以记录，并及时将有关违法违规行为向财政部门报告;</w:t>
      </w:r>
    </w:p>
    <w:p w14:paraId="10B8E1B7">
      <w:pPr>
        <w:pStyle w:val="17"/>
        <w:pageBreakBefore w:val="0"/>
        <w:widowControl/>
        <w:kinsoku/>
        <w:overflowPunct/>
        <w:topLinePunct w:val="0"/>
        <w:autoSpaceDE/>
        <w:autoSpaceDN/>
        <w:bidi w:val="0"/>
        <w:adjustRightInd/>
        <w:snapToGrid/>
        <w:spacing w:beforeAutospacing="0" w:afterAutospacing="0"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shd w:val="clear" w:color="auto" w:fill="FFFFFF"/>
        </w:rPr>
        <w:t>2、宣布评审纪律;</w:t>
      </w:r>
    </w:p>
    <w:p w14:paraId="72DEEBF1">
      <w:pPr>
        <w:pStyle w:val="17"/>
        <w:pageBreakBefore w:val="0"/>
        <w:widowControl/>
        <w:kinsoku/>
        <w:overflowPunct/>
        <w:topLinePunct w:val="0"/>
        <w:autoSpaceDE/>
        <w:autoSpaceDN/>
        <w:bidi w:val="0"/>
        <w:adjustRightInd/>
        <w:snapToGrid/>
        <w:spacing w:beforeAutospacing="0" w:afterAutospacing="0"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shd w:val="clear" w:color="auto" w:fill="FFFFFF"/>
        </w:rPr>
        <w:t>3、公布</w:t>
      </w:r>
      <w:r>
        <w:rPr>
          <w:rFonts w:hint="eastAsia" w:ascii="仿宋_GB2312" w:hAnsi="仿宋_GB2312" w:eastAsia="仿宋_GB2312" w:cs="仿宋_GB2312"/>
          <w:color w:val="auto"/>
          <w:sz w:val="28"/>
          <w:szCs w:val="28"/>
          <w:shd w:val="clear" w:color="auto" w:fill="FFFFFF"/>
          <w:lang w:val="en-US" w:eastAsia="zh-CN"/>
        </w:rPr>
        <w:t>供应商</w:t>
      </w:r>
      <w:r>
        <w:rPr>
          <w:rFonts w:hint="eastAsia" w:ascii="仿宋_GB2312" w:hAnsi="仿宋_GB2312" w:eastAsia="仿宋_GB2312" w:cs="仿宋_GB2312"/>
          <w:color w:val="auto"/>
          <w:sz w:val="28"/>
          <w:szCs w:val="28"/>
          <w:shd w:val="clear" w:color="auto" w:fill="FFFFFF"/>
        </w:rPr>
        <w:t>名单，告知评审专家应当回避的情形;</w:t>
      </w:r>
    </w:p>
    <w:p w14:paraId="53A21D59">
      <w:pPr>
        <w:pStyle w:val="17"/>
        <w:pageBreakBefore w:val="0"/>
        <w:widowControl/>
        <w:kinsoku/>
        <w:overflowPunct/>
        <w:topLinePunct w:val="0"/>
        <w:autoSpaceDE/>
        <w:autoSpaceDN/>
        <w:bidi w:val="0"/>
        <w:adjustRightInd/>
        <w:snapToGrid/>
        <w:spacing w:beforeAutospacing="0" w:afterAutospacing="0"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shd w:val="clear" w:color="auto" w:fill="FFFFFF"/>
        </w:rPr>
        <w:t>4、组织磋商小组推选评审组长，采购人代表不得担任组长;</w:t>
      </w:r>
    </w:p>
    <w:p w14:paraId="74298CB0">
      <w:pPr>
        <w:pStyle w:val="17"/>
        <w:pageBreakBefore w:val="0"/>
        <w:widowControl/>
        <w:kinsoku/>
        <w:overflowPunct/>
        <w:topLinePunct w:val="0"/>
        <w:autoSpaceDE/>
        <w:autoSpaceDN/>
        <w:bidi w:val="0"/>
        <w:adjustRightInd/>
        <w:snapToGrid/>
        <w:spacing w:beforeAutospacing="0" w:afterAutospacing="0"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shd w:val="clear" w:color="auto" w:fill="FFFFFF"/>
        </w:rPr>
        <w:t>5、在评审期间采取必要的通讯管理措施，保证评审活动不受外界干扰;</w:t>
      </w:r>
    </w:p>
    <w:p w14:paraId="551A2504">
      <w:pPr>
        <w:pStyle w:val="17"/>
        <w:pageBreakBefore w:val="0"/>
        <w:widowControl/>
        <w:kinsoku/>
        <w:overflowPunct/>
        <w:topLinePunct w:val="0"/>
        <w:autoSpaceDE/>
        <w:autoSpaceDN/>
        <w:bidi w:val="0"/>
        <w:adjustRightInd/>
        <w:snapToGrid/>
        <w:spacing w:beforeAutospacing="0" w:afterAutospacing="0"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shd w:val="clear" w:color="auto" w:fill="FFFFFF"/>
        </w:rPr>
        <w:t>6、根据磋商小组的要求介绍政府采购相关政策法规、磋商文件;</w:t>
      </w:r>
    </w:p>
    <w:p w14:paraId="01F4B7B4">
      <w:pPr>
        <w:pStyle w:val="17"/>
        <w:pageBreakBefore w:val="0"/>
        <w:widowControl/>
        <w:kinsoku/>
        <w:overflowPunct/>
        <w:topLinePunct w:val="0"/>
        <w:autoSpaceDE/>
        <w:autoSpaceDN/>
        <w:bidi w:val="0"/>
        <w:adjustRightInd/>
        <w:snapToGrid/>
        <w:spacing w:beforeAutospacing="0" w:afterAutospacing="0"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shd w:val="clear" w:color="auto" w:fill="FFFFFF"/>
        </w:rPr>
        <w:t>7、维护评审秩序，监督磋商小组依照磋商文件规定的评审程序、方法和标准进行独立评审，及时制止和纠正采购人代表、评审专家的倾向性言论或者违法违规行为;</w:t>
      </w:r>
    </w:p>
    <w:p w14:paraId="0095F76C">
      <w:pPr>
        <w:pStyle w:val="17"/>
        <w:pageBreakBefore w:val="0"/>
        <w:widowControl/>
        <w:kinsoku/>
        <w:overflowPunct/>
        <w:topLinePunct w:val="0"/>
        <w:autoSpaceDE/>
        <w:autoSpaceDN/>
        <w:bidi w:val="0"/>
        <w:adjustRightInd/>
        <w:snapToGrid/>
        <w:spacing w:beforeAutospacing="0" w:afterAutospacing="0"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shd w:val="clear" w:color="auto" w:fill="FFFFFF"/>
        </w:rPr>
        <w:t>8、核对评审结果;</w:t>
      </w:r>
    </w:p>
    <w:p w14:paraId="5E0E044F">
      <w:pPr>
        <w:pStyle w:val="17"/>
        <w:pageBreakBefore w:val="0"/>
        <w:widowControl/>
        <w:kinsoku/>
        <w:overflowPunct/>
        <w:topLinePunct w:val="0"/>
        <w:autoSpaceDE/>
        <w:autoSpaceDN/>
        <w:bidi w:val="0"/>
        <w:adjustRightInd/>
        <w:snapToGrid/>
        <w:spacing w:beforeAutospacing="0" w:afterAutospacing="0"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shd w:val="clear" w:color="auto" w:fill="FFFFFF"/>
        </w:rPr>
        <w:t>9、评审工作完成后，按照规定向评审专家支付劳务报酬和异地评审差旅费，不得向评审专家以外的其他人员支付评审劳务报酬;</w:t>
      </w:r>
    </w:p>
    <w:p w14:paraId="6BDB0812">
      <w:pPr>
        <w:pStyle w:val="17"/>
        <w:pageBreakBefore w:val="0"/>
        <w:widowControl/>
        <w:kinsoku/>
        <w:overflowPunct/>
        <w:topLinePunct w:val="0"/>
        <w:autoSpaceDE/>
        <w:autoSpaceDN/>
        <w:bidi w:val="0"/>
        <w:adjustRightInd/>
        <w:snapToGrid/>
        <w:spacing w:beforeAutospacing="0" w:afterAutospacing="0"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shd w:val="clear" w:color="auto" w:fill="FFFFFF"/>
        </w:rPr>
        <w:t>10、处理与评审有关的其他事项。</w:t>
      </w:r>
    </w:p>
    <w:p w14:paraId="7D767A7D">
      <w:pPr>
        <w:pStyle w:val="17"/>
        <w:pageBreakBefore w:val="0"/>
        <w:widowControl/>
        <w:kinsoku/>
        <w:overflowPunct/>
        <w:topLinePunct w:val="0"/>
        <w:autoSpaceDE/>
        <w:autoSpaceDN/>
        <w:bidi w:val="0"/>
        <w:adjustRightInd/>
        <w:snapToGrid/>
        <w:spacing w:beforeAutospacing="0" w:afterAutospacing="0"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shd w:val="clear" w:color="auto" w:fill="FFFFFF"/>
        </w:rPr>
        <w:t>采购人可以在评审前说明项目背景和采购需求，说明内容不得含有歧视性、倾向性意见，不得超出磋商文件所述范围。说明应当提交书面材料，并随采购文件一并存档。</w:t>
      </w:r>
      <w:bookmarkEnd w:id="146"/>
    </w:p>
    <w:p w14:paraId="70304DDD">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color w:val="auto"/>
          <w:sz w:val="28"/>
          <w:szCs w:val="28"/>
        </w:rPr>
      </w:pPr>
      <w:bookmarkStart w:id="147" w:name="_Toc4079_WPSOffice_Level3"/>
      <w:r>
        <w:rPr>
          <w:rFonts w:hint="eastAsia" w:ascii="仿宋_GB2312" w:hAnsi="仿宋_GB2312" w:eastAsia="仿宋_GB2312" w:cs="仿宋_GB2312"/>
          <w:b/>
          <w:color w:val="auto"/>
          <w:sz w:val="28"/>
          <w:szCs w:val="28"/>
        </w:rPr>
        <w:t>（四）评审方法：综合评分法</w:t>
      </w:r>
      <w:bookmarkEnd w:id="147"/>
    </w:p>
    <w:p w14:paraId="1C3DC551">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综合评分法，是指响应文件满足磋商文件全部实质性要求且按评审因 素的量化指标评审得分最高的供应商为成交候选供应商的评审方法。</w:t>
      </w:r>
    </w:p>
    <w:p w14:paraId="02C2B03C">
      <w:pPr>
        <w:pageBreakBefore w:val="0"/>
        <w:widowControl/>
        <w:kinsoku/>
        <w:overflowPunct/>
        <w:topLinePunct w:val="0"/>
        <w:autoSpaceDE/>
        <w:autoSpaceDN/>
        <w:bidi w:val="0"/>
        <w:adjustRightInd/>
        <w:snapToGrid/>
        <w:spacing w:line="560" w:lineRule="exact"/>
        <w:ind w:left="567"/>
        <w:textAlignment w:val="auto"/>
        <w:rPr>
          <w:rFonts w:hint="eastAsia" w:ascii="仿宋_GB2312" w:hAnsi="仿宋_GB2312" w:eastAsia="仿宋_GB2312" w:cs="仿宋_GB2312"/>
          <w:color w:val="auto"/>
          <w:sz w:val="28"/>
          <w:szCs w:val="28"/>
        </w:rPr>
      </w:pPr>
      <w:bookmarkStart w:id="148" w:name="_Toc25396_WPSOffice_Level3"/>
      <w:r>
        <w:rPr>
          <w:rFonts w:hint="eastAsia" w:ascii="仿宋_GB2312" w:hAnsi="仿宋_GB2312" w:eastAsia="仿宋_GB2312" w:cs="仿宋_GB2312"/>
          <w:b/>
          <w:color w:val="auto"/>
          <w:sz w:val="28"/>
          <w:szCs w:val="28"/>
        </w:rPr>
        <w:t>（五）评审程序</w:t>
      </w:r>
      <w:bookmarkEnd w:id="148"/>
    </w:p>
    <w:p w14:paraId="34C920B0">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分步评审，每一步评审不符合磋商文件要求者，不得进入下一步评审，全部评审合格的供应商，进入最后的打分，最后按得分由高向低排序，推荐成交候选供应商。</w:t>
      </w:r>
    </w:p>
    <w:p w14:paraId="1C7CC972">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1、资格性审查</w:t>
      </w:r>
    </w:p>
    <w:p w14:paraId="23061369">
      <w:pPr>
        <w:pageBreakBefore w:val="0"/>
        <w:widowControl/>
        <w:kinsoku/>
        <w:overflowPunct/>
        <w:topLinePunct w:val="0"/>
        <w:autoSpaceDE/>
        <w:autoSpaceDN/>
        <w:bidi w:val="0"/>
        <w:adjustRightInd/>
        <w:snapToGrid/>
        <w:spacing w:after="190" w:afterLines="50" w:line="560" w:lineRule="exact"/>
        <w:ind w:firstLine="566"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响应文件开启</w:t>
      </w:r>
      <w:r>
        <w:rPr>
          <w:rFonts w:hint="eastAsia" w:ascii="仿宋_GB2312" w:hAnsi="仿宋_GB2312" w:eastAsia="仿宋_GB2312" w:cs="仿宋_GB2312"/>
          <w:color w:val="auto"/>
          <w:sz w:val="28"/>
          <w:szCs w:val="28"/>
        </w:rPr>
        <w:t>结束后，磋商小组依据法律法规和磋商文件的规定，对响应文件中的供应商资格证明文件进行审查，以确定供应商是否具备磋商资格。</w:t>
      </w:r>
    </w:p>
    <w:p w14:paraId="46F2D513">
      <w:pPr>
        <w:spacing w:line="360" w:lineRule="auto"/>
        <w:jc w:val="center"/>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资格审查表</w:t>
      </w:r>
    </w:p>
    <w:tbl>
      <w:tblPr>
        <w:tblStyle w:val="21"/>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1"/>
        <w:gridCol w:w="1640"/>
        <w:gridCol w:w="5053"/>
        <w:gridCol w:w="791"/>
        <w:gridCol w:w="1105"/>
      </w:tblGrid>
      <w:tr w14:paraId="4E9B4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551" w:type="dxa"/>
            <w:vAlign w:val="center"/>
          </w:tcPr>
          <w:p w14:paraId="4ABDD398">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序号</w:t>
            </w:r>
          </w:p>
        </w:tc>
        <w:tc>
          <w:tcPr>
            <w:tcW w:w="1640" w:type="dxa"/>
            <w:vAlign w:val="center"/>
          </w:tcPr>
          <w:p w14:paraId="05BCDF0D">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color w:val="auto"/>
                <w:kern w:val="28"/>
                <w:sz w:val="28"/>
                <w:szCs w:val="28"/>
              </w:rPr>
            </w:pPr>
            <w:r>
              <w:rPr>
                <w:rFonts w:hint="eastAsia" w:ascii="仿宋_GB2312" w:hAnsi="仿宋_GB2312" w:eastAsia="仿宋_GB2312" w:cs="仿宋_GB2312"/>
                <w:b/>
                <w:color w:val="auto"/>
                <w:kern w:val="28"/>
                <w:sz w:val="28"/>
                <w:szCs w:val="28"/>
              </w:rPr>
              <w:t>资格审查项</w:t>
            </w:r>
          </w:p>
        </w:tc>
        <w:tc>
          <w:tcPr>
            <w:tcW w:w="5053" w:type="dxa"/>
            <w:vAlign w:val="center"/>
          </w:tcPr>
          <w:p w14:paraId="784AF305">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color w:val="auto"/>
                <w:kern w:val="28"/>
                <w:sz w:val="28"/>
                <w:szCs w:val="28"/>
              </w:rPr>
            </w:pPr>
            <w:r>
              <w:rPr>
                <w:rFonts w:hint="eastAsia" w:ascii="仿宋_GB2312" w:hAnsi="仿宋_GB2312" w:eastAsia="仿宋_GB2312" w:cs="仿宋_GB2312"/>
                <w:b/>
                <w:color w:val="auto"/>
                <w:kern w:val="28"/>
                <w:sz w:val="28"/>
                <w:szCs w:val="28"/>
              </w:rPr>
              <w:t>通过条件</w:t>
            </w:r>
          </w:p>
        </w:tc>
        <w:tc>
          <w:tcPr>
            <w:tcW w:w="791" w:type="dxa"/>
            <w:vAlign w:val="center"/>
          </w:tcPr>
          <w:p w14:paraId="2DFFDA7D">
            <w:pPr>
              <w:keepNext w:val="0"/>
              <w:keepLines w:val="0"/>
              <w:pageBreakBefore w:val="0"/>
              <w:widowControl/>
              <w:kinsoku/>
              <w:wordWrap/>
              <w:overflowPunct/>
              <w:topLinePunct w:val="0"/>
              <w:autoSpaceDE/>
              <w:autoSpaceDN/>
              <w:bidi w:val="0"/>
              <w:adjustRightInd/>
              <w:snapToGrid/>
              <w:spacing w:before="40" w:after="40" w:line="400" w:lineRule="exact"/>
              <w:jc w:val="center"/>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结论</w:t>
            </w:r>
          </w:p>
        </w:tc>
        <w:tc>
          <w:tcPr>
            <w:tcW w:w="1105" w:type="dxa"/>
            <w:vAlign w:val="center"/>
          </w:tcPr>
          <w:p w14:paraId="1C63BE3E">
            <w:pPr>
              <w:keepNext w:val="0"/>
              <w:keepLines w:val="0"/>
              <w:pageBreakBefore w:val="0"/>
              <w:widowControl/>
              <w:kinsoku/>
              <w:wordWrap/>
              <w:overflowPunct/>
              <w:topLinePunct w:val="0"/>
              <w:autoSpaceDE/>
              <w:autoSpaceDN/>
              <w:bidi w:val="0"/>
              <w:adjustRightInd/>
              <w:snapToGrid/>
              <w:spacing w:before="40" w:after="40" w:line="400" w:lineRule="exact"/>
              <w:jc w:val="center"/>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不通过原因</w:t>
            </w:r>
          </w:p>
        </w:tc>
      </w:tr>
      <w:tr w14:paraId="798E7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551" w:type="dxa"/>
            <w:vAlign w:val="center"/>
          </w:tcPr>
          <w:p w14:paraId="7C8DD589">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1</w:t>
            </w:r>
          </w:p>
        </w:tc>
        <w:tc>
          <w:tcPr>
            <w:tcW w:w="1640" w:type="dxa"/>
            <w:vAlign w:val="center"/>
          </w:tcPr>
          <w:p w14:paraId="37A86DB3">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kern w:val="28"/>
                <w:sz w:val="28"/>
                <w:szCs w:val="28"/>
              </w:rPr>
            </w:pPr>
            <w:r>
              <w:rPr>
                <w:rFonts w:hint="eastAsia" w:ascii="仿宋_GB2312" w:hAnsi="仿宋_GB2312" w:eastAsia="仿宋_GB2312" w:cs="仿宋_GB2312"/>
                <w:color w:val="auto"/>
                <w:kern w:val="28"/>
                <w:sz w:val="28"/>
                <w:szCs w:val="28"/>
              </w:rPr>
              <w:t>营业执照等主体资格证明文件</w:t>
            </w:r>
          </w:p>
        </w:tc>
        <w:tc>
          <w:tcPr>
            <w:tcW w:w="5053" w:type="dxa"/>
            <w:vAlign w:val="center"/>
          </w:tcPr>
          <w:p w14:paraId="120FF1B6">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kern w:val="28"/>
                <w:sz w:val="28"/>
                <w:szCs w:val="28"/>
              </w:rPr>
            </w:pPr>
            <w:r>
              <w:rPr>
                <w:rFonts w:hint="eastAsia" w:ascii="仿宋_GB2312" w:hAnsi="仿宋_GB2312" w:eastAsia="仿宋_GB2312" w:cs="仿宋_GB2312"/>
                <w:color w:val="auto"/>
                <w:kern w:val="28"/>
                <w:sz w:val="28"/>
                <w:szCs w:val="28"/>
              </w:rPr>
              <w:t>提供有效存续的企业营业执照（副本）/事业单位法人证书/专业服务机构执业许可证/民办非企业单位登记证书。</w:t>
            </w:r>
          </w:p>
        </w:tc>
        <w:tc>
          <w:tcPr>
            <w:tcW w:w="791" w:type="dxa"/>
            <w:vAlign w:val="center"/>
          </w:tcPr>
          <w:p w14:paraId="5A4F5F4D">
            <w:pPr>
              <w:keepNext w:val="0"/>
              <w:keepLines w:val="0"/>
              <w:pageBreakBefore w:val="0"/>
              <w:widowControl/>
              <w:kinsoku/>
              <w:wordWrap/>
              <w:overflowPunct/>
              <w:topLinePunct w:val="0"/>
              <w:autoSpaceDE/>
              <w:autoSpaceDN/>
              <w:bidi w:val="0"/>
              <w:adjustRightInd/>
              <w:snapToGrid/>
              <w:spacing w:before="40" w:after="40" w:line="400" w:lineRule="exact"/>
              <w:textAlignment w:val="auto"/>
              <w:rPr>
                <w:rFonts w:hint="eastAsia" w:ascii="仿宋_GB2312" w:hAnsi="仿宋_GB2312" w:eastAsia="仿宋_GB2312" w:cs="仿宋_GB2312"/>
                <w:b/>
                <w:color w:val="auto"/>
                <w:sz w:val="28"/>
                <w:szCs w:val="28"/>
              </w:rPr>
            </w:pPr>
          </w:p>
        </w:tc>
        <w:tc>
          <w:tcPr>
            <w:tcW w:w="1105" w:type="dxa"/>
            <w:vAlign w:val="center"/>
          </w:tcPr>
          <w:p w14:paraId="78AC2501">
            <w:pPr>
              <w:keepNext w:val="0"/>
              <w:keepLines w:val="0"/>
              <w:pageBreakBefore w:val="0"/>
              <w:widowControl/>
              <w:kinsoku/>
              <w:wordWrap/>
              <w:overflowPunct/>
              <w:topLinePunct w:val="0"/>
              <w:autoSpaceDE/>
              <w:autoSpaceDN/>
              <w:bidi w:val="0"/>
              <w:adjustRightInd/>
              <w:snapToGrid/>
              <w:spacing w:before="40" w:after="40" w:line="400" w:lineRule="exact"/>
              <w:textAlignment w:val="auto"/>
              <w:rPr>
                <w:rFonts w:hint="eastAsia" w:ascii="仿宋_GB2312" w:hAnsi="仿宋_GB2312" w:eastAsia="仿宋_GB2312" w:cs="仿宋_GB2312"/>
                <w:b/>
                <w:color w:val="auto"/>
                <w:sz w:val="28"/>
                <w:szCs w:val="28"/>
              </w:rPr>
            </w:pPr>
          </w:p>
        </w:tc>
      </w:tr>
      <w:tr w14:paraId="6EF07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9" w:hRule="atLeast"/>
          <w:jc w:val="center"/>
        </w:trPr>
        <w:tc>
          <w:tcPr>
            <w:tcW w:w="551" w:type="dxa"/>
            <w:vAlign w:val="center"/>
          </w:tcPr>
          <w:p w14:paraId="3A3241D4">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Cs/>
                <w:color w:val="auto"/>
                <w:sz w:val="28"/>
                <w:szCs w:val="28"/>
                <w:lang w:eastAsia="zh-CN"/>
              </w:rPr>
            </w:pPr>
            <w:r>
              <w:rPr>
                <w:rFonts w:hint="eastAsia" w:ascii="仿宋_GB2312" w:hAnsi="仿宋_GB2312" w:eastAsia="仿宋_GB2312" w:cs="仿宋_GB2312"/>
                <w:bCs/>
                <w:color w:val="auto"/>
                <w:sz w:val="28"/>
                <w:szCs w:val="28"/>
                <w:lang w:val="en-US" w:eastAsia="zh-CN"/>
              </w:rPr>
              <w:t>2</w:t>
            </w:r>
          </w:p>
        </w:tc>
        <w:tc>
          <w:tcPr>
            <w:tcW w:w="1640" w:type="dxa"/>
            <w:vAlign w:val="center"/>
          </w:tcPr>
          <w:p w14:paraId="002391E8">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kern w:val="28"/>
                <w:sz w:val="28"/>
                <w:szCs w:val="28"/>
              </w:rPr>
            </w:pPr>
            <w:r>
              <w:rPr>
                <w:rFonts w:hint="eastAsia" w:ascii="仿宋_GB2312" w:hAnsi="仿宋_GB2312" w:eastAsia="仿宋_GB2312" w:cs="仿宋_GB2312"/>
                <w:color w:val="auto"/>
                <w:kern w:val="28"/>
                <w:sz w:val="28"/>
                <w:szCs w:val="28"/>
              </w:rPr>
              <w:t>法定代表人授权委托书</w:t>
            </w:r>
          </w:p>
        </w:tc>
        <w:tc>
          <w:tcPr>
            <w:tcW w:w="5053" w:type="dxa"/>
            <w:vAlign w:val="center"/>
          </w:tcPr>
          <w:p w14:paraId="537F8986">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kern w:val="28"/>
                <w:sz w:val="28"/>
                <w:szCs w:val="28"/>
              </w:rPr>
            </w:pPr>
            <w:r>
              <w:rPr>
                <w:rFonts w:hint="eastAsia" w:ascii="仿宋_GB2312" w:hAnsi="仿宋_GB2312" w:eastAsia="仿宋_GB2312" w:cs="仿宋_GB2312"/>
                <w:color w:val="auto"/>
                <w:kern w:val="28"/>
                <w:sz w:val="28"/>
                <w:szCs w:val="28"/>
              </w:rPr>
              <w:t xml:space="preserve">法定代表人参加磋商的，须提供本人身份证复印件（附在资格证明文件中）；法定代表人授权他人参加磋商的，须提供法定代表人授权委托书。磋商文件中凡是需要法定代表人盖章之处，非法人单位的负责人均参照执行。（按第五章格式填写） </w:t>
            </w:r>
          </w:p>
          <w:p w14:paraId="62D9C953">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kern w:val="28"/>
                <w:sz w:val="28"/>
                <w:szCs w:val="28"/>
              </w:rPr>
            </w:pPr>
            <w:r>
              <w:rPr>
                <w:rFonts w:hint="eastAsia" w:ascii="仿宋_GB2312" w:hAnsi="仿宋_GB2312" w:eastAsia="仿宋_GB2312" w:cs="仿宋_GB2312"/>
                <w:color w:val="auto"/>
                <w:kern w:val="28"/>
                <w:sz w:val="28"/>
                <w:szCs w:val="28"/>
              </w:rPr>
              <w:t>法人的分支机构参与磋商时，除提供《法定代表人(负责人)授权委托书》外，还须同时提供法人给分支机构出具的授权书。（法人只能授权一家分支机构参与磋商，且不能与分支机构同时参与磋商。）</w:t>
            </w:r>
          </w:p>
        </w:tc>
        <w:tc>
          <w:tcPr>
            <w:tcW w:w="791" w:type="dxa"/>
            <w:vAlign w:val="center"/>
          </w:tcPr>
          <w:p w14:paraId="325329F1">
            <w:pPr>
              <w:keepNext w:val="0"/>
              <w:keepLines w:val="0"/>
              <w:pageBreakBefore w:val="0"/>
              <w:widowControl/>
              <w:kinsoku/>
              <w:wordWrap/>
              <w:overflowPunct/>
              <w:topLinePunct w:val="0"/>
              <w:autoSpaceDE/>
              <w:autoSpaceDN/>
              <w:bidi w:val="0"/>
              <w:adjustRightInd/>
              <w:snapToGrid/>
              <w:spacing w:before="40" w:after="40" w:line="400" w:lineRule="exact"/>
              <w:textAlignment w:val="auto"/>
              <w:rPr>
                <w:rFonts w:hint="eastAsia" w:ascii="仿宋_GB2312" w:hAnsi="仿宋_GB2312" w:eastAsia="仿宋_GB2312" w:cs="仿宋_GB2312"/>
                <w:b/>
                <w:color w:val="auto"/>
                <w:sz w:val="28"/>
                <w:szCs w:val="28"/>
              </w:rPr>
            </w:pPr>
          </w:p>
        </w:tc>
        <w:tc>
          <w:tcPr>
            <w:tcW w:w="1105" w:type="dxa"/>
            <w:vAlign w:val="center"/>
          </w:tcPr>
          <w:p w14:paraId="58242040">
            <w:pPr>
              <w:keepNext w:val="0"/>
              <w:keepLines w:val="0"/>
              <w:pageBreakBefore w:val="0"/>
              <w:widowControl/>
              <w:kinsoku/>
              <w:wordWrap/>
              <w:overflowPunct/>
              <w:topLinePunct w:val="0"/>
              <w:autoSpaceDE/>
              <w:autoSpaceDN/>
              <w:bidi w:val="0"/>
              <w:adjustRightInd/>
              <w:snapToGrid/>
              <w:spacing w:before="40" w:after="40" w:line="400" w:lineRule="exact"/>
              <w:textAlignment w:val="auto"/>
              <w:rPr>
                <w:rFonts w:hint="eastAsia" w:ascii="仿宋_GB2312" w:hAnsi="仿宋_GB2312" w:eastAsia="仿宋_GB2312" w:cs="仿宋_GB2312"/>
                <w:b/>
                <w:color w:val="auto"/>
                <w:sz w:val="28"/>
                <w:szCs w:val="28"/>
              </w:rPr>
            </w:pPr>
          </w:p>
        </w:tc>
      </w:tr>
      <w:tr w14:paraId="5680C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1" w:type="dxa"/>
            <w:vAlign w:val="center"/>
          </w:tcPr>
          <w:p w14:paraId="6201D6AB">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bCs/>
                <w:color w:val="auto"/>
                <w:sz w:val="28"/>
                <w:szCs w:val="28"/>
                <w:lang w:val="en-US" w:eastAsia="zh-CN"/>
              </w:rPr>
            </w:pPr>
            <w:r>
              <w:rPr>
                <w:rFonts w:hint="eastAsia" w:ascii="仿宋_GB2312" w:hAnsi="仿宋_GB2312" w:eastAsia="仿宋_GB2312" w:cs="仿宋_GB2312"/>
                <w:bCs/>
                <w:color w:val="auto"/>
                <w:sz w:val="28"/>
                <w:szCs w:val="28"/>
                <w:lang w:val="en-US" w:eastAsia="zh-CN"/>
              </w:rPr>
              <w:t>3</w:t>
            </w:r>
          </w:p>
        </w:tc>
        <w:tc>
          <w:tcPr>
            <w:tcW w:w="1640" w:type="dxa"/>
            <w:vAlign w:val="center"/>
          </w:tcPr>
          <w:p w14:paraId="5667F09F">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kern w:val="28"/>
                <w:sz w:val="28"/>
                <w:szCs w:val="28"/>
              </w:rPr>
            </w:pPr>
            <w:r>
              <w:rPr>
                <w:rFonts w:hint="eastAsia" w:ascii="仿宋_GB2312" w:hAnsi="仿宋_GB2312" w:eastAsia="仿宋_GB2312" w:cs="仿宋_GB2312"/>
                <w:color w:val="auto"/>
                <w:kern w:val="28"/>
                <w:sz w:val="28"/>
                <w:szCs w:val="28"/>
              </w:rPr>
              <w:t>资格承诺函</w:t>
            </w:r>
          </w:p>
        </w:tc>
        <w:tc>
          <w:tcPr>
            <w:tcW w:w="5053" w:type="dxa"/>
            <w:vAlign w:val="center"/>
          </w:tcPr>
          <w:p w14:paraId="54F6D152">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kern w:val="28"/>
                <w:sz w:val="28"/>
                <w:szCs w:val="28"/>
              </w:rPr>
            </w:pPr>
            <w:r>
              <w:rPr>
                <w:rFonts w:hint="eastAsia" w:ascii="仿宋_GB2312" w:hAnsi="仿宋_GB2312" w:eastAsia="仿宋_GB2312" w:cs="仿宋_GB2312"/>
                <w:color w:val="auto"/>
                <w:kern w:val="28"/>
                <w:sz w:val="28"/>
                <w:szCs w:val="28"/>
              </w:rPr>
              <w:t xml:space="preserve">提供《汉中市政府采购供应商资格承诺函》。（按第五章格式填写） </w:t>
            </w:r>
          </w:p>
        </w:tc>
        <w:tc>
          <w:tcPr>
            <w:tcW w:w="791" w:type="dxa"/>
            <w:vAlign w:val="center"/>
          </w:tcPr>
          <w:p w14:paraId="55A3BF01">
            <w:pPr>
              <w:keepNext w:val="0"/>
              <w:keepLines w:val="0"/>
              <w:pageBreakBefore w:val="0"/>
              <w:widowControl/>
              <w:kinsoku/>
              <w:wordWrap/>
              <w:overflowPunct/>
              <w:topLinePunct w:val="0"/>
              <w:autoSpaceDE/>
              <w:autoSpaceDN/>
              <w:bidi w:val="0"/>
              <w:adjustRightInd/>
              <w:snapToGrid/>
              <w:spacing w:before="40" w:after="40" w:line="400" w:lineRule="exact"/>
              <w:textAlignment w:val="auto"/>
              <w:rPr>
                <w:rFonts w:hint="eastAsia" w:ascii="仿宋_GB2312" w:hAnsi="仿宋_GB2312" w:eastAsia="仿宋_GB2312" w:cs="仿宋_GB2312"/>
                <w:b/>
                <w:color w:val="auto"/>
                <w:sz w:val="28"/>
                <w:szCs w:val="28"/>
              </w:rPr>
            </w:pPr>
          </w:p>
        </w:tc>
        <w:tc>
          <w:tcPr>
            <w:tcW w:w="1105" w:type="dxa"/>
            <w:vAlign w:val="center"/>
          </w:tcPr>
          <w:p w14:paraId="4931FEF4">
            <w:pPr>
              <w:keepNext w:val="0"/>
              <w:keepLines w:val="0"/>
              <w:pageBreakBefore w:val="0"/>
              <w:widowControl/>
              <w:kinsoku/>
              <w:wordWrap/>
              <w:overflowPunct/>
              <w:topLinePunct w:val="0"/>
              <w:autoSpaceDE/>
              <w:autoSpaceDN/>
              <w:bidi w:val="0"/>
              <w:adjustRightInd/>
              <w:snapToGrid/>
              <w:spacing w:before="40" w:after="40" w:line="400" w:lineRule="exact"/>
              <w:textAlignment w:val="auto"/>
              <w:rPr>
                <w:rFonts w:hint="eastAsia" w:ascii="仿宋_GB2312" w:hAnsi="仿宋_GB2312" w:eastAsia="仿宋_GB2312" w:cs="仿宋_GB2312"/>
                <w:b/>
                <w:color w:val="auto"/>
                <w:sz w:val="28"/>
                <w:szCs w:val="28"/>
              </w:rPr>
            </w:pPr>
          </w:p>
        </w:tc>
      </w:tr>
      <w:tr w14:paraId="4BCDA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9" w:hRule="atLeast"/>
          <w:jc w:val="center"/>
        </w:trPr>
        <w:tc>
          <w:tcPr>
            <w:tcW w:w="551" w:type="dxa"/>
            <w:vAlign w:val="center"/>
          </w:tcPr>
          <w:p w14:paraId="416FA71A">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bCs/>
                <w:color w:val="auto"/>
                <w:sz w:val="28"/>
                <w:szCs w:val="28"/>
                <w:lang w:val="en-US" w:eastAsia="zh-CN"/>
              </w:rPr>
            </w:pPr>
            <w:r>
              <w:rPr>
                <w:rFonts w:hint="eastAsia" w:ascii="仿宋_GB2312" w:hAnsi="仿宋_GB2312" w:eastAsia="仿宋_GB2312" w:cs="仿宋_GB2312"/>
                <w:bCs/>
                <w:color w:val="auto"/>
                <w:sz w:val="28"/>
                <w:szCs w:val="28"/>
                <w:lang w:val="en-US" w:eastAsia="zh-CN"/>
              </w:rPr>
              <w:t>4</w:t>
            </w:r>
          </w:p>
        </w:tc>
        <w:tc>
          <w:tcPr>
            <w:tcW w:w="1640" w:type="dxa"/>
            <w:vAlign w:val="center"/>
          </w:tcPr>
          <w:p w14:paraId="0F726EDA">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kern w:val="28"/>
                <w:sz w:val="28"/>
                <w:szCs w:val="28"/>
              </w:rPr>
            </w:pPr>
            <w:r>
              <w:rPr>
                <w:rFonts w:hint="default" w:ascii="仿宋_GB2312" w:hAnsi="仿宋_GB2312" w:eastAsia="仿宋_GB2312" w:cs="仿宋_GB2312"/>
                <w:color w:val="000000" w:themeColor="text1"/>
                <w:kern w:val="28"/>
                <w:sz w:val="28"/>
                <w:szCs w:val="28"/>
                <w:highlight w:val="none"/>
                <w:lang w:val="en-US" w:eastAsia="zh-CN"/>
                <w14:textFill>
                  <w14:solidFill>
                    <w14:schemeClr w14:val="tx1"/>
                  </w14:solidFill>
                </w14:textFill>
              </w:rPr>
              <w:t>落实政府采购政策需满足的资格要求</w:t>
            </w:r>
          </w:p>
        </w:tc>
        <w:tc>
          <w:tcPr>
            <w:tcW w:w="5053" w:type="dxa"/>
            <w:vAlign w:val="center"/>
          </w:tcPr>
          <w:p w14:paraId="348E5DBF">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kern w:val="28"/>
                <w:sz w:val="28"/>
                <w:szCs w:val="28"/>
              </w:rPr>
            </w:pPr>
            <w:r>
              <w:rPr>
                <w:rFonts w:hint="default" w:ascii="仿宋_GB2312" w:hAnsi="仿宋_GB2312" w:eastAsia="仿宋_GB2312" w:cs="仿宋_GB2312"/>
                <w:color w:val="000000" w:themeColor="text1"/>
                <w:kern w:val="28"/>
                <w:sz w:val="28"/>
                <w:szCs w:val="28"/>
                <w:highlight w:val="none"/>
                <w:lang w:val="en-US" w:eastAsia="zh-CN"/>
                <w14:textFill>
                  <w14:solidFill>
                    <w14:schemeClr w14:val="tx1"/>
                  </w14:solidFill>
                </w14:textFill>
              </w:rPr>
              <w:t>本项目专门面向中小企业采购，供应商应为中小微企业，</w:t>
            </w:r>
            <w:r>
              <w:rPr>
                <w:rFonts w:hint="eastAsia" w:ascii="仿宋_GB2312" w:hAnsi="仿宋_GB2312" w:eastAsia="仿宋_GB2312" w:cs="仿宋_GB2312"/>
                <w:color w:val="000000" w:themeColor="text1"/>
                <w:kern w:val="28"/>
                <w:sz w:val="28"/>
                <w:szCs w:val="28"/>
                <w:highlight w:val="none"/>
                <w:lang w:val="en-US" w:eastAsia="zh-CN"/>
                <w14:textFill>
                  <w14:solidFill>
                    <w14:schemeClr w14:val="tx1"/>
                  </w14:solidFill>
                </w14:textFill>
              </w:rPr>
              <w:t>磋商</w:t>
            </w:r>
            <w:r>
              <w:rPr>
                <w:rFonts w:hint="default" w:ascii="仿宋_GB2312" w:hAnsi="仿宋_GB2312" w:eastAsia="仿宋_GB2312" w:cs="仿宋_GB2312"/>
                <w:color w:val="000000" w:themeColor="text1"/>
                <w:kern w:val="28"/>
                <w:sz w:val="28"/>
                <w:szCs w:val="28"/>
                <w:highlight w:val="none"/>
                <w:lang w:val="en-US" w:eastAsia="zh-CN"/>
                <w14:textFill>
                  <w14:solidFill>
                    <w14:schemeClr w14:val="tx1"/>
                  </w14:solidFill>
                </w14:textFill>
              </w:rPr>
              <w:t>时须提供《中小企业声明函》（按第五章格式填写）。本项目采购标的对应的中小企业划分标准所属行业为：工业</w:t>
            </w:r>
          </w:p>
        </w:tc>
        <w:tc>
          <w:tcPr>
            <w:tcW w:w="791" w:type="dxa"/>
            <w:vAlign w:val="center"/>
          </w:tcPr>
          <w:p w14:paraId="789183CF">
            <w:pPr>
              <w:keepNext w:val="0"/>
              <w:keepLines w:val="0"/>
              <w:pageBreakBefore w:val="0"/>
              <w:widowControl/>
              <w:kinsoku/>
              <w:wordWrap/>
              <w:overflowPunct/>
              <w:topLinePunct w:val="0"/>
              <w:autoSpaceDE/>
              <w:autoSpaceDN/>
              <w:bidi w:val="0"/>
              <w:adjustRightInd/>
              <w:snapToGrid/>
              <w:spacing w:before="40" w:after="40" w:line="400" w:lineRule="exact"/>
              <w:textAlignment w:val="auto"/>
              <w:rPr>
                <w:rFonts w:hint="eastAsia" w:ascii="仿宋_GB2312" w:hAnsi="仿宋_GB2312" w:eastAsia="仿宋_GB2312" w:cs="仿宋_GB2312"/>
                <w:b/>
                <w:color w:val="auto"/>
                <w:sz w:val="28"/>
                <w:szCs w:val="28"/>
              </w:rPr>
            </w:pPr>
          </w:p>
        </w:tc>
        <w:tc>
          <w:tcPr>
            <w:tcW w:w="1105" w:type="dxa"/>
            <w:vAlign w:val="center"/>
          </w:tcPr>
          <w:p w14:paraId="2C0511DD">
            <w:pPr>
              <w:keepNext w:val="0"/>
              <w:keepLines w:val="0"/>
              <w:pageBreakBefore w:val="0"/>
              <w:widowControl/>
              <w:kinsoku/>
              <w:wordWrap/>
              <w:overflowPunct/>
              <w:topLinePunct w:val="0"/>
              <w:autoSpaceDE/>
              <w:autoSpaceDN/>
              <w:bidi w:val="0"/>
              <w:adjustRightInd/>
              <w:snapToGrid/>
              <w:spacing w:before="40" w:after="40" w:line="400" w:lineRule="exact"/>
              <w:textAlignment w:val="auto"/>
              <w:rPr>
                <w:rFonts w:hint="eastAsia" w:ascii="仿宋_GB2312" w:hAnsi="仿宋_GB2312" w:eastAsia="仿宋_GB2312" w:cs="仿宋_GB2312"/>
                <w:b/>
                <w:color w:val="auto"/>
                <w:sz w:val="28"/>
                <w:szCs w:val="28"/>
              </w:rPr>
            </w:pPr>
          </w:p>
        </w:tc>
      </w:tr>
      <w:tr w14:paraId="37711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9" w:hRule="atLeast"/>
          <w:jc w:val="center"/>
        </w:trPr>
        <w:tc>
          <w:tcPr>
            <w:tcW w:w="9140" w:type="dxa"/>
            <w:gridSpan w:val="5"/>
            <w:vAlign w:val="center"/>
          </w:tcPr>
          <w:p w14:paraId="13C31039">
            <w:pPr>
              <w:keepNext w:val="0"/>
              <w:keepLines w:val="0"/>
              <w:pageBreakBefore w:val="0"/>
              <w:widowControl/>
              <w:kinsoku/>
              <w:wordWrap/>
              <w:overflowPunct/>
              <w:topLinePunct w:val="0"/>
              <w:autoSpaceDE/>
              <w:autoSpaceDN/>
              <w:bidi w:val="0"/>
              <w:adjustRightInd/>
              <w:snapToGrid/>
              <w:spacing w:before="40" w:after="40" w:line="400" w:lineRule="exact"/>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val="0"/>
                <w:bCs/>
                <w:color w:val="auto"/>
                <w:sz w:val="28"/>
                <w:szCs w:val="28"/>
              </w:rPr>
              <w:t>以上资格要求均为必备资格，须提供相关证明文件并加盖响应人公章（如相关证明材料由第三方出具，应有第三方公章），缺少其中任何一项，其响应文件视为无效文件。</w:t>
            </w:r>
          </w:p>
        </w:tc>
      </w:tr>
      <w:tr w14:paraId="39E99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9140" w:type="dxa"/>
            <w:gridSpan w:val="5"/>
            <w:vAlign w:val="center"/>
          </w:tcPr>
          <w:p w14:paraId="6FFBD19E">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bCs/>
                <w:color w:val="auto"/>
                <w:kern w:val="0"/>
                <w:sz w:val="28"/>
                <w:szCs w:val="28"/>
              </w:rPr>
              <w:t>磋商小组成员：（签字或盖章）</w:t>
            </w:r>
          </w:p>
        </w:tc>
      </w:tr>
    </w:tbl>
    <w:p w14:paraId="7A9A2BAD">
      <w:pPr>
        <w:pStyle w:val="37"/>
        <w:ind w:left="0" w:leftChars="0" w:firstLine="0" w:firstLineChars="0"/>
        <w:rPr>
          <w:rFonts w:ascii="Calibri" w:hAnsi="Calibri"/>
          <w:b/>
          <w:bCs/>
          <w:color w:val="auto"/>
          <w:sz w:val="28"/>
          <w:szCs w:val="28"/>
        </w:rPr>
      </w:pPr>
    </w:p>
    <w:p w14:paraId="45D34511"/>
    <w:p w14:paraId="3B7E621E">
      <w:pPr>
        <w:keepNext w:val="0"/>
        <w:keepLines w:val="0"/>
        <w:pageBreakBefore w:val="0"/>
        <w:kinsoku/>
        <w:wordWrap/>
        <w:overflowPunct/>
        <w:topLinePunct w:val="0"/>
        <w:autoSpaceDE/>
        <w:autoSpaceDN/>
        <w:bidi w:val="0"/>
        <w:adjustRightInd/>
        <w:spacing w:line="560" w:lineRule="exact"/>
        <w:ind w:firstLine="566"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出现下列情形的，响应文件将被视为无效：</w:t>
      </w:r>
    </w:p>
    <w:p w14:paraId="4A15B189">
      <w:pPr>
        <w:keepNext w:val="0"/>
        <w:keepLines w:val="0"/>
        <w:pageBreakBefore w:val="0"/>
        <w:kinsoku/>
        <w:wordWrap/>
        <w:overflowPunct/>
        <w:topLinePunct w:val="0"/>
        <w:autoSpaceDE/>
        <w:autoSpaceDN/>
        <w:bidi w:val="0"/>
        <w:adjustRightIn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（1）不具备磋商文件中规定的资格要求的；</w:t>
      </w:r>
    </w:p>
    <w:p w14:paraId="094638D8">
      <w:pPr>
        <w:keepNext w:val="0"/>
        <w:keepLines w:val="0"/>
        <w:pageBreakBefore w:val="0"/>
        <w:kinsoku/>
        <w:wordWrap/>
        <w:overflowPunct/>
        <w:topLinePunct w:val="0"/>
        <w:autoSpaceDE/>
        <w:autoSpaceDN/>
        <w:bidi w:val="0"/>
        <w:adjustRightIn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（2）未按磋商文件要求提供资格证明文件原件，或未按磋商文件要求加盖公章的；</w:t>
      </w:r>
    </w:p>
    <w:p w14:paraId="606AAA11">
      <w:pPr>
        <w:keepNext w:val="0"/>
        <w:keepLines w:val="0"/>
        <w:pageBreakBefore w:val="0"/>
        <w:kinsoku/>
        <w:wordWrap/>
        <w:overflowPunct/>
        <w:topLinePunct w:val="0"/>
        <w:autoSpaceDE/>
        <w:autoSpaceDN/>
        <w:bidi w:val="0"/>
        <w:adjustRightIn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（3）磋商小组认为供应商的资格证明文件存在疑点，要求供应商现场提供原件，供应商不能在规定时限内提供原件或其所提供的原件无法证实响应文件所附证明文件有效性的。</w:t>
      </w:r>
    </w:p>
    <w:p w14:paraId="49617C28">
      <w:pPr>
        <w:keepNext w:val="0"/>
        <w:keepLines w:val="0"/>
        <w:pageBreakBefore w:val="0"/>
        <w:kinsoku/>
        <w:wordWrap/>
        <w:overflowPunct/>
        <w:topLinePunct w:val="0"/>
        <w:autoSpaceDE/>
        <w:autoSpaceDN/>
        <w:bidi w:val="0"/>
        <w:adjustRightIn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资格审查结束后，磋商小组成员应当对审查结果进行签字确认，并告知无效投标供应商资格审查未通过的原因。</w:t>
      </w:r>
    </w:p>
    <w:p w14:paraId="33875342">
      <w:pPr>
        <w:pStyle w:val="2"/>
        <w:keepNext w:val="0"/>
        <w:keepLines w:val="0"/>
        <w:pageBreakBefore w:val="0"/>
        <w:kinsoku/>
        <w:wordWrap/>
        <w:overflowPunct/>
        <w:topLinePunct w:val="0"/>
        <w:autoSpaceDE/>
        <w:autoSpaceDN/>
        <w:bidi w:val="0"/>
        <w:adjustRightInd/>
        <w:spacing w:after="0"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通过资格审查的供应商不足3家的，不得进行符合性审查。</w:t>
      </w:r>
    </w:p>
    <w:p w14:paraId="4111F684">
      <w:pPr>
        <w:keepNext w:val="0"/>
        <w:keepLines w:val="0"/>
        <w:pageBreakBefore w:val="0"/>
        <w:kinsoku/>
        <w:wordWrap/>
        <w:overflowPunct/>
        <w:topLinePunct w:val="0"/>
        <w:autoSpaceDE/>
        <w:autoSpaceDN/>
        <w:bidi w:val="0"/>
        <w:adjustRightInd/>
        <w:spacing w:line="560" w:lineRule="exact"/>
        <w:ind w:firstLine="566"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2、响应文件的符合性审查</w:t>
      </w:r>
    </w:p>
    <w:p w14:paraId="23AF4442">
      <w:pPr>
        <w:keepNext w:val="0"/>
        <w:keepLines w:val="0"/>
        <w:pageBreakBefore w:val="0"/>
        <w:kinsoku/>
        <w:wordWrap/>
        <w:overflowPunct/>
        <w:topLinePunct w:val="0"/>
        <w:autoSpaceDE/>
        <w:autoSpaceDN/>
        <w:bidi w:val="0"/>
        <w:adjustRightIn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磋商小组依据磋商文件的规定，对响应文件的有效性、完整性和对磋商文件的响应程度进行审查，以确定是否对磋商文件的全部实质性要求做出响应。</w:t>
      </w:r>
    </w:p>
    <w:p w14:paraId="611E8626">
      <w:pPr>
        <w:keepNext w:val="0"/>
        <w:keepLines w:val="0"/>
        <w:pageBreakBefore w:val="0"/>
        <w:kinsoku/>
        <w:wordWrap/>
        <w:overflowPunct/>
        <w:topLinePunct w:val="0"/>
        <w:autoSpaceDE/>
        <w:autoSpaceDN/>
        <w:bidi w:val="0"/>
        <w:adjustRightIn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磋商小组要审查每份响应文件是否实质上响应了磋商文件的要求。实质上没有响应磋商文件要求的响应文件作无效响应处理，磋商小组要告知有关供应商未通过审查的原因。供应商不得通过修正或撤销不符之处而使其成为实质上响应。</w:t>
      </w:r>
    </w:p>
    <w:p w14:paraId="21BDEFB5">
      <w:pPr>
        <w:spacing w:line="500" w:lineRule="exact"/>
        <w:ind w:firstLine="566" w:firstLineChars="200"/>
        <w:jc w:val="center"/>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响应文件的符合性审查</w:t>
      </w:r>
    </w:p>
    <w:tbl>
      <w:tblPr>
        <w:tblStyle w:val="21"/>
        <w:tblW w:w="9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533"/>
        <w:gridCol w:w="4173"/>
        <w:gridCol w:w="807"/>
        <w:gridCol w:w="1440"/>
      </w:tblGrid>
      <w:tr w14:paraId="7D3D6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shd w:val="clear" w:color="auto" w:fill="D9D9D9"/>
            <w:vAlign w:val="center"/>
          </w:tcPr>
          <w:p w14:paraId="007FAD98">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r>
              <w:rPr>
                <w:rFonts w:hint="eastAsia" w:ascii="仿宋_GB2312" w:hAnsi="仿宋_GB2312" w:eastAsia="仿宋_GB2312" w:cs="仿宋_GB2312"/>
                <w:b/>
                <w:bCs/>
                <w:color w:val="auto"/>
                <w:kern w:val="0"/>
                <w:sz w:val="28"/>
                <w:szCs w:val="28"/>
              </w:rPr>
              <w:t>序号</w:t>
            </w:r>
          </w:p>
        </w:tc>
        <w:tc>
          <w:tcPr>
            <w:tcW w:w="2533" w:type="dxa"/>
            <w:shd w:val="clear" w:color="auto" w:fill="D9D9D9"/>
            <w:vAlign w:val="center"/>
          </w:tcPr>
          <w:p w14:paraId="5D9DA344">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r>
              <w:rPr>
                <w:rFonts w:hint="eastAsia" w:ascii="仿宋_GB2312" w:hAnsi="仿宋_GB2312" w:eastAsia="仿宋_GB2312" w:cs="仿宋_GB2312"/>
                <w:b/>
                <w:bCs/>
                <w:color w:val="auto"/>
                <w:kern w:val="0"/>
                <w:sz w:val="28"/>
                <w:szCs w:val="28"/>
              </w:rPr>
              <w:t>符合性审查项</w:t>
            </w:r>
          </w:p>
        </w:tc>
        <w:tc>
          <w:tcPr>
            <w:tcW w:w="4173" w:type="dxa"/>
            <w:shd w:val="clear" w:color="auto" w:fill="D9D9D9"/>
            <w:vAlign w:val="center"/>
          </w:tcPr>
          <w:p w14:paraId="439DF7F8">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r>
              <w:rPr>
                <w:rFonts w:hint="eastAsia" w:ascii="仿宋_GB2312" w:hAnsi="仿宋_GB2312" w:eastAsia="仿宋_GB2312" w:cs="仿宋_GB2312"/>
                <w:b/>
                <w:bCs/>
                <w:color w:val="auto"/>
                <w:kern w:val="0"/>
                <w:sz w:val="28"/>
                <w:szCs w:val="28"/>
              </w:rPr>
              <w:t>通过条件</w:t>
            </w:r>
          </w:p>
        </w:tc>
        <w:tc>
          <w:tcPr>
            <w:tcW w:w="807" w:type="dxa"/>
            <w:shd w:val="clear" w:color="auto" w:fill="D9D9D9"/>
            <w:vAlign w:val="center"/>
          </w:tcPr>
          <w:p w14:paraId="44BAC358">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r>
              <w:rPr>
                <w:rFonts w:hint="eastAsia" w:ascii="仿宋_GB2312" w:hAnsi="仿宋_GB2312" w:eastAsia="仿宋_GB2312" w:cs="仿宋_GB2312"/>
                <w:b/>
                <w:bCs/>
                <w:color w:val="auto"/>
                <w:kern w:val="0"/>
                <w:sz w:val="28"/>
                <w:szCs w:val="28"/>
              </w:rPr>
              <w:t>结论</w:t>
            </w:r>
          </w:p>
        </w:tc>
        <w:tc>
          <w:tcPr>
            <w:tcW w:w="1440" w:type="dxa"/>
            <w:shd w:val="clear" w:color="auto" w:fill="D9D9D9"/>
            <w:vAlign w:val="center"/>
          </w:tcPr>
          <w:p w14:paraId="59E5425A">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r>
              <w:rPr>
                <w:rFonts w:hint="eastAsia" w:ascii="仿宋_GB2312" w:hAnsi="仿宋_GB2312" w:eastAsia="仿宋_GB2312" w:cs="仿宋_GB2312"/>
                <w:b/>
                <w:bCs/>
                <w:color w:val="auto"/>
                <w:kern w:val="0"/>
                <w:sz w:val="28"/>
                <w:szCs w:val="28"/>
              </w:rPr>
              <w:t>未通过原因</w:t>
            </w:r>
          </w:p>
        </w:tc>
      </w:tr>
      <w:tr w14:paraId="6B49B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704" w:type="dxa"/>
            <w:vAlign w:val="center"/>
          </w:tcPr>
          <w:p w14:paraId="3B801283">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1</w:t>
            </w:r>
          </w:p>
        </w:tc>
        <w:tc>
          <w:tcPr>
            <w:tcW w:w="2533" w:type="dxa"/>
            <w:vAlign w:val="center"/>
          </w:tcPr>
          <w:p w14:paraId="34889ABC">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响应文件语言及有效期</w:t>
            </w:r>
          </w:p>
        </w:tc>
        <w:tc>
          <w:tcPr>
            <w:tcW w:w="4173" w:type="dxa"/>
            <w:vAlign w:val="center"/>
          </w:tcPr>
          <w:p w14:paraId="6BDFA5B7">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响应文件语言</w:t>
            </w:r>
            <w:r>
              <w:rPr>
                <w:rFonts w:hint="eastAsia" w:ascii="仿宋_GB2312" w:hAnsi="仿宋_GB2312" w:eastAsia="仿宋_GB2312" w:cs="仿宋_GB2312"/>
                <w:bCs/>
                <w:color w:val="auto"/>
                <w:kern w:val="0"/>
                <w:sz w:val="28"/>
                <w:szCs w:val="28"/>
              </w:rPr>
              <w:t>及有效期</w:t>
            </w:r>
            <w:r>
              <w:rPr>
                <w:rFonts w:hint="eastAsia" w:ascii="仿宋_GB2312" w:hAnsi="仿宋_GB2312" w:eastAsia="仿宋_GB2312" w:cs="仿宋_GB2312"/>
                <w:color w:val="auto"/>
                <w:sz w:val="28"/>
                <w:szCs w:val="28"/>
              </w:rPr>
              <w:t>符合磋商文件要求。</w:t>
            </w:r>
          </w:p>
        </w:tc>
        <w:tc>
          <w:tcPr>
            <w:tcW w:w="807" w:type="dxa"/>
            <w:vAlign w:val="center"/>
          </w:tcPr>
          <w:p w14:paraId="694E6536">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p>
        </w:tc>
        <w:tc>
          <w:tcPr>
            <w:tcW w:w="1440" w:type="dxa"/>
            <w:vAlign w:val="center"/>
          </w:tcPr>
          <w:p w14:paraId="540E169B">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p>
        </w:tc>
      </w:tr>
      <w:tr w14:paraId="51288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04" w:type="dxa"/>
            <w:vAlign w:val="center"/>
          </w:tcPr>
          <w:p w14:paraId="684BA717">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2</w:t>
            </w:r>
          </w:p>
        </w:tc>
        <w:tc>
          <w:tcPr>
            <w:tcW w:w="2533" w:type="dxa"/>
            <w:vAlign w:val="center"/>
          </w:tcPr>
          <w:p w14:paraId="1255F53E">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响应文件封面、响应 函、法定代表人授权 委托书三处的项目名 称、项目编号、标段 （如有）</w:t>
            </w:r>
          </w:p>
        </w:tc>
        <w:tc>
          <w:tcPr>
            <w:tcW w:w="4173" w:type="dxa"/>
            <w:vAlign w:val="center"/>
          </w:tcPr>
          <w:p w14:paraId="1210EF69">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三处均无遗漏，且与所投项目名称、 项目编号、标段（如有）一致。</w:t>
            </w:r>
          </w:p>
        </w:tc>
        <w:tc>
          <w:tcPr>
            <w:tcW w:w="807" w:type="dxa"/>
            <w:vAlign w:val="center"/>
          </w:tcPr>
          <w:p w14:paraId="25D58A78">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p>
        </w:tc>
        <w:tc>
          <w:tcPr>
            <w:tcW w:w="1440" w:type="dxa"/>
            <w:vAlign w:val="center"/>
          </w:tcPr>
          <w:p w14:paraId="731490E9">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p>
        </w:tc>
      </w:tr>
      <w:tr w14:paraId="0955F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Align w:val="center"/>
          </w:tcPr>
          <w:p w14:paraId="0FAE18AC">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3</w:t>
            </w:r>
          </w:p>
        </w:tc>
        <w:tc>
          <w:tcPr>
            <w:tcW w:w="2533" w:type="dxa"/>
            <w:vAlign w:val="center"/>
          </w:tcPr>
          <w:p w14:paraId="33EF58A6">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响应文件签署、盖章</w:t>
            </w:r>
          </w:p>
        </w:tc>
        <w:tc>
          <w:tcPr>
            <w:tcW w:w="4173" w:type="dxa"/>
            <w:vAlign w:val="center"/>
          </w:tcPr>
          <w:p w14:paraId="02F0F7C3">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color w:val="auto"/>
                <w:sz w:val="28"/>
                <w:szCs w:val="28"/>
              </w:rPr>
              <w:t>均按磋商文件要求签字、盖章（评分标准中要求提供的证明材料除外）。</w:t>
            </w:r>
          </w:p>
        </w:tc>
        <w:tc>
          <w:tcPr>
            <w:tcW w:w="807" w:type="dxa"/>
            <w:vAlign w:val="center"/>
          </w:tcPr>
          <w:p w14:paraId="39127F06">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p>
        </w:tc>
        <w:tc>
          <w:tcPr>
            <w:tcW w:w="1440" w:type="dxa"/>
            <w:vAlign w:val="center"/>
          </w:tcPr>
          <w:p w14:paraId="2626350C">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p>
        </w:tc>
      </w:tr>
      <w:tr w14:paraId="6404B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Align w:val="center"/>
          </w:tcPr>
          <w:p w14:paraId="53B1E0C7">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Cs/>
                <w:color w:val="auto"/>
                <w:kern w:val="0"/>
                <w:sz w:val="28"/>
                <w:szCs w:val="28"/>
                <w:lang w:eastAsia="zh-CN"/>
              </w:rPr>
            </w:pPr>
            <w:r>
              <w:rPr>
                <w:rFonts w:hint="eastAsia" w:ascii="仿宋_GB2312" w:hAnsi="仿宋_GB2312" w:eastAsia="仿宋_GB2312" w:cs="仿宋_GB2312"/>
                <w:bCs/>
                <w:color w:val="auto"/>
                <w:kern w:val="0"/>
                <w:sz w:val="28"/>
                <w:szCs w:val="28"/>
                <w:lang w:val="en-US" w:eastAsia="zh-CN"/>
              </w:rPr>
              <w:t>4</w:t>
            </w:r>
          </w:p>
        </w:tc>
        <w:tc>
          <w:tcPr>
            <w:tcW w:w="2533" w:type="dxa"/>
            <w:vAlign w:val="center"/>
          </w:tcPr>
          <w:p w14:paraId="2E691D5F">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第一次磋商报价表</w:t>
            </w:r>
          </w:p>
        </w:tc>
        <w:tc>
          <w:tcPr>
            <w:tcW w:w="4173" w:type="dxa"/>
          </w:tcPr>
          <w:p w14:paraId="55629BB2">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（1）第一次磋商报价表填写符合要求；</w:t>
            </w:r>
          </w:p>
          <w:p w14:paraId="4D62012B">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（2）计量单位、报价货币均符合磋商文件要求；</w:t>
            </w:r>
          </w:p>
          <w:p w14:paraId="43590074">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（3）第一次磋商报价未超出采购预算或磋商文件规定的最高限价。</w:t>
            </w:r>
          </w:p>
        </w:tc>
        <w:tc>
          <w:tcPr>
            <w:tcW w:w="807" w:type="dxa"/>
            <w:vAlign w:val="center"/>
          </w:tcPr>
          <w:p w14:paraId="0A555E70">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p>
        </w:tc>
        <w:tc>
          <w:tcPr>
            <w:tcW w:w="1440" w:type="dxa"/>
            <w:vAlign w:val="center"/>
          </w:tcPr>
          <w:p w14:paraId="339B3A6E">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p>
        </w:tc>
      </w:tr>
      <w:tr w14:paraId="1ADEB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Align w:val="center"/>
          </w:tcPr>
          <w:p w14:paraId="02CD6CB5">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Cs/>
                <w:color w:val="auto"/>
                <w:kern w:val="0"/>
                <w:sz w:val="28"/>
                <w:szCs w:val="28"/>
                <w:lang w:val="en-US" w:eastAsia="zh-CN"/>
              </w:rPr>
            </w:pPr>
            <w:r>
              <w:rPr>
                <w:rFonts w:hint="eastAsia" w:ascii="仿宋_GB2312" w:hAnsi="仿宋_GB2312" w:eastAsia="仿宋_GB2312" w:cs="仿宋_GB2312"/>
                <w:bCs/>
                <w:color w:val="auto"/>
                <w:kern w:val="0"/>
                <w:sz w:val="28"/>
                <w:szCs w:val="28"/>
                <w:lang w:val="en-US" w:eastAsia="zh-CN"/>
              </w:rPr>
              <w:t>5</w:t>
            </w:r>
          </w:p>
        </w:tc>
        <w:tc>
          <w:tcPr>
            <w:tcW w:w="2533" w:type="dxa"/>
            <w:vAlign w:val="center"/>
          </w:tcPr>
          <w:p w14:paraId="0E768C28">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响应文件完整性</w:t>
            </w:r>
          </w:p>
        </w:tc>
        <w:tc>
          <w:tcPr>
            <w:tcW w:w="4173" w:type="dxa"/>
            <w:vAlign w:val="center"/>
          </w:tcPr>
          <w:p w14:paraId="5F429F9C">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响应文件按照磋商文件要求编制，三部分内容齐全，无重大缺漏项。</w:t>
            </w:r>
          </w:p>
        </w:tc>
        <w:tc>
          <w:tcPr>
            <w:tcW w:w="807" w:type="dxa"/>
            <w:vAlign w:val="center"/>
          </w:tcPr>
          <w:p w14:paraId="58D25C4E">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p>
        </w:tc>
        <w:tc>
          <w:tcPr>
            <w:tcW w:w="1440" w:type="dxa"/>
            <w:vAlign w:val="center"/>
          </w:tcPr>
          <w:p w14:paraId="473CCC58">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p>
        </w:tc>
      </w:tr>
      <w:tr w14:paraId="31412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Align w:val="center"/>
          </w:tcPr>
          <w:p w14:paraId="660F3FD7">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Cs/>
                <w:color w:val="auto"/>
                <w:kern w:val="0"/>
                <w:sz w:val="28"/>
                <w:szCs w:val="28"/>
                <w:lang w:eastAsia="zh-CN"/>
              </w:rPr>
            </w:pPr>
            <w:r>
              <w:rPr>
                <w:rFonts w:hint="eastAsia" w:ascii="仿宋_GB2312" w:hAnsi="仿宋_GB2312" w:eastAsia="仿宋_GB2312" w:cs="仿宋_GB2312"/>
                <w:bCs/>
                <w:color w:val="auto"/>
                <w:kern w:val="0"/>
                <w:sz w:val="28"/>
                <w:szCs w:val="28"/>
                <w:lang w:val="en-US" w:eastAsia="zh-CN"/>
              </w:rPr>
              <w:t>6</w:t>
            </w:r>
          </w:p>
        </w:tc>
        <w:tc>
          <w:tcPr>
            <w:tcW w:w="2533" w:type="dxa"/>
            <w:vAlign w:val="center"/>
          </w:tcPr>
          <w:p w14:paraId="6454F2BA">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color w:val="auto"/>
                <w:sz w:val="28"/>
                <w:szCs w:val="28"/>
              </w:rPr>
              <w:t>技术服务要求</w:t>
            </w:r>
          </w:p>
        </w:tc>
        <w:tc>
          <w:tcPr>
            <w:tcW w:w="4173" w:type="dxa"/>
            <w:vAlign w:val="center"/>
          </w:tcPr>
          <w:p w14:paraId="600AF9F9">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color w:val="auto"/>
                <w:sz w:val="28"/>
                <w:szCs w:val="28"/>
              </w:rPr>
              <w:t>完全理解并接受对合格供应商、合格的货物、工程或服务要求，根据响应文件中《技术服务偏差表》第三章“★”标识的实质性要求没有负偏离。</w:t>
            </w:r>
          </w:p>
        </w:tc>
        <w:tc>
          <w:tcPr>
            <w:tcW w:w="807" w:type="dxa"/>
            <w:vAlign w:val="center"/>
          </w:tcPr>
          <w:p w14:paraId="5D54A0F4">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p>
        </w:tc>
        <w:tc>
          <w:tcPr>
            <w:tcW w:w="1440" w:type="dxa"/>
            <w:vAlign w:val="center"/>
          </w:tcPr>
          <w:p w14:paraId="2AF20016">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p>
        </w:tc>
      </w:tr>
      <w:tr w14:paraId="2BFC1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Align w:val="center"/>
          </w:tcPr>
          <w:p w14:paraId="7FABDB95">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Cs/>
                <w:color w:val="auto"/>
                <w:kern w:val="0"/>
                <w:sz w:val="28"/>
                <w:szCs w:val="28"/>
                <w:lang w:val="en-US" w:eastAsia="zh-CN"/>
              </w:rPr>
            </w:pPr>
            <w:r>
              <w:rPr>
                <w:rFonts w:hint="eastAsia" w:ascii="仿宋_GB2312" w:hAnsi="仿宋_GB2312" w:eastAsia="仿宋_GB2312" w:cs="仿宋_GB2312"/>
                <w:bCs/>
                <w:color w:val="auto"/>
                <w:kern w:val="0"/>
                <w:sz w:val="28"/>
                <w:szCs w:val="28"/>
                <w:lang w:val="en-US" w:eastAsia="zh-CN"/>
              </w:rPr>
              <w:t>7</w:t>
            </w:r>
          </w:p>
        </w:tc>
        <w:tc>
          <w:tcPr>
            <w:tcW w:w="2533" w:type="dxa"/>
            <w:vAlign w:val="center"/>
          </w:tcPr>
          <w:p w14:paraId="2EE6C482">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合同草案响应</w:t>
            </w:r>
          </w:p>
        </w:tc>
        <w:tc>
          <w:tcPr>
            <w:tcW w:w="4173" w:type="dxa"/>
            <w:vAlign w:val="center"/>
          </w:tcPr>
          <w:p w14:paraId="214CF34B">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有完全理解并接受磋商文件合同草案 条款要求的描述。</w:t>
            </w:r>
          </w:p>
        </w:tc>
        <w:tc>
          <w:tcPr>
            <w:tcW w:w="807" w:type="dxa"/>
            <w:vAlign w:val="center"/>
          </w:tcPr>
          <w:p w14:paraId="567E2641">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p>
        </w:tc>
        <w:tc>
          <w:tcPr>
            <w:tcW w:w="1440" w:type="dxa"/>
            <w:vAlign w:val="center"/>
          </w:tcPr>
          <w:p w14:paraId="07C9E909">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p>
        </w:tc>
      </w:tr>
      <w:tr w14:paraId="08C6E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Align w:val="center"/>
          </w:tcPr>
          <w:p w14:paraId="0E14D0F4">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Cs/>
                <w:color w:val="auto"/>
                <w:kern w:val="0"/>
                <w:sz w:val="28"/>
                <w:szCs w:val="28"/>
                <w:lang w:val="en-US" w:eastAsia="zh-CN"/>
              </w:rPr>
            </w:pPr>
            <w:r>
              <w:rPr>
                <w:rFonts w:hint="eastAsia" w:ascii="仿宋_GB2312" w:hAnsi="仿宋_GB2312" w:eastAsia="仿宋_GB2312" w:cs="仿宋_GB2312"/>
                <w:bCs/>
                <w:color w:val="auto"/>
                <w:kern w:val="0"/>
                <w:sz w:val="28"/>
                <w:szCs w:val="28"/>
                <w:lang w:val="en-US" w:eastAsia="zh-CN"/>
              </w:rPr>
              <w:t>8</w:t>
            </w:r>
          </w:p>
        </w:tc>
        <w:tc>
          <w:tcPr>
            <w:tcW w:w="2533" w:type="dxa"/>
            <w:vAlign w:val="center"/>
          </w:tcPr>
          <w:p w14:paraId="673894A8">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供应商承诺书</w:t>
            </w:r>
          </w:p>
        </w:tc>
        <w:tc>
          <w:tcPr>
            <w:tcW w:w="4173" w:type="dxa"/>
            <w:vAlign w:val="center"/>
          </w:tcPr>
          <w:p w14:paraId="1C6A4E3B">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完全理解并填写《拒绝政府采购领域商业贿赂承诺书》。</w:t>
            </w:r>
          </w:p>
        </w:tc>
        <w:tc>
          <w:tcPr>
            <w:tcW w:w="807" w:type="dxa"/>
            <w:vAlign w:val="center"/>
          </w:tcPr>
          <w:p w14:paraId="3B2AC6B0">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p>
        </w:tc>
        <w:tc>
          <w:tcPr>
            <w:tcW w:w="1440" w:type="dxa"/>
            <w:vAlign w:val="center"/>
          </w:tcPr>
          <w:p w14:paraId="0CDFD7E0">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p>
        </w:tc>
      </w:tr>
      <w:tr w14:paraId="1B479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Align w:val="center"/>
          </w:tcPr>
          <w:p w14:paraId="055C8DDD">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Cs/>
                <w:color w:val="auto"/>
                <w:kern w:val="0"/>
                <w:sz w:val="28"/>
                <w:szCs w:val="28"/>
                <w:lang w:eastAsia="zh-CN"/>
              </w:rPr>
            </w:pPr>
            <w:r>
              <w:rPr>
                <w:rFonts w:hint="eastAsia" w:ascii="仿宋_GB2312" w:hAnsi="仿宋_GB2312" w:eastAsia="仿宋_GB2312" w:cs="仿宋_GB2312"/>
                <w:bCs/>
                <w:color w:val="auto"/>
                <w:kern w:val="0"/>
                <w:sz w:val="28"/>
                <w:szCs w:val="28"/>
                <w:lang w:val="en-US" w:eastAsia="zh-CN"/>
              </w:rPr>
              <w:t>9</w:t>
            </w:r>
          </w:p>
        </w:tc>
        <w:tc>
          <w:tcPr>
            <w:tcW w:w="2533" w:type="dxa"/>
            <w:vAlign w:val="center"/>
          </w:tcPr>
          <w:p w14:paraId="7D2049F8">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color w:val="auto"/>
                <w:sz w:val="28"/>
                <w:szCs w:val="28"/>
              </w:rPr>
              <w:t>无其他磋商文件或法规明确规定响应无效的事项</w:t>
            </w:r>
          </w:p>
        </w:tc>
        <w:tc>
          <w:tcPr>
            <w:tcW w:w="4173" w:type="dxa"/>
            <w:vAlign w:val="center"/>
          </w:tcPr>
          <w:p w14:paraId="04F44EAC">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bCs/>
                <w:color w:val="auto"/>
                <w:kern w:val="0"/>
                <w:sz w:val="28"/>
                <w:szCs w:val="28"/>
              </w:rPr>
            </w:pPr>
            <w:r>
              <w:rPr>
                <w:rFonts w:hint="eastAsia" w:ascii="仿宋_GB2312" w:hAnsi="仿宋_GB2312" w:eastAsia="仿宋_GB2312" w:cs="仿宋_GB2312"/>
                <w:color w:val="auto"/>
                <w:sz w:val="28"/>
                <w:szCs w:val="28"/>
              </w:rPr>
              <w:t>没有不符合磋商文件规定的被视为无效响应的其他条款。</w:t>
            </w:r>
          </w:p>
        </w:tc>
        <w:tc>
          <w:tcPr>
            <w:tcW w:w="807" w:type="dxa"/>
            <w:vAlign w:val="center"/>
          </w:tcPr>
          <w:p w14:paraId="77F95ACA">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p>
        </w:tc>
        <w:tc>
          <w:tcPr>
            <w:tcW w:w="1440" w:type="dxa"/>
            <w:vAlign w:val="center"/>
          </w:tcPr>
          <w:p w14:paraId="3D3F2448">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kern w:val="0"/>
                <w:sz w:val="28"/>
                <w:szCs w:val="28"/>
              </w:rPr>
            </w:pPr>
          </w:p>
        </w:tc>
      </w:tr>
      <w:tr w14:paraId="07981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7" w:type="dxa"/>
            <w:gridSpan w:val="5"/>
            <w:vAlign w:val="center"/>
          </w:tcPr>
          <w:p w14:paraId="490CC219">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bCs/>
                <w:color w:val="auto"/>
                <w:kern w:val="0"/>
                <w:sz w:val="28"/>
                <w:szCs w:val="28"/>
              </w:rPr>
            </w:pPr>
            <w:r>
              <w:rPr>
                <w:rFonts w:hint="eastAsia" w:ascii="仿宋_GB2312" w:hAnsi="仿宋_GB2312" w:eastAsia="仿宋_GB2312" w:cs="仿宋_GB2312"/>
                <w:b/>
                <w:bCs/>
                <w:color w:val="auto"/>
                <w:kern w:val="0"/>
                <w:sz w:val="28"/>
                <w:szCs w:val="28"/>
              </w:rPr>
              <w:t>磋商小组成员：（签字或盖章）</w:t>
            </w:r>
          </w:p>
        </w:tc>
      </w:tr>
    </w:tbl>
    <w:p w14:paraId="47A34703">
      <w:pPr>
        <w:spacing w:line="500" w:lineRule="exact"/>
        <w:ind w:firstLine="566" w:firstLineChars="200"/>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3、响应文件的澄清</w:t>
      </w:r>
    </w:p>
    <w:p w14:paraId="5F23DDD2">
      <w:pPr>
        <w:spacing w:line="500" w:lineRule="exact"/>
        <w:ind w:firstLine="566"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（1）磋商小组在对响应文件的有效性、完整性和响应程度进行审查时，可以要求供应商对响应文件中含义不明确、同类问题表述不一致或者有明显文字和计算错误的内容等做出必要的澄清、说明或者更正。</w:t>
      </w:r>
    </w:p>
    <w:p w14:paraId="04BFB3A4">
      <w:pPr>
        <w:spacing w:line="500" w:lineRule="exact"/>
        <w:ind w:firstLine="566"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（2）依照《中华人民共和国民法典》中的过失责任原则，澄清、说明 或更正前磋商小组将按最不利于参与本次磋商供应商的原则对响应文件做 出评判。</w:t>
      </w:r>
    </w:p>
    <w:p w14:paraId="1DCC734F">
      <w:pPr>
        <w:spacing w:line="500" w:lineRule="exact"/>
        <w:ind w:firstLine="566"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磋商小组要求供应商澄清、说明或者更正响应文件应通过电子交易平台或电子邮件等书面形式做出。供应商应当在规定的澄清时限内通过公共资源交易平台（以下简称“平台”）或电子邮件（在平台无法支持的情况下）等书面形式提交，</w:t>
      </w:r>
      <w:r>
        <w:rPr>
          <w:rFonts w:hint="eastAsia" w:ascii="仿宋_GB2312" w:hAnsi="仿宋_GB2312" w:eastAsia="仿宋_GB2312" w:cs="仿宋_GB2312"/>
          <w:color w:val="auto"/>
          <w:sz w:val="28"/>
          <w:szCs w:val="28"/>
          <w:lang w:val="en-US" w:eastAsia="zh-CN"/>
        </w:rPr>
        <w:t>通过电子邮件提交的</w:t>
      </w:r>
      <w:r>
        <w:rPr>
          <w:rFonts w:hint="eastAsia" w:ascii="仿宋_GB2312" w:hAnsi="仿宋_GB2312" w:eastAsia="仿宋_GB2312" w:cs="仿宋_GB2312"/>
          <w:color w:val="auto"/>
          <w:sz w:val="28"/>
          <w:szCs w:val="28"/>
        </w:rPr>
        <w:t>澄清、说明或者更正应当由法定代表人或其授权代表签字或者加盖公章。</w:t>
      </w:r>
    </w:p>
    <w:p w14:paraId="4F695667">
      <w:pPr>
        <w:spacing w:line="500" w:lineRule="exact"/>
        <w:ind w:firstLine="566"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（4）供应商的澄清、说明或者更正不得超出响应文件的范围或者改变响应文件的实质性内容。澄清、说明或者更正的内容将作为</w:t>
      </w:r>
      <w:r>
        <w:rPr>
          <w:rFonts w:hint="eastAsia" w:ascii="仿宋_GB2312" w:hAnsi="仿宋_GB2312" w:eastAsia="仿宋_GB2312" w:cs="仿宋_GB2312"/>
          <w:color w:val="auto"/>
          <w:kern w:val="0"/>
          <w:sz w:val="28"/>
          <w:szCs w:val="28"/>
        </w:rPr>
        <w:t>合同</w:t>
      </w:r>
      <w:r>
        <w:rPr>
          <w:rFonts w:hint="eastAsia" w:ascii="仿宋_GB2312" w:hAnsi="仿宋_GB2312" w:eastAsia="仿宋_GB2312" w:cs="仿宋_GB2312"/>
          <w:color w:val="auto"/>
          <w:sz w:val="28"/>
          <w:szCs w:val="28"/>
        </w:rPr>
        <w:t>履行的重要依据。</w:t>
      </w:r>
    </w:p>
    <w:p w14:paraId="6707DAF8">
      <w:pPr>
        <w:spacing w:line="500" w:lineRule="exact"/>
        <w:ind w:firstLine="566" w:firstLineChars="200"/>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除采用竞争性磋商方式采购的政府购买服务项目、市场竞争不充分的 科研项目以及需要扶持的科技成果转化项目外，通过符合性审查的供应商 不足3家的，不得进行后续磋商活动，应予以</w:t>
      </w:r>
      <w:r>
        <w:rPr>
          <w:rFonts w:hint="eastAsia" w:ascii="仿宋_GB2312" w:hAnsi="仿宋_GB2312" w:eastAsia="仿宋_GB2312" w:cs="仿宋_GB2312"/>
          <w:b/>
          <w:bCs/>
          <w:color w:val="auto"/>
          <w:sz w:val="28"/>
          <w:szCs w:val="28"/>
          <w:lang w:val="en-US" w:eastAsia="zh-CN"/>
        </w:rPr>
        <w:t>终止</w:t>
      </w:r>
      <w:r>
        <w:rPr>
          <w:rFonts w:hint="eastAsia" w:ascii="仿宋_GB2312" w:hAnsi="仿宋_GB2312" w:eastAsia="仿宋_GB2312" w:cs="仿宋_GB2312"/>
          <w:b/>
          <w:bCs/>
          <w:color w:val="auto"/>
          <w:sz w:val="28"/>
          <w:szCs w:val="28"/>
        </w:rPr>
        <w:t>。</w:t>
      </w:r>
    </w:p>
    <w:p w14:paraId="4ACAEB6F">
      <w:pPr>
        <w:spacing w:line="500" w:lineRule="exact"/>
        <w:ind w:firstLine="566" w:firstLineChars="200"/>
        <w:contextualSpacing/>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4、进行磋商</w:t>
      </w:r>
    </w:p>
    <w:p w14:paraId="6B11F829">
      <w:pPr>
        <w:spacing w:line="500" w:lineRule="exact"/>
        <w:ind w:firstLine="566" w:firstLineChars="200"/>
        <w:contextualSpacing/>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磋商小组所有成员应当集中与单一供应商分别进行磋商，并给予所有参加磋商的供应商平等的磋商机会。需要供应商书面答复磋商内容的，供应商应当按照磋商小组的要求，在磋商小组规定的时限内通过全国公共资源交易平台（汉中市）（sxggzyjy.hanzhong.gov.cn）（以下简称“平台”）〖首页·〉电子交易平台·〉企业端·〉我的项目·〉项目流程·〉澄清答复〗或电子邮件（在平台无法支持的情况下）等书面形式答复磋商的内容，</w:t>
      </w:r>
      <w:r>
        <w:rPr>
          <w:rFonts w:hint="eastAsia" w:ascii="仿宋_GB2312" w:hAnsi="仿宋_GB2312" w:eastAsia="仿宋_GB2312" w:cs="仿宋_GB2312"/>
          <w:bCs/>
          <w:color w:val="auto"/>
          <w:sz w:val="28"/>
          <w:szCs w:val="28"/>
          <w:lang w:val="en-US" w:eastAsia="zh-CN"/>
        </w:rPr>
        <w:t>通过电子邮件答复的内容应当</w:t>
      </w:r>
      <w:r>
        <w:rPr>
          <w:rFonts w:hint="eastAsia" w:ascii="仿宋_GB2312" w:hAnsi="仿宋_GB2312" w:eastAsia="仿宋_GB2312" w:cs="仿宋_GB2312"/>
          <w:bCs/>
          <w:color w:val="auto"/>
          <w:sz w:val="28"/>
          <w:szCs w:val="28"/>
        </w:rPr>
        <w:t>由法定代表人或其授权代表签字或者加盖公章。</w:t>
      </w:r>
    </w:p>
    <w:p w14:paraId="03A56A8A">
      <w:pPr>
        <w:spacing w:line="500" w:lineRule="exact"/>
        <w:ind w:firstLine="566" w:firstLineChars="200"/>
        <w:contextualSpacing/>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5、磋商文件的实质性变更</w:t>
      </w:r>
    </w:p>
    <w:p w14:paraId="4BE595A4">
      <w:pPr>
        <w:spacing w:line="500" w:lineRule="exact"/>
        <w:ind w:firstLine="566" w:firstLineChars="200"/>
        <w:contextualSpacing/>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（1）在磋商过程中，磋商小组可以根据磋商文件和磋商情况实质性变动采购需求中的技术、服务要求以及合同</w:t>
      </w:r>
      <w:r>
        <w:rPr>
          <w:rFonts w:hint="eastAsia" w:ascii="仿宋_GB2312" w:hAnsi="仿宋_GB2312" w:eastAsia="仿宋_GB2312" w:cs="仿宋_GB2312"/>
          <w:color w:val="auto"/>
          <w:sz w:val="28"/>
          <w:szCs w:val="28"/>
          <w:lang w:val="en-US" w:eastAsia="zh-CN"/>
        </w:rPr>
        <w:t>草案</w:t>
      </w:r>
      <w:r>
        <w:rPr>
          <w:rFonts w:hint="eastAsia" w:ascii="仿宋_GB2312" w:hAnsi="仿宋_GB2312" w:eastAsia="仿宋_GB2312" w:cs="仿宋_GB2312"/>
          <w:color w:val="auto"/>
          <w:sz w:val="28"/>
          <w:szCs w:val="28"/>
        </w:rPr>
        <w:t>条款，但不得变动磋商文件中的其他内容。实质性变动的内容，须经采购人代表确认。</w:t>
      </w:r>
    </w:p>
    <w:p w14:paraId="584900BA">
      <w:pPr>
        <w:spacing w:line="500" w:lineRule="exact"/>
        <w:ind w:firstLine="566" w:firstLineChars="200"/>
        <w:contextualSpacing/>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实质性变动不得改变原标的物，且应遵循有利于采购活动顺利实施的原则，当出现下列情形时，可实质性变动：</w:t>
      </w:r>
    </w:p>
    <w:p w14:paraId="43A709B0">
      <w:pPr>
        <w:spacing w:line="500" w:lineRule="exact"/>
        <w:ind w:firstLine="566" w:firstLineChars="200"/>
        <w:contextualSpacing/>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①</w:t>
      </w:r>
      <w:r>
        <w:rPr>
          <w:rFonts w:hint="eastAsia" w:ascii="仿宋_GB2312" w:hAnsi="仿宋_GB2312" w:eastAsia="仿宋_GB2312" w:cs="仿宋_GB2312"/>
          <w:color w:val="auto"/>
          <w:sz w:val="28"/>
          <w:szCs w:val="28"/>
        </w:rPr>
        <w:t>当磋商小组发现磋商文件有明显错误、自相矛盾时，可通过实质性变动纠正错误，且应尽可能保证该变动不会排除各参与供应商；</w:t>
      </w:r>
    </w:p>
    <w:p w14:paraId="11A5764B">
      <w:pPr>
        <w:spacing w:line="500" w:lineRule="exact"/>
        <w:ind w:firstLine="566" w:firstLineChars="200"/>
        <w:contextualSpacing/>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②</w:t>
      </w:r>
      <w:r>
        <w:rPr>
          <w:rFonts w:hint="eastAsia" w:ascii="仿宋_GB2312" w:hAnsi="仿宋_GB2312" w:eastAsia="仿宋_GB2312" w:cs="仿宋_GB2312"/>
          <w:color w:val="auto"/>
          <w:sz w:val="28"/>
          <w:szCs w:val="28"/>
        </w:rPr>
        <w:t>当进入最后报价环节的供应商不足</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家时，可通过实质性变动实现不少于</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家供应商提交最后报价，但不得通过实质性变动将原本进入最后报价环节的供应商排除在外。</w:t>
      </w:r>
    </w:p>
    <w:p w14:paraId="259D1CC5">
      <w:pPr>
        <w:spacing w:line="500" w:lineRule="exact"/>
        <w:ind w:firstLine="566" w:firstLineChars="200"/>
        <w:contextualSpacing/>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）对磋商文件作出的实质性变动是磋商文件的有效组成部分，磋商小组将通过公共资源交易平台（以下简称“平台”）或电子邮件（在平台无法支持的情况下）等书面形式通知所有参加磋商的供应商。</w:t>
      </w:r>
    </w:p>
    <w:p w14:paraId="10F0FF3C">
      <w:pPr>
        <w:spacing w:line="500" w:lineRule="exact"/>
        <w:ind w:firstLine="566" w:firstLineChars="200"/>
        <w:contextualSpacing/>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）供应商应当按照磋商文件的变动情况和磋商小组的要求，在磋商 小组规定的时限内重新提交响应文件，并用数字认证证书（CA 锁）签章或 由法定代表人或其授权代表签字或者加盖公章。</w:t>
      </w:r>
    </w:p>
    <w:p w14:paraId="41BEA8C1">
      <w:pPr>
        <w:pStyle w:val="19"/>
        <w:spacing w:line="500" w:lineRule="exact"/>
        <w:ind w:firstLine="566"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rPr>
        <w:t>）供应商未能在规定的时间内按照磋商小组的要求通过公共资源交易平台（以下简称“平台”）或电子邮件（在平台无法支持的情况下）等书面形式提交实质性变更响应文件的，视作未实质性响应。</w:t>
      </w:r>
    </w:p>
    <w:p w14:paraId="29F11EB4">
      <w:pPr>
        <w:spacing w:line="500" w:lineRule="exact"/>
        <w:ind w:firstLine="566" w:firstLineChars="200"/>
        <w:contextualSpacing/>
        <w:rPr>
          <w:rFonts w:hint="eastAsia"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6、最后报价</w:t>
      </w:r>
    </w:p>
    <w:p w14:paraId="6D5955E9">
      <w:pPr>
        <w:spacing w:line="500" w:lineRule="exact"/>
        <w:ind w:firstLine="566" w:firstLineChars="200"/>
        <w:contextualSpacing/>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（1）磋商文件能够详细列明采购标的的技术、服务要求的，磋商结束 后，磋商小组应当要求所有实质性响应的供应商在规定时间内提交最后报 价，提交最后报价的供应商不得少于3家。</w:t>
      </w:r>
    </w:p>
    <w:p w14:paraId="6942DA30">
      <w:pPr>
        <w:spacing w:line="500" w:lineRule="exact"/>
        <w:ind w:firstLine="566" w:firstLineChars="200"/>
        <w:contextualSpacing/>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（2）磋商文件不能详细列明采购标的的技术、服务要求，需经磋商由 供应商提供最终设计方案或解决方案的，磋商结束后，磋商小组应当按照 少数服从多数的原则投票推荐3家以上供应商的设计方案或者解决方案， 并要求其在规定时间内提交最后报价。</w:t>
      </w:r>
    </w:p>
    <w:p w14:paraId="402E46B4">
      <w:pPr>
        <w:spacing w:line="500" w:lineRule="exact"/>
        <w:ind w:firstLine="566" w:firstLineChars="200"/>
        <w:contextualSpacing/>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（3）最后报价是供应商响应文件的有效组成部分。符合《政府采购竞 争性磋商采购方式管理暂行办法》第三条第四项情形的，即市场竞争不充 分的科研项目，以及需要扶持的科技成果转化项目，提交最后报价的供应 商可以为 2 家。根据《财政部关于政府采购竞争性磋商采购方式管理暂行 办法有关问题的补充通知》（财库〔2015〕124号），采购的政府购买服务项目（含政府和社会资本合作项目），在采购过程中符合要求的供应商 （社会资本）只有2家的，竞争性磋商采购活动可以继续进行。</w:t>
      </w:r>
    </w:p>
    <w:p w14:paraId="02A2FBB8">
      <w:pPr>
        <w:spacing w:line="500" w:lineRule="exact"/>
        <w:ind w:firstLine="566" w:firstLineChars="200"/>
        <w:contextualSpacing/>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供应商要在全国公共资源交易平台（汉中市）（sxggzyjy.hanzhong.gov.cn）（以下简称“平台”）〖首页·〉电子交易平台·〉企业端·〉我的项目·〉项目流程·〉网上报价〗中提交最后报价，并用数字认证证书（CA锁）签章。平台系统无法使用时，供应商要以书面形式提交最后报价。最后报价表应由其法定代表人或被授权代表签字或者加盖公章。最后报价将作为综合评分法中价格分的计算依据。</w:t>
      </w:r>
    </w:p>
    <w:p w14:paraId="5FEAA91D">
      <w:pPr>
        <w:spacing w:line="500" w:lineRule="exact"/>
        <w:ind w:firstLine="566" w:firstLineChars="200"/>
        <w:contextualSpacing/>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（5）已提交响应文件的供应商，在提交最后报价之前，可以根据磋商 情况书面申请退出磋商，书面申请应由其法定代表人或被授权代表签字或 者加盖公章。</w:t>
      </w:r>
    </w:p>
    <w:p w14:paraId="4220F8E6">
      <w:pPr>
        <w:spacing w:line="500" w:lineRule="exact"/>
        <w:ind w:firstLine="566" w:firstLineChars="200"/>
        <w:contextualSpacing/>
        <w:rPr>
          <w:rFonts w:hint="eastAsia" w:ascii="仿宋_GB2312" w:hAnsi="仿宋_GB2312" w:eastAsia="仿宋_GB2312" w:cs="仿宋_GB2312"/>
          <w:b/>
          <w:bCs/>
          <w:color w:val="auto"/>
          <w:sz w:val="28"/>
          <w:szCs w:val="28"/>
          <w:u w:val="double"/>
        </w:rPr>
      </w:pPr>
      <w:r>
        <w:rPr>
          <w:rFonts w:hint="eastAsia" w:ascii="仿宋_GB2312" w:hAnsi="仿宋_GB2312" w:eastAsia="仿宋_GB2312" w:cs="仿宋_GB2312"/>
          <w:color w:val="auto"/>
          <w:sz w:val="28"/>
          <w:szCs w:val="28"/>
        </w:rPr>
        <w:t>（6）磋商小组认为供应商的报价明显低于其他通过符合性和响应性审查供应商的报价，有可能影响工程、货物、服务质量或者不能诚信履约的，要求供应商在规定时间内通过公共资源交易平台（以下简称“平台”）或电子邮件（在平台无法支持的情况下）等书面形式提供说明（必要时提交相关证明材料），供应商不能证明其报价合理性的，按无效响应</w:t>
      </w:r>
      <w:r>
        <w:rPr>
          <w:rFonts w:hint="eastAsia" w:ascii="仿宋_GB2312" w:hAnsi="仿宋_GB2312" w:eastAsia="仿宋_GB2312" w:cs="仿宋_GB2312"/>
          <w:color w:val="auto"/>
          <w:sz w:val="28"/>
          <w:szCs w:val="28"/>
          <w:lang w:val="en-US" w:eastAsia="zh-CN"/>
        </w:rPr>
        <w:t>处理</w:t>
      </w:r>
      <w:r>
        <w:rPr>
          <w:rFonts w:hint="eastAsia" w:ascii="仿宋_GB2312" w:hAnsi="仿宋_GB2312" w:eastAsia="仿宋_GB2312" w:cs="仿宋_GB2312"/>
          <w:color w:val="auto"/>
          <w:sz w:val="28"/>
          <w:szCs w:val="28"/>
        </w:rPr>
        <w:t>。</w:t>
      </w:r>
    </w:p>
    <w:p w14:paraId="66110C7A">
      <w:pPr>
        <w:spacing w:line="500" w:lineRule="exact"/>
        <w:ind w:firstLine="566" w:firstLineChars="200"/>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7、综合比较与评价</w:t>
      </w:r>
    </w:p>
    <w:p w14:paraId="499B0191">
      <w:pPr>
        <w:spacing w:line="500" w:lineRule="exact"/>
        <w:ind w:firstLine="566" w:firstLineChars="200"/>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color w:val="auto"/>
          <w:sz w:val="28"/>
          <w:szCs w:val="28"/>
        </w:rPr>
        <w:t>经磋商确定最终采购需求和提交最后报价的供应商后，由磋商小组按“评审要素及分值一览表”中规定的评审方法和标准，对提交最后报价的供应商的响应文件和最后报价进行综合评分。</w:t>
      </w:r>
    </w:p>
    <w:p w14:paraId="7568FA98">
      <w:pPr>
        <w:spacing w:line="500" w:lineRule="exact"/>
        <w:ind w:firstLine="566" w:firstLineChars="200"/>
        <w:contextualSpacing/>
        <w:rPr>
          <w:rFonts w:hint="eastAsia" w:ascii="仿宋_GB2312" w:hAnsi="仿宋_GB2312" w:eastAsia="仿宋_GB2312" w:cs="仿宋_GB2312"/>
          <w:b/>
          <w:bCs/>
          <w:color w:val="auto"/>
          <w:sz w:val="28"/>
          <w:szCs w:val="28"/>
          <w:u w:val="double"/>
        </w:rPr>
      </w:pPr>
      <w:r>
        <w:rPr>
          <w:rFonts w:hint="eastAsia" w:ascii="仿宋_GB2312" w:hAnsi="仿宋_GB2312" w:eastAsia="仿宋_GB2312" w:cs="仿宋_GB2312"/>
          <w:color w:val="auto"/>
          <w:sz w:val="28"/>
          <w:szCs w:val="28"/>
        </w:rPr>
        <w:t>评审时，磋商小组各成员应当独立对每个有效响应的文件进行评价、打分，然后汇总每个供应商每项评审因素的得分。</w:t>
      </w:r>
    </w:p>
    <w:p w14:paraId="2CD040B1">
      <w:pPr>
        <w:spacing w:after="190" w:afterLines="50" w:line="500" w:lineRule="exact"/>
        <w:jc w:val="center"/>
        <w:rPr>
          <w:rFonts w:hint="eastAsia" w:ascii="仿宋_GB2312" w:hAnsi="仿宋_GB2312" w:eastAsia="仿宋_GB2312" w:cs="仿宋_GB2312"/>
          <w:b/>
          <w:bCs/>
          <w:color w:val="auto"/>
          <w:sz w:val="28"/>
          <w:szCs w:val="28"/>
        </w:rPr>
      </w:pPr>
      <w:bookmarkStart w:id="149" w:name="_Toc9626"/>
      <w:bookmarkStart w:id="150" w:name="_Toc27187"/>
      <w:bookmarkStart w:id="151" w:name="_Toc2392"/>
      <w:bookmarkStart w:id="152" w:name="_Toc27797"/>
      <w:r>
        <w:rPr>
          <w:rFonts w:hint="eastAsia" w:ascii="仿宋_GB2312" w:hAnsi="仿宋_GB2312" w:eastAsia="仿宋_GB2312" w:cs="仿宋_GB2312"/>
          <w:b/>
          <w:bCs/>
          <w:color w:val="auto"/>
          <w:sz w:val="28"/>
          <w:szCs w:val="28"/>
        </w:rPr>
        <w:t>评审要素及分值一览表</w:t>
      </w:r>
      <w:bookmarkEnd w:id="149"/>
      <w:bookmarkEnd w:id="150"/>
      <w:bookmarkEnd w:id="151"/>
      <w:bookmarkEnd w:id="152"/>
    </w:p>
    <w:tbl>
      <w:tblPr>
        <w:tblStyle w:val="21"/>
        <w:tblW w:w="94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840"/>
        <w:gridCol w:w="826"/>
        <w:gridCol w:w="787"/>
        <w:gridCol w:w="4840"/>
        <w:gridCol w:w="1323"/>
      </w:tblGrid>
      <w:tr w14:paraId="708E6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631" w:type="dxa"/>
            <w:gridSpan w:val="2"/>
            <w:vAlign w:val="center"/>
          </w:tcPr>
          <w:p w14:paraId="28918AB5">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项别</w:t>
            </w:r>
          </w:p>
        </w:tc>
        <w:tc>
          <w:tcPr>
            <w:tcW w:w="1613" w:type="dxa"/>
            <w:gridSpan w:val="2"/>
            <w:vAlign w:val="center"/>
          </w:tcPr>
          <w:p w14:paraId="263FF883">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分项</w:t>
            </w:r>
          </w:p>
        </w:tc>
        <w:tc>
          <w:tcPr>
            <w:tcW w:w="4840" w:type="dxa"/>
            <w:vMerge w:val="restart"/>
            <w:vAlign w:val="center"/>
          </w:tcPr>
          <w:p w14:paraId="2AD28E89">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评审要素</w:t>
            </w:r>
          </w:p>
        </w:tc>
        <w:tc>
          <w:tcPr>
            <w:tcW w:w="1323" w:type="dxa"/>
            <w:vMerge w:val="restart"/>
            <w:vAlign w:val="center"/>
          </w:tcPr>
          <w:p w14:paraId="013748BF">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备注</w:t>
            </w:r>
          </w:p>
        </w:tc>
      </w:tr>
      <w:tr w14:paraId="3BCB7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0" w:hRule="atLeast"/>
          <w:jc w:val="center"/>
        </w:trPr>
        <w:tc>
          <w:tcPr>
            <w:tcW w:w="791" w:type="dxa"/>
            <w:vAlign w:val="center"/>
          </w:tcPr>
          <w:p w14:paraId="2F77F448">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名称</w:t>
            </w:r>
          </w:p>
        </w:tc>
        <w:tc>
          <w:tcPr>
            <w:tcW w:w="840" w:type="dxa"/>
            <w:vAlign w:val="center"/>
          </w:tcPr>
          <w:p w14:paraId="2EED4572">
            <w:pPr>
              <w:keepNext w:val="0"/>
              <w:keepLines w:val="0"/>
              <w:pageBreakBefore w:val="0"/>
              <w:widowControl/>
              <w:kinsoku/>
              <w:wordWrap/>
              <w:overflowPunct/>
              <w:topLinePunct w:val="0"/>
              <w:autoSpaceDE w:val="0"/>
              <w:autoSpaceDN w:val="0"/>
              <w:bidi w:val="0"/>
              <w:adjustRightInd w:val="0"/>
              <w:spacing w:line="40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总分值100</w:t>
            </w:r>
          </w:p>
        </w:tc>
        <w:tc>
          <w:tcPr>
            <w:tcW w:w="826" w:type="dxa"/>
            <w:vAlign w:val="center"/>
          </w:tcPr>
          <w:p w14:paraId="4BED92CA">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名称</w:t>
            </w:r>
          </w:p>
        </w:tc>
        <w:tc>
          <w:tcPr>
            <w:tcW w:w="787" w:type="dxa"/>
            <w:vAlign w:val="center"/>
          </w:tcPr>
          <w:p w14:paraId="1DAFFFD1">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分项最高分值</w:t>
            </w:r>
          </w:p>
        </w:tc>
        <w:tc>
          <w:tcPr>
            <w:tcW w:w="4840" w:type="dxa"/>
            <w:vMerge w:val="continue"/>
            <w:vAlign w:val="center"/>
          </w:tcPr>
          <w:p w14:paraId="5602D564">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b/>
                <w:sz w:val="28"/>
                <w:szCs w:val="28"/>
              </w:rPr>
            </w:pPr>
          </w:p>
        </w:tc>
        <w:tc>
          <w:tcPr>
            <w:tcW w:w="1323" w:type="dxa"/>
            <w:vMerge w:val="continue"/>
            <w:vAlign w:val="center"/>
          </w:tcPr>
          <w:p w14:paraId="02ADFA3A">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b/>
                <w:sz w:val="28"/>
                <w:szCs w:val="28"/>
              </w:rPr>
            </w:pPr>
          </w:p>
        </w:tc>
      </w:tr>
      <w:tr w14:paraId="63BF7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70" w:hRule="atLeast"/>
          <w:jc w:val="center"/>
        </w:trPr>
        <w:tc>
          <w:tcPr>
            <w:tcW w:w="791" w:type="dxa"/>
            <w:vAlign w:val="center"/>
          </w:tcPr>
          <w:p w14:paraId="11D2B454">
            <w:pPr>
              <w:keepNext w:val="0"/>
              <w:keepLines w:val="0"/>
              <w:pageBreakBefore w:val="0"/>
              <w:widowControl/>
              <w:kinsoku/>
              <w:wordWrap/>
              <w:overflowPunct/>
              <w:topLinePunct w:val="0"/>
              <w:bidi w:val="0"/>
              <w:spacing w:line="40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价格</w:t>
            </w:r>
          </w:p>
        </w:tc>
        <w:tc>
          <w:tcPr>
            <w:tcW w:w="840" w:type="dxa"/>
            <w:vAlign w:val="center"/>
          </w:tcPr>
          <w:p w14:paraId="2ABB0AF8">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30</w:t>
            </w:r>
          </w:p>
        </w:tc>
        <w:tc>
          <w:tcPr>
            <w:tcW w:w="826" w:type="dxa"/>
            <w:vAlign w:val="center"/>
          </w:tcPr>
          <w:p w14:paraId="00E632D5">
            <w:pPr>
              <w:keepNext w:val="0"/>
              <w:keepLines w:val="0"/>
              <w:pageBreakBefore w:val="0"/>
              <w:widowControl/>
              <w:kinsoku/>
              <w:wordWrap/>
              <w:overflowPunct/>
              <w:topLinePunct w:val="0"/>
              <w:bidi w:val="0"/>
              <w:spacing w:line="40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价格</w:t>
            </w:r>
          </w:p>
        </w:tc>
        <w:tc>
          <w:tcPr>
            <w:tcW w:w="787" w:type="dxa"/>
            <w:vAlign w:val="center"/>
          </w:tcPr>
          <w:p w14:paraId="6E760C03">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30</w:t>
            </w:r>
          </w:p>
        </w:tc>
        <w:tc>
          <w:tcPr>
            <w:tcW w:w="4840" w:type="dxa"/>
            <w:vAlign w:val="center"/>
          </w:tcPr>
          <w:p w14:paraId="56ABFAE3">
            <w:pPr>
              <w:keepNext w:val="0"/>
              <w:keepLines w:val="0"/>
              <w:pageBreakBefore w:val="0"/>
              <w:widowControl/>
              <w:tabs>
                <w:tab w:val="left" w:pos="547"/>
              </w:tabs>
              <w:kinsoku/>
              <w:wordWrap/>
              <w:overflowPunct/>
              <w:topLinePunct w:val="0"/>
              <w:autoSpaceDE w:val="0"/>
              <w:autoSpaceDN w:val="0"/>
              <w:bidi w:val="0"/>
              <w:adjustRightInd w:val="0"/>
              <w:spacing w:line="40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有效供应商最低报价为基准价得</w:t>
            </w:r>
            <w:r>
              <w:rPr>
                <w:rFonts w:hint="eastAsia" w:ascii="仿宋_GB2312" w:hAnsi="仿宋_GB2312" w:eastAsia="仿宋_GB2312" w:cs="仿宋_GB2312"/>
                <w:sz w:val="28"/>
                <w:szCs w:val="28"/>
                <w:lang w:val="en-US" w:eastAsia="zh-CN"/>
              </w:rPr>
              <w:t>30</w:t>
            </w:r>
            <w:r>
              <w:rPr>
                <w:rFonts w:hint="eastAsia" w:ascii="仿宋_GB2312" w:hAnsi="仿宋_GB2312" w:eastAsia="仿宋_GB2312" w:cs="仿宋_GB2312"/>
                <w:sz w:val="28"/>
                <w:szCs w:val="28"/>
              </w:rPr>
              <w:t>分，其他各供应商的报价得分按下列公式计算：</w:t>
            </w:r>
          </w:p>
          <w:p w14:paraId="62DE38A1">
            <w:pPr>
              <w:keepNext w:val="0"/>
              <w:keepLines w:val="0"/>
              <w:pageBreakBefore w:val="0"/>
              <w:widowControl/>
              <w:tabs>
                <w:tab w:val="left" w:pos="547"/>
              </w:tabs>
              <w:kinsoku/>
              <w:wordWrap/>
              <w:overflowPunct/>
              <w:topLinePunct w:val="0"/>
              <w:autoSpaceDE w:val="0"/>
              <w:autoSpaceDN w:val="0"/>
              <w:bidi w:val="0"/>
              <w:adjustRightInd w:val="0"/>
              <w:spacing w:line="400" w:lineRule="exact"/>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rPr>
              <w:t>（基准价/磋商报价）×</w:t>
            </w:r>
            <w:r>
              <w:rPr>
                <w:rFonts w:hint="eastAsia" w:ascii="仿宋_GB2312" w:hAnsi="仿宋_GB2312" w:eastAsia="仿宋_GB2312" w:cs="仿宋_GB2312"/>
                <w:b/>
                <w:bCs/>
                <w:sz w:val="28"/>
                <w:szCs w:val="28"/>
                <w:lang w:val="en-US" w:eastAsia="zh-CN"/>
              </w:rPr>
              <w:t>30</w:t>
            </w:r>
            <w:r>
              <w:rPr>
                <w:rFonts w:hint="eastAsia" w:ascii="仿宋_GB2312" w:hAnsi="仿宋_GB2312" w:eastAsia="仿宋_GB2312" w:cs="仿宋_GB2312"/>
                <w:b/>
                <w:bCs/>
                <w:sz w:val="28"/>
                <w:szCs w:val="28"/>
                <w:lang w:eastAsia="zh-CN"/>
              </w:rPr>
              <w:t>。</w:t>
            </w:r>
          </w:p>
        </w:tc>
        <w:tc>
          <w:tcPr>
            <w:tcW w:w="1323" w:type="dxa"/>
            <w:vAlign w:val="center"/>
          </w:tcPr>
          <w:p w14:paraId="3ED4775D">
            <w:pPr>
              <w:keepNext w:val="0"/>
              <w:keepLines w:val="0"/>
              <w:pageBreakBefore w:val="0"/>
              <w:widowControl/>
              <w:kinsoku/>
              <w:wordWrap/>
              <w:overflowPunct/>
              <w:topLinePunct w:val="0"/>
              <w:autoSpaceDE w:val="0"/>
              <w:autoSpaceDN w:val="0"/>
              <w:bidi w:val="0"/>
              <w:adjustRightInd w:val="0"/>
              <w:spacing w:line="40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根据“最后报价”计算价格得分。</w:t>
            </w:r>
          </w:p>
        </w:tc>
      </w:tr>
      <w:tr w14:paraId="3070A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2" w:hRule="atLeast"/>
          <w:jc w:val="center"/>
        </w:trPr>
        <w:tc>
          <w:tcPr>
            <w:tcW w:w="791" w:type="dxa"/>
            <w:vMerge w:val="restart"/>
            <w:vAlign w:val="center"/>
          </w:tcPr>
          <w:p w14:paraId="6803E2FD">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技术</w:t>
            </w:r>
          </w:p>
        </w:tc>
        <w:tc>
          <w:tcPr>
            <w:tcW w:w="840" w:type="dxa"/>
            <w:vMerge w:val="restart"/>
            <w:vAlign w:val="center"/>
          </w:tcPr>
          <w:p w14:paraId="02232D8C">
            <w:pPr>
              <w:keepNext w:val="0"/>
              <w:keepLines w:val="0"/>
              <w:pageBreakBefore w:val="0"/>
              <w:widowControl/>
              <w:kinsoku/>
              <w:wordWrap/>
              <w:overflowPunct/>
              <w:topLinePunct w:val="0"/>
              <w:bidi w:val="0"/>
              <w:spacing w:line="40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60</w:t>
            </w:r>
          </w:p>
        </w:tc>
        <w:tc>
          <w:tcPr>
            <w:tcW w:w="826" w:type="dxa"/>
            <w:vAlign w:val="center"/>
          </w:tcPr>
          <w:p w14:paraId="37FE6815">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技术参数响应</w:t>
            </w:r>
          </w:p>
        </w:tc>
        <w:tc>
          <w:tcPr>
            <w:tcW w:w="787" w:type="dxa"/>
            <w:vAlign w:val="center"/>
          </w:tcPr>
          <w:p w14:paraId="7C6A65DB">
            <w:pPr>
              <w:keepNext w:val="0"/>
              <w:keepLines w:val="0"/>
              <w:pageBreakBefore w:val="0"/>
              <w:widowControl/>
              <w:kinsoku/>
              <w:wordWrap/>
              <w:overflowPunct/>
              <w:topLinePunct w:val="0"/>
              <w:bidi w:val="0"/>
              <w:spacing w:line="40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44</w:t>
            </w:r>
          </w:p>
        </w:tc>
        <w:tc>
          <w:tcPr>
            <w:tcW w:w="4840" w:type="dxa"/>
            <w:vAlign w:val="center"/>
          </w:tcPr>
          <w:p w14:paraId="66975B2A">
            <w:pPr>
              <w:pStyle w:val="2"/>
              <w:keepNext w:val="0"/>
              <w:keepLines w:val="0"/>
              <w:pageBreakBefore w:val="0"/>
              <w:widowControl/>
              <w:kinsoku/>
              <w:wordWrap/>
              <w:overflowPunct/>
              <w:topLinePunct w:val="0"/>
              <w:autoSpaceDE/>
              <w:autoSpaceDN/>
              <w:bidi w:val="0"/>
              <w:adjustRightInd/>
              <w:snapToGrid/>
              <w:spacing w:after="0" w:line="400" w:lineRule="exact"/>
              <w:ind w:firstLine="566" w:firstLineChars="200"/>
              <w:textAlignment w:val="auto"/>
              <w:rPr>
                <w:rFonts w:hint="eastAsia"/>
              </w:rPr>
            </w:pPr>
            <w:r>
              <w:rPr>
                <w:rFonts w:hint="eastAsia" w:ascii="仿宋_GB2312" w:hAnsi="仿宋_GB2312" w:eastAsia="仿宋_GB2312" w:cs="仿宋_GB2312"/>
                <w:sz w:val="28"/>
                <w:szCs w:val="28"/>
                <w:lang w:val="en-US" w:eastAsia="zh-CN"/>
              </w:rPr>
              <w:t>所报产品技术参数清楚、明确并能逐条响应第三章中所有技术要求（共55项），得44分，有负偏离每项扣0.8分。</w:t>
            </w:r>
          </w:p>
        </w:tc>
        <w:tc>
          <w:tcPr>
            <w:tcW w:w="1323" w:type="dxa"/>
            <w:vMerge w:val="restart"/>
            <w:vAlign w:val="center"/>
          </w:tcPr>
          <w:p w14:paraId="4A1C62E2">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sz w:val="28"/>
                <w:szCs w:val="28"/>
                <w:lang w:val="en-US" w:eastAsia="zh-CN"/>
              </w:rPr>
            </w:pPr>
          </w:p>
        </w:tc>
      </w:tr>
      <w:tr w14:paraId="5DD0C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0" w:hRule="atLeast"/>
          <w:jc w:val="center"/>
        </w:trPr>
        <w:tc>
          <w:tcPr>
            <w:tcW w:w="791" w:type="dxa"/>
            <w:vMerge w:val="continue"/>
            <w:vAlign w:val="center"/>
          </w:tcPr>
          <w:p w14:paraId="726BC324">
            <w:pPr>
              <w:keepNext w:val="0"/>
              <w:keepLines w:val="0"/>
              <w:pageBreakBefore w:val="0"/>
              <w:widowControl/>
              <w:kinsoku/>
              <w:wordWrap/>
              <w:overflowPunct/>
              <w:topLinePunct w:val="0"/>
              <w:bidi w:val="0"/>
              <w:spacing w:line="400" w:lineRule="exact"/>
              <w:textAlignment w:val="auto"/>
              <w:rPr>
                <w:rFonts w:hint="eastAsia" w:ascii="仿宋_GB2312" w:hAnsi="仿宋_GB2312" w:eastAsia="仿宋_GB2312" w:cs="仿宋_GB2312"/>
                <w:sz w:val="28"/>
                <w:szCs w:val="28"/>
              </w:rPr>
            </w:pPr>
          </w:p>
        </w:tc>
        <w:tc>
          <w:tcPr>
            <w:tcW w:w="840" w:type="dxa"/>
            <w:vMerge w:val="continue"/>
            <w:vAlign w:val="center"/>
          </w:tcPr>
          <w:p w14:paraId="0305E398">
            <w:pPr>
              <w:keepNext w:val="0"/>
              <w:keepLines w:val="0"/>
              <w:pageBreakBefore w:val="0"/>
              <w:widowControl/>
              <w:kinsoku/>
              <w:wordWrap/>
              <w:overflowPunct/>
              <w:topLinePunct w:val="0"/>
              <w:bidi w:val="0"/>
              <w:spacing w:line="400" w:lineRule="exact"/>
              <w:textAlignment w:val="auto"/>
              <w:rPr>
                <w:rFonts w:hint="eastAsia" w:ascii="仿宋_GB2312" w:hAnsi="仿宋_GB2312" w:eastAsia="仿宋_GB2312" w:cs="仿宋_GB2312"/>
                <w:sz w:val="28"/>
                <w:szCs w:val="28"/>
              </w:rPr>
            </w:pPr>
          </w:p>
        </w:tc>
        <w:tc>
          <w:tcPr>
            <w:tcW w:w="826" w:type="dxa"/>
            <w:vAlign w:val="center"/>
          </w:tcPr>
          <w:p w14:paraId="3305A045">
            <w:pPr>
              <w:keepNext w:val="0"/>
              <w:keepLines w:val="0"/>
              <w:pageBreakBefore w:val="0"/>
              <w:widowControl/>
              <w:kinsoku/>
              <w:wordWrap/>
              <w:overflowPunct/>
              <w:topLinePunct w:val="0"/>
              <w:bidi w:val="0"/>
              <w:spacing w:line="40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来源渠道</w:t>
            </w:r>
          </w:p>
        </w:tc>
        <w:tc>
          <w:tcPr>
            <w:tcW w:w="787" w:type="dxa"/>
            <w:vAlign w:val="center"/>
          </w:tcPr>
          <w:p w14:paraId="75C4D352">
            <w:pPr>
              <w:keepNext w:val="0"/>
              <w:keepLines w:val="0"/>
              <w:pageBreakBefore w:val="0"/>
              <w:widowControl/>
              <w:kinsoku/>
              <w:wordWrap/>
              <w:overflowPunct/>
              <w:topLinePunct w:val="0"/>
              <w:bidi w:val="0"/>
              <w:spacing w:line="40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w:t>
            </w:r>
          </w:p>
        </w:tc>
        <w:tc>
          <w:tcPr>
            <w:tcW w:w="4840" w:type="dxa"/>
            <w:vAlign w:val="center"/>
          </w:tcPr>
          <w:p w14:paraId="7408AF32">
            <w:pPr>
              <w:pStyle w:val="2"/>
              <w:keepNext w:val="0"/>
              <w:keepLines w:val="0"/>
              <w:pageBreakBefore w:val="0"/>
              <w:widowControl/>
              <w:numPr>
                <w:ilvl w:val="0"/>
                <w:numId w:val="0"/>
              </w:numPr>
              <w:kinsoku/>
              <w:wordWrap/>
              <w:overflowPunct/>
              <w:topLinePunct w:val="0"/>
              <w:autoSpaceDE/>
              <w:autoSpaceDN/>
              <w:bidi w:val="0"/>
              <w:adjustRightInd/>
              <w:snapToGrid/>
              <w:spacing w:after="0" w:line="40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提供所报核心产品合法来源渠道证明文件（包括但不限于产品制造商授权、销售协议、代理协议等），得1分。</w:t>
            </w:r>
          </w:p>
          <w:p w14:paraId="55573869">
            <w:pPr>
              <w:pStyle w:val="2"/>
              <w:keepNext w:val="0"/>
              <w:keepLines w:val="0"/>
              <w:pageBreakBefore w:val="0"/>
              <w:widowControl/>
              <w:numPr>
                <w:ilvl w:val="0"/>
                <w:numId w:val="0"/>
              </w:numPr>
              <w:kinsoku/>
              <w:wordWrap/>
              <w:overflowPunct/>
              <w:topLinePunct w:val="0"/>
              <w:autoSpaceDE/>
              <w:autoSpaceDN/>
              <w:bidi w:val="0"/>
              <w:adjustRightInd/>
              <w:snapToGrid/>
              <w:spacing w:after="0" w:line="40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赋分依据</w:t>
            </w:r>
            <w:r>
              <w:rPr>
                <w:rFonts w:hint="eastAsia" w:ascii="仿宋_GB2312" w:hAnsi="仿宋_GB2312" w:eastAsia="仿宋_GB2312" w:cs="仿宋_GB2312"/>
                <w:sz w:val="28"/>
                <w:szCs w:val="28"/>
                <w:lang w:val="en-US" w:eastAsia="zh-CN"/>
              </w:rPr>
              <w:t>：提供证明文件扫描件或复印件，并加盖响应人公章，不提供不得分。</w:t>
            </w:r>
          </w:p>
        </w:tc>
        <w:tc>
          <w:tcPr>
            <w:tcW w:w="1323" w:type="dxa"/>
            <w:vMerge w:val="continue"/>
            <w:vAlign w:val="center"/>
          </w:tcPr>
          <w:p w14:paraId="2C338379">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sz w:val="28"/>
                <w:szCs w:val="28"/>
              </w:rPr>
            </w:pPr>
          </w:p>
        </w:tc>
      </w:tr>
      <w:tr w14:paraId="59C7C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90" w:hRule="atLeast"/>
          <w:jc w:val="center"/>
        </w:trPr>
        <w:tc>
          <w:tcPr>
            <w:tcW w:w="791" w:type="dxa"/>
            <w:vMerge w:val="continue"/>
            <w:vAlign w:val="center"/>
          </w:tcPr>
          <w:p w14:paraId="3104B7AB">
            <w:pPr>
              <w:keepNext w:val="0"/>
              <w:keepLines w:val="0"/>
              <w:pageBreakBefore w:val="0"/>
              <w:widowControl/>
              <w:kinsoku/>
              <w:wordWrap/>
              <w:overflowPunct/>
              <w:topLinePunct w:val="0"/>
              <w:bidi w:val="0"/>
              <w:spacing w:line="400" w:lineRule="exact"/>
              <w:textAlignment w:val="auto"/>
              <w:rPr>
                <w:rFonts w:hint="eastAsia" w:ascii="仿宋_GB2312" w:hAnsi="仿宋_GB2312" w:eastAsia="仿宋_GB2312" w:cs="仿宋_GB2312"/>
                <w:sz w:val="28"/>
                <w:szCs w:val="28"/>
              </w:rPr>
            </w:pPr>
          </w:p>
        </w:tc>
        <w:tc>
          <w:tcPr>
            <w:tcW w:w="840" w:type="dxa"/>
            <w:vMerge w:val="continue"/>
            <w:vAlign w:val="center"/>
          </w:tcPr>
          <w:p w14:paraId="788F0C84">
            <w:pPr>
              <w:keepNext w:val="0"/>
              <w:keepLines w:val="0"/>
              <w:pageBreakBefore w:val="0"/>
              <w:widowControl/>
              <w:kinsoku/>
              <w:wordWrap/>
              <w:overflowPunct/>
              <w:topLinePunct w:val="0"/>
              <w:bidi w:val="0"/>
              <w:spacing w:line="400" w:lineRule="exact"/>
              <w:textAlignment w:val="auto"/>
              <w:rPr>
                <w:rFonts w:hint="eastAsia" w:ascii="仿宋_GB2312" w:hAnsi="仿宋_GB2312" w:eastAsia="仿宋_GB2312" w:cs="仿宋_GB2312"/>
                <w:sz w:val="28"/>
                <w:szCs w:val="28"/>
              </w:rPr>
            </w:pPr>
          </w:p>
        </w:tc>
        <w:tc>
          <w:tcPr>
            <w:tcW w:w="826" w:type="dxa"/>
            <w:vAlign w:val="center"/>
          </w:tcPr>
          <w:p w14:paraId="383AFB15">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项目实施方案</w:t>
            </w:r>
          </w:p>
        </w:tc>
        <w:tc>
          <w:tcPr>
            <w:tcW w:w="787" w:type="dxa"/>
            <w:vAlign w:val="center"/>
          </w:tcPr>
          <w:p w14:paraId="3490FC5F">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w:t>
            </w:r>
          </w:p>
        </w:tc>
        <w:tc>
          <w:tcPr>
            <w:tcW w:w="4840" w:type="dxa"/>
            <w:vAlign w:val="center"/>
          </w:tcPr>
          <w:p w14:paraId="49D66192">
            <w:pPr>
              <w:keepNext w:val="0"/>
              <w:keepLines w:val="0"/>
              <w:pageBreakBefore w:val="0"/>
              <w:widowControl/>
              <w:numPr>
                <w:ilvl w:val="0"/>
                <w:numId w:val="0"/>
              </w:numPr>
              <w:kinsoku/>
              <w:wordWrap/>
              <w:overflowPunct/>
              <w:topLinePunct w:val="0"/>
              <w:bidi w:val="0"/>
              <w:spacing w:line="400" w:lineRule="exact"/>
              <w:jc w:val="left"/>
              <w:textAlignment w:val="auto"/>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一、评审内容</w:t>
            </w:r>
          </w:p>
          <w:p w14:paraId="53D5C4E9">
            <w:pPr>
              <w:keepNext w:val="0"/>
              <w:keepLines w:val="0"/>
              <w:pageBreakBefore w:val="0"/>
              <w:widowControl/>
              <w:numPr>
                <w:ilvl w:val="0"/>
                <w:numId w:val="0"/>
              </w:numPr>
              <w:kinsoku/>
              <w:wordWrap/>
              <w:overflowPunct/>
              <w:topLinePunct w:val="0"/>
              <w:bidi w:val="0"/>
              <w:spacing w:line="400" w:lineRule="exact"/>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响应人提供本项目实施方案，包括①项目进度计划及保障措施②拟派人员配置及岗位职责③备货、运输及供货方案及应急保障措施④培训方案。</w:t>
            </w:r>
          </w:p>
          <w:p w14:paraId="45FACB12">
            <w:pPr>
              <w:pStyle w:val="37"/>
              <w:keepNext w:val="0"/>
              <w:keepLines w:val="0"/>
              <w:pageBreakBefore w:val="0"/>
              <w:widowControl/>
              <w:kinsoku/>
              <w:wordWrap/>
              <w:overflowPunct/>
              <w:topLinePunct w:val="0"/>
              <w:bidi w:val="0"/>
              <w:spacing w:line="400" w:lineRule="exact"/>
              <w:ind w:left="0" w:leftChars="0" w:firstLine="0" w:firstLineChars="0"/>
              <w:textAlignment w:val="auto"/>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二、赋分标准</w:t>
            </w:r>
          </w:p>
          <w:p w14:paraId="0D82ECAF">
            <w:pPr>
              <w:pStyle w:val="37"/>
              <w:keepNext w:val="0"/>
              <w:keepLines w:val="0"/>
              <w:pageBreakBefore w:val="0"/>
              <w:widowControl/>
              <w:kinsoku/>
              <w:wordWrap/>
              <w:overflowPunct/>
              <w:topLinePunct w:val="0"/>
              <w:bidi w:val="0"/>
              <w:spacing w:line="400" w:lineRule="exact"/>
              <w:ind w:left="0" w:leftChars="0" w:firstLine="0" w:firstLineChars="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1、完整性：方案内容完整全面，对上述各项内容均有描述，得2分；缺1项，得1.5分；缺2项，得1分；缺3项，得0.5分。</w:t>
            </w:r>
          </w:p>
          <w:p w14:paraId="15BCF495">
            <w:pPr>
              <w:pStyle w:val="37"/>
              <w:keepNext w:val="0"/>
              <w:keepLines w:val="0"/>
              <w:pageBreakBefore w:val="0"/>
              <w:widowControl/>
              <w:kinsoku/>
              <w:wordWrap/>
              <w:overflowPunct/>
              <w:topLinePunct w:val="0"/>
              <w:bidi w:val="0"/>
              <w:spacing w:line="400" w:lineRule="exact"/>
              <w:ind w:left="0" w:leftChars="0" w:firstLine="0" w:firstLineChars="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2、针对性：针对性强，得2分；针对性一般，得1分；缺乏针对性，得0分。</w:t>
            </w:r>
          </w:p>
          <w:p w14:paraId="57083A83">
            <w:pPr>
              <w:pStyle w:val="37"/>
              <w:keepNext w:val="0"/>
              <w:keepLines w:val="0"/>
              <w:pageBreakBefore w:val="0"/>
              <w:widowControl/>
              <w:kinsoku/>
              <w:wordWrap/>
              <w:overflowPunct/>
              <w:topLinePunct w:val="0"/>
              <w:bidi w:val="0"/>
              <w:spacing w:line="400" w:lineRule="exact"/>
              <w:ind w:left="0" w:leftChars="0" w:firstLine="0" w:firstLineChars="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3、可实施性：可实施性强，得2分；可实施性一般，得1分；缺乏可实施性，得0分。</w:t>
            </w:r>
          </w:p>
          <w:p w14:paraId="78A488A9">
            <w:pPr>
              <w:pStyle w:val="2"/>
              <w:keepNext w:val="0"/>
              <w:keepLines w:val="0"/>
              <w:pageBreakBefore w:val="0"/>
              <w:widowControl/>
              <w:numPr>
                <w:ilvl w:val="0"/>
                <w:numId w:val="0"/>
              </w:numPr>
              <w:kinsoku/>
              <w:wordWrap/>
              <w:overflowPunct/>
              <w:topLinePunct w:val="0"/>
              <w:autoSpaceDE/>
              <w:autoSpaceDN/>
              <w:bidi w:val="0"/>
              <w:adjustRightInd/>
              <w:snapToGrid/>
              <w:spacing w:after="0" w:line="40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此项不提供不得分。</w:t>
            </w:r>
          </w:p>
        </w:tc>
        <w:tc>
          <w:tcPr>
            <w:tcW w:w="1323" w:type="dxa"/>
            <w:vMerge w:val="continue"/>
            <w:vAlign w:val="center"/>
          </w:tcPr>
          <w:p w14:paraId="70F64848">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sz w:val="28"/>
                <w:szCs w:val="28"/>
              </w:rPr>
            </w:pPr>
          </w:p>
        </w:tc>
      </w:tr>
      <w:tr w14:paraId="5B3AC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7" w:hRule="atLeast"/>
          <w:jc w:val="center"/>
        </w:trPr>
        <w:tc>
          <w:tcPr>
            <w:tcW w:w="791" w:type="dxa"/>
            <w:vMerge w:val="continue"/>
            <w:vAlign w:val="center"/>
          </w:tcPr>
          <w:p w14:paraId="70A9A5EA">
            <w:pPr>
              <w:keepNext w:val="0"/>
              <w:keepLines w:val="0"/>
              <w:pageBreakBefore w:val="0"/>
              <w:widowControl/>
              <w:kinsoku/>
              <w:wordWrap/>
              <w:overflowPunct/>
              <w:topLinePunct w:val="0"/>
              <w:bidi w:val="0"/>
              <w:spacing w:line="400" w:lineRule="exact"/>
              <w:textAlignment w:val="auto"/>
              <w:rPr>
                <w:rFonts w:hint="eastAsia" w:ascii="仿宋_GB2312" w:hAnsi="仿宋_GB2312" w:eastAsia="仿宋_GB2312" w:cs="仿宋_GB2312"/>
                <w:sz w:val="28"/>
                <w:szCs w:val="28"/>
              </w:rPr>
            </w:pPr>
          </w:p>
        </w:tc>
        <w:tc>
          <w:tcPr>
            <w:tcW w:w="840" w:type="dxa"/>
            <w:vMerge w:val="continue"/>
            <w:vAlign w:val="center"/>
          </w:tcPr>
          <w:p w14:paraId="33F65BEE">
            <w:pPr>
              <w:keepNext w:val="0"/>
              <w:keepLines w:val="0"/>
              <w:pageBreakBefore w:val="0"/>
              <w:widowControl/>
              <w:kinsoku/>
              <w:wordWrap/>
              <w:overflowPunct/>
              <w:topLinePunct w:val="0"/>
              <w:bidi w:val="0"/>
              <w:spacing w:line="400" w:lineRule="exact"/>
              <w:textAlignment w:val="auto"/>
              <w:rPr>
                <w:rFonts w:hint="eastAsia" w:ascii="仿宋_GB2312" w:hAnsi="仿宋_GB2312" w:eastAsia="仿宋_GB2312" w:cs="仿宋_GB2312"/>
                <w:sz w:val="28"/>
                <w:szCs w:val="28"/>
              </w:rPr>
            </w:pPr>
          </w:p>
        </w:tc>
        <w:tc>
          <w:tcPr>
            <w:tcW w:w="826" w:type="dxa"/>
            <w:vAlign w:val="center"/>
          </w:tcPr>
          <w:p w14:paraId="000C6700">
            <w:pPr>
              <w:keepNext w:val="0"/>
              <w:keepLines w:val="0"/>
              <w:pageBreakBefore w:val="0"/>
              <w:widowControl/>
              <w:kinsoku/>
              <w:wordWrap/>
              <w:overflowPunct/>
              <w:topLinePunct w:val="0"/>
              <w:bidi w:val="0"/>
              <w:spacing w:line="40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安装实施方案</w:t>
            </w:r>
          </w:p>
        </w:tc>
        <w:tc>
          <w:tcPr>
            <w:tcW w:w="787" w:type="dxa"/>
            <w:vAlign w:val="center"/>
          </w:tcPr>
          <w:p w14:paraId="3280F843">
            <w:pPr>
              <w:keepNext w:val="0"/>
              <w:keepLines w:val="0"/>
              <w:pageBreakBefore w:val="0"/>
              <w:widowControl/>
              <w:kinsoku/>
              <w:wordWrap/>
              <w:overflowPunct/>
              <w:topLinePunct w:val="0"/>
              <w:bidi w:val="0"/>
              <w:spacing w:line="40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p>
        </w:tc>
        <w:tc>
          <w:tcPr>
            <w:tcW w:w="4840" w:type="dxa"/>
            <w:vAlign w:val="center"/>
          </w:tcPr>
          <w:p w14:paraId="76AE3150">
            <w:pPr>
              <w:keepNext w:val="0"/>
              <w:keepLines w:val="0"/>
              <w:pageBreakBefore w:val="0"/>
              <w:widowControl/>
              <w:kinsoku/>
              <w:wordWrap/>
              <w:overflowPunct/>
              <w:topLinePunct w:val="0"/>
              <w:bidi w:val="0"/>
              <w:adjustRightInd w:val="0"/>
              <w:snapToGrid w:val="0"/>
              <w:spacing w:line="400" w:lineRule="exact"/>
              <w:textAlignment w:val="auto"/>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一、评审内容</w:t>
            </w:r>
          </w:p>
          <w:p w14:paraId="6EB91A45">
            <w:pPr>
              <w:keepNext w:val="0"/>
              <w:keepLines w:val="0"/>
              <w:pageBreakBefore w:val="0"/>
              <w:widowControl/>
              <w:kinsoku/>
              <w:wordWrap/>
              <w:overflowPunct/>
              <w:topLinePunct w:val="0"/>
              <w:bidi w:val="0"/>
              <w:adjustRightInd w:val="0"/>
              <w:snapToGrid w:val="0"/>
              <w:spacing w:line="40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响应人提供本项目安装实施方案，包括①安装调试与交付方案②智能积分礼品柜系统对接方案</w:t>
            </w:r>
          </w:p>
          <w:p w14:paraId="61A7643C">
            <w:pPr>
              <w:keepNext w:val="0"/>
              <w:keepLines w:val="0"/>
              <w:pageBreakBefore w:val="0"/>
              <w:widowControl/>
              <w:kinsoku/>
              <w:wordWrap/>
              <w:overflowPunct/>
              <w:topLinePunct w:val="0"/>
              <w:bidi w:val="0"/>
              <w:adjustRightInd w:val="0"/>
              <w:snapToGrid w:val="0"/>
              <w:spacing w:line="400" w:lineRule="exact"/>
              <w:textAlignment w:val="auto"/>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二、赋分标准</w:t>
            </w:r>
          </w:p>
          <w:p w14:paraId="10192806">
            <w:pPr>
              <w:keepNext w:val="0"/>
              <w:keepLines w:val="0"/>
              <w:pageBreakBefore w:val="0"/>
              <w:widowControl/>
              <w:kinsoku/>
              <w:wordWrap/>
              <w:overflowPunct/>
              <w:topLinePunct w:val="0"/>
              <w:bidi w:val="0"/>
              <w:adjustRightInd w:val="0"/>
              <w:snapToGrid w:val="0"/>
              <w:spacing w:line="40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1、完整性：方案内容完整全面，对上述各项内容均有描述，得1分；缺1项，得0.5分。</w:t>
            </w:r>
          </w:p>
          <w:p w14:paraId="0E52CB50">
            <w:pPr>
              <w:keepNext w:val="0"/>
              <w:keepLines w:val="0"/>
              <w:pageBreakBefore w:val="0"/>
              <w:widowControl/>
              <w:kinsoku/>
              <w:wordWrap/>
              <w:overflowPunct/>
              <w:topLinePunct w:val="0"/>
              <w:bidi w:val="0"/>
              <w:adjustRightInd w:val="0"/>
              <w:snapToGrid w:val="0"/>
              <w:spacing w:line="400" w:lineRule="exact"/>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2、针对性：针对性强，得1.5分；针对性一般，得0.7分；缺乏针对性，得0分。</w:t>
            </w:r>
          </w:p>
          <w:p w14:paraId="44A1365E">
            <w:pPr>
              <w:keepNext w:val="0"/>
              <w:keepLines w:val="0"/>
              <w:pageBreakBefore w:val="0"/>
              <w:widowControl/>
              <w:kinsoku/>
              <w:wordWrap/>
              <w:overflowPunct/>
              <w:topLinePunct w:val="0"/>
              <w:bidi w:val="0"/>
              <w:adjustRightInd w:val="0"/>
              <w:snapToGrid w:val="0"/>
              <w:spacing w:line="400" w:lineRule="exact"/>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3、可实施性：可实施性强，得1.5分；可实施性一般，得0.7分；缺乏可实施性，得0分。</w:t>
            </w:r>
          </w:p>
          <w:p w14:paraId="6AD0DACF">
            <w:pPr>
              <w:pStyle w:val="8"/>
              <w:bidi w:val="0"/>
              <w:rPr>
                <w:rFonts w:hint="default"/>
                <w:lang w:val="en-US" w:eastAsia="zh-CN"/>
              </w:rPr>
            </w:pPr>
            <w:r>
              <w:rPr>
                <w:rFonts w:hint="eastAsia"/>
                <w:lang w:val="en-US" w:eastAsia="zh-CN"/>
              </w:rPr>
              <w:t>此项不提供不得分。</w:t>
            </w:r>
          </w:p>
        </w:tc>
        <w:tc>
          <w:tcPr>
            <w:tcW w:w="1323" w:type="dxa"/>
            <w:vMerge w:val="continue"/>
            <w:vAlign w:val="center"/>
          </w:tcPr>
          <w:p w14:paraId="404D2B1D">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sz w:val="28"/>
                <w:szCs w:val="28"/>
              </w:rPr>
            </w:pPr>
          </w:p>
        </w:tc>
      </w:tr>
      <w:tr w14:paraId="459B9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0" w:hRule="atLeast"/>
          <w:jc w:val="center"/>
        </w:trPr>
        <w:tc>
          <w:tcPr>
            <w:tcW w:w="791" w:type="dxa"/>
            <w:vMerge w:val="continue"/>
            <w:vAlign w:val="center"/>
          </w:tcPr>
          <w:p w14:paraId="3FCD1A47">
            <w:pPr>
              <w:keepNext w:val="0"/>
              <w:keepLines w:val="0"/>
              <w:pageBreakBefore w:val="0"/>
              <w:widowControl/>
              <w:kinsoku/>
              <w:wordWrap/>
              <w:overflowPunct/>
              <w:topLinePunct w:val="0"/>
              <w:bidi w:val="0"/>
              <w:spacing w:line="400" w:lineRule="exact"/>
              <w:textAlignment w:val="auto"/>
              <w:rPr>
                <w:rFonts w:hint="eastAsia" w:ascii="仿宋_GB2312" w:hAnsi="仿宋_GB2312" w:eastAsia="仿宋_GB2312" w:cs="仿宋_GB2312"/>
                <w:sz w:val="28"/>
                <w:szCs w:val="28"/>
              </w:rPr>
            </w:pPr>
          </w:p>
        </w:tc>
        <w:tc>
          <w:tcPr>
            <w:tcW w:w="840" w:type="dxa"/>
            <w:vMerge w:val="continue"/>
            <w:vAlign w:val="center"/>
          </w:tcPr>
          <w:p w14:paraId="1DCF3D1F">
            <w:pPr>
              <w:keepNext w:val="0"/>
              <w:keepLines w:val="0"/>
              <w:pageBreakBefore w:val="0"/>
              <w:widowControl/>
              <w:kinsoku/>
              <w:wordWrap/>
              <w:overflowPunct/>
              <w:topLinePunct w:val="0"/>
              <w:bidi w:val="0"/>
              <w:spacing w:line="400" w:lineRule="exact"/>
              <w:textAlignment w:val="auto"/>
              <w:rPr>
                <w:rFonts w:hint="eastAsia" w:ascii="仿宋_GB2312" w:hAnsi="仿宋_GB2312" w:eastAsia="仿宋_GB2312" w:cs="仿宋_GB2312"/>
                <w:sz w:val="28"/>
                <w:szCs w:val="28"/>
              </w:rPr>
            </w:pPr>
          </w:p>
        </w:tc>
        <w:tc>
          <w:tcPr>
            <w:tcW w:w="826" w:type="dxa"/>
            <w:vAlign w:val="center"/>
          </w:tcPr>
          <w:p w14:paraId="59628A7E">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质量保证方案</w:t>
            </w:r>
          </w:p>
        </w:tc>
        <w:tc>
          <w:tcPr>
            <w:tcW w:w="787" w:type="dxa"/>
            <w:vAlign w:val="center"/>
          </w:tcPr>
          <w:p w14:paraId="5551A9AB">
            <w:pPr>
              <w:keepNext w:val="0"/>
              <w:keepLines w:val="0"/>
              <w:pageBreakBefore w:val="0"/>
              <w:widowControl/>
              <w:kinsoku/>
              <w:wordWrap/>
              <w:overflowPunct/>
              <w:topLinePunct w:val="0"/>
              <w:bidi w:val="0"/>
              <w:spacing w:line="40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p>
        </w:tc>
        <w:tc>
          <w:tcPr>
            <w:tcW w:w="4840" w:type="dxa"/>
            <w:vAlign w:val="center"/>
          </w:tcPr>
          <w:p w14:paraId="32CD26E9">
            <w:pPr>
              <w:keepNext w:val="0"/>
              <w:keepLines w:val="0"/>
              <w:pageBreakBefore w:val="0"/>
              <w:widowControl/>
              <w:kinsoku/>
              <w:wordWrap/>
              <w:overflowPunct/>
              <w:topLinePunct w:val="0"/>
              <w:bidi w:val="0"/>
              <w:adjustRightInd w:val="0"/>
              <w:snapToGrid w:val="0"/>
              <w:spacing w:line="400" w:lineRule="exact"/>
              <w:textAlignment w:val="auto"/>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一、评审内容</w:t>
            </w:r>
          </w:p>
          <w:p w14:paraId="4786C9A1">
            <w:pPr>
              <w:keepNext w:val="0"/>
              <w:keepLines w:val="0"/>
              <w:pageBreakBefore w:val="0"/>
              <w:widowControl/>
              <w:kinsoku/>
              <w:wordWrap/>
              <w:overflowPunct/>
              <w:topLinePunct w:val="0"/>
              <w:bidi w:val="0"/>
              <w:adjustRightInd w:val="0"/>
              <w:snapToGrid w:val="0"/>
              <w:spacing w:line="40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响应人提供本项目质量保证方案，包括①质量保证体系及目标②质量保证措施及承诺</w:t>
            </w:r>
          </w:p>
          <w:p w14:paraId="523CAECD">
            <w:pPr>
              <w:keepNext w:val="0"/>
              <w:keepLines w:val="0"/>
              <w:pageBreakBefore w:val="0"/>
              <w:widowControl/>
              <w:kinsoku/>
              <w:wordWrap/>
              <w:overflowPunct/>
              <w:topLinePunct w:val="0"/>
              <w:bidi w:val="0"/>
              <w:adjustRightInd w:val="0"/>
              <w:snapToGrid w:val="0"/>
              <w:spacing w:line="400" w:lineRule="exact"/>
              <w:textAlignment w:val="auto"/>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二、赋分标准</w:t>
            </w:r>
          </w:p>
          <w:p w14:paraId="6979D2FF">
            <w:pPr>
              <w:keepNext w:val="0"/>
              <w:keepLines w:val="0"/>
              <w:pageBreakBefore w:val="0"/>
              <w:widowControl/>
              <w:kinsoku/>
              <w:wordWrap/>
              <w:overflowPunct/>
              <w:topLinePunct w:val="0"/>
              <w:bidi w:val="0"/>
              <w:adjustRightInd w:val="0"/>
              <w:snapToGrid w:val="0"/>
              <w:spacing w:line="40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1、完整性：方案内容完整全面，对上述各项内容均有描述，得1分；缺1项，得0.5分。</w:t>
            </w:r>
          </w:p>
          <w:p w14:paraId="589D654A">
            <w:pPr>
              <w:keepNext w:val="0"/>
              <w:keepLines w:val="0"/>
              <w:pageBreakBefore w:val="0"/>
              <w:widowControl/>
              <w:kinsoku/>
              <w:wordWrap/>
              <w:overflowPunct/>
              <w:topLinePunct w:val="0"/>
              <w:bidi w:val="0"/>
              <w:adjustRightInd w:val="0"/>
              <w:snapToGrid w:val="0"/>
              <w:spacing w:line="400" w:lineRule="exact"/>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2、针对性：针对性强，得1.5分；针对性一般，得0.7分；缺乏针对性，得0分。</w:t>
            </w:r>
          </w:p>
          <w:p w14:paraId="4E95A3BE">
            <w:pPr>
              <w:keepNext w:val="0"/>
              <w:keepLines w:val="0"/>
              <w:pageBreakBefore w:val="0"/>
              <w:widowControl/>
              <w:kinsoku/>
              <w:wordWrap/>
              <w:overflowPunct/>
              <w:topLinePunct w:val="0"/>
              <w:bidi w:val="0"/>
              <w:adjustRightInd w:val="0"/>
              <w:snapToGrid w:val="0"/>
              <w:spacing w:line="400" w:lineRule="exact"/>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3、可实施性：可实施性强，得1.5分；可实施性一般，得0.7分；缺乏可实施性，得0分。</w:t>
            </w:r>
          </w:p>
          <w:p w14:paraId="0293354B">
            <w:pPr>
              <w:pStyle w:val="8"/>
              <w:bidi w:val="0"/>
              <w:rPr>
                <w:rFonts w:hint="eastAsia"/>
                <w:lang w:val="en-US" w:eastAsia="zh-CN"/>
              </w:rPr>
            </w:pPr>
            <w:r>
              <w:rPr>
                <w:rFonts w:hint="eastAsia"/>
                <w:lang w:val="en-US" w:eastAsia="zh-CN"/>
              </w:rPr>
              <w:t>此项不提供不得分。</w:t>
            </w:r>
          </w:p>
        </w:tc>
        <w:tc>
          <w:tcPr>
            <w:tcW w:w="1323" w:type="dxa"/>
            <w:vAlign w:val="center"/>
          </w:tcPr>
          <w:p w14:paraId="6597DFCA">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sz w:val="28"/>
                <w:szCs w:val="28"/>
              </w:rPr>
            </w:pPr>
          </w:p>
        </w:tc>
      </w:tr>
      <w:tr w14:paraId="24373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30" w:hRule="atLeast"/>
          <w:jc w:val="center"/>
        </w:trPr>
        <w:tc>
          <w:tcPr>
            <w:tcW w:w="791" w:type="dxa"/>
            <w:vMerge w:val="continue"/>
            <w:vAlign w:val="center"/>
          </w:tcPr>
          <w:p w14:paraId="580F739B">
            <w:pPr>
              <w:keepNext w:val="0"/>
              <w:keepLines w:val="0"/>
              <w:pageBreakBefore w:val="0"/>
              <w:widowControl/>
              <w:kinsoku/>
              <w:wordWrap/>
              <w:overflowPunct/>
              <w:topLinePunct w:val="0"/>
              <w:bidi w:val="0"/>
              <w:spacing w:line="400" w:lineRule="exact"/>
              <w:textAlignment w:val="auto"/>
              <w:rPr>
                <w:rFonts w:hint="eastAsia" w:ascii="仿宋_GB2312" w:hAnsi="仿宋_GB2312" w:eastAsia="仿宋_GB2312" w:cs="仿宋_GB2312"/>
                <w:sz w:val="28"/>
                <w:szCs w:val="28"/>
              </w:rPr>
            </w:pPr>
          </w:p>
        </w:tc>
        <w:tc>
          <w:tcPr>
            <w:tcW w:w="840" w:type="dxa"/>
            <w:vMerge w:val="continue"/>
            <w:vAlign w:val="center"/>
          </w:tcPr>
          <w:p w14:paraId="1C951780">
            <w:pPr>
              <w:keepNext w:val="0"/>
              <w:keepLines w:val="0"/>
              <w:pageBreakBefore w:val="0"/>
              <w:widowControl/>
              <w:kinsoku/>
              <w:wordWrap/>
              <w:overflowPunct/>
              <w:topLinePunct w:val="0"/>
              <w:bidi w:val="0"/>
              <w:spacing w:line="400" w:lineRule="exact"/>
              <w:textAlignment w:val="auto"/>
              <w:rPr>
                <w:rFonts w:hint="eastAsia" w:ascii="仿宋_GB2312" w:hAnsi="仿宋_GB2312" w:eastAsia="仿宋_GB2312" w:cs="仿宋_GB2312"/>
                <w:sz w:val="28"/>
                <w:szCs w:val="28"/>
              </w:rPr>
            </w:pPr>
          </w:p>
        </w:tc>
        <w:tc>
          <w:tcPr>
            <w:tcW w:w="826" w:type="dxa"/>
            <w:vAlign w:val="center"/>
          </w:tcPr>
          <w:p w14:paraId="1802F131">
            <w:pPr>
              <w:keepNext w:val="0"/>
              <w:keepLines w:val="0"/>
              <w:pageBreakBefore w:val="0"/>
              <w:widowControl/>
              <w:kinsoku/>
              <w:wordWrap/>
              <w:overflowPunct/>
              <w:topLinePunct w:val="0"/>
              <w:bidi w:val="0"/>
              <w:spacing w:line="40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环保产品</w:t>
            </w:r>
          </w:p>
        </w:tc>
        <w:tc>
          <w:tcPr>
            <w:tcW w:w="787" w:type="dxa"/>
            <w:vAlign w:val="center"/>
          </w:tcPr>
          <w:p w14:paraId="1041493A">
            <w:pPr>
              <w:keepNext w:val="0"/>
              <w:keepLines w:val="0"/>
              <w:pageBreakBefore w:val="0"/>
              <w:widowControl/>
              <w:kinsoku/>
              <w:wordWrap/>
              <w:overflowPunct/>
              <w:topLinePunct w:val="0"/>
              <w:bidi w:val="0"/>
              <w:spacing w:line="40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w:t>
            </w:r>
          </w:p>
        </w:tc>
        <w:tc>
          <w:tcPr>
            <w:tcW w:w="4840" w:type="dxa"/>
            <w:vAlign w:val="center"/>
          </w:tcPr>
          <w:p w14:paraId="1B055644">
            <w:pPr>
              <w:pStyle w:val="2"/>
              <w:keepNext w:val="0"/>
              <w:keepLines w:val="0"/>
              <w:pageBreakBefore w:val="0"/>
              <w:widowControl/>
              <w:numPr>
                <w:ilvl w:val="0"/>
                <w:numId w:val="0"/>
              </w:numPr>
              <w:kinsoku/>
              <w:wordWrap/>
              <w:overflowPunct/>
              <w:topLinePunct w:val="0"/>
              <w:autoSpaceDE/>
              <w:autoSpaceDN/>
              <w:bidi w:val="0"/>
              <w:adjustRightInd/>
              <w:snapToGrid/>
              <w:spacing w:after="0" w:line="400" w:lineRule="exact"/>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本次采购的设备服务桌属于财库〔2019〕18号文件《环境标志产品政府采购品目清单》中的产品，提供国家确定的认证机构出具的、有效期内的环境标志产品认证证书，得1分。</w:t>
            </w:r>
          </w:p>
          <w:p w14:paraId="3B8DF5C6">
            <w:pPr>
              <w:pStyle w:val="2"/>
              <w:keepNext w:val="0"/>
              <w:keepLines w:val="0"/>
              <w:pageBreakBefore w:val="0"/>
              <w:widowControl/>
              <w:numPr>
                <w:ilvl w:val="0"/>
                <w:numId w:val="0"/>
              </w:numPr>
              <w:kinsoku/>
              <w:wordWrap/>
              <w:overflowPunct/>
              <w:topLinePunct w:val="0"/>
              <w:autoSpaceDE/>
              <w:autoSpaceDN/>
              <w:bidi w:val="0"/>
              <w:adjustRightInd/>
              <w:snapToGrid/>
              <w:spacing w:after="0" w:line="40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highlight w:val="none"/>
                <w:lang w:val="en-US" w:eastAsia="zh-CN"/>
              </w:rPr>
              <w:t>赋分依据</w:t>
            </w:r>
            <w:r>
              <w:rPr>
                <w:rFonts w:hint="eastAsia" w:ascii="仿宋_GB2312" w:hAnsi="仿宋_GB2312" w:eastAsia="仿宋_GB2312" w:cs="仿宋_GB2312"/>
                <w:sz w:val="28"/>
                <w:szCs w:val="28"/>
                <w:highlight w:val="none"/>
                <w:lang w:val="en-US" w:eastAsia="zh-CN"/>
              </w:rPr>
              <w:t>：磋商时需提供证书复印件加盖响应人公章，不提供不得分。</w:t>
            </w:r>
          </w:p>
        </w:tc>
        <w:tc>
          <w:tcPr>
            <w:tcW w:w="1323" w:type="dxa"/>
            <w:vAlign w:val="center"/>
          </w:tcPr>
          <w:p w14:paraId="4823ECAA">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sz w:val="28"/>
                <w:szCs w:val="28"/>
              </w:rPr>
            </w:pPr>
          </w:p>
        </w:tc>
      </w:tr>
      <w:tr w14:paraId="33DC5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13" w:hRule="atLeast"/>
          <w:jc w:val="center"/>
        </w:trPr>
        <w:tc>
          <w:tcPr>
            <w:tcW w:w="791" w:type="dxa"/>
            <w:vMerge w:val="restart"/>
            <w:vAlign w:val="center"/>
          </w:tcPr>
          <w:p w14:paraId="0C2605E2">
            <w:pPr>
              <w:pStyle w:val="17"/>
              <w:keepNext w:val="0"/>
              <w:keepLines w:val="0"/>
              <w:pageBreakBefore w:val="0"/>
              <w:widowControl/>
              <w:kinsoku/>
              <w:wordWrap/>
              <w:overflowPunct/>
              <w:topLinePunct w:val="0"/>
              <w:bidi w:val="0"/>
              <w:snapToGrid w:val="0"/>
              <w:spacing w:beforeAutospacing="0" w:afterAutospacing="0" w:line="400" w:lineRule="exact"/>
              <w:jc w:val="center"/>
              <w:textAlignment w:val="auto"/>
              <w:rPr>
                <w:rFonts w:hint="eastAsia" w:ascii="仿宋_GB2312" w:hAnsi="仿宋_GB2312" w:eastAsia="仿宋_GB2312" w:cs="仿宋_GB2312"/>
                <w:kern w:val="2"/>
                <w:sz w:val="28"/>
                <w:szCs w:val="28"/>
                <w:lang w:eastAsia="zh-CN"/>
              </w:rPr>
            </w:pPr>
            <w:r>
              <w:rPr>
                <w:rFonts w:hint="eastAsia" w:ascii="仿宋_GB2312" w:hAnsi="仿宋_GB2312" w:eastAsia="仿宋_GB2312" w:cs="仿宋_GB2312"/>
                <w:kern w:val="2"/>
                <w:sz w:val="28"/>
                <w:szCs w:val="28"/>
                <w:lang w:val="en-US" w:eastAsia="zh-CN"/>
              </w:rPr>
              <w:t>商务</w:t>
            </w:r>
          </w:p>
        </w:tc>
        <w:tc>
          <w:tcPr>
            <w:tcW w:w="840" w:type="dxa"/>
            <w:vMerge w:val="restart"/>
            <w:vAlign w:val="center"/>
          </w:tcPr>
          <w:p w14:paraId="4F565F49">
            <w:pPr>
              <w:keepNext w:val="0"/>
              <w:keepLines w:val="0"/>
              <w:pageBreakBefore w:val="0"/>
              <w:widowControl/>
              <w:kinsoku/>
              <w:wordWrap/>
              <w:overflowPunct/>
              <w:topLinePunct w:val="0"/>
              <w:bidi w:val="0"/>
              <w:snapToGrid w:val="0"/>
              <w:spacing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w:t>
            </w:r>
          </w:p>
        </w:tc>
        <w:tc>
          <w:tcPr>
            <w:tcW w:w="826" w:type="dxa"/>
            <w:vAlign w:val="center"/>
          </w:tcPr>
          <w:p w14:paraId="637D9509">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color w:val="000000"/>
                <w:sz w:val="28"/>
                <w:szCs w:val="28"/>
                <w:lang w:val="en-US" w:eastAsia="zh-CN"/>
              </w:rPr>
              <w:t>业绩</w:t>
            </w:r>
          </w:p>
        </w:tc>
        <w:tc>
          <w:tcPr>
            <w:tcW w:w="787" w:type="dxa"/>
            <w:vAlign w:val="center"/>
          </w:tcPr>
          <w:p w14:paraId="4E858CC5">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color w:val="000000"/>
                <w:sz w:val="28"/>
                <w:szCs w:val="28"/>
                <w:lang w:val="en-US" w:eastAsia="zh-CN"/>
              </w:rPr>
              <w:t>4</w:t>
            </w:r>
          </w:p>
        </w:tc>
        <w:tc>
          <w:tcPr>
            <w:tcW w:w="4840" w:type="dxa"/>
            <w:vAlign w:val="center"/>
          </w:tcPr>
          <w:p w14:paraId="3852AD33">
            <w:pPr>
              <w:keepNext w:val="0"/>
              <w:keepLines w:val="0"/>
              <w:pageBreakBefore w:val="0"/>
              <w:widowControl/>
              <w:kinsoku/>
              <w:wordWrap/>
              <w:overflowPunct/>
              <w:topLinePunct w:val="0"/>
              <w:bidi w:val="0"/>
              <w:spacing w:line="40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提供</w:t>
            </w:r>
            <w:r>
              <w:rPr>
                <w:rFonts w:hint="eastAsia" w:ascii="仿宋_GB2312" w:hAnsi="仿宋_GB2312" w:eastAsia="仿宋_GB2312" w:cs="仿宋_GB2312"/>
                <w:sz w:val="28"/>
                <w:szCs w:val="28"/>
              </w:rPr>
              <w:t>20</w:t>
            </w:r>
            <w:r>
              <w:rPr>
                <w:rFonts w:hint="eastAsia" w:ascii="仿宋_GB2312" w:hAnsi="仿宋_GB2312" w:eastAsia="仿宋_GB2312" w:cs="仿宋_GB2312"/>
                <w:sz w:val="28"/>
                <w:szCs w:val="28"/>
                <w:lang w:val="en-US" w:eastAsia="zh-CN"/>
              </w:rPr>
              <w:t>22</w:t>
            </w:r>
            <w:r>
              <w:rPr>
                <w:rFonts w:hint="eastAsia" w:ascii="仿宋_GB2312" w:hAnsi="仿宋_GB2312" w:eastAsia="仿宋_GB2312" w:cs="仿宋_GB2312"/>
                <w:sz w:val="28"/>
                <w:szCs w:val="28"/>
              </w:rPr>
              <w:t>年1月1日以来</w:t>
            </w:r>
            <w:r>
              <w:rPr>
                <w:rFonts w:hint="eastAsia" w:ascii="仿宋_GB2312" w:hAnsi="仿宋_GB2312" w:eastAsia="仿宋_GB2312" w:cs="仿宋_GB2312"/>
                <w:sz w:val="28"/>
                <w:szCs w:val="28"/>
                <w:lang w:val="en-US" w:eastAsia="zh-CN"/>
              </w:rPr>
              <w:t>同类</w:t>
            </w:r>
            <w:r>
              <w:rPr>
                <w:rFonts w:hint="eastAsia" w:ascii="仿宋_GB2312" w:hAnsi="仿宋_GB2312" w:eastAsia="仿宋_GB2312" w:cs="仿宋_GB2312"/>
                <w:sz w:val="28"/>
                <w:szCs w:val="28"/>
              </w:rPr>
              <w:t>项目</w:t>
            </w:r>
            <w:r>
              <w:rPr>
                <w:rFonts w:hint="eastAsia" w:ascii="仿宋_GB2312" w:hAnsi="仿宋_GB2312" w:eastAsia="仿宋_GB2312" w:cs="仿宋_GB2312"/>
                <w:sz w:val="28"/>
                <w:szCs w:val="28"/>
                <w:lang w:val="en-US" w:eastAsia="zh-CN"/>
              </w:rPr>
              <w:t>合同</w:t>
            </w:r>
            <w:r>
              <w:rPr>
                <w:rFonts w:hint="eastAsia" w:ascii="仿宋_GB2312" w:hAnsi="仿宋_GB2312" w:eastAsia="仿宋_GB2312" w:cs="仿宋_GB2312"/>
                <w:sz w:val="28"/>
                <w:szCs w:val="28"/>
              </w:rPr>
              <w:t>复印件加盖响应人公章</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以合同签订日期为准</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，每份1分，</w:t>
            </w:r>
            <w:r>
              <w:rPr>
                <w:rFonts w:hint="eastAsia" w:ascii="仿宋_GB2312" w:hAnsi="仿宋_GB2312" w:eastAsia="仿宋_GB2312" w:cs="仿宋_GB2312"/>
                <w:sz w:val="28"/>
                <w:szCs w:val="28"/>
                <w:lang w:val="en-US" w:eastAsia="zh-CN"/>
              </w:rPr>
              <w:t>最多得4</w:t>
            </w:r>
            <w:r>
              <w:rPr>
                <w:rFonts w:hint="eastAsia" w:ascii="仿宋_GB2312" w:hAnsi="仿宋_GB2312" w:eastAsia="仿宋_GB2312" w:cs="仿宋_GB2312"/>
                <w:sz w:val="28"/>
                <w:szCs w:val="28"/>
              </w:rPr>
              <w:t>分。</w:t>
            </w:r>
          </w:p>
        </w:tc>
        <w:tc>
          <w:tcPr>
            <w:tcW w:w="1323" w:type="dxa"/>
            <w:vAlign w:val="center"/>
          </w:tcPr>
          <w:p w14:paraId="6329FF61">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sz w:val="28"/>
                <w:szCs w:val="28"/>
              </w:rPr>
            </w:pPr>
          </w:p>
        </w:tc>
      </w:tr>
      <w:tr w14:paraId="0AF58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2" w:hRule="atLeast"/>
          <w:jc w:val="center"/>
        </w:trPr>
        <w:tc>
          <w:tcPr>
            <w:tcW w:w="791" w:type="dxa"/>
            <w:vMerge w:val="continue"/>
            <w:vAlign w:val="center"/>
          </w:tcPr>
          <w:p w14:paraId="3707021F">
            <w:pPr>
              <w:pStyle w:val="17"/>
              <w:keepNext w:val="0"/>
              <w:keepLines w:val="0"/>
              <w:pageBreakBefore w:val="0"/>
              <w:widowControl/>
              <w:kinsoku/>
              <w:wordWrap/>
              <w:overflowPunct/>
              <w:topLinePunct w:val="0"/>
              <w:bidi w:val="0"/>
              <w:snapToGrid w:val="0"/>
              <w:spacing w:beforeAutospacing="0" w:afterAutospacing="0" w:line="400" w:lineRule="exact"/>
              <w:jc w:val="center"/>
              <w:textAlignment w:val="auto"/>
              <w:rPr>
                <w:rFonts w:hint="eastAsia" w:ascii="仿宋_GB2312" w:hAnsi="仿宋_GB2312" w:eastAsia="仿宋_GB2312" w:cs="仿宋_GB2312"/>
                <w:kern w:val="2"/>
                <w:sz w:val="28"/>
                <w:szCs w:val="28"/>
              </w:rPr>
            </w:pPr>
          </w:p>
        </w:tc>
        <w:tc>
          <w:tcPr>
            <w:tcW w:w="840" w:type="dxa"/>
            <w:vMerge w:val="continue"/>
            <w:vAlign w:val="center"/>
          </w:tcPr>
          <w:p w14:paraId="6A83EF7A">
            <w:pPr>
              <w:keepNext w:val="0"/>
              <w:keepLines w:val="0"/>
              <w:pageBreakBefore w:val="0"/>
              <w:widowControl/>
              <w:kinsoku/>
              <w:wordWrap/>
              <w:overflowPunct/>
              <w:topLinePunct w:val="0"/>
              <w:bidi w:val="0"/>
              <w:snapToGrid w:val="0"/>
              <w:spacing w:line="400" w:lineRule="exact"/>
              <w:jc w:val="center"/>
              <w:textAlignment w:val="auto"/>
              <w:rPr>
                <w:rFonts w:hint="eastAsia" w:ascii="仿宋_GB2312" w:hAnsi="仿宋_GB2312" w:eastAsia="仿宋_GB2312" w:cs="仿宋_GB2312"/>
                <w:sz w:val="28"/>
                <w:szCs w:val="28"/>
              </w:rPr>
            </w:pPr>
          </w:p>
        </w:tc>
        <w:tc>
          <w:tcPr>
            <w:tcW w:w="826" w:type="dxa"/>
            <w:vAlign w:val="center"/>
          </w:tcPr>
          <w:p w14:paraId="41CF6E16">
            <w:pPr>
              <w:keepNext w:val="0"/>
              <w:keepLines w:val="0"/>
              <w:pageBreakBefore w:val="0"/>
              <w:widowControl/>
              <w:kinsoku/>
              <w:wordWrap/>
              <w:overflowPunct/>
              <w:topLinePunct w:val="0"/>
              <w:autoSpaceDE w:val="0"/>
              <w:autoSpaceDN w:val="0"/>
              <w:bidi w:val="0"/>
              <w:adjustRightInd w:val="0"/>
              <w:snapToGrid/>
              <w:spacing w:line="400" w:lineRule="exact"/>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售后服务</w:t>
            </w:r>
          </w:p>
        </w:tc>
        <w:tc>
          <w:tcPr>
            <w:tcW w:w="787" w:type="dxa"/>
            <w:vAlign w:val="center"/>
          </w:tcPr>
          <w:p w14:paraId="745A8720">
            <w:pPr>
              <w:keepNext w:val="0"/>
              <w:keepLines w:val="0"/>
              <w:pageBreakBefore w:val="0"/>
              <w:widowControl/>
              <w:kinsoku/>
              <w:wordWrap/>
              <w:overflowPunct/>
              <w:topLinePunct w:val="0"/>
              <w:autoSpaceDE w:val="0"/>
              <w:autoSpaceDN w:val="0"/>
              <w:bidi w:val="0"/>
              <w:adjustRightInd w:val="0"/>
              <w:spacing w:line="400" w:lineRule="exact"/>
              <w:jc w:val="center"/>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6</w:t>
            </w:r>
          </w:p>
        </w:tc>
        <w:tc>
          <w:tcPr>
            <w:tcW w:w="4840" w:type="dxa"/>
            <w:vAlign w:val="center"/>
          </w:tcPr>
          <w:p w14:paraId="1646A00E">
            <w:pPr>
              <w:keepNext w:val="0"/>
              <w:keepLines w:val="0"/>
              <w:pageBreakBefore w:val="0"/>
              <w:widowControl/>
              <w:kinsoku/>
              <w:wordWrap/>
              <w:overflowPunct/>
              <w:topLinePunct w:val="0"/>
              <w:bidi w:val="0"/>
              <w:adjustRightInd w:val="0"/>
              <w:snapToGrid w:val="0"/>
              <w:spacing w:line="400" w:lineRule="exact"/>
              <w:textAlignment w:val="auto"/>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一、评审内容</w:t>
            </w:r>
          </w:p>
          <w:p w14:paraId="026E2AB6">
            <w:pPr>
              <w:keepNext w:val="0"/>
              <w:keepLines w:val="0"/>
              <w:pageBreakBefore w:val="0"/>
              <w:widowControl/>
              <w:kinsoku/>
              <w:wordWrap/>
              <w:overflowPunct/>
              <w:topLinePunct w:val="0"/>
              <w:bidi w:val="0"/>
              <w:adjustRightInd w:val="0"/>
              <w:snapToGrid w:val="0"/>
              <w:spacing w:line="40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响应人提供本项目售后服务方案，包括①各类故障解决措施及响应时间②日常维护方案及应急预案③售后服务网点及售后服务人员安排④售后服务承诺</w:t>
            </w:r>
          </w:p>
          <w:p w14:paraId="4AB72305">
            <w:pPr>
              <w:keepNext w:val="0"/>
              <w:keepLines w:val="0"/>
              <w:pageBreakBefore w:val="0"/>
              <w:widowControl/>
              <w:kinsoku/>
              <w:wordWrap/>
              <w:overflowPunct/>
              <w:topLinePunct w:val="0"/>
              <w:bidi w:val="0"/>
              <w:adjustRightInd w:val="0"/>
              <w:snapToGrid w:val="0"/>
              <w:spacing w:line="400" w:lineRule="exact"/>
              <w:textAlignment w:val="auto"/>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二、赋分标准</w:t>
            </w:r>
          </w:p>
          <w:p w14:paraId="06B20714">
            <w:pPr>
              <w:keepNext w:val="0"/>
              <w:keepLines w:val="0"/>
              <w:pageBreakBefore w:val="0"/>
              <w:widowControl/>
              <w:kinsoku/>
              <w:wordWrap/>
              <w:overflowPunct/>
              <w:topLinePunct w:val="0"/>
              <w:bidi w:val="0"/>
              <w:adjustRightInd w:val="0"/>
              <w:snapToGrid w:val="0"/>
              <w:spacing w:line="40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1、完整性：方案内容完整全面，对上述各项内容均有描述，得2分；缺1项，得1.5分；缺2项，得1分；缺3项，得0.5分。</w:t>
            </w:r>
          </w:p>
          <w:p w14:paraId="5CC0251E">
            <w:pPr>
              <w:keepNext w:val="0"/>
              <w:keepLines w:val="0"/>
              <w:pageBreakBefore w:val="0"/>
              <w:widowControl/>
              <w:kinsoku/>
              <w:wordWrap/>
              <w:overflowPunct/>
              <w:topLinePunct w:val="0"/>
              <w:bidi w:val="0"/>
              <w:adjustRightInd w:val="0"/>
              <w:snapToGrid w:val="0"/>
              <w:spacing w:line="40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2、针对性：针对性强，得2分；针对性一般，得1分；缺乏针对性，得0分。</w:t>
            </w:r>
          </w:p>
          <w:p w14:paraId="165FE19E">
            <w:pPr>
              <w:keepNext w:val="0"/>
              <w:keepLines w:val="0"/>
              <w:pageBreakBefore w:val="0"/>
              <w:widowControl/>
              <w:kinsoku/>
              <w:wordWrap/>
              <w:overflowPunct/>
              <w:topLinePunct w:val="0"/>
              <w:bidi w:val="0"/>
              <w:adjustRightInd w:val="0"/>
              <w:snapToGrid w:val="0"/>
              <w:spacing w:line="40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3、可实施性：可实施性强，得2分；可实施性一般，得1分；缺乏可实施性，得0分。</w:t>
            </w:r>
          </w:p>
          <w:p w14:paraId="2556FCBA">
            <w:pPr>
              <w:keepNext w:val="0"/>
              <w:keepLines w:val="0"/>
              <w:pageBreakBefore w:val="0"/>
              <w:widowControl/>
              <w:kinsoku/>
              <w:wordWrap/>
              <w:overflowPunct/>
              <w:topLinePunct w:val="0"/>
              <w:bidi w:val="0"/>
              <w:adjustRightInd w:val="0"/>
              <w:snapToGrid w:val="0"/>
              <w:spacing w:line="400" w:lineRule="exac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此项不提供不得分。</w:t>
            </w:r>
          </w:p>
        </w:tc>
        <w:tc>
          <w:tcPr>
            <w:tcW w:w="1323" w:type="dxa"/>
            <w:vAlign w:val="center"/>
          </w:tcPr>
          <w:p w14:paraId="6AB82F8D">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sz w:val="28"/>
                <w:szCs w:val="28"/>
              </w:rPr>
            </w:pPr>
          </w:p>
        </w:tc>
      </w:tr>
      <w:tr w14:paraId="77101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8" w:hRule="atLeast"/>
          <w:jc w:val="center"/>
        </w:trPr>
        <w:tc>
          <w:tcPr>
            <w:tcW w:w="791" w:type="dxa"/>
            <w:vMerge w:val="restart"/>
            <w:vAlign w:val="center"/>
          </w:tcPr>
          <w:p w14:paraId="4E31E8F6">
            <w:pPr>
              <w:keepNext w:val="0"/>
              <w:keepLines w:val="0"/>
              <w:pageBreakBefore w:val="0"/>
              <w:widowControl/>
              <w:kinsoku/>
              <w:wordWrap/>
              <w:overflowPunct/>
              <w:topLinePunct w:val="0"/>
              <w:bidi w:val="0"/>
              <w:spacing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说明</w:t>
            </w:r>
          </w:p>
        </w:tc>
        <w:tc>
          <w:tcPr>
            <w:tcW w:w="8616" w:type="dxa"/>
            <w:gridSpan w:val="5"/>
            <w:vAlign w:val="center"/>
          </w:tcPr>
          <w:p w14:paraId="32BBDB39">
            <w:pPr>
              <w:keepNext w:val="0"/>
              <w:keepLines w:val="0"/>
              <w:pageBreakBefore w:val="0"/>
              <w:widowControl/>
              <w:kinsoku/>
              <w:wordWrap/>
              <w:overflowPunct/>
              <w:topLinePunct w:val="0"/>
              <w:bidi w:val="0"/>
              <w:spacing w:line="400" w:lineRule="exact"/>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lang w:eastAsia="zh-CN"/>
              </w:rPr>
              <w:t>评审标准</w:t>
            </w:r>
            <w:r>
              <w:rPr>
                <w:rFonts w:hint="eastAsia" w:ascii="仿宋_GB2312" w:hAnsi="仿宋_GB2312" w:eastAsia="仿宋_GB2312" w:cs="仿宋_GB2312"/>
                <w:sz w:val="28"/>
                <w:szCs w:val="28"/>
                <w:lang w:eastAsia="zh-CN"/>
              </w:rPr>
              <w:t>：</w:t>
            </w:r>
          </w:p>
          <w:p w14:paraId="3E077B51">
            <w:pPr>
              <w:keepNext w:val="0"/>
              <w:keepLines w:val="0"/>
              <w:pageBreakBefore w:val="0"/>
              <w:widowControl/>
              <w:kinsoku/>
              <w:wordWrap/>
              <w:overflowPunct/>
              <w:topLinePunct w:val="0"/>
              <w:bidi w:val="0"/>
              <w:spacing w:line="400" w:lineRule="exact"/>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1、针对性：</w:t>
            </w:r>
          </w:p>
          <w:p w14:paraId="3707B0E6">
            <w:pPr>
              <w:keepNext w:val="0"/>
              <w:keepLines w:val="0"/>
              <w:pageBreakBefore w:val="0"/>
              <w:widowControl/>
              <w:kinsoku/>
              <w:wordWrap/>
              <w:overflowPunct/>
              <w:topLinePunct w:val="0"/>
              <w:bidi w:val="0"/>
              <w:spacing w:line="400" w:lineRule="exact"/>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（1）针对性强：方案能够完全切合本项目实际情况。</w:t>
            </w:r>
          </w:p>
          <w:p w14:paraId="759C5DC4">
            <w:pPr>
              <w:keepNext w:val="0"/>
              <w:keepLines w:val="0"/>
              <w:pageBreakBefore w:val="0"/>
              <w:widowControl/>
              <w:kinsoku/>
              <w:wordWrap/>
              <w:overflowPunct/>
              <w:topLinePunct w:val="0"/>
              <w:bidi w:val="0"/>
              <w:spacing w:line="400" w:lineRule="exact"/>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（2）针对性一般：方案中多数内容能够切合本项目实际情况，但存在至少一处不适用本项目实际的内容。</w:t>
            </w:r>
          </w:p>
          <w:p w14:paraId="489E5BFC">
            <w:pPr>
              <w:keepNext w:val="0"/>
              <w:keepLines w:val="0"/>
              <w:pageBreakBefore w:val="0"/>
              <w:widowControl/>
              <w:kinsoku/>
              <w:wordWrap/>
              <w:overflowPunct/>
              <w:topLinePunct w:val="0"/>
              <w:bidi w:val="0"/>
              <w:spacing w:line="400" w:lineRule="exact"/>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（3）缺乏针对性：方案描述不符合本项目</w:t>
            </w:r>
            <w:r>
              <w:rPr>
                <w:rFonts w:hint="eastAsia" w:ascii="仿宋_GB2312" w:hAnsi="仿宋_GB2312" w:eastAsia="仿宋_GB2312" w:cs="仿宋_GB2312"/>
                <w:sz w:val="28"/>
                <w:szCs w:val="28"/>
                <w:highlight w:val="none"/>
                <w:lang w:val="en-US" w:eastAsia="zh-CN"/>
              </w:rPr>
              <w:t>实际情况</w:t>
            </w:r>
            <w:r>
              <w:rPr>
                <w:rFonts w:hint="eastAsia" w:ascii="仿宋_GB2312" w:hAnsi="仿宋_GB2312" w:eastAsia="仿宋_GB2312" w:cs="仿宋_GB2312"/>
                <w:sz w:val="28"/>
                <w:szCs w:val="28"/>
                <w:lang w:eastAsia="zh-CN"/>
              </w:rPr>
              <w:t>，存在明显套用其他项目方案的内容。</w:t>
            </w:r>
          </w:p>
          <w:p w14:paraId="37A881B7">
            <w:pPr>
              <w:keepNext w:val="0"/>
              <w:keepLines w:val="0"/>
              <w:pageBreakBefore w:val="0"/>
              <w:widowControl/>
              <w:kinsoku/>
              <w:wordWrap/>
              <w:overflowPunct/>
              <w:topLinePunct w:val="0"/>
              <w:bidi w:val="0"/>
              <w:spacing w:line="400" w:lineRule="exact"/>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2、可实施性：</w:t>
            </w:r>
          </w:p>
          <w:p w14:paraId="7B8DC2D2">
            <w:pPr>
              <w:keepNext w:val="0"/>
              <w:keepLines w:val="0"/>
              <w:pageBreakBefore w:val="0"/>
              <w:widowControl/>
              <w:kinsoku/>
              <w:wordWrap/>
              <w:overflowPunct/>
              <w:topLinePunct w:val="0"/>
              <w:bidi w:val="0"/>
              <w:spacing w:line="400" w:lineRule="exact"/>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（1）可实施性强：方案</w:t>
            </w:r>
            <w:r>
              <w:rPr>
                <w:rFonts w:hint="eastAsia" w:ascii="仿宋_GB2312" w:hAnsi="仿宋_GB2312" w:eastAsia="仿宋_GB2312" w:cs="仿宋_GB2312"/>
                <w:sz w:val="28"/>
                <w:szCs w:val="28"/>
                <w:lang w:val="en-US" w:eastAsia="zh-CN"/>
              </w:rPr>
              <w:t>工作流程完善，</w:t>
            </w:r>
            <w:r>
              <w:rPr>
                <w:rFonts w:hint="eastAsia" w:ascii="仿宋_GB2312" w:hAnsi="仿宋_GB2312" w:eastAsia="仿宋_GB2312" w:cs="仿宋_GB2312"/>
                <w:sz w:val="28"/>
                <w:szCs w:val="28"/>
                <w:lang w:eastAsia="zh-CN"/>
              </w:rPr>
              <w:t>实施步骤清晰，科学合理，可操作性强。</w:t>
            </w:r>
          </w:p>
          <w:p w14:paraId="5A1BB0E8">
            <w:pPr>
              <w:keepNext w:val="0"/>
              <w:keepLines w:val="0"/>
              <w:pageBreakBefore w:val="0"/>
              <w:widowControl/>
              <w:kinsoku/>
              <w:wordWrap/>
              <w:overflowPunct/>
              <w:topLinePunct w:val="0"/>
              <w:bidi w:val="0"/>
              <w:spacing w:line="400" w:lineRule="exact"/>
              <w:jc w:val="left"/>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lang w:eastAsia="zh-CN"/>
              </w:rPr>
              <w:t>（2）可实施性一般：方案中存在至少一处表述模糊、难以执行或不够科学合理</w:t>
            </w:r>
            <w:r>
              <w:rPr>
                <w:rFonts w:hint="eastAsia" w:ascii="仿宋_GB2312" w:hAnsi="仿宋_GB2312" w:eastAsia="仿宋_GB2312" w:cs="仿宋_GB2312"/>
                <w:sz w:val="28"/>
                <w:szCs w:val="28"/>
                <w:highlight w:val="none"/>
                <w:lang w:eastAsia="zh-CN"/>
              </w:rPr>
              <w:t>的内容。</w:t>
            </w:r>
          </w:p>
          <w:p w14:paraId="7C59D5C7">
            <w:pPr>
              <w:keepNext w:val="0"/>
              <w:keepLines w:val="0"/>
              <w:pageBreakBefore w:val="0"/>
              <w:widowControl/>
              <w:kinsoku/>
              <w:wordWrap/>
              <w:overflowPunct/>
              <w:topLinePunct w:val="0"/>
              <w:bidi w:val="0"/>
              <w:spacing w:line="400" w:lineRule="exact"/>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highlight w:val="none"/>
                <w:lang w:eastAsia="zh-CN"/>
              </w:rPr>
              <w:t>（3）缺乏可实施性：方案内容空洞，工作流程不完善，实施标准、实施质量不利于采购需求的实现，存在逻辑漏洞、</w:t>
            </w:r>
            <w:r>
              <w:rPr>
                <w:rFonts w:hint="eastAsia" w:ascii="仿宋_GB2312" w:hAnsi="仿宋_GB2312" w:eastAsia="仿宋_GB2312" w:cs="仿宋_GB2312"/>
                <w:sz w:val="28"/>
                <w:szCs w:val="28"/>
                <w:highlight w:val="none"/>
                <w:lang w:val="en-US" w:eastAsia="zh-CN"/>
              </w:rPr>
              <w:t>常识错误</w:t>
            </w:r>
            <w:r>
              <w:rPr>
                <w:rFonts w:hint="eastAsia" w:ascii="仿宋_GB2312" w:hAnsi="仿宋_GB2312" w:eastAsia="仿宋_GB2312" w:cs="仿宋_GB2312"/>
                <w:sz w:val="28"/>
                <w:szCs w:val="28"/>
                <w:highlight w:val="none"/>
                <w:lang w:eastAsia="zh-CN"/>
              </w:rPr>
              <w:t>或合理性差</w:t>
            </w:r>
            <w:r>
              <w:rPr>
                <w:rFonts w:hint="eastAsia" w:ascii="仿宋_GB2312" w:hAnsi="仿宋_GB2312" w:eastAsia="仿宋_GB2312" w:cs="仿宋_GB2312"/>
                <w:sz w:val="28"/>
                <w:szCs w:val="28"/>
                <w:highlight w:val="none"/>
                <w:lang w:val="en-US" w:eastAsia="zh-CN"/>
              </w:rPr>
              <w:t>。</w:t>
            </w:r>
          </w:p>
        </w:tc>
      </w:tr>
      <w:tr w14:paraId="10571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8" w:hRule="atLeast"/>
          <w:jc w:val="center"/>
        </w:trPr>
        <w:tc>
          <w:tcPr>
            <w:tcW w:w="791" w:type="dxa"/>
            <w:vMerge w:val="continue"/>
            <w:vAlign w:val="center"/>
          </w:tcPr>
          <w:p w14:paraId="3D832933">
            <w:pPr>
              <w:keepNext w:val="0"/>
              <w:keepLines w:val="0"/>
              <w:pageBreakBefore w:val="0"/>
              <w:widowControl/>
              <w:kinsoku/>
              <w:wordWrap/>
              <w:overflowPunct/>
              <w:topLinePunct w:val="0"/>
              <w:bidi w:val="0"/>
              <w:spacing w:line="400" w:lineRule="exact"/>
              <w:jc w:val="left"/>
              <w:textAlignment w:val="auto"/>
              <w:rPr>
                <w:rFonts w:hint="eastAsia" w:ascii="仿宋_GB2312" w:hAnsi="仿宋_GB2312" w:eastAsia="仿宋_GB2312" w:cs="仿宋_GB2312"/>
                <w:sz w:val="28"/>
                <w:szCs w:val="28"/>
              </w:rPr>
            </w:pPr>
          </w:p>
        </w:tc>
        <w:tc>
          <w:tcPr>
            <w:tcW w:w="8616" w:type="dxa"/>
            <w:gridSpan w:val="5"/>
            <w:vAlign w:val="center"/>
          </w:tcPr>
          <w:p w14:paraId="4F8CBEE5">
            <w:pPr>
              <w:keepNext w:val="0"/>
              <w:keepLines w:val="0"/>
              <w:pageBreakBefore w:val="0"/>
              <w:widowControl/>
              <w:kinsoku/>
              <w:wordWrap/>
              <w:overflowPunct/>
              <w:topLinePunct w:val="0"/>
              <w:bidi w:val="0"/>
              <w:spacing w:line="40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磋商小组成员必须按照本评审要素据实打分，各类数字计算均按“四舍五入”保留小数点后两位</w:t>
            </w:r>
            <w:r>
              <w:rPr>
                <w:rFonts w:hint="eastAsia" w:ascii="仿宋_GB2312" w:hAnsi="仿宋_GB2312" w:eastAsia="仿宋_GB2312" w:cs="仿宋_GB2312"/>
                <w:sz w:val="28"/>
                <w:szCs w:val="28"/>
                <w:lang w:eastAsia="zh-CN"/>
              </w:rPr>
              <w:t>。</w:t>
            </w:r>
          </w:p>
        </w:tc>
      </w:tr>
    </w:tbl>
    <w:p w14:paraId="35B8D701">
      <w:pPr>
        <w:pStyle w:val="19"/>
        <w:ind w:firstLine="0" w:firstLineChars="0"/>
        <w:rPr>
          <w:color w:val="auto"/>
          <w:sz w:val="28"/>
          <w:szCs w:val="28"/>
        </w:rPr>
      </w:pPr>
    </w:p>
    <w:p w14:paraId="263083B9">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8、推荐成交候选供应商</w:t>
      </w:r>
    </w:p>
    <w:p w14:paraId="1B363B63">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磋商小组应当根据综合评分情况，按照评审得分由高到低顺序推荐3名以上成交候选供应商（有效供应商不足三家时以实际数量推荐）。评审得分相同的，按照最后报价由低到高的顺序推荐。评审得分且最后报价相同的，按照技术指标优劣顺序推荐。</w:t>
      </w:r>
    </w:p>
    <w:p w14:paraId="168F13D2">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9、编写评审报告</w:t>
      </w:r>
    </w:p>
    <w:p w14:paraId="4E951D98">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同按评审报告推荐的顺序确定成交供应商。对拒绝说明理由的，须报政府采购监管部门处理，并将其评审情况如实计入考核表。</w:t>
      </w:r>
    </w:p>
    <w:p w14:paraId="3C89A932">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当排序推荐磋商供应商名单出现多数评委成员的评审意见比较一致，某一个别评委的赋分畸高畸低，导致排序结果改变的，该评委</w:t>
      </w:r>
      <w:r>
        <w:rPr>
          <w:rFonts w:hint="eastAsia" w:ascii="仿宋_GB2312" w:hAnsi="仿宋_GB2312" w:eastAsia="仿宋_GB2312" w:cs="仿宋_GB2312"/>
          <w:color w:val="auto"/>
          <w:sz w:val="28"/>
          <w:szCs w:val="28"/>
          <w:lang w:val="en-US" w:eastAsia="zh-CN"/>
        </w:rPr>
        <w:t>应当</w:t>
      </w:r>
      <w:r>
        <w:rPr>
          <w:rFonts w:hint="eastAsia" w:ascii="仿宋_GB2312" w:hAnsi="仿宋_GB2312" w:eastAsia="仿宋_GB2312" w:cs="仿宋_GB2312"/>
          <w:color w:val="auto"/>
          <w:sz w:val="28"/>
          <w:szCs w:val="28"/>
        </w:rPr>
        <w:t>重新进行评价，并向磋商</w:t>
      </w:r>
      <w:r>
        <w:rPr>
          <w:rFonts w:hint="eastAsia" w:ascii="仿宋_GB2312" w:hAnsi="仿宋_GB2312" w:eastAsia="仿宋_GB2312" w:cs="仿宋_GB2312"/>
          <w:color w:val="auto"/>
          <w:sz w:val="28"/>
          <w:szCs w:val="28"/>
          <w:lang w:val="en-US" w:eastAsia="zh-CN"/>
        </w:rPr>
        <w:t>小组</w:t>
      </w:r>
      <w:r>
        <w:rPr>
          <w:rFonts w:hint="eastAsia" w:ascii="仿宋_GB2312" w:hAnsi="仿宋_GB2312" w:eastAsia="仿宋_GB2312" w:cs="仿宋_GB2312"/>
          <w:color w:val="auto"/>
          <w:sz w:val="28"/>
          <w:szCs w:val="28"/>
        </w:rPr>
        <w:t>说明其赋分的合理理由，对拒绝说明、拒绝重新评价的，报告同级财政政府采购管理部门处理。</w:t>
      </w:r>
    </w:p>
    <w:p w14:paraId="29F402EA">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除下列情形外，任何人不得以任何理由组织重新评审：</w:t>
      </w:r>
    </w:p>
    <w:p w14:paraId="79D1C8AC">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①</w:t>
      </w:r>
      <w:r>
        <w:rPr>
          <w:rFonts w:hint="eastAsia" w:ascii="仿宋_GB2312" w:hAnsi="仿宋_GB2312" w:eastAsia="仿宋_GB2312" w:cs="仿宋_GB2312"/>
          <w:color w:val="auto"/>
          <w:sz w:val="28"/>
          <w:szCs w:val="28"/>
        </w:rPr>
        <w:t>资格性检查认定错误的；</w:t>
      </w:r>
    </w:p>
    <w:p w14:paraId="6C414BAF">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②</w:t>
      </w:r>
      <w:r>
        <w:rPr>
          <w:rFonts w:hint="eastAsia" w:ascii="仿宋_GB2312" w:hAnsi="仿宋_GB2312" w:eastAsia="仿宋_GB2312" w:cs="仿宋_GB2312"/>
          <w:color w:val="auto"/>
          <w:sz w:val="28"/>
          <w:szCs w:val="28"/>
        </w:rPr>
        <w:t xml:space="preserve">分值汇总计算错误的； </w:t>
      </w:r>
    </w:p>
    <w:p w14:paraId="784CCDD3">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③</w:t>
      </w:r>
      <w:r>
        <w:rPr>
          <w:rFonts w:hint="eastAsia" w:ascii="仿宋_GB2312" w:hAnsi="仿宋_GB2312" w:eastAsia="仿宋_GB2312" w:cs="仿宋_GB2312"/>
          <w:color w:val="auto"/>
          <w:sz w:val="28"/>
          <w:szCs w:val="28"/>
        </w:rPr>
        <w:t>分项评分超出评分标准范围的；</w:t>
      </w:r>
    </w:p>
    <w:p w14:paraId="2EC9F252">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④</w:t>
      </w:r>
      <w:r>
        <w:rPr>
          <w:rFonts w:hint="eastAsia" w:ascii="仿宋_GB2312" w:hAnsi="仿宋_GB2312" w:eastAsia="仿宋_GB2312" w:cs="仿宋_GB2312"/>
          <w:color w:val="auto"/>
          <w:sz w:val="28"/>
          <w:szCs w:val="28"/>
        </w:rPr>
        <w:t>客观分因素评分不一致的；</w:t>
      </w:r>
    </w:p>
    <w:p w14:paraId="52EA0B44">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⑤</w:t>
      </w:r>
      <w:r>
        <w:rPr>
          <w:rFonts w:hint="eastAsia" w:ascii="仿宋_GB2312" w:hAnsi="仿宋_GB2312" w:eastAsia="仿宋_GB2312" w:cs="仿宋_GB2312"/>
          <w:color w:val="auto"/>
          <w:sz w:val="28"/>
          <w:szCs w:val="28"/>
        </w:rPr>
        <w:t>经磋商小组一致认定评分畸高、畸低的情形。</w:t>
      </w:r>
    </w:p>
    <w:p w14:paraId="0EF64949">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（六）有下列情况之一的，视为供应商串通投标，其投标无效：</w:t>
      </w:r>
    </w:p>
    <w:p w14:paraId="4BB3F858">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1、不同供应商的响应文件由同一单位或者个人编制；</w:t>
      </w:r>
    </w:p>
    <w:p w14:paraId="56F25214">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2、不同供应商的响应文件由同一台电脑编制；</w:t>
      </w:r>
    </w:p>
    <w:p w14:paraId="75E8DCEB">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3、不同供应商委托同一单位或者个人办理投标事宜；</w:t>
      </w:r>
    </w:p>
    <w:p w14:paraId="2C827FED">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4、不同供应商的响应文件载明的项目管理成员或者联系人员为同一人；</w:t>
      </w:r>
    </w:p>
    <w:p w14:paraId="5610FFEE">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5、不同供应商的响应文件异常一致或者磋商报价呈规律性差异；</w:t>
      </w:r>
    </w:p>
    <w:p w14:paraId="7F3B8DC3">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6、政府采购法律法规及磋商文件规定的其他情形。</w:t>
      </w:r>
    </w:p>
    <w:p w14:paraId="7A8C111F">
      <w:pPr>
        <w:pStyle w:val="4"/>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bookmarkStart w:id="153" w:name="_Toc22712"/>
      <w:bookmarkStart w:id="154" w:name="_Toc25855"/>
      <w:bookmarkStart w:id="155" w:name="_Toc17612"/>
      <w:bookmarkStart w:id="156" w:name="_Toc28287"/>
      <w:bookmarkStart w:id="157" w:name="_Toc4670"/>
      <w:bookmarkStart w:id="158" w:name="_Toc3023"/>
      <w:bookmarkStart w:id="159" w:name="_Toc28384"/>
      <w:bookmarkStart w:id="160" w:name="_Toc445306493"/>
      <w:bookmarkStart w:id="161" w:name="_Toc495014649"/>
      <w:bookmarkStart w:id="162" w:name="_Toc28286_WPSOffice_Level1"/>
      <w:bookmarkStart w:id="163" w:name="_Toc495014611"/>
      <w:bookmarkStart w:id="164" w:name="_Toc495014920"/>
      <w:bookmarkStart w:id="165" w:name="_Toc619_WPSOffice_Level1"/>
      <w:bookmarkStart w:id="166" w:name="_Toc495012821"/>
      <w:bookmarkStart w:id="167" w:name="_Toc495014954"/>
      <w:bookmarkStart w:id="168" w:name="_Toc424636365"/>
      <w:bookmarkStart w:id="169" w:name="_Toc495012771"/>
      <w:bookmarkStart w:id="170" w:name="_Toc495014585"/>
      <w:r>
        <w:rPr>
          <w:rFonts w:hint="eastAsia" w:ascii="仿宋_GB2312" w:hAnsi="仿宋_GB2312" w:eastAsia="仿宋_GB2312" w:cs="仿宋_GB2312"/>
          <w:color w:val="auto"/>
          <w:sz w:val="28"/>
          <w:szCs w:val="28"/>
          <w:lang w:val="en-US" w:eastAsia="zh-CN"/>
        </w:rPr>
        <w:t>八</w:t>
      </w:r>
      <w:r>
        <w:rPr>
          <w:rFonts w:hint="eastAsia" w:ascii="仿宋_GB2312" w:hAnsi="仿宋_GB2312" w:eastAsia="仿宋_GB2312" w:cs="仿宋_GB2312"/>
          <w:color w:val="auto"/>
          <w:sz w:val="28"/>
          <w:szCs w:val="28"/>
        </w:rPr>
        <w:t>、成交</w:t>
      </w:r>
      <w:bookmarkEnd w:id="153"/>
      <w:bookmarkEnd w:id="154"/>
      <w:bookmarkEnd w:id="155"/>
      <w:bookmarkEnd w:id="156"/>
      <w:bookmarkEnd w:id="157"/>
      <w:bookmarkEnd w:id="158"/>
      <w:bookmarkEnd w:id="159"/>
    </w:p>
    <w:p w14:paraId="1BC2612F">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w:t>
      </w:r>
      <w:r>
        <w:rPr>
          <w:rFonts w:hint="eastAsia" w:ascii="仿宋_GB2312" w:hAnsi="仿宋_GB2312" w:eastAsia="仿宋_GB2312" w:cs="仿宋_GB2312"/>
          <w:color w:val="auto"/>
          <w:sz w:val="28"/>
          <w:szCs w:val="28"/>
          <w:lang w:val="en-US" w:eastAsia="zh-CN"/>
        </w:rPr>
        <w:t>集中采购机构</w:t>
      </w:r>
      <w:r>
        <w:rPr>
          <w:rFonts w:hint="eastAsia" w:ascii="仿宋_GB2312" w:hAnsi="仿宋_GB2312" w:eastAsia="仿宋_GB2312" w:cs="仿宋_GB2312"/>
          <w:color w:val="auto"/>
          <w:sz w:val="28"/>
          <w:szCs w:val="28"/>
        </w:rPr>
        <w:t>在评审结束后2个工作日内将评审报告送采购人确认。</w:t>
      </w:r>
    </w:p>
    <w:p w14:paraId="0F0CAE61">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采购人在收到评审报告之日起5个工作日内，从评审报告提出的成交候选供应商中，按照排序由高到低的原则确定成交供应商。采购人逾期未确定成交供应商且不提出异议的，视同按评审报告提出的排序第一的供应商为成交供应商。</w:t>
      </w:r>
    </w:p>
    <w:p w14:paraId="15F4C8B4">
      <w:pPr>
        <w:pageBreakBefore w:val="0"/>
        <w:widowControl/>
        <w:kinsoku/>
        <w:wordWrap w:val="0"/>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（三）</w:t>
      </w:r>
      <w:r>
        <w:rPr>
          <w:rFonts w:hint="eastAsia" w:ascii="仿宋_GB2312" w:hAnsi="仿宋_GB2312" w:eastAsia="仿宋_GB2312" w:cs="仿宋_GB2312"/>
          <w:color w:val="auto"/>
          <w:sz w:val="28"/>
          <w:szCs w:val="28"/>
          <w:lang w:val="en-US" w:eastAsia="zh-CN"/>
        </w:rPr>
        <w:t>集中采购机构</w:t>
      </w:r>
      <w:r>
        <w:rPr>
          <w:rFonts w:hint="eastAsia" w:ascii="仿宋_GB2312" w:hAnsi="仿宋_GB2312" w:eastAsia="仿宋_GB2312" w:cs="仿宋_GB2312"/>
          <w:color w:val="auto"/>
          <w:sz w:val="28"/>
          <w:szCs w:val="28"/>
        </w:rPr>
        <w:t>将在成交供应商确定之日起2个工作日内，在</w:t>
      </w:r>
      <w:r>
        <w:rPr>
          <w:rFonts w:hint="eastAsia" w:ascii="仿宋_GB2312" w:hAnsi="仿宋_GB2312" w:eastAsia="仿宋_GB2312" w:cs="仿宋_GB2312"/>
          <w:color w:val="auto"/>
          <w:sz w:val="28"/>
          <w:szCs w:val="28"/>
          <w:lang w:val="en-US" w:eastAsia="zh-CN"/>
        </w:rPr>
        <w:t>以下网址发布结果公告：</w:t>
      </w:r>
    </w:p>
    <w:p w14:paraId="01959804">
      <w:pPr>
        <w:pageBreakBefore w:val="0"/>
        <w:widowControl/>
        <w:kinsoku/>
        <w:wordWrap w:val="0"/>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【陕西省政府采购网（www.ccgp-shaanxi.gov.cn/）】中的〖首页·〉市级公告·〉</w:t>
      </w:r>
      <w:r>
        <w:rPr>
          <w:rFonts w:hint="eastAsia" w:ascii="仿宋_GB2312" w:hAnsi="仿宋_GB2312" w:eastAsia="仿宋_GB2312" w:cs="仿宋_GB2312"/>
          <w:color w:val="auto"/>
          <w:sz w:val="28"/>
          <w:szCs w:val="28"/>
          <w:lang w:val="en-US" w:eastAsia="zh-CN"/>
        </w:rPr>
        <w:t>结果</w:t>
      </w:r>
      <w:r>
        <w:rPr>
          <w:rFonts w:hint="eastAsia" w:ascii="仿宋_GB2312" w:hAnsi="仿宋_GB2312" w:eastAsia="仿宋_GB2312" w:cs="仿宋_GB2312"/>
          <w:color w:val="auto"/>
          <w:sz w:val="28"/>
          <w:szCs w:val="28"/>
        </w:rPr>
        <w:t>公告</w:t>
      </w:r>
      <w:r>
        <w:rPr>
          <w:rFonts w:hint="eastAsia" w:ascii="仿宋_GB2312" w:hAnsi="仿宋_GB2312" w:eastAsia="仿宋_GB2312" w:cs="仿宋_GB2312"/>
          <w:color w:val="auto"/>
          <w:sz w:val="28"/>
          <w:szCs w:val="28"/>
          <w:lang w:val="en-US" w:eastAsia="zh-CN"/>
        </w:rPr>
        <w:t>/终止公告</w:t>
      </w:r>
      <w:r>
        <w:rPr>
          <w:rFonts w:hint="eastAsia" w:ascii="仿宋_GB2312" w:hAnsi="仿宋_GB2312" w:eastAsia="仿宋_GB2312" w:cs="仿宋_GB2312"/>
          <w:color w:val="auto"/>
          <w:sz w:val="28"/>
          <w:szCs w:val="28"/>
        </w:rPr>
        <w:t>〗；</w:t>
      </w:r>
    </w:p>
    <w:p w14:paraId="54BEB6D7">
      <w:pPr>
        <w:pageBreakBefore w:val="0"/>
        <w:widowControl/>
        <w:kinsoku/>
        <w:wordWrap w:val="0"/>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【全国公共资源交易平台（汉中市）（sxggzyjy.hanzhong.gov.cn/）】中的〖首页·〉交易大厅·〉政府采购·〉</w:t>
      </w:r>
      <w:r>
        <w:rPr>
          <w:rFonts w:hint="eastAsia" w:ascii="仿宋_GB2312" w:hAnsi="仿宋_GB2312" w:eastAsia="仿宋_GB2312" w:cs="仿宋_GB2312"/>
          <w:color w:val="auto"/>
          <w:sz w:val="28"/>
          <w:szCs w:val="28"/>
          <w:lang w:val="en-US" w:eastAsia="zh-CN"/>
        </w:rPr>
        <w:t>中标（成交）结果/终止公告</w:t>
      </w:r>
      <w:r>
        <w:rPr>
          <w:rFonts w:hint="eastAsia" w:ascii="仿宋_GB2312" w:hAnsi="仿宋_GB2312" w:eastAsia="仿宋_GB2312" w:cs="仿宋_GB2312"/>
          <w:color w:val="auto"/>
          <w:sz w:val="28"/>
          <w:szCs w:val="28"/>
        </w:rPr>
        <w:t>〗。</w:t>
      </w:r>
    </w:p>
    <w:p w14:paraId="3C2BF8B4">
      <w:pPr>
        <w:pageBreakBefore w:val="0"/>
        <w:widowControl/>
        <w:kinsoku/>
        <w:wordWrap w:val="0"/>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四</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采购人</w:t>
      </w:r>
      <w:r>
        <w:rPr>
          <w:rFonts w:hint="eastAsia" w:ascii="仿宋_GB2312" w:hAnsi="仿宋_GB2312" w:eastAsia="仿宋_GB2312" w:cs="仿宋_GB2312"/>
          <w:color w:val="auto"/>
          <w:sz w:val="28"/>
          <w:szCs w:val="28"/>
        </w:rPr>
        <w:t>向成交供应商发出成交通知书。</w:t>
      </w:r>
    </w:p>
    <w:p w14:paraId="2D98319D">
      <w:pPr>
        <w:pStyle w:val="4"/>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bookmarkStart w:id="171" w:name="_Toc10386"/>
      <w:bookmarkStart w:id="172" w:name="_Toc14009"/>
      <w:bookmarkStart w:id="173" w:name="_Toc3100"/>
      <w:bookmarkStart w:id="174" w:name="_Toc28870"/>
      <w:bookmarkStart w:id="175" w:name="_Toc23938"/>
      <w:bookmarkStart w:id="176" w:name="_Toc20049"/>
      <w:bookmarkStart w:id="177" w:name="_Toc18233"/>
      <w:r>
        <w:rPr>
          <w:rFonts w:hint="eastAsia" w:ascii="仿宋_GB2312" w:hAnsi="仿宋_GB2312" w:eastAsia="仿宋_GB2312" w:cs="仿宋_GB2312"/>
          <w:color w:val="auto"/>
          <w:sz w:val="28"/>
          <w:szCs w:val="28"/>
          <w:lang w:val="en-US" w:eastAsia="zh-CN"/>
        </w:rPr>
        <w:t>九</w:t>
      </w:r>
      <w:r>
        <w:rPr>
          <w:rFonts w:hint="eastAsia" w:ascii="仿宋_GB2312" w:hAnsi="仿宋_GB2312" w:eastAsia="仿宋_GB2312" w:cs="仿宋_GB2312"/>
          <w:color w:val="auto"/>
          <w:sz w:val="28"/>
          <w:szCs w:val="28"/>
        </w:rPr>
        <w:t>、签订</w:t>
      </w:r>
      <w:r>
        <w:rPr>
          <w:rFonts w:hint="eastAsia" w:ascii="仿宋_GB2312" w:hAnsi="仿宋_GB2312" w:eastAsia="仿宋_GB2312" w:cs="仿宋_GB2312"/>
          <w:color w:val="auto"/>
          <w:kern w:val="0"/>
          <w:sz w:val="28"/>
          <w:szCs w:val="28"/>
        </w:rPr>
        <w:t>政府采购合同</w:t>
      </w:r>
      <w:bookmarkEnd w:id="171"/>
      <w:bookmarkEnd w:id="172"/>
      <w:bookmarkEnd w:id="173"/>
      <w:bookmarkEnd w:id="174"/>
      <w:bookmarkEnd w:id="175"/>
      <w:bookmarkEnd w:id="176"/>
      <w:bookmarkEnd w:id="177"/>
    </w:p>
    <w:p w14:paraId="242E3983">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（一）采购人与成交供应商应当在《成交通知书》发出之后，洽谈合同条款内容，拟定合同文本草案。并在《成交通知书》发出之日起30日内签订书面合同。</w:t>
      </w:r>
    </w:p>
    <w:p w14:paraId="6DDE7882">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（二）合同在执行过程中，确需修改、变更时，应当按照相应的审核批准程序办理。</w:t>
      </w:r>
    </w:p>
    <w:p w14:paraId="4ABE27D8">
      <w:pPr>
        <w:pageBreakBefore w:val="0"/>
        <w:widowControl/>
        <w:kinsoku/>
        <w:overflowPunct/>
        <w:topLinePunct w:val="0"/>
        <w:autoSpaceDE/>
        <w:autoSpaceDN/>
        <w:bidi w:val="0"/>
        <w:adjustRightInd/>
        <w:snapToGrid/>
        <w:spacing w:line="560" w:lineRule="exact"/>
        <w:ind w:firstLine="56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（三）磋商文件、补充通知、磋商响应文件、补充协议等为合同的组成部分，具有同等法律效力。成交供应商不得将合同分包、转让他人。</w:t>
      </w:r>
    </w:p>
    <w:p w14:paraId="25B60E09">
      <w:pPr>
        <w:pStyle w:val="4"/>
        <w:pageBreakBefore w:val="0"/>
        <w:widowControl/>
        <w:kinsoku/>
        <w:overflowPunct/>
        <w:topLinePunct w:val="0"/>
        <w:autoSpaceDE/>
        <w:autoSpaceDN/>
        <w:bidi w:val="0"/>
        <w:adjustRightInd/>
        <w:snapToGrid/>
        <w:spacing w:line="560" w:lineRule="exact"/>
        <w:ind w:firstLine="566" w:firstLineChars="200"/>
        <w:textAlignment w:val="auto"/>
        <w:rPr>
          <w:rFonts w:ascii="黑体" w:hAnsi="黑体" w:eastAsia="黑体"/>
          <w:color w:val="auto"/>
          <w:sz w:val="28"/>
          <w:szCs w:val="28"/>
        </w:rPr>
        <w:sectPr>
          <w:headerReference r:id="rId7" w:type="default"/>
          <w:footerReference r:id="rId8" w:type="default"/>
          <w:pgSz w:w="11906" w:h="16838"/>
          <w:pgMar w:top="1417" w:right="1417" w:bottom="1134" w:left="1417" w:header="850" w:footer="992" w:gutter="0"/>
          <w:pgBorders>
            <w:top w:val="none" w:sz="0" w:space="0"/>
            <w:left w:val="none" w:sz="0" w:space="0"/>
            <w:bottom w:val="none" w:sz="0" w:space="0"/>
            <w:right w:val="none" w:sz="0" w:space="0"/>
          </w:pgBorders>
          <w:pgNumType w:start="1"/>
          <w:cols w:space="720" w:num="1"/>
          <w:docGrid w:type="linesAndChars" w:linePitch="381" w:charSpace="704"/>
        </w:sectPr>
      </w:pPr>
      <w:bookmarkStart w:id="178" w:name="_Toc11780"/>
      <w:bookmarkStart w:id="179" w:name="_Toc11584"/>
      <w:bookmarkStart w:id="180" w:name="_Toc17324"/>
      <w:bookmarkStart w:id="181" w:name="_Toc4764"/>
      <w:bookmarkStart w:id="182" w:name="_Toc23303"/>
      <w:bookmarkStart w:id="183" w:name="_Toc5278"/>
      <w:bookmarkStart w:id="184" w:name="_Toc8426"/>
      <w:bookmarkStart w:id="185" w:name="_Toc10336"/>
      <w:bookmarkStart w:id="186" w:name="_Toc14560"/>
      <w:r>
        <w:rPr>
          <w:rFonts w:hint="eastAsia" w:ascii="仿宋_GB2312" w:hAnsi="仿宋_GB2312" w:eastAsia="仿宋_GB2312" w:cs="仿宋_GB2312"/>
          <w:color w:val="auto"/>
          <w:sz w:val="28"/>
          <w:szCs w:val="28"/>
        </w:rPr>
        <w:t>十</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采购代理服务费：免费</w:t>
      </w:r>
      <w:bookmarkEnd w:id="178"/>
      <w:bookmarkEnd w:id="179"/>
      <w:bookmarkEnd w:id="180"/>
      <w:bookmarkEnd w:id="181"/>
      <w:bookmarkEnd w:id="182"/>
      <w:bookmarkEnd w:id="183"/>
      <w:bookmarkEnd w:id="184"/>
      <w:bookmarkEnd w:id="185"/>
      <w:bookmarkEnd w:id="186"/>
    </w:p>
    <w:p w14:paraId="06822EEB">
      <w:pPr>
        <w:pStyle w:val="3"/>
        <w:rPr>
          <w:color w:val="auto"/>
        </w:rPr>
      </w:pPr>
      <w:bookmarkStart w:id="187" w:name="_Toc10476_WPSOffice_Level1"/>
      <w:bookmarkStart w:id="188" w:name="_Toc6345"/>
      <w:bookmarkStart w:id="189" w:name="_Toc31517"/>
      <w:bookmarkStart w:id="190" w:name="_Toc2772"/>
      <w:bookmarkStart w:id="191" w:name="_Toc22915"/>
      <w:r>
        <w:rPr>
          <w:rFonts w:hint="eastAsia" w:ascii="黑体" w:hAnsi="黑体" w:eastAsia="黑体" w:cs="黑体"/>
          <w:b w:val="0"/>
          <w:bCs/>
          <w:color w:val="auto"/>
          <w:sz w:val="32"/>
          <w:szCs w:val="40"/>
        </w:rPr>
        <w:t>第三章  磋商内容及采</w:t>
      </w:r>
      <w:bookmarkEnd w:id="187"/>
      <w:r>
        <w:rPr>
          <w:rFonts w:hint="eastAsia" w:ascii="黑体" w:hAnsi="黑体" w:eastAsia="黑体" w:cs="黑体"/>
          <w:b w:val="0"/>
          <w:bCs/>
          <w:color w:val="auto"/>
          <w:sz w:val="32"/>
          <w:szCs w:val="40"/>
        </w:rPr>
        <w:t>购要求</w:t>
      </w:r>
      <w:bookmarkEnd w:id="160"/>
      <w:bookmarkEnd w:id="161"/>
      <w:bookmarkEnd w:id="162"/>
      <w:bookmarkEnd w:id="163"/>
      <w:bookmarkEnd w:id="164"/>
      <w:bookmarkEnd w:id="165"/>
      <w:bookmarkEnd w:id="166"/>
      <w:bookmarkEnd w:id="167"/>
      <w:bookmarkEnd w:id="168"/>
      <w:bookmarkEnd w:id="169"/>
      <w:bookmarkEnd w:id="170"/>
      <w:bookmarkEnd w:id="188"/>
      <w:bookmarkEnd w:id="189"/>
      <w:bookmarkEnd w:id="190"/>
      <w:bookmarkEnd w:id="191"/>
    </w:p>
    <w:tbl>
      <w:tblPr>
        <w:tblStyle w:val="21"/>
        <w:tblpPr w:leftFromText="180" w:rightFromText="180" w:vertAnchor="text" w:horzAnchor="page" w:tblpXSpec="center" w:tblpY="590"/>
        <w:tblOverlap w:val="never"/>
        <w:tblW w:w="9073" w:type="dxa"/>
        <w:jc w:val="center"/>
        <w:tblLayout w:type="fixed"/>
        <w:tblCellMar>
          <w:top w:w="0" w:type="dxa"/>
          <w:left w:w="108" w:type="dxa"/>
          <w:bottom w:w="0" w:type="dxa"/>
          <w:right w:w="108" w:type="dxa"/>
        </w:tblCellMar>
      </w:tblPr>
      <w:tblGrid>
        <w:gridCol w:w="917"/>
        <w:gridCol w:w="1840"/>
        <w:gridCol w:w="5347"/>
        <w:gridCol w:w="969"/>
      </w:tblGrid>
      <w:tr w14:paraId="6CA0CC27">
        <w:tblPrEx>
          <w:tblCellMar>
            <w:top w:w="0" w:type="dxa"/>
            <w:left w:w="108" w:type="dxa"/>
            <w:bottom w:w="0" w:type="dxa"/>
            <w:right w:w="108" w:type="dxa"/>
          </w:tblCellMar>
        </w:tblPrEx>
        <w:trPr>
          <w:trHeight w:val="828" w:hRule="atLeast"/>
          <w:jc w:val="center"/>
        </w:trPr>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4A3F5">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b/>
                <w:bCs/>
                <w:color w:val="000000"/>
                <w:sz w:val="28"/>
                <w:szCs w:val="28"/>
              </w:rPr>
            </w:pPr>
            <w:r>
              <w:rPr>
                <w:rStyle w:val="53"/>
                <w:rFonts w:hint="eastAsia" w:ascii="仿宋_GB2312" w:hAnsi="仿宋_GB2312" w:eastAsia="仿宋_GB2312" w:cs="仿宋_GB2312"/>
                <w:b/>
                <w:bCs/>
                <w:sz w:val="28"/>
                <w:szCs w:val="28"/>
                <w:lang w:bidi="ar"/>
              </w:rPr>
              <w:t>序</w:t>
            </w:r>
            <w:r>
              <w:rPr>
                <w:rStyle w:val="57"/>
                <w:rFonts w:hint="eastAsia" w:ascii="仿宋_GB2312" w:hAnsi="仿宋_GB2312" w:eastAsia="仿宋_GB2312" w:cs="仿宋_GB2312"/>
                <w:b/>
                <w:bCs/>
                <w:sz w:val="28"/>
                <w:szCs w:val="28"/>
                <w:lang w:bidi="ar"/>
              </w:rPr>
              <w:t>号</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E8A9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b/>
                <w:bCs/>
                <w:color w:val="000000"/>
                <w:sz w:val="28"/>
                <w:szCs w:val="28"/>
              </w:rPr>
            </w:pPr>
            <w:r>
              <w:rPr>
                <w:rStyle w:val="58"/>
                <w:rFonts w:hint="eastAsia" w:ascii="仿宋_GB2312" w:hAnsi="仿宋_GB2312" w:eastAsia="仿宋_GB2312" w:cs="仿宋_GB2312"/>
                <w:b/>
                <w:bCs/>
                <w:sz w:val="28"/>
                <w:szCs w:val="28"/>
                <w:lang w:bidi="ar"/>
              </w:rPr>
              <w:t>名称</w:t>
            </w:r>
          </w:p>
        </w:tc>
        <w:tc>
          <w:tcPr>
            <w:tcW w:w="5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547D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kern w:val="0"/>
                <w:sz w:val="28"/>
                <w:szCs w:val="28"/>
                <w:lang w:bidi="ar"/>
              </w:rPr>
              <w:t>货物具体参数</w:t>
            </w:r>
          </w:p>
        </w:tc>
        <w:tc>
          <w:tcPr>
            <w:tcW w:w="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F4051">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kern w:val="0"/>
                <w:sz w:val="28"/>
                <w:szCs w:val="28"/>
                <w:lang w:bidi="ar"/>
              </w:rPr>
              <w:t>数量</w:t>
            </w:r>
          </w:p>
        </w:tc>
      </w:tr>
      <w:tr w14:paraId="5CCCC323">
        <w:tblPrEx>
          <w:tblCellMar>
            <w:top w:w="0" w:type="dxa"/>
            <w:left w:w="108" w:type="dxa"/>
            <w:bottom w:w="0" w:type="dxa"/>
            <w:right w:w="108" w:type="dxa"/>
          </w:tblCellMar>
        </w:tblPrEx>
        <w:trPr>
          <w:trHeight w:val="10633" w:hRule="atLeast"/>
          <w:jc w:val="center"/>
        </w:trPr>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D9744">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10675">
            <w:pPr>
              <w:keepNext w:val="0"/>
              <w:keepLines w:val="0"/>
              <w:pageBreakBefore w:val="0"/>
              <w:widowControl/>
              <w:kinsoku/>
              <w:wordWrap/>
              <w:overflowPunct/>
              <w:topLinePunct w:val="0"/>
              <w:autoSpaceDE/>
              <w:autoSpaceDN/>
              <w:bidi w:val="0"/>
              <w:adjustRightInd/>
              <w:snapToGrid/>
              <w:spacing w:line="400" w:lineRule="exact"/>
              <w:jc w:val="center"/>
              <w:textAlignment w:val="center"/>
              <w:rPr>
                <w:rStyle w:val="55"/>
                <w:rFonts w:hint="eastAsia" w:ascii="仿宋_GB2312" w:hAnsi="仿宋_GB2312" w:eastAsia="仿宋_GB2312" w:cs="仿宋_GB2312"/>
                <w:sz w:val="28"/>
                <w:szCs w:val="28"/>
                <w:u w:val="none"/>
                <w:lang w:bidi="ar"/>
              </w:rPr>
            </w:pPr>
            <w:r>
              <w:rPr>
                <w:rStyle w:val="55"/>
                <w:rFonts w:hint="eastAsia" w:ascii="仿宋_GB2312" w:hAnsi="仿宋_GB2312" w:eastAsia="仿宋_GB2312" w:cs="仿宋_GB2312"/>
                <w:sz w:val="28"/>
                <w:szCs w:val="28"/>
                <w:u w:val="none"/>
                <w:lang w:bidi="ar"/>
              </w:rPr>
              <w:t>智能积分礼品兑换柜</w:t>
            </w:r>
          </w:p>
          <w:p w14:paraId="206B134D">
            <w:pPr>
              <w:pStyle w:val="2"/>
              <w:rPr>
                <w:rStyle w:val="55"/>
                <w:rFonts w:hint="eastAsia" w:ascii="仿宋_GB2312" w:hAnsi="仿宋_GB2312" w:eastAsia="仿宋_GB2312" w:cs="仿宋_GB2312"/>
                <w:sz w:val="28"/>
                <w:szCs w:val="28"/>
                <w:u w:val="none"/>
                <w:lang w:bidi="ar"/>
              </w:rPr>
            </w:pPr>
          </w:p>
          <w:p w14:paraId="05EB5633">
            <w:pPr>
              <w:rPr>
                <w:rFonts w:hint="default" w:eastAsia="仿宋_GB2312"/>
                <w:lang w:val="en-US" w:eastAsia="zh-CN"/>
              </w:rPr>
            </w:pPr>
            <w:r>
              <w:rPr>
                <w:rStyle w:val="55"/>
                <w:rFonts w:hint="eastAsia" w:ascii="仿宋_GB2312" w:hAnsi="仿宋_GB2312" w:eastAsia="仿宋_GB2312" w:cs="仿宋_GB2312"/>
                <w:b/>
                <w:bCs/>
                <w:sz w:val="28"/>
                <w:szCs w:val="28"/>
                <w:u w:val="single"/>
                <w:lang w:val="en-US" w:eastAsia="zh-CN" w:bidi="ar"/>
              </w:rPr>
              <w:t>此项为核心产品</w:t>
            </w:r>
          </w:p>
        </w:tc>
        <w:tc>
          <w:tcPr>
            <w:tcW w:w="5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A5C47">
            <w:pPr>
              <w:keepNext w:val="0"/>
              <w:keepLines w:val="0"/>
              <w:pageBreakBefore w:val="0"/>
              <w:widowControl/>
              <w:kinsoku/>
              <w:wordWrap/>
              <w:overflowPunct/>
              <w:topLinePunct w:val="0"/>
              <w:autoSpaceDE/>
              <w:autoSpaceDN/>
              <w:bidi w:val="0"/>
              <w:adjustRightInd/>
              <w:snapToGrid/>
              <w:spacing w:line="400" w:lineRule="exact"/>
              <w:jc w:val="both"/>
              <w:textAlignment w:val="bottom"/>
              <w:rPr>
                <w:rStyle w:val="47"/>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eastAsia="zh-CN" w:bidi="ar"/>
              </w:rPr>
              <w:t>★</w:t>
            </w:r>
            <w:r>
              <w:rPr>
                <w:rStyle w:val="59"/>
                <w:rFonts w:hint="eastAsia" w:ascii="仿宋_GB2312" w:hAnsi="仿宋_GB2312" w:eastAsia="仿宋_GB2312" w:cs="仿宋_GB2312"/>
                <w:sz w:val="28"/>
                <w:szCs w:val="28"/>
                <w:lang w:bidi="ar"/>
              </w:rPr>
              <w:t>要求积分兑换柜外观尺寸不得大于 宽</w:t>
            </w:r>
            <w:r>
              <w:rPr>
                <w:rStyle w:val="47"/>
                <w:rFonts w:hint="eastAsia" w:ascii="仿宋_GB2312" w:hAnsi="仿宋_GB2312" w:eastAsia="仿宋_GB2312" w:cs="仿宋_GB2312"/>
                <w:sz w:val="28"/>
                <w:szCs w:val="28"/>
                <w:lang w:bidi="ar"/>
              </w:rPr>
              <w:t>500*</w:t>
            </w:r>
            <w:r>
              <w:rPr>
                <w:rStyle w:val="59"/>
                <w:rFonts w:hint="eastAsia" w:ascii="仿宋_GB2312" w:hAnsi="仿宋_GB2312" w:eastAsia="仿宋_GB2312" w:cs="仿宋_GB2312"/>
                <w:sz w:val="28"/>
                <w:szCs w:val="28"/>
                <w:lang w:bidi="ar"/>
              </w:rPr>
              <w:t>厚</w:t>
            </w:r>
            <w:r>
              <w:rPr>
                <w:rStyle w:val="47"/>
                <w:rFonts w:hint="eastAsia" w:ascii="仿宋_GB2312" w:hAnsi="仿宋_GB2312" w:eastAsia="仿宋_GB2312" w:cs="仿宋_GB2312"/>
                <w:sz w:val="28"/>
                <w:szCs w:val="28"/>
                <w:lang w:bidi="ar"/>
              </w:rPr>
              <w:t xml:space="preserve"> 460*</w:t>
            </w:r>
            <w:r>
              <w:rPr>
                <w:rStyle w:val="59"/>
                <w:rFonts w:hint="eastAsia" w:ascii="仿宋_GB2312" w:hAnsi="仿宋_GB2312" w:eastAsia="仿宋_GB2312" w:cs="仿宋_GB2312"/>
                <w:sz w:val="28"/>
                <w:szCs w:val="28"/>
                <w:lang w:bidi="ar"/>
              </w:rPr>
              <w:t>高</w:t>
            </w:r>
            <w:r>
              <w:rPr>
                <w:rStyle w:val="47"/>
                <w:rFonts w:hint="eastAsia" w:ascii="仿宋_GB2312" w:hAnsi="仿宋_GB2312" w:eastAsia="仿宋_GB2312" w:cs="仿宋_GB2312"/>
                <w:sz w:val="28"/>
                <w:szCs w:val="28"/>
                <w:lang w:bidi="ar"/>
              </w:rPr>
              <w:t>520尺寸以内(mm)，不得小于宽400*厚360*高450（mm）</w:t>
            </w:r>
          </w:p>
          <w:p w14:paraId="4CB22743">
            <w:pPr>
              <w:keepNext w:val="0"/>
              <w:keepLines w:val="0"/>
              <w:pageBreakBefore w:val="0"/>
              <w:widowControl/>
              <w:kinsoku/>
              <w:wordWrap/>
              <w:overflowPunct/>
              <w:topLinePunct w:val="0"/>
              <w:autoSpaceDE/>
              <w:autoSpaceDN/>
              <w:bidi w:val="0"/>
              <w:adjustRightInd/>
              <w:snapToGrid/>
              <w:spacing w:line="400" w:lineRule="exact"/>
              <w:jc w:val="both"/>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1.</w:t>
            </w:r>
            <w:r>
              <w:rPr>
                <w:rStyle w:val="59"/>
                <w:rFonts w:hint="eastAsia" w:ascii="仿宋_GB2312" w:hAnsi="仿宋_GB2312" w:eastAsia="仿宋_GB2312" w:cs="仿宋_GB2312"/>
                <w:sz w:val="28"/>
                <w:szCs w:val="28"/>
                <w:lang w:bidi="ar"/>
              </w:rPr>
              <w:t>颜色种类：根据甲方要求定制</w:t>
            </w:r>
          </w:p>
          <w:p w14:paraId="3B111C4A">
            <w:pPr>
              <w:keepNext w:val="0"/>
              <w:keepLines w:val="0"/>
              <w:pageBreakBefore w:val="0"/>
              <w:widowControl/>
              <w:kinsoku/>
              <w:wordWrap/>
              <w:overflowPunct/>
              <w:topLinePunct w:val="0"/>
              <w:autoSpaceDE/>
              <w:autoSpaceDN/>
              <w:bidi w:val="0"/>
              <w:adjustRightInd/>
              <w:snapToGrid/>
              <w:spacing w:line="400" w:lineRule="exact"/>
              <w:jc w:val="both"/>
              <w:textAlignment w:val="bottom"/>
              <w:rPr>
                <w:rStyle w:val="47"/>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2.</w:t>
            </w:r>
            <w:r>
              <w:rPr>
                <w:rStyle w:val="59"/>
                <w:rFonts w:hint="eastAsia" w:ascii="仿宋_GB2312" w:hAnsi="仿宋_GB2312" w:eastAsia="仿宋_GB2312" w:cs="仿宋_GB2312"/>
                <w:sz w:val="28"/>
                <w:szCs w:val="28"/>
                <w:lang w:bidi="ar"/>
              </w:rPr>
              <w:t>材质：钣金外壳，厚度约：</w:t>
            </w:r>
            <w:r>
              <w:rPr>
                <w:rStyle w:val="47"/>
                <w:rFonts w:hint="eastAsia" w:ascii="仿宋_GB2312" w:hAnsi="仿宋_GB2312" w:eastAsia="仿宋_GB2312" w:cs="仿宋_GB2312"/>
                <w:sz w:val="28"/>
                <w:szCs w:val="28"/>
                <w:lang w:bidi="ar"/>
              </w:rPr>
              <w:t>1.0mm</w:t>
            </w:r>
          </w:p>
          <w:p w14:paraId="751D38E7">
            <w:pPr>
              <w:keepNext w:val="0"/>
              <w:keepLines w:val="0"/>
              <w:pageBreakBefore w:val="0"/>
              <w:widowControl/>
              <w:kinsoku/>
              <w:wordWrap/>
              <w:overflowPunct/>
              <w:topLinePunct w:val="0"/>
              <w:autoSpaceDE/>
              <w:autoSpaceDN/>
              <w:bidi w:val="0"/>
              <w:adjustRightInd/>
              <w:snapToGrid/>
              <w:spacing w:line="400" w:lineRule="exact"/>
              <w:jc w:val="both"/>
              <w:textAlignment w:val="bottom"/>
              <w:rPr>
                <w:rStyle w:val="47"/>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3.兑</w:t>
            </w:r>
            <w:r>
              <w:rPr>
                <w:rStyle w:val="59"/>
                <w:rFonts w:hint="eastAsia" w:ascii="仿宋_GB2312" w:hAnsi="仿宋_GB2312" w:eastAsia="仿宋_GB2312" w:cs="仿宋_GB2312"/>
                <w:sz w:val="28"/>
                <w:szCs w:val="28"/>
                <w:lang w:bidi="ar"/>
              </w:rPr>
              <w:t>换方式：现场扫码</w:t>
            </w:r>
            <w:r>
              <w:rPr>
                <w:rStyle w:val="47"/>
                <w:rFonts w:hint="eastAsia" w:ascii="仿宋_GB2312" w:hAnsi="仿宋_GB2312" w:eastAsia="仿宋_GB2312" w:cs="仿宋_GB2312"/>
                <w:sz w:val="28"/>
                <w:szCs w:val="28"/>
                <w:lang w:bidi="ar"/>
              </w:rPr>
              <w:t>/</w:t>
            </w:r>
            <w:r>
              <w:rPr>
                <w:rStyle w:val="59"/>
                <w:rFonts w:hint="eastAsia" w:ascii="仿宋_GB2312" w:hAnsi="仿宋_GB2312" w:eastAsia="仿宋_GB2312" w:cs="仿宋_GB2312"/>
                <w:sz w:val="28"/>
                <w:szCs w:val="28"/>
                <w:lang w:bidi="ar"/>
              </w:rPr>
              <w:t>线上下单</w:t>
            </w:r>
          </w:p>
          <w:p w14:paraId="0D2C5A68">
            <w:pPr>
              <w:keepNext w:val="0"/>
              <w:keepLines w:val="0"/>
              <w:pageBreakBefore w:val="0"/>
              <w:widowControl/>
              <w:kinsoku/>
              <w:wordWrap/>
              <w:overflowPunct/>
              <w:topLinePunct w:val="0"/>
              <w:autoSpaceDE/>
              <w:autoSpaceDN/>
              <w:bidi w:val="0"/>
              <w:adjustRightInd/>
              <w:snapToGrid/>
              <w:spacing w:line="400" w:lineRule="exact"/>
              <w:jc w:val="both"/>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4.</w:t>
            </w:r>
            <w:r>
              <w:rPr>
                <w:rStyle w:val="59"/>
                <w:rFonts w:hint="eastAsia" w:ascii="仿宋_GB2312" w:hAnsi="仿宋_GB2312" w:eastAsia="仿宋_GB2312" w:cs="仿宋_GB2312"/>
                <w:sz w:val="28"/>
                <w:szCs w:val="28"/>
                <w:lang w:bidi="ar"/>
              </w:rPr>
              <w:t>显示屏尺寸：≥</w:t>
            </w:r>
            <w:r>
              <w:rPr>
                <w:rStyle w:val="47"/>
                <w:rFonts w:hint="eastAsia" w:ascii="仿宋_GB2312" w:hAnsi="仿宋_GB2312" w:eastAsia="仿宋_GB2312" w:cs="仿宋_GB2312"/>
                <w:sz w:val="28"/>
                <w:szCs w:val="28"/>
                <w:lang w:bidi="ar"/>
              </w:rPr>
              <w:t xml:space="preserve">16 </w:t>
            </w:r>
            <w:r>
              <w:rPr>
                <w:rStyle w:val="59"/>
                <w:rFonts w:hint="eastAsia" w:ascii="仿宋_GB2312" w:hAnsi="仿宋_GB2312" w:eastAsia="仿宋_GB2312" w:cs="仿宋_GB2312"/>
                <w:sz w:val="28"/>
                <w:szCs w:val="28"/>
                <w:lang w:bidi="ar"/>
              </w:rPr>
              <w:t>吋电容触摸</w:t>
            </w:r>
          </w:p>
          <w:p w14:paraId="74A61EC2">
            <w:pPr>
              <w:keepNext w:val="0"/>
              <w:keepLines w:val="0"/>
              <w:pageBreakBefore w:val="0"/>
              <w:widowControl/>
              <w:kinsoku/>
              <w:wordWrap/>
              <w:overflowPunct/>
              <w:topLinePunct w:val="0"/>
              <w:autoSpaceDE/>
              <w:autoSpaceDN/>
              <w:bidi w:val="0"/>
              <w:adjustRightInd/>
              <w:snapToGrid/>
              <w:spacing w:line="400" w:lineRule="exact"/>
              <w:jc w:val="both"/>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5.</w:t>
            </w:r>
            <w:r>
              <w:rPr>
                <w:rStyle w:val="59"/>
                <w:rFonts w:hint="eastAsia" w:ascii="仿宋_GB2312" w:hAnsi="仿宋_GB2312" w:eastAsia="仿宋_GB2312" w:cs="仿宋_GB2312"/>
                <w:sz w:val="28"/>
                <w:szCs w:val="28"/>
                <w:lang w:bidi="ar"/>
              </w:rPr>
              <w:t>屏幕占比：≥</w:t>
            </w:r>
            <w:r>
              <w:rPr>
                <w:rStyle w:val="47"/>
                <w:rFonts w:hint="eastAsia" w:ascii="仿宋_GB2312" w:hAnsi="仿宋_GB2312" w:eastAsia="仿宋_GB2312" w:cs="仿宋_GB2312"/>
                <w:sz w:val="28"/>
                <w:szCs w:val="28"/>
                <w:lang w:bidi="ar"/>
              </w:rPr>
              <w:t>36.8%</w:t>
            </w:r>
            <w:r>
              <w:rPr>
                <w:rStyle w:val="59"/>
                <w:rFonts w:hint="eastAsia" w:ascii="仿宋_GB2312" w:hAnsi="仿宋_GB2312" w:eastAsia="仿宋_GB2312" w:cs="仿宋_GB2312"/>
                <w:sz w:val="28"/>
                <w:szCs w:val="28"/>
                <w:lang w:bidi="ar"/>
              </w:rPr>
              <w:t>，正面整体为钢化玻璃；钣金镶边</w:t>
            </w:r>
          </w:p>
          <w:p w14:paraId="136EDD02">
            <w:pPr>
              <w:keepNext w:val="0"/>
              <w:keepLines w:val="0"/>
              <w:pageBreakBefore w:val="0"/>
              <w:widowControl/>
              <w:kinsoku/>
              <w:wordWrap/>
              <w:overflowPunct/>
              <w:topLinePunct w:val="0"/>
              <w:autoSpaceDE/>
              <w:autoSpaceDN/>
              <w:bidi w:val="0"/>
              <w:adjustRightInd/>
              <w:snapToGrid/>
              <w:spacing w:line="400" w:lineRule="exact"/>
              <w:jc w:val="both"/>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6.</w:t>
            </w:r>
            <w:r>
              <w:rPr>
                <w:rStyle w:val="59"/>
                <w:rFonts w:hint="eastAsia" w:ascii="仿宋_GB2312" w:hAnsi="仿宋_GB2312" w:eastAsia="仿宋_GB2312" w:cs="仿宋_GB2312"/>
                <w:sz w:val="28"/>
                <w:szCs w:val="28"/>
                <w:lang w:bidi="ar"/>
              </w:rPr>
              <w:t>分屏显示：支持</w:t>
            </w:r>
          </w:p>
          <w:p w14:paraId="2B5ABF41">
            <w:pPr>
              <w:keepNext w:val="0"/>
              <w:keepLines w:val="0"/>
              <w:pageBreakBefore w:val="0"/>
              <w:widowControl/>
              <w:kinsoku/>
              <w:wordWrap/>
              <w:overflowPunct/>
              <w:topLinePunct w:val="0"/>
              <w:autoSpaceDE/>
              <w:autoSpaceDN/>
              <w:bidi w:val="0"/>
              <w:adjustRightInd/>
              <w:snapToGrid/>
              <w:spacing w:line="400" w:lineRule="exact"/>
              <w:jc w:val="both"/>
              <w:textAlignment w:val="bottom"/>
              <w:rPr>
                <w:rStyle w:val="47"/>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7.</w:t>
            </w:r>
            <w:r>
              <w:rPr>
                <w:rStyle w:val="59"/>
                <w:rFonts w:hint="eastAsia" w:ascii="仿宋_GB2312" w:hAnsi="仿宋_GB2312" w:eastAsia="仿宋_GB2312" w:cs="仿宋_GB2312"/>
                <w:sz w:val="28"/>
                <w:szCs w:val="28"/>
                <w:lang w:bidi="ar"/>
              </w:rPr>
              <w:t>通讯方式：</w:t>
            </w:r>
            <w:r>
              <w:rPr>
                <w:rStyle w:val="47"/>
                <w:rFonts w:hint="eastAsia" w:ascii="仿宋_GB2312" w:hAnsi="仿宋_GB2312" w:eastAsia="仿宋_GB2312" w:cs="仿宋_GB2312"/>
                <w:sz w:val="28"/>
                <w:szCs w:val="28"/>
                <w:lang w:bidi="ar"/>
              </w:rPr>
              <w:t>4G/</w:t>
            </w:r>
            <w:r>
              <w:rPr>
                <w:rStyle w:val="59"/>
                <w:rFonts w:hint="eastAsia" w:ascii="仿宋_GB2312" w:hAnsi="仿宋_GB2312" w:eastAsia="仿宋_GB2312" w:cs="仿宋_GB2312"/>
                <w:sz w:val="28"/>
                <w:szCs w:val="28"/>
                <w:lang w:bidi="ar"/>
              </w:rPr>
              <w:t>可扩展</w:t>
            </w:r>
            <w:r>
              <w:rPr>
                <w:rStyle w:val="47"/>
                <w:rFonts w:hint="eastAsia" w:ascii="仿宋_GB2312" w:hAnsi="仿宋_GB2312" w:eastAsia="仿宋_GB2312" w:cs="仿宋_GB2312"/>
                <w:sz w:val="28"/>
                <w:szCs w:val="28"/>
                <w:lang w:bidi="ar"/>
              </w:rPr>
              <w:t xml:space="preserve"> 5G/</w:t>
            </w:r>
          </w:p>
          <w:p w14:paraId="645043F9">
            <w:pPr>
              <w:keepNext w:val="0"/>
              <w:keepLines w:val="0"/>
              <w:pageBreakBefore w:val="0"/>
              <w:widowControl/>
              <w:kinsoku/>
              <w:wordWrap/>
              <w:overflowPunct/>
              <w:topLinePunct w:val="0"/>
              <w:autoSpaceDE/>
              <w:autoSpaceDN/>
              <w:bidi w:val="0"/>
              <w:adjustRightInd/>
              <w:snapToGrid/>
              <w:spacing w:line="400" w:lineRule="exact"/>
              <w:jc w:val="both"/>
              <w:textAlignment w:val="bottom"/>
              <w:rPr>
                <w:rStyle w:val="47"/>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8.</w:t>
            </w:r>
            <w:r>
              <w:rPr>
                <w:rStyle w:val="59"/>
                <w:rFonts w:hint="eastAsia" w:ascii="仿宋_GB2312" w:hAnsi="仿宋_GB2312" w:eastAsia="仿宋_GB2312" w:cs="仿宋_GB2312"/>
                <w:sz w:val="28"/>
                <w:szCs w:val="28"/>
                <w:lang w:bidi="ar"/>
              </w:rPr>
              <w:t>整机功率：≤</w:t>
            </w:r>
            <w:r>
              <w:rPr>
                <w:rStyle w:val="47"/>
                <w:rFonts w:hint="eastAsia" w:ascii="仿宋_GB2312" w:hAnsi="仿宋_GB2312" w:eastAsia="仿宋_GB2312" w:cs="仿宋_GB2312"/>
                <w:sz w:val="28"/>
                <w:szCs w:val="28"/>
                <w:lang w:bidi="ar"/>
              </w:rPr>
              <w:t>60W</w:t>
            </w:r>
          </w:p>
          <w:p w14:paraId="49669C03">
            <w:pPr>
              <w:keepNext w:val="0"/>
              <w:keepLines w:val="0"/>
              <w:pageBreakBefore w:val="0"/>
              <w:widowControl/>
              <w:kinsoku/>
              <w:wordWrap/>
              <w:overflowPunct/>
              <w:topLinePunct w:val="0"/>
              <w:autoSpaceDE/>
              <w:autoSpaceDN/>
              <w:bidi w:val="0"/>
              <w:adjustRightInd/>
              <w:snapToGrid/>
              <w:spacing w:line="400" w:lineRule="exact"/>
              <w:jc w:val="both"/>
              <w:textAlignment w:val="bottom"/>
              <w:rPr>
                <w:rStyle w:val="47"/>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9.</w:t>
            </w:r>
            <w:r>
              <w:rPr>
                <w:rStyle w:val="59"/>
                <w:rFonts w:hint="eastAsia" w:ascii="仿宋_GB2312" w:hAnsi="仿宋_GB2312" w:eastAsia="仿宋_GB2312" w:cs="仿宋_GB2312"/>
                <w:sz w:val="28"/>
                <w:szCs w:val="28"/>
                <w:lang w:bidi="ar"/>
              </w:rPr>
              <w:t>电压：</w:t>
            </w:r>
            <w:r>
              <w:rPr>
                <w:rStyle w:val="47"/>
                <w:rFonts w:hint="eastAsia" w:ascii="仿宋_GB2312" w:hAnsi="仿宋_GB2312" w:eastAsia="仿宋_GB2312" w:cs="仿宋_GB2312"/>
                <w:sz w:val="28"/>
                <w:szCs w:val="28"/>
                <w:lang w:bidi="ar"/>
              </w:rPr>
              <w:t>220V/50HZ</w:t>
            </w:r>
          </w:p>
          <w:p w14:paraId="3C8DF67C">
            <w:pPr>
              <w:keepNext w:val="0"/>
              <w:keepLines w:val="0"/>
              <w:pageBreakBefore w:val="0"/>
              <w:widowControl/>
              <w:kinsoku/>
              <w:wordWrap/>
              <w:overflowPunct/>
              <w:topLinePunct w:val="0"/>
              <w:autoSpaceDE/>
              <w:autoSpaceDN/>
              <w:bidi w:val="0"/>
              <w:adjustRightInd/>
              <w:snapToGrid/>
              <w:spacing w:line="400" w:lineRule="exact"/>
              <w:jc w:val="both"/>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10.</w:t>
            </w:r>
            <w:r>
              <w:rPr>
                <w:rStyle w:val="59"/>
                <w:rFonts w:hint="eastAsia" w:ascii="仿宋_GB2312" w:hAnsi="仿宋_GB2312" w:eastAsia="仿宋_GB2312" w:cs="仿宋_GB2312"/>
                <w:sz w:val="28"/>
                <w:szCs w:val="28"/>
                <w:lang w:bidi="ar"/>
              </w:rPr>
              <w:t>漏电保护：有</w:t>
            </w:r>
          </w:p>
          <w:p w14:paraId="7DD4FE26">
            <w:pPr>
              <w:keepNext w:val="0"/>
              <w:keepLines w:val="0"/>
              <w:pageBreakBefore w:val="0"/>
              <w:widowControl/>
              <w:kinsoku/>
              <w:wordWrap/>
              <w:overflowPunct/>
              <w:topLinePunct w:val="0"/>
              <w:autoSpaceDE/>
              <w:autoSpaceDN/>
              <w:bidi w:val="0"/>
              <w:adjustRightInd/>
              <w:snapToGrid/>
              <w:spacing w:line="400" w:lineRule="exact"/>
              <w:jc w:val="both"/>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bidi="ar"/>
              </w:rPr>
              <w:t>软件操作系统参数</w:t>
            </w:r>
          </w:p>
          <w:p w14:paraId="23B4D826">
            <w:pPr>
              <w:keepNext w:val="0"/>
              <w:keepLines w:val="0"/>
              <w:pageBreakBefore w:val="0"/>
              <w:widowControl/>
              <w:kinsoku/>
              <w:wordWrap/>
              <w:overflowPunct/>
              <w:topLinePunct w:val="0"/>
              <w:autoSpaceDE/>
              <w:autoSpaceDN/>
              <w:bidi w:val="0"/>
              <w:adjustRightInd/>
              <w:snapToGrid/>
              <w:spacing w:line="400" w:lineRule="exact"/>
              <w:jc w:val="both"/>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eastAsia="zh-CN" w:bidi="ar"/>
              </w:rPr>
              <w:t>★</w:t>
            </w:r>
            <w:r>
              <w:rPr>
                <w:rStyle w:val="59"/>
                <w:rFonts w:hint="eastAsia" w:ascii="仿宋_GB2312" w:hAnsi="仿宋_GB2312" w:eastAsia="仿宋_GB2312" w:cs="仿宋_GB2312"/>
                <w:sz w:val="28"/>
                <w:szCs w:val="28"/>
                <w:lang w:bidi="ar"/>
              </w:rPr>
              <w:t>操作系统：</w:t>
            </w:r>
            <w:r>
              <w:rPr>
                <w:rStyle w:val="47"/>
                <w:rFonts w:hint="eastAsia" w:ascii="仿宋_GB2312" w:hAnsi="仿宋_GB2312" w:eastAsia="仿宋_GB2312" w:cs="仿宋_GB2312"/>
                <w:sz w:val="28"/>
                <w:szCs w:val="28"/>
                <w:lang w:bidi="ar"/>
              </w:rPr>
              <w:t xml:space="preserve">Google Android 5.1 </w:t>
            </w:r>
            <w:r>
              <w:rPr>
                <w:rStyle w:val="59"/>
                <w:rFonts w:hint="eastAsia" w:ascii="仿宋_GB2312" w:hAnsi="仿宋_GB2312" w:eastAsia="仿宋_GB2312" w:cs="仿宋_GB2312"/>
                <w:sz w:val="28"/>
                <w:szCs w:val="28"/>
                <w:lang w:bidi="ar"/>
              </w:rPr>
              <w:t>版本及以上</w:t>
            </w:r>
            <w:r>
              <w:rPr>
                <w:rStyle w:val="47"/>
                <w:rFonts w:hint="eastAsia" w:ascii="仿宋_GB2312" w:hAnsi="仿宋_GB2312" w:eastAsia="仿宋_GB2312" w:cs="仿宋_GB2312"/>
                <w:sz w:val="28"/>
                <w:szCs w:val="28"/>
                <w:lang w:bidi="ar"/>
              </w:rPr>
              <w:t xml:space="preserve"> </w:t>
            </w:r>
            <w:r>
              <w:rPr>
                <w:rStyle w:val="59"/>
                <w:rFonts w:hint="eastAsia" w:ascii="仿宋_GB2312" w:hAnsi="仿宋_GB2312" w:eastAsia="仿宋_GB2312" w:cs="仿宋_GB2312"/>
                <w:sz w:val="28"/>
                <w:szCs w:val="28"/>
                <w:lang w:bidi="ar"/>
              </w:rPr>
              <w:t>工具：系统自带时钟同步软件</w:t>
            </w:r>
          </w:p>
          <w:p w14:paraId="778CF6D7">
            <w:pPr>
              <w:keepNext w:val="0"/>
              <w:keepLines w:val="0"/>
              <w:pageBreakBefore w:val="0"/>
              <w:widowControl/>
              <w:kinsoku/>
              <w:wordWrap/>
              <w:overflowPunct/>
              <w:topLinePunct w:val="0"/>
              <w:autoSpaceDE/>
              <w:autoSpaceDN/>
              <w:bidi w:val="0"/>
              <w:adjustRightInd/>
              <w:snapToGrid/>
              <w:spacing w:line="400" w:lineRule="exact"/>
              <w:jc w:val="both"/>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eastAsia="zh-CN" w:bidi="ar"/>
              </w:rPr>
              <w:t>★</w:t>
            </w:r>
            <w:r>
              <w:rPr>
                <w:rStyle w:val="59"/>
                <w:rFonts w:hint="eastAsia" w:ascii="仿宋_GB2312" w:hAnsi="仿宋_GB2312" w:eastAsia="仿宋_GB2312" w:cs="仿宋_GB2312"/>
                <w:sz w:val="28"/>
                <w:szCs w:val="28"/>
                <w:lang w:bidi="ar"/>
              </w:rPr>
              <w:t>系统要求：</w:t>
            </w:r>
            <w:r>
              <w:rPr>
                <w:rStyle w:val="47"/>
                <w:rFonts w:hint="eastAsia" w:ascii="仿宋_GB2312" w:hAnsi="仿宋_GB2312" w:eastAsia="仿宋_GB2312" w:cs="仿宋_GB2312"/>
                <w:sz w:val="28"/>
                <w:szCs w:val="28"/>
                <w:lang w:bidi="ar"/>
              </w:rPr>
              <w:t xml:space="preserve">APK </w:t>
            </w:r>
            <w:r>
              <w:rPr>
                <w:rStyle w:val="59"/>
                <w:rFonts w:hint="eastAsia" w:ascii="仿宋_GB2312" w:hAnsi="仿宋_GB2312" w:eastAsia="仿宋_GB2312" w:cs="仿宋_GB2312"/>
                <w:sz w:val="28"/>
                <w:szCs w:val="28"/>
                <w:lang w:bidi="ar"/>
              </w:rPr>
              <w:t>安装器可进行产品定制开发，支持系统界面</w:t>
            </w:r>
            <w:r>
              <w:rPr>
                <w:rStyle w:val="47"/>
                <w:rFonts w:hint="eastAsia" w:ascii="仿宋_GB2312" w:hAnsi="仿宋_GB2312" w:eastAsia="仿宋_GB2312" w:cs="仿宋_GB2312"/>
                <w:sz w:val="28"/>
                <w:szCs w:val="28"/>
                <w:lang w:bidi="ar"/>
              </w:rPr>
              <w:t xml:space="preserve"> UI </w:t>
            </w:r>
            <w:r>
              <w:rPr>
                <w:rStyle w:val="59"/>
                <w:rFonts w:hint="eastAsia" w:ascii="仿宋_GB2312" w:hAnsi="仿宋_GB2312" w:eastAsia="仿宋_GB2312" w:cs="仿宋_GB2312"/>
                <w:sz w:val="28"/>
                <w:szCs w:val="28"/>
                <w:lang w:bidi="ar"/>
              </w:rPr>
              <w:t>定制，开机动画，开机</w:t>
            </w:r>
            <w:r>
              <w:rPr>
                <w:rStyle w:val="47"/>
                <w:rFonts w:hint="eastAsia" w:ascii="仿宋_GB2312" w:hAnsi="仿宋_GB2312" w:eastAsia="仿宋_GB2312" w:cs="仿宋_GB2312"/>
                <w:sz w:val="28"/>
                <w:szCs w:val="28"/>
                <w:lang w:bidi="ar"/>
              </w:rPr>
              <w:t xml:space="preserve"> LOGO</w:t>
            </w:r>
            <w:r>
              <w:rPr>
                <w:rStyle w:val="59"/>
                <w:rFonts w:hint="eastAsia" w:ascii="仿宋_GB2312" w:hAnsi="仿宋_GB2312" w:eastAsia="仿宋_GB2312" w:cs="仿宋_GB2312"/>
                <w:sz w:val="28"/>
                <w:szCs w:val="28"/>
                <w:lang w:bidi="ar"/>
              </w:rPr>
              <w:t>，功能裁剪，启动项管理，接口可开关。安卓版本程序升级在电脑升级或者插上</w:t>
            </w:r>
            <w:r>
              <w:rPr>
                <w:rStyle w:val="47"/>
                <w:rFonts w:hint="eastAsia" w:ascii="仿宋_GB2312" w:hAnsi="仿宋_GB2312" w:eastAsia="仿宋_GB2312" w:cs="仿宋_GB2312"/>
                <w:sz w:val="28"/>
                <w:szCs w:val="28"/>
                <w:lang w:bidi="ar"/>
              </w:rPr>
              <w:t xml:space="preserve"> U </w:t>
            </w:r>
            <w:r>
              <w:rPr>
                <w:rStyle w:val="59"/>
                <w:rFonts w:hint="eastAsia" w:ascii="仿宋_GB2312" w:hAnsi="仿宋_GB2312" w:eastAsia="仿宋_GB2312" w:cs="仿宋_GB2312"/>
                <w:sz w:val="28"/>
                <w:szCs w:val="28"/>
                <w:lang w:bidi="ar"/>
              </w:rPr>
              <w:t>盘</w:t>
            </w:r>
            <w:r>
              <w:rPr>
                <w:rStyle w:val="47"/>
                <w:rFonts w:hint="eastAsia" w:ascii="仿宋_GB2312" w:hAnsi="仿宋_GB2312" w:eastAsia="仿宋_GB2312" w:cs="仿宋_GB2312"/>
                <w:sz w:val="28"/>
                <w:szCs w:val="28"/>
                <w:lang w:bidi="ar"/>
              </w:rPr>
              <w:t xml:space="preserve"> </w:t>
            </w:r>
            <w:r>
              <w:rPr>
                <w:rStyle w:val="59"/>
                <w:rFonts w:hint="eastAsia" w:ascii="仿宋_GB2312" w:hAnsi="仿宋_GB2312" w:eastAsia="仿宋_GB2312" w:cs="仿宋_GB2312"/>
                <w:sz w:val="28"/>
                <w:szCs w:val="28"/>
                <w:lang w:bidi="ar"/>
              </w:rPr>
              <w:t>升级；系统崩溃重启机器可恢复。</w:t>
            </w:r>
          </w:p>
          <w:p w14:paraId="5235CEF0">
            <w:pPr>
              <w:pStyle w:val="2"/>
              <w:keepNext w:val="0"/>
              <w:keepLines w:val="0"/>
              <w:pageBreakBefore w:val="0"/>
              <w:widowControl/>
              <w:kinsoku/>
              <w:wordWrap/>
              <w:overflowPunct/>
              <w:topLinePunct w:val="0"/>
              <w:autoSpaceDE/>
              <w:autoSpaceDN/>
              <w:bidi w:val="0"/>
              <w:adjustRightInd/>
              <w:snapToGrid/>
              <w:spacing w:after="0" w:line="400" w:lineRule="exact"/>
              <w:jc w:val="both"/>
              <w:rPr>
                <w:rFonts w:hint="eastAsia" w:ascii="仿宋_GB2312" w:hAnsi="仿宋_GB2312" w:eastAsia="仿宋_GB2312" w:cs="仿宋_GB2312"/>
                <w:sz w:val="28"/>
                <w:szCs w:val="28"/>
              </w:rPr>
            </w:pPr>
            <w:r>
              <w:rPr>
                <w:rStyle w:val="59"/>
                <w:rFonts w:hint="eastAsia" w:ascii="仿宋_GB2312" w:hAnsi="仿宋_GB2312" w:eastAsia="仿宋_GB2312" w:cs="仿宋_GB2312"/>
                <w:sz w:val="28"/>
                <w:szCs w:val="28"/>
                <w:lang w:eastAsia="zh-CN" w:bidi="ar"/>
              </w:rPr>
              <w:t>★</w:t>
            </w:r>
            <w:r>
              <w:rPr>
                <w:rStyle w:val="59"/>
                <w:rFonts w:hint="eastAsia" w:ascii="仿宋_GB2312" w:hAnsi="仿宋_GB2312" w:eastAsia="仿宋_GB2312" w:cs="仿宋_GB2312"/>
                <w:sz w:val="28"/>
                <w:szCs w:val="28"/>
                <w:lang w:bidi="ar"/>
              </w:rPr>
              <w:t>智能积分礼品柜需对接中心APP软件系统提供远程后台礼品管理服务。</w:t>
            </w:r>
          </w:p>
        </w:tc>
        <w:tc>
          <w:tcPr>
            <w:tcW w:w="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B25E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Style w:val="47"/>
                <w:rFonts w:hint="eastAsia" w:ascii="仿宋_GB2312" w:hAnsi="仿宋_GB2312" w:eastAsia="仿宋_GB2312" w:cs="仿宋_GB2312"/>
                <w:sz w:val="28"/>
                <w:szCs w:val="28"/>
                <w:lang w:bidi="ar"/>
              </w:rPr>
              <w:t>23</w:t>
            </w:r>
            <w:r>
              <w:rPr>
                <w:rStyle w:val="59"/>
                <w:rFonts w:hint="eastAsia" w:ascii="仿宋_GB2312" w:hAnsi="仿宋_GB2312" w:eastAsia="仿宋_GB2312" w:cs="仿宋_GB2312"/>
                <w:sz w:val="28"/>
                <w:szCs w:val="28"/>
                <w:lang w:bidi="ar"/>
              </w:rPr>
              <w:t>台</w:t>
            </w:r>
          </w:p>
        </w:tc>
      </w:tr>
      <w:tr w14:paraId="1F9FBAA0">
        <w:tblPrEx>
          <w:tblCellMar>
            <w:top w:w="0" w:type="dxa"/>
            <w:left w:w="108" w:type="dxa"/>
            <w:bottom w:w="0" w:type="dxa"/>
            <w:right w:w="108" w:type="dxa"/>
          </w:tblCellMar>
        </w:tblPrEx>
        <w:trPr>
          <w:trHeight w:val="2657" w:hRule="atLeast"/>
          <w:jc w:val="center"/>
        </w:trPr>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09F71">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2</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C3E37">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Style w:val="59"/>
                <w:rFonts w:hint="eastAsia" w:ascii="仿宋_GB2312" w:hAnsi="仿宋_GB2312" w:eastAsia="仿宋_GB2312" w:cs="仿宋_GB2312"/>
                <w:sz w:val="28"/>
                <w:szCs w:val="28"/>
                <w:lang w:bidi="ar"/>
              </w:rPr>
              <w:t>电子血压仪</w:t>
            </w:r>
          </w:p>
        </w:tc>
        <w:tc>
          <w:tcPr>
            <w:tcW w:w="5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665C6">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val="en-US" w:eastAsia="zh-CN" w:bidi="ar"/>
              </w:rPr>
              <w:t>11.</w:t>
            </w:r>
            <w:r>
              <w:rPr>
                <w:rFonts w:hint="eastAsia" w:ascii="仿宋_GB2312" w:hAnsi="仿宋_GB2312" w:eastAsia="仿宋_GB2312" w:cs="仿宋_GB2312"/>
                <w:color w:val="000000"/>
                <w:kern w:val="0"/>
                <w:sz w:val="28"/>
                <w:szCs w:val="28"/>
                <w:lang w:bidi="ar"/>
              </w:rPr>
              <w:t>显示方式：数字式显示方式</w:t>
            </w:r>
          </w:p>
          <w:p w14:paraId="01234614">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val="en-US" w:eastAsia="zh-CN" w:bidi="ar"/>
              </w:rPr>
              <w:t>12.</w:t>
            </w:r>
            <w:r>
              <w:rPr>
                <w:rFonts w:hint="eastAsia" w:ascii="仿宋_GB2312" w:hAnsi="仿宋_GB2312" w:eastAsia="仿宋_GB2312" w:cs="仿宋_GB2312"/>
                <w:color w:val="000000"/>
                <w:kern w:val="0"/>
                <w:sz w:val="28"/>
                <w:szCs w:val="28"/>
                <w:lang w:bidi="ar"/>
              </w:rPr>
              <w:t>适用范围：适用于人体上臂部位的血压测量</w:t>
            </w:r>
          </w:p>
          <w:p w14:paraId="254C1A88">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val="en-US" w:eastAsia="zh-CN" w:bidi="ar"/>
              </w:rPr>
              <w:t>13.</w:t>
            </w:r>
            <w:r>
              <w:rPr>
                <w:rFonts w:hint="eastAsia" w:ascii="仿宋_GB2312" w:hAnsi="仿宋_GB2312" w:eastAsia="仿宋_GB2312" w:cs="仿宋_GB2312"/>
                <w:color w:val="000000"/>
                <w:kern w:val="0"/>
                <w:sz w:val="28"/>
                <w:szCs w:val="28"/>
                <w:lang w:bidi="ar"/>
              </w:rPr>
              <w:t>压力检测：智能自动检验</w:t>
            </w:r>
          </w:p>
          <w:p w14:paraId="71F5859B">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val="en-US" w:eastAsia="zh-CN" w:bidi="ar"/>
              </w:rPr>
              <w:t>14.</w:t>
            </w:r>
            <w:r>
              <w:rPr>
                <w:rFonts w:hint="eastAsia" w:ascii="仿宋_GB2312" w:hAnsi="仿宋_GB2312" w:eastAsia="仿宋_GB2312" w:cs="仿宋_GB2312"/>
                <w:color w:val="000000"/>
                <w:kern w:val="0"/>
                <w:sz w:val="28"/>
                <w:szCs w:val="28"/>
                <w:lang w:bidi="ar"/>
              </w:rPr>
              <w:t>测量范围：压力：0-299mmHg</w:t>
            </w:r>
          </w:p>
          <w:p w14:paraId="47F33E5F">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val="en-US" w:eastAsia="zh-CN" w:bidi="ar"/>
              </w:rPr>
              <w:t>15.</w:t>
            </w:r>
            <w:r>
              <w:rPr>
                <w:rFonts w:hint="eastAsia" w:ascii="仿宋_GB2312" w:hAnsi="仿宋_GB2312" w:eastAsia="仿宋_GB2312" w:cs="仿宋_GB2312"/>
                <w:color w:val="000000"/>
                <w:kern w:val="0"/>
                <w:sz w:val="28"/>
                <w:szCs w:val="28"/>
                <w:lang w:bidi="ar"/>
              </w:rPr>
              <w:t>压力测量精度：≤±3mmhg (±0.4kpa)</w:t>
            </w:r>
          </w:p>
          <w:p w14:paraId="6E22369A">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val="en-US" w:eastAsia="zh-CN" w:bidi="ar"/>
              </w:rPr>
              <w:t>16.</w:t>
            </w:r>
            <w:r>
              <w:rPr>
                <w:rFonts w:hint="eastAsia" w:ascii="仿宋_GB2312" w:hAnsi="仿宋_GB2312" w:eastAsia="仿宋_GB2312" w:cs="仿宋_GB2312"/>
                <w:color w:val="000000"/>
                <w:kern w:val="0"/>
                <w:sz w:val="28"/>
                <w:szCs w:val="28"/>
                <w:lang w:bidi="ar"/>
              </w:rPr>
              <w:t>脉搏测量精度：≤±5% 专用适配器（AC 220V）</w:t>
            </w:r>
          </w:p>
        </w:tc>
        <w:tc>
          <w:tcPr>
            <w:tcW w:w="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DD7E1">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Style w:val="59"/>
                <w:rFonts w:hint="eastAsia" w:ascii="仿宋_GB2312" w:hAnsi="仿宋_GB2312" w:eastAsia="仿宋_GB2312" w:cs="仿宋_GB2312"/>
                <w:sz w:val="28"/>
                <w:szCs w:val="28"/>
                <w:lang w:bidi="ar"/>
              </w:rPr>
              <w:t>23台</w:t>
            </w:r>
          </w:p>
        </w:tc>
      </w:tr>
      <w:tr w14:paraId="6DCE4E80">
        <w:tblPrEx>
          <w:tblCellMar>
            <w:top w:w="0" w:type="dxa"/>
            <w:left w:w="108" w:type="dxa"/>
            <w:bottom w:w="0" w:type="dxa"/>
            <w:right w:w="108" w:type="dxa"/>
          </w:tblCellMar>
        </w:tblPrEx>
        <w:trPr>
          <w:trHeight w:val="90" w:hRule="atLeast"/>
          <w:jc w:val="center"/>
        </w:trPr>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8D13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3</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B2292">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设备服务桌</w:t>
            </w:r>
          </w:p>
        </w:tc>
        <w:tc>
          <w:tcPr>
            <w:tcW w:w="534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0D6716C">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17.</w:t>
            </w:r>
            <w:r>
              <w:rPr>
                <w:rStyle w:val="59"/>
                <w:rFonts w:hint="eastAsia" w:ascii="仿宋_GB2312" w:hAnsi="仿宋_GB2312" w:eastAsia="仿宋_GB2312" w:cs="仿宋_GB2312"/>
                <w:sz w:val="28"/>
                <w:szCs w:val="28"/>
                <w:lang w:bidi="ar"/>
              </w:rPr>
              <w:t>材质：实木板材</w:t>
            </w:r>
          </w:p>
          <w:p w14:paraId="73E4082F">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47"/>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18.</w:t>
            </w:r>
            <w:r>
              <w:rPr>
                <w:rStyle w:val="59"/>
                <w:rFonts w:hint="eastAsia" w:ascii="仿宋_GB2312" w:hAnsi="仿宋_GB2312" w:eastAsia="仿宋_GB2312" w:cs="仿宋_GB2312"/>
                <w:sz w:val="28"/>
                <w:szCs w:val="28"/>
                <w:lang w:bidi="ar"/>
              </w:rPr>
              <w:t>外观尺寸：长</w:t>
            </w:r>
            <w:r>
              <w:rPr>
                <w:rStyle w:val="47"/>
                <w:rFonts w:hint="eastAsia" w:ascii="仿宋_GB2312" w:hAnsi="仿宋_GB2312" w:eastAsia="仿宋_GB2312" w:cs="仿宋_GB2312"/>
                <w:sz w:val="28"/>
                <w:szCs w:val="28"/>
                <w:lang w:bidi="ar"/>
              </w:rPr>
              <w:t xml:space="preserve"> 1200*</w:t>
            </w:r>
            <w:r>
              <w:rPr>
                <w:rStyle w:val="59"/>
                <w:rFonts w:hint="eastAsia" w:ascii="仿宋_GB2312" w:hAnsi="仿宋_GB2312" w:eastAsia="仿宋_GB2312" w:cs="仿宋_GB2312"/>
                <w:sz w:val="28"/>
                <w:szCs w:val="28"/>
                <w:lang w:bidi="ar"/>
              </w:rPr>
              <w:t>宽</w:t>
            </w:r>
            <w:r>
              <w:rPr>
                <w:rStyle w:val="47"/>
                <w:rFonts w:hint="eastAsia" w:ascii="仿宋_GB2312" w:hAnsi="仿宋_GB2312" w:eastAsia="仿宋_GB2312" w:cs="仿宋_GB2312"/>
                <w:sz w:val="28"/>
                <w:szCs w:val="28"/>
                <w:lang w:bidi="ar"/>
              </w:rPr>
              <w:t xml:space="preserve"> 500*</w:t>
            </w:r>
            <w:r>
              <w:rPr>
                <w:rStyle w:val="59"/>
                <w:rFonts w:hint="eastAsia" w:ascii="仿宋_GB2312" w:hAnsi="仿宋_GB2312" w:eastAsia="仿宋_GB2312" w:cs="仿宋_GB2312"/>
                <w:sz w:val="28"/>
                <w:szCs w:val="28"/>
                <w:lang w:bidi="ar"/>
              </w:rPr>
              <w:t>高</w:t>
            </w:r>
            <w:r>
              <w:rPr>
                <w:rStyle w:val="47"/>
                <w:rFonts w:hint="eastAsia" w:ascii="仿宋_GB2312" w:hAnsi="仿宋_GB2312" w:eastAsia="仿宋_GB2312" w:cs="仿宋_GB2312"/>
                <w:sz w:val="28"/>
                <w:szCs w:val="28"/>
                <w:lang w:bidi="ar"/>
              </w:rPr>
              <w:t xml:space="preserve"> 1050(mm)</w:t>
            </w:r>
          </w:p>
          <w:p w14:paraId="15E71FF8">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47"/>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19.</w:t>
            </w:r>
            <w:r>
              <w:rPr>
                <w:rStyle w:val="59"/>
                <w:rFonts w:hint="eastAsia" w:ascii="仿宋_GB2312" w:hAnsi="仿宋_GB2312" w:eastAsia="仿宋_GB2312" w:cs="仿宋_GB2312"/>
                <w:sz w:val="28"/>
                <w:szCs w:val="28"/>
                <w:lang w:bidi="ar"/>
              </w:rPr>
              <w:t>颜色：象牙白</w:t>
            </w:r>
            <w:r>
              <w:rPr>
                <w:rStyle w:val="47"/>
                <w:rFonts w:hint="eastAsia" w:ascii="仿宋_GB2312" w:hAnsi="仿宋_GB2312" w:eastAsia="仿宋_GB2312" w:cs="仿宋_GB2312"/>
                <w:sz w:val="28"/>
                <w:szCs w:val="28"/>
                <w:lang w:bidi="ar"/>
              </w:rPr>
              <w:t xml:space="preserve"> </w:t>
            </w:r>
            <w:r>
              <w:rPr>
                <w:rStyle w:val="59"/>
                <w:rFonts w:hint="eastAsia" w:ascii="仿宋_GB2312" w:hAnsi="仿宋_GB2312" w:eastAsia="仿宋_GB2312" w:cs="仿宋_GB2312"/>
                <w:sz w:val="28"/>
                <w:szCs w:val="28"/>
                <w:lang w:bidi="ar"/>
              </w:rPr>
              <w:t>格子：</w:t>
            </w:r>
            <w:r>
              <w:rPr>
                <w:rStyle w:val="47"/>
                <w:rFonts w:hint="eastAsia" w:ascii="仿宋_GB2312" w:hAnsi="仿宋_GB2312" w:eastAsia="仿宋_GB2312" w:cs="仿宋_GB2312"/>
                <w:sz w:val="28"/>
                <w:szCs w:val="28"/>
                <w:lang w:bidi="ar"/>
              </w:rPr>
              <w:t>4</w:t>
            </w:r>
          </w:p>
          <w:p w14:paraId="46C10BAC">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20.</w:t>
            </w:r>
            <w:r>
              <w:rPr>
                <w:rStyle w:val="59"/>
                <w:rFonts w:hint="eastAsia" w:ascii="仿宋_GB2312" w:hAnsi="仿宋_GB2312" w:eastAsia="仿宋_GB2312" w:cs="仿宋_GB2312"/>
                <w:sz w:val="28"/>
                <w:szCs w:val="28"/>
                <w:lang w:bidi="ar"/>
              </w:rPr>
              <w:t>组装：分体式可拆装</w:t>
            </w:r>
            <w:r>
              <w:rPr>
                <w:rStyle w:val="47"/>
                <w:rFonts w:hint="eastAsia" w:ascii="仿宋_GB2312" w:hAnsi="仿宋_GB2312" w:eastAsia="仿宋_GB2312" w:cs="仿宋_GB2312"/>
                <w:sz w:val="28"/>
                <w:szCs w:val="28"/>
                <w:lang w:bidi="ar"/>
              </w:rPr>
              <w:t xml:space="preserve"> </w:t>
            </w:r>
            <w:r>
              <w:rPr>
                <w:rStyle w:val="59"/>
                <w:rFonts w:hint="eastAsia" w:ascii="仿宋_GB2312" w:hAnsi="仿宋_GB2312" w:eastAsia="仿宋_GB2312" w:cs="仿宋_GB2312"/>
                <w:sz w:val="28"/>
                <w:szCs w:val="28"/>
                <w:lang w:bidi="ar"/>
              </w:rPr>
              <w:t>结构：支架</w:t>
            </w:r>
          </w:p>
          <w:p w14:paraId="3BE57ED7">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47"/>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21.</w:t>
            </w:r>
            <w:r>
              <w:rPr>
                <w:rStyle w:val="59"/>
                <w:rFonts w:hint="eastAsia" w:ascii="仿宋_GB2312" w:hAnsi="仿宋_GB2312" w:eastAsia="仿宋_GB2312" w:cs="仿宋_GB2312"/>
                <w:sz w:val="28"/>
                <w:szCs w:val="28"/>
                <w:lang w:bidi="ar"/>
              </w:rPr>
              <w:t>适用环境：室内</w:t>
            </w:r>
            <w:r>
              <w:rPr>
                <w:rStyle w:val="47"/>
                <w:rFonts w:hint="eastAsia" w:ascii="仿宋_GB2312" w:hAnsi="仿宋_GB2312" w:eastAsia="仿宋_GB2312" w:cs="仿宋_GB2312"/>
                <w:sz w:val="28"/>
                <w:szCs w:val="28"/>
                <w:lang w:bidi="ar"/>
              </w:rPr>
              <w:t xml:space="preserve"> </w:t>
            </w:r>
          </w:p>
          <w:p w14:paraId="7753DC6A">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59"/>
                <w:rFonts w:hint="eastAsia" w:ascii="仿宋_GB2312" w:hAnsi="仿宋_GB2312" w:eastAsia="仿宋_GB2312" w:cs="仿宋_GB2312"/>
                <w:sz w:val="28"/>
                <w:szCs w:val="28"/>
                <w:lang w:bidi="ar"/>
              </w:rPr>
            </w:pPr>
            <w:r>
              <w:rPr>
                <w:rStyle w:val="47"/>
                <w:rFonts w:hint="eastAsia" w:ascii="仿宋_GB2312" w:hAnsi="仿宋_GB2312" w:eastAsia="仿宋_GB2312" w:cs="仿宋_GB2312"/>
                <w:sz w:val="28"/>
                <w:szCs w:val="28"/>
                <w:lang w:val="en-US" w:eastAsia="zh-CN" w:bidi="ar"/>
              </w:rPr>
              <w:t>22.</w:t>
            </w:r>
            <w:r>
              <w:rPr>
                <w:rStyle w:val="59"/>
                <w:rFonts w:hint="eastAsia" w:ascii="仿宋_GB2312" w:hAnsi="仿宋_GB2312" w:eastAsia="仿宋_GB2312" w:cs="仿宋_GB2312"/>
                <w:sz w:val="28"/>
                <w:szCs w:val="28"/>
                <w:lang w:bidi="ar"/>
              </w:rPr>
              <w:t>桌架：二层</w:t>
            </w:r>
          </w:p>
          <w:p w14:paraId="70CF3E62">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47"/>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bidi="ar"/>
              </w:rPr>
              <w:t>上层格子：长</w:t>
            </w:r>
            <w:r>
              <w:rPr>
                <w:rStyle w:val="47"/>
                <w:rFonts w:hint="eastAsia" w:ascii="仿宋_GB2312" w:hAnsi="仿宋_GB2312" w:eastAsia="仿宋_GB2312" w:cs="仿宋_GB2312"/>
                <w:sz w:val="28"/>
                <w:szCs w:val="28"/>
                <w:lang w:bidi="ar"/>
              </w:rPr>
              <w:t xml:space="preserve"> 27cm*</w:t>
            </w:r>
            <w:r>
              <w:rPr>
                <w:rStyle w:val="59"/>
                <w:rFonts w:hint="eastAsia" w:ascii="仿宋_GB2312" w:hAnsi="仿宋_GB2312" w:eastAsia="仿宋_GB2312" w:cs="仿宋_GB2312"/>
                <w:sz w:val="28"/>
                <w:szCs w:val="28"/>
                <w:lang w:bidi="ar"/>
              </w:rPr>
              <w:t>宽</w:t>
            </w:r>
            <w:r>
              <w:rPr>
                <w:rStyle w:val="47"/>
                <w:rFonts w:hint="eastAsia" w:ascii="仿宋_GB2312" w:hAnsi="仿宋_GB2312" w:eastAsia="仿宋_GB2312" w:cs="仿宋_GB2312"/>
                <w:sz w:val="28"/>
                <w:szCs w:val="28"/>
                <w:lang w:bidi="ar"/>
              </w:rPr>
              <w:t xml:space="preserve"> 20cm*</w:t>
            </w:r>
            <w:r>
              <w:rPr>
                <w:rStyle w:val="59"/>
                <w:rFonts w:hint="eastAsia" w:ascii="仿宋_GB2312" w:hAnsi="仿宋_GB2312" w:eastAsia="仿宋_GB2312" w:cs="仿宋_GB2312"/>
                <w:sz w:val="28"/>
                <w:szCs w:val="28"/>
                <w:lang w:bidi="ar"/>
              </w:rPr>
              <w:t>高</w:t>
            </w:r>
            <w:r>
              <w:rPr>
                <w:rStyle w:val="47"/>
                <w:rFonts w:hint="eastAsia" w:ascii="仿宋_GB2312" w:hAnsi="仿宋_GB2312" w:eastAsia="仿宋_GB2312" w:cs="仿宋_GB2312"/>
                <w:sz w:val="28"/>
                <w:szCs w:val="28"/>
                <w:lang w:bidi="ar"/>
              </w:rPr>
              <w:t xml:space="preserve"> 15cm </w:t>
            </w:r>
          </w:p>
          <w:p w14:paraId="24397AA6">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47"/>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bidi="ar"/>
              </w:rPr>
              <w:t>下层格子：长</w:t>
            </w:r>
            <w:r>
              <w:rPr>
                <w:rStyle w:val="47"/>
                <w:rFonts w:hint="eastAsia" w:ascii="仿宋_GB2312" w:hAnsi="仿宋_GB2312" w:eastAsia="仿宋_GB2312" w:cs="仿宋_GB2312"/>
                <w:sz w:val="28"/>
                <w:szCs w:val="28"/>
                <w:lang w:bidi="ar"/>
              </w:rPr>
              <w:t xml:space="preserve"> 27cm*</w:t>
            </w:r>
            <w:r>
              <w:rPr>
                <w:rStyle w:val="59"/>
                <w:rFonts w:hint="eastAsia" w:ascii="仿宋_GB2312" w:hAnsi="仿宋_GB2312" w:eastAsia="仿宋_GB2312" w:cs="仿宋_GB2312"/>
                <w:sz w:val="28"/>
                <w:szCs w:val="28"/>
                <w:lang w:bidi="ar"/>
              </w:rPr>
              <w:t>宽</w:t>
            </w:r>
            <w:r>
              <w:rPr>
                <w:rStyle w:val="47"/>
                <w:rFonts w:hint="eastAsia" w:ascii="仿宋_GB2312" w:hAnsi="仿宋_GB2312" w:eastAsia="仿宋_GB2312" w:cs="仿宋_GB2312"/>
                <w:sz w:val="28"/>
                <w:szCs w:val="28"/>
                <w:lang w:bidi="ar"/>
              </w:rPr>
              <w:t xml:space="preserve"> 50cm*</w:t>
            </w:r>
            <w:r>
              <w:rPr>
                <w:rStyle w:val="59"/>
                <w:rFonts w:hint="eastAsia" w:ascii="仿宋_GB2312" w:hAnsi="仿宋_GB2312" w:eastAsia="仿宋_GB2312" w:cs="仿宋_GB2312"/>
                <w:sz w:val="28"/>
                <w:szCs w:val="28"/>
                <w:lang w:bidi="ar"/>
              </w:rPr>
              <w:t>高</w:t>
            </w:r>
            <w:r>
              <w:rPr>
                <w:rStyle w:val="47"/>
                <w:rFonts w:hint="eastAsia" w:ascii="仿宋_GB2312" w:hAnsi="仿宋_GB2312" w:eastAsia="仿宋_GB2312" w:cs="仿宋_GB2312"/>
                <w:sz w:val="28"/>
                <w:szCs w:val="28"/>
                <w:lang w:bidi="ar"/>
              </w:rPr>
              <w:t xml:space="preserve"> 15cm </w:t>
            </w:r>
          </w:p>
          <w:p w14:paraId="141D86D5">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23.</w:t>
            </w:r>
            <w:r>
              <w:rPr>
                <w:rStyle w:val="59"/>
                <w:rFonts w:hint="eastAsia" w:ascii="仿宋_GB2312" w:hAnsi="仿宋_GB2312" w:eastAsia="仿宋_GB2312" w:cs="仿宋_GB2312"/>
                <w:sz w:val="28"/>
                <w:szCs w:val="28"/>
                <w:lang w:bidi="ar"/>
              </w:rPr>
              <w:t>材质：整个产品为实木板。</w:t>
            </w:r>
          </w:p>
          <w:p w14:paraId="4A402DBC">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bidi="ar"/>
              </w:rPr>
              <w:t>木质坚韧，质地光洁。</w:t>
            </w:r>
          </w:p>
          <w:p w14:paraId="45409850">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bidi="ar"/>
              </w:rPr>
              <w:t>辅材耐腐蚀、耐磨、耐高温，不变形，不</w:t>
            </w:r>
            <w:r>
              <w:rPr>
                <w:rStyle w:val="47"/>
                <w:rFonts w:hint="eastAsia" w:ascii="仿宋_GB2312" w:hAnsi="仿宋_GB2312" w:eastAsia="仿宋_GB2312" w:cs="仿宋_GB2312"/>
                <w:sz w:val="28"/>
                <w:szCs w:val="28"/>
                <w:lang w:bidi="ar"/>
              </w:rPr>
              <w:t xml:space="preserve"> </w:t>
            </w:r>
            <w:r>
              <w:rPr>
                <w:rStyle w:val="59"/>
                <w:rFonts w:hint="eastAsia" w:ascii="仿宋_GB2312" w:hAnsi="仿宋_GB2312" w:eastAsia="仿宋_GB2312" w:cs="仿宋_GB2312"/>
                <w:sz w:val="28"/>
                <w:szCs w:val="28"/>
                <w:lang w:bidi="ar"/>
              </w:rPr>
              <w:t>易发霉。</w:t>
            </w:r>
          </w:p>
          <w:p w14:paraId="5190701D">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47"/>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24.</w:t>
            </w:r>
            <w:r>
              <w:rPr>
                <w:rStyle w:val="59"/>
                <w:rFonts w:hint="eastAsia" w:ascii="仿宋_GB2312" w:hAnsi="仿宋_GB2312" w:eastAsia="仿宋_GB2312" w:cs="仿宋_GB2312"/>
                <w:sz w:val="28"/>
                <w:szCs w:val="28"/>
                <w:lang w:bidi="ar"/>
              </w:rPr>
              <w:t>油漆：采用净味油漆，开放式喷涂，天然环保。</w:t>
            </w:r>
            <w:r>
              <w:rPr>
                <w:rStyle w:val="47"/>
                <w:rFonts w:hint="eastAsia" w:ascii="仿宋_GB2312" w:hAnsi="仿宋_GB2312" w:eastAsia="仿宋_GB2312" w:cs="仿宋_GB2312"/>
                <w:sz w:val="28"/>
                <w:szCs w:val="28"/>
                <w:lang w:bidi="ar"/>
              </w:rPr>
              <w:t xml:space="preserve"> </w:t>
            </w:r>
          </w:p>
          <w:p w14:paraId="3B0BD241">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25.</w:t>
            </w:r>
            <w:r>
              <w:rPr>
                <w:rStyle w:val="59"/>
                <w:rFonts w:hint="eastAsia" w:ascii="仿宋_GB2312" w:hAnsi="仿宋_GB2312" w:eastAsia="仿宋_GB2312" w:cs="仿宋_GB2312"/>
                <w:sz w:val="28"/>
                <w:szCs w:val="28"/>
                <w:lang w:bidi="ar"/>
              </w:rPr>
              <w:t>充电系统</w:t>
            </w:r>
          </w:p>
          <w:p w14:paraId="16366046">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bidi="ar"/>
              </w:rPr>
              <w:t>五孔插座：</w:t>
            </w:r>
            <w:r>
              <w:rPr>
                <w:rStyle w:val="47"/>
                <w:rFonts w:hint="eastAsia" w:ascii="仿宋_GB2312" w:hAnsi="仿宋_GB2312" w:eastAsia="仿宋_GB2312" w:cs="仿宋_GB2312"/>
                <w:sz w:val="28"/>
                <w:szCs w:val="28"/>
                <w:lang w:bidi="ar"/>
              </w:rPr>
              <w:t xml:space="preserve">1 </w:t>
            </w:r>
            <w:r>
              <w:rPr>
                <w:rStyle w:val="59"/>
                <w:rFonts w:hint="eastAsia" w:ascii="仿宋_GB2312" w:hAnsi="仿宋_GB2312" w:eastAsia="仿宋_GB2312" w:cs="仿宋_GB2312"/>
                <w:sz w:val="28"/>
                <w:szCs w:val="28"/>
                <w:lang w:bidi="ar"/>
              </w:rPr>
              <w:t>组</w:t>
            </w:r>
          </w:p>
          <w:p w14:paraId="3F1CA2ED">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bidi="ar"/>
              </w:rPr>
              <w:t>数据线数量：</w:t>
            </w:r>
            <w:r>
              <w:rPr>
                <w:rStyle w:val="47"/>
                <w:rFonts w:hint="eastAsia" w:ascii="仿宋_GB2312" w:hAnsi="仿宋_GB2312" w:eastAsia="仿宋_GB2312" w:cs="仿宋_GB2312"/>
                <w:sz w:val="28"/>
                <w:szCs w:val="28"/>
                <w:lang w:bidi="ar"/>
              </w:rPr>
              <w:t xml:space="preserve">2 </w:t>
            </w:r>
            <w:r>
              <w:rPr>
                <w:rStyle w:val="59"/>
                <w:rFonts w:hint="eastAsia" w:ascii="仿宋_GB2312" w:hAnsi="仿宋_GB2312" w:eastAsia="仿宋_GB2312" w:cs="仿宋_GB2312"/>
                <w:sz w:val="28"/>
                <w:szCs w:val="28"/>
                <w:lang w:bidi="ar"/>
              </w:rPr>
              <w:t>条</w:t>
            </w:r>
            <w:r>
              <w:rPr>
                <w:rStyle w:val="47"/>
                <w:rFonts w:hint="eastAsia" w:ascii="仿宋_GB2312" w:hAnsi="仿宋_GB2312" w:eastAsia="仿宋_GB2312" w:cs="仿宋_GB2312"/>
                <w:sz w:val="28"/>
                <w:szCs w:val="28"/>
                <w:lang w:bidi="ar"/>
              </w:rPr>
              <w:t xml:space="preserve"> 3 </w:t>
            </w:r>
            <w:r>
              <w:rPr>
                <w:rStyle w:val="59"/>
                <w:rFonts w:hint="eastAsia" w:ascii="仿宋_GB2312" w:hAnsi="仿宋_GB2312" w:eastAsia="仿宋_GB2312" w:cs="仿宋_GB2312"/>
                <w:sz w:val="28"/>
                <w:szCs w:val="28"/>
                <w:lang w:bidi="ar"/>
              </w:rPr>
              <w:t>口充电线</w:t>
            </w:r>
          </w:p>
          <w:p w14:paraId="01E2E1A8">
            <w:pPr>
              <w:keepNext w:val="0"/>
              <w:keepLines w:val="0"/>
              <w:pageBreakBefore w:val="0"/>
              <w:widowControl/>
              <w:kinsoku/>
              <w:wordWrap/>
              <w:overflowPunct/>
              <w:topLinePunct w:val="0"/>
              <w:autoSpaceDE/>
              <w:autoSpaceDN/>
              <w:bidi w:val="0"/>
              <w:adjustRightInd/>
              <w:snapToGrid/>
              <w:spacing w:line="400" w:lineRule="exact"/>
              <w:jc w:val="left"/>
              <w:textAlignment w:val="bottom"/>
              <w:rPr>
                <w:rFonts w:hint="eastAsia" w:ascii="仿宋_GB2312" w:hAnsi="仿宋_GB2312" w:eastAsia="仿宋_GB2312" w:cs="仿宋_GB2312"/>
                <w:color w:val="000000"/>
                <w:sz w:val="28"/>
                <w:szCs w:val="28"/>
              </w:rPr>
            </w:pPr>
            <w:r>
              <w:rPr>
                <w:rStyle w:val="59"/>
                <w:rFonts w:hint="eastAsia" w:ascii="仿宋_GB2312" w:hAnsi="仿宋_GB2312" w:eastAsia="仿宋_GB2312" w:cs="仿宋_GB2312"/>
                <w:sz w:val="28"/>
                <w:szCs w:val="28"/>
                <w:lang w:bidi="ar"/>
              </w:rPr>
              <w:t>数据线类型：苹果</w:t>
            </w:r>
            <w:r>
              <w:rPr>
                <w:rStyle w:val="47"/>
                <w:rFonts w:hint="eastAsia" w:ascii="仿宋_GB2312" w:hAnsi="仿宋_GB2312" w:eastAsia="仿宋_GB2312" w:cs="仿宋_GB2312"/>
                <w:sz w:val="28"/>
                <w:szCs w:val="28"/>
                <w:lang w:bidi="ar"/>
              </w:rPr>
              <w:t>/</w:t>
            </w:r>
            <w:r>
              <w:rPr>
                <w:rStyle w:val="59"/>
                <w:rFonts w:hint="eastAsia" w:ascii="仿宋_GB2312" w:hAnsi="仿宋_GB2312" w:eastAsia="仿宋_GB2312" w:cs="仿宋_GB2312"/>
                <w:sz w:val="28"/>
                <w:szCs w:val="28"/>
                <w:lang w:bidi="ar"/>
              </w:rPr>
              <w:t>安卓</w:t>
            </w:r>
            <w:r>
              <w:rPr>
                <w:rStyle w:val="47"/>
                <w:rFonts w:hint="eastAsia" w:ascii="仿宋_GB2312" w:hAnsi="仿宋_GB2312" w:eastAsia="仿宋_GB2312" w:cs="仿宋_GB2312"/>
                <w:sz w:val="28"/>
                <w:szCs w:val="28"/>
                <w:lang w:bidi="ar"/>
              </w:rPr>
              <w:t>/type-c</w:t>
            </w:r>
          </w:p>
        </w:tc>
        <w:tc>
          <w:tcPr>
            <w:tcW w:w="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69EA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Style w:val="46"/>
                <w:rFonts w:hint="eastAsia" w:ascii="仿宋_GB2312" w:hAnsi="仿宋_GB2312" w:eastAsia="仿宋_GB2312" w:cs="仿宋_GB2312"/>
                <w:sz w:val="28"/>
                <w:szCs w:val="28"/>
                <w:lang w:bidi="ar"/>
              </w:rPr>
              <w:t>23</w:t>
            </w:r>
            <w:r>
              <w:rPr>
                <w:rStyle w:val="60"/>
                <w:rFonts w:hint="eastAsia" w:ascii="仿宋_GB2312" w:hAnsi="仿宋_GB2312" w:eastAsia="仿宋_GB2312" w:cs="仿宋_GB2312"/>
                <w:sz w:val="28"/>
                <w:szCs w:val="28"/>
                <w:lang w:bidi="ar"/>
              </w:rPr>
              <w:t xml:space="preserve"> 张</w:t>
            </w:r>
          </w:p>
        </w:tc>
      </w:tr>
      <w:tr w14:paraId="5F32CB3B">
        <w:tblPrEx>
          <w:tblCellMar>
            <w:top w:w="0" w:type="dxa"/>
            <w:left w:w="108" w:type="dxa"/>
            <w:bottom w:w="0" w:type="dxa"/>
            <w:right w:w="108" w:type="dxa"/>
          </w:tblCellMar>
        </w:tblPrEx>
        <w:trPr>
          <w:trHeight w:val="183" w:hRule="atLeast"/>
          <w:jc w:val="center"/>
        </w:trPr>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BD6A2">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4</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BFBEC">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Style w:val="46"/>
                <w:rFonts w:hint="eastAsia" w:ascii="仿宋_GB2312" w:hAnsi="仿宋_GB2312" w:eastAsia="仿宋_GB2312" w:cs="仿宋_GB2312"/>
                <w:sz w:val="28"/>
                <w:szCs w:val="28"/>
                <w:lang w:bidi="ar"/>
              </w:rPr>
              <w:t>身高</w:t>
            </w:r>
            <w:r>
              <w:rPr>
                <w:rStyle w:val="60"/>
                <w:rFonts w:hint="eastAsia" w:ascii="仿宋_GB2312" w:hAnsi="仿宋_GB2312" w:eastAsia="仿宋_GB2312" w:cs="仿宋_GB2312"/>
                <w:sz w:val="28"/>
                <w:szCs w:val="28"/>
                <w:lang w:bidi="ar"/>
              </w:rPr>
              <w:t>体脂秤</w:t>
            </w:r>
          </w:p>
        </w:tc>
        <w:tc>
          <w:tcPr>
            <w:tcW w:w="534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7699F0E">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26.</w:t>
            </w:r>
            <w:r>
              <w:rPr>
                <w:rStyle w:val="59"/>
                <w:rFonts w:hint="eastAsia" w:ascii="仿宋_GB2312" w:hAnsi="仿宋_GB2312" w:eastAsia="仿宋_GB2312" w:cs="仿宋_GB2312"/>
                <w:sz w:val="28"/>
                <w:szCs w:val="28"/>
                <w:lang w:bidi="ar"/>
              </w:rPr>
              <w:t>身高测量方式：超声波自助感应测量</w:t>
            </w:r>
          </w:p>
          <w:p w14:paraId="137769CD">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27.</w:t>
            </w:r>
            <w:r>
              <w:rPr>
                <w:rStyle w:val="59"/>
                <w:rFonts w:hint="eastAsia" w:ascii="仿宋_GB2312" w:hAnsi="仿宋_GB2312" w:eastAsia="仿宋_GB2312" w:cs="仿宋_GB2312"/>
                <w:sz w:val="28"/>
                <w:szCs w:val="28"/>
                <w:lang w:bidi="ar"/>
              </w:rPr>
              <w:t>体重</w:t>
            </w:r>
            <w:r>
              <w:rPr>
                <w:rStyle w:val="47"/>
                <w:rFonts w:hint="eastAsia" w:ascii="仿宋_GB2312" w:hAnsi="仿宋_GB2312" w:eastAsia="仿宋_GB2312" w:cs="仿宋_GB2312"/>
                <w:sz w:val="28"/>
                <w:szCs w:val="28"/>
                <w:lang w:bidi="ar"/>
              </w:rPr>
              <w:t>/</w:t>
            </w:r>
            <w:r>
              <w:rPr>
                <w:rStyle w:val="59"/>
                <w:rFonts w:hint="eastAsia" w:ascii="仿宋_GB2312" w:hAnsi="仿宋_GB2312" w:eastAsia="仿宋_GB2312" w:cs="仿宋_GB2312"/>
                <w:sz w:val="28"/>
                <w:szCs w:val="28"/>
                <w:lang w:bidi="ar"/>
              </w:rPr>
              <w:t>脂肪测量方式：自助上秤</w:t>
            </w:r>
            <w:r>
              <w:rPr>
                <w:rStyle w:val="47"/>
                <w:rFonts w:hint="eastAsia" w:ascii="仿宋_GB2312" w:hAnsi="仿宋_GB2312" w:eastAsia="仿宋_GB2312" w:cs="仿宋_GB2312"/>
                <w:sz w:val="28"/>
                <w:szCs w:val="28"/>
                <w:lang w:bidi="ar"/>
              </w:rPr>
              <w:t>/</w:t>
            </w:r>
            <w:r>
              <w:rPr>
                <w:rStyle w:val="59"/>
                <w:rFonts w:hint="eastAsia" w:ascii="仿宋_GB2312" w:hAnsi="仿宋_GB2312" w:eastAsia="仿宋_GB2312" w:cs="仿宋_GB2312"/>
                <w:sz w:val="28"/>
                <w:szCs w:val="28"/>
                <w:lang w:bidi="ar"/>
              </w:rPr>
              <w:t>数据设定测量</w:t>
            </w:r>
          </w:p>
          <w:p w14:paraId="2B5B9056">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47"/>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28.</w:t>
            </w:r>
            <w:r>
              <w:rPr>
                <w:rStyle w:val="59"/>
                <w:rFonts w:hint="eastAsia" w:ascii="仿宋_GB2312" w:hAnsi="仿宋_GB2312" w:eastAsia="仿宋_GB2312" w:cs="仿宋_GB2312"/>
                <w:sz w:val="28"/>
                <w:szCs w:val="28"/>
                <w:lang w:bidi="ar"/>
              </w:rPr>
              <w:t>测量范围：体重：≥</w:t>
            </w:r>
            <w:r>
              <w:rPr>
                <w:rStyle w:val="47"/>
                <w:rFonts w:hint="eastAsia" w:ascii="仿宋_GB2312" w:hAnsi="仿宋_GB2312" w:eastAsia="仿宋_GB2312" w:cs="仿宋_GB2312"/>
                <w:sz w:val="28"/>
                <w:szCs w:val="28"/>
                <w:lang w:bidi="ar"/>
              </w:rPr>
              <w:t>3-200kg</w:t>
            </w:r>
          </w:p>
          <w:p w14:paraId="55690B09">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47"/>
                <w:rFonts w:hint="eastAsia" w:ascii="仿宋_GB2312" w:hAnsi="仿宋_GB2312" w:eastAsia="仿宋_GB2312" w:cs="仿宋_GB2312"/>
                <w:sz w:val="28"/>
                <w:szCs w:val="28"/>
                <w:lang w:bidi="ar"/>
              </w:rPr>
            </w:pPr>
            <w:r>
              <w:rPr>
                <w:rStyle w:val="47"/>
                <w:rFonts w:hint="eastAsia" w:ascii="仿宋_GB2312" w:hAnsi="仿宋_GB2312" w:eastAsia="仿宋_GB2312" w:cs="仿宋_GB2312"/>
                <w:sz w:val="28"/>
                <w:szCs w:val="28"/>
                <w:lang w:val="en-US" w:eastAsia="zh-CN" w:bidi="ar"/>
              </w:rPr>
              <w:t>29.</w:t>
            </w:r>
            <w:r>
              <w:rPr>
                <w:rStyle w:val="59"/>
                <w:rFonts w:hint="eastAsia" w:ascii="仿宋_GB2312" w:hAnsi="仿宋_GB2312" w:eastAsia="仿宋_GB2312" w:cs="仿宋_GB2312"/>
                <w:sz w:val="28"/>
                <w:szCs w:val="28"/>
                <w:lang w:bidi="ar"/>
              </w:rPr>
              <w:t>身高：≥</w:t>
            </w:r>
            <w:r>
              <w:rPr>
                <w:rStyle w:val="47"/>
                <w:rFonts w:hint="eastAsia" w:ascii="仿宋_GB2312" w:hAnsi="仿宋_GB2312" w:eastAsia="仿宋_GB2312" w:cs="仿宋_GB2312"/>
                <w:sz w:val="28"/>
                <w:szCs w:val="28"/>
                <w:lang w:bidi="ar"/>
              </w:rPr>
              <w:t>80-195cm</w:t>
            </w:r>
          </w:p>
          <w:p w14:paraId="34DEE0A0">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47"/>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30.</w:t>
            </w:r>
            <w:r>
              <w:rPr>
                <w:rStyle w:val="59"/>
                <w:rFonts w:hint="eastAsia" w:ascii="仿宋_GB2312" w:hAnsi="仿宋_GB2312" w:eastAsia="仿宋_GB2312" w:cs="仿宋_GB2312"/>
                <w:sz w:val="28"/>
                <w:szCs w:val="28"/>
                <w:lang w:bidi="ar"/>
              </w:rPr>
              <w:t>精度：体重分度值≤</w:t>
            </w:r>
            <w:r>
              <w:rPr>
                <w:rStyle w:val="47"/>
                <w:rFonts w:hint="eastAsia" w:ascii="仿宋_GB2312" w:hAnsi="仿宋_GB2312" w:eastAsia="仿宋_GB2312" w:cs="仿宋_GB2312"/>
                <w:sz w:val="28"/>
                <w:szCs w:val="28"/>
                <w:lang w:bidi="ar"/>
              </w:rPr>
              <w:t>50g</w:t>
            </w:r>
            <w:r>
              <w:rPr>
                <w:rStyle w:val="59"/>
                <w:rFonts w:hint="eastAsia" w:ascii="仿宋_GB2312" w:hAnsi="仿宋_GB2312" w:eastAsia="仿宋_GB2312" w:cs="仿宋_GB2312"/>
                <w:sz w:val="28"/>
                <w:szCs w:val="28"/>
                <w:lang w:bidi="ar"/>
              </w:rPr>
              <w:t>、误差≤±</w:t>
            </w:r>
            <w:r>
              <w:rPr>
                <w:rStyle w:val="47"/>
                <w:rFonts w:hint="eastAsia" w:ascii="仿宋_GB2312" w:hAnsi="仿宋_GB2312" w:eastAsia="仿宋_GB2312" w:cs="仿宋_GB2312"/>
                <w:sz w:val="28"/>
                <w:szCs w:val="28"/>
                <w:lang w:bidi="ar"/>
              </w:rPr>
              <w:t xml:space="preserve">300g </w:t>
            </w:r>
            <w:r>
              <w:rPr>
                <w:rStyle w:val="59"/>
                <w:rFonts w:hint="eastAsia" w:ascii="仿宋_GB2312" w:hAnsi="仿宋_GB2312" w:eastAsia="仿宋_GB2312" w:cs="仿宋_GB2312"/>
                <w:sz w:val="28"/>
                <w:szCs w:val="28"/>
                <w:lang w:bidi="ar"/>
              </w:rPr>
              <w:t>身</w:t>
            </w:r>
            <w:r>
              <w:rPr>
                <w:rStyle w:val="47"/>
                <w:rFonts w:hint="eastAsia" w:ascii="仿宋_GB2312" w:hAnsi="仿宋_GB2312" w:eastAsia="仿宋_GB2312" w:cs="仿宋_GB2312"/>
                <w:sz w:val="28"/>
                <w:szCs w:val="28"/>
                <w:lang w:bidi="ar"/>
              </w:rPr>
              <w:t xml:space="preserve"> </w:t>
            </w:r>
            <w:r>
              <w:rPr>
                <w:rStyle w:val="59"/>
                <w:rFonts w:hint="eastAsia" w:ascii="仿宋_GB2312" w:hAnsi="仿宋_GB2312" w:eastAsia="仿宋_GB2312" w:cs="仿宋_GB2312"/>
                <w:sz w:val="28"/>
                <w:szCs w:val="28"/>
                <w:lang w:bidi="ar"/>
              </w:rPr>
              <w:t>高分度值≤</w:t>
            </w:r>
            <w:r>
              <w:rPr>
                <w:rStyle w:val="47"/>
                <w:rFonts w:hint="eastAsia" w:ascii="仿宋_GB2312" w:hAnsi="仿宋_GB2312" w:eastAsia="仿宋_GB2312" w:cs="仿宋_GB2312"/>
                <w:sz w:val="28"/>
                <w:szCs w:val="28"/>
                <w:lang w:bidi="ar"/>
              </w:rPr>
              <w:t>0.5cm</w:t>
            </w:r>
            <w:r>
              <w:rPr>
                <w:rStyle w:val="59"/>
                <w:rFonts w:hint="eastAsia" w:ascii="仿宋_GB2312" w:hAnsi="仿宋_GB2312" w:eastAsia="仿宋_GB2312" w:cs="仿宋_GB2312"/>
                <w:sz w:val="28"/>
                <w:szCs w:val="28"/>
                <w:lang w:bidi="ar"/>
              </w:rPr>
              <w:t>、误差≤±</w:t>
            </w:r>
            <w:r>
              <w:rPr>
                <w:rStyle w:val="47"/>
                <w:rFonts w:hint="eastAsia" w:ascii="仿宋_GB2312" w:hAnsi="仿宋_GB2312" w:eastAsia="仿宋_GB2312" w:cs="仿宋_GB2312"/>
                <w:sz w:val="28"/>
                <w:szCs w:val="28"/>
                <w:lang w:bidi="ar"/>
              </w:rPr>
              <w:t>0.5cm</w:t>
            </w:r>
          </w:p>
          <w:p w14:paraId="40F2390B">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31.</w:t>
            </w:r>
            <w:r>
              <w:rPr>
                <w:rStyle w:val="59"/>
                <w:rFonts w:hint="eastAsia" w:ascii="仿宋_GB2312" w:hAnsi="仿宋_GB2312" w:eastAsia="仿宋_GB2312" w:cs="仿宋_GB2312"/>
                <w:sz w:val="28"/>
                <w:szCs w:val="28"/>
                <w:lang w:bidi="ar"/>
              </w:rPr>
              <w:t>显示屏：≥</w:t>
            </w:r>
            <w:r>
              <w:rPr>
                <w:rStyle w:val="47"/>
                <w:rFonts w:hint="eastAsia" w:ascii="仿宋_GB2312" w:hAnsi="仿宋_GB2312" w:eastAsia="仿宋_GB2312" w:cs="仿宋_GB2312"/>
                <w:sz w:val="28"/>
                <w:szCs w:val="28"/>
                <w:lang w:bidi="ar"/>
              </w:rPr>
              <w:t xml:space="preserve"> 105</w:t>
            </w:r>
            <w:r>
              <w:rPr>
                <w:rStyle w:val="59"/>
                <w:rFonts w:hint="eastAsia" w:ascii="仿宋_GB2312" w:hAnsi="仿宋_GB2312" w:eastAsia="仿宋_GB2312" w:cs="仿宋_GB2312"/>
                <w:sz w:val="28"/>
                <w:szCs w:val="28"/>
                <w:lang w:bidi="ar"/>
              </w:rPr>
              <w:t>×</w:t>
            </w:r>
            <w:r>
              <w:rPr>
                <w:rStyle w:val="47"/>
                <w:rFonts w:hint="eastAsia" w:ascii="仿宋_GB2312" w:hAnsi="仿宋_GB2312" w:eastAsia="仿宋_GB2312" w:cs="仿宋_GB2312"/>
                <w:sz w:val="28"/>
                <w:szCs w:val="28"/>
                <w:lang w:bidi="ar"/>
              </w:rPr>
              <w:t xml:space="preserve">69.5mm </w:t>
            </w:r>
            <w:r>
              <w:rPr>
                <w:rStyle w:val="59"/>
                <w:rFonts w:hint="eastAsia" w:ascii="仿宋_GB2312" w:hAnsi="仿宋_GB2312" w:eastAsia="仿宋_GB2312" w:cs="仿宋_GB2312"/>
                <w:sz w:val="28"/>
                <w:szCs w:val="28"/>
                <w:lang w:bidi="ar"/>
              </w:rPr>
              <w:t>超大背光显示语</w:t>
            </w:r>
            <w:r>
              <w:rPr>
                <w:rStyle w:val="47"/>
                <w:rFonts w:hint="eastAsia" w:ascii="仿宋_GB2312" w:hAnsi="仿宋_GB2312" w:eastAsia="仿宋_GB2312" w:cs="仿宋_GB2312"/>
                <w:sz w:val="28"/>
                <w:szCs w:val="28"/>
                <w:lang w:bidi="ar"/>
              </w:rPr>
              <w:t xml:space="preserve"> </w:t>
            </w:r>
            <w:r>
              <w:rPr>
                <w:rStyle w:val="59"/>
                <w:rFonts w:hint="eastAsia" w:ascii="仿宋_GB2312" w:hAnsi="仿宋_GB2312" w:eastAsia="仿宋_GB2312" w:cs="仿宋_GB2312"/>
                <w:sz w:val="28"/>
                <w:szCs w:val="28"/>
                <w:lang w:bidi="ar"/>
              </w:rPr>
              <w:t>音播读显示、体重值、身高值</w:t>
            </w:r>
          </w:p>
          <w:p w14:paraId="249519F1">
            <w:pPr>
              <w:keepNext w:val="0"/>
              <w:keepLines w:val="0"/>
              <w:pageBreakBefore w:val="0"/>
              <w:widowControl/>
              <w:kinsoku/>
              <w:wordWrap/>
              <w:overflowPunct/>
              <w:topLinePunct w:val="0"/>
              <w:autoSpaceDE/>
              <w:autoSpaceDN/>
              <w:bidi w:val="0"/>
              <w:adjustRightInd/>
              <w:snapToGrid/>
              <w:spacing w:line="400" w:lineRule="exact"/>
              <w:jc w:val="left"/>
              <w:textAlignment w:val="bottom"/>
              <w:rPr>
                <w:rFonts w:hint="eastAsia" w:ascii="仿宋_GB2312" w:hAnsi="仿宋_GB2312" w:eastAsia="仿宋_GB2312" w:cs="仿宋_GB2312"/>
                <w:color w:val="000000"/>
                <w:sz w:val="28"/>
                <w:szCs w:val="28"/>
              </w:rPr>
            </w:pPr>
            <w:r>
              <w:rPr>
                <w:rStyle w:val="59"/>
                <w:rFonts w:hint="eastAsia" w:ascii="仿宋_GB2312" w:hAnsi="仿宋_GB2312" w:eastAsia="仿宋_GB2312" w:cs="仿宋_GB2312"/>
                <w:sz w:val="28"/>
                <w:szCs w:val="28"/>
                <w:lang w:bidi="ar"/>
              </w:rPr>
              <w:t>肥胖度数值：身体质量指数（</w:t>
            </w:r>
            <w:r>
              <w:rPr>
                <w:rStyle w:val="47"/>
                <w:rFonts w:hint="eastAsia" w:ascii="仿宋_GB2312" w:hAnsi="仿宋_GB2312" w:eastAsia="仿宋_GB2312" w:cs="仿宋_GB2312"/>
                <w:sz w:val="28"/>
                <w:szCs w:val="28"/>
                <w:lang w:bidi="ar"/>
              </w:rPr>
              <w:t>BMI</w:t>
            </w:r>
            <w:r>
              <w:rPr>
                <w:rStyle w:val="59"/>
                <w:rFonts w:hint="eastAsia" w:ascii="仿宋_GB2312" w:hAnsi="仿宋_GB2312" w:eastAsia="仿宋_GB2312" w:cs="仿宋_GB2312"/>
                <w:sz w:val="28"/>
                <w:szCs w:val="28"/>
                <w:lang w:bidi="ar"/>
              </w:rPr>
              <w:t>）</w:t>
            </w:r>
          </w:p>
        </w:tc>
        <w:tc>
          <w:tcPr>
            <w:tcW w:w="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C61F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Style w:val="46"/>
                <w:rFonts w:hint="eastAsia" w:ascii="仿宋_GB2312" w:hAnsi="仿宋_GB2312" w:eastAsia="仿宋_GB2312" w:cs="仿宋_GB2312"/>
                <w:sz w:val="28"/>
                <w:szCs w:val="28"/>
                <w:lang w:bidi="ar"/>
              </w:rPr>
              <w:t>23</w:t>
            </w:r>
            <w:r>
              <w:rPr>
                <w:rStyle w:val="60"/>
                <w:rFonts w:hint="eastAsia" w:ascii="仿宋_GB2312" w:hAnsi="仿宋_GB2312" w:eastAsia="仿宋_GB2312" w:cs="仿宋_GB2312"/>
                <w:sz w:val="28"/>
                <w:szCs w:val="28"/>
                <w:lang w:bidi="ar"/>
              </w:rPr>
              <w:t xml:space="preserve"> 个</w:t>
            </w:r>
          </w:p>
        </w:tc>
      </w:tr>
      <w:tr w14:paraId="27AE8830">
        <w:tblPrEx>
          <w:tblCellMar>
            <w:top w:w="0" w:type="dxa"/>
            <w:left w:w="108" w:type="dxa"/>
            <w:bottom w:w="0" w:type="dxa"/>
            <w:right w:w="108" w:type="dxa"/>
          </w:tblCellMar>
        </w:tblPrEx>
        <w:trPr>
          <w:trHeight w:val="867" w:hRule="atLeast"/>
          <w:jc w:val="center"/>
        </w:trPr>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3D6C4">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5</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7D9DF">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红外体温计</w:t>
            </w:r>
          </w:p>
        </w:tc>
        <w:tc>
          <w:tcPr>
            <w:tcW w:w="534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F112A76">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47"/>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32.</w:t>
            </w:r>
            <w:r>
              <w:rPr>
                <w:rStyle w:val="59"/>
                <w:rFonts w:hint="eastAsia" w:ascii="仿宋_GB2312" w:hAnsi="仿宋_GB2312" w:eastAsia="仿宋_GB2312" w:cs="仿宋_GB2312"/>
                <w:sz w:val="28"/>
                <w:szCs w:val="28"/>
                <w:lang w:bidi="ar"/>
              </w:rPr>
              <w:t>测量距离：≤</w:t>
            </w:r>
            <w:r>
              <w:rPr>
                <w:rStyle w:val="47"/>
                <w:rFonts w:hint="eastAsia" w:ascii="仿宋_GB2312" w:hAnsi="仿宋_GB2312" w:eastAsia="仿宋_GB2312" w:cs="仿宋_GB2312"/>
                <w:sz w:val="28"/>
                <w:szCs w:val="28"/>
                <w:lang w:bidi="ar"/>
              </w:rPr>
              <w:t>5-15cm</w:t>
            </w:r>
          </w:p>
          <w:p w14:paraId="43E9A0FB">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33.</w:t>
            </w:r>
            <w:r>
              <w:rPr>
                <w:rStyle w:val="59"/>
                <w:rFonts w:hint="eastAsia" w:ascii="仿宋_GB2312" w:hAnsi="仿宋_GB2312" w:eastAsia="仿宋_GB2312" w:cs="仿宋_GB2312"/>
                <w:sz w:val="28"/>
                <w:szCs w:val="28"/>
                <w:lang w:bidi="ar"/>
              </w:rPr>
              <w:t>精度：≤</w:t>
            </w:r>
            <w:r>
              <w:rPr>
                <w:rStyle w:val="47"/>
                <w:rFonts w:hint="eastAsia" w:ascii="仿宋_GB2312" w:hAnsi="仿宋_GB2312" w:eastAsia="仿宋_GB2312" w:cs="仿宋_GB2312"/>
                <w:sz w:val="28"/>
                <w:szCs w:val="28"/>
                <w:lang w:bidi="ar"/>
              </w:rPr>
              <w:t>±0.2</w:t>
            </w:r>
            <w:r>
              <w:rPr>
                <w:rStyle w:val="59"/>
                <w:rFonts w:hint="eastAsia" w:ascii="仿宋_GB2312" w:hAnsi="仿宋_GB2312" w:eastAsia="仿宋_GB2312" w:cs="仿宋_GB2312"/>
                <w:sz w:val="28"/>
                <w:szCs w:val="28"/>
                <w:lang w:bidi="ar"/>
              </w:rPr>
              <w:t>（国标）</w:t>
            </w:r>
          </w:p>
          <w:p w14:paraId="0D7631BB">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47"/>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34.</w:t>
            </w:r>
            <w:r>
              <w:rPr>
                <w:rStyle w:val="59"/>
                <w:rFonts w:hint="eastAsia" w:ascii="仿宋_GB2312" w:hAnsi="仿宋_GB2312" w:eastAsia="仿宋_GB2312" w:cs="仿宋_GB2312"/>
                <w:sz w:val="28"/>
                <w:szCs w:val="28"/>
                <w:lang w:bidi="ar"/>
              </w:rPr>
              <w:t>人体温度测量范围：</w:t>
            </w:r>
            <w:r>
              <w:rPr>
                <w:rStyle w:val="47"/>
                <w:rFonts w:hint="eastAsia" w:ascii="仿宋_GB2312" w:hAnsi="仿宋_GB2312" w:eastAsia="仿宋_GB2312" w:cs="仿宋_GB2312"/>
                <w:sz w:val="28"/>
                <w:szCs w:val="28"/>
                <w:lang w:bidi="ar"/>
              </w:rPr>
              <w:t>32-42</w:t>
            </w:r>
            <w:r>
              <w:rPr>
                <w:rStyle w:val="59"/>
                <w:rFonts w:hint="eastAsia" w:ascii="仿宋_GB2312" w:hAnsi="仿宋_GB2312" w:eastAsia="仿宋_GB2312" w:cs="仿宋_GB2312"/>
                <w:sz w:val="28"/>
                <w:szCs w:val="28"/>
                <w:lang w:bidi="ar"/>
              </w:rPr>
              <w:t>℃</w:t>
            </w:r>
            <w:r>
              <w:rPr>
                <w:rStyle w:val="47"/>
                <w:rFonts w:hint="eastAsia" w:ascii="仿宋_GB2312" w:hAnsi="仿宋_GB2312" w:eastAsia="仿宋_GB2312" w:cs="仿宋_GB2312"/>
                <w:sz w:val="28"/>
                <w:szCs w:val="28"/>
                <w:lang w:bidi="ar"/>
              </w:rPr>
              <w:t xml:space="preserve"> </w:t>
            </w:r>
          </w:p>
          <w:p w14:paraId="52DAC386">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35.</w:t>
            </w:r>
            <w:r>
              <w:rPr>
                <w:rStyle w:val="59"/>
                <w:rFonts w:hint="eastAsia" w:ascii="仿宋_GB2312" w:hAnsi="仿宋_GB2312" w:eastAsia="仿宋_GB2312" w:cs="仿宋_GB2312"/>
                <w:sz w:val="28"/>
                <w:szCs w:val="28"/>
                <w:lang w:bidi="ar"/>
              </w:rPr>
              <w:t>工作温度范围：</w:t>
            </w:r>
            <w:r>
              <w:rPr>
                <w:rStyle w:val="47"/>
                <w:rFonts w:hint="eastAsia" w:ascii="仿宋_GB2312" w:hAnsi="仿宋_GB2312" w:eastAsia="仿宋_GB2312" w:cs="仿宋_GB2312"/>
                <w:sz w:val="28"/>
                <w:szCs w:val="28"/>
                <w:lang w:bidi="ar"/>
              </w:rPr>
              <w:t>-20~50</w:t>
            </w:r>
            <w:r>
              <w:rPr>
                <w:rStyle w:val="59"/>
                <w:rFonts w:hint="eastAsia" w:ascii="仿宋_GB2312" w:hAnsi="仿宋_GB2312" w:eastAsia="仿宋_GB2312" w:cs="仿宋_GB2312"/>
                <w:sz w:val="28"/>
                <w:szCs w:val="28"/>
                <w:lang w:bidi="ar"/>
              </w:rPr>
              <w:t>℃</w:t>
            </w:r>
          </w:p>
          <w:p w14:paraId="0879F917">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36.</w:t>
            </w:r>
            <w:r>
              <w:rPr>
                <w:rStyle w:val="59"/>
                <w:rFonts w:hint="eastAsia" w:ascii="仿宋_GB2312" w:hAnsi="仿宋_GB2312" w:eastAsia="仿宋_GB2312" w:cs="仿宋_GB2312"/>
                <w:sz w:val="28"/>
                <w:szCs w:val="28"/>
                <w:lang w:bidi="ar"/>
              </w:rPr>
              <w:t>显示屏：数码显示</w:t>
            </w:r>
          </w:p>
          <w:p w14:paraId="160B47C5">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37.</w:t>
            </w:r>
            <w:r>
              <w:rPr>
                <w:rStyle w:val="59"/>
                <w:rFonts w:hint="eastAsia" w:ascii="仿宋_GB2312" w:hAnsi="仿宋_GB2312" w:eastAsia="仿宋_GB2312" w:cs="仿宋_GB2312"/>
                <w:sz w:val="28"/>
                <w:szCs w:val="28"/>
                <w:lang w:bidi="ar"/>
              </w:rPr>
              <w:t>支持室外环境测温；支持</w:t>
            </w:r>
            <w:r>
              <w:rPr>
                <w:rStyle w:val="47"/>
                <w:rFonts w:hint="eastAsia" w:ascii="仿宋_GB2312" w:hAnsi="仿宋_GB2312" w:eastAsia="仿宋_GB2312" w:cs="仿宋_GB2312"/>
                <w:sz w:val="28"/>
                <w:szCs w:val="28"/>
                <w:lang w:bidi="ar"/>
              </w:rPr>
              <w:t xml:space="preserve"> 12 </w:t>
            </w:r>
            <w:r>
              <w:rPr>
                <w:rStyle w:val="59"/>
                <w:rFonts w:hint="eastAsia" w:ascii="仿宋_GB2312" w:hAnsi="仿宋_GB2312" w:eastAsia="仿宋_GB2312" w:cs="仿宋_GB2312"/>
                <w:sz w:val="28"/>
                <w:szCs w:val="28"/>
                <w:lang w:bidi="ar"/>
              </w:rPr>
              <w:t>小时自动关机；</w:t>
            </w:r>
            <w:r>
              <w:rPr>
                <w:rStyle w:val="47"/>
                <w:rFonts w:hint="eastAsia" w:ascii="仿宋_GB2312" w:hAnsi="仿宋_GB2312" w:eastAsia="仿宋_GB2312" w:cs="仿宋_GB2312"/>
                <w:sz w:val="28"/>
                <w:szCs w:val="28"/>
                <w:lang w:bidi="ar"/>
              </w:rPr>
              <w:t xml:space="preserve"> </w:t>
            </w:r>
            <w:r>
              <w:rPr>
                <w:rStyle w:val="59"/>
                <w:rFonts w:hint="eastAsia" w:ascii="仿宋_GB2312" w:hAnsi="仿宋_GB2312" w:eastAsia="仿宋_GB2312" w:cs="仿宋_GB2312"/>
                <w:sz w:val="28"/>
                <w:szCs w:val="28"/>
                <w:lang w:bidi="ar"/>
              </w:rPr>
              <w:t>支持摄氏、华氏两种显示；支持人体、物体、</w:t>
            </w:r>
            <w:r>
              <w:rPr>
                <w:rStyle w:val="47"/>
                <w:rFonts w:hint="eastAsia" w:ascii="仿宋_GB2312" w:hAnsi="仿宋_GB2312" w:eastAsia="仿宋_GB2312" w:cs="仿宋_GB2312"/>
                <w:sz w:val="28"/>
                <w:szCs w:val="28"/>
                <w:lang w:bidi="ar"/>
              </w:rPr>
              <w:t xml:space="preserve"> </w:t>
            </w:r>
            <w:r>
              <w:rPr>
                <w:rStyle w:val="59"/>
                <w:rFonts w:hint="eastAsia" w:ascii="仿宋_GB2312" w:hAnsi="仿宋_GB2312" w:eastAsia="仿宋_GB2312" w:cs="仿宋_GB2312"/>
                <w:sz w:val="28"/>
                <w:szCs w:val="28"/>
                <w:lang w:bidi="ar"/>
              </w:rPr>
              <w:t>计数功能；支持语音播报；支持充电（需内置</w:t>
            </w:r>
            <w:r>
              <w:rPr>
                <w:rStyle w:val="47"/>
                <w:rFonts w:hint="eastAsia" w:ascii="仿宋_GB2312" w:hAnsi="仿宋_GB2312" w:eastAsia="仿宋_GB2312" w:cs="仿宋_GB2312"/>
                <w:sz w:val="28"/>
                <w:szCs w:val="28"/>
                <w:lang w:bidi="ar"/>
              </w:rPr>
              <w:t xml:space="preserve"> 18650 </w:t>
            </w:r>
            <w:r>
              <w:rPr>
                <w:rStyle w:val="59"/>
                <w:rFonts w:hint="eastAsia" w:ascii="仿宋_GB2312" w:hAnsi="仿宋_GB2312" w:eastAsia="仿宋_GB2312" w:cs="仿宋_GB2312"/>
                <w:sz w:val="28"/>
                <w:szCs w:val="28"/>
                <w:lang w:bidi="ar"/>
              </w:rPr>
              <w:t>电池）</w:t>
            </w:r>
          </w:p>
          <w:p w14:paraId="1DB4DA7B">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47"/>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38.</w:t>
            </w:r>
            <w:r>
              <w:rPr>
                <w:rStyle w:val="59"/>
                <w:rFonts w:hint="eastAsia" w:ascii="仿宋_GB2312" w:hAnsi="仿宋_GB2312" w:eastAsia="仿宋_GB2312" w:cs="仿宋_GB2312"/>
                <w:sz w:val="28"/>
                <w:szCs w:val="28"/>
                <w:lang w:bidi="ar"/>
              </w:rPr>
              <w:t>供电方式：一节</w:t>
            </w:r>
            <w:r>
              <w:rPr>
                <w:rStyle w:val="47"/>
                <w:rFonts w:hint="eastAsia" w:ascii="仿宋_GB2312" w:hAnsi="仿宋_GB2312" w:eastAsia="仿宋_GB2312" w:cs="仿宋_GB2312"/>
                <w:sz w:val="28"/>
                <w:szCs w:val="28"/>
                <w:lang w:bidi="ar"/>
              </w:rPr>
              <w:t xml:space="preserve"> 18650 </w:t>
            </w:r>
            <w:r>
              <w:rPr>
                <w:rStyle w:val="59"/>
                <w:rFonts w:hint="eastAsia" w:ascii="仿宋_GB2312" w:hAnsi="仿宋_GB2312" w:eastAsia="仿宋_GB2312" w:cs="仿宋_GB2312"/>
                <w:sz w:val="28"/>
                <w:szCs w:val="28"/>
                <w:lang w:bidi="ar"/>
              </w:rPr>
              <w:t>电池、电源适配器</w:t>
            </w:r>
            <w:r>
              <w:rPr>
                <w:rStyle w:val="47"/>
                <w:rFonts w:hint="eastAsia" w:ascii="仿宋_GB2312" w:hAnsi="仿宋_GB2312" w:eastAsia="仿宋_GB2312" w:cs="仿宋_GB2312"/>
                <w:sz w:val="28"/>
                <w:szCs w:val="28"/>
                <w:lang w:bidi="ar"/>
              </w:rPr>
              <w:t xml:space="preserve">  </w:t>
            </w:r>
          </w:p>
          <w:p w14:paraId="66AB96B6">
            <w:pPr>
              <w:keepNext w:val="0"/>
              <w:keepLines w:val="0"/>
              <w:pageBreakBefore w:val="0"/>
              <w:widowControl/>
              <w:kinsoku/>
              <w:wordWrap/>
              <w:overflowPunct/>
              <w:topLinePunct w:val="0"/>
              <w:autoSpaceDE/>
              <w:autoSpaceDN/>
              <w:bidi w:val="0"/>
              <w:adjustRightInd/>
              <w:snapToGrid/>
              <w:spacing w:line="400" w:lineRule="exact"/>
              <w:jc w:val="left"/>
              <w:textAlignment w:val="bottom"/>
              <w:rPr>
                <w:rFonts w:hint="eastAsia" w:ascii="仿宋_GB2312" w:hAnsi="仿宋_GB2312" w:eastAsia="仿宋_GB2312" w:cs="仿宋_GB2312"/>
                <w:color w:val="000000"/>
                <w:sz w:val="28"/>
                <w:szCs w:val="28"/>
              </w:rPr>
            </w:pPr>
            <w:r>
              <w:rPr>
                <w:rStyle w:val="59"/>
                <w:rFonts w:hint="eastAsia" w:ascii="仿宋_GB2312" w:hAnsi="仿宋_GB2312" w:eastAsia="仿宋_GB2312" w:cs="仿宋_GB2312"/>
                <w:sz w:val="28"/>
                <w:szCs w:val="28"/>
                <w:lang w:bidi="ar"/>
              </w:rPr>
              <w:t>待机时长：</w:t>
            </w:r>
            <w:r>
              <w:rPr>
                <w:rStyle w:val="47"/>
                <w:rFonts w:hint="eastAsia" w:ascii="仿宋_GB2312" w:hAnsi="仿宋_GB2312" w:eastAsia="仿宋_GB2312" w:cs="仿宋_GB2312"/>
                <w:sz w:val="28"/>
                <w:szCs w:val="28"/>
                <w:lang w:bidi="ar"/>
              </w:rPr>
              <w:t xml:space="preserve"> </w:t>
            </w:r>
            <w:r>
              <w:rPr>
                <w:rStyle w:val="59"/>
                <w:rFonts w:hint="eastAsia" w:ascii="仿宋_GB2312" w:hAnsi="仿宋_GB2312" w:eastAsia="仿宋_GB2312" w:cs="仿宋_GB2312"/>
                <w:sz w:val="28"/>
                <w:szCs w:val="28"/>
                <w:lang w:bidi="ar"/>
              </w:rPr>
              <w:t>≥</w:t>
            </w:r>
            <w:r>
              <w:rPr>
                <w:rStyle w:val="47"/>
                <w:rFonts w:hint="eastAsia" w:ascii="仿宋_GB2312" w:hAnsi="仿宋_GB2312" w:eastAsia="仿宋_GB2312" w:cs="仿宋_GB2312"/>
                <w:sz w:val="28"/>
                <w:szCs w:val="28"/>
                <w:lang w:bidi="ar"/>
              </w:rPr>
              <w:t>10</w:t>
            </w:r>
            <w:r>
              <w:rPr>
                <w:rStyle w:val="59"/>
                <w:rFonts w:hint="eastAsia" w:ascii="仿宋_GB2312" w:hAnsi="仿宋_GB2312" w:eastAsia="仿宋_GB2312" w:cs="仿宋_GB2312"/>
                <w:sz w:val="28"/>
                <w:szCs w:val="28"/>
                <w:lang w:bidi="ar"/>
              </w:rPr>
              <w:t>天</w:t>
            </w:r>
          </w:p>
        </w:tc>
        <w:tc>
          <w:tcPr>
            <w:tcW w:w="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F9568">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Style w:val="46"/>
                <w:rFonts w:hint="eastAsia" w:ascii="仿宋_GB2312" w:hAnsi="仿宋_GB2312" w:eastAsia="仿宋_GB2312" w:cs="仿宋_GB2312"/>
                <w:sz w:val="28"/>
                <w:szCs w:val="28"/>
                <w:lang w:bidi="ar"/>
              </w:rPr>
              <w:t>23</w:t>
            </w:r>
            <w:r>
              <w:rPr>
                <w:rStyle w:val="60"/>
                <w:rFonts w:hint="eastAsia" w:ascii="仿宋_GB2312" w:hAnsi="仿宋_GB2312" w:eastAsia="仿宋_GB2312" w:cs="仿宋_GB2312"/>
                <w:sz w:val="28"/>
                <w:szCs w:val="28"/>
                <w:lang w:bidi="ar"/>
              </w:rPr>
              <w:t xml:space="preserve"> 个</w:t>
            </w:r>
          </w:p>
        </w:tc>
      </w:tr>
      <w:tr w14:paraId="00C15843">
        <w:tblPrEx>
          <w:tblCellMar>
            <w:top w:w="0" w:type="dxa"/>
            <w:left w:w="108" w:type="dxa"/>
            <w:bottom w:w="0" w:type="dxa"/>
            <w:right w:w="108" w:type="dxa"/>
          </w:tblCellMar>
        </w:tblPrEx>
        <w:trPr>
          <w:trHeight w:val="1773" w:hRule="atLeast"/>
          <w:jc w:val="center"/>
        </w:trPr>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FFE91">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6</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87EB3">
            <w:pPr>
              <w:keepNext w:val="0"/>
              <w:keepLines w:val="0"/>
              <w:pageBreakBefore w:val="0"/>
              <w:widowControl/>
              <w:kinsoku/>
              <w:wordWrap/>
              <w:overflowPunct/>
              <w:topLinePunct w:val="0"/>
              <w:autoSpaceDE/>
              <w:autoSpaceDN/>
              <w:bidi w:val="0"/>
              <w:adjustRightInd/>
              <w:snapToGrid/>
              <w:spacing w:line="400" w:lineRule="exact"/>
              <w:jc w:val="center"/>
              <w:textAlignment w:val="center"/>
              <w:rPr>
                <w:rStyle w:val="60"/>
                <w:rFonts w:hint="eastAsia" w:ascii="仿宋_GB2312" w:hAnsi="仿宋_GB2312" w:eastAsia="仿宋_GB2312" w:cs="仿宋_GB2312"/>
                <w:sz w:val="28"/>
                <w:szCs w:val="28"/>
                <w:lang w:bidi="ar"/>
              </w:rPr>
            </w:pPr>
            <w:r>
              <w:rPr>
                <w:rStyle w:val="46"/>
                <w:rFonts w:hint="eastAsia" w:ascii="仿宋_GB2312" w:hAnsi="仿宋_GB2312" w:eastAsia="仿宋_GB2312" w:cs="仿宋_GB2312"/>
                <w:sz w:val="28"/>
                <w:szCs w:val="28"/>
                <w:lang w:bidi="ar"/>
              </w:rPr>
              <w:t>老花</w:t>
            </w:r>
            <w:r>
              <w:rPr>
                <w:rStyle w:val="60"/>
                <w:rFonts w:hint="eastAsia" w:ascii="仿宋_GB2312" w:hAnsi="仿宋_GB2312" w:eastAsia="仿宋_GB2312" w:cs="仿宋_GB2312"/>
                <w:sz w:val="28"/>
                <w:szCs w:val="28"/>
                <w:lang w:bidi="ar"/>
              </w:rPr>
              <w:t>镜</w:t>
            </w:r>
          </w:p>
          <w:p w14:paraId="301FFDA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Style w:val="60"/>
                <w:rFonts w:hint="eastAsia" w:ascii="仿宋_GB2312" w:hAnsi="仿宋_GB2312" w:eastAsia="仿宋_GB2312" w:cs="仿宋_GB2312"/>
                <w:sz w:val="28"/>
                <w:szCs w:val="28"/>
                <w:lang w:bidi="ar"/>
              </w:rPr>
              <w:t>（6 幅）</w:t>
            </w:r>
          </w:p>
        </w:tc>
        <w:tc>
          <w:tcPr>
            <w:tcW w:w="534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6F74880">
            <w:pPr>
              <w:keepNext w:val="0"/>
              <w:keepLines w:val="0"/>
              <w:pageBreakBefore w:val="0"/>
              <w:widowControl/>
              <w:kinsoku/>
              <w:wordWrap/>
              <w:overflowPunct/>
              <w:topLinePunct w:val="0"/>
              <w:autoSpaceDE/>
              <w:autoSpaceDN/>
              <w:bidi w:val="0"/>
              <w:adjustRightInd/>
              <w:snapToGrid/>
              <w:spacing w:line="400" w:lineRule="exact"/>
              <w:jc w:val="left"/>
              <w:textAlignment w:val="bottom"/>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val="en-US" w:eastAsia="zh-CN" w:bidi="ar"/>
              </w:rPr>
              <w:t>39.</w:t>
            </w:r>
            <w:r>
              <w:rPr>
                <w:rFonts w:hint="eastAsia" w:ascii="仿宋_GB2312" w:hAnsi="仿宋_GB2312" w:eastAsia="仿宋_GB2312" w:cs="仿宋_GB2312"/>
                <w:color w:val="000000"/>
                <w:kern w:val="0"/>
                <w:sz w:val="28"/>
                <w:szCs w:val="28"/>
                <w:lang w:bidi="ar"/>
              </w:rPr>
              <w:t>产品类型：老花镜</w:t>
            </w:r>
          </w:p>
          <w:p w14:paraId="032AB6CE">
            <w:pPr>
              <w:keepNext w:val="0"/>
              <w:keepLines w:val="0"/>
              <w:pageBreakBefore w:val="0"/>
              <w:widowControl/>
              <w:kinsoku/>
              <w:wordWrap/>
              <w:overflowPunct/>
              <w:topLinePunct w:val="0"/>
              <w:autoSpaceDE/>
              <w:autoSpaceDN/>
              <w:bidi w:val="0"/>
              <w:adjustRightInd/>
              <w:snapToGrid/>
              <w:spacing w:line="400" w:lineRule="exact"/>
              <w:jc w:val="left"/>
              <w:textAlignment w:val="bottom"/>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val="en-US" w:eastAsia="zh-CN" w:bidi="ar"/>
              </w:rPr>
              <w:t>40.</w:t>
            </w:r>
            <w:r>
              <w:rPr>
                <w:rFonts w:hint="eastAsia" w:ascii="仿宋_GB2312" w:hAnsi="仿宋_GB2312" w:eastAsia="仿宋_GB2312" w:cs="仿宋_GB2312"/>
                <w:color w:val="000000"/>
                <w:kern w:val="0"/>
                <w:sz w:val="28"/>
                <w:szCs w:val="28"/>
                <w:lang w:bidi="ar"/>
              </w:rPr>
              <w:t>镜架材质：合金材质</w:t>
            </w:r>
          </w:p>
          <w:p w14:paraId="3624F699">
            <w:pPr>
              <w:keepNext w:val="0"/>
              <w:keepLines w:val="0"/>
              <w:pageBreakBefore w:val="0"/>
              <w:widowControl/>
              <w:kinsoku/>
              <w:wordWrap/>
              <w:overflowPunct/>
              <w:topLinePunct w:val="0"/>
              <w:autoSpaceDE/>
              <w:autoSpaceDN/>
              <w:bidi w:val="0"/>
              <w:adjustRightInd/>
              <w:snapToGrid/>
              <w:spacing w:line="400" w:lineRule="exact"/>
              <w:jc w:val="left"/>
              <w:textAlignment w:val="bottom"/>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val="en-US" w:eastAsia="zh-CN" w:bidi="ar"/>
              </w:rPr>
              <w:t>41.</w:t>
            </w:r>
            <w:r>
              <w:rPr>
                <w:rFonts w:hint="eastAsia" w:ascii="仿宋_GB2312" w:hAnsi="仿宋_GB2312" w:eastAsia="仿宋_GB2312" w:cs="仿宋_GB2312"/>
                <w:color w:val="000000"/>
                <w:kern w:val="0"/>
                <w:sz w:val="28"/>
                <w:szCs w:val="28"/>
                <w:lang w:bidi="ar"/>
              </w:rPr>
              <w:t>镜片材质：树脂</w:t>
            </w:r>
          </w:p>
          <w:p w14:paraId="0BAB585C">
            <w:pPr>
              <w:keepNext w:val="0"/>
              <w:keepLines w:val="0"/>
              <w:pageBreakBefore w:val="0"/>
              <w:widowControl/>
              <w:kinsoku/>
              <w:wordWrap/>
              <w:overflowPunct/>
              <w:topLinePunct w:val="0"/>
              <w:autoSpaceDE/>
              <w:autoSpaceDN/>
              <w:bidi w:val="0"/>
              <w:adjustRightInd/>
              <w:snapToGrid/>
              <w:spacing w:line="400" w:lineRule="exact"/>
              <w:jc w:val="left"/>
              <w:textAlignment w:val="bottom"/>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val="en-US" w:eastAsia="zh-CN" w:bidi="ar"/>
              </w:rPr>
              <w:t>42.</w:t>
            </w:r>
            <w:r>
              <w:rPr>
                <w:rFonts w:hint="eastAsia" w:ascii="仿宋_GB2312" w:hAnsi="仿宋_GB2312" w:eastAsia="仿宋_GB2312" w:cs="仿宋_GB2312"/>
                <w:color w:val="000000"/>
                <w:kern w:val="0"/>
                <w:sz w:val="28"/>
                <w:szCs w:val="28"/>
                <w:lang w:bidi="ar"/>
              </w:rPr>
              <w:t>适用人群：男女通用</w:t>
            </w:r>
          </w:p>
          <w:p w14:paraId="29B704AD">
            <w:pPr>
              <w:keepNext w:val="0"/>
              <w:keepLines w:val="0"/>
              <w:pageBreakBefore w:val="0"/>
              <w:widowControl/>
              <w:kinsoku/>
              <w:wordWrap/>
              <w:overflowPunct/>
              <w:topLinePunct w:val="0"/>
              <w:autoSpaceDE/>
              <w:autoSpaceDN/>
              <w:bidi w:val="0"/>
              <w:adjustRightInd/>
              <w:snapToGrid/>
              <w:spacing w:line="400" w:lineRule="exact"/>
              <w:jc w:val="left"/>
              <w:textAlignment w:val="bottom"/>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val="en-US" w:eastAsia="zh-CN" w:bidi="ar"/>
              </w:rPr>
              <w:t>43.</w:t>
            </w:r>
            <w:r>
              <w:rPr>
                <w:rFonts w:hint="eastAsia" w:ascii="仿宋_GB2312" w:hAnsi="仿宋_GB2312" w:eastAsia="仿宋_GB2312" w:cs="仿宋_GB2312"/>
                <w:color w:val="000000"/>
                <w:kern w:val="0"/>
                <w:sz w:val="28"/>
                <w:szCs w:val="28"/>
                <w:lang w:bidi="ar"/>
              </w:rPr>
              <w:t>是否支持近视镜：支持</w:t>
            </w:r>
          </w:p>
          <w:p w14:paraId="222902DA">
            <w:pPr>
              <w:keepNext w:val="0"/>
              <w:keepLines w:val="0"/>
              <w:pageBreakBefore w:val="0"/>
              <w:widowControl/>
              <w:kinsoku/>
              <w:wordWrap/>
              <w:overflowPunct/>
              <w:topLinePunct w:val="0"/>
              <w:autoSpaceDE/>
              <w:autoSpaceDN/>
              <w:bidi w:val="0"/>
              <w:adjustRightInd/>
              <w:snapToGrid/>
              <w:spacing w:line="400" w:lineRule="exact"/>
              <w:jc w:val="left"/>
              <w:textAlignment w:val="bottom"/>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val="en-US" w:eastAsia="zh-CN" w:bidi="ar"/>
              </w:rPr>
              <w:t>44.</w:t>
            </w:r>
            <w:r>
              <w:rPr>
                <w:rFonts w:hint="eastAsia" w:ascii="仿宋_GB2312" w:hAnsi="仿宋_GB2312" w:eastAsia="仿宋_GB2312" w:cs="仿宋_GB2312"/>
                <w:color w:val="000000"/>
                <w:kern w:val="0"/>
                <w:sz w:val="28"/>
                <w:szCs w:val="28"/>
                <w:lang w:bidi="ar"/>
              </w:rPr>
              <w:t>眼镜度数：100 度（两幅）、200 度（两幅）、 300 度（两幅）</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7C32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Style w:val="46"/>
                <w:rFonts w:hint="eastAsia" w:ascii="仿宋_GB2312" w:hAnsi="仿宋_GB2312" w:eastAsia="仿宋_GB2312" w:cs="仿宋_GB2312"/>
                <w:sz w:val="28"/>
                <w:szCs w:val="28"/>
                <w:lang w:bidi="ar"/>
              </w:rPr>
              <w:t>23</w:t>
            </w:r>
            <w:r>
              <w:rPr>
                <w:rStyle w:val="60"/>
                <w:rFonts w:hint="eastAsia" w:ascii="仿宋_GB2312" w:hAnsi="仿宋_GB2312" w:eastAsia="仿宋_GB2312" w:cs="仿宋_GB2312"/>
                <w:sz w:val="28"/>
                <w:szCs w:val="28"/>
                <w:lang w:bidi="ar"/>
              </w:rPr>
              <w:t xml:space="preserve"> 套（含6副）</w:t>
            </w:r>
          </w:p>
        </w:tc>
      </w:tr>
      <w:tr w14:paraId="0C1A34CB">
        <w:tblPrEx>
          <w:tblCellMar>
            <w:top w:w="0" w:type="dxa"/>
            <w:left w:w="108" w:type="dxa"/>
            <w:bottom w:w="0" w:type="dxa"/>
            <w:right w:w="108" w:type="dxa"/>
          </w:tblCellMar>
        </w:tblPrEx>
        <w:trPr>
          <w:trHeight w:val="1185" w:hRule="atLeast"/>
          <w:jc w:val="center"/>
        </w:trPr>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7C7E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7</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BEC0E">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针线盒套装</w:t>
            </w:r>
          </w:p>
        </w:tc>
        <w:tc>
          <w:tcPr>
            <w:tcW w:w="534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D9C9050">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45.</w:t>
            </w:r>
            <w:r>
              <w:rPr>
                <w:rStyle w:val="59"/>
                <w:rFonts w:hint="eastAsia" w:ascii="仿宋_GB2312" w:hAnsi="仿宋_GB2312" w:eastAsia="仿宋_GB2312" w:cs="仿宋_GB2312"/>
                <w:sz w:val="28"/>
                <w:szCs w:val="28"/>
                <w:lang w:bidi="ar"/>
              </w:rPr>
              <w:t>材质：</w:t>
            </w:r>
            <w:r>
              <w:rPr>
                <w:rStyle w:val="47"/>
                <w:rFonts w:hint="eastAsia" w:ascii="仿宋_GB2312" w:hAnsi="仿宋_GB2312" w:eastAsia="仿宋_GB2312" w:cs="仿宋_GB2312"/>
                <w:sz w:val="28"/>
                <w:szCs w:val="28"/>
                <w:lang w:bidi="ar"/>
              </w:rPr>
              <w:t xml:space="preserve">PP </w:t>
            </w:r>
            <w:r>
              <w:rPr>
                <w:rStyle w:val="59"/>
                <w:rFonts w:hint="eastAsia" w:ascii="仿宋_GB2312" w:hAnsi="仿宋_GB2312" w:eastAsia="仿宋_GB2312" w:cs="仿宋_GB2312"/>
                <w:sz w:val="28"/>
                <w:szCs w:val="28"/>
                <w:lang w:bidi="ar"/>
              </w:rPr>
              <w:t>外壳</w:t>
            </w:r>
            <w:r>
              <w:rPr>
                <w:rStyle w:val="47"/>
                <w:rFonts w:hint="eastAsia" w:ascii="仿宋_GB2312" w:hAnsi="仿宋_GB2312" w:eastAsia="仿宋_GB2312" w:cs="仿宋_GB2312"/>
                <w:sz w:val="28"/>
                <w:szCs w:val="28"/>
                <w:lang w:bidi="ar"/>
              </w:rPr>
              <w:t xml:space="preserve">+30 </w:t>
            </w:r>
            <w:r>
              <w:rPr>
                <w:rStyle w:val="59"/>
                <w:rFonts w:hint="eastAsia" w:ascii="仿宋_GB2312" w:hAnsi="仿宋_GB2312" w:eastAsia="仿宋_GB2312" w:cs="仿宋_GB2312"/>
                <w:sz w:val="28"/>
                <w:szCs w:val="28"/>
                <w:lang w:bidi="ar"/>
              </w:rPr>
              <w:t>缝纫工具</w:t>
            </w:r>
          </w:p>
          <w:p w14:paraId="249AF8D8">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46.</w:t>
            </w:r>
            <w:r>
              <w:rPr>
                <w:rStyle w:val="59"/>
                <w:rFonts w:hint="eastAsia" w:ascii="仿宋_GB2312" w:hAnsi="仿宋_GB2312" w:eastAsia="仿宋_GB2312" w:cs="仿宋_GB2312"/>
                <w:sz w:val="28"/>
                <w:szCs w:val="28"/>
                <w:lang w:bidi="ar"/>
              </w:rPr>
              <w:t>用途：手工制作、居家缝补</w:t>
            </w:r>
          </w:p>
          <w:p w14:paraId="495CB040">
            <w:pPr>
              <w:keepNext w:val="0"/>
              <w:keepLines w:val="0"/>
              <w:pageBreakBefore w:val="0"/>
              <w:widowControl/>
              <w:kinsoku/>
              <w:wordWrap/>
              <w:overflowPunct/>
              <w:topLinePunct w:val="0"/>
              <w:autoSpaceDE/>
              <w:autoSpaceDN/>
              <w:bidi w:val="0"/>
              <w:adjustRightInd/>
              <w:snapToGrid/>
              <w:spacing w:line="400" w:lineRule="exact"/>
              <w:jc w:val="left"/>
              <w:textAlignment w:val="bottom"/>
              <w:rPr>
                <w:rFonts w:hint="eastAsia" w:ascii="仿宋_GB2312" w:hAnsi="仿宋_GB2312" w:eastAsia="仿宋_GB2312" w:cs="仿宋_GB2312"/>
                <w:color w:val="000000"/>
                <w:sz w:val="28"/>
                <w:szCs w:val="28"/>
              </w:rPr>
            </w:pPr>
            <w:r>
              <w:rPr>
                <w:rStyle w:val="59"/>
                <w:rFonts w:hint="eastAsia" w:ascii="仿宋_GB2312" w:hAnsi="仿宋_GB2312" w:eastAsia="仿宋_GB2312" w:cs="仿宋_GB2312"/>
                <w:sz w:val="28"/>
                <w:szCs w:val="28"/>
                <w:lang w:val="en-US" w:eastAsia="zh-CN" w:bidi="ar"/>
              </w:rPr>
              <w:t>47.</w:t>
            </w:r>
            <w:r>
              <w:rPr>
                <w:rStyle w:val="59"/>
                <w:rFonts w:hint="eastAsia" w:ascii="仿宋_GB2312" w:hAnsi="仿宋_GB2312" w:eastAsia="仿宋_GB2312" w:cs="仿宋_GB2312"/>
                <w:sz w:val="28"/>
                <w:szCs w:val="28"/>
                <w:lang w:bidi="ar"/>
              </w:rPr>
              <w:t>颜色：粉色、白色</w:t>
            </w:r>
          </w:p>
        </w:tc>
        <w:tc>
          <w:tcPr>
            <w:tcW w:w="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07CFE">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Style w:val="46"/>
                <w:rFonts w:hint="eastAsia" w:ascii="仿宋_GB2312" w:hAnsi="仿宋_GB2312" w:eastAsia="仿宋_GB2312" w:cs="仿宋_GB2312"/>
                <w:sz w:val="28"/>
                <w:szCs w:val="28"/>
                <w:lang w:bidi="ar"/>
              </w:rPr>
              <w:t>23</w:t>
            </w:r>
            <w:r>
              <w:rPr>
                <w:rStyle w:val="60"/>
                <w:rFonts w:hint="eastAsia" w:ascii="仿宋_GB2312" w:hAnsi="仿宋_GB2312" w:eastAsia="仿宋_GB2312" w:cs="仿宋_GB2312"/>
                <w:sz w:val="28"/>
                <w:szCs w:val="28"/>
                <w:lang w:bidi="ar"/>
              </w:rPr>
              <w:t>个</w:t>
            </w:r>
          </w:p>
        </w:tc>
      </w:tr>
      <w:tr w14:paraId="66ACD5D4">
        <w:tblPrEx>
          <w:tblCellMar>
            <w:top w:w="0" w:type="dxa"/>
            <w:left w:w="108" w:type="dxa"/>
            <w:bottom w:w="0" w:type="dxa"/>
            <w:right w:w="108" w:type="dxa"/>
          </w:tblCellMar>
        </w:tblPrEx>
        <w:trPr>
          <w:trHeight w:val="891" w:hRule="atLeast"/>
          <w:jc w:val="center"/>
        </w:trPr>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7CF7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8</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E210C">
            <w:pPr>
              <w:keepNext w:val="0"/>
              <w:keepLines w:val="0"/>
              <w:pageBreakBefore w:val="0"/>
              <w:widowControl/>
              <w:kinsoku/>
              <w:wordWrap/>
              <w:overflowPunct/>
              <w:topLinePunct w:val="0"/>
              <w:autoSpaceDE/>
              <w:autoSpaceDN/>
              <w:bidi w:val="0"/>
              <w:adjustRightInd/>
              <w:snapToGrid/>
              <w:spacing w:line="400" w:lineRule="exact"/>
              <w:jc w:val="center"/>
              <w:textAlignment w:val="center"/>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bidi="ar"/>
              </w:rPr>
              <w:t>服务</w:t>
            </w:r>
          </w:p>
          <w:p w14:paraId="7E7EC398">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Style w:val="59"/>
                <w:rFonts w:hint="eastAsia" w:ascii="仿宋_GB2312" w:hAnsi="仿宋_GB2312" w:eastAsia="仿宋_GB2312" w:cs="仿宋_GB2312"/>
                <w:sz w:val="28"/>
                <w:szCs w:val="28"/>
                <w:lang w:bidi="ar"/>
              </w:rPr>
              <w:t>图解展板</w:t>
            </w:r>
          </w:p>
        </w:tc>
        <w:tc>
          <w:tcPr>
            <w:tcW w:w="5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561EF">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Style w:val="59"/>
                <w:rFonts w:hint="eastAsia" w:ascii="仿宋_GB2312" w:hAnsi="仿宋_GB2312" w:eastAsia="仿宋_GB2312" w:cs="仿宋_GB2312"/>
                <w:sz w:val="28"/>
                <w:szCs w:val="28"/>
                <w:lang w:val="en-US" w:eastAsia="zh-CN" w:bidi="ar"/>
              </w:rPr>
              <w:t>48.</w:t>
            </w:r>
            <w:r>
              <w:rPr>
                <w:rStyle w:val="59"/>
                <w:rFonts w:hint="eastAsia" w:ascii="仿宋_GB2312" w:hAnsi="仿宋_GB2312" w:eastAsia="仿宋_GB2312" w:cs="仿宋_GB2312"/>
                <w:sz w:val="28"/>
                <w:szCs w:val="28"/>
                <w:lang w:bidi="ar"/>
              </w:rPr>
              <w:t>底板厚度≥</w:t>
            </w:r>
            <w:r>
              <w:rPr>
                <w:rStyle w:val="47"/>
                <w:rFonts w:hint="eastAsia" w:ascii="仿宋_GB2312" w:hAnsi="仿宋_GB2312" w:eastAsia="仿宋_GB2312" w:cs="仿宋_GB2312"/>
                <w:sz w:val="28"/>
                <w:szCs w:val="28"/>
                <w:lang w:bidi="ar"/>
              </w:rPr>
              <w:t xml:space="preserve"> 10mm</w:t>
            </w:r>
            <w:r>
              <w:rPr>
                <w:rStyle w:val="59"/>
                <w:rFonts w:hint="eastAsia" w:ascii="仿宋_GB2312" w:hAnsi="仿宋_GB2312" w:eastAsia="仿宋_GB2312" w:cs="仿宋_GB2312"/>
                <w:sz w:val="28"/>
                <w:szCs w:val="28"/>
                <w:lang w:bidi="ar"/>
              </w:rPr>
              <w:t>，高光结皮</w:t>
            </w:r>
            <w:r>
              <w:rPr>
                <w:rStyle w:val="47"/>
                <w:rFonts w:hint="eastAsia" w:ascii="仿宋_GB2312" w:hAnsi="仿宋_GB2312" w:eastAsia="仿宋_GB2312" w:cs="仿宋_GB2312"/>
                <w:sz w:val="28"/>
                <w:szCs w:val="28"/>
                <w:lang w:bidi="ar"/>
              </w:rPr>
              <w:t xml:space="preserve">PVC </w:t>
            </w:r>
            <w:r>
              <w:rPr>
                <w:rStyle w:val="59"/>
                <w:rFonts w:hint="eastAsia" w:ascii="仿宋_GB2312" w:hAnsi="仿宋_GB2312" w:eastAsia="仿宋_GB2312" w:cs="仿宋_GB2312"/>
                <w:sz w:val="28"/>
                <w:szCs w:val="28"/>
                <w:lang w:bidi="ar"/>
              </w:rPr>
              <w:t>六色高精</w:t>
            </w:r>
            <w:r>
              <w:rPr>
                <w:rStyle w:val="47"/>
                <w:rFonts w:hint="eastAsia" w:ascii="仿宋_GB2312" w:hAnsi="仿宋_GB2312" w:eastAsia="仿宋_GB2312" w:cs="仿宋_GB2312"/>
                <w:sz w:val="28"/>
                <w:szCs w:val="28"/>
                <w:lang w:bidi="ar"/>
              </w:rPr>
              <w:t>UV</w:t>
            </w:r>
            <w:r>
              <w:rPr>
                <w:rStyle w:val="59"/>
                <w:rFonts w:hint="eastAsia" w:ascii="仿宋_GB2312" w:hAnsi="仿宋_GB2312" w:eastAsia="仿宋_GB2312" w:cs="仿宋_GB2312"/>
                <w:sz w:val="28"/>
                <w:szCs w:val="28"/>
                <w:lang w:bidi="ar"/>
              </w:rPr>
              <w:t>打印，≥</w:t>
            </w:r>
            <w:r>
              <w:rPr>
                <w:rStyle w:val="47"/>
                <w:rFonts w:hint="eastAsia" w:ascii="仿宋_GB2312" w:hAnsi="仿宋_GB2312" w:eastAsia="仿宋_GB2312" w:cs="仿宋_GB2312"/>
                <w:sz w:val="28"/>
                <w:szCs w:val="28"/>
                <w:lang w:bidi="ar"/>
              </w:rPr>
              <w:t xml:space="preserve">4mm </w:t>
            </w:r>
            <w:r>
              <w:rPr>
                <w:rStyle w:val="59"/>
                <w:rFonts w:hint="eastAsia" w:ascii="仿宋_GB2312" w:hAnsi="仿宋_GB2312" w:eastAsia="仿宋_GB2312" w:cs="仿宋_GB2312"/>
                <w:sz w:val="28"/>
                <w:szCs w:val="28"/>
                <w:lang w:bidi="ar"/>
              </w:rPr>
              <w:t>亚克力高精度图文背印，四角安装打定位孔。尺寸根据公益驿站实际情况做相应调整</w:t>
            </w:r>
          </w:p>
        </w:tc>
        <w:tc>
          <w:tcPr>
            <w:tcW w:w="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99C46">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Style w:val="46"/>
                <w:rFonts w:hint="eastAsia" w:ascii="仿宋_GB2312" w:hAnsi="仿宋_GB2312" w:eastAsia="仿宋_GB2312" w:cs="仿宋_GB2312"/>
                <w:sz w:val="28"/>
                <w:szCs w:val="28"/>
                <w:lang w:bidi="ar"/>
              </w:rPr>
              <w:t>23</w:t>
            </w:r>
            <w:r>
              <w:rPr>
                <w:rStyle w:val="60"/>
                <w:rFonts w:hint="eastAsia" w:ascii="仿宋_GB2312" w:hAnsi="仿宋_GB2312" w:eastAsia="仿宋_GB2312" w:cs="仿宋_GB2312"/>
                <w:sz w:val="28"/>
                <w:szCs w:val="28"/>
                <w:lang w:bidi="ar"/>
              </w:rPr>
              <w:t>个</w:t>
            </w:r>
          </w:p>
        </w:tc>
      </w:tr>
      <w:tr w14:paraId="472BAA14">
        <w:tblPrEx>
          <w:tblCellMar>
            <w:top w:w="0" w:type="dxa"/>
            <w:left w:w="108" w:type="dxa"/>
            <w:bottom w:w="0" w:type="dxa"/>
            <w:right w:w="108" w:type="dxa"/>
          </w:tblCellMar>
        </w:tblPrEx>
        <w:trPr>
          <w:trHeight w:val="503" w:hRule="atLeast"/>
          <w:jc w:val="center"/>
        </w:trPr>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E60ED">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9</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1FE7F">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门外吸塑侧灯箱</w:t>
            </w:r>
          </w:p>
        </w:tc>
        <w:tc>
          <w:tcPr>
            <w:tcW w:w="5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19EA6">
            <w:pPr>
              <w:keepNext w:val="0"/>
              <w:keepLines w:val="0"/>
              <w:pageBreakBefore w:val="0"/>
              <w:widowControl/>
              <w:kinsoku/>
              <w:wordWrap/>
              <w:overflowPunct/>
              <w:topLinePunct w:val="0"/>
              <w:autoSpaceDE/>
              <w:autoSpaceDN/>
              <w:bidi w:val="0"/>
              <w:adjustRightInd/>
              <w:snapToGrid/>
              <w:spacing w:line="400" w:lineRule="exact"/>
              <w:jc w:val="left"/>
              <w:textAlignment w:val="center"/>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49.</w:t>
            </w:r>
            <w:r>
              <w:rPr>
                <w:rStyle w:val="59"/>
                <w:rFonts w:hint="eastAsia" w:ascii="仿宋_GB2312" w:hAnsi="仿宋_GB2312" w:eastAsia="仿宋_GB2312" w:cs="仿宋_GB2312"/>
                <w:sz w:val="28"/>
                <w:szCs w:val="28"/>
                <w:lang w:bidi="ar"/>
              </w:rPr>
              <w:t>尺寸：长</w:t>
            </w:r>
            <w:r>
              <w:rPr>
                <w:rStyle w:val="47"/>
                <w:rFonts w:hint="eastAsia" w:ascii="仿宋_GB2312" w:hAnsi="仿宋_GB2312" w:eastAsia="仿宋_GB2312" w:cs="仿宋_GB2312"/>
                <w:sz w:val="28"/>
                <w:szCs w:val="28"/>
                <w:lang w:bidi="ar"/>
              </w:rPr>
              <w:t xml:space="preserve"> 500mm*</w:t>
            </w:r>
            <w:r>
              <w:rPr>
                <w:rStyle w:val="59"/>
                <w:rFonts w:hint="eastAsia" w:ascii="仿宋_GB2312" w:hAnsi="仿宋_GB2312" w:eastAsia="仿宋_GB2312" w:cs="仿宋_GB2312"/>
                <w:sz w:val="28"/>
                <w:szCs w:val="28"/>
                <w:lang w:bidi="ar"/>
              </w:rPr>
              <w:t>宽</w:t>
            </w:r>
            <w:r>
              <w:rPr>
                <w:rStyle w:val="47"/>
                <w:rFonts w:hint="eastAsia" w:ascii="仿宋_GB2312" w:hAnsi="仿宋_GB2312" w:eastAsia="仿宋_GB2312" w:cs="仿宋_GB2312"/>
                <w:sz w:val="28"/>
                <w:szCs w:val="28"/>
                <w:lang w:bidi="ar"/>
              </w:rPr>
              <w:t xml:space="preserve"> 700mm*</w:t>
            </w:r>
            <w:r>
              <w:rPr>
                <w:rStyle w:val="59"/>
                <w:rFonts w:hint="eastAsia" w:ascii="仿宋_GB2312" w:hAnsi="仿宋_GB2312" w:eastAsia="仿宋_GB2312" w:cs="仿宋_GB2312"/>
                <w:sz w:val="28"/>
                <w:szCs w:val="28"/>
                <w:lang w:bidi="ar"/>
              </w:rPr>
              <w:t>厚</w:t>
            </w:r>
            <w:r>
              <w:rPr>
                <w:rStyle w:val="47"/>
                <w:rFonts w:hint="eastAsia" w:ascii="仿宋_GB2312" w:hAnsi="仿宋_GB2312" w:eastAsia="仿宋_GB2312" w:cs="仿宋_GB2312"/>
                <w:sz w:val="28"/>
                <w:szCs w:val="28"/>
                <w:lang w:bidi="ar"/>
              </w:rPr>
              <w:t xml:space="preserve"> 80mm</w:t>
            </w:r>
            <w:r>
              <w:rPr>
                <w:rStyle w:val="59"/>
                <w:rFonts w:hint="eastAsia" w:ascii="仿宋_GB2312" w:hAnsi="仿宋_GB2312" w:eastAsia="仿宋_GB2312" w:cs="仿宋_GB2312"/>
                <w:sz w:val="28"/>
                <w:szCs w:val="28"/>
                <w:lang w:bidi="ar"/>
              </w:rPr>
              <w:t>，</w:t>
            </w:r>
          </w:p>
          <w:p w14:paraId="684C3F1B">
            <w:pPr>
              <w:keepNext w:val="0"/>
              <w:keepLines w:val="0"/>
              <w:pageBreakBefore w:val="0"/>
              <w:widowControl/>
              <w:kinsoku/>
              <w:wordWrap/>
              <w:overflowPunct/>
              <w:topLinePunct w:val="0"/>
              <w:autoSpaceDE/>
              <w:autoSpaceDN/>
              <w:bidi w:val="0"/>
              <w:adjustRightInd/>
              <w:snapToGrid/>
              <w:spacing w:line="400" w:lineRule="exact"/>
              <w:jc w:val="left"/>
              <w:textAlignment w:val="center"/>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50.</w:t>
            </w:r>
            <w:r>
              <w:rPr>
                <w:rStyle w:val="59"/>
                <w:rFonts w:hint="eastAsia" w:ascii="仿宋_GB2312" w:hAnsi="仿宋_GB2312" w:eastAsia="仿宋_GB2312" w:cs="仿宋_GB2312"/>
                <w:sz w:val="28"/>
                <w:szCs w:val="28"/>
                <w:lang w:bidi="ar"/>
              </w:rPr>
              <w:t>材质:≥</w:t>
            </w:r>
            <w:r>
              <w:rPr>
                <w:rStyle w:val="47"/>
                <w:rFonts w:hint="eastAsia" w:ascii="仿宋_GB2312" w:hAnsi="仿宋_GB2312" w:eastAsia="仿宋_GB2312" w:cs="仿宋_GB2312"/>
                <w:sz w:val="28"/>
                <w:szCs w:val="28"/>
                <w:lang w:bidi="ar"/>
              </w:rPr>
              <w:t xml:space="preserve">3mm </w:t>
            </w:r>
            <w:r>
              <w:rPr>
                <w:rStyle w:val="59"/>
                <w:rFonts w:hint="eastAsia" w:ascii="仿宋_GB2312" w:hAnsi="仿宋_GB2312" w:eastAsia="仿宋_GB2312" w:cs="仿宋_GB2312"/>
                <w:sz w:val="28"/>
                <w:szCs w:val="28"/>
                <w:lang w:bidi="ar"/>
              </w:rPr>
              <w:t>亚克力吸塑灯箱板，</w:t>
            </w:r>
          </w:p>
          <w:p w14:paraId="3C203444">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Style w:val="59"/>
                <w:rFonts w:hint="eastAsia" w:ascii="仿宋_GB2312" w:hAnsi="仿宋_GB2312" w:eastAsia="仿宋_GB2312" w:cs="仿宋_GB2312"/>
                <w:sz w:val="28"/>
                <w:szCs w:val="28"/>
                <w:lang w:val="en-US" w:eastAsia="zh-CN" w:bidi="ar"/>
              </w:rPr>
              <w:t>51.</w:t>
            </w:r>
            <w:r>
              <w:rPr>
                <w:rStyle w:val="59"/>
                <w:rFonts w:hint="eastAsia" w:ascii="仿宋_GB2312" w:hAnsi="仿宋_GB2312" w:eastAsia="仿宋_GB2312" w:cs="仿宋_GB2312"/>
                <w:sz w:val="28"/>
                <w:szCs w:val="28"/>
                <w:lang w:bidi="ar"/>
              </w:rPr>
              <w:t>航空铝型材福彩专用红色烤漆包边，折弯工艺，</w:t>
            </w:r>
            <w:r>
              <w:rPr>
                <w:rStyle w:val="61"/>
                <w:rFonts w:hint="eastAsia" w:ascii="仿宋_GB2312" w:hAnsi="仿宋_GB2312" w:eastAsia="仿宋_GB2312" w:cs="仿宋_GB2312"/>
                <w:sz w:val="28"/>
                <w:szCs w:val="28"/>
                <w:lang w:bidi="ar"/>
              </w:rPr>
              <w:t>LED</w:t>
            </w:r>
            <w:r>
              <w:rPr>
                <w:rStyle w:val="47"/>
                <w:rFonts w:hint="eastAsia" w:ascii="仿宋_GB2312" w:hAnsi="仿宋_GB2312" w:eastAsia="仿宋_GB2312" w:cs="仿宋_GB2312"/>
                <w:sz w:val="28"/>
                <w:szCs w:val="28"/>
                <w:lang w:bidi="ar"/>
              </w:rPr>
              <w:t xml:space="preserve"> </w:t>
            </w:r>
            <w:r>
              <w:rPr>
                <w:rStyle w:val="59"/>
                <w:rFonts w:hint="eastAsia" w:ascii="仿宋_GB2312" w:hAnsi="仿宋_GB2312" w:eastAsia="仿宋_GB2312" w:cs="仿宋_GB2312"/>
                <w:sz w:val="28"/>
                <w:szCs w:val="28"/>
                <w:lang w:bidi="ar"/>
              </w:rPr>
              <w:t>防水灯条、防水电源。防紫外线贴膜，高色彩呈现度，保证十年不褪色</w:t>
            </w:r>
          </w:p>
        </w:tc>
        <w:tc>
          <w:tcPr>
            <w:tcW w:w="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53B9D">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Style w:val="46"/>
                <w:rFonts w:hint="eastAsia" w:ascii="仿宋_GB2312" w:hAnsi="仿宋_GB2312" w:eastAsia="仿宋_GB2312" w:cs="仿宋_GB2312"/>
                <w:sz w:val="28"/>
                <w:szCs w:val="28"/>
                <w:lang w:bidi="ar"/>
              </w:rPr>
              <w:t>23</w:t>
            </w:r>
            <w:r>
              <w:rPr>
                <w:rStyle w:val="60"/>
                <w:rFonts w:hint="eastAsia" w:ascii="仿宋_GB2312" w:hAnsi="仿宋_GB2312" w:eastAsia="仿宋_GB2312" w:cs="仿宋_GB2312"/>
                <w:sz w:val="28"/>
                <w:szCs w:val="28"/>
                <w:lang w:bidi="ar"/>
              </w:rPr>
              <w:t>个</w:t>
            </w:r>
          </w:p>
        </w:tc>
      </w:tr>
      <w:tr w14:paraId="7A3D1926">
        <w:tblPrEx>
          <w:tblCellMar>
            <w:top w:w="0" w:type="dxa"/>
            <w:left w:w="108" w:type="dxa"/>
            <w:bottom w:w="0" w:type="dxa"/>
            <w:right w:w="108" w:type="dxa"/>
          </w:tblCellMar>
        </w:tblPrEx>
        <w:trPr>
          <w:trHeight w:val="891" w:hRule="atLeast"/>
          <w:jc w:val="center"/>
        </w:trPr>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712B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10</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7D3BC">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Style w:val="59"/>
                <w:rFonts w:hint="eastAsia" w:ascii="仿宋_GB2312" w:hAnsi="仿宋_GB2312" w:eastAsia="仿宋_GB2312" w:cs="仿宋_GB2312"/>
                <w:sz w:val="28"/>
                <w:szCs w:val="28"/>
                <w:lang w:bidi="ar"/>
              </w:rPr>
              <w:t>门头标识灯箱</w:t>
            </w:r>
          </w:p>
        </w:tc>
        <w:tc>
          <w:tcPr>
            <w:tcW w:w="534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E8EB48A">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60"/>
                <w:rFonts w:hint="eastAsia" w:ascii="仿宋_GB2312" w:hAnsi="仿宋_GB2312" w:eastAsia="仿宋_GB2312" w:cs="仿宋_GB2312"/>
                <w:sz w:val="28"/>
                <w:szCs w:val="28"/>
                <w:lang w:bidi="ar"/>
              </w:rPr>
            </w:pPr>
            <w:r>
              <w:rPr>
                <w:rStyle w:val="46"/>
                <w:rFonts w:hint="eastAsia" w:ascii="仿宋_GB2312" w:hAnsi="仿宋_GB2312" w:eastAsia="仿宋_GB2312" w:cs="仿宋_GB2312"/>
                <w:sz w:val="28"/>
                <w:szCs w:val="28"/>
                <w:lang w:val="en-US" w:eastAsia="zh-CN" w:bidi="ar"/>
              </w:rPr>
              <w:t>52.</w:t>
            </w:r>
            <w:r>
              <w:rPr>
                <w:rStyle w:val="46"/>
                <w:rFonts w:hint="eastAsia" w:ascii="仿宋_GB2312" w:hAnsi="仿宋_GB2312" w:eastAsia="仿宋_GB2312" w:cs="仿宋_GB2312"/>
                <w:sz w:val="28"/>
                <w:szCs w:val="28"/>
                <w:lang w:bidi="ar"/>
              </w:rPr>
              <w:t>尺寸：长</w:t>
            </w:r>
            <w:r>
              <w:rPr>
                <w:rStyle w:val="60"/>
                <w:rFonts w:hint="eastAsia" w:ascii="仿宋_GB2312" w:hAnsi="仿宋_GB2312" w:eastAsia="仿宋_GB2312" w:cs="仿宋_GB2312"/>
                <w:sz w:val="28"/>
                <w:szCs w:val="28"/>
                <w:lang w:bidi="ar"/>
              </w:rPr>
              <w:t xml:space="preserve"> 200mm*宽 900mm*厚 80mm；</w:t>
            </w:r>
          </w:p>
          <w:p w14:paraId="404D6495">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60"/>
                <w:rFonts w:hint="eastAsia" w:ascii="仿宋_GB2312" w:hAnsi="仿宋_GB2312" w:eastAsia="仿宋_GB2312" w:cs="仿宋_GB2312"/>
                <w:sz w:val="28"/>
                <w:szCs w:val="28"/>
                <w:lang w:bidi="ar"/>
              </w:rPr>
            </w:pPr>
            <w:r>
              <w:rPr>
                <w:rStyle w:val="60"/>
                <w:rFonts w:hint="eastAsia" w:ascii="仿宋_GB2312" w:hAnsi="仿宋_GB2312" w:eastAsia="仿宋_GB2312" w:cs="仿宋_GB2312"/>
                <w:sz w:val="28"/>
                <w:szCs w:val="28"/>
                <w:lang w:val="en-US" w:eastAsia="zh-CN" w:bidi="ar"/>
              </w:rPr>
              <w:t>53.</w:t>
            </w:r>
            <w:r>
              <w:rPr>
                <w:rStyle w:val="60"/>
                <w:rFonts w:hint="eastAsia" w:ascii="仿宋_GB2312" w:hAnsi="仿宋_GB2312" w:eastAsia="仿宋_GB2312" w:cs="仿宋_GB2312"/>
                <w:sz w:val="28"/>
                <w:szCs w:val="28"/>
                <w:lang w:bidi="ar"/>
              </w:rPr>
              <w:t>面板：</w:t>
            </w:r>
            <w:r>
              <w:rPr>
                <w:rStyle w:val="59"/>
                <w:rFonts w:hint="eastAsia" w:ascii="仿宋_GB2312" w:hAnsi="仿宋_GB2312" w:eastAsia="仿宋_GB2312" w:cs="仿宋_GB2312"/>
                <w:sz w:val="28"/>
                <w:szCs w:val="28"/>
                <w:lang w:bidi="ar"/>
              </w:rPr>
              <w:t>≥</w:t>
            </w:r>
            <w:r>
              <w:rPr>
                <w:rStyle w:val="60"/>
                <w:rFonts w:hint="eastAsia" w:ascii="仿宋_GB2312" w:hAnsi="仿宋_GB2312" w:eastAsia="仿宋_GB2312" w:cs="仿宋_GB2312"/>
                <w:sz w:val="28"/>
                <w:szCs w:val="28"/>
                <w:lang w:bidi="ar"/>
              </w:rPr>
              <w:t>5mm 亚克力；</w:t>
            </w:r>
          </w:p>
          <w:p w14:paraId="0F8242E1">
            <w:pPr>
              <w:keepNext w:val="0"/>
              <w:keepLines w:val="0"/>
              <w:pageBreakBefore w:val="0"/>
              <w:widowControl/>
              <w:kinsoku/>
              <w:wordWrap/>
              <w:overflowPunct/>
              <w:topLinePunct w:val="0"/>
              <w:autoSpaceDE/>
              <w:autoSpaceDN/>
              <w:bidi w:val="0"/>
              <w:adjustRightInd/>
              <w:snapToGrid/>
              <w:spacing w:line="400" w:lineRule="exact"/>
              <w:jc w:val="left"/>
              <w:textAlignment w:val="bottom"/>
              <w:rPr>
                <w:rStyle w:val="60"/>
                <w:rFonts w:hint="eastAsia" w:ascii="仿宋_GB2312" w:hAnsi="仿宋_GB2312" w:eastAsia="仿宋_GB2312" w:cs="仿宋_GB2312"/>
                <w:sz w:val="28"/>
                <w:szCs w:val="28"/>
                <w:lang w:bidi="ar"/>
              </w:rPr>
            </w:pPr>
            <w:r>
              <w:rPr>
                <w:rStyle w:val="60"/>
                <w:rFonts w:hint="eastAsia" w:ascii="仿宋_GB2312" w:hAnsi="仿宋_GB2312" w:eastAsia="仿宋_GB2312" w:cs="仿宋_GB2312"/>
                <w:sz w:val="28"/>
                <w:szCs w:val="28"/>
                <w:lang w:val="en-US" w:eastAsia="zh-CN" w:bidi="ar"/>
              </w:rPr>
              <w:t>54.</w:t>
            </w:r>
            <w:r>
              <w:rPr>
                <w:rStyle w:val="60"/>
                <w:rFonts w:hint="eastAsia" w:ascii="仿宋_GB2312" w:hAnsi="仿宋_GB2312" w:eastAsia="仿宋_GB2312" w:cs="仿宋_GB2312"/>
                <w:sz w:val="28"/>
                <w:szCs w:val="28"/>
                <w:lang w:bidi="ar"/>
              </w:rPr>
              <w:t>航空铝型材福彩专用红色烤漆包边；</w:t>
            </w:r>
          </w:p>
          <w:p w14:paraId="5E27BF01">
            <w:pPr>
              <w:keepNext w:val="0"/>
              <w:keepLines w:val="0"/>
              <w:pageBreakBefore w:val="0"/>
              <w:widowControl/>
              <w:kinsoku/>
              <w:wordWrap/>
              <w:overflowPunct/>
              <w:topLinePunct w:val="0"/>
              <w:autoSpaceDE/>
              <w:autoSpaceDN/>
              <w:bidi w:val="0"/>
              <w:adjustRightInd/>
              <w:snapToGrid/>
              <w:spacing w:line="400" w:lineRule="exact"/>
              <w:jc w:val="left"/>
              <w:textAlignment w:val="bottom"/>
              <w:rPr>
                <w:rFonts w:hint="eastAsia" w:ascii="仿宋_GB2312" w:hAnsi="仿宋_GB2312" w:eastAsia="仿宋_GB2312" w:cs="仿宋_GB2312"/>
                <w:color w:val="000000"/>
                <w:sz w:val="28"/>
                <w:szCs w:val="28"/>
              </w:rPr>
            </w:pPr>
            <w:r>
              <w:rPr>
                <w:rStyle w:val="60"/>
                <w:rFonts w:hint="eastAsia" w:ascii="仿宋_GB2312" w:hAnsi="仿宋_GB2312" w:eastAsia="仿宋_GB2312" w:cs="仿宋_GB2312"/>
                <w:sz w:val="28"/>
                <w:szCs w:val="28"/>
                <w:lang w:bidi="ar"/>
              </w:rPr>
              <w:t>LED 防水灯条；防水光源。图文防紫外线贴膜，色彩呈现度高，十年保证不褪色。</w:t>
            </w:r>
          </w:p>
        </w:tc>
        <w:tc>
          <w:tcPr>
            <w:tcW w:w="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1ED12">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Style w:val="46"/>
                <w:rFonts w:hint="eastAsia" w:ascii="仿宋_GB2312" w:hAnsi="仿宋_GB2312" w:eastAsia="仿宋_GB2312" w:cs="仿宋_GB2312"/>
                <w:sz w:val="28"/>
                <w:szCs w:val="28"/>
                <w:lang w:bidi="ar"/>
              </w:rPr>
              <w:t>23</w:t>
            </w:r>
            <w:r>
              <w:rPr>
                <w:rStyle w:val="60"/>
                <w:rFonts w:hint="eastAsia" w:ascii="仿宋_GB2312" w:hAnsi="仿宋_GB2312" w:eastAsia="仿宋_GB2312" w:cs="仿宋_GB2312"/>
                <w:sz w:val="28"/>
                <w:szCs w:val="28"/>
                <w:lang w:bidi="ar"/>
              </w:rPr>
              <w:t>个</w:t>
            </w:r>
          </w:p>
        </w:tc>
      </w:tr>
      <w:tr w14:paraId="6C23325D">
        <w:tblPrEx>
          <w:tblCellMar>
            <w:top w:w="0" w:type="dxa"/>
            <w:left w:w="108" w:type="dxa"/>
            <w:bottom w:w="0" w:type="dxa"/>
            <w:right w:w="108" w:type="dxa"/>
          </w:tblCellMar>
        </w:tblPrEx>
        <w:trPr>
          <w:trHeight w:val="1516" w:hRule="atLeast"/>
          <w:jc w:val="center"/>
        </w:trPr>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36014">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11</w:t>
            </w:r>
          </w:p>
        </w:tc>
        <w:tc>
          <w:tcPr>
            <w:tcW w:w="1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BDA2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Style w:val="59"/>
                <w:rFonts w:hint="eastAsia" w:ascii="仿宋_GB2312" w:hAnsi="仿宋_GB2312" w:eastAsia="仿宋_GB2312" w:cs="仿宋_GB2312"/>
                <w:sz w:val="28"/>
                <w:szCs w:val="28"/>
                <w:lang w:bidi="ar"/>
              </w:rPr>
              <w:t>公益驿站户外服务说明提示牌</w:t>
            </w:r>
          </w:p>
        </w:tc>
        <w:tc>
          <w:tcPr>
            <w:tcW w:w="5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3B90D">
            <w:pPr>
              <w:keepNext w:val="0"/>
              <w:keepLines w:val="0"/>
              <w:pageBreakBefore w:val="0"/>
              <w:widowControl/>
              <w:kinsoku/>
              <w:wordWrap/>
              <w:overflowPunct/>
              <w:topLinePunct w:val="0"/>
              <w:autoSpaceDE/>
              <w:autoSpaceDN/>
              <w:bidi w:val="0"/>
              <w:adjustRightInd/>
              <w:snapToGrid/>
              <w:spacing w:line="400" w:lineRule="exact"/>
              <w:jc w:val="left"/>
              <w:textAlignment w:val="center"/>
              <w:rPr>
                <w:rStyle w:val="47"/>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val="en-US" w:eastAsia="zh-CN" w:bidi="ar"/>
              </w:rPr>
              <w:t>55.</w:t>
            </w:r>
            <w:r>
              <w:rPr>
                <w:rStyle w:val="59"/>
                <w:rFonts w:hint="eastAsia" w:ascii="仿宋_GB2312" w:hAnsi="仿宋_GB2312" w:eastAsia="仿宋_GB2312" w:cs="仿宋_GB2312"/>
                <w:sz w:val="28"/>
                <w:szCs w:val="28"/>
                <w:lang w:bidi="ar"/>
              </w:rPr>
              <w:t>尺寸：长</w:t>
            </w:r>
            <w:r>
              <w:rPr>
                <w:rStyle w:val="47"/>
                <w:rFonts w:hint="eastAsia" w:ascii="仿宋_GB2312" w:hAnsi="仿宋_GB2312" w:eastAsia="仿宋_GB2312" w:cs="仿宋_GB2312"/>
                <w:sz w:val="28"/>
                <w:szCs w:val="28"/>
                <w:lang w:bidi="ar"/>
              </w:rPr>
              <w:t xml:space="preserve"> 500mm </w:t>
            </w:r>
            <w:r>
              <w:rPr>
                <w:rStyle w:val="59"/>
                <w:rFonts w:hint="eastAsia" w:ascii="仿宋_GB2312" w:hAnsi="仿宋_GB2312" w:eastAsia="仿宋_GB2312" w:cs="仿宋_GB2312"/>
                <w:sz w:val="28"/>
                <w:szCs w:val="28"/>
                <w:lang w:bidi="ar"/>
              </w:rPr>
              <w:t>宽</w:t>
            </w:r>
            <w:r>
              <w:rPr>
                <w:rStyle w:val="47"/>
                <w:rFonts w:hint="eastAsia" w:ascii="仿宋_GB2312" w:hAnsi="仿宋_GB2312" w:eastAsia="仿宋_GB2312" w:cs="仿宋_GB2312"/>
                <w:sz w:val="28"/>
                <w:szCs w:val="28"/>
                <w:lang w:bidi="ar"/>
              </w:rPr>
              <w:t xml:space="preserve"> 580mm </w:t>
            </w:r>
            <w:r>
              <w:rPr>
                <w:rStyle w:val="59"/>
                <w:rFonts w:hint="eastAsia" w:ascii="仿宋_GB2312" w:hAnsi="仿宋_GB2312" w:eastAsia="仿宋_GB2312" w:cs="仿宋_GB2312"/>
                <w:sz w:val="28"/>
                <w:szCs w:val="28"/>
                <w:lang w:bidi="ar"/>
              </w:rPr>
              <w:t>厚</w:t>
            </w:r>
            <w:r>
              <w:rPr>
                <w:rStyle w:val="47"/>
                <w:rFonts w:hint="eastAsia" w:ascii="仿宋_GB2312" w:hAnsi="仿宋_GB2312" w:eastAsia="仿宋_GB2312" w:cs="仿宋_GB2312"/>
                <w:sz w:val="28"/>
                <w:szCs w:val="28"/>
                <w:lang w:bidi="ar"/>
              </w:rPr>
              <w:t xml:space="preserve"> 1.0mm, </w:t>
            </w:r>
          </w:p>
          <w:p w14:paraId="5380D334">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Style w:val="59"/>
                <w:rFonts w:hint="eastAsia" w:ascii="仿宋_GB2312" w:hAnsi="仿宋_GB2312" w:eastAsia="仿宋_GB2312" w:cs="仿宋_GB2312"/>
                <w:sz w:val="28"/>
                <w:szCs w:val="28"/>
                <w:lang w:bidi="ar"/>
              </w:rPr>
              <w:t>≥</w:t>
            </w:r>
            <w:r>
              <w:rPr>
                <w:rStyle w:val="47"/>
                <w:rFonts w:hint="eastAsia" w:ascii="仿宋_GB2312" w:hAnsi="仿宋_GB2312" w:eastAsia="仿宋_GB2312" w:cs="仿宋_GB2312"/>
                <w:sz w:val="28"/>
                <w:szCs w:val="28"/>
                <w:lang w:bidi="ar"/>
              </w:rPr>
              <w:t xml:space="preserve">1.0mm </w:t>
            </w:r>
            <w:r>
              <w:rPr>
                <w:rStyle w:val="59"/>
                <w:rFonts w:hint="eastAsia" w:ascii="仿宋_GB2312" w:hAnsi="仿宋_GB2312" w:eastAsia="仿宋_GB2312" w:cs="仿宋_GB2312"/>
                <w:sz w:val="28"/>
                <w:szCs w:val="28"/>
                <w:lang w:bidi="ar"/>
              </w:rPr>
              <w:t>透明亚克力，≥</w:t>
            </w:r>
            <w:r>
              <w:rPr>
                <w:rStyle w:val="47"/>
                <w:rFonts w:hint="eastAsia" w:ascii="仿宋_GB2312" w:hAnsi="仿宋_GB2312" w:eastAsia="仿宋_GB2312" w:cs="仿宋_GB2312"/>
                <w:sz w:val="28"/>
                <w:szCs w:val="28"/>
                <w:lang w:bidi="ar"/>
              </w:rPr>
              <w:t>6</w:t>
            </w:r>
            <w:r>
              <w:rPr>
                <w:rStyle w:val="59"/>
                <w:rFonts w:hint="eastAsia" w:ascii="仿宋_GB2312" w:hAnsi="仿宋_GB2312" w:eastAsia="仿宋_GB2312" w:cs="仿宋_GB2312"/>
                <w:sz w:val="28"/>
                <w:szCs w:val="28"/>
                <w:lang w:bidi="ar"/>
              </w:rPr>
              <w:t>色高精</w:t>
            </w:r>
            <w:r>
              <w:rPr>
                <w:rStyle w:val="47"/>
                <w:rFonts w:hint="eastAsia" w:ascii="仿宋_GB2312" w:hAnsi="仿宋_GB2312" w:eastAsia="仿宋_GB2312" w:cs="仿宋_GB2312"/>
                <w:sz w:val="28"/>
                <w:szCs w:val="28"/>
                <w:lang w:bidi="ar"/>
              </w:rPr>
              <w:t>UV打印</w:t>
            </w:r>
            <w:r>
              <w:rPr>
                <w:rStyle w:val="59"/>
                <w:rFonts w:hint="eastAsia" w:ascii="仿宋_GB2312" w:hAnsi="仿宋_GB2312" w:eastAsia="仿宋_GB2312" w:cs="仿宋_GB2312"/>
                <w:sz w:val="28"/>
                <w:szCs w:val="28"/>
                <w:lang w:bidi="ar"/>
              </w:rPr>
              <w:t>图文内容</w:t>
            </w:r>
          </w:p>
        </w:tc>
        <w:tc>
          <w:tcPr>
            <w:tcW w:w="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E6975">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sz w:val="28"/>
                <w:szCs w:val="28"/>
              </w:rPr>
            </w:pPr>
            <w:r>
              <w:rPr>
                <w:rStyle w:val="46"/>
                <w:rFonts w:hint="eastAsia" w:ascii="仿宋_GB2312" w:hAnsi="仿宋_GB2312" w:eastAsia="仿宋_GB2312" w:cs="仿宋_GB2312"/>
                <w:sz w:val="28"/>
                <w:szCs w:val="28"/>
                <w:lang w:bidi="ar"/>
              </w:rPr>
              <w:t>23</w:t>
            </w:r>
            <w:r>
              <w:rPr>
                <w:rStyle w:val="60"/>
                <w:rFonts w:hint="eastAsia" w:ascii="仿宋_GB2312" w:hAnsi="仿宋_GB2312" w:eastAsia="仿宋_GB2312" w:cs="仿宋_GB2312"/>
                <w:sz w:val="28"/>
                <w:szCs w:val="28"/>
                <w:lang w:bidi="ar"/>
              </w:rPr>
              <w:t>个</w:t>
            </w:r>
          </w:p>
        </w:tc>
      </w:tr>
    </w:tbl>
    <w:p w14:paraId="50F0A7D1">
      <w:pPr>
        <w:pStyle w:val="20"/>
        <w:ind w:left="0" w:leftChars="0" w:firstLine="0" w:firstLineChars="0"/>
        <w:rPr>
          <w:rFonts w:hint="eastAsia"/>
        </w:rPr>
      </w:pPr>
    </w:p>
    <w:p w14:paraId="72952B91">
      <w:pPr>
        <w:keepNext w:val="0"/>
        <w:keepLines w:val="0"/>
        <w:pageBreakBefore w:val="0"/>
        <w:widowControl/>
        <w:kinsoku/>
        <w:wordWrap/>
        <w:overflowPunct/>
        <w:topLinePunct w:val="0"/>
        <w:autoSpaceDE/>
        <w:autoSpaceDN/>
        <w:bidi w:val="0"/>
        <w:adjustRightInd/>
        <w:snapToGrid/>
        <w:spacing w:line="400" w:lineRule="exact"/>
        <w:ind w:firstLine="570" w:firstLineChars="200"/>
        <w:jc w:val="left"/>
        <w:textAlignment w:val="center"/>
        <w:rPr>
          <w:rStyle w:val="59"/>
          <w:rFonts w:hint="eastAsia" w:ascii="仿宋_GB2312" w:hAnsi="仿宋_GB2312" w:eastAsia="仿宋_GB2312" w:cs="仿宋_GB2312"/>
          <w:sz w:val="28"/>
          <w:szCs w:val="28"/>
          <w:lang w:bidi="ar"/>
        </w:rPr>
      </w:pPr>
      <w:r>
        <w:rPr>
          <w:rStyle w:val="59"/>
          <w:rFonts w:hint="eastAsia" w:ascii="仿宋_GB2312" w:hAnsi="仿宋_GB2312" w:eastAsia="仿宋_GB2312" w:cs="仿宋_GB2312"/>
          <w:sz w:val="28"/>
          <w:szCs w:val="28"/>
          <w:lang w:bidi="ar"/>
        </w:rPr>
        <w:t>站点分布</w:t>
      </w:r>
      <w:r>
        <w:rPr>
          <w:rStyle w:val="59"/>
          <w:rFonts w:hint="eastAsia" w:ascii="仿宋_GB2312" w:hAnsi="仿宋_GB2312" w:eastAsia="仿宋_GB2312" w:cs="仿宋_GB2312"/>
          <w:sz w:val="28"/>
          <w:szCs w:val="28"/>
          <w:lang w:eastAsia="zh-CN" w:bidi="ar"/>
        </w:rPr>
        <w:t>：</w:t>
      </w:r>
      <w:r>
        <w:rPr>
          <w:rStyle w:val="59"/>
          <w:rFonts w:hint="eastAsia" w:ascii="仿宋_GB2312" w:hAnsi="仿宋_GB2312" w:eastAsia="仿宋_GB2312" w:cs="仿宋_GB2312"/>
          <w:sz w:val="28"/>
          <w:szCs w:val="28"/>
          <w:lang w:bidi="ar"/>
        </w:rPr>
        <w:t>汉台区10个、南郑区4个、城固县3个、勉县2个、洋县1个、略阳县1个、镇巴县1个、佛坪县1个。</w:t>
      </w:r>
    </w:p>
    <w:p w14:paraId="13C7195C">
      <w:pPr>
        <w:pStyle w:val="20"/>
        <w:ind w:left="0" w:leftChars="0" w:firstLine="0" w:firstLineChars="0"/>
        <w:rPr>
          <w:rFonts w:hint="eastAsia"/>
        </w:rPr>
      </w:pPr>
    </w:p>
    <w:p w14:paraId="3487488C">
      <w:pPr>
        <w:keepNext w:val="0"/>
        <w:keepLines w:val="0"/>
        <w:pageBreakBefore w:val="0"/>
        <w:widowControl w:val="0"/>
        <w:kinsoku/>
        <w:wordWrap/>
        <w:overflowPunct/>
        <w:topLinePunct w:val="0"/>
        <w:autoSpaceDE/>
        <w:autoSpaceDN/>
        <w:bidi w:val="0"/>
        <w:adjustRightInd/>
        <w:snapToGrid/>
        <w:spacing w:line="560" w:lineRule="exact"/>
        <w:ind w:firstLine="570" w:firstLineChars="200"/>
        <w:textAlignment w:val="auto"/>
        <w:rPr>
          <w:rFonts w:hint="eastAsia" w:ascii="仿宋_GB2312" w:hAnsi="仿宋_GB2312" w:eastAsia="仿宋_GB2312" w:cs="仿宋_GB2312"/>
          <w:b/>
          <w:bCs/>
          <w:color w:val="auto"/>
          <w:sz w:val="28"/>
          <w:szCs w:val="28"/>
          <w:highlight w:val="none"/>
          <w:lang w:eastAsia="zh-CN"/>
        </w:rPr>
      </w:pPr>
      <w:r>
        <w:rPr>
          <w:rFonts w:hint="eastAsia" w:ascii="仿宋_GB2312" w:hAnsi="仿宋_GB2312" w:eastAsia="仿宋_GB2312" w:cs="仿宋_GB2312"/>
          <w:b/>
          <w:bCs/>
          <w:color w:val="auto"/>
          <w:sz w:val="28"/>
          <w:szCs w:val="28"/>
          <w:highlight w:val="none"/>
          <w:lang w:eastAsia="zh-CN"/>
        </w:rPr>
        <w:t>备注：</w:t>
      </w:r>
    </w:p>
    <w:p w14:paraId="5E9DF898">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570"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★项不接受负偏离。</w:t>
      </w:r>
    </w:p>
    <w:p w14:paraId="11348D68">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570" w:firstLineChars="200"/>
        <w:textAlignment w:val="auto"/>
        <w:rPr>
          <w:rFonts w:hint="default" w:ascii="宋体" w:hAnsi="宋体" w:eastAsia="宋体" w:cs="宋体"/>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本项目核心产品为：智能积分礼品兑换柜。</w:t>
      </w:r>
    </w:p>
    <w:p w14:paraId="663F4F53">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570" w:firstLineChars="200"/>
        <w:textAlignment w:val="auto"/>
        <w:rPr>
          <w:rFonts w:hint="default" w:ascii="宋体" w:hAnsi="宋体" w:eastAsia="宋体" w:cs="宋体"/>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本项目不接受进口产品参与。</w:t>
      </w:r>
    </w:p>
    <w:p w14:paraId="6FB49E34">
      <w:pPr>
        <w:pStyle w:val="3"/>
        <w:jc w:val="center"/>
        <w:rPr>
          <w:rFonts w:ascii="宋体" w:hAnsi="宋体" w:eastAsia="宋体" w:cs="宋体"/>
          <w:color w:val="auto"/>
          <w:sz w:val="21"/>
          <w:szCs w:val="21"/>
        </w:rPr>
        <w:sectPr>
          <w:footerReference r:id="rId11" w:type="first"/>
          <w:headerReference r:id="rId9" w:type="default"/>
          <w:footerReference r:id="rId10" w:type="default"/>
          <w:pgSz w:w="11906" w:h="16838"/>
          <w:pgMar w:top="1417" w:right="1417" w:bottom="1417" w:left="1417" w:header="850" w:footer="992" w:gutter="0"/>
          <w:pgBorders>
            <w:top w:val="none" w:sz="0" w:space="0"/>
            <w:left w:val="none" w:sz="0" w:space="0"/>
            <w:bottom w:val="none" w:sz="0" w:space="0"/>
            <w:right w:val="none" w:sz="0" w:space="0"/>
          </w:pgBorders>
          <w:cols w:space="0" w:num="1"/>
          <w:rtlGutter w:val="0"/>
          <w:docGrid w:type="linesAndChars" w:linePitch="394" w:charSpace="1024"/>
        </w:sectPr>
      </w:pPr>
      <w:r>
        <w:rPr>
          <w:rFonts w:ascii="宋体" w:hAnsi="宋体" w:eastAsia="宋体" w:cs="宋体"/>
          <w:color w:val="auto"/>
          <w:sz w:val="21"/>
          <w:szCs w:val="21"/>
        </w:rPr>
        <w:br w:type="page"/>
      </w:r>
      <w:bookmarkStart w:id="192" w:name="_Toc35871571"/>
      <w:bookmarkStart w:id="193" w:name="_Toc10371"/>
      <w:bookmarkStart w:id="194" w:name="_Toc14089"/>
      <w:bookmarkStart w:id="195" w:name="_Toc12628"/>
      <w:bookmarkStart w:id="196" w:name="_Toc19317"/>
      <w:bookmarkStart w:id="197" w:name="_Toc18466_WPSOffice_Level1"/>
      <w:bookmarkStart w:id="198" w:name="_Toc784_WPSOffice_Level1"/>
      <w:bookmarkStart w:id="199" w:name="_Toc495014587"/>
      <w:bookmarkStart w:id="200" w:name="_Toc18484_WPSOffice_Level1"/>
      <w:bookmarkStart w:id="201" w:name="_Toc445306495"/>
      <w:bookmarkStart w:id="202" w:name="_Toc495012823"/>
      <w:bookmarkStart w:id="203" w:name="_Toc495014613"/>
      <w:bookmarkStart w:id="204" w:name="_Toc495014651"/>
      <w:bookmarkStart w:id="205" w:name="_Toc495014956"/>
      <w:bookmarkStart w:id="206" w:name="_Toc495012773"/>
      <w:bookmarkStart w:id="207" w:name="_Toc495014922"/>
    </w:p>
    <w:p w14:paraId="15169BF4">
      <w:pPr>
        <w:pStyle w:val="3"/>
        <w:jc w:val="center"/>
        <w:rPr>
          <w:rFonts w:hint="eastAsia" w:ascii="华文仿宋" w:hAnsi="华文仿宋" w:eastAsia="华文仿宋" w:cs="华文仿宋"/>
          <w:b/>
          <w:bCs/>
          <w:color w:val="000000"/>
          <w:kern w:val="0"/>
          <w:sz w:val="28"/>
          <w:szCs w:val="28"/>
          <w:lang w:val="en-US" w:eastAsia="zh-CN" w:bidi="ar"/>
        </w:rPr>
      </w:pPr>
      <w:r>
        <w:rPr>
          <w:rFonts w:ascii="黑体" w:hAnsi="黑体" w:eastAsia="黑体"/>
          <w:b w:val="0"/>
          <w:color w:val="auto"/>
          <w:sz w:val="32"/>
          <w:szCs w:val="32"/>
        </w:rPr>
        <w:t>第</w:t>
      </w:r>
      <w:r>
        <w:rPr>
          <w:rFonts w:hint="eastAsia" w:ascii="黑体" w:hAnsi="黑体" w:eastAsia="黑体"/>
          <w:b w:val="0"/>
          <w:color w:val="auto"/>
          <w:sz w:val="32"/>
          <w:szCs w:val="32"/>
        </w:rPr>
        <w:t>四</w:t>
      </w:r>
      <w:r>
        <w:rPr>
          <w:rFonts w:ascii="黑体" w:hAnsi="黑体" w:eastAsia="黑体"/>
          <w:b w:val="0"/>
          <w:color w:val="auto"/>
          <w:sz w:val="32"/>
          <w:szCs w:val="32"/>
        </w:rPr>
        <w:t xml:space="preserve">章 </w:t>
      </w:r>
      <w:r>
        <w:rPr>
          <w:rFonts w:hint="eastAsia" w:ascii="黑体" w:hAnsi="黑体" w:eastAsia="黑体"/>
          <w:b w:val="0"/>
          <w:color w:val="auto"/>
          <w:sz w:val="32"/>
          <w:szCs w:val="32"/>
        </w:rPr>
        <w:t>合同</w:t>
      </w:r>
      <w:r>
        <w:rPr>
          <w:rFonts w:hint="eastAsia" w:ascii="黑体" w:hAnsi="黑体" w:eastAsia="黑体"/>
          <w:b w:val="0"/>
          <w:color w:val="auto"/>
          <w:sz w:val="32"/>
          <w:szCs w:val="32"/>
          <w:lang w:val="en-US" w:eastAsia="zh-CN"/>
        </w:rPr>
        <w:t>草案</w:t>
      </w:r>
      <w:r>
        <w:rPr>
          <w:rFonts w:hint="eastAsia" w:ascii="黑体" w:hAnsi="黑体" w:eastAsia="黑体"/>
          <w:b w:val="0"/>
          <w:color w:val="auto"/>
          <w:sz w:val="32"/>
          <w:szCs w:val="32"/>
        </w:rPr>
        <w:t>条款</w:t>
      </w:r>
      <w:bookmarkEnd w:id="192"/>
      <w:bookmarkEnd w:id="193"/>
    </w:p>
    <w:p w14:paraId="03E4D82D">
      <w:pPr>
        <w:keepNext w:val="0"/>
        <w:keepLines w:val="0"/>
        <w:pageBreakBefore w:val="0"/>
        <w:widowControl w:val="0"/>
        <w:kinsoku/>
        <w:wordWrap w:val="0"/>
        <w:overflowPunct/>
        <w:topLinePunct w:val="0"/>
        <w:autoSpaceDE/>
        <w:autoSpaceDN/>
        <w:bidi w:val="0"/>
        <w:adjustRightInd/>
        <w:snapToGrid/>
        <w:spacing w:line="560" w:lineRule="exact"/>
        <w:ind w:firstLine="584" w:firstLineChars="200"/>
        <w:jc w:val="left"/>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合同将使用财政部制定的《政府采购货物买卖合同（试行）》（下载地址：http://gks.mof.gov.cn/guizhangzhidu/202404/t20240426_3933545.htm），其中部分条款如下：</w:t>
      </w:r>
    </w:p>
    <w:p w14:paraId="73231845">
      <w:pPr>
        <w:keepNext w:val="0"/>
        <w:keepLines w:val="0"/>
        <w:pageBreakBefore w:val="0"/>
        <w:widowControl w:val="0"/>
        <w:kinsoku/>
        <w:wordWrap/>
        <w:overflowPunct/>
        <w:topLinePunct w:val="0"/>
        <w:autoSpaceDE/>
        <w:autoSpaceDN/>
        <w:bidi w:val="0"/>
        <w:adjustRightInd/>
        <w:snapToGrid/>
        <w:spacing w:line="560" w:lineRule="exact"/>
        <w:ind w:firstLine="584" w:firstLineChars="200"/>
        <w:textAlignment w:val="auto"/>
        <w:rPr>
          <w:rFonts w:hint="default"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一、交付地址：汉台区10个、南郑区4个、城固县3个、勉县2个、洋县1个、略阳县1个、镇巴县1个、佛坪县1个。</w:t>
      </w:r>
    </w:p>
    <w:p w14:paraId="2FEE959C">
      <w:pPr>
        <w:keepNext w:val="0"/>
        <w:keepLines w:val="0"/>
        <w:pageBreakBefore w:val="0"/>
        <w:widowControl w:val="0"/>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二、合同履行期限：</w:t>
      </w:r>
      <w:r>
        <w:rPr>
          <w:rFonts w:hint="eastAsia" w:ascii="仿宋_GB2312" w:hAnsi="仿宋_GB2312" w:eastAsia="仿宋_GB2312" w:cs="仿宋_GB2312"/>
          <w:b w:val="0"/>
          <w:bCs w:val="0"/>
          <w:color w:val="auto"/>
          <w:sz w:val="28"/>
          <w:szCs w:val="28"/>
          <w:highlight w:val="none"/>
          <w:lang w:val="en-US" w:eastAsia="zh-CN"/>
        </w:rPr>
        <w:t>签订合同后30天内。</w:t>
      </w:r>
    </w:p>
    <w:p w14:paraId="53C4AB0C">
      <w:pPr>
        <w:keepNext w:val="0"/>
        <w:keepLines w:val="0"/>
        <w:pageBreakBefore w:val="0"/>
        <w:widowControl w:val="0"/>
        <w:kinsoku/>
        <w:wordWrap/>
        <w:overflowPunct/>
        <w:topLinePunct w:val="0"/>
        <w:autoSpaceDE/>
        <w:autoSpaceDN/>
        <w:bidi w:val="0"/>
        <w:adjustRightInd/>
        <w:snapToGrid/>
        <w:spacing w:line="560" w:lineRule="exact"/>
        <w:ind w:firstLine="584" w:firstLineChars="200"/>
        <w:textAlignment w:val="auto"/>
        <w:rPr>
          <w:rFonts w:hint="default" w:ascii="仿宋_GB2312" w:hAnsi="仿宋_GB2312" w:eastAsia="仿宋_GB2312" w:cs="仿宋_GB2312"/>
          <w:b w:val="0"/>
          <w:bCs w:val="0"/>
          <w:color w:val="auto"/>
          <w:sz w:val="28"/>
          <w:szCs w:val="28"/>
          <w:highlight w:val="yellow"/>
          <w:lang w:val="en-US" w:eastAsia="zh-CN"/>
        </w:rPr>
      </w:pPr>
      <w:r>
        <w:rPr>
          <w:rFonts w:hint="eastAsia" w:ascii="仿宋_GB2312" w:hAnsi="仿宋_GB2312" w:eastAsia="仿宋_GB2312" w:cs="仿宋_GB2312"/>
          <w:b w:val="0"/>
          <w:bCs w:val="0"/>
          <w:color w:val="auto"/>
          <w:sz w:val="28"/>
          <w:szCs w:val="28"/>
          <w:lang w:val="en-US" w:eastAsia="zh-CN"/>
        </w:rPr>
        <w:t>三、质量保证期：</w:t>
      </w:r>
      <w:r>
        <w:rPr>
          <w:rFonts w:hint="eastAsia" w:ascii="仿宋_GB2312" w:hAnsi="仿宋_GB2312" w:eastAsia="仿宋_GB2312" w:cs="仿宋_GB2312"/>
          <w:b w:val="0"/>
          <w:bCs w:val="0"/>
          <w:color w:val="auto"/>
          <w:sz w:val="28"/>
          <w:szCs w:val="28"/>
          <w:highlight w:val="none"/>
          <w:lang w:val="en-US" w:eastAsia="zh-CN"/>
        </w:rPr>
        <w:t>1年。</w:t>
      </w:r>
    </w:p>
    <w:p w14:paraId="5BEF13EB">
      <w:pPr>
        <w:keepNext w:val="0"/>
        <w:keepLines w:val="0"/>
        <w:pageBreakBefore w:val="0"/>
        <w:widowControl w:val="0"/>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lang w:val="en-US" w:eastAsia="zh-CN"/>
        </w:rPr>
        <w:t>四、合同价款支付时间：</w:t>
      </w:r>
      <w:r>
        <w:rPr>
          <w:rFonts w:hint="eastAsia" w:ascii="仿宋_GB2312" w:hAnsi="仿宋_GB2312" w:eastAsia="仿宋_GB2312" w:cs="仿宋_GB2312"/>
          <w:b w:val="0"/>
          <w:bCs w:val="0"/>
          <w:color w:val="auto"/>
          <w:sz w:val="28"/>
          <w:szCs w:val="28"/>
          <w:highlight w:val="none"/>
          <w:lang w:val="en-US" w:eastAsia="zh-CN"/>
        </w:rPr>
        <w:t>合同签订后支付合同金额的50%，项目验收完成后支付剩余款项。</w:t>
      </w:r>
    </w:p>
    <w:p w14:paraId="7C9E556C">
      <w:pPr>
        <w:keepNext w:val="0"/>
        <w:keepLines w:val="0"/>
        <w:pageBreakBefore w:val="0"/>
        <w:widowControl w:val="0"/>
        <w:kinsoku/>
        <w:wordWrap/>
        <w:overflowPunct/>
        <w:topLinePunct w:val="0"/>
        <w:autoSpaceDE/>
        <w:autoSpaceDN/>
        <w:bidi w:val="0"/>
        <w:adjustRightInd/>
        <w:snapToGrid/>
        <w:spacing w:line="560" w:lineRule="exact"/>
        <w:ind w:firstLine="664" w:firstLineChars="200"/>
        <w:textAlignment w:val="auto"/>
        <w:rPr>
          <w:rFonts w:ascii="黑体" w:hAnsi="黑体" w:eastAsia="黑体"/>
          <w:b/>
          <w:bCs/>
          <w:color w:val="auto"/>
          <w:kern w:val="44"/>
          <w:sz w:val="32"/>
          <w:szCs w:val="32"/>
        </w:rPr>
      </w:pPr>
      <w:r>
        <w:rPr>
          <w:rFonts w:ascii="黑体" w:hAnsi="黑体" w:eastAsia="黑体"/>
          <w:bCs/>
          <w:color w:val="auto"/>
          <w:sz w:val="32"/>
          <w:szCs w:val="32"/>
        </w:rPr>
        <w:br w:type="page"/>
      </w:r>
    </w:p>
    <w:p w14:paraId="047FC513">
      <w:pPr>
        <w:pStyle w:val="3"/>
        <w:rPr>
          <w:rFonts w:ascii="黑体" w:hAnsi="黑体" w:eastAsia="黑体" w:cs="黑体"/>
          <w:b w:val="0"/>
          <w:bCs/>
          <w:color w:val="auto"/>
          <w:sz w:val="32"/>
          <w:szCs w:val="32"/>
        </w:rPr>
      </w:pPr>
      <w:bookmarkStart w:id="208" w:name="_Toc5571"/>
      <w:r>
        <w:rPr>
          <w:rFonts w:hint="eastAsia" w:ascii="黑体" w:hAnsi="黑体" w:eastAsia="黑体" w:cs="黑体"/>
          <w:b w:val="0"/>
          <w:bCs/>
          <w:color w:val="auto"/>
          <w:sz w:val="32"/>
          <w:szCs w:val="32"/>
        </w:rPr>
        <w:t>第五章  响应文件构成及格式</w:t>
      </w:r>
      <w:bookmarkEnd w:id="194"/>
      <w:bookmarkEnd w:id="195"/>
      <w:bookmarkEnd w:id="196"/>
      <w:bookmarkEnd w:id="197"/>
      <w:bookmarkEnd w:id="208"/>
    </w:p>
    <w:p w14:paraId="7A4C4B37">
      <w:pPr>
        <w:pStyle w:val="42"/>
        <w:rPr>
          <w:color w:val="auto"/>
        </w:rPr>
      </w:pPr>
    </w:p>
    <w:p w14:paraId="4C72BBE8">
      <w:pPr>
        <w:pStyle w:val="42"/>
        <w:rPr>
          <w:color w:val="auto"/>
        </w:rPr>
      </w:pPr>
    </w:p>
    <w:p w14:paraId="5E692C75">
      <w:pPr>
        <w:pStyle w:val="42"/>
        <w:rPr>
          <w:color w:val="auto"/>
        </w:rPr>
      </w:pPr>
    </w:p>
    <w:p w14:paraId="2F4485D1">
      <w:pPr>
        <w:pStyle w:val="42"/>
        <w:rPr>
          <w:color w:val="auto"/>
        </w:rPr>
      </w:pPr>
      <w:r>
        <w:rPr>
          <w:rFonts w:hint="eastAsia"/>
          <w:color w:val="auto"/>
        </w:rPr>
        <w:t xml:space="preserve">  </w:t>
      </w:r>
    </w:p>
    <w:tbl>
      <w:tblPr>
        <w:tblStyle w:val="21"/>
        <w:tblW w:w="8190"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4830D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tcPr>
          <w:p w14:paraId="3BC3BAC2">
            <w:pPr>
              <w:spacing w:before="12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注释： </w:t>
            </w:r>
          </w:p>
          <w:p w14:paraId="5C12AA8D">
            <w:pPr>
              <w:spacing w:before="120" w:line="420" w:lineRule="exact"/>
              <w:ind w:firstLine="504" w:firstLineChars="20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1、本章分为三部分，是为方便投标人制作响应文件设计。第一、二部分应按要求或给定格式选择填报。</w:t>
            </w:r>
          </w:p>
          <w:p w14:paraId="71306DF3">
            <w:pPr>
              <w:spacing w:before="120" w:line="420" w:lineRule="exact"/>
              <w:ind w:firstLine="504" w:firstLineChars="20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2、第三部分</w:t>
            </w:r>
            <w:r>
              <w:rPr>
                <w:rFonts w:hint="eastAsia" w:ascii="仿宋_GB2312" w:hAnsi="仿宋_GB2312" w:eastAsia="仿宋_GB2312" w:cs="仿宋_GB2312"/>
                <w:color w:val="auto"/>
                <w:sz w:val="24"/>
                <w:szCs w:val="24"/>
                <w:lang w:val="en-US" w:eastAsia="zh-CN"/>
              </w:rPr>
              <w:t>响应</w:t>
            </w:r>
            <w:r>
              <w:rPr>
                <w:rFonts w:hint="eastAsia" w:ascii="仿宋_GB2312" w:hAnsi="仿宋_GB2312" w:eastAsia="仿宋_GB2312" w:cs="仿宋_GB2312"/>
                <w:color w:val="auto"/>
                <w:sz w:val="24"/>
                <w:szCs w:val="24"/>
              </w:rPr>
              <w:t>方案格式仅供参考，</w:t>
            </w:r>
            <w:r>
              <w:rPr>
                <w:rFonts w:hint="eastAsia" w:ascii="仿宋_GB2312" w:hAnsi="仿宋_GB2312" w:eastAsia="仿宋_GB2312" w:cs="仿宋_GB2312"/>
                <w:color w:val="auto"/>
                <w:sz w:val="24"/>
                <w:szCs w:val="24"/>
                <w:lang w:val="en-US" w:eastAsia="zh-CN"/>
              </w:rPr>
              <w:t>供应商</w:t>
            </w:r>
            <w:r>
              <w:rPr>
                <w:rFonts w:hint="eastAsia" w:ascii="仿宋_GB2312" w:hAnsi="仿宋_GB2312" w:eastAsia="仿宋_GB2312" w:cs="仿宋_GB2312"/>
                <w:color w:val="auto"/>
                <w:sz w:val="24"/>
                <w:szCs w:val="24"/>
              </w:rPr>
              <w:t>应根据项目特点，结合本次</w:t>
            </w:r>
            <w:r>
              <w:rPr>
                <w:rFonts w:hint="eastAsia" w:ascii="仿宋_GB2312" w:hAnsi="仿宋_GB2312" w:eastAsia="仿宋_GB2312" w:cs="仿宋_GB2312"/>
                <w:color w:val="auto"/>
                <w:sz w:val="24"/>
                <w:szCs w:val="24"/>
                <w:lang w:val="en-US" w:eastAsia="zh-CN"/>
              </w:rPr>
              <w:t>磋商</w:t>
            </w:r>
            <w:r>
              <w:rPr>
                <w:rFonts w:hint="eastAsia" w:ascii="仿宋_GB2312" w:hAnsi="仿宋_GB2312" w:eastAsia="仿宋_GB2312" w:cs="仿宋_GB2312"/>
                <w:color w:val="auto"/>
                <w:sz w:val="24"/>
                <w:szCs w:val="24"/>
              </w:rPr>
              <w:t>要求，对有关表格进行补充或修改，但不得对实质性文件的相关条款作出变动。</w:t>
            </w:r>
          </w:p>
        </w:tc>
      </w:tr>
    </w:tbl>
    <w:p w14:paraId="648408F3">
      <w:pPr>
        <w:pStyle w:val="42"/>
        <w:rPr>
          <w:color w:val="auto"/>
          <w:sz w:val="20"/>
        </w:rPr>
      </w:pPr>
    </w:p>
    <w:p w14:paraId="3AD6E51A">
      <w:pPr>
        <w:pStyle w:val="39"/>
        <w:spacing w:line="240" w:lineRule="auto"/>
        <w:ind w:firstLine="259" w:firstLineChars="70"/>
        <w:jc w:val="center"/>
        <w:rPr>
          <w:rFonts w:ascii="宋体" w:hAnsi="宋体" w:eastAsia="宋体"/>
          <w:color w:val="auto"/>
          <w:sz w:val="36"/>
          <w:szCs w:val="36"/>
        </w:rPr>
      </w:pPr>
    </w:p>
    <w:p w14:paraId="3301056F">
      <w:pPr>
        <w:pStyle w:val="39"/>
        <w:spacing w:line="240" w:lineRule="auto"/>
        <w:ind w:firstLine="259" w:firstLineChars="70"/>
        <w:jc w:val="center"/>
        <w:rPr>
          <w:color w:val="auto"/>
          <w:sz w:val="36"/>
          <w:szCs w:val="36"/>
        </w:rPr>
      </w:pPr>
      <w:r>
        <w:rPr>
          <w:rFonts w:ascii="宋体" w:hAnsi="宋体" w:eastAsia="宋体"/>
          <w:color w:val="auto"/>
          <w:sz w:val="36"/>
          <w:szCs w:val="36"/>
        </w:rPr>
        <w:br w:type="page"/>
      </w:r>
    </w:p>
    <w:p w14:paraId="596A7495">
      <w:pPr>
        <w:spacing w:line="240" w:lineRule="auto"/>
        <w:jc w:val="left"/>
        <w:outlineLvl w:val="0"/>
        <w:rPr>
          <w:rFonts w:hint="eastAsia" w:ascii="华文中宋" w:hAnsi="华文中宋" w:eastAsia="华文中宋" w:cs="华文中宋"/>
          <w:color w:val="auto"/>
          <w:sz w:val="60"/>
          <w:szCs w:val="60"/>
        </w:rPr>
      </w:pPr>
      <w:bookmarkStart w:id="209" w:name="_Toc26349"/>
      <w:bookmarkStart w:id="210" w:name="_Toc23235"/>
      <w:bookmarkStart w:id="211" w:name="_Toc10248"/>
      <w:bookmarkStart w:id="212" w:name="_Toc26293"/>
      <w:bookmarkStart w:id="213" w:name="_Toc6132"/>
      <w:bookmarkStart w:id="214" w:name="_Toc257"/>
      <w:bookmarkStart w:id="215" w:name="_Toc24786"/>
    </w:p>
    <w:p w14:paraId="0D977AA2">
      <w:pPr>
        <w:spacing w:line="240" w:lineRule="auto"/>
        <w:jc w:val="center"/>
        <w:outlineLvl w:val="0"/>
        <w:rPr>
          <w:rFonts w:hint="eastAsia" w:ascii="方正小标宋简体" w:hAnsi="方正小标宋简体" w:eastAsia="方正小标宋简体" w:cs="方正小标宋简体"/>
          <w:color w:val="auto"/>
          <w:sz w:val="52"/>
          <w:szCs w:val="52"/>
        </w:rPr>
      </w:pPr>
      <w:bookmarkStart w:id="216" w:name="_Toc14411"/>
      <w:r>
        <w:rPr>
          <w:rFonts w:hint="eastAsia" w:ascii="方正小标宋简体" w:hAnsi="方正小标宋简体" w:eastAsia="方正小标宋简体" w:cs="方正小标宋简体"/>
          <w:color w:val="auto"/>
          <w:sz w:val="52"/>
          <w:szCs w:val="52"/>
          <w:lang w:val="en-US" w:eastAsia="zh-CN"/>
        </w:rPr>
        <w:t>汉中市</w:t>
      </w:r>
      <w:r>
        <w:rPr>
          <w:rFonts w:hint="eastAsia" w:ascii="方正小标宋简体" w:hAnsi="方正小标宋简体" w:eastAsia="方正小标宋简体" w:cs="方正小标宋简体"/>
          <w:color w:val="auto"/>
          <w:sz w:val="52"/>
          <w:szCs w:val="52"/>
        </w:rPr>
        <w:t>政府采购</w:t>
      </w:r>
      <w:r>
        <w:rPr>
          <w:rFonts w:hint="eastAsia" w:ascii="方正小标宋简体" w:hAnsi="方正小标宋简体" w:eastAsia="方正小标宋简体" w:cs="方正小标宋简体"/>
          <w:color w:val="auto"/>
          <w:sz w:val="52"/>
          <w:szCs w:val="52"/>
          <w:lang w:val="en-US" w:eastAsia="zh-CN"/>
        </w:rPr>
        <w:t>竞争性磋商</w:t>
      </w:r>
      <w:r>
        <w:rPr>
          <w:rFonts w:hint="eastAsia" w:ascii="方正小标宋简体" w:hAnsi="方正小标宋简体" w:eastAsia="方正小标宋简体" w:cs="方正小标宋简体"/>
          <w:color w:val="auto"/>
          <w:sz w:val="52"/>
          <w:szCs w:val="52"/>
        </w:rPr>
        <w:t>项目</w:t>
      </w:r>
      <w:bookmarkEnd w:id="209"/>
      <w:bookmarkEnd w:id="210"/>
      <w:bookmarkEnd w:id="211"/>
      <w:bookmarkEnd w:id="212"/>
      <w:bookmarkEnd w:id="213"/>
      <w:bookmarkEnd w:id="214"/>
      <w:bookmarkEnd w:id="215"/>
      <w:bookmarkEnd w:id="216"/>
    </w:p>
    <w:p w14:paraId="649364D8">
      <w:pPr>
        <w:pStyle w:val="39"/>
        <w:spacing w:line="240" w:lineRule="auto"/>
        <w:ind w:left="0" w:leftChars="0" w:firstLine="0" w:firstLineChars="0"/>
        <w:jc w:val="both"/>
        <w:rPr>
          <w:rFonts w:hint="eastAsia" w:ascii="方正小标宋简体" w:hAnsi="方正小标宋简体" w:eastAsia="方正小标宋简体" w:cs="方正小标宋简体"/>
          <w:color w:val="auto"/>
          <w:sz w:val="36"/>
          <w:szCs w:val="36"/>
        </w:rPr>
      </w:pPr>
    </w:p>
    <w:p w14:paraId="75574231">
      <w:pPr>
        <w:spacing w:line="240" w:lineRule="auto"/>
        <w:jc w:val="center"/>
        <w:outlineLvl w:val="0"/>
        <w:rPr>
          <w:rFonts w:hint="eastAsia" w:ascii="方正小标宋简体" w:hAnsi="方正小标宋简体" w:eastAsia="方正小标宋简体" w:cs="方正小标宋简体"/>
          <w:color w:val="auto"/>
          <w:sz w:val="100"/>
          <w:szCs w:val="100"/>
          <w:lang w:val="en-US" w:eastAsia="zh-CN"/>
        </w:rPr>
      </w:pPr>
      <w:bookmarkStart w:id="217" w:name="_Toc8257"/>
      <w:bookmarkStart w:id="218" w:name="_Toc20481"/>
      <w:bookmarkStart w:id="219" w:name="_Toc6733"/>
      <w:bookmarkStart w:id="220" w:name="_Toc19569"/>
      <w:bookmarkStart w:id="221" w:name="_Toc26378"/>
      <w:bookmarkStart w:id="222" w:name="_Toc13950"/>
      <w:bookmarkStart w:id="223" w:name="_Toc76"/>
      <w:bookmarkStart w:id="224" w:name="_Toc17700"/>
      <w:r>
        <w:rPr>
          <w:rFonts w:hint="eastAsia" w:ascii="方正小标宋简体" w:hAnsi="方正小标宋简体" w:eastAsia="方正小标宋简体" w:cs="方正小标宋简体"/>
          <w:color w:val="auto"/>
          <w:sz w:val="100"/>
          <w:szCs w:val="100"/>
          <w:lang w:val="en-US" w:eastAsia="zh-CN"/>
        </w:rPr>
        <w:t>响应文件</w:t>
      </w:r>
      <w:bookmarkEnd w:id="217"/>
      <w:bookmarkEnd w:id="218"/>
      <w:bookmarkEnd w:id="219"/>
      <w:bookmarkEnd w:id="220"/>
      <w:bookmarkEnd w:id="221"/>
      <w:bookmarkEnd w:id="222"/>
      <w:bookmarkEnd w:id="223"/>
      <w:bookmarkEnd w:id="224"/>
    </w:p>
    <w:p w14:paraId="518A40FF">
      <w:pPr>
        <w:pStyle w:val="39"/>
        <w:spacing w:line="240" w:lineRule="auto"/>
        <w:ind w:firstLine="0" w:firstLineChars="0"/>
        <w:jc w:val="center"/>
        <w:rPr>
          <w:rFonts w:ascii="华文仿宋" w:hAnsi="华文仿宋" w:cs="华文仿宋"/>
          <w:color w:val="auto"/>
          <w:sz w:val="36"/>
          <w:szCs w:val="36"/>
        </w:rPr>
      </w:pPr>
    </w:p>
    <w:p w14:paraId="12F3E334">
      <w:pPr>
        <w:pStyle w:val="39"/>
        <w:spacing w:line="240" w:lineRule="auto"/>
        <w:ind w:firstLine="0" w:firstLineChars="0"/>
        <w:jc w:val="both"/>
        <w:rPr>
          <w:rFonts w:ascii="华文仿宋" w:hAnsi="华文仿宋" w:cs="华文仿宋"/>
          <w:color w:val="auto"/>
          <w:sz w:val="36"/>
          <w:szCs w:val="36"/>
        </w:rPr>
      </w:pPr>
    </w:p>
    <w:p w14:paraId="4B5F63C9">
      <w:pPr>
        <w:pStyle w:val="39"/>
        <w:spacing w:line="240" w:lineRule="auto"/>
        <w:ind w:firstLine="0" w:firstLineChars="0"/>
        <w:jc w:val="both"/>
        <w:rPr>
          <w:rFonts w:ascii="华文仿宋" w:hAnsi="华文仿宋" w:cs="华文仿宋"/>
          <w:color w:val="auto"/>
          <w:sz w:val="36"/>
          <w:szCs w:val="36"/>
        </w:rPr>
      </w:pPr>
    </w:p>
    <w:p w14:paraId="26AFF7C8">
      <w:pPr>
        <w:pStyle w:val="39"/>
        <w:spacing w:line="240" w:lineRule="auto"/>
        <w:ind w:firstLine="0" w:firstLineChars="0"/>
        <w:jc w:val="center"/>
        <w:rPr>
          <w:rFonts w:ascii="华文仿宋" w:hAnsi="华文仿宋" w:cs="华文仿宋"/>
          <w:color w:val="auto"/>
          <w:sz w:val="36"/>
        </w:rPr>
      </w:pPr>
    </w:p>
    <w:p w14:paraId="493CE92D">
      <w:pPr>
        <w:pStyle w:val="39"/>
        <w:spacing w:line="240" w:lineRule="auto"/>
        <w:ind w:firstLine="0" w:firstLineChars="0"/>
        <w:jc w:val="center"/>
        <w:rPr>
          <w:rFonts w:ascii="华文仿宋" w:hAnsi="华文仿宋" w:cs="华文仿宋"/>
          <w:color w:val="auto"/>
          <w:sz w:val="36"/>
        </w:rPr>
      </w:pPr>
    </w:p>
    <w:p w14:paraId="4E8B6BD9">
      <w:pPr>
        <w:pStyle w:val="39"/>
        <w:spacing w:line="240" w:lineRule="auto"/>
        <w:ind w:firstLine="0" w:firstLineChars="0"/>
        <w:jc w:val="center"/>
        <w:rPr>
          <w:rFonts w:hint="eastAsia" w:ascii="仿宋_GB2312" w:hAnsi="仿宋_GB2312" w:eastAsia="仿宋_GB2312" w:cs="仿宋_GB2312"/>
          <w:color w:val="auto"/>
          <w:sz w:val="36"/>
        </w:rPr>
      </w:pPr>
    </w:p>
    <w:p w14:paraId="652BB5D0">
      <w:pPr>
        <w:pStyle w:val="39"/>
        <w:spacing w:line="240" w:lineRule="auto"/>
        <w:ind w:firstLine="1488" w:firstLineChars="400"/>
        <w:outlineLvl w:val="0"/>
        <w:rPr>
          <w:rFonts w:hint="eastAsia" w:ascii="仿宋_GB2312" w:hAnsi="仿宋_GB2312" w:eastAsia="仿宋_GB2312" w:cs="仿宋_GB2312"/>
          <w:b/>
          <w:color w:val="auto"/>
          <w:sz w:val="36"/>
          <w:szCs w:val="36"/>
          <w:u w:val="single"/>
        </w:rPr>
      </w:pPr>
      <w:bookmarkStart w:id="225" w:name="_Toc23171"/>
      <w:bookmarkStart w:id="226" w:name="_Toc2030"/>
      <w:bookmarkStart w:id="227" w:name="_Toc22280"/>
      <w:bookmarkStart w:id="228" w:name="_Toc24457"/>
      <w:bookmarkStart w:id="229" w:name="_Toc24486"/>
      <w:bookmarkStart w:id="230" w:name="_Toc15354"/>
      <w:bookmarkStart w:id="231" w:name="_Toc15913"/>
      <w:bookmarkStart w:id="232" w:name="_Toc12627"/>
      <w:r>
        <w:rPr>
          <w:rFonts w:hint="eastAsia" w:ascii="仿宋_GB2312" w:hAnsi="仿宋_GB2312" w:eastAsia="仿宋_GB2312" w:cs="仿宋_GB2312"/>
          <w:bCs/>
          <w:color w:val="auto"/>
          <w:sz w:val="36"/>
          <w:szCs w:val="36"/>
        </w:rPr>
        <w:t>项目名称：</w:t>
      </w:r>
      <w:bookmarkEnd w:id="225"/>
      <w:bookmarkEnd w:id="226"/>
      <w:bookmarkEnd w:id="227"/>
      <w:bookmarkEnd w:id="228"/>
      <w:bookmarkEnd w:id="229"/>
      <w:bookmarkEnd w:id="230"/>
      <w:bookmarkEnd w:id="231"/>
      <w:bookmarkEnd w:id="232"/>
      <w:r>
        <w:rPr>
          <w:rFonts w:hint="eastAsia" w:ascii="仿宋_GB2312" w:hAnsi="仿宋_GB2312" w:eastAsia="仿宋_GB2312" w:cs="仿宋_GB2312"/>
          <w:color w:val="auto"/>
          <w:sz w:val="36"/>
          <w:szCs w:val="36"/>
          <w:u w:val="single"/>
        </w:rPr>
        <w:t xml:space="preserve">             </w:t>
      </w:r>
    </w:p>
    <w:p w14:paraId="4A0ED1D5">
      <w:pPr>
        <w:pStyle w:val="39"/>
        <w:spacing w:line="240" w:lineRule="auto"/>
        <w:ind w:firstLine="1488" w:firstLineChars="400"/>
        <w:outlineLvl w:val="0"/>
        <w:rPr>
          <w:rFonts w:hint="eastAsia" w:ascii="仿宋_GB2312" w:hAnsi="仿宋_GB2312" w:eastAsia="仿宋_GB2312" w:cs="仿宋_GB2312"/>
          <w:color w:val="auto"/>
          <w:sz w:val="36"/>
          <w:szCs w:val="36"/>
          <w:u w:val="single"/>
        </w:rPr>
      </w:pPr>
      <w:bookmarkStart w:id="233" w:name="_Toc16607"/>
      <w:bookmarkStart w:id="234" w:name="_Toc5428"/>
      <w:bookmarkStart w:id="235" w:name="_Toc22519"/>
      <w:bookmarkStart w:id="236" w:name="_Toc1120"/>
      <w:bookmarkStart w:id="237" w:name="_Toc11267"/>
      <w:bookmarkStart w:id="238" w:name="_Toc21054"/>
      <w:bookmarkStart w:id="239" w:name="_Toc29966"/>
      <w:bookmarkStart w:id="240" w:name="_Toc15987"/>
      <w:r>
        <w:rPr>
          <w:rFonts w:hint="eastAsia" w:ascii="仿宋_GB2312" w:hAnsi="仿宋_GB2312" w:eastAsia="仿宋_GB2312" w:cs="仿宋_GB2312"/>
          <w:bCs/>
          <w:color w:val="auto"/>
          <w:sz w:val="36"/>
          <w:szCs w:val="36"/>
        </w:rPr>
        <w:t>项目</w:t>
      </w:r>
      <w:r>
        <w:rPr>
          <w:rFonts w:hint="eastAsia" w:ascii="仿宋_GB2312" w:hAnsi="仿宋_GB2312" w:eastAsia="仿宋_GB2312" w:cs="仿宋_GB2312"/>
          <w:bCs/>
          <w:color w:val="auto"/>
          <w:sz w:val="36"/>
          <w:szCs w:val="36"/>
          <w:lang w:val="en-US" w:eastAsia="zh-CN"/>
        </w:rPr>
        <w:t>编号</w:t>
      </w:r>
      <w:r>
        <w:rPr>
          <w:rFonts w:hint="eastAsia" w:ascii="仿宋_GB2312" w:hAnsi="仿宋_GB2312" w:eastAsia="仿宋_GB2312" w:cs="仿宋_GB2312"/>
          <w:bCs/>
          <w:color w:val="auto"/>
          <w:sz w:val="36"/>
          <w:szCs w:val="36"/>
        </w:rPr>
        <w:t>：</w:t>
      </w:r>
      <w:bookmarkEnd w:id="233"/>
      <w:r>
        <w:rPr>
          <w:rFonts w:hint="eastAsia" w:ascii="仿宋_GB2312" w:hAnsi="仿宋_GB2312" w:eastAsia="仿宋_GB2312" w:cs="仿宋_GB2312"/>
          <w:color w:val="auto"/>
          <w:sz w:val="36"/>
          <w:szCs w:val="36"/>
          <w:u w:val="single"/>
        </w:rPr>
        <w:t xml:space="preserve">             </w:t>
      </w:r>
    </w:p>
    <w:p w14:paraId="181A645D">
      <w:pPr>
        <w:pStyle w:val="39"/>
        <w:spacing w:line="240" w:lineRule="auto"/>
        <w:ind w:firstLine="1488" w:firstLineChars="400"/>
        <w:outlineLvl w:val="0"/>
        <w:rPr>
          <w:rFonts w:hint="eastAsia" w:ascii="仿宋_GB2312" w:hAnsi="仿宋_GB2312" w:eastAsia="仿宋_GB2312" w:cs="仿宋_GB2312"/>
          <w:color w:val="auto"/>
          <w:sz w:val="36"/>
        </w:rPr>
      </w:pPr>
      <w:bookmarkStart w:id="241" w:name="_Toc18959"/>
      <w:r>
        <w:rPr>
          <w:rFonts w:hint="eastAsia" w:ascii="仿宋_GB2312" w:hAnsi="仿宋_GB2312" w:eastAsia="仿宋_GB2312" w:cs="仿宋_GB2312"/>
          <w:color w:val="auto"/>
          <w:sz w:val="36"/>
        </w:rPr>
        <w:t>供 应 商：</w:t>
      </w:r>
      <w:r>
        <w:rPr>
          <w:rFonts w:hint="eastAsia" w:ascii="仿宋_GB2312" w:hAnsi="仿宋_GB2312" w:eastAsia="仿宋_GB2312" w:cs="仿宋_GB2312"/>
          <w:color w:val="auto"/>
          <w:sz w:val="36"/>
          <w:u w:val="single"/>
        </w:rPr>
        <w:t xml:space="preserve"> </w:t>
      </w:r>
      <w:r>
        <w:rPr>
          <w:rFonts w:hint="eastAsia" w:ascii="仿宋_GB2312" w:hAnsi="仿宋_GB2312" w:eastAsia="仿宋_GB2312" w:cs="仿宋_GB2312"/>
          <w:color w:val="auto"/>
          <w:sz w:val="36"/>
          <w:szCs w:val="36"/>
          <w:u w:val="single"/>
        </w:rPr>
        <w:t xml:space="preserve">            </w:t>
      </w:r>
      <w:r>
        <w:rPr>
          <w:rFonts w:hint="eastAsia" w:ascii="仿宋_GB2312" w:hAnsi="仿宋_GB2312" w:eastAsia="仿宋_GB2312" w:cs="仿宋_GB2312"/>
          <w:color w:val="auto"/>
          <w:sz w:val="36"/>
        </w:rPr>
        <w:t>（公章）</w:t>
      </w:r>
      <w:bookmarkEnd w:id="234"/>
      <w:bookmarkEnd w:id="235"/>
      <w:bookmarkEnd w:id="236"/>
      <w:bookmarkEnd w:id="237"/>
      <w:bookmarkEnd w:id="238"/>
      <w:bookmarkEnd w:id="239"/>
      <w:bookmarkEnd w:id="240"/>
      <w:bookmarkEnd w:id="241"/>
    </w:p>
    <w:p w14:paraId="22B661A8">
      <w:pPr>
        <w:pStyle w:val="39"/>
        <w:spacing w:line="240" w:lineRule="auto"/>
        <w:ind w:firstLine="1488" w:firstLineChars="400"/>
        <w:jc w:val="left"/>
        <w:outlineLvl w:val="0"/>
        <w:rPr>
          <w:rFonts w:hint="eastAsia" w:ascii="仿宋" w:hAnsi="仿宋" w:eastAsia="仿宋" w:cs="仿宋"/>
          <w:color w:val="auto"/>
          <w:sz w:val="36"/>
          <w:szCs w:val="36"/>
          <w:u w:val="single"/>
        </w:rPr>
      </w:pPr>
      <w:bookmarkStart w:id="242" w:name="_Toc7734"/>
      <w:bookmarkStart w:id="243" w:name="_Toc9715"/>
      <w:bookmarkStart w:id="244" w:name="_Toc21702"/>
      <w:bookmarkStart w:id="245" w:name="_Toc26250"/>
      <w:bookmarkStart w:id="246" w:name="_Toc24294"/>
      <w:bookmarkStart w:id="247" w:name="_Toc5243"/>
      <w:bookmarkStart w:id="248" w:name="_Toc880"/>
      <w:bookmarkStart w:id="249" w:name="_Toc15429"/>
      <w:r>
        <w:rPr>
          <w:rFonts w:hint="eastAsia" w:ascii="仿宋_GB2312" w:hAnsi="仿宋_GB2312" w:eastAsia="仿宋_GB2312" w:cs="仿宋_GB2312"/>
          <w:color w:val="auto"/>
          <w:sz w:val="36"/>
        </w:rPr>
        <w:t>时　  间：</w:t>
      </w:r>
      <w:bookmarkEnd w:id="242"/>
      <w:bookmarkEnd w:id="243"/>
      <w:bookmarkEnd w:id="244"/>
      <w:r>
        <w:rPr>
          <w:rFonts w:hint="eastAsia" w:ascii="仿宋_GB2312" w:hAnsi="仿宋_GB2312" w:eastAsia="仿宋_GB2312" w:cs="仿宋_GB2312"/>
          <w:color w:val="auto"/>
          <w:sz w:val="36"/>
          <w:u w:val="single"/>
        </w:rPr>
        <w:t xml:space="preserve"> </w:t>
      </w:r>
      <w:r>
        <w:rPr>
          <w:rFonts w:hint="eastAsia" w:ascii="仿宋_GB2312" w:hAnsi="仿宋_GB2312" w:eastAsia="仿宋_GB2312" w:cs="仿宋_GB2312"/>
          <w:color w:val="auto"/>
          <w:sz w:val="36"/>
          <w:szCs w:val="36"/>
          <w:u w:val="single"/>
        </w:rPr>
        <w:t xml:space="preserve">            </w:t>
      </w:r>
      <w:bookmarkEnd w:id="245"/>
      <w:bookmarkEnd w:id="246"/>
      <w:bookmarkEnd w:id="247"/>
      <w:bookmarkEnd w:id="248"/>
      <w:bookmarkEnd w:id="249"/>
    </w:p>
    <w:p w14:paraId="7D7CEBCB">
      <w:pPr>
        <w:pStyle w:val="39"/>
        <w:spacing w:line="240" w:lineRule="auto"/>
        <w:ind w:firstLine="1488" w:firstLineChars="400"/>
        <w:jc w:val="left"/>
        <w:outlineLvl w:val="0"/>
        <w:rPr>
          <w:rFonts w:hint="eastAsia" w:ascii="仿宋" w:hAnsi="仿宋" w:eastAsia="仿宋" w:cs="仿宋"/>
          <w:color w:val="auto"/>
          <w:sz w:val="36"/>
          <w:szCs w:val="36"/>
          <w:u w:val="single"/>
        </w:rPr>
      </w:pPr>
    </w:p>
    <w:bookmarkEnd w:id="198"/>
    <w:bookmarkEnd w:id="199"/>
    <w:bookmarkEnd w:id="200"/>
    <w:bookmarkEnd w:id="201"/>
    <w:bookmarkEnd w:id="202"/>
    <w:bookmarkEnd w:id="203"/>
    <w:bookmarkEnd w:id="204"/>
    <w:bookmarkEnd w:id="205"/>
    <w:bookmarkEnd w:id="206"/>
    <w:bookmarkEnd w:id="207"/>
    <w:p w14:paraId="582225C5">
      <w:pPr>
        <w:rPr>
          <w:rFonts w:ascii="华文仿宋" w:hAnsi="华文仿宋" w:cs="华文仿宋"/>
          <w:color w:val="auto"/>
          <w:sz w:val="36"/>
        </w:rPr>
      </w:pPr>
      <w:bookmarkStart w:id="250" w:name="_Toc22476_WPSOffice_Level1"/>
      <w:bookmarkStart w:id="251" w:name="_Toc2071_WPSOffice_Level1"/>
      <w:bookmarkStart w:id="252" w:name="_Toc31082_WPSOffice_Level1"/>
      <w:bookmarkStart w:id="253" w:name="_Toc21571_WPSOffice_Level1"/>
      <w:r>
        <w:rPr>
          <w:rFonts w:ascii="华文仿宋" w:hAnsi="华文仿宋" w:cs="华文仿宋"/>
          <w:color w:val="auto"/>
          <w:sz w:val="36"/>
        </w:rPr>
        <w:br w:type="page"/>
      </w:r>
    </w:p>
    <w:p w14:paraId="1BACAA34">
      <w:pPr>
        <w:pStyle w:val="43"/>
        <w:rPr>
          <w:rFonts w:hint="eastAsia" w:ascii="黑体" w:hAnsi="黑体" w:eastAsia="黑体" w:cs="黑体"/>
          <w:b w:val="0"/>
          <w:bCs w:val="0"/>
          <w:color w:val="auto"/>
          <w:sz w:val="36"/>
          <w:szCs w:val="36"/>
        </w:rPr>
      </w:pPr>
      <w:bookmarkStart w:id="254" w:name="_Toc10193"/>
      <w:bookmarkStart w:id="255" w:name="_Toc27037"/>
      <w:bookmarkStart w:id="256" w:name="_Toc24906"/>
      <w:bookmarkStart w:id="257" w:name="_Toc23450"/>
      <w:bookmarkStart w:id="258" w:name="_Toc11156"/>
      <w:r>
        <w:rPr>
          <w:rFonts w:hint="eastAsia" w:ascii="黑体" w:hAnsi="黑体" w:eastAsia="黑体" w:cs="黑体"/>
          <w:b w:val="0"/>
          <w:bCs w:val="0"/>
          <w:color w:val="auto"/>
          <w:sz w:val="44"/>
          <w:szCs w:val="44"/>
        </w:rPr>
        <w:t>目  录</w:t>
      </w:r>
      <w:bookmarkEnd w:id="250"/>
      <w:bookmarkEnd w:id="251"/>
      <w:bookmarkEnd w:id="252"/>
      <w:bookmarkEnd w:id="253"/>
      <w:bookmarkEnd w:id="254"/>
      <w:bookmarkEnd w:id="255"/>
      <w:bookmarkEnd w:id="256"/>
      <w:bookmarkEnd w:id="257"/>
      <w:bookmarkEnd w:id="258"/>
    </w:p>
    <w:p w14:paraId="0E985C8E">
      <w:pPr>
        <w:keepNext w:val="0"/>
        <w:keepLines w:val="0"/>
        <w:pageBreakBefore w:val="0"/>
        <w:widowControl/>
        <w:tabs>
          <w:tab w:val="right" w:leader="hyphen" w:pos="8504"/>
        </w:tabs>
        <w:kinsoku/>
        <w:wordWrap/>
        <w:overflowPunct/>
        <w:topLinePunct w:val="0"/>
        <w:autoSpaceDE/>
        <w:autoSpaceDN/>
        <w:bidi w:val="0"/>
        <w:adjustRightInd/>
        <w:snapToGrid/>
        <w:spacing w:line="560" w:lineRule="exact"/>
        <w:ind w:left="2244" w:leftChars="200" w:right="876" w:rightChars="300" w:hanging="1660" w:hangingChars="500"/>
        <w:textAlignment w:val="auto"/>
        <w:rPr>
          <w:rFonts w:ascii="黑体" w:hAnsi="黑体" w:eastAsia="黑体" w:cs="黑体"/>
          <w:color w:val="auto"/>
          <w:sz w:val="32"/>
          <w:szCs w:val="32"/>
        </w:rPr>
      </w:pPr>
      <w:bookmarkStart w:id="259" w:name="_Toc26192_WPSOffice_Level1"/>
      <w:bookmarkStart w:id="260" w:name="_Toc19993_WPSOffice_Level1"/>
      <w:bookmarkStart w:id="261" w:name="_Toc25537_WPSOffice_Level1"/>
      <w:bookmarkStart w:id="262" w:name="_Toc8294_WPSOffice_Level1"/>
      <w:r>
        <w:rPr>
          <w:rFonts w:hint="eastAsia" w:ascii="黑体" w:hAnsi="黑体" w:eastAsia="黑体" w:cs="黑体"/>
          <w:color w:val="auto"/>
          <w:sz w:val="32"/>
          <w:szCs w:val="32"/>
        </w:rPr>
        <w:t>第一部分  资格证明文件</w:t>
      </w:r>
      <w:r>
        <w:rPr>
          <w:rFonts w:hint="eastAsia" w:ascii="黑体" w:hAnsi="黑体" w:eastAsia="黑体" w:cs="黑体"/>
          <w:color w:val="auto"/>
          <w:sz w:val="32"/>
          <w:szCs w:val="32"/>
        </w:rPr>
        <w:tab/>
      </w:r>
      <w:r>
        <w:rPr>
          <w:rFonts w:hint="eastAsia" w:ascii="黑体" w:hAnsi="黑体" w:eastAsia="黑体" w:cs="黑体"/>
          <w:color w:val="auto"/>
          <w:sz w:val="32"/>
          <w:szCs w:val="32"/>
        </w:rPr>
        <w:t>X</w:t>
      </w:r>
      <w:bookmarkEnd w:id="259"/>
      <w:bookmarkEnd w:id="260"/>
      <w:bookmarkEnd w:id="261"/>
      <w:bookmarkEnd w:id="262"/>
    </w:p>
    <w:p w14:paraId="40C497B6">
      <w:pPr>
        <w:keepNext w:val="0"/>
        <w:keepLines w:val="0"/>
        <w:pageBreakBefore w:val="0"/>
        <w:widowControl/>
        <w:tabs>
          <w:tab w:val="right" w:leader="hyphen" w:pos="8504"/>
        </w:tabs>
        <w:kinsoku/>
        <w:wordWrap/>
        <w:overflowPunct/>
        <w:topLinePunct w:val="0"/>
        <w:autoSpaceDE/>
        <w:autoSpaceDN/>
        <w:bidi w:val="0"/>
        <w:adjustRightInd/>
        <w:snapToGrid/>
        <w:spacing w:line="560" w:lineRule="exact"/>
        <w:ind w:right="876" w:rightChars="300" w:firstLine="1328" w:firstLineChars="400"/>
        <w:textAlignment w:val="auto"/>
        <w:rPr>
          <w:rFonts w:hint="eastAsia" w:ascii="仿宋_GB2312" w:hAnsi="仿宋_GB2312" w:eastAsia="仿宋_GB2312" w:cs="仿宋_GB2312"/>
          <w:color w:val="auto"/>
          <w:sz w:val="32"/>
          <w:szCs w:val="32"/>
        </w:rPr>
      </w:pPr>
      <w:bookmarkStart w:id="263" w:name="_Toc14464_WPSOffice_Level2"/>
      <w:bookmarkStart w:id="264" w:name="_Toc25969_WPSOffice_Level2"/>
      <w:bookmarkStart w:id="265" w:name="_Toc31082_WPSOffice_Level2"/>
      <w:bookmarkStart w:id="266" w:name="_Toc19993_WPSOffice_Level2"/>
      <w:r>
        <w:rPr>
          <w:rFonts w:hint="eastAsia" w:ascii="仿宋_GB2312" w:hAnsi="仿宋_GB2312" w:eastAsia="仿宋_GB2312" w:cs="仿宋_GB2312"/>
          <w:color w:val="auto"/>
          <w:sz w:val="32"/>
          <w:szCs w:val="32"/>
        </w:rPr>
        <w:t>一、营业执照等主体资格证明文件</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X</w:t>
      </w:r>
      <w:bookmarkEnd w:id="263"/>
      <w:bookmarkEnd w:id="264"/>
      <w:bookmarkEnd w:id="265"/>
      <w:bookmarkEnd w:id="266"/>
    </w:p>
    <w:p w14:paraId="15742F1A">
      <w:pPr>
        <w:keepNext w:val="0"/>
        <w:keepLines w:val="0"/>
        <w:pageBreakBefore w:val="0"/>
        <w:widowControl/>
        <w:tabs>
          <w:tab w:val="right" w:leader="hyphen" w:pos="8504"/>
        </w:tabs>
        <w:kinsoku/>
        <w:wordWrap/>
        <w:overflowPunct/>
        <w:topLinePunct w:val="0"/>
        <w:autoSpaceDE/>
        <w:autoSpaceDN/>
        <w:bidi w:val="0"/>
        <w:adjustRightInd/>
        <w:snapToGrid/>
        <w:spacing w:line="560" w:lineRule="exact"/>
        <w:ind w:right="876" w:rightChars="300" w:firstLine="1328" w:firstLineChars="400"/>
        <w:textAlignment w:val="auto"/>
        <w:rPr>
          <w:rFonts w:hint="eastAsia" w:ascii="仿宋_GB2312" w:hAnsi="仿宋_GB2312" w:eastAsia="仿宋_GB2312" w:cs="仿宋_GB2312"/>
          <w:color w:val="auto"/>
          <w:sz w:val="32"/>
          <w:szCs w:val="32"/>
        </w:rPr>
      </w:pPr>
      <w:bookmarkStart w:id="267" w:name="_Toc25537_WPSOffice_Level2"/>
      <w:bookmarkStart w:id="268" w:name="_Toc10078_WPSOffice_Level2"/>
      <w:bookmarkStart w:id="269" w:name="_Toc27026_WPSOffice_Level2"/>
      <w:bookmarkStart w:id="270" w:name="_Toc5830_WPSOffice_Level2"/>
      <w:r>
        <w:rPr>
          <w:rFonts w:hint="eastAsia" w:ascii="仿宋_GB2312" w:hAnsi="仿宋_GB2312" w:eastAsia="仿宋_GB2312" w:cs="仿宋_GB2312"/>
          <w:color w:val="auto"/>
          <w:sz w:val="32"/>
          <w:szCs w:val="32"/>
        </w:rPr>
        <w:t>二、法定代表人（负责人）授权委托书</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X</w:t>
      </w:r>
      <w:bookmarkEnd w:id="267"/>
      <w:bookmarkEnd w:id="268"/>
      <w:bookmarkEnd w:id="269"/>
      <w:bookmarkEnd w:id="270"/>
    </w:p>
    <w:p w14:paraId="404A393E">
      <w:pPr>
        <w:keepNext w:val="0"/>
        <w:keepLines w:val="0"/>
        <w:pageBreakBefore w:val="0"/>
        <w:widowControl/>
        <w:tabs>
          <w:tab w:val="right" w:leader="hyphen" w:pos="8504"/>
        </w:tabs>
        <w:kinsoku/>
        <w:wordWrap/>
        <w:overflowPunct/>
        <w:topLinePunct w:val="0"/>
        <w:autoSpaceDE/>
        <w:autoSpaceDN/>
        <w:bidi w:val="0"/>
        <w:adjustRightInd/>
        <w:snapToGrid/>
        <w:spacing w:line="560" w:lineRule="exact"/>
        <w:ind w:right="876" w:rightChars="300" w:firstLine="1328" w:firstLineChars="400"/>
        <w:textAlignment w:val="auto"/>
        <w:rPr>
          <w:rFonts w:hint="eastAsia" w:ascii="仿宋_GB2312" w:hAnsi="仿宋_GB2312" w:eastAsia="仿宋_GB2312" w:cs="仿宋_GB2312"/>
          <w:color w:val="auto"/>
          <w:sz w:val="32"/>
          <w:szCs w:val="32"/>
        </w:rPr>
      </w:pPr>
      <w:bookmarkStart w:id="271" w:name="_Toc22808_WPSOffice_Level2"/>
      <w:bookmarkStart w:id="272" w:name="_Toc6392_WPSOffice_Level2"/>
      <w:bookmarkStart w:id="273" w:name="_Toc30252_WPSOffice_Level2"/>
      <w:bookmarkStart w:id="274" w:name="_Toc17853_WPSOffice_Level2"/>
      <w:r>
        <w:rPr>
          <w:rFonts w:hint="eastAsia" w:ascii="仿宋_GB2312" w:hAnsi="仿宋_GB2312" w:eastAsia="仿宋_GB2312" w:cs="仿宋_GB2312"/>
          <w:color w:val="auto"/>
          <w:sz w:val="32"/>
          <w:szCs w:val="32"/>
        </w:rPr>
        <w:t>三、汉中市政府采购供应商资格承诺函</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X</w:t>
      </w:r>
      <w:bookmarkEnd w:id="271"/>
      <w:bookmarkEnd w:id="272"/>
      <w:bookmarkEnd w:id="273"/>
      <w:bookmarkEnd w:id="274"/>
    </w:p>
    <w:p w14:paraId="60FBD6EB">
      <w:pPr>
        <w:keepNext w:val="0"/>
        <w:keepLines w:val="0"/>
        <w:pageBreakBefore w:val="0"/>
        <w:widowControl/>
        <w:tabs>
          <w:tab w:val="right" w:leader="hyphen" w:pos="8504"/>
        </w:tabs>
        <w:kinsoku/>
        <w:wordWrap/>
        <w:overflowPunct/>
        <w:topLinePunct w:val="0"/>
        <w:autoSpaceDE/>
        <w:autoSpaceDN/>
        <w:bidi w:val="0"/>
        <w:adjustRightInd/>
        <w:snapToGrid/>
        <w:spacing w:line="560" w:lineRule="exact"/>
        <w:ind w:right="876" w:rightChars="300" w:firstLine="1328" w:firstLineChars="4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rPr>
        <w:t>、落实政府采购政策需满足的资格要求</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X</w:t>
      </w:r>
    </w:p>
    <w:p w14:paraId="4AA79CFF">
      <w:pPr>
        <w:keepNext w:val="0"/>
        <w:keepLines w:val="0"/>
        <w:pageBreakBefore w:val="0"/>
        <w:widowControl/>
        <w:tabs>
          <w:tab w:val="right" w:leader="hyphen" w:pos="8504"/>
        </w:tabs>
        <w:kinsoku/>
        <w:wordWrap/>
        <w:overflowPunct/>
        <w:topLinePunct w:val="0"/>
        <w:autoSpaceDE/>
        <w:autoSpaceDN/>
        <w:bidi w:val="0"/>
        <w:adjustRightInd/>
        <w:snapToGrid/>
        <w:spacing w:line="560" w:lineRule="exact"/>
        <w:ind w:left="2244" w:leftChars="200" w:right="876" w:rightChars="300" w:hanging="1660" w:hangingChars="500"/>
        <w:textAlignment w:val="auto"/>
        <w:rPr>
          <w:rFonts w:ascii="黑体" w:hAnsi="黑体" w:eastAsia="黑体" w:cs="黑体"/>
          <w:color w:val="auto"/>
          <w:sz w:val="32"/>
          <w:szCs w:val="32"/>
        </w:rPr>
      </w:pPr>
      <w:bookmarkStart w:id="275" w:name="_Toc30252_WPSOffice_Level1"/>
      <w:bookmarkStart w:id="276" w:name="_Toc22849_WPSOffice_Level1"/>
      <w:bookmarkStart w:id="277" w:name="_Toc28184_WPSOffice_Level1"/>
      <w:bookmarkStart w:id="278" w:name="_Toc27026_WPSOffice_Level1"/>
      <w:r>
        <w:rPr>
          <w:rFonts w:hint="eastAsia" w:ascii="黑体" w:hAnsi="黑体" w:eastAsia="黑体" w:cs="黑体"/>
          <w:color w:val="auto"/>
          <w:sz w:val="32"/>
          <w:szCs w:val="32"/>
        </w:rPr>
        <w:t>第二部分  符合性证明文件</w:t>
      </w:r>
      <w:r>
        <w:rPr>
          <w:color w:val="auto"/>
          <w:sz w:val="32"/>
          <w:szCs w:val="32"/>
        </w:rPr>
        <w:tab/>
      </w:r>
      <w:r>
        <w:rPr>
          <w:color w:val="auto"/>
          <w:sz w:val="32"/>
          <w:szCs w:val="32"/>
        </w:rPr>
        <w:t>X</w:t>
      </w:r>
      <w:bookmarkEnd w:id="275"/>
      <w:bookmarkEnd w:id="276"/>
      <w:bookmarkEnd w:id="277"/>
      <w:bookmarkEnd w:id="278"/>
    </w:p>
    <w:p w14:paraId="77E97C32">
      <w:pPr>
        <w:keepNext w:val="0"/>
        <w:keepLines w:val="0"/>
        <w:pageBreakBefore w:val="0"/>
        <w:widowControl/>
        <w:tabs>
          <w:tab w:val="right" w:leader="hyphen" w:pos="8504"/>
        </w:tabs>
        <w:kinsoku/>
        <w:wordWrap/>
        <w:overflowPunct/>
        <w:topLinePunct w:val="0"/>
        <w:autoSpaceDE/>
        <w:autoSpaceDN/>
        <w:bidi w:val="0"/>
        <w:adjustRightInd/>
        <w:snapToGrid/>
        <w:spacing w:line="560" w:lineRule="exact"/>
        <w:ind w:right="876" w:rightChars="300" w:firstLine="1328" w:firstLineChars="400"/>
        <w:textAlignment w:val="auto"/>
        <w:rPr>
          <w:rFonts w:hint="eastAsia" w:ascii="仿宋_GB2312" w:hAnsi="仿宋_GB2312" w:eastAsia="仿宋_GB2312" w:cs="仿宋_GB2312"/>
          <w:color w:val="auto"/>
          <w:sz w:val="32"/>
          <w:szCs w:val="32"/>
        </w:rPr>
      </w:pPr>
      <w:bookmarkStart w:id="279" w:name="_Toc5795_WPSOffice_Level2"/>
      <w:bookmarkStart w:id="280" w:name="_Toc28631_WPSOffice_Level2"/>
      <w:bookmarkStart w:id="281" w:name="_Toc7348_WPSOffice_Level2"/>
      <w:bookmarkStart w:id="282" w:name="_Toc183_WPSOffice_Level2"/>
      <w:r>
        <w:rPr>
          <w:rFonts w:hint="eastAsia" w:ascii="仿宋_GB2312" w:hAnsi="仿宋_GB2312" w:eastAsia="仿宋_GB2312" w:cs="仿宋_GB2312"/>
          <w:color w:val="auto"/>
          <w:sz w:val="32"/>
          <w:szCs w:val="32"/>
        </w:rPr>
        <w:t>一、响应函格式</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X</w:t>
      </w:r>
      <w:bookmarkEnd w:id="279"/>
      <w:bookmarkEnd w:id="280"/>
      <w:bookmarkEnd w:id="281"/>
      <w:bookmarkEnd w:id="282"/>
    </w:p>
    <w:p w14:paraId="699BB91E">
      <w:pPr>
        <w:keepNext w:val="0"/>
        <w:keepLines w:val="0"/>
        <w:pageBreakBefore w:val="0"/>
        <w:widowControl/>
        <w:tabs>
          <w:tab w:val="right" w:leader="hyphen" w:pos="8504"/>
        </w:tabs>
        <w:kinsoku/>
        <w:wordWrap/>
        <w:overflowPunct/>
        <w:topLinePunct w:val="0"/>
        <w:autoSpaceDE/>
        <w:autoSpaceDN/>
        <w:bidi w:val="0"/>
        <w:adjustRightInd/>
        <w:snapToGrid/>
        <w:spacing w:line="560" w:lineRule="exact"/>
        <w:ind w:right="876" w:rightChars="300" w:firstLine="1328" w:firstLineChars="400"/>
        <w:textAlignment w:val="auto"/>
        <w:rPr>
          <w:rFonts w:hint="eastAsia" w:ascii="仿宋_GB2312" w:hAnsi="仿宋_GB2312" w:eastAsia="仿宋_GB2312" w:cs="仿宋_GB2312"/>
          <w:color w:val="auto"/>
          <w:sz w:val="32"/>
          <w:szCs w:val="32"/>
        </w:rPr>
      </w:pPr>
      <w:bookmarkStart w:id="283" w:name="_Toc27223_WPSOffice_Level2"/>
      <w:bookmarkStart w:id="284" w:name="_Toc9021_WPSOffice_Level2"/>
      <w:bookmarkStart w:id="285" w:name="_Toc8116_WPSOffice_Level2"/>
      <w:bookmarkStart w:id="286" w:name="_Toc1168_WPSOffice_Level2"/>
      <w:r>
        <w:rPr>
          <w:rFonts w:hint="eastAsia" w:ascii="仿宋_GB2312" w:hAnsi="仿宋_GB2312" w:eastAsia="仿宋_GB2312" w:cs="仿宋_GB2312"/>
          <w:color w:val="auto"/>
          <w:sz w:val="32"/>
          <w:szCs w:val="32"/>
        </w:rPr>
        <w:t>二、第一次磋商报价表</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X</w:t>
      </w:r>
      <w:bookmarkEnd w:id="283"/>
      <w:bookmarkEnd w:id="284"/>
      <w:bookmarkEnd w:id="285"/>
      <w:bookmarkEnd w:id="286"/>
    </w:p>
    <w:p w14:paraId="6DC8B1D6">
      <w:pPr>
        <w:keepNext w:val="0"/>
        <w:keepLines w:val="0"/>
        <w:pageBreakBefore w:val="0"/>
        <w:widowControl/>
        <w:tabs>
          <w:tab w:val="right" w:leader="hyphen" w:pos="8504"/>
        </w:tabs>
        <w:kinsoku/>
        <w:wordWrap/>
        <w:overflowPunct/>
        <w:topLinePunct w:val="0"/>
        <w:autoSpaceDE/>
        <w:autoSpaceDN/>
        <w:bidi w:val="0"/>
        <w:adjustRightInd/>
        <w:snapToGrid/>
        <w:spacing w:line="560" w:lineRule="exact"/>
        <w:ind w:right="876" w:rightChars="300" w:firstLine="1328" w:firstLineChars="4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分项报价表</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X</w:t>
      </w:r>
    </w:p>
    <w:p w14:paraId="06FAE63D">
      <w:pPr>
        <w:keepNext w:val="0"/>
        <w:keepLines w:val="0"/>
        <w:pageBreakBefore w:val="0"/>
        <w:widowControl/>
        <w:tabs>
          <w:tab w:val="right" w:leader="hyphen" w:pos="8504"/>
        </w:tabs>
        <w:kinsoku/>
        <w:wordWrap/>
        <w:overflowPunct/>
        <w:topLinePunct w:val="0"/>
        <w:autoSpaceDE/>
        <w:autoSpaceDN/>
        <w:bidi w:val="0"/>
        <w:adjustRightInd/>
        <w:snapToGrid/>
        <w:spacing w:line="560" w:lineRule="exact"/>
        <w:ind w:right="876" w:rightChars="300" w:firstLine="1328" w:firstLineChars="400"/>
        <w:textAlignment w:val="auto"/>
        <w:rPr>
          <w:rFonts w:hint="eastAsia" w:ascii="仿宋_GB2312" w:hAnsi="仿宋_GB2312" w:eastAsia="仿宋_GB2312" w:cs="仿宋_GB2312"/>
          <w:color w:val="auto"/>
          <w:sz w:val="32"/>
          <w:szCs w:val="32"/>
        </w:rPr>
      </w:pPr>
      <w:bookmarkStart w:id="287" w:name="_Toc3525_WPSOffice_Level2"/>
      <w:bookmarkStart w:id="288" w:name="_Toc27170_WPSOffice_Level2"/>
      <w:bookmarkStart w:id="289" w:name="_Toc11630_WPSOffice_Level2"/>
      <w:bookmarkStart w:id="290" w:name="_Toc29414_WPSOffice_Level2"/>
      <w:r>
        <w:rPr>
          <w:rFonts w:hint="eastAsia" w:ascii="仿宋_GB2312" w:hAnsi="仿宋_GB2312" w:eastAsia="仿宋_GB2312" w:cs="仿宋_GB2312"/>
          <w:color w:val="auto"/>
          <w:sz w:val="32"/>
          <w:szCs w:val="32"/>
        </w:rPr>
        <w:t>三、供应商参加政府采购活动承诺书</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X</w:t>
      </w:r>
      <w:bookmarkEnd w:id="287"/>
      <w:bookmarkEnd w:id="288"/>
      <w:bookmarkEnd w:id="289"/>
      <w:bookmarkEnd w:id="290"/>
    </w:p>
    <w:p w14:paraId="6E3D0F3C">
      <w:pPr>
        <w:keepNext w:val="0"/>
        <w:keepLines w:val="0"/>
        <w:pageBreakBefore w:val="0"/>
        <w:widowControl/>
        <w:tabs>
          <w:tab w:val="right" w:leader="hyphen" w:pos="8504"/>
        </w:tabs>
        <w:kinsoku/>
        <w:wordWrap/>
        <w:overflowPunct/>
        <w:topLinePunct w:val="0"/>
        <w:autoSpaceDE/>
        <w:autoSpaceDN/>
        <w:bidi w:val="0"/>
        <w:adjustRightInd/>
        <w:snapToGrid/>
        <w:spacing w:line="560" w:lineRule="exact"/>
        <w:ind w:right="876" w:rightChars="300" w:firstLine="1328" w:firstLineChars="400"/>
        <w:textAlignment w:val="auto"/>
        <w:rPr>
          <w:rFonts w:hint="eastAsia" w:ascii="仿宋_GB2312" w:hAnsi="仿宋_GB2312" w:eastAsia="仿宋_GB2312" w:cs="仿宋_GB2312"/>
          <w:color w:val="auto"/>
          <w:sz w:val="32"/>
          <w:szCs w:val="32"/>
        </w:rPr>
      </w:pPr>
      <w:bookmarkStart w:id="291" w:name="_Toc20504_WPSOffice_Level2"/>
      <w:bookmarkStart w:id="292" w:name="_Toc31457_WPSOffice_Level2"/>
      <w:bookmarkStart w:id="293" w:name="_Toc1782_WPSOffice_Level2"/>
      <w:bookmarkStart w:id="294" w:name="_Toc18811_WPSOffice_Level2"/>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rPr>
        <w:t>、技术服务偏差表</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X</w:t>
      </w:r>
      <w:bookmarkEnd w:id="291"/>
      <w:bookmarkEnd w:id="292"/>
      <w:bookmarkEnd w:id="293"/>
      <w:bookmarkEnd w:id="294"/>
    </w:p>
    <w:p w14:paraId="7F0B36A6">
      <w:pPr>
        <w:keepNext w:val="0"/>
        <w:keepLines w:val="0"/>
        <w:pageBreakBefore w:val="0"/>
        <w:widowControl/>
        <w:tabs>
          <w:tab w:val="right" w:leader="hyphen" w:pos="8504"/>
        </w:tabs>
        <w:kinsoku/>
        <w:wordWrap/>
        <w:overflowPunct/>
        <w:topLinePunct w:val="0"/>
        <w:autoSpaceDE/>
        <w:autoSpaceDN/>
        <w:bidi w:val="0"/>
        <w:adjustRightInd/>
        <w:snapToGrid/>
        <w:spacing w:line="560" w:lineRule="exact"/>
        <w:ind w:right="876" w:rightChars="300" w:firstLine="1328" w:firstLineChars="400"/>
        <w:textAlignment w:val="auto"/>
        <w:rPr>
          <w:rFonts w:hint="eastAsia" w:ascii="仿宋_GB2312" w:hAnsi="仿宋_GB2312" w:eastAsia="仿宋_GB2312" w:cs="仿宋_GB2312"/>
          <w:color w:val="auto"/>
          <w:sz w:val="32"/>
          <w:szCs w:val="32"/>
        </w:rPr>
      </w:pPr>
      <w:bookmarkStart w:id="295" w:name="_Toc13258_WPSOffice_Level2"/>
      <w:bookmarkStart w:id="296" w:name="_Toc17428_WPSOffice_Level2"/>
      <w:bookmarkStart w:id="297" w:name="_Toc19486_WPSOffice_Level2"/>
      <w:bookmarkStart w:id="298" w:name="_Toc28279_WPSOffice_Level2"/>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rPr>
        <w:t>、合同</w:t>
      </w:r>
      <w:r>
        <w:rPr>
          <w:rFonts w:hint="eastAsia" w:ascii="仿宋_GB2312" w:hAnsi="仿宋_GB2312" w:eastAsia="仿宋_GB2312" w:cs="仿宋_GB2312"/>
          <w:color w:val="auto"/>
          <w:sz w:val="32"/>
          <w:szCs w:val="32"/>
          <w:lang w:val="en-US" w:eastAsia="zh-CN"/>
        </w:rPr>
        <w:t>草案</w:t>
      </w:r>
      <w:r>
        <w:rPr>
          <w:rFonts w:hint="eastAsia" w:ascii="仿宋_GB2312" w:hAnsi="仿宋_GB2312" w:eastAsia="仿宋_GB2312" w:cs="仿宋_GB2312"/>
          <w:color w:val="auto"/>
          <w:sz w:val="32"/>
          <w:szCs w:val="32"/>
        </w:rPr>
        <w:t>条款响应</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X</w:t>
      </w:r>
      <w:bookmarkEnd w:id="295"/>
      <w:bookmarkEnd w:id="296"/>
      <w:bookmarkEnd w:id="297"/>
      <w:bookmarkEnd w:id="298"/>
    </w:p>
    <w:p w14:paraId="554829B8">
      <w:pPr>
        <w:keepNext w:val="0"/>
        <w:keepLines w:val="0"/>
        <w:pageBreakBefore w:val="0"/>
        <w:widowControl/>
        <w:tabs>
          <w:tab w:val="right" w:leader="hyphen" w:pos="8504"/>
        </w:tabs>
        <w:kinsoku/>
        <w:wordWrap/>
        <w:overflowPunct/>
        <w:topLinePunct w:val="0"/>
        <w:autoSpaceDE/>
        <w:autoSpaceDN/>
        <w:bidi w:val="0"/>
        <w:adjustRightInd/>
        <w:snapToGrid/>
        <w:spacing w:line="560" w:lineRule="exact"/>
        <w:ind w:right="876" w:rightChars="300" w:firstLine="664" w:firstLineChars="200"/>
        <w:textAlignment w:val="auto"/>
        <w:rPr>
          <w:rFonts w:ascii="黑体" w:hAnsi="黑体" w:eastAsia="黑体" w:cs="黑体"/>
          <w:color w:val="auto"/>
          <w:sz w:val="32"/>
          <w:szCs w:val="32"/>
        </w:rPr>
      </w:pPr>
      <w:bookmarkStart w:id="299" w:name="_Toc23092_WPSOffice_Level1"/>
      <w:bookmarkStart w:id="300" w:name="_Toc21905_WPSOffice_Level1"/>
      <w:bookmarkStart w:id="301" w:name="_Toc22808_WPSOffice_Level1"/>
      <w:bookmarkStart w:id="302" w:name="_Toc27464_WPSOffice_Level1"/>
      <w:r>
        <w:rPr>
          <w:rFonts w:hint="eastAsia" w:ascii="黑体" w:hAnsi="黑体" w:eastAsia="黑体" w:cs="黑体"/>
          <w:color w:val="auto"/>
          <w:sz w:val="32"/>
          <w:szCs w:val="32"/>
        </w:rPr>
        <w:t>第三部分  响应方案</w:t>
      </w:r>
      <w:bookmarkEnd w:id="299"/>
      <w:bookmarkEnd w:id="300"/>
      <w:bookmarkEnd w:id="301"/>
      <w:bookmarkEnd w:id="302"/>
    </w:p>
    <w:p w14:paraId="764301DC">
      <w:pPr>
        <w:keepNext w:val="0"/>
        <w:keepLines w:val="0"/>
        <w:pageBreakBefore w:val="0"/>
        <w:widowControl/>
        <w:tabs>
          <w:tab w:val="right" w:leader="hyphen" w:pos="8504"/>
        </w:tabs>
        <w:kinsoku/>
        <w:wordWrap/>
        <w:overflowPunct/>
        <w:topLinePunct w:val="0"/>
        <w:autoSpaceDE/>
        <w:autoSpaceDN/>
        <w:bidi w:val="0"/>
        <w:adjustRightInd/>
        <w:snapToGrid/>
        <w:spacing w:line="560" w:lineRule="exact"/>
        <w:ind w:right="876" w:rightChars="300" w:firstLine="1328" w:firstLineChars="400"/>
        <w:textAlignment w:val="auto"/>
        <w:rPr>
          <w:rFonts w:hint="eastAsia" w:ascii="仿宋_GB2312" w:hAnsi="仿宋_GB2312" w:eastAsia="仿宋_GB2312" w:cs="仿宋_GB2312"/>
          <w:color w:val="auto"/>
          <w:sz w:val="32"/>
          <w:szCs w:val="32"/>
        </w:rPr>
      </w:pPr>
      <w:bookmarkStart w:id="303" w:name="_Toc7951_WPSOffice_Level2"/>
      <w:bookmarkStart w:id="304" w:name="_Toc980_WPSOffice_Level2"/>
      <w:bookmarkStart w:id="305" w:name="_Toc8316_WPSOffice_Level2"/>
      <w:bookmarkStart w:id="306" w:name="_Toc7544_WPSOffice_Level2"/>
      <w:r>
        <w:rPr>
          <w:rFonts w:hint="eastAsia" w:ascii="仿宋_GB2312" w:hAnsi="仿宋_GB2312" w:eastAsia="仿宋_GB2312" w:cs="仿宋_GB2312"/>
          <w:color w:val="auto"/>
          <w:sz w:val="32"/>
          <w:szCs w:val="32"/>
        </w:rPr>
        <w:t>一、供应商</w:t>
      </w:r>
      <w:bookmarkEnd w:id="303"/>
      <w:r>
        <w:rPr>
          <w:rFonts w:hint="eastAsia" w:ascii="仿宋_GB2312" w:hAnsi="仿宋_GB2312" w:eastAsia="仿宋_GB2312" w:cs="仿宋_GB2312"/>
          <w:color w:val="auto"/>
          <w:sz w:val="32"/>
          <w:szCs w:val="32"/>
          <w:lang w:val="en-US" w:eastAsia="zh-CN"/>
        </w:rPr>
        <w:t>基本情况及其性质</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X</w:t>
      </w:r>
      <w:bookmarkEnd w:id="304"/>
      <w:bookmarkEnd w:id="305"/>
      <w:bookmarkEnd w:id="306"/>
    </w:p>
    <w:p w14:paraId="5133C150">
      <w:pPr>
        <w:keepNext w:val="0"/>
        <w:keepLines w:val="0"/>
        <w:pageBreakBefore w:val="0"/>
        <w:widowControl/>
        <w:tabs>
          <w:tab w:val="right" w:leader="hyphen" w:pos="8504"/>
        </w:tabs>
        <w:kinsoku/>
        <w:wordWrap/>
        <w:overflowPunct/>
        <w:topLinePunct w:val="0"/>
        <w:autoSpaceDE/>
        <w:autoSpaceDN/>
        <w:bidi w:val="0"/>
        <w:adjustRightInd/>
        <w:snapToGrid/>
        <w:spacing w:line="560" w:lineRule="exact"/>
        <w:ind w:right="876" w:rightChars="300" w:firstLine="1328" w:firstLineChars="400"/>
        <w:textAlignment w:val="auto"/>
        <w:rPr>
          <w:rFonts w:hint="eastAsia" w:ascii="仿宋_GB2312" w:hAnsi="仿宋_GB2312" w:eastAsia="仿宋_GB2312" w:cs="仿宋_GB2312"/>
          <w:color w:val="auto"/>
          <w:sz w:val="32"/>
          <w:szCs w:val="32"/>
        </w:rPr>
      </w:pPr>
      <w:bookmarkStart w:id="307" w:name="_Toc2987_WPSOffice_Level2"/>
      <w:bookmarkStart w:id="308" w:name="_Toc15474_WPSOffice_Level2"/>
      <w:bookmarkStart w:id="309" w:name="_Toc10127_WPSOffice_Level2"/>
      <w:bookmarkStart w:id="310" w:name="_Toc2999_WPSOffice_Level2"/>
      <w:r>
        <w:rPr>
          <w:rFonts w:hint="eastAsia" w:ascii="仿宋_GB2312" w:hAnsi="仿宋_GB2312" w:eastAsia="仿宋_GB2312" w:cs="仿宋_GB2312"/>
          <w:color w:val="auto"/>
          <w:sz w:val="32"/>
          <w:szCs w:val="32"/>
        </w:rPr>
        <w:t>二、技术服务方案</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X</w:t>
      </w:r>
      <w:bookmarkEnd w:id="307"/>
      <w:bookmarkEnd w:id="308"/>
      <w:bookmarkEnd w:id="309"/>
      <w:bookmarkEnd w:id="310"/>
    </w:p>
    <w:p w14:paraId="0E5B9D6A">
      <w:pPr>
        <w:keepNext w:val="0"/>
        <w:keepLines w:val="0"/>
        <w:pageBreakBefore w:val="0"/>
        <w:widowControl/>
        <w:numPr>
          <w:ilvl w:val="0"/>
          <w:numId w:val="0"/>
        </w:numPr>
        <w:tabs>
          <w:tab w:val="right" w:leader="hyphen" w:pos="8504"/>
        </w:tabs>
        <w:kinsoku/>
        <w:wordWrap/>
        <w:overflowPunct/>
        <w:topLinePunct w:val="0"/>
        <w:autoSpaceDE/>
        <w:autoSpaceDN/>
        <w:bidi w:val="0"/>
        <w:adjustRightInd/>
        <w:snapToGrid/>
        <w:spacing w:line="560" w:lineRule="exact"/>
        <w:ind w:right="876" w:rightChars="300" w:firstLine="1328" w:firstLineChars="400"/>
        <w:textAlignment w:val="auto"/>
        <w:rPr>
          <w:rFonts w:hint="eastAsia" w:ascii="仿宋_GB2312" w:hAnsi="仿宋_GB2312" w:eastAsia="仿宋_GB2312" w:cs="仿宋_GB2312"/>
          <w:color w:val="auto"/>
          <w:sz w:val="32"/>
          <w:szCs w:val="32"/>
        </w:rPr>
      </w:pPr>
      <w:bookmarkStart w:id="311" w:name="_Toc28542_WPSOffice_Level2"/>
      <w:bookmarkStart w:id="312" w:name="_Toc15492_WPSOffice_Level2"/>
      <w:bookmarkStart w:id="313" w:name="_Toc13401_WPSOffice_Level2"/>
      <w:bookmarkStart w:id="314" w:name="_Toc22913_WPSOffice_Level2"/>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rPr>
        <w:t>参考样表</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X</w:t>
      </w:r>
      <w:bookmarkEnd w:id="311"/>
      <w:bookmarkEnd w:id="312"/>
      <w:bookmarkEnd w:id="313"/>
      <w:bookmarkEnd w:id="314"/>
    </w:p>
    <w:p w14:paraId="36F34F3F">
      <w:pPr>
        <w:spacing w:line="500" w:lineRule="exact"/>
        <w:jc w:val="center"/>
        <w:rPr>
          <w:rFonts w:ascii="黑体" w:hAnsi="黑体" w:eastAsia="黑体"/>
          <w:b/>
          <w:color w:val="auto"/>
        </w:rPr>
      </w:pPr>
    </w:p>
    <w:p w14:paraId="23DB6F09">
      <w:pPr>
        <w:spacing w:line="500" w:lineRule="exact"/>
        <w:jc w:val="center"/>
        <w:rPr>
          <w:rFonts w:ascii="黑体" w:hAnsi="黑体" w:eastAsia="黑体"/>
          <w:b/>
          <w:color w:val="auto"/>
        </w:rPr>
      </w:pPr>
    </w:p>
    <w:p w14:paraId="5DE6887E">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黑体" w:hAnsi="黑体" w:eastAsia="黑体"/>
          <w:b/>
          <w:color w:val="auto"/>
        </w:rPr>
      </w:pPr>
      <w:r>
        <w:rPr>
          <w:rFonts w:ascii="黑体" w:hAnsi="黑体" w:eastAsia="黑体"/>
          <w:b/>
          <w:color w:val="auto"/>
        </w:rPr>
        <w:br w:type="page"/>
      </w:r>
      <w:bookmarkStart w:id="315" w:name="_Toc14670_WPSOffice_Level1"/>
      <w:bookmarkStart w:id="316" w:name="_Toc6199"/>
      <w:bookmarkStart w:id="317" w:name="_Toc5115_WPSOffice_Level1"/>
      <w:bookmarkStart w:id="318" w:name="_Toc23478"/>
      <w:bookmarkStart w:id="319" w:name="_Toc3534_WPSOffice_Level1"/>
      <w:bookmarkStart w:id="320" w:name="_Toc16498"/>
      <w:bookmarkStart w:id="321" w:name="_Toc8079"/>
      <w:r>
        <w:rPr>
          <w:rStyle w:val="44"/>
          <w:rFonts w:hint="eastAsia" w:ascii="黑体" w:hAnsi="黑体" w:eastAsia="黑体" w:cs="黑体"/>
          <w:b w:val="0"/>
          <w:bCs/>
          <w:color w:val="auto"/>
          <w:sz w:val="32"/>
          <w:szCs w:val="40"/>
        </w:rPr>
        <w:t>第一部分  资格证明文件</w:t>
      </w:r>
      <w:bookmarkEnd w:id="315"/>
      <w:bookmarkEnd w:id="316"/>
      <w:bookmarkEnd w:id="317"/>
      <w:bookmarkEnd w:id="318"/>
      <w:bookmarkEnd w:id="319"/>
      <w:bookmarkEnd w:id="320"/>
      <w:bookmarkEnd w:id="321"/>
    </w:p>
    <w:p w14:paraId="7E01D56D">
      <w:pPr>
        <w:keepNext w:val="0"/>
        <w:keepLines w:val="0"/>
        <w:pageBreakBefore w:val="0"/>
        <w:widowControl/>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供应商应按照磋商文件第</w:t>
      </w:r>
      <w:r>
        <w:rPr>
          <w:rFonts w:hint="eastAsia" w:ascii="仿宋_GB2312" w:hAnsi="仿宋_GB2312" w:eastAsia="仿宋_GB2312" w:cs="仿宋_GB2312"/>
          <w:color w:val="auto"/>
          <w:sz w:val="28"/>
          <w:szCs w:val="28"/>
          <w:lang w:val="en-US" w:eastAsia="zh-CN"/>
        </w:rPr>
        <w:t>二</w:t>
      </w:r>
      <w:r>
        <w:rPr>
          <w:rFonts w:hint="eastAsia" w:ascii="仿宋_GB2312" w:hAnsi="仿宋_GB2312" w:eastAsia="仿宋_GB2312" w:cs="仿宋_GB2312"/>
          <w:color w:val="auto"/>
          <w:sz w:val="28"/>
          <w:szCs w:val="28"/>
        </w:rPr>
        <w:t>章</w:t>
      </w:r>
      <w:r>
        <w:rPr>
          <w:rFonts w:hint="eastAsia" w:ascii="仿宋_GB2312" w:hAnsi="仿宋_GB2312" w:eastAsia="仿宋_GB2312" w:cs="仿宋_GB2312"/>
          <w:color w:val="auto"/>
          <w:sz w:val="28"/>
          <w:szCs w:val="28"/>
          <w:lang w:val="en-US" w:eastAsia="zh-CN"/>
        </w:rPr>
        <w:t>《资格审查表》</w:t>
      </w:r>
      <w:r>
        <w:rPr>
          <w:rFonts w:hint="eastAsia" w:ascii="仿宋_GB2312" w:hAnsi="仿宋_GB2312" w:eastAsia="仿宋_GB2312" w:cs="仿宋_GB2312"/>
          <w:color w:val="auto"/>
          <w:sz w:val="28"/>
          <w:szCs w:val="28"/>
        </w:rPr>
        <w:t>所列</w:t>
      </w:r>
      <w:r>
        <w:rPr>
          <w:rFonts w:hint="eastAsia" w:ascii="仿宋_GB2312" w:hAnsi="仿宋_GB2312" w:eastAsia="仿宋_GB2312" w:cs="仿宋_GB2312"/>
          <w:color w:val="auto"/>
          <w:sz w:val="28"/>
          <w:szCs w:val="28"/>
          <w:lang w:val="en-US" w:eastAsia="zh-CN"/>
        </w:rPr>
        <w:t>审查项</w:t>
      </w:r>
      <w:r>
        <w:rPr>
          <w:rFonts w:hint="eastAsia" w:ascii="仿宋_GB2312" w:hAnsi="仿宋_GB2312" w:eastAsia="仿宋_GB2312" w:cs="仿宋_GB2312"/>
          <w:color w:val="auto"/>
          <w:sz w:val="28"/>
          <w:szCs w:val="28"/>
        </w:rPr>
        <w:t>逐一提供全部资格证明文件。缺少其中任何一项，其响应文件将被视为无效文件。</w:t>
      </w:r>
    </w:p>
    <w:p w14:paraId="544BA32A">
      <w:pPr>
        <w:keepNext w:val="0"/>
        <w:keepLines w:val="0"/>
        <w:pageBreakBefore w:val="0"/>
        <w:widowControl/>
        <w:kinsoku/>
        <w:wordWrap/>
        <w:overflowPunct/>
        <w:topLinePunct w:val="0"/>
        <w:autoSpaceDE/>
        <w:autoSpaceDN/>
        <w:bidi w:val="0"/>
        <w:adjustRightInd/>
        <w:snapToGrid/>
        <w:spacing w:line="560" w:lineRule="exact"/>
        <w:ind w:firstLine="562"/>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其中，《汉中市政府采购供应商资格承诺函》、《法定代表人</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负责人</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授权委托书》</w:t>
      </w:r>
      <w:r>
        <w:rPr>
          <w:rFonts w:hint="eastAsia" w:ascii="仿宋_GB2312" w:hAnsi="仿宋_GB2312" w:eastAsia="仿宋_GB2312" w:cs="仿宋_GB2312"/>
          <w:color w:val="000000" w:themeColor="text1"/>
          <w:lang w:eastAsia="zh-CN"/>
          <w14:textFill>
            <w14:solidFill>
              <w14:schemeClr w14:val="tx1"/>
            </w14:solidFill>
          </w14:textFill>
        </w:rPr>
        <w:t>、《</w:t>
      </w:r>
      <w:r>
        <w:rPr>
          <w:rFonts w:hint="eastAsia" w:ascii="仿宋_GB2312" w:hAnsi="仿宋_GB2312" w:eastAsia="仿宋_GB2312" w:cs="仿宋_GB2312"/>
          <w:color w:val="000000" w:themeColor="text1"/>
          <w:lang w:val="en-US" w:eastAsia="zh-CN"/>
          <w14:textFill>
            <w14:solidFill>
              <w14:schemeClr w14:val="tx1"/>
            </w14:solidFill>
          </w14:textFill>
        </w:rPr>
        <w:t>中小企业声明函</w:t>
      </w:r>
      <w:r>
        <w:rPr>
          <w:rFonts w:hint="eastAsia" w:ascii="仿宋_GB2312" w:hAnsi="仿宋_GB2312" w:eastAsia="仿宋_GB2312" w:cs="仿宋_GB2312"/>
          <w:color w:val="000000" w:themeColor="text1"/>
          <w:lang w:eastAsia="zh-CN"/>
          <w14:textFill>
            <w14:solidFill>
              <w14:schemeClr w14:val="tx1"/>
            </w14:solidFill>
          </w14:textFill>
        </w:rPr>
        <w:t>》</w:t>
      </w:r>
      <w:r>
        <w:rPr>
          <w:rFonts w:hint="eastAsia" w:ascii="仿宋_GB2312" w:hAnsi="仿宋_GB2312" w:eastAsia="仿宋_GB2312" w:cs="仿宋_GB2312"/>
          <w:color w:val="auto"/>
          <w:sz w:val="28"/>
          <w:szCs w:val="28"/>
        </w:rPr>
        <w:t>须按下文给定格式填写，否则按无效处理。特别说明，法定代表人亲自参加</w:t>
      </w:r>
      <w:r>
        <w:rPr>
          <w:rFonts w:hint="eastAsia" w:ascii="仿宋_GB2312" w:hAnsi="仿宋_GB2312" w:eastAsia="仿宋_GB2312" w:cs="仿宋_GB2312"/>
          <w:color w:val="auto"/>
          <w:sz w:val="28"/>
          <w:szCs w:val="28"/>
          <w:lang w:val="en-US" w:eastAsia="zh-CN"/>
        </w:rPr>
        <w:t>磋商</w:t>
      </w:r>
      <w:r>
        <w:rPr>
          <w:rFonts w:hint="eastAsia" w:ascii="仿宋_GB2312" w:hAnsi="仿宋_GB2312" w:eastAsia="仿宋_GB2312" w:cs="仿宋_GB2312"/>
          <w:color w:val="auto"/>
          <w:sz w:val="28"/>
          <w:szCs w:val="28"/>
        </w:rPr>
        <w:t>的，可不提供法定代表人授权委托书，但须提供其本人身份证（正反面）复印件。</w:t>
      </w:r>
    </w:p>
    <w:p w14:paraId="1AEF1182">
      <w:pPr>
        <w:keepNext w:val="0"/>
        <w:keepLines w:val="0"/>
        <w:pageBreakBefore w:val="0"/>
        <w:widowControl/>
        <w:kinsoku/>
        <w:wordWrap/>
        <w:overflowPunct/>
        <w:topLinePunct w:val="0"/>
        <w:autoSpaceDE/>
        <w:autoSpaceDN/>
        <w:bidi w:val="0"/>
        <w:adjustRightInd/>
        <w:snapToGrid/>
        <w:spacing w:line="560" w:lineRule="exact"/>
        <w:ind w:firstLine="562"/>
        <w:textAlignment w:val="auto"/>
        <w:rPr>
          <w:rFonts w:hint="eastAsia" w:ascii="仿宋_GB2312" w:hAnsi="仿宋_GB2312" w:eastAsia="仿宋_GB2312" w:cs="仿宋_GB2312"/>
          <w:b/>
          <w:color w:val="auto"/>
          <w:sz w:val="28"/>
          <w:szCs w:val="28"/>
        </w:rPr>
      </w:pPr>
      <w:bookmarkStart w:id="322" w:name="_Toc6967_WPSOffice_Level2"/>
      <w:bookmarkStart w:id="323" w:name="_Toc26041_WPSOffice_Level2"/>
      <w:bookmarkStart w:id="324" w:name="_Toc19075_WPSOffice_Level2"/>
      <w:bookmarkStart w:id="325" w:name="_Toc9954_WPSOffice_Level2"/>
      <w:r>
        <w:rPr>
          <w:rFonts w:hint="eastAsia" w:ascii="仿宋_GB2312" w:hAnsi="仿宋_GB2312" w:eastAsia="仿宋_GB2312" w:cs="仿宋_GB2312"/>
          <w:b/>
          <w:color w:val="auto"/>
          <w:sz w:val="28"/>
          <w:szCs w:val="28"/>
        </w:rPr>
        <w:t>一、营业执照等主体资格证明文件</w:t>
      </w:r>
      <w:bookmarkEnd w:id="322"/>
      <w:bookmarkEnd w:id="323"/>
      <w:bookmarkEnd w:id="324"/>
      <w:bookmarkEnd w:id="325"/>
    </w:p>
    <w:p w14:paraId="6D618A4C">
      <w:pPr>
        <w:spacing w:line="500" w:lineRule="exact"/>
        <w:ind w:firstLine="584" w:firstLineChars="200"/>
        <w:rPr>
          <w:rFonts w:hint="eastAsia" w:ascii="仿宋" w:hAnsi="仿宋" w:eastAsia="仿宋"/>
          <w:b/>
          <w:color w:val="auto"/>
          <w:sz w:val="28"/>
          <w:szCs w:val="28"/>
        </w:rPr>
      </w:pPr>
      <w:bookmarkStart w:id="326" w:name="_Toc10483_WPSOffice_Level2"/>
      <w:bookmarkStart w:id="327" w:name="_Toc1079_WPSOffice_Level2"/>
      <w:bookmarkStart w:id="328" w:name="_Toc32533_WPSOffice_Level2"/>
      <w:bookmarkStart w:id="329" w:name="_Toc30636_WPSOffice_Level2"/>
    </w:p>
    <w:p w14:paraId="0B817474">
      <w:pPr>
        <w:spacing w:line="500" w:lineRule="exact"/>
        <w:ind w:firstLine="584" w:firstLineChars="200"/>
        <w:rPr>
          <w:rFonts w:hint="eastAsia" w:ascii="仿宋" w:hAnsi="仿宋" w:eastAsia="仿宋"/>
          <w:b/>
          <w:color w:val="auto"/>
          <w:sz w:val="28"/>
          <w:szCs w:val="28"/>
        </w:rPr>
      </w:pPr>
    </w:p>
    <w:p w14:paraId="2297373A">
      <w:pPr>
        <w:spacing w:line="500" w:lineRule="exact"/>
        <w:ind w:firstLine="584" w:firstLineChars="200"/>
        <w:rPr>
          <w:rFonts w:hint="eastAsia" w:ascii="仿宋" w:hAnsi="仿宋" w:eastAsia="仿宋"/>
          <w:b/>
          <w:color w:val="auto"/>
        </w:rPr>
      </w:pPr>
    </w:p>
    <w:p w14:paraId="69B70667">
      <w:pPr>
        <w:spacing w:line="500" w:lineRule="exact"/>
        <w:ind w:firstLine="584" w:firstLineChars="200"/>
        <w:rPr>
          <w:rFonts w:hint="eastAsia" w:ascii="仿宋" w:hAnsi="仿宋" w:eastAsia="仿宋"/>
          <w:b/>
          <w:color w:val="auto"/>
        </w:rPr>
      </w:pPr>
    </w:p>
    <w:p w14:paraId="6555EFD2">
      <w:pPr>
        <w:rPr>
          <w:rFonts w:hint="eastAsia" w:ascii="仿宋" w:hAnsi="仿宋" w:eastAsia="仿宋"/>
          <w:b/>
          <w:color w:val="auto"/>
        </w:rPr>
      </w:pPr>
      <w:r>
        <w:rPr>
          <w:rFonts w:hint="eastAsia" w:ascii="仿宋" w:hAnsi="仿宋" w:eastAsia="仿宋"/>
          <w:b/>
          <w:color w:val="auto"/>
        </w:rPr>
        <w:br w:type="page"/>
      </w:r>
    </w:p>
    <w:p w14:paraId="4698658C">
      <w:pPr>
        <w:pStyle w:val="45"/>
        <w:keepNext/>
        <w:keepLines/>
        <w:pageBreakBefore w:val="0"/>
        <w:widowControl/>
        <w:kinsoku/>
        <w:wordWrap/>
        <w:overflowPunct/>
        <w:topLinePunct w:val="0"/>
        <w:autoSpaceDE/>
        <w:autoSpaceDN/>
        <w:bidi w:val="0"/>
        <w:adjustRightInd/>
        <w:snapToGrid/>
        <w:spacing w:line="560" w:lineRule="exact"/>
        <w:ind w:firstLine="624" w:firstLineChars="200"/>
        <w:jc w:val="both"/>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二</w:t>
      </w:r>
      <w:r>
        <w:rPr>
          <w:rFonts w:hint="eastAsia" w:ascii="仿宋_GB2312" w:hAnsi="仿宋_GB2312" w:eastAsia="仿宋_GB2312" w:cs="仿宋_GB2312"/>
          <w:color w:val="auto"/>
          <w:sz w:val="30"/>
          <w:szCs w:val="30"/>
        </w:rPr>
        <w:t>、法定代表人</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负责人</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授权委托书</w:t>
      </w:r>
    </w:p>
    <w:p w14:paraId="07E64602">
      <w:pPr>
        <w:pStyle w:val="45"/>
        <w:pageBreakBefore w:val="0"/>
        <w:widowControl/>
        <w:kinsoku/>
        <w:wordWrap/>
        <w:overflowPunct/>
        <w:topLinePunct w:val="0"/>
        <w:autoSpaceDE/>
        <w:autoSpaceDN/>
        <w:bidi w:val="0"/>
        <w:adjustRightInd/>
        <w:spacing w:line="560" w:lineRule="exact"/>
        <w:jc w:val="center"/>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法定代表人</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负责人</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授权委托书</w:t>
      </w:r>
    </w:p>
    <w:p w14:paraId="7308EDEA">
      <w:pPr>
        <w:pageBreakBefore w:val="0"/>
        <w:widowControl/>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lang w:val="en-US" w:eastAsia="zh-CN"/>
        </w:rPr>
        <w:t>汉中市</w:t>
      </w:r>
      <w:r>
        <w:rPr>
          <w:rFonts w:hint="eastAsia" w:ascii="仿宋_GB2312" w:hAnsi="仿宋_GB2312" w:eastAsia="仿宋_GB2312" w:cs="仿宋_GB2312"/>
          <w:color w:val="auto"/>
        </w:rPr>
        <w:t>政府采购中心：</w:t>
      </w:r>
    </w:p>
    <w:p w14:paraId="27B4F633">
      <w:pPr>
        <w:pageBreakBefore w:val="0"/>
        <w:widowControl/>
        <w:kinsoku/>
        <w:wordWrap/>
        <w:overflowPunct/>
        <w:topLinePunct w:val="0"/>
        <w:autoSpaceDE/>
        <w:autoSpaceDN/>
        <w:bidi w:val="0"/>
        <w:adjustRightInd/>
        <w:spacing w:line="560" w:lineRule="exact"/>
        <w:ind w:right="11" w:firstLine="584"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rPr>
        <w:t>现委派</w:t>
      </w:r>
      <w:r>
        <w:rPr>
          <w:rFonts w:hint="eastAsia" w:ascii="仿宋_GB2312" w:hAnsi="仿宋_GB2312" w:eastAsia="仿宋_GB2312" w:cs="仿宋_GB2312"/>
          <w:color w:val="auto"/>
          <w:u w:val="single"/>
        </w:rPr>
        <w:t>（授权代表姓名）</w:t>
      </w:r>
      <w:r>
        <w:rPr>
          <w:rFonts w:hint="eastAsia" w:ascii="仿宋_GB2312" w:hAnsi="仿宋_GB2312" w:eastAsia="仿宋_GB2312" w:cs="仿宋_GB2312"/>
          <w:color w:val="auto"/>
          <w:u w:val="none"/>
          <w:lang w:eastAsia="zh-CN"/>
        </w:rPr>
        <w:t>（</w:t>
      </w:r>
      <w:r>
        <w:rPr>
          <w:rFonts w:hint="eastAsia" w:ascii="仿宋_GB2312" w:hAnsi="仿宋_GB2312" w:eastAsia="仿宋_GB2312" w:cs="仿宋_GB2312"/>
          <w:color w:val="auto"/>
          <w:u w:val="none"/>
          <w:lang w:val="en-US" w:eastAsia="zh-CN"/>
        </w:rPr>
        <w:t>身份证号：</w:t>
      </w:r>
      <w:r>
        <w:rPr>
          <w:rFonts w:hint="eastAsia" w:ascii="仿宋_GB2312" w:hAnsi="仿宋_GB2312" w:eastAsia="仿宋_GB2312" w:cs="仿宋_GB2312"/>
          <w:color w:val="auto"/>
          <w:u w:val="single"/>
          <w:lang w:val="en-US" w:eastAsia="zh-CN"/>
        </w:rPr>
        <w:t xml:space="preserve">      </w:t>
      </w:r>
      <w:r>
        <w:rPr>
          <w:rFonts w:hint="eastAsia" w:ascii="仿宋_GB2312" w:hAnsi="仿宋_GB2312" w:eastAsia="仿宋_GB2312" w:cs="仿宋_GB2312"/>
          <w:color w:val="auto"/>
          <w:u w:val="none"/>
          <w:lang w:eastAsia="zh-CN"/>
        </w:rPr>
        <w:t>）</w:t>
      </w:r>
      <w:r>
        <w:rPr>
          <w:rFonts w:hint="eastAsia" w:ascii="仿宋_GB2312" w:hAnsi="仿宋_GB2312" w:eastAsia="仿宋_GB2312" w:cs="仿宋_GB2312"/>
          <w:color w:val="auto"/>
        </w:rPr>
        <w:t>为本公司的授权代表，参加贵方组织的</w:t>
      </w:r>
      <w:r>
        <w:rPr>
          <w:rFonts w:hint="eastAsia" w:ascii="仿宋_GB2312" w:hAnsi="仿宋_GB2312" w:eastAsia="仿宋_GB2312" w:cs="仿宋_GB2312"/>
          <w:color w:val="auto"/>
          <w:u w:val="single"/>
          <w:lang w:val="en-US" w:eastAsia="zh-CN"/>
        </w:rPr>
        <w:t xml:space="preserve"> </w:t>
      </w:r>
      <w:r>
        <w:rPr>
          <w:rFonts w:hint="eastAsia" w:ascii="仿宋_GB2312" w:hAnsi="仿宋_GB2312" w:eastAsia="仿宋_GB2312" w:cs="仿宋_GB2312"/>
          <w:color w:val="auto"/>
          <w:u w:val="single"/>
        </w:rPr>
        <w:t xml:space="preserve">项目名称 </w:t>
      </w:r>
      <w:r>
        <w:rPr>
          <w:rFonts w:hint="eastAsia" w:ascii="仿宋_GB2312" w:hAnsi="仿宋_GB2312" w:eastAsia="仿宋_GB2312" w:cs="仿宋_GB2312"/>
          <w:color w:val="auto"/>
        </w:rPr>
        <w:t>（项目编号：</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）第___标段政府采购活动，就该项目的</w:t>
      </w:r>
      <w:r>
        <w:rPr>
          <w:rFonts w:hint="eastAsia" w:ascii="仿宋_GB2312" w:hAnsi="仿宋_GB2312" w:eastAsia="仿宋_GB2312" w:cs="仿宋_GB2312"/>
          <w:color w:val="auto"/>
          <w:lang w:val="en-US" w:eastAsia="zh-CN"/>
        </w:rPr>
        <w:t>磋商</w:t>
      </w:r>
      <w:r>
        <w:rPr>
          <w:rFonts w:hint="eastAsia" w:ascii="仿宋_GB2312" w:hAnsi="仿宋_GB2312" w:eastAsia="仿宋_GB2312" w:cs="仿宋_GB2312"/>
          <w:color w:val="auto"/>
        </w:rPr>
        <w:t>及合同的执行和完成，以本公司的名义处理一切与之有关的事宜。本授权自开标之日起生效，有效期与投标文件有效期一致。</w:t>
      </w:r>
    </w:p>
    <w:p w14:paraId="4D9834D5">
      <w:pPr>
        <w:pageBreakBefore w:val="0"/>
        <w:widowControl/>
        <w:tabs>
          <w:tab w:val="left" w:pos="5245"/>
          <w:tab w:val="left" w:pos="6946"/>
        </w:tabs>
        <w:kinsoku/>
        <w:wordWrap/>
        <w:overflowPunct/>
        <w:topLinePunct w:val="0"/>
        <w:autoSpaceDE/>
        <w:autoSpaceDN/>
        <w:bidi w:val="0"/>
        <w:adjustRightInd/>
        <w:snapToGrid w:val="0"/>
        <w:spacing w:line="560" w:lineRule="exact"/>
        <w:ind w:firstLine="584"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rPr>
        <w:t>授权代表姓名：_______________</w:t>
      </w:r>
      <w:r>
        <w:rPr>
          <w:rFonts w:hint="eastAsia" w:ascii="仿宋_GB2312" w:hAnsi="仿宋_GB2312" w:eastAsia="仿宋_GB2312" w:cs="仿宋_GB2312"/>
          <w:color w:val="auto"/>
        </w:rPr>
        <w:tab/>
      </w:r>
      <w:r>
        <w:rPr>
          <w:rFonts w:hint="eastAsia" w:ascii="仿宋_GB2312" w:hAnsi="仿宋_GB2312" w:eastAsia="仿宋_GB2312" w:cs="仿宋_GB2312"/>
          <w:color w:val="auto"/>
        </w:rPr>
        <w:t>性别：_____</w:t>
      </w:r>
      <w:r>
        <w:rPr>
          <w:rFonts w:hint="eastAsia" w:ascii="仿宋_GB2312" w:hAnsi="仿宋_GB2312" w:eastAsia="仿宋_GB2312" w:cs="仿宋_GB2312"/>
          <w:color w:val="auto"/>
        </w:rPr>
        <w:tab/>
      </w:r>
    </w:p>
    <w:p w14:paraId="4852F7F3">
      <w:pPr>
        <w:pageBreakBefore w:val="0"/>
        <w:widowControl/>
        <w:tabs>
          <w:tab w:val="left" w:pos="5245"/>
        </w:tabs>
        <w:kinsoku/>
        <w:wordWrap/>
        <w:overflowPunct/>
        <w:topLinePunct w:val="0"/>
        <w:autoSpaceDE/>
        <w:autoSpaceDN/>
        <w:bidi w:val="0"/>
        <w:adjustRightInd/>
        <w:snapToGrid w:val="0"/>
        <w:spacing w:line="560" w:lineRule="exact"/>
        <w:ind w:firstLine="584"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rPr>
        <w:t>职务：________________           电话：_________</w:t>
      </w:r>
    </w:p>
    <w:p w14:paraId="43E3AD47">
      <w:pPr>
        <w:pageBreakBefore w:val="0"/>
        <w:widowControl/>
        <w:tabs>
          <w:tab w:val="left" w:pos="3828"/>
          <w:tab w:val="left" w:pos="6237"/>
        </w:tabs>
        <w:kinsoku/>
        <w:wordWrap/>
        <w:overflowPunct/>
        <w:topLinePunct w:val="0"/>
        <w:autoSpaceDE/>
        <w:autoSpaceDN/>
        <w:bidi w:val="0"/>
        <w:adjustRightInd/>
        <w:snapToGrid w:val="0"/>
        <w:spacing w:line="560" w:lineRule="exact"/>
        <w:ind w:firstLine="584"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rPr>
        <w:t>通讯地址：__________________     邮政编码：__________</w:t>
      </w:r>
    </w:p>
    <w:tbl>
      <w:tblPr>
        <w:tblStyle w:val="21"/>
        <w:tblW w:w="8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2"/>
        <w:gridCol w:w="4098"/>
      </w:tblGrid>
      <w:tr w14:paraId="73D70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5" w:hRule="atLeast"/>
          <w:jc w:val="center"/>
        </w:trPr>
        <w:tc>
          <w:tcPr>
            <w:tcW w:w="4072" w:type="dxa"/>
            <w:tcBorders>
              <w:top w:val="single" w:color="auto" w:sz="4" w:space="0"/>
              <w:left w:val="single" w:color="auto" w:sz="4" w:space="0"/>
              <w:bottom w:val="single" w:color="auto" w:sz="4" w:space="0"/>
              <w:right w:val="single" w:color="auto" w:sz="4" w:space="0"/>
            </w:tcBorders>
            <w:vAlign w:val="center"/>
          </w:tcPr>
          <w:p w14:paraId="1265B526">
            <w:pPr>
              <w:pageBreakBefore w:val="0"/>
              <w:widowControl/>
              <w:kinsoku/>
              <w:wordWrap/>
              <w:overflowPunct/>
              <w:topLinePunct w:val="0"/>
              <w:autoSpaceDE/>
              <w:autoSpaceDN/>
              <w:bidi w:val="0"/>
              <w:adjustRightInd/>
              <w:spacing w:line="560" w:lineRule="exact"/>
              <w:ind w:firstLine="8" w:firstLineChars="3"/>
              <w:jc w:val="center"/>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rPr>
              <w:t>法定代表人</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负责人</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rPr>
              <w:t>身份证复印件</w:t>
            </w:r>
          </w:p>
          <w:p w14:paraId="7B481B03">
            <w:pPr>
              <w:pageBreakBefore w:val="0"/>
              <w:widowControl/>
              <w:kinsoku/>
              <w:wordWrap/>
              <w:overflowPunct/>
              <w:topLinePunct w:val="0"/>
              <w:autoSpaceDE/>
              <w:autoSpaceDN/>
              <w:bidi w:val="0"/>
              <w:adjustRightInd/>
              <w:spacing w:line="560" w:lineRule="exact"/>
              <w:ind w:firstLine="8" w:firstLineChars="3"/>
              <w:jc w:val="center"/>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rPr>
              <w:t>（有人像面）</w:t>
            </w:r>
          </w:p>
        </w:tc>
        <w:tc>
          <w:tcPr>
            <w:tcW w:w="4098" w:type="dxa"/>
            <w:tcBorders>
              <w:top w:val="single" w:color="auto" w:sz="4" w:space="0"/>
              <w:left w:val="single" w:color="auto" w:sz="4" w:space="0"/>
              <w:bottom w:val="single" w:color="auto" w:sz="4" w:space="0"/>
              <w:right w:val="single" w:color="auto" w:sz="4" w:space="0"/>
            </w:tcBorders>
            <w:vAlign w:val="center"/>
          </w:tcPr>
          <w:p w14:paraId="77B60DC6">
            <w:pPr>
              <w:pageBreakBefore w:val="0"/>
              <w:widowControl/>
              <w:kinsoku/>
              <w:wordWrap/>
              <w:overflowPunct/>
              <w:topLinePunct w:val="0"/>
              <w:autoSpaceDE/>
              <w:autoSpaceDN/>
              <w:bidi w:val="0"/>
              <w:adjustRightInd/>
              <w:spacing w:line="560" w:lineRule="exact"/>
              <w:jc w:val="center"/>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rPr>
              <w:t>授权代表身份证复印件</w:t>
            </w:r>
          </w:p>
          <w:p w14:paraId="7A698A48">
            <w:pPr>
              <w:pageBreakBefore w:val="0"/>
              <w:widowControl/>
              <w:kinsoku/>
              <w:wordWrap/>
              <w:overflowPunct/>
              <w:topLinePunct w:val="0"/>
              <w:autoSpaceDE/>
              <w:autoSpaceDN/>
              <w:bidi w:val="0"/>
              <w:adjustRightInd/>
              <w:spacing w:line="560" w:lineRule="exact"/>
              <w:jc w:val="center"/>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rPr>
              <w:t>（有人像面）</w:t>
            </w:r>
          </w:p>
        </w:tc>
      </w:tr>
      <w:tr w14:paraId="7BE3B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7" w:hRule="atLeast"/>
          <w:jc w:val="center"/>
        </w:trPr>
        <w:tc>
          <w:tcPr>
            <w:tcW w:w="4072" w:type="dxa"/>
            <w:vAlign w:val="center"/>
          </w:tcPr>
          <w:p w14:paraId="478A1CDF">
            <w:pPr>
              <w:pageBreakBefore w:val="0"/>
              <w:widowControl/>
              <w:kinsoku/>
              <w:wordWrap/>
              <w:overflowPunct/>
              <w:topLinePunct w:val="0"/>
              <w:autoSpaceDE/>
              <w:autoSpaceDN/>
              <w:bidi w:val="0"/>
              <w:adjustRightInd/>
              <w:spacing w:line="560" w:lineRule="exact"/>
              <w:jc w:val="center"/>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rPr>
              <w:t>法定代表人</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负责人</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rPr>
              <w:t>身份证复印件</w:t>
            </w:r>
          </w:p>
          <w:p w14:paraId="2E5D4E3B">
            <w:pPr>
              <w:pageBreakBefore w:val="0"/>
              <w:widowControl/>
              <w:kinsoku/>
              <w:wordWrap/>
              <w:overflowPunct/>
              <w:topLinePunct w:val="0"/>
              <w:autoSpaceDE/>
              <w:autoSpaceDN/>
              <w:bidi w:val="0"/>
              <w:adjustRightInd/>
              <w:spacing w:line="560" w:lineRule="exact"/>
              <w:jc w:val="center"/>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rPr>
              <w:t>（有国徽面）</w:t>
            </w:r>
          </w:p>
        </w:tc>
        <w:tc>
          <w:tcPr>
            <w:tcW w:w="4098" w:type="dxa"/>
            <w:vAlign w:val="center"/>
          </w:tcPr>
          <w:p w14:paraId="45607FE8">
            <w:pPr>
              <w:pageBreakBefore w:val="0"/>
              <w:widowControl/>
              <w:kinsoku/>
              <w:wordWrap/>
              <w:overflowPunct/>
              <w:topLinePunct w:val="0"/>
              <w:autoSpaceDE/>
              <w:autoSpaceDN/>
              <w:bidi w:val="0"/>
              <w:adjustRightInd/>
              <w:spacing w:line="560" w:lineRule="exact"/>
              <w:jc w:val="center"/>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rPr>
              <w:t>授权代表身份证复印件</w:t>
            </w:r>
          </w:p>
          <w:p w14:paraId="1201D368">
            <w:pPr>
              <w:pageBreakBefore w:val="0"/>
              <w:widowControl/>
              <w:kinsoku/>
              <w:wordWrap/>
              <w:overflowPunct/>
              <w:topLinePunct w:val="0"/>
              <w:autoSpaceDE/>
              <w:autoSpaceDN/>
              <w:bidi w:val="0"/>
              <w:adjustRightInd/>
              <w:spacing w:line="560" w:lineRule="exact"/>
              <w:jc w:val="center"/>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rPr>
              <w:t>（有国徽面）</w:t>
            </w:r>
          </w:p>
        </w:tc>
      </w:tr>
    </w:tbl>
    <w:p w14:paraId="7DD66423">
      <w:pPr>
        <w:pageBreakBefore w:val="0"/>
        <w:widowControl/>
        <w:tabs>
          <w:tab w:val="right" w:pos="8931"/>
        </w:tabs>
        <w:kinsoku/>
        <w:wordWrap/>
        <w:overflowPunct/>
        <w:topLinePunct w:val="0"/>
        <w:autoSpaceDE/>
        <w:autoSpaceDN/>
        <w:bidi w:val="0"/>
        <w:adjustRightInd/>
        <w:spacing w:line="560" w:lineRule="exac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rPr>
        <w:t>供应商：名称（加盖公章）</w:t>
      </w:r>
      <w:r>
        <w:rPr>
          <w:rFonts w:hint="eastAsia" w:ascii="仿宋_GB2312" w:hAnsi="仿宋_GB2312" w:eastAsia="仿宋_GB2312" w:cs="仿宋_GB2312"/>
          <w:color w:val="auto"/>
          <w:lang w:val="en-US" w:eastAsia="zh-CN"/>
        </w:rPr>
        <w:t xml:space="preserve">   </w:t>
      </w:r>
      <w:r>
        <w:rPr>
          <w:rFonts w:hint="eastAsia" w:ascii="仿宋_GB2312" w:hAnsi="仿宋_GB2312" w:eastAsia="仿宋_GB2312" w:cs="仿宋_GB2312"/>
          <w:color w:val="auto"/>
        </w:rPr>
        <w:t xml:space="preserve"> 法定代表人</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负责人</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rPr>
        <w:t>：（签字或盖章）</w:t>
      </w:r>
    </w:p>
    <w:p w14:paraId="56F62FA6">
      <w:pPr>
        <w:pageBreakBefore w:val="0"/>
        <w:widowControl/>
        <w:kinsoku/>
        <w:wordWrap/>
        <w:overflowPunct/>
        <w:topLinePunct w:val="0"/>
        <w:autoSpaceDE/>
        <w:autoSpaceDN/>
        <w:bidi w:val="0"/>
        <w:adjustRightInd/>
        <w:spacing w:line="560" w:lineRule="exact"/>
        <w:ind w:firstLine="6132" w:firstLineChars="21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rPr>
        <w:t>日期：　年　月　日</w:t>
      </w:r>
    </w:p>
    <w:p w14:paraId="08F9B1D5">
      <w:pPr>
        <w:keepNext w:val="0"/>
        <w:keepLines w:val="0"/>
        <w:pageBreakBefore w:val="0"/>
        <w:widowControl/>
        <w:kinsoku/>
        <w:wordWrap/>
        <w:overflowPunct/>
        <w:topLinePunct w:val="0"/>
        <w:autoSpaceDE/>
        <w:autoSpaceDN/>
        <w:bidi w:val="0"/>
        <w:adjustRightInd/>
        <w:snapToGrid/>
        <w:spacing w:line="360" w:lineRule="exact"/>
        <w:ind w:firstLine="444" w:firstLineChars="200"/>
        <w:textAlignment w:val="auto"/>
        <w:rPr>
          <w:rFonts w:ascii="宋体" w:hAnsi="宋体" w:eastAsia="宋体" w:cs="宋体"/>
          <w:color w:val="auto"/>
          <w:sz w:val="21"/>
          <w:szCs w:val="21"/>
        </w:rPr>
      </w:pPr>
      <w:r>
        <w:rPr>
          <w:rFonts w:hint="eastAsia" w:ascii="宋体" w:hAnsi="宋体" w:eastAsia="宋体" w:cs="宋体"/>
          <w:color w:val="auto"/>
          <w:sz w:val="21"/>
          <w:szCs w:val="21"/>
        </w:rPr>
        <w:t>备注：1、项目不分标段的，第___标段空白处填写“/”。</w:t>
      </w:r>
    </w:p>
    <w:p w14:paraId="4CD6C810">
      <w:pPr>
        <w:keepNext w:val="0"/>
        <w:keepLines w:val="0"/>
        <w:pageBreakBefore w:val="0"/>
        <w:widowControl/>
        <w:kinsoku/>
        <w:wordWrap/>
        <w:overflowPunct/>
        <w:topLinePunct w:val="0"/>
        <w:autoSpaceDE/>
        <w:autoSpaceDN/>
        <w:bidi w:val="0"/>
        <w:adjustRightInd/>
        <w:snapToGrid/>
        <w:spacing w:line="360" w:lineRule="exact"/>
        <w:ind w:firstLine="444" w:firstLineChars="200"/>
        <w:textAlignment w:val="auto"/>
        <w:rPr>
          <w:rFonts w:ascii="宋体" w:hAnsi="宋体" w:eastAsia="宋体" w:cs="宋体"/>
          <w:color w:val="auto"/>
          <w:sz w:val="21"/>
          <w:szCs w:val="21"/>
        </w:rPr>
      </w:pPr>
      <w:r>
        <w:rPr>
          <w:rFonts w:hint="eastAsia" w:ascii="宋体" w:hAnsi="宋体" w:eastAsia="宋体" w:cs="宋体"/>
          <w:color w:val="auto"/>
          <w:sz w:val="21"/>
          <w:szCs w:val="21"/>
        </w:rPr>
        <w:t>2、法定代表人亲自参加</w:t>
      </w:r>
      <w:r>
        <w:rPr>
          <w:rFonts w:hint="eastAsia" w:ascii="宋体" w:hAnsi="宋体" w:eastAsia="宋体" w:cs="宋体"/>
          <w:color w:val="auto"/>
          <w:sz w:val="21"/>
          <w:szCs w:val="21"/>
          <w:lang w:val="en-US" w:eastAsia="zh-CN"/>
        </w:rPr>
        <w:t>磋商</w:t>
      </w:r>
      <w:r>
        <w:rPr>
          <w:rFonts w:hint="eastAsia" w:ascii="宋体" w:hAnsi="宋体" w:eastAsia="宋体" w:cs="宋体"/>
          <w:color w:val="auto"/>
          <w:sz w:val="21"/>
          <w:szCs w:val="21"/>
        </w:rPr>
        <w:t>的，无需提供该委托授权书，但须提供法定代表人本人身份证（正反面）复印件。</w:t>
      </w:r>
    </w:p>
    <w:p w14:paraId="7AA901A8">
      <w:pPr>
        <w:keepNext w:val="0"/>
        <w:keepLines w:val="0"/>
        <w:pageBreakBefore w:val="0"/>
        <w:widowControl/>
        <w:kinsoku/>
        <w:wordWrap/>
        <w:overflowPunct/>
        <w:topLinePunct w:val="0"/>
        <w:autoSpaceDE/>
        <w:autoSpaceDN/>
        <w:bidi w:val="0"/>
        <w:adjustRightInd/>
        <w:snapToGrid/>
        <w:spacing w:after="0" w:line="360" w:lineRule="exact"/>
        <w:ind w:left="0" w:leftChars="0" w:firstLine="444" w:firstLineChars="200"/>
        <w:jc w:val="both"/>
        <w:textAlignment w:val="auto"/>
        <w:rPr>
          <w:rFonts w:hint="eastAsia" w:ascii="宋体" w:hAnsi="宋体" w:eastAsia="宋体" w:cs="Calibri Light"/>
          <w:color w:val="auto"/>
          <w:kern w:val="2"/>
          <w:sz w:val="21"/>
          <w:szCs w:val="21"/>
          <w:lang w:val="en-US" w:eastAsia="zh-CN" w:bidi="ar-SA"/>
        </w:rPr>
      </w:pPr>
      <w:r>
        <w:rPr>
          <w:rFonts w:hint="eastAsia" w:ascii="宋体" w:hAnsi="宋体" w:eastAsia="宋体" w:cs="Calibri Light"/>
          <w:color w:val="auto"/>
          <w:kern w:val="2"/>
          <w:sz w:val="21"/>
          <w:szCs w:val="21"/>
          <w:lang w:val="en-US" w:eastAsia="zh-CN" w:bidi="ar-SA"/>
        </w:rPr>
        <w:t xml:space="preserve">3、法定代表人签字或盖章可采用纸质签字或盖章后，上传至电子响应文件，也可使用法定代表人CA锁在电子响应文件制作软件中签章。   </w:t>
      </w:r>
    </w:p>
    <w:p w14:paraId="2298933F">
      <w:pPr>
        <w:rPr>
          <w:rFonts w:hint="default" w:ascii="宋体" w:hAnsi="宋体" w:eastAsia="宋体"/>
          <w:color w:val="auto"/>
          <w:sz w:val="21"/>
          <w:szCs w:val="21"/>
          <w:lang w:val="en-US" w:eastAsia="zh-CN"/>
        </w:rPr>
      </w:pPr>
      <w:r>
        <w:rPr>
          <w:rFonts w:hint="eastAsia" w:ascii="宋体" w:hAnsi="宋体" w:eastAsia="宋体"/>
          <w:color w:val="auto"/>
          <w:sz w:val="21"/>
          <w:szCs w:val="21"/>
          <w:lang w:val="en-US" w:eastAsia="zh-CN"/>
        </w:rPr>
        <w:br w:type="page"/>
      </w:r>
    </w:p>
    <w:p w14:paraId="0CF71B95">
      <w:pPr>
        <w:pStyle w:val="45"/>
        <w:keepNext/>
        <w:keepLines/>
        <w:pageBreakBefore w:val="0"/>
        <w:widowControl/>
        <w:kinsoku/>
        <w:wordWrap/>
        <w:overflowPunct/>
        <w:topLinePunct w:val="0"/>
        <w:autoSpaceDE/>
        <w:autoSpaceDN/>
        <w:bidi w:val="0"/>
        <w:adjustRightInd/>
        <w:snapToGrid/>
        <w:spacing w:line="560" w:lineRule="exact"/>
        <w:ind w:firstLine="624" w:firstLineChars="200"/>
        <w:jc w:val="both"/>
        <w:textAlignment w:val="auto"/>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三、汉中市政府采购供应商资格承诺函</w:t>
      </w:r>
    </w:p>
    <w:p w14:paraId="0F405ED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14:paraId="53B02C0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汉中市政府采购供应商资格承诺函</w:t>
      </w:r>
    </w:p>
    <w:p w14:paraId="43EB7508">
      <w:pPr>
        <w:keepNext w:val="0"/>
        <w:keepLines w:val="0"/>
        <w:pageBreakBefore w:val="0"/>
        <w:widowControl w:val="0"/>
        <w:kinsoku/>
        <w:wordWrap/>
        <w:overflowPunct/>
        <w:topLinePunct w:val="0"/>
        <w:autoSpaceDE/>
        <w:autoSpaceDN/>
        <w:bidi w:val="0"/>
        <w:adjustRightInd/>
        <w:snapToGrid/>
        <w:spacing w:line="560" w:lineRule="exact"/>
        <w:ind w:firstLine="664" w:firstLineChars="200"/>
        <w:textAlignment w:val="auto"/>
        <w:rPr>
          <w:rFonts w:hint="eastAsia" w:ascii="仿宋_GB2312" w:hAnsi="仿宋_GB2312" w:eastAsia="仿宋_GB2312" w:cs="仿宋_GB2312"/>
          <w:sz w:val="32"/>
          <w:szCs w:val="32"/>
        </w:rPr>
      </w:pPr>
    </w:p>
    <w:p w14:paraId="1386743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致：（采购人</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采购代理机构名称）</w:t>
      </w:r>
    </w:p>
    <w:p w14:paraId="1FA0D1E4">
      <w:pPr>
        <w:keepNext w:val="0"/>
        <w:keepLines w:val="0"/>
        <w:pageBreakBefore w:val="0"/>
        <w:widowControl w:val="0"/>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（投标人名称）郑重承诺：</w:t>
      </w:r>
    </w:p>
    <w:p w14:paraId="552DB751">
      <w:pPr>
        <w:keepNext w:val="0"/>
        <w:keepLines w:val="0"/>
        <w:pageBreakBefore w:val="0"/>
        <w:widowControl w:val="0"/>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1.我方具有良好的商业信誉和健全的财务会计制度，具有履行合同所必需的设备和专业技术能力，具有依法缴纳税收和社会保障金的良好记录，参加本项目采购活动前三年内无重大违法活动记录。</w:t>
      </w:r>
    </w:p>
    <w:p w14:paraId="1699E820">
      <w:pPr>
        <w:keepNext w:val="0"/>
        <w:keepLines w:val="0"/>
        <w:pageBreakBefore w:val="0"/>
        <w:widowControl w:val="0"/>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2.我方未列入在信用中国网站“失信被执行人”、“重大税收违法案件当事人名单”中（www.creditchina.gov.cn），也未列入中国政府采购网“政府采购严重违法失信行为记录名单”中（www.ccgp.g</w:t>
      </w:r>
      <w:r>
        <w:rPr>
          <w:rFonts w:hint="eastAsia" w:ascii="仿宋_GB2312" w:hAnsi="仿宋_GB2312" w:eastAsia="仿宋_GB2312" w:cs="仿宋_GB2312"/>
          <w:sz w:val="28"/>
          <w:szCs w:val="28"/>
          <w:lang w:val="en-US" w:eastAsia="zh-CN"/>
        </w:rPr>
        <w:t>o</w:t>
      </w:r>
      <w:r>
        <w:rPr>
          <w:rFonts w:hint="eastAsia" w:ascii="仿宋_GB2312" w:hAnsi="仿宋_GB2312" w:eastAsia="仿宋_GB2312" w:cs="仿宋_GB2312"/>
          <w:sz w:val="28"/>
          <w:szCs w:val="28"/>
        </w:rPr>
        <w:t>v.cn）</w:t>
      </w:r>
      <w:r>
        <w:rPr>
          <w:rFonts w:hint="eastAsia" w:ascii="仿宋_GB2312" w:hAnsi="仿宋_GB2312" w:eastAsia="仿宋_GB2312" w:cs="仿宋_GB2312"/>
          <w:sz w:val="28"/>
          <w:szCs w:val="28"/>
          <w:lang w:eastAsia="zh-CN"/>
        </w:rPr>
        <w:t>。</w:t>
      </w:r>
    </w:p>
    <w:p w14:paraId="3AA30E27">
      <w:pPr>
        <w:keepNext w:val="0"/>
        <w:keepLines w:val="0"/>
        <w:pageBreakBefore w:val="0"/>
        <w:widowControl w:val="0"/>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3.我方在采购项目评审（评标）环节结束后，随时接受采购人</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采购代理机构的检查验证，配合提供相关证明材料，证明符合《中华人民共和国政府采购法》规定的投标人基本资格条件。</w:t>
      </w:r>
    </w:p>
    <w:p w14:paraId="72BB9F73">
      <w:pPr>
        <w:keepNext w:val="0"/>
        <w:keepLines w:val="0"/>
        <w:pageBreakBefore w:val="0"/>
        <w:widowControl w:val="0"/>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我方对以上承诺负全部法律责任。</w:t>
      </w:r>
    </w:p>
    <w:p w14:paraId="5D2CFBE1">
      <w:pPr>
        <w:keepNext w:val="0"/>
        <w:keepLines w:val="0"/>
        <w:pageBreakBefore w:val="0"/>
        <w:widowControl w:val="0"/>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sz w:val="28"/>
          <w:szCs w:val="28"/>
        </w:rPr>
      </w:pPr>
    </w:p>
    <w:p w14:paraId="7A4248BF">
      <w:pPr>
        <w:keepNext w:val="0"/>
        <w:keepLines w:val="0"/>
        <w:pageBreakBefore w:val="0"/>
        <w:widowControl w:val="0"/>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特此承诺。</w:t>
      </w:r>
    </w:p>
    <w:p w14:paraId="134B6CAA">
      <w:pPr>
        <w:keepNext w:val="0"/>
        <w:keepLines w:val="0"/>
        <w:pageBreakBefore w:val="0"/>
        <w:widowControl w:val="0"/>
        <w:kinsoku/>
        <w:wordWrap w:val="0"/>
        <w:overflowPunct/>
        <w:topLinePunct w:val="0"/>
        <w:autoSpaceDE/>
        <w:autoSpaceDN/>
        <w:bidi w:val="0"/>
        <w:adjustRightInd/>
        <w:snapToGrid/>
        <w:spacing w:line="560" w:lineRule="exact"/>
        <w:ind w:firstLine="584" w:firstLineChars="200"/>
        <w:jc w:val="right"/>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响应</w:t>
      </w:r>
      <w:r>
        <w:rPr>
          <w:rFonts w:hint="eastAsia" w:ascii="仿宋_GB2312" w:hAnsi="仿宋_GB2312" w:eastAsia="仿宋_GB2312" w:cs="仿宋_GB2312"/>
          <w:sz w:val="28"/>
          <w:szCs w:val="28"/>
        </w:rPr>
        <w:t>人公章）</w:t>
      </w:r>
      <w:r>
        <w:rPr>
          <w:rFonts w:hint="eastAsia" w:ascii="仿宋_GB2312" w:hAnsi="仿宋_GB2312" w:eastAsia="仿宋_GB2312" w:cs="仿宋_GB2312"/>
          <w:sz w:val="28"/>
          <w:szCs w:val="28"/>
          <w:lang w:val="en-US" w:eastAsia="zh-CN"/>
        </w:rPr>
        <w:t xml:space="preserve">     </w:t>
      </w:r>
    </w:p>
    <w:p w14:paraId="23A9E4ED">
      <w:pPr>
        <w:keepNext w:val="0"/>
        <w:keepLines w:val="0"/>
        <w:pageBreakBefore w:val="0"/>
        <w:widowControl w:val="0"/>
        <w:kinsoku/>
        <w:wordWrap w:val="0"/>
        <w:overflowPunct/>
        <w:topLinePunct w:val="0"/>
        <w:autoSpaceDE/>
        <w:autoSpaceDN/>
        <w:bidi w:val="0"/>
        <w:adjustRightInd/>
        <w:snapToGrid/>
        <w:spacing w:line="560" w:lineRule="exact"/>
        <w:ind w:firstLine="584" w:firstLineChars="200"/>
        <w:jc w:val="righ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日期：</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日</w:t>
      </w:r>
      <w:r>
        <w:rPr>
          <w:rFonts w:hint="eastAsia" w:ascii="仿宋_GB2312" w:hAnsi="仿宋_GB2312" w:eastAsia="仿宋_GB2312" w:cs="仿宋_GB2312"/>
          <w:sz w:val="28"/>
          <w:szCs w:val="28"/>
          <w:lang w:val="en-US" w:eastAsia="zh-CN"/>
        </w:rPr>
        <w:t xml:space="preserve">  </w:t>
      </w:r>
    </w:p>
    <w:p w14:paraId="79154DBE">
      <w:pPr>
        <w:keepNext w:val="0"/>
        <w:keepLines w:val="0"/>
        <w:pageBreakBefore w:val="0"/>
        <w:widowControl w:val="0"/>
        <w:kinsoku/>
        <w:wordWrap/>
        <w:overflowPunct/>
        <w:topLinePunct w:val="0"/>
        <w:autoSpaceDE/>
        <w:autoSpaceDN/>
        <w:bidi w:val="0"/>
        <w:adjustRightInd/>
        <w:snapToGrid/>
        <w:spacing w:line="560" w:lineRule="exact"/>
        <w:ind w:firstLine="584" w:firstLineChars="200"/>
        <w:jc w:val="right"/>
        <w:textAlignment w:val="auto"/>
        <w:rPr>
          <w:rFonts w:hint="eastAsia" w:ascii="仿宋_GB2312" w:hAnsi="仿宋_GB2312" w:eastAsia="仿宋_GB2312" w:cs="仿宋_GB2312"/>
          <w:sz w:val="28"/>
          <w:szCs w:val="28"/>
          <w:lang w:val="en-US" w:eastAsia="zh-CN"/>
        </w:rPr>
      </w:pPr>
    </w:p>
    <w:bookmarkEnd w:id="326"/>
    <w:bookmarkEnd w:id="327"/>
    <w:bookmarkEnd w:id="328"/>
    <w:bookmarkEnd w:id="329"/>
    <w:p w14:paraId="71852530">
      <w:pPr>
        <w:rPr>
          <w:rFonts w:hint="eastAsia" w:ascii="宋体" w:hAnsi="宋体" w:eastAsia="宋体"/>
          <w:color w:val="auto"/>
          <w:sz w:val="21"/>
          <w:szCs w:val="21"/>
          <w:lang w:val="en-US" w:eastAsia="zh-CN"/>
        </w:rPr>
      </w:pPr>
      <w:r>
        <w:rPr>
          <w:rFonts w:hint="eastAsia" w:ascii="宋体" w:hAnsi="宋体" w:eastAsia="宋体"/>
          <w:color w:val="auto"/>
          <w:sz w:val="21"/>
          <w:szCs w:val="21"/>
          <w:lang w:val="en-US" w:eastAsia="zh-CN"/>
        </w:rPr>
        <w:br w:type="page"/>
      </w:r>
    </w:p>
    <w:p w14:paraId="1E3D6C71">
      <w:pPr>
        <w:pStyle w:val="43"/>
        <w:keepNext/>
        <w:keepLines/>
        <w:pageBreakBefore w:val="0"/>
        <w:widowControl/>
        <w:kinsoku/>
        <w:wordWrap/>
        <w:overflowPunct/>
        <w:topLinePunct w:val="0"/>
        <w:autoSpaceDE/>
        <w:autoSpaceDN/>
        <w:bidi w:val="0"/>
        <w:adjustRightInd/>
        <w:snapToGrid/>
        <w:ind w:firstLine="624" w:firstLineChars="200"/>
        <w:jc w:val="both"/>
        <w:textAlignment w:val="auto"/>
        <w:rPr>
          <w:rFonts w:hint="eastAsia" w:ascii="仿宋_GB2312" w:hAnsi="仿宋_GB2312" w:eastAsia="仿宋_GB2312" w:cs="仿宋_GB2312"/>
          <w:b/>
          <w:bCs/>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kern w:val="2"/>
          <w:sz w:val="30"/>
          <w:szCs w:val="30"/>
          <w:u w:val="none"/>
          <w:lang w:val="en-US" w:eastAsia="zh-CN" w:bidi="ar-SA"/>
          <w14:textFill>
            <w14:solidFill>
              <w14:schemeClr w14:val="tx1"/>
            </w14:solidFill>
          </w14:textFill>
        </w:rPr>
        <w:t>四、落实政府采购政策需满足的资格要求</w:t>
      </w:r>
    </w:p>
    <w:p w14:paraId="09F2BB5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b/>
          <w:bCs/>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lang w:val="en-US" w:eastAsia="zh-CN"/>
          <w14:textFill>
            <w14:solidFill>
              <w14:schemeClr w14:val="tx1"/>
            </w14:solidFill>
          </w14:textFill>
        </w:rPr>
        <w:t>中小企业声明函</w:t>
      </w:r>
    </w:p>
    <w:p w14:paraId="56D3407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b/>
          <w:bCs/>
          <w:color w:val="000000" w:themeColor="text1"/>
          <w:sz w:val="28"/>
          <w:szCs w:val="28"/>
          <w:highlight w:val="none"/>
          <w:lang w:val="en-US" w:eastAsia="zh-CN"/>
          <w14:textFill>
            <w14:solidFill>
              <w14:schemeClr w14:val="tx1"/>
            </w14:solidFill>
          </w14:textFill>
        </w:rPr>
      </w:pPr>
    </w:p>
    <w:p w14:paraId="08A9EC33">
      <w:pPr>
        <w:keepNext w:val="0"/>
        <w:keepLines w:val="0"/>
        <w:pageBreakBefore w:val="0"/>
        <w:widowControl w:val="0"/>
        <w:kinsoku/>
        <w:wordWrap/>
        <w:overflowPunct/>
        <w:topLinePunct w:val="0"/>
        <w:autoSpaceDE/>
        <w:autoSpaceDN/>
        <w:bidi w:val="0"/>
        <w:adjustRightInd/>
        <w:snapToGrid/>
        <w:spacing w:line="500" w:lineRule="exact"/>
        <w:ind w:firstLine="584" w:firstLineChars="200"/>
        <w:textAlignment w:val="auto"/>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本公司（联合体）郑重声明，根据《政府采购促进中小企业发展管理办法》（财库﹝2020﹞46 号）的规定，本公司（联合体）参加</w:t>
      </w:r>
      <w:r>
        <w:rPr>
          <w:rFonts w:hint="eastAsia" w:ascii="仿宋_GB2312" w:hAnsi="仿宋_GB2312" w:eastAsia="仿宋_GB2312" w:cs="仿宋_GB2312"/>
          <w:i/>
          <w:iCs/>
          <w:color w:val="000000" w:themeColor="text1"/>
          <w:sz w:val="28"/>
          <w:szCs w:val="28"/>
          <w:u w:val="single"/>
          <w:lang w:eastAsia="zh-CN"/>
          <w14:textFill>
            <w14:solidFill>
              <w14:schemeClr w14:val="tx1"/>
            </w14:solidFill>
          </w14:textFill>
        </w:rPr>
        <w:t>（单位名称）</w:t>
      </w:r>
      <w:r>
        <w:rPr>
          <w:rFonts w:hint="eastAsia" w:ascii="仿宋_GB2312" w:hAnsi="仿宋_GB2312" w:eastAsia="仿宋_GB2312" w:cs="仿宋_GB2312"/>
          <w:color w:val="000000" w:themeColor="text1"/>
          <w:sz w:val="28"/>
          <w:szCs w:val="28"/>
          <w:lang w:eastAsia="zh-CN"/>
          <w14:textFill>
            <w14:solidFill>
              <w14:schemeClr w14:val="tx1"/>
            </w14:solidFill>
          </w14:textFill>
        </w:rPr>
        <w:t>的</w:t>
      </w:r>
      <w:r>
        <w:rPr>
          <w:rFonts w:hint="eastAsia" w:ascii="仿宋_GB2312" w:hAnsi="仿宋_GB2312" w:eastAsia="仿宋_GB2312" w:cs="仿宋_GB2312"/>
          <w:i/>
          <w:iCs/>
          <w:color w:val="000000" w:themeColor="text1"/>
          <w:sz w:val="28"/>
          <w:szCs w:val="28"/>
          <w:u w:val="single"/>
          <w:lang w:eastAsia="zh-CN"/>
          <w14:textFill>
            <w14:solidFill>
              <w14:schemeClr w14:val="tx1"/>
            </w14:solidFill>
          </w14:textFill>
        </w:rPr>
        <w:t>（项目名称）</w:t>
      </w:r>
      <w:r>
        <w:rPr>
          <w:rFonts w:hint="eastAsia" w:ascii="仿宋_GB2312" w:hAnsi="仿宋_GB2312" w:eastAsia="仿宋_GB2312" w:cs="仿宋_GB2312"/>
          <w:color w:val="000000" w:themeColor="text1"/>
          <w:sz w:val="28"/>
          <w:szCs w:val="28"/>
          <w:lang w:eastAsia="zh-CN"/>
          <w14:textFill>
            <w14:solidFill>
              <w14:schemeClr w14:val="tx1"/>
            </w14:solidFill>
          </w14:textFill>
        </w:rPr>
        <w:t>采购活动，提供的货物全部由符合政策要求的中小企业制造。相关企业（含联合体中的中小企业、签订分包意向协议的中小企业）的具体情况如下：</w:t>
      </w:r>
    </w:p>
    <w:p w14:paraId="5174F755">
      <w:pPr>
        <w:keepNext w:val="0"/>
        <w:keepLines w:val="0"/>
        <w:pageBreakBefore w:val="0"/>
        <w:widowControl w:val="0"/>
        <w:kinsoku/>
        <w:wordWrap/>
        <w:overflowPunct/>
        <w:topLinePunct w:val="0"/>
        <w:autoSpaceDE/>
        <w:autoSpaceDN/>
        <w:bidi w:val="0"/>
        <w:adjustRightInd/>
        <w:snapToGrid/>
        <w:spacing w:line="500" w:lineRule="exact"/>
        <w:ind w:firstLine="584" w:firstLineChars="200"/>
        <w:textAlignment w:val="auto"/>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w:t>
      </w:r>
      <w:r>
        <w:rPr>
          <w:rFonts w:hint="eastAsia" w:ascii="仿宋_GB2312" w:hAnsi="仿宋_GB2312" w:eastAsia="仿宋_GB2312" w:cs="仿宋_GB2312"/>
          <w:i/>
          <w:iCs/>
          <w:color w:val="000000" w:themeColor="text1"/>
          <w:sz w:val="28"/>
          <w:szCs w:val="28"/>
          <w:u w:val="single"/>
          <w:lang w:eastAsia="zh-CN"/>
          <w14:textFill>
            <w14:solidFill>
              <w14:schemeClr w14:val="tx1"/>
            </w14:solidFill>
          </w14:textFill>
        </w:rPr>
        <w:t xml:space="preserve"> （标的名称） </w:t>
      </w:r>
      <w:r>
        <w:rPr>
          <w:rFonts w:hint="eastAsia" w:ascii="仿宋_GB2312" w:hAnsi="仿宋_GB2312" w:eastAsia="仿宋_GB2312" w:cs="仿宋_GB2312"/>
          <w:color w:val="000000" w:themeColor="text1"/>
          <w:sz w:val="28"/>
          <w:szCs w:val="28"/>
          <w:lang w:eastAsia="zh-CN"/>
          <w14:textFill>
            <w14:solidFill>
              <w14:schemeClr w14:val="tx1"/>
            </w14:solidFill>
          </w14:textFill>
        </w:rPr>
        <w:t>，属于</w:t>
      </w:r>
      <w:r>
        <w:rPr>
          <w:rFonts w:hint="eastAsia" w:ascii="仿宋_GB2312" w:hAnsi="仿宋_GB2312" w:eastAsia="仿宋_GB2312" w:cs="仿宋_GB2312"/>
          <w:i/>
          <w:iCs/>
          <w:color w:val="000000" w:themeColor="text1"/>
          <w:sz w:val="28"/>
          <w:szCs w:val="28"/>
          <w:u w:val="single"/>
          <w:lang w:eastAsia="zh-CN"/>
          <w14:textFill>
            <w14:solidFill>
              <w14:schemeClr w14:val="tx1"/>
            </w14:solidFill>
          </w14:textFill>
        </w:rPr>
        <w:t>（采购文件中明确的所属行业）行业</w:t>
      </w:r>
      <w:r>
        <w:rPr>
          <w:rFonts w:hint="eastAsia" w:ascii="仿宋_GB2312" w:hAnsi="仿宋_GB2312" w:eastAsia="仿宋_GB2312" w:cs="仿宋_GB2312"/>
          <w:color w:val="000000" w:themeColor="text1"/>
          <w:sz w:val="28"/>
          <w:szCs w:val="28"/>
          <w:lang w:eastAsia="zh-CN"/>
          <w14:textFill>
            <w14:solidFill>
              <w14:schemeClr w14:val="tx1"/>
            </w14:solidFill>
          </w14:textFill>
        </w:rPr>
        <w:t>；制造商为</w:t>
      </w:r>
      <w:r>
        <w:rPr>
          <w:rFonts w:hint="eastAsia" w:ascii="仿宋_GB2312" w:hAnsi="仿宋_GB2312" w:eastAsia="仿宋_GB2312" w:cs="仿宋_GB2312"/>
          <w:i/>
          <w:iCs/>
          <w:color w:val="000000" w:themeColor="text1"/>
          <w:sz w:val="28"/>
          <w:szCs w:val="28"/>
          <w:u w:val="single"/>
          <w:lang w:eastAsia="zh-CN"/>
          <w14:textFill>
            <w14:solidFill>
              <w14:schemeClr w14:val="tx1"/>
            </w14:solidFill>
          </w14:textFill>
        </w:rPr>
        <w:t>（企业名称）</w:t>
      </w:r>
      <w:r>
        <w:rPr>
          <w:rFonts w:hint="eastAsia" w:ascii="仿宋_GB2312" w:hAnsi="仿宋_GB2312" w:eastAsia="仿宋_GB2312" w:cs="仿宋_GB2312"/>
          <w:color w:val="000000" w:themeColor="text1"/>
          <w:sz w:val="28"/>
          <w:szCs w:val="28"/>
          <w:lang w:eastAsia="zh-CN"/>
          <w14:textFill>
            <w14:solidFill>
              <w14:schemeClr w14:val="tx1"/>
            </w14:solidFill>
          </w14:textFill>
        </w:rPr>
        <w:t>，从业人员</w:t>
      </w:r>
      <w:r>
        <w:rPr>
          <w:rFonts w:hint="eastAsia" w:ascii="仿宋_GB2312" w:hAnsi="仿宋_GB2312" w:eastAsia="仿宋_GB2312" w:cs="仿宋_GB2312"/>
          <w:i/>
          <w:iCs/>
          <w:color w:val="000000" w:themeColor="text1"/>
          <w:sz w:val="28"/>
          <w:szCs w:val="28"/>
          <w:u w:val="single"/>
          <w:lang w:eastAsia="zh-CN"/>
          <w14:textFill>
            <w14:solidFill>
              <w14:schemeClr w14:val="tx1"/>
            </w14:solidFill>
          </w14:textFill>
        </w:rPr>
        <w:t xml:space="preserve"> </w:t>
      </w:r>
      <w:r>
        <w:rPr>
          <w:rFonts w:hint="eastAsia" w:ascii="仿宋_GB2312" w:hAnsi="仿宋_GB2312" w:eastAsia="仿宋_GB2312" w:cs="仿宋_GB2312"/>
          <w:i/>
          <w:iCs/>
          <w:color w:val="000000" w:themeColor="text1"/>
          <w:sz w:val="28"/>
          <w:szCs w:val="28"/>
          <w:u w:val="singl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lang w:eastAsia="zh-CN"/>
          <w14:textFill>
            <w14:solidFill>
              <w14:schemeClr w14:val="tx1"/>
            </w14:solidFill>
          </w14:textFill>
        </w:rPr>
        <w:t>人，营业收入为</w:t>
      </w:r>
      <w:r>
        <w:rPr>
          <w:rFonts w:hint="eastAsia" w:ascii="仿宋_GB2312" w:hAnsi="仿宋_GB2312" w:eastAsia="仿宋_GB2312" w:cs="仿宋_GB2312"/>
          <w:i/>
          <w:iCs/>
          <w:color w:val="000000" w:themeColor="text1"/>
          <w:sz w:val="28"/>
          <w:szCs w:val="28"/>
          <w:u w:val="single"/>
          <w:lang w:eastAsia="zh-CN"/>
          <w14:textFill>
            <w14:solidFill>
              <w14:schemeClr w14:val="tx1"/>
            </w14:solidFill>
          </w14:textFill>
        </w:rPr>
        <w:t xml:space="preserve"> </w:t>
      </w:r>
      <w:r>
        <w:rPr>
          <w:rFonts w:hint="eastAsia" w:ascii="仿宋_GB2312" w:hAnsi="仿宋_GB2312" w:eastAsia="仿宋_GB2312" w:cs="仿宋_GB2312"/>
          <w:i/>
          <w:iCs/>
          <w:color w:val="000000" w:themeColor="text1"/>
          <w:sz w:val="28"/>
          <w:szCs w:val="28"/>
          <w:u w:val="singl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lang w:eastAsia="zh-CN"/>
          <w14:textFill>
            <w14:solidFill>
              <w14:schemeClr w14:val="tx1"/>
            </w14:solidFill>
          </w14:textFill>
        </w:rPr>
        <w:t>万元，资产总额为万元，属于</w:t>
      </w:r>
      <w:r>
        <w:rPr>
          <w:rFonts w:hint="eastAsia" w:ascii="仿宋_GB2312" w:hAnsi="仿宋_GB2312" w:eastAsia="仿宋_GB2312" w:cs="仿宋_GB2312"/>
          <w:i/>
          <w:iCs/>
          <w:color w:val="000000" w:themeColor="text1"/>
          <w:sz w:val="28"/>
          <w:szCs w:val="28"/>
          <w:u w:val="single"/>
          <w:lang w:eastAsia="zh-CN"/>
          <w14:textFill>
            <w14:solidFill>
              <w14:schemeClr w14:val="tx1"/>
            </w14:solidFill>
          </w14:textFill>
        </w:rPr>
        <w:t>（中型企业、小型企业、微型企业）</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14:paraId="31815C2C">
      <w:pPr>
        <w:keepNext w:val="0"/>
        <w:keepLines w:val="0"/>
        <w:pageBreakBefore w:val="0"/>
        <w:widowControl w:val="0"/>
        <w:kinsoku/>
        <w:wordWrap/>
        <w:overflowPunct/>
        <w:topLinePunct w:val="0"/>
        <w:autoSpaceDE/>
        <w:autoSpaceDN/>
        <w:bidi w:val="0"/>
        <w:adjustRightInd/>
        <w:snapToGrid/>
        <w:spacing w:line="500" w:lineRule="exact"/>
        <w:ind w:firstLine="584" w:firstLineChars="200"/>
        <w:textAlignment w:val="auto"/>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w:t>
      </w:r>
      <w:r>
        <w:rPr>
          <w:rFonts w:hint="eastAsia" w:ascii="仿宋_GB2312" w:hAnsi="仿宋_GB2312" w:eastAsia="仿宋_GB2312" w:cs="仿宋_GB2312"/>
          <w:i/>
          <w:iCs/>
          <w:color w:val="000000" w:themeColor="text1"/>
          <w:sz w:val="28"/>
          <w:szCs w:val="28"/>
          <w:u w:val="single"/>
          <w:lang w:eastAsia="zh-CN"/>
          <w14:textFill>
            <w14:solidFill>
              <w14:schemeClr w14:val="tx1"/>
            </w14:solidFill>
          </w14:textFill>
        </w:rPr>
        <w:t xml:space="preserve"> （标的名称） </w:t>
      </w:r>
      <w:r>
        <w:rPr>
          <w:rFonts w:hint="eastAsia" w:ascii="仿宋_GB2312" w:hAnsi="仿宋_GB2312" w:eastAsia="仿宋_GB2312" w:cs="仿宋_GB2312"/>
          <w:color w:val="000000" w:themeColor="text1"/>
          <w:sz w:val="28"/>
          <w:szCs w:val="28"/>
          <w:lang w:eastAsia="zh-CN"/>
          <w14:textFill>
            <w14:solidFill>
              <w14:schemeClr w14:val="tx1"/>
            </w14:solidFill>
          </w14:textFill>
        </w:rPr>
        <w:t>，属于</w:t>
      </w:r>
      <w:r>
        <w:rPr>
          <w:rFonts w:hint="eastAsia" w:ascii="仿宋_GB2312" w:hAnsi="仿宋_GB2312" w:eastAsia="仿宋_GB2312" w:cs="仿宋_GB2312"/>
          <w:i/>
          <w:iCs/>
          <w:color w:val="000000" w:themeColor="text1"/>
          <w:sz w:val="28"/>
          <w:szCs w:val="28"/>
          <w:u w:val="single"/>
          <w:lang w:eastAsia="zh-CN"/>
          <w14:textFill>
            <w14:solidFill>
              <w14:schemeClr w14:val="tx1"/>
            </w14:solidFill>
          </w14:textFill>
        </w:rPr>
        <w:t>（采购文件中明确的所属行业）行业</w:t>
      </w:r>
      <w:r>
        <w:rPr>
          <w:rFonts w:hint="eastAsia" w:ascii="仿宋_GB2312" w:hAnsi="仿宋_GB2312" w:eastAsia="仿宋_GB2312" w:cs="仿宋_GB2312"/>
          <w:color w:val="000000" w:themeColor="text1"/>
          <w:sz w:val="28"/>
          <w:szCs w:val="28"/>
          <w:lang w:eastAsia="zh-CN"/>
          <w14:textFill>
            <w14:solidFill>
              <w14:schemeClr w14:val="tx1"/>
            </w14:solidFill>
          </w14:textFill>
        </w:rPr>
        <w:t>；制造商为</w:t>
      </w:r>
      <w:r>
        <w:rPr>
          <w:rFonts w:hint="eastAsia" w:ascii="仿宋_GB2312" w:hAnsi="仿宋_GB2312" w:eastAsia="仿宋_GB2312" w:cs="仿宋_GB2312"/>
          <w:i/>
          <w:iCs/>
          <w:color w:val="000000" w:themeColor="text1"/>
          <w:sz w:val="28"/>
          <w:szCs w:val="28"/>
          <w:u w:val="single"/>
          <w:lang w:eastAsia="zh-CN"/>
          <w14:textFill>
            <w14:solidFill>
              <w14:schemeClr w14:val="tx1"/>
            </w14:solidFill>
          </w14:textFill>
        </w:rPr>
        <w:t>（企业名称）</w:t>
      </w:r>
      <w:r>
        <w:rPr>
          <w:rFonts w:hint="eastAsia" w:ascii="仿宋_GB2312" w:hAnsi="仿宋_GB2312" w:eastAsia="仿宋_GB2312" w:cs="仿宋_GB2312"/>
          <w:color w:val="000000" w:themeColor="text1"/>
          <w:sz w:val="28"/>
          <w:szCs w:val="28"/>
          <w:lang w:eastAsia="zh-CN"/>
          <w14:textFill>
            <w14:solidFill>
              <w14:schemeClr w14:val="tx1"/>
            </w14:solidFill>
          </w14:textFill>
        </w:rPr>
        <w:t>，从业人员</w:t>
      </w:r>
      <w:r>
        <w:rPr>
          <w:rFonts w:hint="eastAsia" w:ascii="仿宋_GB2312" w:hAnsi="仿宋_GB2312" w:eastAsia="仿宋_GB2312" w:cs="仿宋_GB2312"/>
          <w:i/>
          <w:iCs/>
          <w:color w:val="000000" w:themeColor="text1"/>
          <w:sz w:val="28"/>
          <w:szCs w:val="28"/>
          <w:u w:val="single"/>
          <w:lang w:eastAsia="zh-CN"/>
          <w14:textFill>
            <w14:solidFill>
              <w14:schemeClr w14:val="tx1"/>
            </w14:solidFill>
          </w14:textFill>
        </w:rPr>
        <w:t xml:space="preserve"> </w:t>
      </w:r>
      <w:r>
        <w:rPr>
          <w:rFonts w:hint="eastAsia" w:ascii="仿宋_GB2312" w:hAnsi="仿宋_GB2312" w:eastAsia="仿宋_GB2312" w:cs="仿宋_GB2312"/>
          <w:i/>
          <w:iCs/>
          <w:color w:val="000000" w:themeColor="text1"/>
          <w:sz w:val="28"/>
          <w:szCs w:val="28"/>
          <w:u w:val="singl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lang w:eastAsia="zh-CN"/>
          <w14:textFill>
            <w14:solidFill>
              <w14:schemeClr w14:val="tx1"/>
            </w14:solidFill>
          </w14:textFill>
        </w:rPr>
        <w:t>人，营业收入为</w:t>
      </w:r>
      <w:r>
        <w:rPr>
          <w:rFonts w:hint="eastAsia" w:ascii="仿宋_GB2312" w:hAnsi="仿宋_GB2312" w:eastAsia="仿宋_GB2312" w:cs="仿宋_GB2312"/>
          <w:i/>
          <w:iCs/>
          <w:color w:val="000000" w:themeColor="text1"/>
          <w:sz w:val="28"/>
          <w:szCs w:val="28"/>
          <w:u w:val="single"/>
          <w:lang w:eastAsia="zh-CN"/>
          <w14:textFill>
            <w14:solidFill>
              <w14:schemeClr w14:val="tx1"/>
            </w14:solidFill>
          </w14:textFill>
        </w:rPr>
        <w:t xml:space="preserve"> </w:t>
      </w:r>
      <w:r>
        <w:rPr>
          <w:rFonts w:hint="eastAsia" w:ascii="仿宋_GB2312" w:hAnsi="仿宋_GB2312" w:eastAsia="仿宋_GB2312" w:cs="仿宋_GB2312"/>
          <w:i/>
          <w:iCs/>
          <w:color w:val="000000" w:themeColor="text1"/>
          <w:sz w:val="28"/>
          <w:szCs w:val="28"/>
          <w:u w:val="singl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lang w:eastAsia="zh-CN"/>
          <w14:textFill>
            <w14:solidFill>
              <w14:schemeClr w14:val="tx1"/>
            </w14:solidFill>
          </w14:textFill>
        </w:rPr>
        <w:t>万元，资产总额为万元，属于</w:t>
      </w:r>
      <w:r>
        <w:rPr>
          <w:rFonts w:hint="eastAsia" w:ascii="仿宋_GB2312" w:hAnsi="仿宋_GB2312" w:eastAsia="仿宋_GB2312" w:cs="仿宋_GB2312"/>
          <w:i/>
          <w:iCs/>
          <w:color w:val="000000" w:themeColor="text1"/>
          <w:sz w:val="28"/>
          <w:szCs w:val="28"/>
          <w:u w:val="single"/>
          <w:lang w:eastAsia="zh-CN"/>
          <w14:textFill>
            <w14:solidFill>
              <w14:schemeClr w14:val="tx1"/>
            </w14:solidFill>
          </w14:textFill>
        </w:rPr>
        <w:t>（中型企业、小型企业、微型企业）</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14:paraId="3773ACC3">
      <w:pPr>
        <w:keepNext w:val="0"/>
        <w:keepLines w:val="0"/>
        <w:pageBreakBefore w:val="0"/>
        <w:widowControl w:val="0"/>
        <w:kinsoku/>
        <w:wordWrap/>
        <w:overflowPunct/>
        <w:topLinePunct w:val="0"/>
        <w:autoSpaceDE/>
        <w:autoSpaceDN/>
        <w:bidi w:val="0"/>
        <w:adjustRightInd/>
        <w:snapToGrid/>
        <w:spacing w:line="500" w:lineRule="exact"/>
        <w:ind w:firstLine="584" w:firstLineChars="200"/>
        <w:textAlignment w:val="auto"/>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14:paraId="20EBC59E">
      <w:pPr>
        <w:keepNext w:val="0"/>
        <w:keepLines w:val="0"/>
        <w:pageBreakBefore w:val="0"/>
        <w:widowControl w:val="0"/>
        <w:kinsoku/>
        <w:wordWrap/>
        <w:overflowPunct/>
        <w:topLinePunct w:val="0"/>
        <w:autoSpaceDE/>
        <w:autoSpaceDN/>
        <w:bidi w:val="0"/>
        <w:adjustRightInd/>
        <w:snapToGrid/>
        <w:spacing w:line="500" w:lineRule="exact"/>
        <w:ind w:firstLine="584" w:firstLineChars="200"/>
        <w:textAlignment w:val="auto"/>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以上企业，不属于大企业的分支机构，不存在控股股东为大企业的情形，也不存在与大企业的负责人为同一人的情形。</w:t>
      </w:r>
    </w:p>
    <w:p w14:paraId="2823852B">
      <w:pPr>
        <w:keepNext w:val="0"/>
        <w:keepLines w:val="0"/>
        <w:pageBreakBefore w:val="0"/>
        <w:widowControl w:val="0"/>
        <w:kinsoku/>
        <w:wordWrap/>
        <w:overflowPunct/>
        <w:topLinePunct w:val="0"/>
        <w:autoSpaceDE/>
        <w:autoSpaceDN/>
        <w:bidi w:val="0"/>
        <w:adjustRightInd/>
        <w:snapToGrid/>
        <w:spacing w:line="500" w:lineRule="exact"/>
        <w:ind w:firstLine="584" w:firstLineChars="200"/>
        <w:textAlignment w:val="auto"/>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本企业对上述声明内容的真实性负责。如有虚假，将依法承担相应责任。</w:t>
      </w:r>
    </w:p>
    <w:p w14:paraId="3AF80598">
      <w:pPr>
        <w:keepNext w:val="0"/>
        <w:keepLines w:val="0"/>
        <w:pageBreakBefore w:val="0"/>
        <w:widowControl w:val="0"/>
        <w:kinsoku/>
        <w:wordWrap w:val="0"/>
        <w:overflowPunct/>
        <w:topLinePunct w:val="0"/>
        <w:autoSpaceDE/>
        <w:autoSpaceDN/>
        <w:bidi w:val="0"/>
        <w:adjustRightInd/>
        <w:snapToGrid/>
        <w:spacing w:line="500" w:lineRule="exact"/>
        <w:jc w:val="right"/>
        <w:textAlignment w:val="auto"/>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企业名称（盖章）：</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 xml:space="preserve">            </w:t>
      </w:r>
    </w:p>
    <w:p w14:paraId="0F0ED2F1">
      <w:pPr>
        <w:keepNext w:val="0"/>
        <w:keepLines w:val="0"/>
        <w:pageBreakBefore w:val="0"/>
        <w:widowControl w:val="0"/>
        <w:kinsoku/>
        <w:wordWrap w:val="0"/>
        <w:overflowPunct/>
        <w:topLinePunct w:val="0"/>
        <w:autoSpaceDE/>
        <w:autoSpaceDN/>
        <w:bidi w:val="0"/>
        <w:adjustRightInd/>
        <w:snapToGrid/>
        <w:spacing w:line="500" w:lineRule="exact"/>
        <w:jc w:val="right"/>
        <w:textAlignment w:val="auto"/>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日 期：</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 xml:space="preserve">                       </w:t>
      </w:r>
    </w:p>
    <w:p w14:paraId="2309A1CD">
      <w:pPr>
        <w:keepNext w:val="0"/>
        <w:keepLines w:val="0"/>
        <w:pageBreakBefore w:val="0"/>
        <w:kinsoku/>
        <w:wordWrap w:val="0"/>
        <w:overflowPunct/>
        <w:topLinePunct w:val="0"/>
        <w:autoSpaceDE/>
        <w:autoSpaceDN/>
        <w:bidi w:val="0"/>
        <w:adjustRightInd/>
        <w:snapToGrid/>
        <w:spacing w:after="120" w:line="500" w:lineRule="exact"/>
        <w:ind w:firstLine="584" w:firstLineChars="200"/>
        <w:jc w:val="right"/>
        <w:textAlignment w:val="auto"/>
        <w:rPr>
          <w:rFonts w:hint="eastAsia" w:ascii="华文仿宋" w:hAnsi="华文仿宋" w:eastAsia="华文仿宋" w:cs="华文仿宋"/>
          <w:color w:val="000000" w:themeColor="text1"/>
          <w:kern w:val="2"/>
          <w:sz w:val="28"/>
          <w:szCs w:val="28"/>
          <w:lang w:val="en-US" w:eastAsia="zh-CN" w:bidi="ar-SA"/>
          <w14:textFill>
            <w14:solidFill>
              <w14:schemeClr w14:val="tx1"/>
            </w14:solidFill>
          </w14:textFill>
        </w:rPr>
      </w:pPr>
      <w:r>
        <w:rPr>
          <w:rFonts w:hint="eastAsia" w:ascii="华文仿宋" w:hAnsi="华文仿宋" w:eastAsia="华文仿宋" w:cs="华文仿宋"/>
          <w:color w:val="000000" w:themeColor="text1"/>
          <w:kern w:val="2"/>
          <w:sz w:val="28"/>
          <w:szCs w:val="28"/>
          <w:lang w:val="en-US" w:eastAsia="zh-CN" w:bidi="ar-SA"/>
          <w14:textFill>
            <w14:solidFill>
              <w14:schemeClr w14:val="tx1"/>
            </w14:solidFill>
          </w14:textFill>
        </w:rPr>
        <w:t xml:space="preserve">              </w:t>
      </w:r>
    </w:p>
    <w:p w14:paraId="6E1B1ED9">
      <w:pPr>
        <w:keepNext w:val="0"/>
        <w:keepLines w:val="0"/>
        <w:pageBreakBefore w:val="0"/>
        <w:widowControl/>
        <w:kinsoku/>
        <w:wordWrap/>
        <w:overflowPunct/>
        <w:topLinePunct w:val="0"/>
        <w:autoSpaceDE/>
        <w:autoSpaceDN/>
        <w:bidi w:val="0"/>
        <w:adjustRightInd/>
        <w:snapToGrid/>
        <w:spacing w:line="360" w:lineRule="exact"/>
        <w:ind w:firstLine="444" w:firstLineChars="20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备注：1、</w:t>
      </w:r>
      <w:r>
        <w:rPr>
          <w:rFonts w:hint="eastAsia" w:ascii="宋体" w:hAnsi="宋体" w:eastAsia="宋体" w:cs="宋体"/>
          <w:color w:val="000000" w:themeColor="text1"/>
          <w:sz w:val="21"/>
          <w:szCs w:val="21"/>
          <w14:textFill>
            <w14:solidFill>
              <w14:schemeClr w14:val="tx1"/>
            </w14:solidFill>
          </w14:textFill>
        </w:rPr>
        <w:t>本项目采购标的对应的中小企业划分标准所属行业为：</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工</w:t>
      </w:r>
      <w:r>
        <w:rPr>
          <w:rFonts w:hint="eastAsia" w:ascii="宋体" w:hAnsi="宋体" w:eastAsia="宋体" w:cs="宋体"/>
          <w:b/>
          <w:bCs/>
          <w:color w:val="000000" w:themeColor="text1"/>
          <w:sz w:val="21"/>
          <w:szCs w:val="21"/>
          <w:highlight w:val="none"/>
          <w14:textFill>
            <w14:solidFill>
              <w14:schemeClr w14:val="tx1"/>
            </w14:solidFill>
          </w14:textFill>
        </w:rPr>
        <w:t>业</w:t>
      </w:r>
      <w:r>
        <w:rPr>
          <w:rFonts w:hint="eastAsia" w:ascii="宋体" w:hAnsi="宋体" w:eastAsia="宋体" w:cs="宋体"/>
          <w:color w:val="000000" w:themeColor="text1"/>
          <w:sz w:val="21"/>
          <w:szCs w:val="21"/>
          <w14:textFill>
            <w14:solidFill>
              <w14:schemeClr w14:val="tx1"/>
            </w14:solidFill>
          </w14:textFill>
        </w:rPr>
        <w:t>。</w:t>
      </w:r>
    </w:p>
    <w:p w14:paraId="79422F2C">
      <w:pPr>
        <w:keepNext w:val="0"/>
        <w:keepLines w:val="0"/>
        <w:pageBreakBefore w:val="0"/>
        <w:widowControl/>
        <w:kinsoku/>
        <w:wordWrap/>
        <w:overflowPunct/>
        <w:topLinePunct w:val="0"/>
        <w:autoSpaceDE/>
        <w:autoSpaceDN/>
        <w:bidi w:val="0"/>
        <w:adjustRightInd/>
        <w:snapToGrid/>
        <w:spacing w:line="360" w:lineRule="exact"/>
        <w:ind w:firstLine="444" w:firstLineChars="20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2、成交供应商的《中小企业声明函》将随成交结果公告一同公布。 </w:t>
      </w:r>
    </w:p>
    <w:p w14:paraId="1BEB8137">
      <w:pPr>
        <w:keepNext w:val="0"/>
        <w:keepLines w:val="0"/>
        <w:pageBreakBefore w:val="0"/>
        <w:widowControl/>
        <w:kinsoku/>
        <w:wordWrap/>
        <w:overflowPunct/>
        <w:topLinePunct w:val="0"/>
        <w:autoSpaceDE/>
        <w:autoSpaceDN/>
        <w:bidi w:val="0"/>
        <w:adjustRightInd/>
        <w:snapToGrid/>
        <w:spacing w:line="360" w:lineRule="exact"/>
        <w:ind w:firstLine="444" w:firstLineChars="20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3、各供应商可根据企业从业人员、营业收入、资产总额等指标，按照谈判文件约定的采购标的对应的中小企业划分标准所属行业和《中小企业划型标准规定》（工信部联企业〔2011〕300号）进行自测。可登录工业和信息化部的中小企业规模类型自测小程 序（https://baosong.miit.gov.cn/ScaleTest）进行测算。 </w:t>
      </w:r>
    </w:p>
    <w:p w14:paraId="530CA332">
      <w:pPr>
        <w:keepNext w:val="0"/>
        <w:keepLines w:val="0"/>
        <w:pageBreakBefore w:val="0"/>
        <w:widowControl/>
        <w:kinsoku/>
        <w:wordWrap/>
        <w:overflowPunct/>
        <w:topLinePunct w:val="0"/>
        <w:autoSpaceDE/>
        <w:autoSpaceDN/>
        <w:bidi w:val="0"/>
        <w:adjustRightInd/>
        <w:snapToGrid/>
        <w:spacing w:line="360" w:lineRule="exact"/>
        <w:ind w:firstLine="444" w:firstLineChars="20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4、各供应商如非中小企业，则无需填写。 </w:t>
      </w:r>
    </w:p>
    <w:p w14:paraId="73189D58">
      <w:pPr>
        <w:rPr>
          <w:rFonts w:hint="eastAsia"/>
          <w:b/>
          <w:color w:val="000000" w:themeColor="text1"/>
          <w:sz w:val="32"/>
          <w:szCs w:val="32"/>
          <w14:textFill>
            <w14:solidFill>
              <w14:schemeClr w14:val="tx1"/>
            </w14:solidFill>
          </w14:textFill>
        </w:rPr>
      </w:pPr>
      <w:r>
        <w:rPr>
          <w:rFonts w:hint="eastAsia"/>
          <w:b/>
          <w:color w:val="000000" w:themeColor="text1"/>
          <w:sz w:val="30"/>
          <w:szCs w:val="30"/>
          <w14:textFill>
            <w14:solidFill>
              <w14:schemeClr w14:val="tx1"/>
            </w14:solidFill>
          </w14:textFill>
        </w:rPr>
        <w:br w:type="page"/>
      </w:r>
    </w:p>
    <w:p w14:paraId="7B3F6559">
      <w:pPr>
        <w:pStyle w:val="43"/>
        <w:pageBreakBefore w:val="0"/>
        <w:widowControl/>
        <w:kinsoku/>
        <w:wordWrap/>
        <w:overflowPunct/>
        <w:topLinePunct w:val="0"/>
        <w:autoSpaceDE/>
        <w:autoSpaceDN/>
        <w:bidi w:val="0"/>
        <w:adjustRightInd/>
        <w:snapToGrid/>
        <w:spacing w:line="560" w:lineRule="exact"/>
        <w:textAlignment w:val="auto"/>
        <w:rPr>
          <w:rFonts w:ascii="黑体" w:hAnsi="黑体" w:eastAsia="黑体"/>
          <w:b w:val="0"/>
          <w:color w:val="auto"/>
          <w:sz w:val="32"/>
          <w:szCs w:val="32"/>
        </w:rPr>
      </w:pPr>
      <w:bookmarkStart w:id="330" w:name="_Toc18829"/>
      <w:bookmarkStart w:id="331" w:name="_Toc29866"/>
      <w:bookmarkStart w:id="332" w:name="_Toc2083"/>
      <w:bookmarkStart w:id="333" w:name="_Toc28770"/>
      <w:bookmarkStart w:id="334" w:name="_Toc9751"/>
      <w:bookmarkStart w:id="335" w:name="_Toc1034"/>
      <w:bookmarkStart w:id="336" w:name="_Toc20137"/>
      <w:bookmarkStart w:id="337" w:name="_Toc29102_WPSOffice_Level2"/>
      <w:bookmarkStart w:id="338" w:name="_Toc9519_WPSOffice_Level2"/>
      <w:bookmarkStart w:id="339" w:name="_Toc17773_WPSOffice_Level2"/>
      <w:bookmarkStart w:id="340" w:name="_Toc29990_WPSOffice_Level2"/>
      <w:r>
        <w:rPr>
          <w:rFonts w:hint="eastAsia" w:ascii="黑体" w:hAnsi="黑体" w:eastAsia="黑体"/>
          <w:b w:val="0"/>
          <w:color w:val="auto"/>
          <w:sz w:val="32"/>
          <w:szCs w:val="32"/>
        </w:rPr>
        <w:t>第二部分  符合性证明文件</w:t>
      </w:r>
      <w:bookmarkEnd w:id="330"/>
      <w:bookmarkEnd w:id="331"/>
      <w:bookmarkEnd w:id="332"/>
      <w:bookmarkEnd w:id="333"/>
      <w:bookmarkEnd w:id="334"/>
      <w:bookmarkEnd w:id="335"/>
    </w:p>
    <w:p w14:paraId="77797BCC">
      <w:pPr>
        <w:pStyle w:val="43"/>
        <w:pageBreakBefore w:val="0"/>
        <w:widowControl/>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Cs w:val="0"/>
          <w:color w:val="auto"/>
          <w:sz w:val="28"/>
          <w:szCs w:val="28"/>
        </w:rPr>
      </w:pPr>
      <w:bookmarkStart w:id="341" w:name="_Toc19788"/>
      <w:bookmarkStart w:id="342" w:name="_Toc2230"/>
      <w:bookmarkStart w:id="343" w:name="_Toc28961"/>
      <w:bookmarkStart w:id="344" w:name="_Toc26585"/>
      <w:bookmarkStart w:id="345" w:name="_Toc3857"/>
      <w:bookmarkStart w:id="346" w:name="_Toc22486"/>
      <w:bookmarkStart w:id="347" w:name="_Toc7047"/>
      <w:bookmarkStart w:id="348" w:name="_Toc14262"/>
      <w:bookmarkStart w:id="349" w:name="_Toc26623"/>
      <w:r>
        <w:rPr>
          <w:rFonts w:hint="eastAsia" w:ascii="仿宋_GB2312" w:hAnsi="仿宋_GB2312" w:eastAsia="仿宋_GB2312" w:cs="仿宋_GB2312"/>
          <w:bCs w:val="0"/>
          <w:color w:val="auto"/>
          <w:sz w:val="28"/>
          <w:szCs w:val="28"/>
        </w:rPr>
        <w:t>一、响应函格式</w:t>
      </w:r>
      <w:bookmarkEnd w:id="341"/>
      <w:bookmarkEnd w:id="342"/>
      <w:bookmarkEnd w:id="343"/>
      <w:bookmarkEnd w:id="344"/>
      <w:bookmarkEnd w:id="345"/>
      <w:bookmarkEnd w:id="346"/>
      <w:bookmarkEnd w:id="347"/>
      <w:bookmarkEnd w:id="348"/>
      <w:bookmarkEnd w:id="349"/>
    </w:p>
    <w:p w14:paraId="53C2D80F">
      <w:pPr>
        <w:pStyle w:val="39"/>
        <w:pageBreakBefore w:val="0"/>
        <w:widowControl/>
        <w:kinsoku/>
        <w:wordWrap/>
        <w:overflowPunct/>
        <w:topLinePunct w:val="0"/>
        <w:autoSpaceDE/>
        <w:autoSpaceDN/>
        <w:bidi w:val="0"/>
        <w:adjustRightInd/>
        <w:snapToGrid/>
        <w:spacing w:line="560" w:lineRule="exact"/>
        <w:ind w:firstLine="647"/>
        <w:jc w:val="center"/>
        <w:textAlignment w:val="auto"/>
        <w:rPr>
          <w:rFonts w:hint="eastAsia" w:ascii="仿宋_GB2312" w:hAnsi="仿宋_GB2312" w:eastAsia="仿宋_GB2312" w:cs="仿宋_GB2312"/>
          <w:b/>
          <w:bCs/>
          <w:color w:val="auto"/>
          <w:sz w:val="28"/>
          <w:szCs w:val="28"/>
        </w:rPr>
      </w:pPr>
      <w:bookmarkStart w:id="350" w:name="_Toc10617"/>
      <w:bookmarkStart w:id="351" w:name="_Toc22777"/>
      <w:bookmarkStart w:id="352" w:name="_Toc23334"/>
      <w:r>
        <w:rPr>
          <w:rFonts w:hint="eastAsia" w:ascii="仿宋_GB2312" w:hAnsi="仿宋_GB2312" w:eastAsia="仿宋_GB2312" w:cs="仿宋_GB2312"/>
          <w:b/>
          <w:bCs/>
          <w:color w:val="auto"/>
          <w:sz w:val="28"/>
          <w:szCs w:val="28"/>
        </w:rPr>
        <w:t>响应函</w:t>
      </w:r>
      <w:bookmarkEnd w:id="350"/>
      <w:bookmarkEnd w:id="351"/>
      <w:bookmarkEnd w:id="352"/>
    </w:p>
    <w:p w14:paraId="0D7D42FD">
      <w:pPr>
        <w:pStyle w:val="39"/>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en-US" w:eastAsia="zh-CN"/>
        </w:rPr>
        <w:t>汉中市</w:t>
      </w:r>
      <w:r>
        <w:rPr>
          <w:rFonts w:hint="eastAsia" w:ascii="仿宋_GB2312" w:hAnsi="仿宋_GB2312" w:eastAsia="仿宋_GB2312" w:cs="仿宋_GB2312"/>
          <w:color w:val="auto"/>
          <w:sz w:val="28"/>
          <w:szCs w:val="28"/>
        </w:rPr>
        <w:t>政府采购中心</w:t>
      </w:r>
      <w:r>
        <w:rPr>
          <w:rFonts w:hint="eastAsia" w:ascii="仿宋_GB2312" w:hAnsi="仿宋_GB2312" w:eastAsia="仿宋_GB2312" w:cs="仿宋_GB2312"/>
          <w:color w:val="auto"/>
          <w:sz w:val="28"/>
          <w:szCs w:val="28"/>
          <w:lang w:val="zh-CN"/>
        </w:rPr>
        <w:t>：</w:t>
      </w:r>
    </w:p>
    <w:p w14:paraId="5430C2E3">
      <w:pPr>
        <w:pStyle w:val="39"/>
        <w:pageBreakBefore w:val="0"/>
        <w:widowControl/>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我方收到贵中心发布的</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u w:val="single"/>
        </w:rPr>
        <w:t>项目名称</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rPr>
        <w:t>（项目编号：</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）第</w:t>
      </w:r>
      <w:r>
        <w:rPr>
          <w:rFonts w:hint="eastAsia" w:ascii="仿宋_GB2312" w:hAnsi="仿宋_GB2312" w:eastAsia="仿宋_GB2312" w:cs="仿宋_GB2312"/>
          <w:color w:val="auto"/>
          <w:sz w:val="28"/>
          <w:szCs w:val="28"/>
          <w:u w:val="single"/>
        </w:rPr>
        <w:t>___</w:t>
      </w:r>
      <w:r>
        <w:rPr>
          <w:rFonts w:hint="eastAsia" w:ascii="仿宋_GB2312" w:hAnsi="仿宋_GB2312" w:eastAsia="仿宋_GB2312" w:cs="仿宋_GB2312"/>
          <w:color w:val="auto"/>
          <w:sz w:val="28"/>
          <w:szCs w:val="28"/>
        </w:rPr>
        <w:t>标段磋商文件，经详细研究，我方决定参加该项目第</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标段</w:t>
      </w:r>
      <w:r>
        <w:rPr>
          <w:rFonts w:hint="eastAsia" w:ascii="仿宋_GB2312" w:hAnsi="仿宋_GB2312" w:eastAsia="仿宋_GB2312" w:cs="仿宋_GB2312"/>
          <w:color w:val="auto"/>
          <w:sz w:val="28"/>
          <w:szCs w:val="28"/>
          <w:lang w:val="en-US" w:eastAsia="zh-CN"/>
        </w:rPr>
        <w:t>磋商</w:t>
      </w:r>
      <w:r>
        <w:rPr>
          <w:rFonts w:hint="eastAsia" w:ascii="仿宋_GB2312" w:hAnsi="仿宋_GB2312" w:eastAsia="仿宋_GB2312" w:cs="仿宋_GB2312"/>
          <w:color w:val="auto"/>
          <w:sz w:val="28"/>
          <w:szCs w:val="28"/>
        </w:rPr>
        <w:t>活动。为此，我方郑重声明以下诸点，并负法律责任。</w:t>
      </w:r>
    </w:p>
    <w:p w14:paraId="579C2859">
      <w:pPr>
        <w:pStyle w:val="39"/>
        <w:pageBreakBefore w:val="0"/>
        <w:widowControl/>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一、我方已详细阅读了磋商文件，完全理解并同意磋商文件的所有事项及内容。</w:t>
      </w:r>
    </w:p>
    <w:p w14:paraId="1863DBEE">
      <w:pPr>
        <w:pStyle w:val="39"/>
        <w:pageBreakBefore w:val="0"/>
        <w:widowControl/>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我方已悉知并关注了贵方在政府采购信息发布媒体（详见磋商文件第二章第三条中的“磋商文件的修改、澄清”）上发布的关于本项目的有关变更公告（包括但不限于对磋商文件做出的修改或澄清、答疑纪要，以及项目暂停、重启、延期、终止等）。</w:t>
      </w:r>
    </w:p>
    <w:p w14:paraId="534D19AC">
      <w:pPr>
        <w:pStyle w:val="39"/>
        <w:pageBreakBefore w:val="0"/>
        <w:widowControl/>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三、我方同意向贵方提供与本</w:t>
      </w:r>
      <w:r>
        <w:rPr>
          <w:rFonts w:hint="eastAsia" w:ascii="仿宋_GB2312" w:hAnsi="仿宋_GB2312" w:eastAsia="仿宋_GB2312" w:cs="仿宋_GB2312"/>
          <w:color w:val="auto"/>
          <w:sz w:val="28"/>
          <w:szCs w:val="28"/>
          <w:lang w:val="en-US" w:eastAsia="zh-CN"/>
        </w:rPr>
        <w:t>磋商</w:t>
      </w:r>
      <w:r>
        <w:rPr>
          <w:rFonts w:hint="eastAsia" w:ascii="仿宋_GB2312" w:hAnsi="仿宋_GB2312" w:eastAsia="仿宋_GB2312" w:cs="仿宋_GB2312"/>
          <w:color w:val="auto"/>
          <w:sz w:val="28"/>
          <w:szCs w:val="28"/>
        </w:rPr>
        <w:t>有关的任何证明材料，保证所提交的证明材料真实、合法、有效。</w:t>
      </w:r>
    </w:p>
    <w:p w14:paraId="09FE8F11">
      <w:pPr>
        <w:pStyle w:val="39"/>
        <w:pageBreakBefore w:val="0"/>
        <w:widowControl/>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四、我方</w:t>
      </w:r>
      <w:r>
        <w:rPr>
          <w:rFonts w:hint="eastAsia" w:ascii="仿宋_GB2312" w:hAnsi="仿宋_GB2312" w:eastAsia="仿宋_GB2312" w:cs="仿宋_GB2312"/>
          <w:color w:val="auto"/>
          <w:sz w:val="28"/>
          <w:szCs w:val="28"/>
        </w:rPr>
        <w:t>尊重磋商小组的评审结果。</w:t>
      </w:r>
    </w:p>
    <w:p w14:paraId="792D36F1">
      <w:pPr>
        <w:pStyle w:val="39"/>
        <w:pageBreakBefore w:val="0"/>
        <w:widowControl/>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五</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如若成交，</w:t>
      </w:r>
      <w:r>
        <w:rPr>
          <w:rFonts w:hint="eastAsia" w:ascii="仿宋_GB2312" w:hAnsi="仿宋_GB2312" w:eastAsia="仿宋_GB2312" w:cs="仿宋_GB2312"/>
          <w:color w:val="auto"/>
          <w:sz w:val="28"/>
          <w:szCs w:val="28"/>
        </w:rPr>
        <w:t>我方愿意按照磋商文件中的一切要求，完成本项目合同责任和义务。</w:t>
      </w:r>
    </w:p>
    <w:p w14:paraId="65DCC5BE">
      <w:pPr>
        <w:pStyle w:val="39"/>
        <w:pageBreakBefore w:val="0"/>
        <w:widowControl/>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六</w:t>
      </w:r>
      <w:r>
        <w:rPr>
          <w:rFonts w:hint="eastAsia" w:ascii="仿宋_GB2312" w:hAnsi="仿宋_GB2312" w:eastAsia="仿宋_GB2312" w:cs="仿宋_GB2312"/>
          <w:color w:val="auto"/>
          <w:sz w:val="28"/>
          <w:szCs w:val="28"/>
        </w:rPr>
        <w:t>、我方提交</w:t>
      </w:r>
      <w:r>
        <w:rPr>
          <w:rFonts w:hint="eastAsia" w:ascii="仿宋_GB2312" w:hAnsi="仿宋_GB2312" w:eastAsia="仿宋_GB2312" w:cs="仿宋_GB2312"/>
          <w:b/>
          <w:color w:val="auto"/>
          <w:sz w:val="28"/>
          <w:szCs w:val="28"/>
        </w:rPr>
        <w:t>电子响应文件一份</w:t>
      </w:r>
      <w:r>
        <w:rPr>
          <w:rFonts w:hint="eastAsia" w:ascii="仿宋_GB2312" w:hAnsi="仿宋_GB2312" w:eastAsia="仿宋_GB2312" w:cs="仿宋_GB2312"/>
          <w:b/>
          <w:bCs/>
          <w:color w:val="auto"/>
          <w:sz w:val="28"/>
          <w:szCs w:val="28"/>
        </w:rPr>
        <w:t>。</w:t>
      </w:r>
    </w:p>
    <w:p w14:paraId="09E0311C">
      <w:pPr>
        <w:pStyle w:val="39"/>
        <w:pageBreakBefore w:val="0"/>
        <w:widowControl/>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七</w:t>
      </w:r>
      <w:r>
        <w:rPr>
          <w:rFonts w:hint="eastAsia" w:ascii="仿宋_GB2312" w:hAnsi="仿宋_GB2312" w:eastAsia="仿宋_GB2312" w:cs="仿宋_GB2312"/>
          <w:color w:val="auto"/>
          <w:sz w:val="28"/>
          <w:szCs w:val="28"/>
        </w:rPr>
        <w:t>、供应商在提交响应文件截止时间后撤回响应文件的，我们愿接受政府采购的有关处罚决定。</w:t>
      </w:r>
    </w:p>
    <w:p w14:paraId="690775B2">
      <w:pPr>
        <w:pStyle w:val="39"/>
        <w:pageBreakBefore w:val="0"/>
        <w:widowControl/>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八</w:t>
      </w:r>
      <w:r>
        <w:rPr>
          <w:rFonts w:hint="eastAsia" w:ascii="仿宋_GB2312" w:hAnsi="仿宋_GB2312" w:eastAsia="仿宋_GB2312" w:cs="仿宋_GB2312"/>
          <w:color w:val="auto"/>
          <w:sz w:val="28"/>
          <w:szCs w:val="28"/>
        </w:rPr>
        <w:t>、我方的响应文件在开标之日起</w:t>
      </w:r>
      <w:r>
        <w:rPr>
          <w:rFonts w:hint="eastAsia" w:ascii="仿宋_GB2312" w:hAnsi="仿宋_GB2312" w:eastAsia="仿宋_GB2312" w:cs="仿宋_GB2312"/>
          <w:b/>
          <w:bCs/>
          <w:color w:val="auto"/>
          <w:sz w:val="28"/>
          <w:szCs w:val="28"/>
          <w:u w:val="single"/>
        </w:rPr>
        <w:t xml:space="preserve"> 90 </w:t>
      </w:r>
      <w:r>
        <w:rPr>
          <w:rFonts w:hint="eastAsia" w:ascii="仿宋_GB2312" w:hAnsi="仿宋_GB2312" w:eastAsia="仿宋_GB2312" w:cs="仿宋_GB2312"/>
          <w:color w:val="auto"/>
          <w:sz w:val="28"/>
          <w:szCs w:val="28"/>
        </w:rPr>
        <w:t>个日历日内有效，如成交，延长至合同执行完毕时止。</w:t>
      </w:r>
    </w:p>
    <w:p w14:paraId="17E6AF73">
      <w:pPr>
        <w:pStyle w:val="39"/>
        <w:pageBreakBefore w:val="0"/>
        <w:widowControl/>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九</w:t>
      </w:r>
      <w:r>
        <w:rPr>
          <w:rFonts w:hint="eastAsia" w:ascii="仿宋_GB2312" w:hAnsi="仿宋_GB2312" w:eastAsia="仿宋_GB2312" w:cs="仿宋_GB2312"/>
          <w:color w:val="auto"/>
          <w:sz w:val="28"/>
          <w:szCs w:val="28"/>
        </w:rPr>
        <w:t>、所有关于此次</w:t>
      </w:r>
      <w:r>
        <w:rPr>
          <w:rFonts w:hint="eastAsia" w:ascii="仿宋_GB2312" w:hAnsi="仿宋_GB2312" w:eastAsia="仿宋_GB2312" w:cs="仿宋_GB2312"/>
          <w:color w:val="auto"/>
          <w:sz w:val="28"/>
          <w:szCs w:val="28"/>
          <w:lang w:val="en-US" w:eastAsia="zh-CN"/>
        </w:rPr>
        <w:t>磋商</w:t>
      </w:r>
      <w:r>
        <w:rPr>
          <w:rFonts w:hint="eastAsia" w:ascii="仿宋_GB2312" w:hAnsi="仿宋_GB2312" w:eastAsia="仿宋_GB2312" w:cs="仿宋_GB2312"/>
          <w:color w:val="auto"/>
          <w:sz w:val="28"/>
          <w:szCs w:val="28"/>
        </w:rPr>
        <w:t>活动的函电，请按下列地址联系：</w:t>
      </w:r>
    </w:p>
    <w:p w14:paraId="61104D5F">
      <w:pPr>
        <w:pStyle w:val="39"/>
        <w:pageBreakBefore w:val="0"/>
        <w:widowControl/>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color w:val="auto"/>
          <w:sz w:val="28"/>
          <w:szCs w:val="28"/>
        </w:rPr>
      </w:pPr>
    </w:p>
    <w:p w14:paraId="38CBD308">
      <w:pPr>
        <w:pStyle w:val="39"/>
        <w:pageBreakBefore w:val="0"/>
        <w:widowControl/>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供应商：名称（加盖公章）</w:t>
      </w:r>
    </w:p>
    <w:p w14:paraId="66E2A6C9">
      <w:pPr>
        <w:pStyle w:val="39"/>
        <w:pageBreakBefore w:val="0"/>
        <w:widowControl/>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地址：</w:t>
      </w:r>
    </w:p>
    <w:p w14:paraId="3991E103">
      <w:pPr>
        <w:pStyle w:val="39"/>
        <w:pageBreakBefore w:val="0"/>
        <w:widowControl/>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电话：</w:t>
      </w:r>
    </w:p>
    <w:p w14:paraId="6AAD3FE5">
      <w:pPr>
        <w:pStyle w:val="39"/>
        <w:pageBreakBefore w:val="0"/>
        <w:widowControl/>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传真：</w:t>
      </w:r>
    </w:p>
    <w:p w14:paraId="33B33DE8">
      <w:pPr>
        <w:pStyle w:val="39"/>
        <w:pageBreakBefore w:val="0"/>
        <w:widowControl/>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邮编：</w:t>
      </w:r>
    </w:p>
    <w:p w14:paraId="500C349F">
      <w:pPr>
        <w:pStyle w:val="39"/>
        <w:pageBreakBefore w:val="0"/>
        <w:widowControl/>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color w:val="auto"/>
          <w:sz w:val="28"/>
          <w:szCs w:val="28"/>
        </w:rPr>
        <w:t xml:space="preserve">电子邮箱：         </w:t>
      </w:r>
    </w:p>
    <w:p w14:paraId="7EA81C17">
      <w:pPr>
        <w:pStyle w:val="39"/>
        <w:pageBreakBefore w:val="0"/>
        <w:widowControl/>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日期：　　年　月　日</w:t>
      </w:r>
    </w:p>
    <w:p w14:paraId="16A51D4B">
      <w:pPr>
        <w:pStyle w:val="39"/>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仿宋_GB2312" w:hAnsi="仿宋_GB2312" w:eastAsia="仿宋_GB2312" w:cs="仿宋_GB2312"/>
          <w:color w:val="auto"/>
          <w:sz w:val="28"/>
          <w:szCs w:val="28"/>
        </w:rPr>
      </w:pPr>
    </w:p>
    <w:p w14:paraId="73D58185">
      <w:pPr>
        <w:pStyle w:val="39"/>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仿宋_GB2312" w:hAnsi="仿宋_GB2312" w:eastAsia="仿宋_GB2312" w:cs="仿宋_GB2312"/>
          <w:color w:val="auto"/>
          <w:sz w:val="28"/>
          <w:szCs w:val="28"/>
        </w:rPr>
      </w:pPr>
    </w:p>
    <w:p w14:paraId="6B7D1728">
      <w:pPr>
        <w:pStyle w:val="39"/>
        <w:pageBreakBefore w:val="0"/>
        <w:widowControl/>
        <w:kinsoku/>
        <w:wordWrap/>
        <w:overflowPunct/>
        <w:topLinePunct w:val="0"/>
        <w:autoSpaceDE/>
        <w:autoSpaceDN/>
        <w:bidi w:val="0"/>
        <w:adjustRightInd/>
        <w:snapToGrid/>
        <w:spacing w:line="560" w:lineRule="exact"/>
        <w:ind w:firstLine="0" w:firstLineChars="0"/>
        <w:textAlignment w:val="auto"/>
        <w:rPr>
          <w:color w:val="auto"/>
          <w:sz w:val="32"/>
          <w:szCs w:val="32"/>
        </w:rPr>
      </w:pPr>
    </w:p>
    <w:p w14:paraId="3C2BEA57">
      <w:pPr>
        <w:pStyle w:val="39"/>
        <w:pageBreakBefore w:val="0"/>
        <w:widowControl/>
        <w:kinsoku/>
        <w:wordWrap/>
        <w:overflowPunct/>
        <w:topLinePunct w:val="0"/>
        <w:autoSpaceDE/>
        <w:autoSpaceDN/>
        <w:bidi w:val="0"/>
        <w:adjustRightInd/>
        <w:snapToGrid/>
        <w:spacing w:line="560" w:lineRule="exact"/>
        <w:ind w:firstLine="0" w:firstLineChars="0"/>
        <w:textAlignment w:val="auto"/>
        <w:rPr>
          <w:color w:val="auto"/>
          <w:sz w:val="32"/>
          <w:szCs w:val="32"/>
        </w:rPr>
      </w:pPr>
    </w:p>
    <w:p w14:paraId="3B67384C">
      <w:pPr>
        <w:pStyle w:val="39"/>
        <w:pageBreakBefore w:val="0"/>
        <w:widowControl/>
        <w:kinsoku/>
        <w:wordWrap/>
        <w:overflowPunct/>
        <w:topLinePunct w:val="0"/>
        <w:autoSpaceDE/>
        <w:autoSpaceDN/>
        <w:bidi w:val="0"/>
        <w:adjustRightInd/>
        <w:snapToGrid/>
        <w:spacing w:line="560" w:lineRule="exact"/>
        <w:ind w:firstLine="0" w:firstLineChars="0"/>
        <w:textAlignment w:val="auto"/>
        <w:rPr>
          <w:color w:val="auto"/>
          <w:sz w:val="32"/>
          <w:szCs w:val="32"/>
        </w:rPr>
      </w:pPr>
    </w:p>
    <w:p w14:paraId="67E87BF3">
      <w:pPr>
        <w:pStyle w:val="39"/>
        <w:keepNext w:val="0"/>
        <w:keepLines w:val="0"/>
        <w:pageBreakBefore w:val="0"/>
        <w:widowControl/>
        <w:kinsoku/>
        <w:wordWrap/>
        <w:overflowPunct/>
        <w:topLinePunct w:val="0"/>
        <w:autoSpaceDE/>
        <w:autoSpaceDN/>
        <w:bidi w:val="0"/>
        <w:adjustRightInd/>
        <w:snapToGrid/>
        <w:ind w:firstLine="444" w:firstLineChars="200"/>
        <w:textAlignment w:val="auto"/>
        <w:rPr>
          <w:rFonts w:ascii="宋体" w:hAnsi="宋体" w:eastAsia="宋体" w:cs="宋体"/>
          <w:color w:val="auto"/>
          <w:sz w:val="21"/>
          <w:szCs w:val="21"/>
        </w:rPr>
      </w:pPr>
      <w:r>
        <w:rPr>
          <w:rFonts w:hint="eastAsia" w:ascii="宋体" w:hAnsi="宋体" w:eastAsia="宋体" w:cs="宋体"/>
          <w:color w:val="auto"/>
          <w:sz w:val="21"/>
          <w:szCs w:val="21"/>
        </w:rPr>
        <w:t>备注：1、项目不分标段的，第___标段空白处填写“/”。</w:t>
      </w:r>
    </w:p>
    <w:p w14:paraId="5E4903EE">
      <w:pPr>
        <w:pStyle w:val="39"/>
        <w:keepNext w:val="0"/>
        <w:keepLines w:val="0"/>
        <w:pageBreakBefore w:val="0"/>
        <w:widowControl/>
        <w:kinsoku/>
        <w:wordWrap/>
        <w:overflowPunct/>
        <w:topLinePunct w:val="0"/>
        <w:autoSpaceDE/>
        <w:autoSpaceDN/>
        <w:bidi w:val="0"/>
        <w:adjustRightInd/>
        <w:snapToGrid/>
        <w:ind w:firstLine="444" w:firstLineChars="200"/>
        <w:textAlignment w:val="auto"/>
        <w:rPr>
          <w:rFonts w:ascii="宋体" w:hAnsi="宋体" w:eastAsia="宋体" w:cs="宋体"/>
          <w:color w:val="auto"/>
          <w:sz w:val="21"/>
          <w:szCs w:val="21"/>
        </w:rPr>
      </w:pPr>
      <w:r>
        <w:rPr>
          <w:rFonts w:hint="eastAsia" w:ascii="宋体" w:hAnsi="宋体" w:eastAsia="宋体" w:cs="宋体"/>
          <w:color w:val="auto"/>
          <w:sz w:val="21"/>
          <w:szCs w:val="21"/>
        </w:rPr>
        <w:t>2、除可填报项目外，对本响应函的任何实质性内容修改将被视为非实质性响应，在评审时将其视为无效响应。</w:t>
      </w:r>
    </w:p>
    <w:p w14:paraId="5CB2A27A">
      <w:pPr>
        <w:pStyle w:val="39"/>
        <w:ind w:firstLine="666" w:firstLineChars="300"/>
        <w:rPr>
          <w:rFonts w:hint="eastAsia" w:ascii="宋体" w:hAnsi="宋体" w:eastAsia="宋体" w:cs="宋体"/>
          <w:b/>
          <w:bCs/>
          <w:color w:val="auto"/>
          <w:sz w:val="21"/>
          <w:szCs w:val="21"/>
        </w:rPr>
      </w:pPr>
    </w:p>
    <w:p w14:paraId="45EA0466">
      <w:pPr>
        <w:pStyle w:val="39"/>
        <w:ind w:firstLine="666" w:firstLineChars="300"/>
        <w:rPr>
          <w:rFonts w:hint="eastAsia" w:ascii="宋体" w:hAnsi="宋体" w:eastAsia="宋体" w:cs="宋体"/>
          <w:b/>
          <w:bCs/>
          <w:color w:val="auto"/>
          <w:sz w:val="21"/>
          <w:szCs w:val="21"/>
        </w:rPr>
      </w:pPr>
    </w:p>
    <w:p w14:paraId="529A749D">
      <w:pPr>
        <w:pStyle w:val="39"/>
        <w:ind w:firstLine="666" w:firstLineChars="300"/>
        <w:rPr>
          <w:rFonts w:hint="eastAsia" w:ascii="宋体" w:hAnsi="宋体" w:eastAsia="宋体" w:cs="宋体"/>
          <w:b/>
          <w:bCs/>
          <w:color w:val="auto"/>
          <w:sz w:val="21"/>
          <w:szCs w:val="21"/>
        </w:rPr>
      </w:pPr>
    </w:p>
    <w:p w14:paraId="36F1634E">
      <w:pPr>
        <w:rPr>
          <w:rFonts w:hint="eastAsia" w:ascii="宋体" w:hAnsi="宋体" w:eastAsia="宋体" w:cs="宋体"/>
          <w:b/>
          <w:bCs/>
          <w:color w:val="auto"/>
          <w:sz w:val="21"/>
          <w:szCs w:val="21"/>
        </w:rPr>
      </w:pPr>
      <w:r>
        <w:rPr>
          <w:rFonts w:hint="eastAsia" w:ascii="宋体" w:hAnsi="宋体" w:eastAsia="宋体" w:cs="宋体"/>
          <w:b/>
          <w:bCs/>
          <w:color w:val="auto"/>
          <w:sz w:val="21"/>
          <w:szCs w:val="21"/>
        </w:rPr>
        <w:br w:type="page"/>
      </w:r>
    </w:p>
    <w:bookmarkEnd w:id="336"/>
    <w:bookmarkEnd w:id="337"/>
    <w:bookmarkEnd w:id="338"/>
    <w:bookmarkEnd w:id="339"/>
    <w:bookmarkEnd w:id="340"/>
    <w:p w14:paraId="7233B30E">
      <w:pPr>
        <w:pStyle w:val="43"/>
        <w:jc w:val="both"/>
        <w:rPr>
          <w:rFonts w:ascii="仿宋" w:hAnsi="仿宋" w:eastAsia="仿宋"/>
          <w:color w:val="auto"/>
          <w:sz w:val="28"/>
          <w:szCs w:val="28"/>
        </w:rPr>
      </w:pPr>
      <w:bookmarkStart w:id="353" w:name="_Toc30525"/>
      <w:bookmarkStart w:id="354" w:name="_Toc8175"/>
      <w:bookmarkStart w:id="355" w:name="_Toc6154"/>
      <w:bookmarkStart w:id="356" w:name="_Toc6921"/>
      <w:bookmarkStart w:id="357" w:name="_Toc13216"/>
      <w:bookmarkStart w:id="358" w:name="_Toc15883"/>
      <w:bookmarkStart w:id="359" w:name="_Toc24876"/>
      <w:bookmarkStart w:id="360" w:name="_Toc23660"/>
      <w:bookmarkStart w:id="361" w:name="_Toc23955"/>
      <w:bookmarkStart w:id="362" w:name="_Toc17656_WPSOffice_Level2"/>
      <w:r>
        <w:rPr>
          <w:rFonts w:hint="eastAsia" w:ascii="仿宋" w:hAnsi="仿宋" w:eastAsia="仿宋" w:cs="仿宋"/>
          <w:bCs w:val="0"/>
          <w:color w:val="auto"/>
          <w:sz w:val="28"/>
          <w:szCs w:val="28"/>
        </w:rPr>
        <w:t>二、第一次磋商报价表</w:t>
      </w:r>
      <w:bookmarkEnd w:id="353"/>
      <w:bookmarkEnd w:id="354"/>
      <w:bookmarkEnd w:id="355"/>
      <w:bookmarkEnd w:id="356"/>
      <w:bookmarkEnd w:id="357"/>
      <w:bookmarkEnd w:id="358"/>
      <w:bookmarkEnd w:id="359"/>
      <w:bookmarkEnd w:id="360"/>
      <w:bookmarkEnd w:id="361"/>
    </w:p>
    <w:p w14:paraId="032F69A1">
      <w:pPr>
        <w:spacing w:line="500" w:lineRule="exact"/>
        <w:rPr>
          <w:rFonts w:hint="eastAsia" w:ascii="仿宋_GB2312" w:hAnsi="仿宋_GB2312" w:eastAsia="仿宋_GB2312" w:cs="仿宋_GB2312"/>
          <w:color w:val="auto"/>
          <w:sz w:val="28"/>
          <w:szCs w:val="28"/>
          <w:shd w:val="clear" w:color="auto" w:fill="FFFFFF"/>
        </w:rPr>
      </w:pPr>
      <w:r>
        <w:rPr>
          <w:rFonts w:hint="eastAsia" w:ascii="仿宋_GB2312" w:hAnsi="仿宋_GB2312" w:eastAsia="仿宋_GB2312" w:cs="仿宋_GB2312"/>
          <w:color w:val="auto"/>
          <w:sz w:val="28"/>
          <w:szCs w:val="28"/>
          <w:shd w:val="clear" w:color="auto" w:fill="FFFFFF"/>
        </w:rPr>
        <w:t>项目名称：</w:t>
      </w:r>
    </w:p>
    <w:p w14:paraId="3F664323">
      <w:pPr>
        <w:pStyle w:val="17"/>
        <w:wordWrap w:val="0"/>
        <w:spacing w:beforeAutospacing="0" w:afterAutospacing="0" w:line="500" w:lineRule="exact"/>
        <w:rPr>
          <w:rFonts w:hint="eastAsia" w:ascii="仿宋_GB2312" w:hAnsi="仿宋_GB2312" w:eastAsia="仿宋_GB2312" w:cs="仿宋_GB2312"/>
          <w:color w:val="auto"/>
          <w:sz w:val="28"/>
          <w:szCs w:val="28"/>
          <w:shd w:val="clear" w:color="auto" w:fill="FFFFFF"/>
        </w:rPr>
      </w:pPr>
      <w:r>
        <w:rPr>
          <w:rFonts w:hint="eastAsia" w:ascii="仿宋_GB2312" w:hAnsi="仿宋_GB2312" w:eastAsia="仿宋_GB2312" w:cs="仿宋_GB2312"/>
          <w:color w:val="auto"/>
          <w:sz w:val="28"/>
          <w:szCs w:val="28"/>
          <w:shd w:val="clear" w:color="auto" w:fill="FFFFFF"/>
        </w:rPr>
        <w:t>项目编号：</w:t>
      </w:r>
    </w:p>
    <w:p w14:paraId="17959550">
      <w:pPr>
        <w:pStyle w:val="13"/>
        <w:rPr>
          <w:rFonts w:hint="eastAsia" w:ascii="仿宋_GB2312" w:hAnsi="仿宋_GB2312" w:eastAsia="仿宋_GB2312" w:cs="仿宋_GB2312"/>
          <w:color w:val="auto"/>
          <w:sz w:val="28"/>
          <w:szCs w:val="28"/>
          <w:shd w:val="clear" w:color="auto" w:fill="FFFFFF"/>
        </w:rPr>
      </w:pPr>
    </w:p>
    <w:tbl>
      <w:tblPr>
        <w:tblStyle w:val="21"/>
        <w:tblW w:w="88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059"/>
        <w:gridCol w:w="5752"/>
      </w:tblGrid>
      <w:tr w14:paraId="79195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 w:hRule="atLeast"/>
          <w:jc w:val="center"/>
        </w:trPr>
        <w:tc>
          <w:tcPr>
            <w:tcW w:w="3059" w:type="dxa"/>
            <w:vAlign w:val="center"/>
          </w:tcPr>
          <w:p w14:paraId="7A2AD99B">
            <w:pPr>
              <w:pStyle w:val="7"/>
              <w:spacing w:line="360" w:lineRule="auto"/>
              <w:ind w:firstLine="0"/>
              <w:jc w:val="center"/>
              <w:rPr>
                <w:rFonts w:hint="eastAsia" w:ascii="仿宋_GB2312" w:hAnsi="仿宋_GB2312" w:eastAsia="仿宋_GB2312" w:cs="仿宋_GB2312"/>
                <w:color w:val="auto"/>
                <w:sz w:val="28"/>
                <w:szCs w:val="28"/>
              </w:rPr>
            </w:pPr>
          </w:p>
        </w:tc>
        <w:tc>
          <w:tcPr>
            <w:tcW w:w="5752" w:type="dxa"/>
            <w:vAlign w:val="center"/>
          </w:tcPr>
          <w:p w14:paraId="56A77E64">
            <w:pPr>
              <w:spacing w:line="44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内容</w:t>
            </w:r>
          </w:p>
        </w:tc>
      </w:tr>
      <w:tr w14:paraId="11021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 w:hRule="atLeast"/>
          <w:jc w:val="center"/>
        </w:trPr>
        <w:tc>
          <w:tcPr>
            <w:tcW w:w="3059" w:type="dxa"/>
            <w:vAlign w:val="center"/>
          </w:tcPr>
          <w:p w14:paraId="16EC2414">
            <w:pPr>
              <w:pStyle w:val="7"/>
              <w:spacing w:line="360" w:lineRule="auto"/>
              <w:ind w:firstLine="0"/>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磋商报价</w:t>
            </w:r>
          </w:p>
        </w:tc>
        <w:tc>
          <w:tcPr>
            <w:tcW w:w="5752" w:type="dxa"/>
            <w:vAlign w:val="center"/>
          </w:tcPr>
          <w:p w14:paraId="727D3719">
            <w:pPr>
              <w:autoSpaceDE w:val="0"/>
              <w:autoSpaceDN w:val="0"/>
              <w:spacing w:line="360" w:lineRule="auto"/>
              <w:rPr>
                <w:rFonts w:hint="eastAsia" w:ascii="仿宋_GB2312" w:hAnsi="仿宋_GB2312" w:eastAsia="仿宋_GB2312" w:cs="仿宋_GB2312"/>
                <w:color w:val="auto"/>
                <w:kern w:val="0"/>
                <w:sz w:val="28"/>
                <w:szCs w:val="28"/>
                <w:lang w:val="zh-CN"/>
              </w:rPr>
            </w:pPr>
            <w:r>
              <w:rPr>
                <w:rFonts w:hint="eastAsia" w:ascii="仿宋_GB2312" w:hAnsi="仿宋_GB2312" w:eastAsia="仿宋_GB2312" w:cs="仿宋_GB2312"/>
                <w:color w:val="auto"/>
                <w:kern w:val="0"/>
                <w:sz w:val="28"/>
                <w:szCs w:val="28"/>
                <w:lang w:val="zh-CN"/>
              </w:rPr>
              <w:t>小写：</w:t>
            </w:r>
          </w:p>
          <w:p w14:paraId="4DBC7A03">
            <w:pPr>
              <w:pStyle w:val="13"/>
              <w:rPr>
                <w:rFonts w:hint="eastAsia" w:ascii="仿宋_GB2312" w:hAnsi="仿宋_GB2312" w:eastAsia="仿宋_GB2312" w:cs="仿宋_GB2312"/>
                <w:color w:val="auto"/>
                <w:sz w:val="28"/>
                <w:szCs w:val="28"/>
                <w:lang w:val="zh-CN"/>
              </w:rPr>
            </w:pPr>
          </w:p>
          <w:p w14:paraId="679C8FFC">
            <w:pPr>
              <w:autoSpaceDE w:val="0"/>
              <w:autoSpaceDN w:val="0"/>
              <w:spacing w:line="360" w:lineRule="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rPr>
              <w:t>大写</w:t>
            </w:r>
            <w:r>
              <w:rPr>
                <w:rFonts w:hint="eastAsia" w:ascii="仿宋_GB2312" w:hAnsi="仿宋_GB2312" w:eastAsia="仿宋_GB2312" w:cs="仿宋_GB2312"/>
                <w:color w:val="auto"/>
                <w:sz w:val="28"/>
                <w:szCs w:val="28"/>
              </w:rPr>
              <w:t>：</w:t>
            </w:r>
          </w:p>
          <w:p w14:paraId="73FA1168">
            <w:pPr>
              <w:autoSpaceDE w:val="0"/>
              <w:autoSpaceDN w:val="0"/>
              <w:spacing w:line="360" w:lineRule="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单位：元（保留到元）</w:t>
            </w:r>
          </w:p>
        </w:tc>
      </w:tr>
    </w:tbl>
    <w:p w14:paraId="685426E9">
      <w:pPr>
        <w:autoSpaceDE w:val="0"/>
        <w:autoSpaceDN w:val="0"/>
        <w:spacing w:line="240" w:lineRule="auto"/>
        <w:ind w:firstLine="480"/>
        <w:rPr>
          <w:rFonts w:hint="eastAsia" w:ascii="宋体" w:hAnsi="宋体" w:eastAsia="宋体" w:cs="宋体"/>
          <w:b/>
          <w:bCs/>
          <w:color w:val="auto"/>
          <w:kern w:val="0"/>
          <w:sz w:val="21"/>
          <w:szCs w:val="21"/>
        </w:rPr>
      </w:pPr>
    </w:p>
    <w:p w14:paraId="06D49C8B">
      <w:pPr>
        <w:autoSpaceDE w:val="0"/>
        <w:autoSpaceDN w:val="0"/>
        <w:spacing w:line="240" w:lineRule="auto"/>
        <w:ind w:firstLine="480"/>
        <w:rPr>
          <w:rFonts w:hint="eastAsia" w:ascii="宋体" w:hAnsi="宋体" w:eastAsia="宋体" w:cs="宋体"/>
          <w:color w:val="auto"/>
          <w:kern w:val="0"/>
          <w:sz w:val="21"/>
          <w:szCs w:val="21"/>
          <w:lang w:val="zh-CN"/>
        </w:rPr>
      </w:pPr>
      <w:r>
        <w:rPr>
          <w:rFonts w:hint="eastAsia" w:ascii="宋体" w:hAnsi="宋体" w:eastAsia="宋体" w:cs="宋体"/>
          <w:b/>
          <w:bCs/>
          <w:color w:val="auto"/>
          <w:kern w:val="0"/>
          <w:sz w:val="21"/>
          <w:szCs w:val="21"/>
        </w:rPr>
        <w:t>备注</w:t>
      </w:r>
      <w:r>
        <w:rPr>
          <w:rFonts w:hint="eastAsia" w:ascii="宋体" w:hAnsi="宋体" w:eastAsia="宋体" w:cs="宋体"/>
          <w:b/>
          <w:bCs/>
          <w:color w:val="auto"/>
          <w:kern w:val="0"/>
          <w:sz w:val="21"/>
          <w:szCs w:val="21"/>
          <w:lang w:val="zh-CN"/>
        </w:rPr>
        <w:t>：</w:t>
      </w:r>
      <w:r>
        <w:rPr>
          <w:rFonts w:hint="eastAsia" w:ascii="宋体" w:hAnsi="宋体" w:eastAsia="宋体" w:cs="宋体"/>
          <w:color w:val="auto"/>
          <w:kern w:val="0"/>
          <w:sz w:val="21"/>
          <w:szCs w:val="21"/>
          <w:lang w:val="en-US" w:eastAsia="zh-CN"/>
        </w:rPr>
        <w:t>1、</w:t>
      </w:r>
      <w:r>
        <w:rPr>
          <w:rFonts w:hint="eastAsia" w:ascii="宋体" w:hAnsi="宋体" w:eastAsia="宋体" w:cs="宋体"/>
          <w:color w:val="auto"/>
          <w:kern w:val="0"/>
          <w:sz w:val="21"/>
          <w:szCs w:val="21"/>
          <w:lang w:val="zh-CN"/>
        </w:rPr>
        <w:t>“磋商报价”为磋商总价。磋商</w:t>
      </w:r>
      <w:r>
        <w:rPr>
          <w:rFonts w:ascii="宋体" w:hAnsi="宋体" w:eastAsia="宋体" w:cs="宋体"/>
          <w:color w:val="auto"/>
          <w:kern w:val="0"/>
          <w:sz w:val="21"/>
          <w:szCs w:val="21"/>
          <w:lang w:val="zh-CN"/>
        </w:rPr>
        <w:t>报价必须包括</w:t>
      </w:r>
      <w:r>
        <w:rPr>
          <w:rFonts w:hint="eastAsia" w:ascii="宋体" w:hAnsi="宋体" w:eastAsia="宋体" w:cs="宋体"/>
          <w:color w:val="auto"/>
          <w:kern w:val="0"/>
          <w:sz w:val="21"/>
          <w:szCs w:val="21"/>
          <w:lang w:val="zh-CN"/>
        </w:rPr>
        <w:t>本项目所需</w:t>
      </w:r>
      <w:r>
        <w:rPr>
          <w:rFonts w:ascii="宋体" w:hAnsi="宋体" w:eastAsia="宋体" w:cs="宋体"/>
          <w:color w:val="auto"/>
          <w:kern w:val="0"/>
          <w:sz w:val="21"/>
          <w:szCs w:val="21"/>
          <w:lang w:val="zh-CN"/>
        </w:rPr>
        <w:t>全部费用</w:t>
      </w:r>
      <w:r>
        <w:rPr>
          <w:rFonts w:hint="eastAsia" w:ascii="宋体" w:hAnsi="宋体" w:eastAsia="宋体" w:cs="宋体"/>
          <w:color w:val="auto"/>
          <w:kern w:val="0"/>
          <w:sz w:val="21"/>
          <w:szCs w:val="21"/>
          <w:lang w:val="zh-CN"/>
        </w:rPr>
        <w:t>。</w:t>
      </w:r>
    </w:p>
    <w:p w14:paraId="2CEEE398">
      <w:pPr>
        <w:autoSpaceDE w:val="0"/>
        <w:autoSpaceDN w:val="0"/>
        <w:spacing w:line="240" w:lineRule="auto"/>
        <w:ind w:firstLine="480"/>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2、该报价须与标书信息确认中的报价一致，如不一致，以标书信息确认中的报价为准，请各供应商仔细填写。</w:t>
      </w:r>
    </w:p>
    <w:p w14:paraId="25ECB0C4">
      <w:pPr>
        <w:autoSpaceDE w:val="0"/>
        <w:autoSpaceDN w:val="0"/>
        <w:spacing w:line="240" w:lineRule="auto"/>
        <w:ind w:firstLine="1110" w:firstLineChars="500"/>
        <w:rPr>
          <w:rFonts w:ascii="宋体" w:hAnsi="宋体" w:eastAsia="宋体" w:cs="宋体"/>
          <w:color w:val="auto"/>
          <w:sz w:val="21"/>
          <w:szCs w:val="21"/>
        </w:rPr>
      </w:pPr>
    </w:p>
    <w:p w14:paraId="21AB67B2">
      <w:pPr>
        <w:spacing w:line="440" w:lineRule="exact"/>
        <w:ind w:right="560"/>
        <w:jc w:val="right"/>
        <w:rPr>
          <w:rFonts w:ascii="仿宋" w:hAnsi="仿宋" w:eastAsia="仿宋"/>
          <w:color w:val="auto"/>
          <w:sz w:val="28"/>
          <w:szCs w:val="28"/>
        </w:rPr>
      </w:pPr>
    </w:p>
    <w:p w14:paraId="67A2425A">
      <w:pPr>
        <w:keepNext w:val="0"/>
        <w:keepLines w:val="0"/>
        <w:pageBreakBefore w:val="0"/>
        <w:widowControl/>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供应商：</w:t>
      </w:r>
      <w:r>
        <w:rPr>
          <w:rFonts w:hint="eastAsia" w:ascii="仿宋_GB2312" w:hAnsi="仿宋_GB2312" w:eastAsia="仿宋_GB2312" w:cs="仿宋_GB2312"/>
          <w:color w:val="auto"/>
          <w:sz w:val="28"/>
          <w:szCs w:val="28"/>
          <w:u w:val="single"/>
        </w:rPr>
        <w:t>名称</w:t>
      </w:r>
      <w:r>
        <w:rPr>
          <w:rFonts w:hint="eastAsia" w:ascii="仿宋_GB2312" w:hAnsi="仿宋_GB2312" w:eastAsia="仿宋_GB2312" w:cs="仿宋_GB2312"/>
          <w:color w:val="auto"/>
          <w:sz w:val="28"/>
          <w:szCs w:val="28"/>
        </w:rPr>
        <w:t>（加盖公章）</w:t>
      </w:r>
    </w:p>
    <w:p w14:paraId="5DAF908E">
      <w:pPr>
        <w:keepNext w:val="0"/>
        <w:keepLines w:val="0"/>
        <w:pageBreakBefore w:val="0"/>
        <w:widowControl/>
        <w:kinsoku/>
        <w:wordWrap w:val="0"/>
        <w:overflowPunct/>
        <w:topLinePunct w:val="0"/>
        <w:autoSpaceDE/>
        <w:autoSpaceDN/>
        <w:bidi w:val="0"/>
        <w:adjustRightInd/>
        <w:snapToGrid/>
        <w:spacing w:line="560" w:lineRule="exact"/>
        <w:jc w:val="right"/>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日期：　　年　月　日</w:t>
      </w:r>
      <w:r>
        <w:rPr>
          <w:rFonts w:hint="eastAsia" w:ascii="仿宋_GB2312" w:hAnsi="仿宋_GB2312" w:eastAsia="仿宋_GB2312" w:cs="仿宋_GB2312"/>
          <w:color w:val="auto"/>
          <w:sz w:val="28"/>
          <w:szCs w:val="28"/>
          <w:lang w:val="en-US" w:eastAsia="zh-CN"/>
        </w:rPr>
        <w:t xml:space="preserve">  </w:t>
      </w:r>
    </w:p>
    <w:p w14:paraId="302CB779">
      <w:pPr>
        <w:spacing w:line="500" w:lineRule="exact"/>
        <w:ind w:firstLine="584" w:firstLineChars="200"/>
        <w:rPr>
          <w:rFonts w:ascii="华文仿宋" w:hAnsi="华文仿宋" w:cs="华文仿宋"/>
          <w:b/>
          <w:color w:val="auto"/>
        </w:rPr>
      </w:pPr>
    </w:p>
    <w:bookmarkEnd w:id="362"/>
    <w:p w14:paraId="5CB476E9">
      <w:pPr>
        <w:rPr>
          <w:rFonts w:ascii="宋体" w:hAnsi="宋体"/>
          <w:b/>
          <w:bCs/>
          <w:color w:val="auto"/>
          <w:sz w:val="32"/>
          <w:szCs w:val="32"/>
        </w:rPr>
      </w:pPr>
      <w:r>
        <w:rPr>
          <w:rFonts w:ascii="华文仿宋" w:hAnsi="华文仿宋" w:cs="华文仿宋"/>
          <w:b w:val="0"/>
          <w:color w:val="auto"/>
          <w:sz w:val="28"/>
          <w:szCs w:val="28"/>
        </w:rPr>
        <w:br w:type="page"/>
      </w:r>
    </w:p>
    <w:p w14:paraId="28FD8722">
      <w:pPr>
        <w:spacing w:line="240" w:lineRule="auto"/>
        <w:jc w:val="center"/>
      </w:pPr>
      <w:r>
        <w:rPr>
          <w:rFonts w:hint="eastAsia" w:ascii="仿宋_GB2312" w:hAnsi="仿宋_GB2312" w:eastAsia="仿宋_GB2312" w:cs="仿宋_GB2312"/>
          <w:b/>
          <w:bCs/>
          <w:color w:val="auto"/>
          <w:sz w:val="28"/>
          <w:szCs w:val="28"/>
        </w:rPr>
        <w:t>分项报价表（样表）</w:t>
      </w:r>
      <w:r>
        <w:rPr>
          <w:rFonts w:hint="eastAsia" w:ascii="仿宋_GB2312" w:hAnsi="仿宋_GB2312" w:eastAsia="仿宋_GB2312" w:cs="仿宋_GB2312"/>
          <w:b/>
          <w:color w:val="auto"/>
          <w:sz w:val="28"/>
          <w:szCs w:val="28"/>
        </w:rPr>
        <w:tab/>
      </w:r>
    </w:p>
    <w:tbl>
      <w:tblPr>
        <w:tblStyle w:val="22"/>
        <w:tblW w:w="93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0"/>
        <w:gridCol w:w="1379"/>
        <w:gridCol w:w="966"/>
        <w:gridCol w:w="1555"/>
        <w:gridCol w:w="1240"/>
        <w:gridCol w:w="870"/>
        <w:gridCol w:w="1037"/>
        <w:gridCol w:w="1352"/>
      </w:tblGrid>
      <w:tr w14:paraId="0D5E9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930" w:type="dxa"/>
            <w:vAlign w:val="center"/>
          </w:tcPr>
          <w:p w14:paraId="08678F12">
            <w:pPr>
              <w:pStyle w:val="43"/>
              <w:widowControl w:val="0"/>
              <w:rPr>
                <w:rFonts w:hint="eastAsia" w:ascii="仿宋_GB2312" w:hAnsi="仿宋_GB2312" w:eastAsia="仿宋_GB2312" w:cs="仿宋_GB2312"/>
                <w:bCs w:val="0"/>
                <w:sz w:val="28"/>
                <w:szCs w:val="28"/>
              </w:rPr>
            </w:pPr>
            <w:bookmarkStart w:id="363" w:name="_Toc22090"/>
            <w:bookmarkStart w:id="364" w:name="_Toc11534"/>
            <w:bookmarkStart w:id="365" w:name="_Toc16723"/>
            <w:bookmarkStart w:id="366" w:name="_Toc26257"/>
            <w:bookmarkStart w:id="367" w:name="_Toc18433"/>
            <w:bookmarkStart w:id="368" w:name="_Toc32361"/>
            <w:bookmarkStart w:id="369" w:name="_Toc1934"/>
            <w:bookmarkStart w:id="370" w:name="_Toc11855"/>
            <w:bookmarkStart w:id="371" w:name="_Toc28408"/>
            <w:r>
              <w:rPr>
                <w:rFonts w:hint="eastAsia" w:ascii="仿宋_GB2312" w:hAnsi="仿宋_GB2312" w:eastAsia="仿宋_GB2312" w:cs="仿宋_GB2312"/>
                <w:bCs w:val="0"/>
                <w:sz w:val="28"/>
                <w:szCs w:val="28"/>
              </w:rPr>
              <w:t>序号</w:t>
            </w:r>
            <w:bookmarkEnd w:id="363"/>
            <w:bookmarkEnd w:id="364"/>
            <w:bookmarkEnd w:id="365"/>
            <w:bookmarkEnd w:id="366"/>
            <w:bookmarkEnd w:id="367"/>
            <w:bookmarkEnd w:id="368"/>
            <w:bookmarkEnd w:id="369"/>
            <w:bookmarkEnd w:id="370"/>
            <w:bookmarkEnd w:id="371"/>
          </w:p>
        </w:tc>
        <w:tc>
          <w:tcPr>
            <w:tcW w:w="1379" w:type="dxa"/>
            <w:vAlign w:val="center"/>
          </w:tcPr>
          <w:p w14:paraId="396BF3E8">
            <w:pPr>
              <w:pStyle w:val="43"/>
              <w:widowControl w:val="0"/>
              <w:rPr>
                <w:rFonts w:hint="eastAsia" w:ascii="仿宋_GB2312" w:hAnsi="仿宋_GB2312" w:eastAsia="仿宋_GB2312" w:cs="仿宋_GB2312"/>
                <w:bCs w:val="0"/>
                <w:sz w:val="28"/>
                <w:szCs w:val="28"/>
                <w:lang w:eastAsia="zh-CN"/>
              </w:rPr>
            </w:pPr>
            <w:r>
              <w:rPr>
                <w:rFonts w:hint="eastAsia" w:ascii="仿宋_GB2312" w:hAnsi="仿宋_GB2312" w:eastAsia="仿宋_GB2312" w:cs="仿宋_GB2312"/>
                <w:bCs w:val="0"/>
                <w:sz w:val="28"/>
                <w:szCs w:val="28"/>
                <w:lang w:val="en-US" w:eastAsia="zh-CN"/>
              </w:rPr>
              <w:t>产品名称</w:t>
            </w:r>
          </w:p>
        </w:tc>
        <w:tc>
          <w:tcPr>
            <w:tcW w:w="966" w:type="dxa"/>
            <w:vAlign w:val="center"/>
          </w:tcPr>
          <w:p w14:paraId="2CE0AEF9">
            <w:pPr>
              <w:pStyle w:val="43"/>
              <w:widowControl w:val="0"/>
              <w:rPr>
                <w:rFonts w:hint="eastAsia" w:ascii="仿宋_GB2312" w:hAnsi="仿宋_GB2312" w:eastAsia="仿宋_GB2312" w:cs="仿宋_GB2312"/>
                <w:bCs w:val="0"/>
                <w:sz w:val="28"/>
                <w:szCs w:val="28"/>
                <w:lang w:val="en-US" w:eastAsia="zh-CN"/>
              </w:rPr>
            </w:pPr>
            <w:r>
              <w:rPr>
                <w:rFonts w:hint="eastAsia" w:ascii="仿宋_GB2312" w:hAnsi="仿宋_GB2312" w:eastAsia="仿宋_GB2312" w:cs="仿宋_GB2312"/>
                <w:bCs w:val="0"/>
                <w:sz w:val="28"/>
                <w:szCs w:val="28"/>
                <w:lang w:val="en-US" w:eastAsia="zh-CN"/>
              </w:rPr>
              <w:t>品牌</w:t>
            </w:r>
          </w:p>
        </w:tc>
        <w:tc>
          <w:tcPr>
            <w:tcW w:w="1555" w:type="dxa"/>
            <w:vAlign w:val="center"/>
          </w:tcPr>
          <w:p w14:paraId="3C3379CD">
            <w:pPr>
              <w:pStyle w:val="43"/>
              <w:widowControl w:val="0"/>
              <w:spacing w:line="300" w:lineRule="exact"/>
              <w:rPr>
                <w:rFonts w:hint="eastAsia" w:ascii="仿宋_GB2312" w:hAnsi="仿宋_GB2312" w:eastAsia="仿宋_GB2312" w:cs="仿宋_GB2312"/>
                <w:bCs w:val="0"/>
                <w:sz w:val="28"/>
                <w:szCs w:val="28"/>
                <w:lang w:val="en-US" w:eastAsia="zh-CN"/>
              </w:rPr>
            </w:pPr>
            <w:r>
              <w:rPr>
                <w:rFonts w:hint="eastAsia" w:ascii="仿宋_GB2312" w:hAnsi="仿宋_GB2312" w:eastAsia="仿宋_GB2312" w:cs="仿宋_GB2312"/>
                <w:bCs w:val="0"/>
                <w:sz w:val="28"/>
                <w:szCs w:val="28"/>
                <w:lang w:val="en-US" w:eastAsia="zh-CN"/>
              </w:rPr>
              <w:t>规格型号</w:t>
            </w:r>
          </w:p>
        </w:tc>
        <w:tc>
          <w:tcPr>
            <w:tcW w:w="1240" w:type="dxa"/>
            <w:vAlign w:val="center"/>
          </w:tcPr>
          <w:p w14:paraId="15239A41">
            <w:pPr>
              <w:pStyle w:val="43"/>
              <w:widowControl w:val="0"/>
              <w:rPr>
                <w:rFonts w:hint="eastAsia" w:ascii="仿宋_GB2312" w:hAnsi="仿宋_GB2312" w:eastAsia="仿宋_GB2312" w:cs="仿宋_GB2312"/>
                <w:bCs w:val="0"/>
                <w:sz w:val="28"/>
                <w:szCs w:val="28"/>
                <w:lang w:val="en-US" w:eastAsia="zh-CN"/>
              </w:rPr>
            </w:pPr>
            <w:r>
              <w:rPr>
                <w:rFonts w:hint="eastAsia" w:ascii="仿宋_GB2312" w:hAnsi="仿宋_GB2312" w:eastAsia="仿宋_GB2312" w:cs="仿宋_GB2312"/>
                <w:bCs w:val="0"/>
                <w:sz w:val="28"/>
                <w:szCs w:val="28"/>
                <w:lang w:val="en-US" w:eastAsia="zh-CN"/>
              </w:rPr>
              <w:t>制造商</w:t>
            </w:r>
          </w:p>
        </w:tc>
        <w:tc>
          <w:tcPr>
            <w:tcW w:w="870" w:type="dxa"/>
            <w:vAlign w:val="center"/>
          </w:tcPr>
          <w:p w14:paraId="2B986D94">
            <w:pPr>
              <w:pStyle w:val="43"/>
              <w:widowControl w:val="0"/>
              <w:rPr>
                <w:rFonts w:hint="eastAsia" w:ascii="仿宋_GB2312" w:hAnsi="仿宋_GB2312" w:eastAsia="仿宋_GB2312" w:cs="仿宋_GB2312"/>
                <w:bCs w:val="0"/>
                <w:sz w:val="28"/>
                <w:szCs w:val="28"/>
                <w:lang w:val="en-US" w:eastAsia="zh-CN"/>
              </w:rPr>
            </w:pPr>
            <w:r>
              <w:rPr>
                <w:rFonts w:hint="eastAsia" w:ascii="仿宋_GB2312" w:hAnsi="仿宋_GB2312" w:eastAsia="仿宋_GB2312" w:cs="仿宋_GB2312"/>
                <w:bCs w:val="0"/>
                <w:sz w:val="28"/>
                <w:szCs w:val="28"/>
                <w:lang w:val="en-US" w:eastAsia="zh-CN"/>
              </w:rPr>
              <w:t>数量</w:t>
            </w:r>
          </w:p>
        </w:tc>
        <w:tc>
          <w:tcPr>
            <w:tcW w:w="1037" w:type="dxa"/>
            <w:vAlign w:val="center"/>
          </w:tcPr>
          <w:p w14:paraId="7066CA1D">
            <w:pPr>
              <w:pStyle w:val="43"/>
              <w:widowControl w:val="0"/>
              <w:rPr>
                <w:rFonts w:hint="eastAsia" w:ascii="仿宋_GB2312" w:hAnsi="仿宋_GB2312" w:eastAsia="仿宋_GB2312" w:cs="仿宋_GB2312"/>
                <w:bCs w:val="0"/>
                <w:sz w:val="28"/>
                <w:szCs w:val="28"/>
                <w:lang w:val="en-US" w:eastAsia="zh-CN"/>
              </w:rPr>
            </w:pPr>
            <w:r>
              <w:rPr>
                <w:rFonts w:hint="eastAsia" w:ascii="仿宋_GB2312" w:hAnsi="仿宋_GB2312" w:eastAsia="仿宋_GB2312" w:cs="仿宋_GB2312"/>
                <w:bCs w:val="0"/>
                <w:sz w:val="28"/>
                <w:szCs w:val="28"/>
                <w:lang w:val="en-US" w:eastAsia="zh-CN"/>
              </w:rPr>
              <w:t>单价</w:t>
            </w:r>
          </w:p>
        </w:tc>
        <w:tc>
          <w:tcPr>
            <w:tcW w:w="1352" w:type="dxa"/>
            <w:vAlign w:val="center"/>
          </w:tcPr>
          <w:p w14:paraId="0ECB5030">
            <w:pPr>
              <w:pStyle w:val="43"/>
              <w:widowControl w:val="0"/>
              <w:rPr>
                <w:rFonts w:hint="eastAsia" w:ascii="仿宋_GB2312" w:hAnsi="仿宋_GB2312" w:eastAsia="仿宋_GB2312" w:cs="仿宋_GB2312"/>
                <w:bCs w:val="0"/>
                <w:sz w:val="28"/>
                <w:szCs w:val="28"/>
                <w:lang w:val="en-US" w:eastAsia="zh-CN"/>
              </w:rPr>
            </w:pPr>
            <w:r>
              <w:rPr>
                <w:rFonts w:hint="eastAsia" w:ascii="仿宋_GB2312" w:hAnsi="仿宋_GB2312" w:eastAsia="仿宋_GB2312" w:cs="仿宋_GB2312"/>
                <w:bCs w:val="0"/>
                <w:sz w:val="28"/>
                <w:szCs w:val="28"/>
                <w:lang w:val="en-US" w:eastAsia="zh-CN"/>
              </w:rPr>
              <w:t>小计</w:t>
            </w:r>
          </w:p>
        </w:tc>
      </w:tr>
      <w:tr w14:paraId="7FE80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tcPr>
          <w:p w14:paraId="6B1957D8">
            <w:pPr>
              <w:pStyle w:val="43"/>
              <w:widowControl w:val="0"/>
              <w:jc w:val="left"/>
              <w:rPr>
                <w:rFonts w:hint="eastAsia" w:ascii="仿宋_GB2312" w:hAnsi="仿宋_GB2312" w:eastAsia="仿宋_GB2312" w:cs="仿宋_GB2312"/>
                <w:bCs w:val="0"/>
                <w:sz w:val="28"/>
                <w:szCs w:val="28"/>
              </w:rPr>
            </w:pPr>
          </w:p>
        </w:tc>
        <w:tc>
          <w:tcPr>
            <w:tcW w:w="1379" w:type="dxa"/>
          </w:tcPr>
          <w:p w14:paraId="69FEC2F9">
            <w:pPr>
              <w:pStyle w:val="43"/>
              <w:widowControl w:val="0"/>
              <w:jc w:val="left"/>
              <w:rPr>
                <w:rFonts w:hint="eastAsia" w:ascii="仿宋_GB2312" w:hAnsi="仿宋_GB2312" w:eastAsia="仿宋_GB2312" w:cs="仿宋_GB2312"/>
                <w:bCs w:val="0"/>
                <w:sz w:val="28"/>
                <w:szCs w:val="28"/>
              </w:rPr>
            </w:pPr>
          </w:p>
        </w:tc>
        <w:tc>
          <w:tcPr>
            <w:tcW w:w="966" w:type="dxa"/>
          </w:tcPr>
          <w:p w14:paraId="4A1A073B">
            <w:pPr>
              <w:pStyle w:val="43"/>
              <w:widowControl w:val="0"/>
              <w:jc w:val="left"/>
              <w:rPr>
                <w:rFonts w:hint="eastAsia" w:ascii="仿宋_GB2312" w:hAnsi="仿宋_GB2312" w:eastAsia="仿宋_GB2312" w:cs="仿宋_GB2312"/>
                <w:bCs w:val="0"/>
                <w:sz w:val="28"/>
                <w:szCs w:val="28"/>
              </w:rPr>
            </w:pPr>
          </w:p>
        </w:tc>
        <w:tc>
          <w:tcPr>
            <w:tcW w:w="1555" w:type="dxa"/>
          </w:tcPr>
          <w:p w14:paraId="4E285849">
            <w:pPr>
              <w:pStyle w:val="43"/>
              <w:widowControl w:val="0"/>
              <w:jc w:val="left"/>
              <w:rPr>
                <w:rFonts w:hint="eastAsia" w:ascii="仿宋_GB2312" w:hAnsi="仿宋_GB2312" w:eastAsia="仿宋_GB2312" w:cs="仿宋_GB2312"/>
                <w:bCs w:val="0"/>
                <w:sz w:val="28"/>
                <w:szCs w:val="28"/>
              </w:rPr>
            </w:pPr>
          </w:p>
        </w:tc>
        <w:tc>
          <w:tcPr>
            <w:tcW w:w="1240" w:type="dxa"/>
          </w:tcPr>
          <w:p w14:paraId="71019B46">
            <w:pPr>
              <w:pStyle w:val="43"/>
              <w:widowControl w:val="0"/>
              <w:jc w:val="left"/>
              <w:rPr>
                <w:rFonts w:hint="eastAsia" w:ascii="仿宋_GB2312" w:hAnsi="仿宋_GB2312" w:eastAsia="仿宋_GB2312" w:cs="仿宋_GB2312"/>
                <w:bCs w:val="0"/>
                <w:sz w:val="28"/>
                <w:szCs w:val="28"/>
              </w:rPr>
            </w:pPr>
          </w:p>
        </w:tc>
        <w:tc>
          <w:tcPr>
            <w:tcW w:w="870" w:type="dxa"/>
          </w:tcPr>
          <w:p w14:paraId="305BC513">
            <w:pPr>
              <w:pStyle w:val="43"/>
              <w:widowControl w:val="0"/>
              <w:jc w:val="left"/>
              <w:rPr>
                <w:rFonts w:hint="eastAsia" w:ascii="仿宋_GB2312" w:hAnsi="仿宋_GB2312" w:eastAsia="仿宋_GB2312" w:cs="仿宋_GB2312"/>
                <w:bCs w:val="0"/>
                <w:sz w:val="28"/>
                <w:szCs w:val="28"/>
              </w:rPr>
            </w:pPr>
          </w:p>
        </w:tc>
        <w:tc>
          <w:tcPr>
            <w:tcW w:w="1037" w:type="dxa"/>
          </w:tcPr>
          <w:p w14:paraId="68E22479">
            <w:pPr>
              <w:pStyle w:val="43"/>
              <w:widowControl w:val="0"/>
              <w:jc w:val="left"/>
              <w:rPr>
                <w:rFonts w:hint="eastAsia" w:ascii="仿宋_GB2312" w:hAnsi="仿宋_GB2312" w:eastAsia="仿宋_GB2312" w:cs="仿宋_GB2312"/>
                <w:bCs w:val="0"/>
                <w:sz w:val="28"/>
                <w:szCs w:val="28"/>
              </w:rPr>
            </w:pPr>
          </w:p>
        </w:tc>
        <w:tc>
          <w:tcPr>
            <w:tcW w:w="1352" w:type="dxa"/>
          </w:tcPr>
          <w:p w14:paraId="7DDE246F">
            <w:pPr>
              <w:pStyle w:val="43"/>
              <w:widowControl w:val="0"/>
              <w:jc w:val="left"/>
              <w:rPr>
                <w:rFonts w:hint="eastAsia" w:ascii="仿宋_GB2312" w:hAnsi="仿宋_GB2312" w:eastAsia="仿宋_GB2312" w:cs="仿宋_GB2312"/>
                <w:bCs w:val="0"/>
                <w:sz w:val="28"/>
                <w:szCs w:val="28"/>
              </w:rPr>
            </w:pPr>
          </w:p>
        </w:tc>
      </w:tr>
      <w:tr w14:paraId="45F8A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tcPr>
          <w:p w14:paraId="35ECF257">
            <w:pPr>
              <w:pStyle w:val="43"/>
              <w:widowControl w:val="0"/>
              <w:jc w:val="left"/>
              <w:rPr>
                <w:rFonts w:hint="eastAsia" w:ascii="仿宋_GB2312" w:hAnsi="仿宋_GB2312" w:eastAsia="仿宋_GB2312" w:cs="仿宋_GB2312"/>
                <w:bCs w:val="0"/>
                <w:sz w:val="28"/>
                <w:szCs w:val="28"/>
              </w:rPr>
            </w:pPr>
            <w:bookmarkStart w:id="372" w:name="_Toc31519"/>
          </w:p>
        </w:tc>
        <w:tc>
          <w:tcPr>
            <w:tcW w:w="1379" w:type="dxa"/>
          </w:tcPr>
          <w:p w14:paraId="57D9FF91">
            <w:pPr>
              <w:pStyle w:val="43"/>
              <w:widowControl w:val="0"/>
              <w:jc w:val="left"/>
              <w:rPr>
                <w:rFonts w:hint="eastAsia" w:ascii="仿宋_GB2312" w:hAnsi="仿宋_GB2312" w:eastAsia="仿宋_GB2312" w:cs="仿宋_GB2312"/>
                <w:bCs w:val="0"/>
                <w:sz w:val="28"/>
                <w:szCs w:val="28"/>
              </w:rPr>
            </w:pPr>
          </w:p>
        </w:tc>
        <w:tc>
          <w:tcPr>
            <w:tcW w:w="966" w:type="dxa"/>
          </w:tcPr>
          <w:p w14:paraId="1A3780A7">
            <w:pPr>
              <w:pStyle w:val="43"/>
              <w:widowControl w:val="0"/>
              <w:jc w:val="left"/>
              <w:rPr>
                <w:rFonts w:hint="eastAsia" w:ascii="仿宋_GB2312" w:hAnsi="仿宋_GB2312" w:eastAsia="仿宋_GB2312" w:cs="仿宋_GB2312"/>
                <w:bCs w:val="0"/>
                <w:sz w:val="28"/>
                <w:szCs w:val="28"/>
              </w:rPr>
            </w:pPr>
          </w:p>
        </w:tc>
        <w:tc>
          <w:tcPr>
            <w:tcW w:w="1555" w:type="dxa"/>
          </w:tcPr>
          <w:p w14:paraId="7F0CD608">
            <w:pPr>
              <w:pStyle w:val="43"/>
              <w:widowControl w:val="0"/>
              <w:jc w:val="left"/>
              <w:rPr>
                <w:rFonts w:hint="eastAsia" w:ascii="仿宋_GB2312" w:hAnsi="仿宋_GB2312" w:eastAsia="仿宋_GB2312" w:cs="仿宋_GB2312"/>
                <w:bCs w:val="0"/>
                <w:sz w:val="28"/>
                <w:szCs w:val="28"/>
              </w:rPr>
            </w:pPr>
          </w:p>
        </w:tc>
        <w:tc>
          <w:tcPr>
            <w:tcW w:w="1240" w:type="dxa"/>
          </w:tcPr>
          <w:p w14:paraId="715C9C41">
            <w:pPr>
              <w:pStyle w:val="43"/>
              <w:widowControl w:val="0"/>
              <w:jc w:val="left"/>
              <w:rPr>
                <w:rFonts w:hint="eastAsia" w:ascii="仿宋_GB2312" w:hAnsi="仿宋_GB2312" w:eastAsia="仿宋_GB2312" w:cs="仿宋_GB2312"/>
                <w:bCs w:val="0"/>
                <w:sz w:val="28"/>
                <w:szCs w:val="28"/>
              </w:rPr>
            </w:pPr>
          </w:p>
        </w:tc>
        <w:tc>
          <w:tcPr>
            <w:tcW w:w="870" w:type="dxa"/>
          </w:tcPr>
          <w:p w14:paraId="4DCBCE7C">
            <w:pPr>
              <w:pStyle w:val="43"/>
              <w:widowControl w:val="0"/>
              <w:jc w:val="left"/>
              <w:rPr>
                <w:rFonts w:hint="eastAsia" w:ascii="仿宋_GB2312" w:hAnsi="仿宋_GB2312" w:eastAsia="仿宋_GB2312" w:cs="仿宋_GB2312"/>
                <w:bCs w:val="0"/>
                <w:sz w:val="28"/>
                <w:szCs w:val="28"/>
              </w:rPr>
            </w:pPr>
          </w:p>
        </w:tc>
        <w:tc>
          <w:tcPr>
            <w:tcW w:w="1037" w:type="dxa"/>
          </w:tcPr>
          <w:p w14:paraId="4D577199">
            <w:pPr>
              <w:pStyle w:val="43"/>
              <w:widowControl w:val="0"/>
              <w:jc w:val="left"/>
              <w:rPr>
                <w:rFonts w:hint="eastAsia" w:ascii="仿宋_GB2312" w:hAnsi="仿宋_GB2312" w:eastAsia="仿宋_GB2312" w:cs="仿宋_GB2312"/>
                <w:bCs w:val="0"/>
                <w:sz w:val="28"/>
                <w:szCs w:val="28"/>
              </w:rPr>
            </w:pPr>
          </w:p>
        </w:tc>
        <w:tc>
          <w:tcPr>
            <w:tcW w:w="1352" w:type="dxa"/>
          </w:tcPr>
          <w:p w14:paraId="5B8FC0DB">
            <w:pPr>
              <w:pStyle w:val="43"/>
              <w:widowControl w:val="0"/>
              <w:jc w:val="left"/>
              <w:rPr>
                <w:rFonts w:hint="eastAsia" w:ascii="仿宋_GB2312" w:hAnsi="仿宋_GB2312" w:eastAsia="仿宋_GB2312" w:cs="仿宋_GB2312"/>
                <w:bCs w:val="0"/>
                <w:sz w:val="28"/>
                <w:szCs w:val="28"/>
              </w:rPr>
            </w:pPr>
          </w:p>
        </w:tc>
      </w:tr>
      <w:tr w14:paraId="5F56B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tcPr>
          <w:p w14:paraId="679D0ABF">
            <w:pPr>
              <w:pStyle w:val="43"/>
              <w:widowControl w:val="0"/>
              <w:jc w:val="left"/>
              <w:rPr>
                <w:rFonts w:hint="eastAsia" w:ascii="仿宋_GB2312" w:hAnsi="仿宋_GB2312" w:eastAsia="仿宋_GB2312" w:cs="仿宋_GB2312"/>
                <w:bCs w:val="0"/>
                <w:sz w:val="28"/>
                <w:szCs w:val="28"/>
              </w:rPr>
            </w:pPr>
          </w:p>
        </w:tc>
        <w:tc>
          <w:tcPr>
            <w:tcW w:w="1379" w:type="dxa"/>
          </w:tcPr>
          <w:p w14:paraId="487B90A5">
            <w:pPr>
              <w:pStyle w:val="43"/>
              <w:widowControl w:val="0"/>
              <w:jc w:val="left"/>
              <w:rPr>
                <w:rFonts w:hint="eastAsia" w:ascii="仿宋_GB2312" w:hAnsi="仿宋_GB2312" w:eastAsia="仿宋_GB2312" w:cs="仿宋_GB2312"/>
                <w:bCs w:val="0"/>
                <w:sz w:val="28"/>
                <w:szCs w:val="28"/>
              </w:rPr>
            </w:pPr>
          </w:p>
        </w:tc>
        <w:tc>
          <w:tcPr>
            <w:tcW w:w="966" w:type="dxa"/>
          </w:tcPr>
          <w:p w14:paraId="036DA0A6">
            <w:pPr>
              <w:pStyle w:val="43"/>
              <w:widowControl w:val="0"/>
              <w:jc w:val="left"/>
              <w:rPr>
                <w:rFonts w:hint="eastAsia" w:ascii="仿宋_GB2312" w:hAnsi="仿宋_GB2312" w:eastAsia="仿宋_GB2312" w:cs="仿宋_GB2312"/>
                <w:bCs w:val="0"/>
                <w:sz w:val="28"/>
                <w:szCs w:val="28"/>
              </w:rPr>
            </w:pPr>
          </w:p>
        </w:tc>
        <w:tc>
          <w:tcPr>
            <w:tcW w:w="1555" w:type="dxa"/>
          </w:tcPr>
          <w:p w14:paraId="215BC74F">
            <w:pPr>
              <w:pStyle w:val="43"/>
              <w:widowControl w:val="0"/>
              <w:jc w:val="left"/>
              <w:rPr>
                <w:rFonts w:hint="eastAsia" w:ascii="仿宋_GB2312" w:hAnsi="仿宋_GB2312" w:eastAsia="仿宋_GB2312" w:cs="仿宋_GB2312"/>
                <w:bCs w:val="0"/>
                <w:sz w:val="28"/>
                <w:szCs w:val="28"/>
              </w:rPr>
            </w:pPr>
          </w:p>
        </w:tc>
        <w:tc>
          <w:tcPr>
            <w:tcW w:w="1240" w:type="dxa"/>
          </w:tcPr>
          <w:p w14:paraId="097E7A44">
            <w:pPr>
              <w:pStyle w:val="43"/>
              <w:widowControl w:val="0"/>
              <w:jc w:val="left"/>
              <w:rPr>
                <w:rFonts w:hint="eastAsia" w:ascii="仿宋_GB2312" w:hAnsi="仿宋_GB2312" w:eastAsia="仿宋_GB2312" w:cs="仿宋_GB2312"/>
                <w:bCs w:val="0"/>
                <w:sz w:val="28"/>
                <w:szCs w:val="28"/>
              </w:rPr>
            </w:pPr>
          </w:p>
        </w:tc>
        <w:tc>
          <w:tcPr>
            <w:tcW w:w="870" w:type="dxa"/>
          </w:tcPr>
          <w:p w14:paraId="1F42D020">
            <w:pPr>
              <w:pStyle w:val="43"/>
              <w:widowControl w:val="0"/>
              <w:jc w:val="left"/>
              <w:rPr>
                <w:rFonts w:hint="eastAsia" w:ascii="仿宋_GB2312" w:hAnsi="仿宋_GB2312" w:eastAsia="仿宋_GB2312" w:cs="仿宋_GB2312"/>
                <w:bCs w:val="0"/>
                <w:sz w:val="28"/>
                <w:szCs w:val="28"/>
              </w:rPr>
            </w:pPr>
          </w:p>
        </w:tc>
        <w:tc>
          <w:tcPr>
            <w:tcW w:w="1037" w:type="dxa"/>
          </w:tcPr>
          <w:p w14:paraId="79C5464C">
            <w:pPr>
              <w:pStyle w:val="43"/>
              <w:widowControl w:val="0"/>
              <w:jc w:val="left"/>
              <w:rPr>
                <w:rFonts w:hint="eastAsia" w:ascii="仿宋_GB2312" w:hAnsi="仿宋_GB2312" w:eastAsia="仿宋_GB2312" w:cs="仿宋_GB2312"/>
                <w:bCs w:val="0"/>
                <w:sz w:val="28"/>
                <w:szCs w:val="28"/>
              </w:rPr>
            </w:pPr>
          </w:p>
        </w:tc>
        <w:tc>
          <w:tcPr>
            <w:tcW w:w="1352" w:type="dxa"/>
          </w:tcPr>
          <w:p w14:paraId="6406F1CB">
            <w:pPr>
              <w:pStyle w:val="43"/>
              <w:widowControl w:val="0"/>
              <w:jc w:val="left"/>
              <w:rPr>
                <w:rFonts w:hint="eastAsia" w:ascii="仿宋_GB2312" w:hAnsi="仿宋_GB2312" w:eastAsia="仿宋_GB2312" w:cs="仿宋_GB2312"/>
                <w:bCs w:val="0"/>
                <w:sz w:val="28"/>
                <w:szCs w:val="28"/>
              </w:rPr>
            </w:pPr>
          </w:p>
        </w:tc>
      </w:tr>
      <w:tr w14:paraId="26691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tcPr>
          <w:p w14:paraId="2802B582">
            <w:pPr>
              <w:pStyle w:val="43"/>
              <w:widowControl w:val="0"/>
              <w:jc w:val="left"/>
              <w:rPr>
                <w:rFonts w:hint="eastAsia" w:ascii="仿宋_GB2312" w:hAnsi="仿宋_GB2312" w:eastAsia="仿宋_GB2312" w:cs="仿宋_GB2312"/>
                <w:bCs w:val="0"/>
                <w:sz w:val="28"/>
                <w:szCs w:val="28"/>
              </w:rPr>
            </w:pPr>
          </w:p>
        </w:tc>
        <w:tc>
          <w:tcPr>
            <w:tcW w:w="1379" w:type="dxa"/>
          </w:tcPr>
          <w:p w14:paraId="51DAC2AF">
            <w:pPr>
              <w:pStyle w:val="43"/>
              <w:widowControl w:val="0"/>
              <w:jc w:val="left"/>
              <w:rPr>
                <w:rFonts w:hint="eastAsia" w:ascii="仿宋_GB2312" w:hAnsi="仿宋_GB2312" w:eastAsia="仿宋_GB2312" w:cs="仿宋_GB2312"/>
                <w:bCs w:val="0"/>
                <w:sz w:val="28"/>
                <w:szCs w:val="28"/>
              </w:rPr>
            </w:pPr>
          </w:p>
        </w:tc>
        <w:tc>
          <w:tcPr>
            <w:tcW w:w="966" w:type="dxa"/>
          </w:tcPr>
          <w:p w14:paraId="147A01F4">
            <w:pPr>
              <w:pStyle w:val="43"/>
              <w:widowControl w:val="0"/>
              <w:jc w:val="left"/>
              <w:rPr>
                <w:rFonts w:hint="eastAsia" w:ascii="仿宋_GB2312" w:hAnsi="仿宋_GB2312" w:eastAsia="仿宋_GB2312" w:cs="仿宋_GB2312"/>
                <w:bCs w:val="0"/>
                <w:sz w:val="28"/>
                <w:szCs w:val="28"/>
              </w:rPr>
            </w:pPr>
          </w:p>
        </w:tc>
        <w:tc>
          <w:tcPr>
            <w:tcW w:w="1555" w:type="dxa"/>
          </w:tcPr>
          <w:p w14:paraId="1E6DD229">
            <w:pPr>
              <w:pStyle w:val="43"/>
              <w:widowControl w:val="0"/>
              <w:jc w:val="left"/>
              <w:rPr>
                <w:rFonts w:hint="eastAsia" w:ascii="仿宋_GB2312" w:hAnsi="仿宋_GB2312" w:eastAsia="仿宋_GB2312" w:cs="仿宋_GB2312"/>
                <w:bCs w:val="0"/>
                <w:sz w:val="28"/>
                <w:szCs w:val="28"/>
              </w:rPr>
            </w:pPr>
          </w:p>
        </w:tc>
        <w:tc>
          <w:tcPr>
            <w:tcW w:w="1240" w:type="dxa"/>
          </w:tcPr>
          <w:p w14:paraId="2C031088">
            <w:pPr>
              <w:pStyle w:val="43"/>
              <w:widowControl w:val="0"/>
              <w:jc w:val="left"/>
              <w:rPr>
                <w:rFonts w:hint="eastAsia" w:ascii="仿宋_GB2312" w:hAnsi="仿宋_GB2312" w:eastAsia="仿宋_GB2312" w:cs="仿宋_GB2312"/>
                <w:bCs w:val="0"/>
                <w:sz w:val="28"/>
                <w:szCs w:val="28"/>
              </w:rPr>
            </w:pPr>
          </w:p>
        </w:tc>
        <w:tc>
          <w:tcPr>
            <w:tcW w:w="870" w:type="dxa"/>
          </w:tcPr>
          <w:p w14:paraId="600A94C6">
            <w:pPr>
              <w:pStyle w:val="43"/>
              <w:widowControl w:val="0"/>
              <w:jc w:val="left"/>
              <w:rPr>
                <w:rFonts w:hint="eastAsia" w:ascii="仿宋_GB2312" w:hAnsi="仿宋_GB2312" w:eastAsia="仿宋_GB2312" w:cs="仿宋_GB2312"/>
                <w:bCs w:val="0"/>
                <w:sz w:val="28"/>
                <w:szCs w:val="28"/>
              </w:rPr>
            </w:pPr>
          </w:p>
        </w:tc>
        <w:tc>
          <w:tcPr>
            <w:tcW w:w="1037" w:type="dxa"/>
          </w:tcPr>
          <w:p w14:paraId="66ED102E">
            <w:pPr>
              <w:pStyle w:val="43"/>
              <w:widowControl w:val="0"/>
              <w:jc w:val="left"/>
              <w:rPr>
                <w:rFonts w:hint="eastAsia" w:ascii="仿宋_GB2312" w:hAnsi="仿宋_GB2312" w:eastAsia="仿宋_GB2312" w:cs="仿宋_GB2312"/>
                <w:bCs w:val="0"/>
                <w:sz w:val="28"/>
                <w:szCs w:val="28"/>
              </w:rPr>
            </w:pPr>
          </w:p>
        </w:tc>
        <w:tc>
          <w:tcPr>
            <w:tcW w:w="1352" w:type="dxa"/>
          </w:tcPr>
          <w:p w14:paraId="5ADB4ED0">
            <w:pPr>
              <w:pStyle w:val="43"/>
              <w:widowControl w:val="0"/>
              <w:jc w:val="left"/>
              <w:rPr>
                <w:rFonts w:hint="eastAsia" w:ascii="仿宋_GB2312" w:hAnsi="仿宋_GB2312" w:eastAsia="仿宋_GB2312" w:cs="仿宋_GB2312"/>
                <w:bCs w:val="0"/>
                <w:sz w:val="28"/>
                <w:szCs w:val="28"/>
              </w:rPr>
            </w:pPr>
          </w:p>
        </w:tc>
      </w:tr>
      <w:tr w14:paraId="733DB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tcPr>
          <w:p w14:paraId="0A4DDADC">
            <w:pPr>
              <w:pStyle w:val="43"/>
              <w:widowControl w:val="0"/>
              <w:jc w:val="left"/>
              <w:rPr>
                <w:rFonts w:hint="eastAsia" w:ascii="仿宋_GB2312" w:hAnsi="仿宋_GB2312" w:eastAsia="仿宋_GB2312" w:cs="仿宋_GB2312"/>
                <w:bCs w:val="0"/>
                <w:sz w:val="28"/>
                <w:szCs w:val="28"/>
              </w:rPr>
            </w:pPr>
          </w:p>
        </w:tc>
        <w:tc>
          <w:tcPr>
            <w:tcW w:w="1379" w:type="dxa"/>
          </w:tcPr>
          <w:p w14:paraId="310297B5">
            <w:pPr>
              <w:pStyle w:val="43"/>
              <w:widowControl w:val="0"/>
              <w:jc w:val="left"/>
              <w:rPr>
                <w:rFonts w:hint="eastAsia" w:ascii="仿宋_GB2312" w:hAnsi="仿宋_GB2312" w:eastAsia="仿宋_GB2312" w:cs="仿宋_GB2312"/>
                <w:bCs w:val="0"/>
                <w:sz w:val="28"/>
                <w:szCs w:val="28"/>
              </w:rPr>
            </w:pPr>
          </w:p>
        </w:tc>
        <w:tc>
          <w:tcPr>
            <w:tcW w:w="966" w:type="dxa"/>
          </w:tcPr>
          <w:p w14:paraId="7C392894">
            <w:pPr>
              <w:pStyle w:val="43"/>
              <w:widowControl w:val="0"/>
              <w:jc w:val="left"/>
              <w:rPr>
                <w:rFonts w:hint="eastAsia" w:ascii="仿宋_GB2312" w:hAnsi="仿宋_GB2312" w:eastAsia="仿宋_GB2312" w:cs="仿宋_GB2312"/>
                <w:bCs w:val="0"/>
                <w:sz w:val="28"/>
                <w:szCs w:val="28"/>
              </w:rPr>
            </w:pPr>
          </w:p>
        </w:tc>
        <w:tc>
          <w:tcPr>
            <w:tcW w:w="1555" w:type="dxa"/>
          </w:tcPr>
          <w:p w14:paraId="33CDB3B5">
            <w:pPr>
              <w:pStyle w:val="43"/>
              <w:widowControl w:val="0"/>
              <w:jc w:val="left"/>
              <w:rPr>
                <w:rFonts w:hint="eastAsia" w:ascii="仿宋_GB2312" w:hAnsi="仿宋_GB2312" w:eastAsia="仿宋_GB2312" w:cs="仿宋_GB2312"/>
                <w:bCs w:val="0"/>
                <w:sz w:val="28"/>
                <w:szCs w:val="28"/>
              </w:rPr>
            </w:pPr>
          </w:p>
        </w:tc>
        <w:tc>
          <w:tcPr>
            <w:tcW w:w="1240" w:type="dxa"/>
          </w:tcPr>
          <w:p w14:paraId="2BC6D2FB">
            <w:pPr>
              <w:pStyle w:val="43"/>
              <w:widowControl w:val="0"/>
              <w:jc w:val="left"/>
              <w:rPr>
                <w:rFonts w:hint="eastAsia" w:ascii="仿宋_GB2312" w:hAnsi="仿宋_GB2312" w:eastAsia="仿宋_GB2312" w:cs="仿宋_GB2312"/>
                <w:bCs w:val="0"/>
                <w:sz w:val="28"/>
                <w:szCs w:val="28"/>
              </w:rPr>
            </w:pPr>
          </w:p>
        </w:tc>
        <w:tc>
          <w:tcPr>
            <w:tcW w:w="870" w:type="dxa"/>
          </w:tcPr>
          <w:p w14:paraId="3E2B5FC9">
            <w:pPr>
              <w:pStyle w:val="43"/>
              <w:widowControl w:val="0"/>
              <w:jc w:val="left"/>
              <w:rPr>
                <w:rFonts w:hint="eastAsia" w:ascii="仿宋_GB2312" w:hAnsi="仿宋_GB2312" w:eastAsia="仿宋_GB2312" w:cs="仿宋_GB2312"/>
                <w:bCs w:val="0"/>
                <w:sz w:val="28"/>
                <w:szCs w:val="28"/>
              </w:rPr>
            </w:pPr>
          </w:p>
        </w:tc>
        <w:tc>
          <w:tcPr>
            <w:tcW w:w="1037" w:type="dxa"/>
          </w:tcPr>
          <w:p w14:paraId="0F66DC2B">
            <w:pPr>
              <w:pStyle w:val="43"/>
              <w:widowControl w:val="0"/>
              <w:jc w:val="left"/>
              <w:rPr>
                <w:rFonts w:hint="eastAsia" w:ascii="仿宋_GB2312" w:hAnsi="仿宋_GB2312" w:eastAsia="仿宋_GB2312" w:cs="仿宋_GB2312"/>
                <w:bCs w:val="0"/>
                <w:sz w:val="28"/>
                <w:szCs w:val="28"/>
              </w:rPr>
            </w:pPr>
          </w:p>
        </w:tc>
        <w:tc>
          <w:tcPr>
            <w:tcW w:w="1352" w:type="dxa"/>
          </w:tcPr>
          <w:p w14:paraId="36DD981C">
            <w:pPr>
              <w:pStyle w:val="43"/>
              <w:widowControl w:val="0"/>
              <w:jc w:val="left"/>
              <w:rPr>
                <w:rFonts w:hint="eastAsia" w:ascii="仿宋_GB2312" w:hAnsi="仿宋_GB2312" w:eastAsia="仿宋_GB2312" w:cs="仿宋_GB2312"/>
                <w:bCs w:val="0"/>
                <w:sz w:val="28"/>
                <w:szCs w:val="28"/>
              </w:rPr>
            </w:pPr>
          </w:p>
        </w:tc>
      </w:tr>
      <w:tr w14:paraId="591A8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9" w:type="dxa"/>
            <w:gridSpan w:val="2"/>
            <w:vAlign w:val="center"/>
          </w:tcPr>
          <w:p w14:paraId="6501A55B">
            <w:pPr>
              <w:pStyle w:val="43"/>
              <w:widowControl w:val="0"/>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sz w:val="28"/>
                <w:szCs w:val="28"/>
                <w:lang w:val="en-US" w:eastAsia="zh-CN"/>
              </w:rPr>
              <w:t>合计</w:t>
            </w:r>
            <w:bookmarkEnd w:id="372"/>
          </w:p>
        </w:tc>
        <w:tc>
          <w:tcPr>
            <w:tcW w:w="7020" w:type="dxa"/>
            <w:gridSpan w:val="6"/>
          </w:tcPr>
          <w:p w14:paraId="2BD81A61">
            <w:pPr>
              <w:widowControl w:val="0"/>
              <w:autoSpaceDE w:val="0"/>
              <w:autoSpaceDN w:val="0"/>
              <w:spacing w:line="240" w:lineRule="auto"/>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小写：</w:t>
            </w:r>
          </w:p>
          <w:p w14:paraId="2CE86B47">
            <w:pPr>
              <w:pStyle w:val="43"/>
              <w:widowControl w:val="0"/>
              <w:jc w:val="left"/>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 xml:space="preserve">                           </w:t>
            </w:r>
            <w:bookmarkStart w:id="373" w:name="_Toc10552"/>
            <w:bookmarkStart w:id="374" w:name="_Toc22162"/>
            <w:bookmarkStart w:id="375" w:name="_Toc7253"/>
            <w:bookmarkStart w:id="376" w:name="_Toc8004"/>
            <w:bookmarkStart w:id="377" w:name="_Toc17991"/>
            <w:bookmarkStart w:id="378" w:name="_Toc31429"/>
            <w:bookmarkStart w:id="379" w:name="_Toc28010"/>
            <w:r>
              <w:rPr>
                <w:rFonts w:hint="eastAsia" w:ascii="仿宋_GB2312" w:hAnsi="仿宋_GB2312" w:eastAsia="仿宋_GB2312" w:cs="仿宋_GB2312"/>
                <w:b w:val="0"/>
                <w:bCs w:val="0"/>
                <w:sz w:val="28"/>
                <w:szCs w:val="28"/>
              </w:rPr>
              <w:t>单位：元（保留到元）</w:t>
            </w:r>
            <w:bookmarkEnd w:id="373"/>
            <w:bookmarkEnd w:id="374"/>
            <w:bookmarkEnd w:id="375"/>
            <w:bookmarkEnd w:id="376"/>
            <w:bookmarkEnd w:id="377"/>
            <w:bookmarkEnd w:id="378"/>
            <w:bookmarkEnd w:id="379"/>
          </w:p>
        </w:tc>
      </w:tr>
    </w:tbl>
    <w:p w14:paraId="1EA5C970">
      <w:pPr>
        <w:tabs>
          <w:tab w:val="right" w:pos="9072"/>
        </w:tabs>
        <w:spacing w:line="240" w:lineRule="auto"/>
        <w:ind w:firstLine="222" w:firstLineChars="100"/>
        <w:rPr>
          <w:rFonts w:hint="eastAsia" w:ascii="宋体" w:hAnsi="宋体" w:eastAsia="宋体" w:cs="华文仿宋"/>
          <w:color w:val="auto"/>
          <w:sz w:val="21"/>
          <w:szCs w:val="21"/>
        </w:rPr>
      </w:pPr>
    </w:p>
    <w:p w14:paraId="050DC61A">
      <w:pPr>
        <w:tabs>
          <w:tab w:val="right" w:pos="9072"/>
        </w:tabs>
        <w:spacing w:line="240" w:lineRule="auto"/>
        <w:ind w:firstLine="222" w:firstLineChars="100"/>
        <w:rPr>
          <w:rFonts w:ascii="宋体" w:hAnsi="宋体" w:eastAsia="宋体" w:cs="华文仿宋"/>
          <w:color w:val="auto"/>
          <w:sz w:val="21"/>
          <w:szCs w:val="21"/>
        </w:rPr>
      </w:pPr>
      <w:r>
        <w:rPr>
          <w:rFonts w:hint="eastAsia" w:ascii="宋体" w:hAnsi="宋体" w:eastAsia="宋体" w:cs="华文仿宋"/>
          <w:color w:val="auto"/>
          <w:sz w:val="21"/>
          <w:szCs w:val="21"/>
        </w:rPr>
        <w:t>备注</w:t>
      </w:r>
      <w:r>
        <w:rPr>
          <w:rFonts w:ascii="宋体" w:hAnsi="宋体" w:eastAsia="宋体" w:cs="华文仿宋"/>
          <w:color w:val="auto"/>
          <w:sz w:val="21"/>
          <w:szCs w:val="21"/>
        </w:rPr>
        <w:t>：</w:t>
      </w:r>
      <w:r>
        <w:rPr>
          <w:rFonts w:hint="eastAsia" w:ascii="宋体" w:hAnsi="宋体" w:eastAsia="宋体" w:cs="华文仿宋"/>
          <w:color w:val="auto"/>
          <w:sz w:val="21"/>
          <w:szCs w:val="21"/>
        </w:rPr>
        <w:t>1、本表“</w:t>
      </w:r>
      <w:r>
        <w:rPr>
          <w:rFonts w:hint="eastAsia" w:ascii="宋体" w:hAnsi="宋体" w:eastAsia="宋体" w:cs="华文仿宋"/>
          <w:color w:val="auto"/>
          <w:sz w:val="21"/>
          <w:szCs w:val="21"/>
          <w:lang w:val="en-US" w:eastAsia="zh-CN"/>
        </w:rPr>
        <w:t>合计</w:t>
      </w:r>
      <w:r>
        <w:rPr>
          <w:rFonts w:hint="eastAsia" w:ascii="宋体" w:hAnsi="宋体" w:eastAsia="宋体" w:cs="华文仿宋"/>
          <w:color w:val="auto"/>
          <w:sz w:val="21"/>
          <w:szCs w:val="21"/>
        </w:rPr>
        <w:t>”金额应与“第一次磋商报价表”中的“磋商报价”一致；</w:t>
      </w:r>
    </w:p>
    <w:p w14:paraId="653599EF">
      <w:pPr>
        <w:tabs>
          <w:tab w:val="right" w:pos="9072"/>
        </w:tabs>
        <w:spacing w:line="240" w:lineRule="auto"/>
        <w:ind w:firstLine="888" w:firstLineChars="400"/>
        <w:rPr>
          <w:rFonts w:ascii="宋体" w:hAnsi="宋体" w:eastAsia="宋体" w:cs="华文仿宋"/>
          <w:color w:val="auto"/>
          <w:sz w:val="21"/>
          <w:szCs w:val="21"/>
        </w:rPr>
      </w:pPr>
      <w:r>
        <w:rPr>
          <w:rFonts w:hint="eastAsia" w:ascii="宋体" w:hAnsi="宋体" w:eastAsia="宋体" w:cs="华文仿宋"/>
          <w:color w:val="auto"/>
          <w:sz w:val="21"/>
          <w:szCs w:val="21"/>
        </w:rPr>
        <w:t>2、本表为</w:t>
      </w:r>
      <w:r>
        <w:rPr>
          <w:rFonts w:ascii="宋体" w:hAnsi="宋体" w:eastAsia="宋体" w:cs="华文仿宋"/>
          <w:color w:val="auto"/>
          <w:sz w:val="21"/>
          <w:szCs w:val="21"/>
        </w:rPr>
        <w:t>样表，仅供参考，</w:t>
      </w:r>
      <w:r>
        <w:rPr>
          <w:rFonts w:hint="eastAsia" w:ascii="宋体" w:hAnsi="宋体" w:eastAsia="宋体" w:cs="华文仿宋"/>
          <w:color w:val="auto"/>
          <w:sz w:val="21"/>
          <w:szCs w:val="21"/>
        </w:rPr>
        <w:t>供应商根据</w:t>
      </w:r>
      <w:r>
        <w:rPr>
          <w:rFonts w:ascii="宋体" w:hAnsi="宋体" w:eastAsia="宋体" w:cs="华文仿宋"/>
          <w:color w:val="auto"/>
          <w:sz w:val="21"/>
          <w:szCs w:val="21"/>
        </w:rPr>
        <w:t>项目实际</w:t>
      </w:r>
      <w:r>
        <w:rPr>
          <w:rFonts w:hint="eastAsia" w:ascii="宋体" w:hAnsi="宋体" w:eastAsia="宋体" w:cs="华文仿宋"/>
          <w:color w:val="auto"/>
          <w:sz w:val="21"/>
          <w:szCs w:val="21"/>
        </w:rPr>
        <w:t>需求</w:t>
      </w:r>
      <w:r>
        <w:rPr>
          <w:rFonts w:ascii="宋体" w:hAnsi="宋体" w:eastAsia="宋体" w:cs="华文仿宋"/>
          <w:color w:val="auto"/>
          <w:sz w:val="21"/>
          <w:szCs w:val="21"/>
        </w:rPr>
        <w:t>进行填写</w:t>
      </w:r>
      <w:r>
        <w:rPr>
          <w:rFonts w:hint="eastAsia" w:ascii="宋体" w:hAnsi="宋体" w:eastAsia="宋体" w:cs="华文仿宋"/>
          <w:color w:val="auto"/>
          <w:sz w:val="21"/>
          <w:szCs w:val="21"/>
        </w:rPr>
        <w:t>。</w:t>
      </w:r>
    </w:p>
    <w:p w14:paraId="47716248">
      <w:pPr>
        <w:tabs>
          <w:tab w:val="right" w:pos="9072"/>
        </w:tabs>
        <w:spacing w:line="500" w:lineRule="exact"/>
        <w:ind w:firstLine="504" w:firstLineChars="200"/>
        <w:rPr>
          <w:rFonts w:ascii="华文仿宋" w:hAnsi="华文仿宋" w:cs="华文仿宋"/>
          <w:color w:val="auto"/>
          <w:sz w:val="24"/>
          <w:szCs w:val="24"/>
        </w:rPr>
      </w:pPr>
    </w:p>
    <w:p w14:paraId="655F846C">
      <w:pPr>
        <w:tabs>
          <w:tab w:val="right" w:pos="9072"/>
        </w:tabs>
        <w:spacing w:line="500" w:lineRule="exact"/>
        <w:ind w:firstLine="584" w:firstLineChars="200"/>
        <w:rPr>
          <w:rFonts w:ascii="华文仿宋" w:hAnsi="华文仿宋" w:cs="华文仿宋"/>
          <w:color w:val="auto"/>
          <w:sz w:val="28"/>
          <w:szCs w:val="28"/>
        </w:rPr>
      </w:pPr>
    </w:p>
    <w:p w14:paraId="3F5C5658">
      <w:pPr>
        <w:tabs>
          <w:tab w:val="right" w:pos="9072"/>
        </w:tabs>
        <w:spacing w:line="500" w:lineRule="exact"/>
        <w:ind w:firstLine="584" w:firstLineChars="200"/>
        <w:rPr>
          <w:rFonts w:ascii="华文仿宋" w:hAnsi="华文仿宋" w:cs="华文仿宋"/>
          <w:b/>
          <w:color w:val="auto"/>
          <w:sz w:val="28"/>
          <w:szCs w:val="28"/>
        </w:rPr>
      </w:pPr>
    </w:p>
    <w:p w14:paraId="2A1C5926">
      <w:pPr>
        <w:spacing w:line="500" w:lineRule="exact"/>
        <w:ind w:firstLine="4964" w:firstLineChars="17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供应商：</w:t>
      </w:r>
      <w:r>
        <w:rPr>
          <w:rFonts w:hint="eastAsia" w:ascii="仿宋_GB2312" w:hAnsi="仿宋_GB2312" w:eastAsia="仿宋_GB2312" w:cs="仿宋_GB2312"/>
          <w:color w:val="auto"/>
          <w:sz w:val="28"/>
          <w:szCs w:val="28"/>
          <w:u w:val="single"/>
        </w:rPr>
        <w:t>名称</w:t>
      </w:r>
      <w:r>
        <w:rPr>
          <w:rFonts w:hint="eastAsia" w:ascii="仿宋_GB2312" w:hAnsi="仿宋_GB2312" w:eastAsia="仿宋_GB2312" w:cs="仿宋_GB2312"/>
          <w:color w:val="auto"/>
          <w:sz w:val="28"/>
          <w:szCs w:val="28"/>
        </w:rPr>
        <w:t>（加盖公章）</w:t>
      </w:r>
    </w:p>
    <w:p w14:paraId="24296F6A">
      <w:pPr>
        <w:tabs>
          <w:tab w:val="right" w:pos="9070"/>
        </w:tabs>
        <w:spacing w:line="500" w:lineRule="exact"/>
        <w:ind w:firstLine="4964" w:firstLineChars="1700"/>
        <w:rPr>
          <w:rFonts w:hint="eastAsia" w:ascii="仿宋_GB2312" w:hAnsi="仿宋_GB2312" w:eastAsia="仿宋_GB2312" w:cs="仿宋_GB2312"/>
          <w:bCs/>
          <w:color w:val="auto"/>
          <w:sz w:val="32"/>
          <w:szCs w:val="32"/>
        </w:rPr>
      </w:pPr>
      <w:r>
        <w:rPr>
          <w:rFonts w:hint="eastAsia" w:ascii="仿宋_GB2312" w:hAnsi="仿宋_GB2312" w:eastAsia="仿宋_GB2312" w:cs="仿宋_GB2312"/>
          <w:color w:val="auto"/>
          <w:sz w:val="28"/>
          <w:szCs w:val="28"/>
        </w:rPr>
        <w:t>日期：　　年　月　日</w:t>
      </w:r>
      <w:r>
        <w:rPr>
          <w:rFonts w:hint="eastAsia" w:ascii="仿宋_GB2312" w:hAnsi="仿宋_GB2312" w:eastAsia="仿宋_GB2312" w:cs="仿宋_GB2312"/>
          <w:bCs/>
          <w:color w:val="auto"/>
          <w:sz w:val="28"/>
          <w:szCs w:val="28"/>
        </w:rPr>
        <w:tab/>
      </w:r>
      <w:r>
        <w:rPr>
          <w:rFonts w:hint="eastAsia" w:ascii="仿宋_GB2312" w:hAnsi="仿宋_GB2312" w:eastAsia="仿宋_GB2312" w:cs="仿宋_GB2312"/>
          <w:bCs/>
          <w:color w:val="auto"/>
          <w:sz w:val="28"/>
          <w:szCs w:val="28"/>
        </w:rPr>
        <w:t xml:space="preserve"> </w:t>
      </w:r>
      <w:r>
        <w:rPr>
          <w:rFonts w:hint="eastAsia" w:ascii="仿宋_GB2312" w:hAnsi="仿宋_GB2312" w:eastAsia="仿宋_GB2312" w:cs="仿宋_GB2312"/>
          <w:bCs/>
          <w:color w:val="auto"/>
          <w:sz w:val="32"/>
          <w:szCs w:val="32"/>
        </w:rPr>
        <w:t xml:space="preserve"> </w:t>
      </w:r>
    </w:p>
    <w:p w14:paraId="4BEB2FEE">
      <w:pPr>
        <w:tabs>
          <w:tab w:val="right" w:pos="9070"/>
        </w:tabs>
        <w:spacing w:line="500" w:lineRule="exact"/>
        <w:rPr>
          <w:rFonts w:ascii="华文仿宋" w:hAnsi="华文仿宋" w:cs="华文仿宋"/>
          <w:bCs/>
          <w:color w:val="auto"/>
        </w:rPr>
      </w:pPr>
    </w:p>
    <w:p w14:paraId="335BEB92">
      <w:pPr>
        <w:rPr>
          <w:rFonts w:ascii="仿宋" w:hAnsi="仿宋" w:eastAsia="仿宋" w:cs="仿宋"/>
          <w:color w:val="auto"/>
          <w:sz w:val="32"/>
          <w:szCs w:val="32"/>
        </w:rPr>
      </w:pPr>
    </w:p>
    <w:p w14:paraId="10AE8B62">
      <w:pPr>
        <w:rPr>
          <w:rFonts w:ascii="仿宋" w:hAnsi="仿宋" w:eastAsia="仿宋" w:cs="仿宋"/>
          <w:color w:val="auto"/>
          <w:sz w:val="32"/>
          <w:szCs w:val="32"/>
        </w:rPr>
      </w:pPr>
    </w:p>
    <w:p w14:paraId="22024363">
      <w:pPr>
        <w:rPr>
          <w:rFonts w:ascii="仿宋" w:hAnsi="仿宋" w:eastAsia="仿宋" w:cs="仿宋"/>
          <w:color w:val="auto"/>
          <w:sz w:val="32"/>
          <w:szCs w:val="32"/>
        </w:rPr>
      </w:pPr>
    </w:p>
    <w:p w14:paraId="32FDA633">
      <w:pPr>
        <w:rPr>
          <w:rFonts w:ascii="仿宋" w:hAnsi="仿宋" w:eastAsia="仿宋" w:cs="仿宋"/>
          <w:color w:val="auto"/>
          <w:sz w:val="32"/>
          <w:szCs w:val="32"/>
        </w:rPr>
      </w:pPr>
      <w:r>
        <w:rPr>
          <w:rFonts w:ascii="仿宋" w:hAnsi="仿宋" w:eastAsia="仿宋" w:cs="仿宋"/>
          <w:color w:val="auto"/>
          <w:sz w:val="32"/>
          <w:szCs w:val="32"/>
        </w:rPr>
        <w:br w:type="page"/>
      </w:r>
    </w:p>
    <w:p w14:paraId="064D0DF9">
      <w:pPr>
        <w:pStyle w:val="43"/>
        <w:pageBreakBefore w:val="0"/>
        <w:widowControl/>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Cs w:val="0"/>
          <w:color w:val="auto"/>
          <w:sz w:val="32"/>
          <w:szCs w:val="32"/>
        </w:rPr>
      </w:pPr>
      <w:bookmarkStart w:id="380" w:name="_Toc2393"/>
      <w:bookmarkStart w:id="381" w:name="_Toc13309_WPSOffice_Level2"/>
      <w:bookmarkStart w:id="382" w:name="_Toc20416"/>
      <w:bookmarkStart w:id="383" w:name="_Toc9727_WPSOffice_Level2"/>
      <w:bookmarkStart w:id="384" w:name="_Toc13794"/>
      <w:bookmarkStart w:id="385" w:name="_Toc26536_WPSOffice_Level2"/>
      <w:bookmarkStart w:id="386" w:name="_Toc1823_WPSOffice_Level2"/>
      <w:bookmarkStart w:id="387" w:name="_Toc26668"/>
      <w:bookmarkStart w:id="388" w:name="_Toc18036_WPSOffice_Level2"/>
      <w:r>
        <w:rPr>
          <w:rFonts w:hint="eastAsia" w:ascii="仿宋_GB2312" w:hAnsi="仿宋_GB2312" w:eastAsia="仿宋_GB2312" w:cs="仿宋_GB2312"/>
          <w:bCs w:val="0"/>
          <w:color w:val="auto"/>
          <w:sz w:val="32"/>
          <w:szCs w:val="32"/>
        </w:rPr>
        <w:t>三、</w:t>
      </w:r>
      <w:bookmarkEnd w:id="380"/>
      <w:bookmarkEnd w:id="381"/>
      <w:bookmarkStart w:id="389" w:name="_Toc31081"/>
      <w:bookmarkStart w:id="390" w:name="_Toc4322"/>
      <w:r>
        <w:rPr>
          <w:rFonts w:hint="eastAsia" w:ascii="仿宋_GB2312" w:hAnsi="仿宋_GB2312" w:eastAsia="仿宋_GB2312" w:cs="仿宋_GB2312"/>
          <w:bCs w:val="0"/>
          <w:color w:val="auto"/>
          <w:sz w:val="32"/>
          <w:szCs w:val="32"/>
        </w:rPr>
        <w:t>供应商参加政府采购活动承诺书</w:t>
      </w:r>
      <w:bookmarkEnd w:id="382"/>
      <w:bookmarkEnd w:id="389"/>
      <w:bookmarkEnd w:id="390"/>
    </w:p>
    <w:bookmarkEnd w:id="383"/>
    <w:bookmarkEnd w:id="384"/>
    <w:bookmarkEnd w:id="385"/>
    <w:bookmarkEnd w:id="386"/>
    <w:bookmarkEnd w:id="387"/>
    <w:bookmarkEnd w:id="388"/>
    <w:p w14:paraId="3CE9BCF2">
      <w:pPr>
        <w:pageBreakBefore w:val="0"/>
        <w:widowControl/>
        <w:kinsoku/>
        <w:wordWrap/>
        <w:overflowPunct/>
        <w:topLinePunct w:val="0"/>
        <w:autoSpaceDE/>
        <w:autoSpaceDN/>
        <w:bidi w:val="0"/>
        <w:adjustRightInd/>
        <w:snapToGrid/>
        <w:spacing w:before="190" w:beforeLines="50" w:line="560" w:lineRule="exact"/>
        <w:ind w:firstLine="584" w:firstLineChars="200"/>
        <w:jc w:val="center"/>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
          <w:bCs/>
          <w:color w:val="auto"/>
          <w:sz w:val="28"/>
          <w:szCs w:val="28"/>
        </w:rPr>
        <w:t>拒绝政府采购领域商业贿赂承诺书</w:t>
      </w:r>
    </w:p>
    <w:p w14:paraId="0A760068">
      <w:pPr>
        <w:pageBreakBefore w:val="0"/>
        <w:widowControl/>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为响应党中央、国务院关于治理政府采购领域商业贿赂行为的号召，我公司在此庄严承诺：</w:t>
      </w:r>
    </w:p>
    <w:p w14:paraId="4CBD58CF">
      <w:pPr>
        <w:pageBreakBefore w:val="0"/>
        <w:widowControl/>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1、在参与政府采购活动中遵纪守法、诚信经营、公平竞标。</w:t>
      </w:r>
    </w:p>
    <w:p w14:paraId="5549AB4D">
      <w:pPr>
        <w:pageBreakBefore w:val="0"/>
        <w:widowControl/>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2、不向政府采购人、采购代理机构和政府采购评审专家进行任何形式的商业贿赂以谋取交易机会。</w:t>
      </w:r>
    </w:p>
    <w:p w14:paraId="5954767E">
      <w:pPr>
        <w:pageBreakBefore w:val="0"/>
        <w:widowControl/>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3、不向政府采购代理机构和采购人提供虚假资质文件或采用虚假应标方式参与政府采购市场竞争并谋取中标、成交。</w:t>
      </w:r>
    </w:p>
    <w:p w14:paraId="7C086152">
      <w:pPr>
        <w:pageBreakBefore w:val="0"/>
        <w:widowControl/>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4、不采取“围标、陪标”等商业欺诈手段获得政府采购定单。</w:t>
      </w:r>
    </w:p>
    <w:p w14:paraId="5620DF58">
      <w:pPr>
        <w:pageBreakBefore w:val="0"/>
        <w:widowControl/>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5、不采取不正当手段诋毁、排挤其他供应商。</w:t>
      </w:r>
    </w:p>
    <w:p w14:paraId="34AC4BB9">
      <w:pPr>
        <w:pageBreakBefore w:val="0"/>
        <w:widowControl/>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6、不在提供商品和服务时“偷梁换柱、以次充好”损害采购人的合法权益。</w:t>
      </w:r>
    </w:p>
    <w:p w14:paraId="630587E8">
      <w:pPr>
        <w:pageBreakBefore w:val="0"/>
        <w:widowControl/>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7、不与采购人、采购代理机构政府采购评审专家或其它供应商恶意串通，进行质疑和投诉，维护政府采购市场秩序。</w:t>
      </w:r>
    </w:p>
    <w:p w14:paraId="300677F6">
      <w:pPr>
        <w:pageBreakBefore w:val="0"/>
        <w:widowControl/>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8、尊重和接受政府采购监督管理部门的监督和政府采购代理机构招标采购要求，承担因违约行为给采购人造成的损失。</w:t>
      </w:r>
    </w:p>
    <w:p w14:paraId="77613E0B">
      <w:pPr>
        <w:pageBreakBefore w:val="0"/>
        <w:widowControl/>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9、不发生其他有悖于政府采购公开、公平、公正和诚信原则的行为。</w:t>
      </w:r>
    </w:p>
    <w:p w14:paraId="4880D50E">
      <w:pPr>
        <w:pStyle w:val="19"/>
        <w:pageBreakBefore w:val="0"/>
        <w:widowControl/>
        <w:kinsoku/>
        <w:wordWrap/>
        <w:overflowPunct/>
        <w:topLinePunct w:val="0"/>
        <w:autoSpaceDE/>
        <w:autoSpaceDN/>
        <w:bidi w:val="0"/>
        <w:adjustRightInd/>
        <w:snapToGrid/>
        <w:spacing w:line="560" w:lineRule="exact"/>
        <w:ind w:firstLine="183"/>
        <w:textAlignment w:val="auto"/>
        <w:rPr>
          <w:rFonts w:hint="eastAsia" w:ascii="仿宋_GB2312" w:hAnsi="仿宋_GB2312" w:eastAsia="仿宋_GB2312" w:cs="仿宋_GB2312"/>
          <w:color w:val="auto"/>
          <w:sz w:val="28"/>
          <w:szCs w:val="28"/>
        </w:rPr>
      </w:pPr>
    </w:p>
    <w:p w14:paraId="50E05E60">
      <w:pPr>
        <w:pageBreakBefore w:val="0"/>
        <w:widowControl/>
        <w:kinsoku/>
        <w:wordWrap/>
        <w:overflowPunct/>
        <w:topLinePunct w:val="0"/>
        <w:autoSpaceDE/>
        <w:autoSpaceDN/>
        <w:bidi w:val="0"/>
        <w:adjustRightInd/>
        <w:snapToGrid/>
        <w:spacing w:line="560" w:lineRule="exact"/>
        <w:ind w:firstLine="5548" w:firstLineChars="1900"/>
        <w:textAlignment w:val="auto"/>
        <w:rPr>
          <w:rFonts w:hint="eastAsia" w:ascii="仿宋_GB2312" w:hAnsi="仿宋_GB2312" w:eastAsia="仿宋_GB2312" w:cs="仿宋_GB2312"/>
          <w:color w:val="auto"/>
          <w:sz w:val="28"/>
          <w:szCs w:val="28"/>
        </w:rPr>
      </w:pPr>
    </w:p>
    <w:p w14:paraId="62A06A06">
      <w:pPr>
        <w:pageBreakBefore w:val="0"/>
        <w:widowControl/>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供应商：</w:t>
      </w:r>
      <w:r>
        <w:rPr>
          <w:rFonts w:hint="eastAsia" w:ascii="仿宋_GB2312" w:hAnsi="仿宋_GB2312" w:eastAsia="仿宋_GB2312" w:cs="仿宋_GB2312"/>
          <w:color w:val="auto"/>
          <w:sz w:val="28"/>
          <w:szCs w:val="28"/>
          <w:u w:val="single"/>
        </w:rPr>
        <w:t>名称</w:t>
      </w:r>
      <w:r>
        <w:rPr>
          <w:rFonts w:hint="eastAsia" w:ascii="仿宋_GB2312" w:hAnsi="仿宋_GB2312" w:eastAsia="仿宋_GB2312" w:cs="仿宋_GB2312"/>
          <w:color w:val="auto"/>
          <w:sz w:val="28"/>
          <w:szCs w:val="28"/>
        </w:rPr>
        <w:t>（加盖公章）</w:t>
      </w:r>
    </w:p>
    <w:p w14:paraId="031ADD66">
      <w:pPr>
        <w:pageBreakBefore w:val="0"/>
        <w:widowControl/>
        <w:kinsoku/>
        <w:wordWrap w:val="0"/>
        <w:overflowPunct/>
        <w:topLinePunct w:val="0"/>
        <w:autoSpaceDE/>
        <w:autoSpaceDN/>
        <w:bidi w:val="0"/>
        <w:adjustRightInd/>
        <w:snapToGrid/>
        <w:spacing w:line="560" w:lineRule="exact"/>
        <w:jc w:val="right"/>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日期：　 年　月　日</w:t>
      </w:r>
      <w:r>
        <w:rPr>
          <w:rFonts w:hint="eastAsia" w:ascii="仿宋_GB2312" w:hAnsi="仿宋_GB2312" w:eastAsia="仿宋_GB2312" w:cs="仿宋_GB2312"/>
          <w:color w:val="auto"/>
          <w:sz w:val="28"/>
          <w:szCs w:val="28"/>
          <w:lang w:val="en-US" w:eastAsia="zh-CN"/>
        </w:rPr>
        <w:t xml:space="preserve">   </w:t>
      </w:r>
    </w:p>
    <w:p w14:paraId="6576F20C">
      <w:pPr>
        <w:spacing w:line="500" w:lineRule="exact"/>
        <w:rPr>
          <w:rFonts w:ascii="仿宋" w:hAnsi="仿宋" w:eastAsia="仿宋"/>
          <w:b/>
          <w:color w:val="auto"/>
          <w:sz w:val="28"/>
          <w:szCs w:val="28"/>
        </w:rPr>
      </w:pPr>
      <w:r>
        <w:rPr>
          <w:rFonts w:hint="eastAsia"/>
          <w:color w:val="auto"/>
        </w:rPr>
        <w:br w:type="page"/>
      </w:r>
      <w:bookmarkStart w:id="391" w:name="_Toc16442_WPSOffice_Level2"/>
      <w:bookmarkStart w:id="392" w:name="_Toc10928_WPSOffice_Level2"/>
      <w:bookmarkStart w:id="393" w:name="_Toc27976_WPSOffice_Level2"/>
      <w:bookmarkStart w:id="394" w:name="_Toc16564_WPSOffice_Level2"/>
      <w:r>
        <w:rPr>
          <w:rFonts w:hint="eastAsia" w:ascii="仿宋" w:hAnsi="仿宋" w:eastAsia="仿宋" w:cs="仿宋"/>
          <w:b/>
          <w:color w:val="auto"/>
          <w:sz w:val="28"/>
          <w:szCs w:val="28"/>
          <w:lang w:val="en-US" w:eastAsia="zh-CN"/>
        </w:rPr>
        <w:t>四</w:t>
      </w:r>
      <w:r>
        <w:rPr>
          <w:rFonts w:hint="eastAsia" w:ascii="仿宋" w:hAnsi="仿宋" w:eastAsia="仿宋" w:cs="仿宋"/>
          <w:b/>
          <w:color w:val="auto"/>
          <w:sz w:val="28"/>
          <w:szCs w:val="28"/>
        </w:rPr>
        <w:t>、</w:t>
      </w:r>
      <w:r>
        <w:rPr>
          <w:rFonts w:ascii="仿宋" w:hAnsi="仿宋" w:eastAsia="仿宋"/>
          <w:b/>
          <w:color w:val="auto"/>
          <w:sz w:val="28"/>
          <w:szCs w:val="28"/>
        </w:rPr>
        <w:t>技术</w:t>
      </w:r>
      <w:r>
        <w:rPr>
          <w:rFonts w:hint="eastAsia" w:ascii="仿宋" w:hAnsi="仿宋" w:eastAsia="仿宋"/>
          <w:b/>
          <w:color w:val="auto"/>
          <w:sz w:val="28"/>
          <w:szCs w:val="28"/>
        </w:rPr>
        <w:t>服务偏差表</w:t>
      </w:r>
      <w:bookmarkEnd w:id="391"/>
      <w:bookmarkEnd w:id="392"/>
      <w:bookmarkEnd w:id="393"/>
      <w:bookmarkEnd w:id="394"/>
    </w:p>
    <w:tbl>
      <w:tblPr>
        <w:tblStyle w:val="21"/>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1423"/>
        <w:gridCol w:w="2599"/>
        <w:gridCol w:w="1375"/>
        <w:gridCol w:w="2350"/>
      </w:tblGrid>
      <w:tr w14:paraId="6D0C5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890" w:type="dxa"/>
            <w:shd w:val="clear" w:color="auto" w:fill="D8D8D8"/>
            <w:vAlign w:val="center"/>
          </w:tcPr>
          <w:p w14:paraId="7CEFDB2B">
            <w:pPr>
              <w:spacing w:line="320" w:lineRule="exact"/>
              <w:jc w:val="center"/>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序号</w:t>
            </w:r>
          </w:p>
        </w:tc>
        <w:tc>
          <w:tcPr>
            <w:tcW w:w="1423" w:type="dxa"/>
            <w:shd w:val="clear" w:color="auto" w:fill="D8D8D8"/>
            <w:vAlign w:val="center"/>
          </w:tcPr>
          <w:p w14:paraId="2BA5713D">
            <w:pPr>
              <w:spacing w:line="320" w:lineRule="exact"/>
              <w:jc w:val="center"/>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磋商文件要求</w:t>
            </w:r>
          </w:p>
        </w:tc>
        <w:tc>
          <w:tcPr>
            <w:tcW w:w="2599" w:type="dxa"/>
            <w:shd w:val="clear" w:color="auto" w:fill="D8D8D8"/>
            <w:vAlign w:val="center"/>
          </w:tcPr>
          <w:p w14:paraId="18DB33C9">
            <w:pPr>
              <w:spacing w:line="320" w:lineRule="exact"/>
              <w:jc w:val="center"/>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响应文件响应条款</w:t>
            </w:r>
          </w:p>
        </w:tc>
        <w:tc>
          <w:tcPr>
            <w:tcW w:w="1375" w:type="dxa"/>
            <w:shd w:val="clear" w:color="auto" w:fill="D8D8D8"/>
            <w:vAlign w:val="center"/>
          </w:tcPr>
          <w:p w14:paraId="4C8251CE">
            <w:pPr>
              <w:spacing w:line="320" w:lineRule="exact"/>
              <w:jc w:val="center"/>
              <w:rPr>
                <w:rFonts w:hint="eastAsia" w:ascii="仿宋_GB2312" w:hAnsi="仿宋_GB2312" w:eastAsia="仿宋_GB2312" w:cs="仿宋_GB2312"/>
                <w:b/>
                <w:color w:val="auto"/>
                <w:sz w:val="28"/>
                <w:szCs w:val="28"/>
              </w:rPr>
            </w:pPr>
            <w:r>
              <w:rPr>
                <w:rFonts w:hint="eastAsia" w:ascii="仿宋_GB2312" w:hAnsi="仿宋_GB2312" w:eastAsia="仿宋_GB2312" w:cs="仿宋_GB2312"/>
                <w:b/>
                <w:bCs/>
                <w:color w:val="auto"/>
                <w:sz w:val="28"/>
                <w:szCs w:val="28"/>
              </w:rPr>
              <w:t>偏离程度</w:t>
            </w:r>
          </w:p>
        </w:tc>
        <w:tc>
          <w:tcPr>
            <w:tcW w:w="2350" w:type="dxa"/>
            <w:shd w:val="clear" w:color="auto" w:fill="D8D8D8"/>
            <w:vAlign w:val="center"/>
          </w:tcPr>
          <w:p w14:paraId="7F68AC2C">
            <w:pPr>
              <w:spacing w:line="320" w:lineRule="exact"/>
              <w:jc w:val="center"/>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偏离简述</w:t>
            </w:r>
          </w:p>
          <w:p w14:paraId="71720FF4">
            <w:pPr>
              <w:spacing w:line="320" w:lineRule="exact"/>
              <w:jc w:val="center"/>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或相关证明材料</w:t>
            </w:r>
          </w:p>
        </w:tc>
      </w:tr>
      <w:tr w14:paraId="7F9AB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90" w:type="dxa"/>
            <w:vAlign w:val="center"/>
          </w:tcPr>
          <w:p w14:paraId="30850879">
            <w:pPr>
              <w:spacing w:line="44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p>
        </w:tc>
        <w:tc>
          <w:tcPr>
            <w:tcW w:w="1423" w:type="dxa"/>
            <w:vAlign w:val="center"/>
          </w:tcPr>
          <w:p w14:paraId="693AAD1C">
            <w:pPr>
              <w:spacing w:line="440" w:lineRule="exact"/>
              <w:rPr>
                <w:rFonts w:hint="eastAsia" w:ascii="仿宋_GB2312" w:hAnsi="仿宋_GB2312" w:eastAsia="仿宋_GB2312" w:cs="仿宋_GB2312"/>
                <w:color w:val="auto"/>
                <w:sz w:val="28"/>
                <w:szCs w:val="28"/>
              </w:rPr>
            </w:pPr>
          </w:p>
        </w:tc>
        <w:tc>
          <w:tcPr>
            <w:tcW w:w="2599" w:type="dxa"/>
            <w:vAlign w:val="center"/>
          </w:tcPr>
          <w:p w14:paraId="4A1DE40B">
            <w:pPr>
              <w:spacing w:line="440" w:lineRule="exact"/>
              <w:rPr>
                <w:rFonts w:hint="eastAsia" w:ascii="仿宋_GB2312" w:hAnsi="仿宋_GB2312" w:eastAsia="仿宋_GB2312" w:cs="仿宋_GB2312"/>
                <w:color w:val="auto"/>
                <w:sz w:val="28"/>
                <w:szCs w:val="28"/>
              </w:rPr>
            </w:pPr>
          </w:p>
        </w:tc>
        <w:tc>
          <w:tcPr>
            <w:tcW w:w="1375" w:type="dxa"/>
            <w:vAlign w:val="center"/>
          </w:tcPr>
          <w:p w14:paraId="18399256">
            <w:pPr>
              <w:spacing w:line="440" w:lineRule="exact"/>
              <w:rPr>
                <w:rFonts w:hint="eastAsia" w:ascii="仿宋_GB2312" w:hAnsi="仿宋_GB2312" w:eastAsia="仿宋_GB2312" w:cs="仿宋_GB2312"/>
                <w:color w:val="auto"/>
                <w:sz w:val="28"/>
                <w:szCs w:val="28"/>
              </w:rPr>
            </w:pPr>
          </w:p>
        </w:tc>
        <w:tc>
          <w:tcPr>
            <w:tcW w:w="2350" w:type="dxa"/>
            <w:vAlign w:val="center"/>
          </w:tcPr>
          <w:p w14:paraId="737A7636">
            <w:pPr>
              <w:spacing w:line="440" w:lineRule="exact"/>
              <w:rPr>
                <w:rFonts w:hint="eastAsia" w:ascii="仿宋_GB2312" w:hAnsi="仿宋_GB2312" w:eastAsia="仿宋_GB2312" w:cs="仿宋_GB2312"/>
                <w:color w:val="auto"/>
                <w:sz w:val="28"/>
                <w:szCs w:val="28"/>
              </w:rPr>
            </w:pPr>
          </w:p>
        </w:tc>
      </w:tr>
      <w:tr w14:paraId="71721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90" w:type="dxa"/>
            <w:vAlign w:val="center"/>
          </w:tcPr>
          <w:p w14:paraId="0F4E8730">
            <w:pPr>
              <w:spacing w:line="44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p>
        </w:tc>
        <w:tc>
          <w:tcPr>
            <w:tcW w:w="1423" w:type="dxa"/>
            <w:vAlign w:val="center"/>
          </w:tcPr>
          <w:p w14:paraId="2FD398AE">
            <w:pPr>
              <w:spacing w:line="440" w:lineRule="exact"/>
              <w:rPr>
                <w:rFonts w:hint="eastAsia" w:ascii="仿宋_GB2312" w:hAnsi="仿宋_GB2312" w:eastAsia="仿宋_GB2312" w:cs="仿宋_GB2312"/>
                <w:color w:val="auto"/>
                <w:sz w:val="28"/>
                <w:szCs w:val="28"/>
              </w:rPr>
            </w:pPr>
          </w:p>
        </w:tc>
        <w:tc>
          <w:tcPr>
            <w:tcW w:w="2599" w:type="dxa"/>
            <w:vAlign w:val="center"/>
          </w:tcPr>
          <w:p w14:paraId="17E4D0CD">
            <w:pPr>
              <w:spacing w:line="440" w:lineRule="exact"/>
              <w:rPr>
                <w:rFonts w:hint="eastAsia" w:ascii="仿宋_GB2312" w:hAnsi="仿宋_GB2312" w:eastAsia="仿宋_GB2312" w:cs="仿宋_GB2312"/>
                <w:color w:val="auto"/>
                <w:sz w:val="28"/>
                <w:szCs w:val="28"/>
              </w:rPr>
            </w:pPr>
          </w:p>
        </w:tc>
        <w:tc>
          <w:tcPr>
            <w:tcW w:w="1375" w:type="dxa"/>
            <w:vAlign w:val="center"/>
          </w:tcPr>
          <w:p w14:paraId="41E04BA9">
            <w:pPr>
              <w:spacing w:line="440" w:lineRule="exact"/>
              <w:rPr>
                <w:rFonts w:hint="eastAsia" w:ascii="仿宋_GB2312" w:hAnsi="仿宋_GB2312" w:eastAsia="仿宋_GB2312" w:cs="仿宋_GB2312"/>
                <w:color w:val="auto"/>
                <w:sz w:val="28"/>
                <w:szCs w:val="28"/>
              </w:rPr>
            </w:pPr>
          </w:p>
        </w:tc>
        <w:tc>
          <w:tcPr>
            <w:tcW w:w="2350" w:type="dxa"/>
            <w:vAlign w:val="center"/>
          </w:tcPr>
          <w:p w14:paraId="6AC0E723">
            <w:pPr>
              <w:spacing w:line="440" w:lineRule="exact"/>
              <w:rPr>
                <w:rFonts w:hint="eastAsia" w:ascii="仿宋_GB2312" w:hAnsi="仿宋_GB2312" w:eastAsia="仿宋_GB2312" w:cs="仿宋_GB2312"/>
                <w:color w:val="auto"/>
                <w:sz w:val="28"/>
                <w:szCs w:val="28"/>
              </w:rPr>
            </w:pPr>
          </w:p>
        </w:tc>
      </w:tr>
      <w:tr w14:paraId="3A9B7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90" w:type="dxa"/>
            <w:vAlign w:val="center"/>
          </w:tcPr>
          <w:p w14:paraId="2D84E965">
            <w:pPr>
              <w:spacing w:line="44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w:t>
            </w:r>
          </w:p>
        </w:tc>
        <w:tc>
          <w:tcPr>
            <w:tcW w:w="1423" w:type="dxa"/>
            <w:vAlign w:val="center"/>
          </w:tcPr>
          <w:p w14:paraId="56A210AE">
            <w:pPr>
              <w:spacing w:line="440" w:lineRule="exact"/>
              <w:rPr>
                <w:rFonts w:hint="eastAsia" w:ascii="仿宋_GB2312" w:hAnsi="仿宋_GB2312" w:eastAsia="仿宋_GB2312" w:cs="仿宋_GB2312"/>
                <w:color w:val="auto"/>
                <w:sz w:val="28"/>
                <w:szCs w:val="28"/>
              </w:rPr>
            </w:pPr>
          </w:p>
        </w:tc>
        <w:tc>
          <w:tcPr>
            <w:tcW w:w="2599" w:type="dxa"/>
            <w:vAlign w:val="center"/>
          </w:tcPr>
          <w:p w14:paraId="6300C7D4">
            <w:pPr>
              <w:spacing w:line="440" w:lineRule="exact"/>
              <w:rPr>
                <w:rFonts w:hint="eastAsia" w:ascii="仿宋_GB2312" w:hAnsi="仿宋_GB2312" w:eastAsia="仿宋_GB2312" w:cs="仿宋_GB2312"/>
                <w:color w:val="auto"/>
                <w:sz w:val="28"/>
                <w:szCs w:val="28"/>
              </w:rPr>
            </w:pPr>
          </w:p>
        </w:tc>
        <w:tc>
          <w:tcPr>
            <w:tcW w:w="1375" w:type="dxa"/>
            <w:vAlign w:val="center"/>
          </w:tcPr>
          <w:p w14:paraId="6DB545E8">
            <w:pPr>
              <w:spacing w:line="440" w:lineRule="exact"/>
              <w:rPr>
                <w:rFonts w:hint="eastAsia" w:ascii="仿宋_GB2312" w:hAnsi="仿宋_GB2312" w:eastAsia="仿宋_GB2312" w:cs="仿宋_GB2312"/>
                <w:color w:val="auto"/>
                <w:sz w:val="28"/>
                <w:szCs w:val="28"/>
              </w:rPr>
            </w:pPr>
          </w:p>
        </w:tc>
        <w:tc>
          <w:tcPr>
            <w:tcW w:w="2350" w:type="dxa"/>
            <w:vAlign w:val="center"/>
          </w:tcPr>
          <w:p w14:paraId="7F3BED30">
            <w:pPr>
              <w:spacing w:line="440" w:lineRule="exact"/>
              <w:rPr>
                <w:rFonts w:hint="eastAsia" w:ascii="仿宋_GB2312" w:hAnsi="仿宋_GB2312" w:eastAsia="仿宋_GB2312" w:cs="仿宋_GB2312"/>
                <w:color w:val="auto"/>
                <w:sz w:val="28"/>
                <w:szCs w:val="28"/>
              </w:rPr>
            </w:pPr>
          </w:p>
        </w:tc>
      </w:tr>
      <w:tr w14:paraId="5F2D2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90" w:type="dxa"/>
            <w:vAlign w:val="center"/>
          </w:tcPr>
          <w:p w14:paraId="150A05D1">
            <w:pPr>
              <w:spacing w:line="440" w:lineRule="exact"/>
              <w:rPr>
                <w:rFonts w:hint="eastAsia" w:ascii="仿宋_GB2312" w:hAnsi="仿宋_GB2312" w:eastAsia="仿宋_GB2312" w:cs="仿宋_GB2312"/>
                <w:color w:val="auto"/>
                <w:sz w:val="28"/>
                <w:szCs w:val="28"/>
              </w:rPr>
            </w:pPr>
          </w:p>
        </w:tc>
        <w:tc>
          <w:tcPr>
            <w:tcW w:w="1423" w:type="dxa"/>
            <w:vAlign w:val="center"/>
          </w:tcPr>
          <w:p w14:paraId="27B608F8">
            <w:pPr>
              <w:spacing w:line="440" w:lineRule="exact"/>
              <w:rPr>
                <w:rFonts w:hint="eastAsia" w:ascii="仿宋_GB2312" w:hAnsi="仿宋_GB2312" w:eastAsia="仿宋_GB2312" w:cs="仿宋_GB2312"/>
                <w:color w:val="auto"/>
                <w:sz w:val="28"/>
                <w:szCs w:val="28"/>
              </w:rPr>
            </w:pPr>
          </w:p>
        </w:tc>
        <w:tc>
          <w:tcPr>
            <w:tcW w:w="2599" w:type="dxa"/>
            <w:vAlign w:val="center"/>
          </w:tcPr>
          <w:p w14:paraId="5240499C">
            <w:pPr>
              <w:spacing w:line="440" w:lineRule="exact"/>
              <w:rPr>
                <w:rFonts w:hint="eastAsia" w:ascii="仿宋_GB2312" w:hAnsi="仿宋_GB2312" w:eastAsia="仿宋_GB2312" w:cs="仿宋_GB2312"/>
                <w:color w:val="auto"/>
                <w:sz w:val="28"/>
                <w:szCs w:val="28"/>
              </w:rPr>
            </w:pPr>
          </w:p>
        </w:tc>
        <w:tc>
          <w:tcPr>
            <w:tcW w:w="1375" w:type="dxa"/>
            <w:vAlign w:val="center"/>
          </w:tcPr>
          <w:p w14:paraId="45A1D15F">
            <w:pPr>
              <w:spacing w:line="440" w:lineRule="exact"/>
              <w:rPr>
                <w:rFonts w:hint="eastAsia" w:ascii="仿宋_GB2312" w:hAnsi="仿宋_GB2312" w:eastAsia="仿宋_GB2312" w:cs="仿宋_GB2312"/>
                <w:color w:val="auto"/>
                <w:sz w:val="28"/>
                <w:szCs w:val="28"/>
              </w:rPr>
            </w:pPr>
          </w:p>
        </w:tc>
        <w:tc>
          <w:tcPr>
            <w:tcW w:w="2350" w:type="dxa"/>
            <w:vAlign w:val="center"/>
          </w:tcPr>
          <w:p w14:paraId="261AFD5E">
            <w:pPr>
              <w:spacing w:line="440" w:lineRule="exact"/>
              <w:rPr>
                <w:rFonts w:hint="eastAsia" w:ascii="仿宋_GB2312" w:hAnsi="仿宋_GB2312" w:eastAsia="仿宋_GB2312" w:cs="仿宋_GB2312"/>
                <w:color w:val="auto"/>
                <w:sz w:val="28"/>
                <w:szCs w:val="28"/>
              </w:rPr>
            </w:pPr>
          </w:p>
        </w:tc>
      </w:tr>
      <w:tr w14:paraId="7798D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90" w:type="dxa"/>
            <w:vAlign w:val="center"/>
          </w:tcPr>
          <w:p w14:paraId="027185E1">
            <w:pPr>
              <w:spacing w:line="440" w:lineRule="exact"/>
              <w:rPr>
                <w:rFonts w:hint="eastAsia" w:ascii="仿宋_GB2312" w:hAnsi="仿宋_GB2312" w:eastAsia="仿宋_GB2312" w:cs="仿宋_GB2312"/>
                <w:color w:val="auto"/>
                <w:sz w:val="28"/>
                <w:szCs w:val="28"/>
              </w:rPr>
            </w:pPr>
          </w:p>
        </w:tc>
        <w:tc>
          <w:tcPr>
            <w:tcW w:w="1423" w:type="dxa"/>
            <w:vAlign w:val="center"/>
          </w:tcPr>
          <w:p w14:paraId="5AF7F78C">
            <w:pPr>
              <w:spacing w:line="440" w:lineRule="exact"/>
              <w:rPr>
                <w:rFonts w:hint="eastAsia" w:ascii="仿宋_GB2312" w:hAnsi="仿宋_GB2312" w:eastAsia="仿宋_GB2312" w:cs="仿宋_GB2312"/>
                <w:color w:val="auto"/>
                <w:sz w:val="28"/>
                <w:szCs w:val="28"/>
              </w:rPr>
            </w:pPr>
          </w:p>
        </w:tc>
        <w:tc>
          <w:tcPr>
            <w:tcW w:w="2599" w:type="dxa"/>
            <w:vAlign w:val="center"/>
          </w:tcPr>
          <w:p w14:paraId="0FD28181">
            <w:pPr>
              <w:spacing w:line="440" w:lineRule="exact"/>
              <w:rPr>
                <w:rFonts w:hint="eastAsia" w:ascii="仿宋_GB2312" w:hAnsi="仿宋_GB2312" w:eastAsia="仿宋_GB2312" w:cs="仿宋_GB2312"/>
                <w:color w:val="auto"/>
                <w:sz w:val="28"/>
                <w:szCs w:val="28"/>
              </w:rPr>
            </w:pPr>
          </w:p>
        </w:tc>
        <w:tc>
          <w:tcPr>
            <w:tcW w:w="1375" w:type="dxa"/>
            <w:vAlign w:val="center"/>
          </w:tcPr>
          <w:p w14:paraId="10EC8359">
            <w:pPr>
              <w:spacing w:line="440" w:lineRule="exact"/>
              <w:rPr>
                <w:rFonts w:hint="eastAsia" w:ascii="仿宋_GB2312" w:hAnsi="仿宋_GB2312" w:eastAsia="仿宋_GB2312" w:cs="仿宋_GB2312"/>
                <w:color w:val="auto"/>
                <w:sz w:val="28"/>
                <w:szCs w:val="28"/>
              </w:rPr>
            </w:pPr>
          </w:p>
        </w:tc>
        <w:tc>
          <w:tcPr>
            <w:tcW w:w="2350" w:type="dxa"/>
            <w:vAlign w:val="center"/>
          </w:tcPr>
          <w:p w14:paraId="5418C0FF">
            <w:pPr>
              <w:spacing w:line="440" w:lineRule="exact"/>
              <w:rPr>
                <w:rFonts w:hint="eastAsia" w:ascii="仿宋_GB2312" w:hAnsi="仿宋_GB2312" w:eastAsia="仿宋_GB2312" w:cs="仿宋_GB2312"/>
                <w:color w:val="auto"/>
                <w:sz w:val="28"/>
                <w:szCs w:val="28"/>
              </w:rPr>
            </w:pPr>
          </w:p>
        </w:tc>
      </w:tr>
      <w:tr w14:paraId="523B2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90" w:type="dxa"/>
            <w:vAlign w:val="center"/>
          </w:tcPr>
          <w:p w14:paraId="66696FA7">
            <w:pPr>
              <w:spacing w:line="440" w:lineRule="exact"/>
              <w:rPr>
                <w:rFonts w:hint="eastAsia" w:ascii="仿宋_GB2312" w:hAnsi="仿宋_GB2312" w:eastAsia="仿宋_GB2312" w:cs="仿宋_GB2312"/>
                <w:color w:val="auto"/>
                <w:sz w:val="28"/>
                <w:szCs w:val="28"/>
              </w:rPr>
            </w:pPr>
          </w:p>
        </w:tc>
        <w:tc>
          <w:tcPr>
            <w:tcW w:w="1423" w:type="dxa"/>
            <w:vAlign w:val="center"/>
          </w:tcPr>
          <w:p w14:paraId="4D25D219">
            <w:pPr>
              <w:spacing w:line="440" w:lineRule="exact"/>
              <w:rPr>
                <w:rFonts w:hint="eastAsia" w:ascii="仿宋_GB2312" w:hAnsi="仿宋_GB2312" w:eastAsia="仿宋_GB2312" w:cs="仿宋_GB2312"/>
                <w:color w:val="auto"/>
                <w:sz w:val="28"/>
                <w:szCs w:val="28"/>
              </w:rPr>
            </w:pPr>
          </w:p>
        </w:tc>
        <w:tc>
          <w:tcPr>
            <w:tcW w:w="2599" w:type="dxa"/>
            <w:vAlign w:val="center"/>
          </w:tcPr>
          <w:p w14:paraId="04F02A50">
            <w:pPr>
              <w:spacing w:line="440" w:lineRule="exact"/>
              <w:rPr>
                <w:rFonts w:hint="eastAsia" w:ascii="仿宋_GB2312" w:hAnsi="仿宋_GB2312" w:eastAsia="仿宋_GB2312" w:cs="仿宋_GB2312"/>
                <w:color w:val="auto"/>
                <w:sz w:val="28"/>
                <w:szCs w:val="28"/>
              </w:rPr>
            </w:pPr>
          </w:p>
        </w:tc>
        <w:tc>
          <w:tcPr>
            <w:tcW w:w="1375" w:type="dxa"/>
            <w:vAlign w:val="center"/>
          </w:tcPr>
          <w:p w14:paraId="237EEB73">
            <w:pPr>
              <w:spacing w:line="440" w:lineRule="exact"/>
              <w:rPr>
                <w:rFonts w:hint="eastAsia" w:ascii="仿宋_GB2312" w:hAnsi="仿宋_GB2312" w:eastAsia="仿宋_GB2312" w:cs="仿宋_GB2312"/>
                <w:color w:val="auto"/>
                <w:sz w:val="28"/>
                <w:szCs w:val="28"/>
              </w:rPr>
            </w:pPr>
          </w:p>
        </w:tc>
        <w:tc>
          <w:tcPr>
            <w:tcW w:w="2350" w:type="dxa"/>
            <w:vAlign w:val="center"/>
          </w:tcPr>
          <w:p w14:paraId="425B7E5A">
            <w:pPr>
              <w:spacing w:line="440" w:lineRule="exact"/>
              <w:rPr>
                <w:rFonts w:hint="eastAsia" w:ascii="仿宋_GB2312" w:hAnsi="仿宋_GB2312" w:eastAsia="仿宋_GB2312" w:cs="仿宋_GB2312"/>
                <w:color w:val="auto"/>
                <w:sz w:val="28"/>
                <w:szCs w:val="28"/>
              </w:rPr>
            </w:pPr>
          </w:p>
        </w:tc>
      </w:tr>
      <w:tr w14:paraId="38460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890" w:type="dxa"/>
            <w:vAlign w:val="center"/>
          </w:tcPr>
          <w:p w14:paraId="0F78F81B">
            <w:pPr>
              <w:spacing w:line="44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tc>
        <w:tc>
          <w:tcPr>
            <w:tcW w:w="1423" w:type="dxa"/>
            <w:vAlign w:val="center"/>
          </w:tcPr>
          <w:p w14:paraId="68E9E8C9">
            <w:pPr>
              <w:spacing w:line="440" w:lineRule="exact"/>
              <w:rPr>
                <w:rFonts w:hint="eastAsia" w:ascii="仿宋_GB2312" w:hAnsi="仿宋_GB2312" w:eastAsia="仿宋_GB2312" w:cs="仿宋_GB2312"/>
                <w:color w:val="auto"/>
                <w:sz w:val="28"/>
                <w:szCs w:val="28"/>
              </w:rPr>
            </w:pPr>
          </w:p>
        </w:tc>
        <w:tc>
          <w:tcPr>
            <w:tcW w:w="2599" w:type="dxa"/>
            <w:vAlign w:val="center"/>
          </w:tcPr>
          <w:p w14:paraId="541E24F7">
            <w:pPr>
              <w:spacing w:line="440" w:lineRule="exact"/>
              <w:rPr>
                <w:rFonts w:hint="eastAsia" w:ascii="仿宋_GB2312" w:hAnsi="仿宋_GB2312" w:eastAsia="仿宋_GB2312" w:cs="仿宋_GB2312"/>
                <w:color w:val="auto"/>
                <w:sz w:val="28"/>
                <w:szCs w:val="28"/>
              </w:rPr>
            </w:pPr>
          </w:p>
        </w:tc>
        <w:tc>
          <w:tcPr>
            <w:tcW w:w="1375" w:type="dxa"/>
            <w:vAlign w:val="center"/>
          </w:tcPr>
          <w:p w14:paraId="50BBF55D">
            <w:pPr>
              <w:spacing w:line="440" w:lineRule="exact"/>
              <w:rPr>
                <w:rFonts w:hint="eastAsia" w:ascii="仿宋_GB2312" w:hAnsi="仿宋_GB2312" w:eastAsia="仿宋_GB2312" w:cs="仿宋_GB2312"/>
                <w:color w:val="auto"/>
                <w:sz w:val="28"/>
                <w:szCs w:val="28"/>
              </w:rPr>
            </w:pPr>
          </w:p>
        </w:tc>
        <w:tc>
          <w:tcPr>
            <w:tcW w:w="2350" w:type="dxa"/>
            <w:vAlign w:val="center"/>
          </w:tcPr>
          <w:p w14:paraId="313C7549">
            <w:pPr>
              <w:spacing w:line="440" w:lineRule="exact"/>
              <w:rPr>
                <w:rFonts w:hint="eastAsia" w:ascii="仿宋_GB2312" w:hAnsi="仿宋_GB2312" w:eastAsia="仿宋_GB2312" w:cs="仿宋_GB2312"/>
                <w:color w:val="auto"/>
                <w:sz w:val="28"/>
                <w:szCs w:val="28"/>
              </w:rPr>
            </w:pPr>
          </w:p>
        </w:tc>
      </w:tr>
    </w:tbl>
    <w:p w14:paraId="78E7885B">
      <w:pPr>
        <w:keepNext w:val="0"/>
        <w:keepLines w:val="0"/>
        <w:pageBreakBefore w:val="0"/>
        <w:widowControl/>
        <w:tabs>
          <w:tab w:val="right" w:pos="9070"/>
        </w:tabs>
        <w:kinsoku/>
        <w:wordWrap/>
        <w:overflowPunct/>
        <w:topLinePunct w:val="0"/>
        <w:autoSpaceDE/>
        <w:autoSpaceDN/>
        <w:bidi w:val="0"/>
        <w:adjustRightInd/>
        <w:snapToGrid/>
        <w:spacing w:line="240" w:lineRule="auto"/>
        <w:ind w:firstLine="504" w:firstLineChars="200"/>
        <w:textAlignment w:val="auto"/>
        <w:rPr>
          <w:rFonts w:hint="eastAsia" w:ascii="仿宋_GB2312" w:hAnsi="仿宋_GB2312" w:eastAsia="仿宋_GB2312" w:cs="仿宋_GB2312"/>
          <w:color w:val="auto"/>
          <w:sz w:val="24"/>
          <w:szCs w:val="24"/>
          <w:lang w:eastAsia="zh-CN"/>
        </w:rPr>
      </w:pPr>
      <w:bookmarkStart w:id="395" w:name="_Toc9021_WPSOffice_Level1"/>
      <w:bookmarkStart w:id="396" w:name="_Toc31624_WPSOffice_Level1"/>
      <w:bookmarkStart w:id="397" w:name="_Toc5795_WPSOffice_Level1"/>
      <w:r>
        <w:rPr>
          <w:rFonts w:hint="eastAsia" w:ascii="仿宋_GB2312" w:hAnsi="仿宋_GB2312" w:eastAsia="仿宋_GB2312" w:cs="仿宋_GB2312"/>
          <w:color w:val="auto"/>
          <w:sz w:val="24"/>
          <w:szCs w:val="24"/>
        </w:rPr>
        <w:t>备注：填写此表时以第三章“磋商内容及采购要求”各条款为基本响应要求，满足磋商文件要求的，“偏离程度”注明“0”，无需填写“偏离简述”项。超出、不满足磋商文件要求的，列出“</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”偏差，并在“偏离简述”项做出详细说明；如果加“★”内容的“响应条款”</w:t>
      </w:r>
      <w:r>
        <w:rPr>
          <w:rFonts w:hint="eastAsia" w:ascii="仿宋_GB2312" w:hAnsi="仿宋_GB2312" w:eastAsia="仿宋_GB2312" w:cs="仿宋_GB2312"/>
          <w:color w:val="auto"/>
          <w:sz w:val="24"/>
          <w:szCs w:val="24"/>
          <w:lang w:val="en-US" w:eastAsia="zh-CN"/>
        </w:rPr>
        <w:t>或</w:t>
      </w:r>
      <w:r>
        <w:rPr>
          <w:rFonts w:hint="eastAsia" w:ascii="仿宋_GB2312" w:hAnsi="仿宋_GB2312" w:eastAsia="仿宋_GB2312" w:cs="仿宋_GB2312"/>
          <w:color w:val="auto"/>
          <w:sz w:val="24"/>
          <w:szCs w:val="24"/>
        </w:rPr>
        <w:t>“偏离程度”项未填写，将视为该项指标未响应，投标无效</w:t>
      </w:r>
      <w:r>
        <w:rPr>
          <w:rFonts w:hint="eastAsia" w:ascii="仿宋_GB2312" w:hAnsi="仿宋_GB2312" w:eastAsia="仿宋_GB2312" w:cs="仿宋_GB2312"/>
          <w:color w:val="auto"/>
          <w:sz w:val="24"/>
          <w:szCs w:val="24"/>
          <w:lang w:eastAsia="zh-CN"/>
        </w:rPr>
        <w:t>。</w:t>
      </w:r>
    </w:p>
    <w:p w14:paraId="50BF0CFA">
      <w:pPr>
        <w:spacing w:line="240" w:lineRule="auto"/>
        <w:ind w:firstLine="444" w:firstLineChars="200"/>
        <w:rPr>
          <w:rFonts w:ascii="宋体" w:hAnsi="宋体" w:eastAsia="宋体" w:cs="宋体"/>
          <w:color w:val="auto"/>
          <w:sz w:val="21"/>
          <w:szCs w:val="21"/>
        </w:rPr>
      </w:pPr>
    </w:p>
    <w:p w14:paraId="3919BF04">
      <w:pPr>
        <w:spacing w:line="500" w:lineRule="exact"/>
        <w:ind w:firstLine="584" w:firstLineChars="200"/>
        <w:rPr>
          <w:color w:val="auto"/>
        </w:rPr>
      </w:pPr>
    </w:p>
    <w:p w14:paraId="7F136721">
      <w:pPr>
        <w:spacing w:line="500" w:lineRule="exact"/>
        <w:ind w:firstLine="5256" w:firstLineChars="1800"/>
        <w:rPr>
          <w:rFonts w:hint="eastAsia" w:ascii="仿宋_GB2312" w:hAnsi="仿宋_GB2312" w:eastAsia="仿宋_GB2312" w:cs="仿宋_GB2312"/>
          <w:color w:val="auto"/>
        </w:rPr>
      </w:pPr>
      <w:r>
        <w:rPr>
          <w:rFonts w:hint="eastAsia" w:ascii="仿宋_GB2312" w:hAnsi="仿宋_GB2312" w:eastAsia="仿宋_GB2312" w:cs="仿宋_GB2312"/>
          <w:color w:val="auto"/>
        </w:rPr>
        <w:t>供应商：</w:t>
      </w:r>
      <w:r>
        <w:rPr>
          <w:rFonts w:hint="eastAsia" w:ascii="仿宋_GB2312" w:hAnsi="仿宋_GB2312" w:eastAsia="仿宋_GB2312" w:cs="仿宋_GB2312"/>
          <w:color w:val="auto"/>
          <w:u w:val="single"/>
        </w:rPr>
        <w:t>名称</w:t>
      </w:r>
      <w:r>
        <w:rPr>
          <w:rFonts w:hint="eastAsia" w:ascii="仿宋_GB2312" w:hAnsi="仿宋_GB2312" w:eastAsia="仿宋_GB2312" w:cs="仿宋_GB2312"/>
          <w:color w:val="auto"/>
        </w:rPr>
        <w:t>（加盖公章）</w:t>
      </w:r>
    </w:p>
    <w:p w14:paraId="7F9997BA">
      <w:pPr>
        <w:tabs>
          <w:tab w:val="right" w:pos="9070"/>
        </w:tabs>
        <w:spacing w:line="500" w:lineRule="exact"/>
        <w:ind w:firstLine="5256" w:firstLineChars="1800"/>
        <w:rPr>
          <w:rFonts w:hint="eastAsia" w:ascii="仿宋_GB2312" w:hAnsi="仿宋_GB2312" w:eastAsia="仿宋_GB2312" w:cs="仿宋_GB2312"/>
          <w:bCs/>
          <w:color w:val="auto"/>
        </w:rPr>
      </w:pPr>
      <w:r>
        <w:rPr>
          <w:rFonts w:hint="eastAsia" w:ascii="仿宋_GB2312" w:hAnsi="仿宋_GB2312" w:eastAsia="仿宋_GB2312" w:cs="仿宋_GB2312"/>
          <w:color w:val="auto"/>
        </w:rPr>
        <w:t>日期：　　年　月　日</w:t>
      </w:r>
      <w:r>
        <w:rPr>
          <w:rFonts w:hint="eastAsia" w:ascii="仿宋_GB2312" w:hAnsi="仿宋_GB2312" w:eastAsia="仿宋_GB2312" w:cs="仿宋_GB2312"/>
          <w:bCs/>
          <w:color w:val="auto"/>
        </w:rPr>
        <w:tab/>
      </w:r>
    </w:p>
    <w:p w14:paraId="50D3AAA4">
      <w:pPr>
        <w:tabs>
          <w:tab w:val="right" w:pos="9070"/>
        </w:tabs>
        <w:spacing w:line="500" w:lineRule="exact"/>
        <w:ind w:firstLine="584" w:firstLineChars="200"/>
        <w:rPr>
          <w:rFonts w:ascii="仿宋" w:hAnsi="仿宋" w:eastAsia="仿宋"/>
          <w:bCs/>
          <w:color w:val="auto"/>
        </w:rPr>
      </w:pPr>
    </w:p>
    <w:p w14:paraId="2C5D665B">
      <w:pPr>
        <w:spacing w:line="240" w:lineRule="auto"/>
        <w:jc w:val="left"/>
        <w:rPr>
          <w:rFonts w:ascii="仿宋" w:hAnsi="仿宋" w:eastAsia="仿宋" w:cs="仿宋"/>
          <w:b/>
          <w:color w:val="auto"/>
          <w:sz w:val="32"/>
          <w:szCs w:val="32"/>
        </w:rPr>
      </w:pPr>
    </w:p>
    <w:p w14:paraId="66F24A19">
      <w:pPr>
        <w:spacing w:line="240" w:lineRule="auto"/>
        <w:jc w:val="left"/>
        <w:rPr>
          <w:rFonts w:ascii="仿宋" w:hAnsi="仿宋" w:eastAsia="仿宋" w:cs="仿宋"/>
          <w:b/>
          <w:color w:val="auto"/>
          <w:sz w:val="32"/>
          <w:szCs w:val="32"/>
        </w:rPr>
      </w:pPr>
    </w:p>
    <w:p w14:paraId="5BDDBAB2">
      <w:pPr>
        <w:spacing w:line="240" w:lineRule="auto"/>
        <w:jc w:val="left"/>
        <w:rPr>
          <w:rFonts w:ascii="仿宋" w:hAnsi="仿宋" w:eastAsia="仿宋" w:cs="仿宋"/>
          <w:b/>
          <w:color w:val="auto"/>
          <w:sz w:val="32"/>
          <w:szCs w:val="32"/>
        </w:rPr>
      </w:pPr>
    </w:p>
    <w:p w14:paraId="73D605F3">
      <w:pPr>
        <w:spacing w:line="240" w:lineRule="auto"/>
        <w:jc w:val="left"/>
        <w:rPr>
          <w:rFonts w:ascii="仿宋" w:hAnsi="仿宋" w:eastAsia="仿宋" w:cs="仿宋"/>
          <w:b/>
          <w:color w:val="auto"/>
          <w:sz w:val="32"/>
          <w:szCs w:val="32"/>
        </w:rPr>
      </w:pPr>
    </w:p>
    <w:p w14:paraId="1C6E85C2">
      <w:pPr>
        <w:rPr>
          <w:color w:val="auto"/>
        </w:rPr>
      </w:pPr>
      <w:r>
        <w:rPr>
          <w:rFonts w:ascii="仿宋" w:hAnsi="仿宋" w:eastAsia="仿宋" w:cs="仿宋"/>
          <w:b/>
          <w:color w:val="auto"/>
          <w:sz w:val="32"/>
          <w:szCs w:val="32"/>
        </w:rPr>
        <w:br w:type="page"/>
      </w:r>
    </w:p>
    <w:p w14:paraId="5E34CF6D">
      <w:pPr>
        <w:spacing w:line="240" w:lineRule="auto"/>
        <w:jc w:val="left"/>
        <w:rPr>
          <w:rFonts w:hint="eastAsia" w:ascii="仿宋_GB2312" w:hAnsi="仿宋_GB2312" w:eastAsia="仿宋_GB2312" w:cs="仿宋_GB2312"/>
          <w:bCs/>
          <w:color w:val="auto"/>
          <w:sz w:val="28"/>
          <w:szCs w:val="28"/>
        </w:rPr>
      </w:pPr>
      <w:r>
        <w:rPr>
          <w:rFonts w:hint="eastAsia" w:ascii="仿宋_GB2312" w:hAnsi="仿宋_GB2312" w:eastAsia="仿宋_GB2312" w:cs="仿宋_GB2312"/>
          <w:b/>
          <w:color w:val="auto"/>
          <w:sz w:val="28"/>
          <w:szCs w:val="28"/>
          <w:lang w:val="en-US" w:eastAsia="zh-CN"/>
        </w:rPr>
        <w:t>五</w:t>
      </w:r>
      <w:r>
        <w:rPr>
          <w:rFonts w:hint="eastAsia" w:ascii="仿宋_GB2312" w:hAnsi="仿宋_GB2312" w:eastAsia="仿宋_GB2312" w:cs="仿宋_GB2312"/>
          <w:b/>
          <w:color w:val="auto"/>
          <w:sz w:val="28"/>
          <w:szCs w:val="28"/>
        </w:rPr>
        <w:t>、合同</w:t>
      </w:r>
      <w:r>
        <w:rPr>
          <w:rFonts w:hint="eastAsia" w:ascii="仿宋_GB2312" w:hAnsi="仿宋_GB2312" w:eastAsia="仿宋_GB2312" w:cs="仿宋_GB2312"/>
          <w:b/>
          <w:color w:val="auto"/>
          <w:sz w:val="28"/>
          <w:szCs w:val="28"/>
          <w:lang w:val="en-US" w:eastAsia="zh-CN"/>
        </w:rPr>
        <w:t>草案</w:t>
      </w:r>
      <w:r>
        <w:rPr>
          <w:rFonts w:hint="eastAsia" w:ascii="仿宋_GB2312" w:hAnsi="仿宋_GB2312" w:eastAsia="仿宋_GB2312" w:cs="仿宋_GB2312"/>
          <w:b/>
          <w:color w:val="auto"/>
          <w:sz w:val="28"/>
          <w:szCs w:val="28"/>
        </w:rPr>
        <w:t>条款响应</w:t>
      </w:r>
    </w:p>
    <w:p w14:paraId="2580E939">
      <w:pPr>
        <w:spacing w:line="500" w:lineRule="exact"/>
        <w:ind w:firstLine="584"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完全理解并接受磋商文件中“合同</w:t>
      </w:r>
      <w:r>
        <w:rPr>
          <w:rFonts w:hint="eastAsia" w:ascii="仿宋_GB2312" w:hAnsi="仿宋_GB2312" w:eastAsia="仿宋_GB2312" w:cs="仿宋_GB2312"/>
          <w:bCs/>
          <w:color w:val="auto"/>
          <w:sz w:val="28"/>
          <w:szCs w:val="28"/>
          <w:lang w:val="en-US" w:eastAsia="zh-CN"/>
        </w:rPr>
        <w:t>草案</w:t>
      </w:r>
      <w:r>
        <w:rPr>
          <w:rFonts w:hint="eastAsia" w:ascii="仿宋_GB2312" w:hAnsi="仿宋_GB2312" w:eastAsia="仿宋_GB2312" w:cs="仿宋_GB2312"/>
          <w:bCs/>
          <w:color w:val="auto"/>
          <w:sz w:val="28"/>
          <w:szCs w:val="28"/>
        </w:rPr>
        <w:t>条款”要求。</w:t>
      </w:r>
    </w:p>
    <w:p w14:paraId="5A1C4843">
      <w:pPr>
        <w:pStyle w:val="19"/>
        <w:ind w:firstLine="183"/>
        <w:rPr>
          <w:rFonts w:hint="eastAsia" w:ascii="仿宋_GB2312" w:hAnsi="仿宋_GB2312" w:eastAsia="仿宋_GB2312" w:cs="仿宋_GB2312"/>
          <w:color w:val="auto"/>
          <w:sz w:val="28"/>
          <w:szCs w:val="28"/>
        </w:rPr>
      </w:pPr>
    </w:p>
    <w:p w14:paraId="3F0B55CD">
      <w:pPr>
        <w:pStyle w:val="19"/>
        <w:ind w:firstLine="183"/>
        <w:rPr>
          <w:rFonts w:hint="eastAsia" w:ascii="仿宋_GB2312" w:hAnsi="仿宋_GB2312" w:eastAsia="仿宋_GB2312" w:cs="仿宋_GB2312"/>
          <w:color w:val="auto"/>
          <w:sz w:val="28"/>
          <w:szCs w:val="28"/>
        </w:rPr>
      </w:pPr>
    </w:p>
    <w:p w14:paraId="61C4FE64">
      <w:pPr>
        <w:pStyle w:val="19"/>
        <w:ind w:firstLine="183"/>
        <w:jc w:val="right"/>
        <w:rPr>
          <w:rFonts w:hint="eastAsia" w:ascii="仿宋_GB2312" w:hAnsi="仿宋_GB2312" w:eastAsia="仿宋_GB2312" w:cs="仿宋_GB2312"/>
          <w:color w:val="auto"/>
          <w:sz w:val="28"/>
          <w:szCs w:val="28"/>
        </w:rPr>
      </w:pPr>
    </w:p>
    <w:p w14:paraId="71C94C0B">
      <w:pPr>
        <w:spacing w:line="500" w:lineRule="exact"/>
        <w:jc w:val="righ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供应商：</w:t>
      </w:r>
      <w:r>
        <w:rPr>
          <w:rFonts w:hint="eastAsia" w:ascii="仿宋_GB2312" w:hAnsi="仿宋_GB2312" w:eastAsia="仿宋_GB2312" w:cs="仿宋_GB2312"/>
          <w:color w:val="auto"/>
          <w:sz w:val="28"/>
          <w:szCs w:val="28"/>
          <w:u w:val="single"/>
        </w:rPr>
        <w:t>名称</w:t>
      </w:r>
      <w:r>
        <w:rPr>
          <w:rFonts w:hint="eastAsia" w:ascii="仿宋_GB2312" w:hAnsi="仿宋_GB2312" w:eastAsia="仿宋_GB2312" w:cs="仿宋_GB2312"/>
          <w:color w:val="auto"/>
          <w:sz w:val="28"/>
          <w:szCs w:val="28"/>
        </w:rPr>
        <w:t>（加盖公章）</w:t>
      </w:r>
    </w:p>
    <w:p w14:paraId="61109668">
      <w:pPr>
        <w:tabs>
          <w:tab w:val="right" w:pos="9070"/>
        </w:tabs>
        <w:wordWrap w:val="0"/>
        <w:spacing w:line="500" w:lineRule="exact"/>
        <w:jc w:val="right"/>
        <w:rPr>
          <w:rFonts w:hint="default" w:ascii="仿宋_GB2312" w:hAnsi="仿宋_GB2312" w:eastAsia="仿宋_GB2312" w:cs="仿宋_GB2312"/>
          <w:bCs/>
          <w:color w:val="auto"/>
          <w:sz w:val="28"/>
          <w:szCs w:val="28"/>
          <w:lang w:val="en-US" w:eastAsia="zh-CN"/>
        </w:rPr>
      </w:pPr>
      <w:r>
        <w:rPr>
          <w:rFonts w:hint="eastAsia" w:ascii="仿宋_GB2312" w:hAnsi="仿宋_GB2312" w:eastAsia="仿宋_GB2312" w:cs="仿宋_GB2312"/>
          <w:color w:val="auto"/>
          <w:sz w:val="28"/>
          <w:szCs w:val="28"/>
        </w:rPr>
        <w:t>日期：　　年　月　日</w:t>
      </w:r>
      <w:r>
        <w:rPr>
          <w:rFonts w:hint="eastAsia" w:ascii="仿宋_GB2312" w:hAnsi="仿宋_GB2312" w:eastAsia="仿宋_GB2312" w:cs="仿宋_GB2312"/>
          <w:color w:val="auto"/>
          <w:sz w:val="28"/>
          <w:szCs w:val="28"/>
          <w:lang w:val="en-US" w:eastAsia="zh-CN"/>
        </w:rPr>
        <w:t xml:space="preserve">  </w:t>
      </w:r>
    </w:p>
    <w:p w14:paraId="35B37B6B">
      <w:pPr>
        <w:pStyle w:val="19"/>
        <w:ind w:firstLine="183"/>
        <w:rPr>
          <w:color w:val="auto"/>
        </w:rPr>
      </w:pPr>
    </w:p>
    <w:p w14:paraId="433B083A">
      <w:pPr>
        <w:pStyle w:val="19"/>
        <w:ind w:firstLine="183"/>
        <w:rPr>
          <w:color w:val="auto"/>
        </w:rPr>
      </w:pPr>
    </w:p>
    <w:p w14:paraId="643A59F9">
      <w:pPr>
        <w:pStyle w:val="19"/>
        <w:ind w:firstLine="183"/>
        <w:rPr>
          <w:color w:val="auto"/>
        </w:rPr>
      </w:pPr>
    </w:p>
    <w:p w14:paraId="632CB890">
      <w:pPr>
        <w:pStyle w:val="19"/>
        <w:ind w:firstLine="183"/>
        <w:rPr>
          <w:color w:val="auto"/>
        </w:rPr>
      </w:pPr>
    </w:p>
    <w:p w14:paraId="58F27B3C">
      <w:pPr>
        <w:pStyle w:val="19"/>
        <w:ind w:firstLine="183"/>
        <w:rPr>
          <w:color w:val="auto"/>
        </w:rPr>
      </w:pPr>
    </w:p>
    <w:p w14:paraId="2B021910">
      <w:pPr>
        <w:pStyle w:val="19"/>
        <w:ind w:firstLine="183"/>
        <w:rPr>
          <w:color w:val="auto"/>
        </w:rPr>
      </w:pPr>
    </w:p>
    <w:p w14:paraId="70A57D3A">
      <w:pPr>
        <w:pStyle w:val="19"/>
        <w:ind w:firstLine="183"/>
        <w:rPr>
          <w:color w:val="auto"/>
        </w:rPr>
      </w:pPr>
    </w:p>
    <w:p w14:paraId="5E59259B">
      <w:pPr>
        <w:pStyle w:val="19"/>
        <w:ind w:firstLine="183"/>
        <w:rPr>
          <w:color w:val="auto"/>
        </w:rPr>
      </w:pPr>
    </w:p>
    <w:p w14:paraId="5E3E4667">
      <w:pPr>
        <w:pStyle w:val="19"/>
        <w:ind w:firstLine="183"/>
        <w:rPr>
          <w:color w:val="auto"/>
        </w:rPr>
      </w:pPr>
    </w:p>
    <w:p w14:paraId="319D2752">
      <w:pPr>
        <w:pStyle w:val="19"/>
        <w:ind w:firstLine="183"/>
        <w:rPr>
          <w:color w:val="auto"/>
        </w:rPr>
      </w:pPr>
    </w:p>
    <w:p w14:paraId="35699BA2">
      <w:pPr>
        <w:pStyle w:val="19"/>
        <w:ind w:firstLine="183"/>
        <w:rPr>
          <w:color w:val="auto"/>
        </w:rPr>
      </w:pPr>
    </w:p>
    <w:p w14:paraId="1D7140E6">
      <w:pPr>
        <w:pStyle w:val="19"/>
        <w:ind w:firstLine="183"/>
        <w:rPr>
          <w:color w:val="auto"/>
        </w:rPr>
      </w:pPr>
    </w:p>
    <w:p w14:paraId="683BB2C6">
      <w:pPr>
        <w:pStyle w:val="19"/>
        <w:ind w:firstLine="183"/>
        <w:rPr>
          <w:color w:val="auto"/>
        </w:rPr>
      </w:pPr>
    </w:p>
    <w:p w14:paraId="5C90CAD0">
      <w:pPr>
        <w:pStyle w:val="19"/>
        <w:ind w:firstLine="183"/>
        <w:rPr>
          <w:color w:val="auto"/>
        </w:rPr>
      </w:pPr>
    </w:p>
    <w:p w14:paraId="0228D791">
      <w:pPr>
        <w:pStyle w:val="19"/>
        <w:ind w:firstLine="183"/>
        <w:rPr>
          <w:color w:val="auto"/>
        </w:rPr>
      </w:pPr>
    </w:p>
    <w:p w14:paraId="5F2D8EF9">
      <w:pPr>
        <w:pStyle w:val="19"/>
        <w:ind w:firstLine="183"/>
        <w:rPr>
          <w:color w:val="auto"/>
        </w:rPr>
      </w:pPr>
    </w:p>
    <w:p w14:paraId="20FD4A2A">
      <w:pPr>
        <w:pStyle w:val="19"/>
        <w:ind w:firstLine="183"/>
        <w:rPr>
          <w:color w:val="auto"/>
        </w:rPr>
      </w:pPr>
    </w:p>
    <w:p w14:paraId="7240077F">
      <w:pPr>
        <w:pStyle w:val="19"/>
        <w:ind w:firstLine="183"/>
        <w:rPr>
          <w:color w:val="auto"/>
        </w:rPr>
      </w:pPr>
    </w:p>
    <w:p w14:paraId="3FC8E60C">
      <w:pPr>
        <w:rPr>
          <w:color w:val="auto"/>
        </w:rPr>
      </w:pPr>
      <w:r>
        <w:rPr>
          <w:color w:val="auto"/>
        </w:rPr>
        <w:br w:type="page"/>
      </w:r>
    </w:p>
    <w:p w14:paraId="4F0C2B51">
      <w:pPr>
        <w:pStyle w:val="43"/>
        <w:spacing w:line="500" w:lineRule="exact"/>
        <w:rPr>
          <w:rFonts w:ascii="黑体" w:hAnsi="黑体" w:eastAsia="黑体"/>
          <w:b w:val="0"/>
          <w:color w:val="auto"/>
        </w:rPr>
      </w:pPr>
      <w:bookmarkStart w:id="398" w:name="_Toc17248"/>
      <w:bookmarkStart w:id="399" w:name="_Toc28832"/>
      <w:bookmarkStart w:id="400" w:name="_Toc30940"/>
      <w:bookmarkStart w:id="401" w:name="_Toc19912"/>
      <w:r>
        <w:rPr>
          <w:rStyle w:val="44"/>
          <w:rFonts w:hint="eastAsia" w:ascii="黑体" w:hAnsi="黑体" w:eastAsia="黑体"/>
          <w:b w:val="0"/>
          <w:bCs w:val="0"/>
          <w:color w:val="auto"/>
          <w:sz w:val="32"/>
          <w:szCs w:val="40"/>
        </w:rPr>
        <w:t>第三部分  响应方案</w:t>
      </w:r>
      <w:bookmarkEnd w:id="395"/>
      <w:bookmarkEnd w:id="396"/>
      <w:bookmarkEnd w:id="397"/>
      <w:bookmarkEnd w:id="398"/>
      <w:bookmarkEnd w:id="399"/>
      <w:bookmarkEnd w:id="400"/>
      <w:bookmarkEnd w:id="401"/>
    </w:p>
    <w:p w14:paraId="2B603D16">
      <w:pPr>
        <w:pStyle w:val="43"/>
        <w:spacing w:before="190" w:beforeLines="50" w:after="190" w:afterLines="50" w:line="500" w:lineRule="exact"/>
        <w:jc w:val="both"/>
        <w:rPr>
          <w:rFonts w:hint="eastAsia" w:ascii="仿宋_GB2312" w:hAnsi="仿宋_GB2312" w:eastAsia="仿宋_GB2312" w:cs="仿宋_GB2312"/>
          <w:bCs w:val="0"/>
          <w:color w:val="auto"/>
          <w:sz w:val="28"/>
          <w:szCs w:val="28"/>
          <w:lang w:val="en-US" w:eastAsia="zh-CN"/>
        </w:rPr>
      </w:pPr>
      <w:bookmarkStart w:id="402" w:name="_Toc27817"/>
      <w:bookmarkStart w:id="403" w:name="_Toc1481"/>
      <w:bookmarkStart w:id="404" w:name="_Toc15660_WPSOffice_Level2"/>
      <w:bookmarkStart w:id="405" w:name="_Toc11555"/>
      <w:bookmarkStart w:id="406" w:name="_Toc9337_WPSOffice_Level2"/>
      <w:bookmarkStart w:id="407" w:name="_Toc17062_WPSOffice_Level2"/>
      <w:bookmarkStart w:id="408" w:name="_Toc9079"/>
      <w:bookmarkStart w:id="409" w:name="_Toc29975_WPSOffice_Level2"/>
      <w:bookmarkStart w:id="410" w:name="_Toc11401"/>
      <w:r>
        <w:rPr>
          <w:rFonts w:hint="eastAsia" w:ascii="仿宋_GB2312" w:hAnsi="仿宋_GB2312" w:eastAsia="仿宋_GB2312" w:cs="仿宋_GB2312"/>
          <w:bCs w:val="0"/>
          <w:color w:val="auto"/>
          <w:sz w:val="28"/>
          <w:szCs w:val="28"/>
        </w:rPr>
        <w:t>一、供应商</w:t>
      </w:r>
      <w:bookmarkEnd w:id="402"/>
      <w:bookmarkEnd w:id="403"/>
      <w:bookmarkEnd w:id="404"/>
      <w:bookmarkEnd w:id="405"/>
      <w:bookmarkEnd w:id="406"/>
      <w:bookmarkEnd w:id="407"/>
      <w:bookmarkEnd w:id="408"/>
      <w:bookmarkEnd w:id="409"/>
      <w:bookmarkEnd w:id="410"/>
      <w:r>
        <w:rPr>
          <w:rFonts w:hint="eastAsia" w:ascii="仿宋_GB2312" w:hAnsi="仿宋_GB2312" w:eastAsia="仿宋_GB2312" w:cs="仿宋_GB2312"/>
          <w:bCs w:val="0"/>
          <w:color w:val="auto"/>
          <w:sz w:val="28"/>
          <w:szCs w:val="28"/>
          <w:lang w:val="en-US" w:eastAsia="zh-CN"/>
        </w:rPr>
        <w:t>基本情况及其性质</w:t>
      </w:r>
    </w:p>
    <w:p w14:paraId="27CA735D">
      <w:pPr>
        <w:spacing w:line="500" w:lineRule="exact"/>
        <w:ind w:firstLine="584" w:firstLineChars="200"/>
        <w:rPr>
          <w:rFonts w:ascii="仿宋" w:hAnsi="仿宋" w:eastAsia="仿宋" w:cs="仿宋"/>
          <w:b/>
          <w:color w:val="auto"/>
          <w:sz w:val="28"/>
          <w:szCs w:val="28"/>
        </w:rPr>
      </w:pPr>
      <w:bookmarkStart w:id="411" w:name="_Toc27223_WPSOffice_Level3"/>
      <w:r>
        <w:rPr>
          <w:rFonts w:hint="eastAsia"/>
          <w:b/>
          <w:color w:val="auto"/>
          <w:sz w:val="28"/>
          <w:szCs w:val="28"/>
        </w:rPr>
        <w:t>（</w:t>
      </w:r>
      <w:r>
        <w:rPr>
          <w:b/>
          <w:color w:val="auto"/>
          <w:sz w:val="28"/>
          <w:szCs w:val="28"/>
        </w:rPr>
        <w:t>一</w:t>
      </w:r>
      <w:r>
        <w:rPr>
          <w:rFonts w:hint="eastAsia"/>
          <w:b/>
          <w:color w:val="auto"/>
          <w:sz w:val="28"/>
          <w:szCs w:val="28"/>
        </w:rPr>
        <w:t>）供应</w:t>
      </w:r>
      <w:r>
        <w:rPr>
          <w:b/>
          <w:color w:val="auto"/>
          <w:sz w:val="28"/>
          <w:szCs w:val="28"/>
        </w:rPr>
        <w:t>商基本信息</w:t>
      </w:r>
      <w:bookmarkEnd w:id="411"/>
    </w:p>
    <w:tbl>
      <w:tblPr>
        <w:tblStyle w:val="21"/>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27"/>
        <w:gridCol w:w="1112"/>
        <w:gridCol w:w="1770"/>
        <w:gridCol w:w="1318"/>
        <w:gridCol w:w="1769"/>
        <w:gridCol w:w="1398"/>
      </w:tblGrid>
      <w:tr w14:paraId="37CCFEF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7"/>
            <w:tcBorders>
              <w:top w:val="single" w:color="auto" w:sz="12" w:space="0"/>
              <w:left w:val="single" w:color="auto" w:sz="12" w:space="0"/>
              <w:bottom w:val="single" w:color="auto" w:sz="6" w:space="0"/>
              <w:right w:val="single" w:color="auto" w:sz="12" w:space="0"/>
            </w:tcBorders>
            <w:shd w:val="clear" w:color="auto" w:fill="E5B8B7"/>
            <w:vAlign w:val="center"/>
          </w:tcPr>
          <w:p w14:paraId="44CEEB3F">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单位基本情况</w:t>
            </w:r>
          </w:p>
        </w:tc>
      </w:tr>
      <w:tr w14:paraId="4AFA4F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813" w:type="dxa"/>
            <w:gridSpan w:val="2"/>
            <w:tcBorders>
              <w:top w:val="single" w:color="auto" w:sz="6" w:space="0"/>
              <w:left w:val="single" w:color="auto" w:sz="12" w:space="0"/>
              <w:bottom w:val="single" w:color="auto" w:sz="6" w:space="0"/>
            </w:tcBorders>
            <w:vAlign w:val="center"/>
          </w:tcPr>
          <w:p w14:paraId="7844FDF8">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供应商全称</w:t>
            </w:r>
          </w:p>
        </w:tc>
        <w:tc>
          <w:tcPr>
            <w:tcW w:w="7367" w:type="dxa"/>
            <w:gridSpan w:val="5"/>
            <w:tcBorders>
              <w:top w:val="single" w:color="auto" w:sz="6" w:space="0"/>
              <w:bottom w:val="single" w:color="auto" w:sz="6" w:space="0"/>
              <w:right w:val="single" w:color="auto" w:sz="12" w:space="0"/>
            </w:tcBorders>
            <w:vAlign w:val="center"/>
          </w:tcPr>
          <w:p w14:paraId="280029A2">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p>
        </w:tc>
      </w:tr>
      <w:tr w14:paraId="441BEF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813" w:type="dxa"/>
            <w:gridSpan w:val="2"/>
            <w:tcBorders>
              <w:top w:val="single" w:color="auto" w:sz="6" w:space="0"/>
              <w:left w:val="single" w:color="auto" w:sz="12" w:space="0"/>
            </w:tcBorders>
            <w:vAlign w:val="center"/>
          </w:tcPr>
          <w:p w14:paraId="3FCE1F26">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注册地址</w:t>
            </w:r>
          </w:p>
        </w:tc>
        <w:tc>
          <w:tcPr>
            <w:tcW w:w="2882" w:type="dxa"/>
            <w:gridSpan w:val="2"/>
            <w:tcBorders>
              <w:top w:val="single" w:color="auto" w:sz="6" w:space="0"/>
            </w:tcBorders>
            <w:vAlign w:val="center"/>
          </w:tcPr>
          <w:p w14:paraId="25CE64CD">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p>
        </w:tc>
        <w:tc>
          <w:tcPr>
            <w:tcW w:w="1318" w:type="dxa"/>
            <w:tcBorders>
              <w:top w:val="single" w:color="auto" w:sz="6" w:space="0"/>
            </w:tcBorders>
            <w:vAlign w:val="center"/>
          </w:tcPr>
          <w:p w14:paraId="214A503C">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成立时间</w:t>
            </w:r>
          </w:p>
        </w:tc>
        <w:tc>
          <w:tcPr>
            <w:tcW w:w="3167" w:type="dxa"/>
            <w:gridSpan w:val="2"/>
            <w:tcBorders>
              <w:top w:val="single" w:color="auto" w:sz="6" w:space="0"/>
              <w:right w:val="single" w:color="auto" w:sz="12" w:space="0"/>
            </w:tcBorders>
            <w:vAlign w:val="center"/>
          </w:tcPr>
          <w:p w14:paraId="0E94E149">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p>
        </w:tc>
      </w:tr>
      <w:tr w14:paraId="469D6A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813" w:type="dxa"/>
            <w:gridSpan w:val="2"/>
            <w:tcBorders>
              <w:left w:val="single" w:color="auto" w:sz="12" w:space="0"/>
            </w:tcBorders>
            <w:vAlign w:val="center"/>
          </w:tcPr>
          <w:p w14:paraId="6637C03C">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登记证号</w:t>
            </w:r>
          </w:p>
        </w:tc>
        <w:tc>
          <w:tcPr>
            <w:tcW w:w="2882" w:type="dxa"/>
            <w:gridSpan w:val="2"/>
            <w:vAlign w:val="center"/>
          </w:tcPr>
          <w:p w14:paraId="797064D6">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p>
        </w:tc>
        <w:tc>
          <w:tcPr>
            <w:tcW w:w="1318" w:type="dxa"/>
            <w:vAlign w:val="center"/>
          </w:tcPr>
          <w:p w14:paraId="31857127">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单位性质</w:t>
            </w:r>
          </w:p>
        </w:tc>
        <w:tc>
          <w:tcPr>
            <w:tcW w:w="3167" w:type="dxa"/>
            <w:gridSpan w:val="2"/>
            <w:tcBorders>
              <w:right w:val="single" w:color="auto" w:sz="12" w:space="0"/>
            </w:tcBorders>
            <w:vAlign w:val="center"/>
          </w:tcPr>
          <w:p w14:paraId="0D29888E">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p>
        </w:tc>
      </w:tr>
      <w:tr w14:paraId="1448EDE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813" w:type="dxa"/>
            <w:gridSpan w:val="2"/>
            <w:tcBorders>
              <w:left w:val="single" w:color="auto" w:sz="12" w:space="0"/>
            </w:tcBorders>
            <w:vAlign w:val="center"/>
          </w:tcPr>
          <w:p w14:paraId="3E8CE082">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法定代表人</w:t>
            </w:r>
          </w:p>
          <w:p w14:paraId="60058FFD">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(主要负责人)</w:t>
            </w:r>
          </w:p>
        </w:tc>
        <w:tc>
          <w:tcPr>
            <w:tcW w:w="2882" w:type="dxa"/>
            <w:gridSpan w:val="2"/>
            <w:vAlign w:val="center"/>
          </w:tcPr>
          <w:p w14:paraId="040985C5">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p>
        </w:tc>
        <w:tc>
          <w:tcPr>
            <w:tcW w:w="1318" w:type="dxa"/>
            <w:vAlign w:val="center"/>
          </w:tcPr>
          <w:p w14:paraId="48345E93">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所属行业</w:t>
            </w:r>
          </w:p>
        </w:tc>
        <w:tc>
          <w:tcPr>
            <w:tcW w:w="3167" w:type="dxa"/>
            <w:gridSpan w:val="2"/>
            <w:tcBorders>
              <w:right w:val="single" w:color="auto" w:sz="12" w:space="0"/>
            </w:tcBorders>
            <w:vAlign w:val="center"/>
          </w:tcPr>
          <w:p w14:paraId="46816B20">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p>
        </w:tc>
      </w:tr>
      <w:tr w14:paraId="4417E7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813" w:type="dxa"/>
            <w:gridSpan w:val="2"/>
            <w:tcBorders>
              <w:left w:val="single" w:color="auto" w:sz="12" w:space="0"/>
            </w:tcBorders>
            <w:vAlign w:val="center"/>
          </w:tcPr>
          <w:p w14:paraId="5A05B5AA">
            <w:pPr>
              <w:autoSpaceDE w:val="0"/>
              <w:autoSpaceDN w:val="0"/>
              <w:adjustRightInd w:val="0"/>
              <w:spacing w:line="320" w:lineRule="exact"/>
              <w:jc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rPr>
              <w:t>上年度</w:t>
            </w:r>
          </w:p>
          <w:p w14:paraId="5B8AE799">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营业收入</w:t>
            </w:r>
          </w:p>
        </w:tc>
        <w:tc>
          <w:tcPr>
            <w:tcW w:w="2882" w:type="dxa"/>
            <w:gridSpan w:val="2"/>
            <w:vAlign w:val="center"/>
          </w:tcPr>
          <w:p w14:paraId="3C417D0C">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p>
        </w:tc>
        <w:tc>
          <w:tcPr>
            <w:tcW w:w="1318" w:type="dxa"/>
            <w:vAlign w:val="center"/>
          </w:tcPr>
          <w:p w14:paraId="36EEA8B7">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资产总额</w:t>
            </w:r>
          </w:p>
        </w:tc>
        <w:tc>
          <w:tcPr>
            <w:tcW w:w="3167" w:type="dxa"/>
            <w:gridSpan w:val="2"/>
            <w:tcBorders>
              <w:right w:val="single" w:color="auto" w:sz="12" w:space="0"/>
            </w:tcBorders>
            <w:vAlign w:val="center"/>
          </w:tcPr>
          <w:p w14:paraId="0B249B89">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p>
        </w:tc>
      </w:tr>
      <w:tr w14:paraId="5314BA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813" w:type="dxa"/>
            <w:gridSpan w:val="2"/>
            <w:tcBorders>
              <w:left w:val="single" w:color="auto" w:sz="12" w:space="0"/>
            </w:tcBorders>
            <w:vAlign w:val="center"/>
          </w:tcPr>
          <w:p w14:paraId="44AC1FDB">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基本存款账户开户银行</w:t>
            </w:r>
          </w:p>
        </w:tc>
        <w:tc>
          <w:tcPr>
            <w:tcW w:w="2882" w:type="dxa"/>
            <w:gridSpan w:val="2"/>
            <w:vAlign w:val="center"/>
          </w:tcPr>
          <w:p w14:paraId="4FC98415">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p>
        </w:tc>
        <w:tc>
          <w:tcPr>
            <w:tcW w:w="1318" w:type="dxa"/>
            <w:vAlign w:val="center"/>
          </w:tcPr>
          <w:p w14:paraId="0F5F4882">
            <w:pPr>
              <w:autoSpaceDE w:val="0"/>
              <w:autoSpaceDN w:val="0"/>
              <w:adjustRightInd w:val="0"/>
              <w:spacing w:line="320" w:lineRule="exact"/>
              <w:jc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rPr>
              <w:t>基本存款</w:t>
            </w:r>
          </w:p>
          <w:p w14:paraId="281C606C">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账户账号</w:t>
            </w:r>
          </w:p>
        </w:tc>
        <w:tc>
          <w:tcPr>
            <w:tcW w:w="3167" w:type="dxa"/>
            <w:gridSpan w:val="2"/>
            <w:tcBorders>
              <w:right w:val="single" w:color="auto" w:sz="12" w:space="0"/>
            </w:tcBorders>
            <w:vAlign w:val="center"/>
          </w:tcPr>
          <w:p w14:paraId="5E412D63">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p>
        </w:tc>
      </w:tr>
      <w:tr w14:paraId="21960C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813" w:type="dxa"/>
            <w:gridSpan w:val="2"/>
            <w:tcBorders>
              <w:left w:val="single" w:color="auto" w:sz="12" w:space="0"/>
            </w:tcBorders>
            <w:vAlign w:val="center"/>
          </w:tcPr>
          <w:p w14:paraId="16DD2F94">
            <w:pPr>
              <w:autoSpaceDE w:val="0"/>
              <w:autoSpaceDN w:val="0"/>
              <w:adjustRightInd w:val="0"/>
              <w:spacing w:line="320" w:lineRule="exact"/>
              <w:jc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联系电话</w:t>
            </w:r>
          </w:p>
        </w:tc>
        <w:tc>
          <w:tcPr>
            <w:tcW w:w="2882" w:type="dxa"/>
            <w:gridSpan w:val="2"/>
            <w:vAlign w:val="center"/>
          </w:tcPr>
          <w:p w14:paraId="62D08200">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p>
        </w:tc>
        <w:tc>
          <w:tcPr>
            <w:tcW w:w="1318" w:type="dxa"/>
            <w:vAlign w:val="center"/>
          </w:tcPr>
          <w:p w14:paraId="443872BD">
            <w:pPr>
              <w:autoSpaceDE w:val="0"/>
              <w:autoSpaceDN w:val="0"/>
              <w:adjustRightInd w:val="0"/>
              <w:spacing w:line="320" w:lineRule="exact"/>
              <w:jc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邮箱</w:t>
            </w:r>
          </w:p>
        </w:tc>
        <w:tc>
          <w:tcPr>
            <w:tcW w:w="3167" w:type="dxa"/>
            <w:gridSpan w:val="2"/>
            <w:tcBorders>
              <w:right w:val="single" w:color="auto" w:sz="12" w:space="0"/>
            </w:tcBorders>
            <w:vAlign w:val="center"/>
          </w:tcPr>
          <w:p w14:paraId="1FDA2A62">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p>
        </w:tc>
      </w:tr>
      <w:tr w14:paraId="5CBF17B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13" w:type="dxa"/>
            <w:gridSpan w:val="2"/>
            <w:tcBorders>
              <w:left w:val="single" w:color="auto" w:sz="12" w:space="0"/>
            </w:tcBorders>
            <w:vAlign w:val="center"/>
          </w:tcPr>
          <w:p w14:paraId="3B99755B">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所获得资质及等级(国家行政部门颁发)</w:t>
            </w:r>
          </w:p>
        </w:tc>
        <w:tc>
          <w:tcPr>
            <w:tcW w:w="7367" w:type="dxa"/>
            <w:gridSpan w:val="5"/>
            <w:tcBorders>
              <w:right w:val="single" w:color="auto" w:sz="12" w:space="0"/>
            </w:tcBorders>
            <w:vAlign w:val="center"/>
          </w:tcPr>
          <w:p w14:paraId="54ED0E22">
            <w:pPr>
              <w:autoSpaceDE w:val="0"/>
              <w:autoSpaceDN w:val="0"/>
              <w:adjustRightInd w:val="0"/>
              <w:spacing w:line="320" w:lineRule="exact"/>
              <w:rPr>
                <w:rFonts w:hint="eastAsia" w:ascii="仿宋_GB2312" w:hAnsi="仿宋_GB2312" w:eastAsia="仿宋_GB2312" w:cs="仿宋_GB2312"/>
                <w:color w:val="auto"/>
                <w:kern w:val="0"/>
                <w:sz w:val="24"/>
                <w:szCs w:val="24"/>
              </w:rPr>
            </w:pPr>
          </w:p>
          <w:p w14:paraId="2534DF03">
            <w:pPr>
              <w:autoSpaceDE w:val="0"/>
              <w:autoSpaceDN w:val="0"/>
              <w:adjustRightInd w:val="0"/>
              <w:spacing w:line="320" w:lineRule="exact"/>
              <w:rPr>
                <w:rFonts w:hint="eastAsia" w:ascii="仿宋_GB2312" w:hAnsi="仿宋_GB2312" w:eastAsia="仿宋_GB2312" w:cs="仿宋_GB2312"/>
                <w:color w:val="auto"/>
                <w:kern w:val="0"/>
                <w:sz w:val="24"/>
                <w:szCs w:val="24"/>
              </w:rPr>
            </w:pPr>
          </w:p>
        </w:tc>
      </w:tr>
      <w:tr w14:paraId="671F52E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8" w:hRule="atLeast"/>
          <w:jc w:val="center"/>
        </w:trPr>
        <w:tc>
          <w:tcPr>
            <w:tcW w:w="1813" w:type="dxa"/>
            <w:gridSpan w:val="2"/>
            <w:tcBorders>
              <w:left w:val="single" w:color="auto" w:sz="12" w:space="0"/>
            </w:tcBorders>
            <w:vAlign w:val="center"/>
          </w:tcPr>
          <w:p w14:paraId="6E87A003">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经营范围</w:t>
            </w:r>
          </w:p>
        </w:tc>
        <w:tc>
          <w:tcPr>
            <w:tcW w:w="7367" w:type="dxa"/>
            <w:gridSpan w:val="5"/>
            <w:tcBorders>
              <w:right w:val="single" w:color="auto" w:sz="12" w:space="0"/>
            </w:tcBorders>
            <w:vAlign w:val="center"/>
          </w:tcPr>
          <w:p w14:paraId="1E815E46">
            <w:pPr>
              <w:autoSpaceDE w:val="0"/>
              <w:autoSpaceDN w:val="0"/>
              <w:adjustRightInd w:val="0"/>
              <w:spacing w:line="320" w:lineRule="exact"/>
              <w:rPr>
                <w:rFonts w:hint="eastAsia" w:ascii="仿宋_GB2312" w:hAnsi="仿宋_GB2312" w:eastAsia="仿宋_GB2312" w:cs="仿宋_GB2312"/>
                <w:color w:val="auto"/>
                <w:kern w:val="0"/>
                <w:sz w:val="24"/>
                <w:szCs w:val="24"/>
              </w:rPr>
            </w:pPr>
          </w:p>
        </w:tc>
      </w:tr>
      <w:tr w14:paraId="18A426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7"/>
            <w:tcBorders>
              <w:left w:val="single" w:color="auto" w:sz="12" w:space="0"/>
              <w:right w:val="single" w:color="auto" w:sz="12" w:space="0"/>
            </w:tcBorders>
            <w:shd w:val="clear" w:color="auto" w:fill="E5B8B7"/>
            <w:vAlign w:val="center"/>
          </w:tcPr>
          <w:p w14:paraId="35F3D15B">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人员情况</w:t>
            </w:r>
          </w:p>
        </w:tc>
      </w:tr>
      <w:tr w14:paraId="0C00EA0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vAlign w:val="center"/>
          </w:tcPr>
          <w:p w14:paraId="368E3161">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从业人员总数</w:t>
            </w:r>
          </w:p>
        </w:tc>
        <w:tc>
          <w:tcPr>
            <w:tcW w:w="1239" w:type="dxa"/>
            <w:gridSpan w:val="2"/>
            <w:vMerge w:val="restart"/>
            <w:vAlign w:val="center"/>
          </w:tcPr>
          <w:p w14:paraId="2CE39178">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p>
        </w:tc>
        <w:tc>
          <w:tcPr>
            <w:tcW w:w="1770" w:type="dxa"/>
            <w:vAlign w:val="center"/>
          </w:tcPr>
          <w:p w14:paraId="3C4C6F82">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管理人员数量</w:t>
            </w:r>
          </w:p>
        </w:tc>
        <w:tc>
          <w:tcPr>
            <w:tcW w:w="1318" w:type="dxa"/>
            <w:vAlign w:val="center"/>
          </w:tcPr>
          <w:p w14:paraId="31C62CCA">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p>
        </w:tc>
        <w:tc>
          <w:tcPr>
            <w:tcW w:w="1769" w:type="dxa"/>
            <w:vAlign w:val="center"/>
          </w:tcPr>
          <w:p w14:paraId="56EA7FF7">
            <w:pPr>
              <w:autoSpaceDE w:val="0"/>
              <w:autoSpaceDN w:val="0"/>
              <w:adjustRightInd w:val="0"/>
              <w:spacing w:line="320" w:lineRule="exact"/>
              <w:jc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rPr>
              <w:t>专业技术</w:t>
            </w:r>
          </w:p>
          <w:p w14:paraId="422BF44D">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人员数量</w:t>
            </w:r>
          </w:p>
        </w:tc>
        <w:tc>
          <w:tcPr>
            <w:tcW w:w="1398" w:type="dxa"/>
            <w:tcBorders>
              <w:right w:val="single" w:color="auto" w:sz="12" w:space="0"/>
            </w:tcBorders>
            <w:vAlign w:val="center"/>
          </w:tcPr>
          <w:p w14:paraId="72BA1FD3">
            <w:pPr>
              <w:autoSpaceDE w:val="0"/>
              <w:autoSpaceDN w:val="0"/>
              <w:adjustRightInd w:val="0"/>
              <w:spacing w:line="320" w:lineRule="exact"/>
              <w:jc w:val="center"/>
              <w:rPr>
                <w:rFonts w:hint="eastAsia" w:ascii="仿宋_GB2312" w:hAnsi="仿宋_GB2312" w:eastAsia="仿宋_GB2312" w:cs="仿宋_GB2312"/>
                <w:bCs/>
                <w:color w:val="auto"/>
                <w:kern w:val="0"/>
                <w:sz w:val="24"/>
                <w:szCs w:val="24"/>
              </w:rPr>
            </w:pPr>
          </w:p>
        </w:tc>
      </w:tr>
      <w:tr w14:paraId="3726D7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vAlign w:val="center"/>
          </w:tcPr>
          <w:p w14:paraId="7637AA2F">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p>
        </w:tc>
        <w:tc>
          <w:tcPr>
            <w:tcW w:w="1239" w:type="dxa"/>
            <w:gridSpan w:val="2"/>
            <w:vMerge w:val="continue"/>
            <w:tcBorders>
              <w:bottom w:val="single" w:color="auto" w:sz="4" w:space="0"/>
            </w:tcBorders>
            <w:vAlign w:val="center"/>
          </w:tcPr>
          <w:p w14:paraId="14B55DB3">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p>
        </w:tc>
        <w:tc>
          <w:tcPr>
            <w:tcW w:w="1770" w:type="dxa"/>
            <w:tcBorders>
              <w:bottom w:val="single" w:color="auto" w:sz="4" w:space="0"/>
            </w:tcBorders>
            <w:vAlign w:val="center"/>
          </w:tcPr>
          <w:p w14:paraId="1BC7215C">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残疾人人数</w:t>
            </w:r>
          </w:p>
        </w:tc>
        <w:tc>
          <w:tcPr>
            <w:tcW w:w="1318" w:type="dxa"/>
            <w:tcBorders>
              <w:bottom w:val="single" w:color="auto" w:sz="4" w:space="0"/>
            </w:tcBorders>
            <w:vAlign w:val="center"/>
          </w:tcPr>
          <w:p w14:paraId="79E11311">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p>
        </w:tc>
        <w:tc>
          <w:tcPr>
            <w:tcW w:w="1769" w:type="dxa"/>
            <w:tcBorders>
              <w:bottom w:val="single" w:color="auto" w:sz="4" w:space="0"/>
            </w:tcBorders>
            <w:vAlign w:val="center"/>
          </w:tcPr>
          <w:p w14:paraId="2F8970E8">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少数民族人数</w:t>
            </w:r>
          </w:p>
        </w:tc>
        <w:tc>
          <w:tcPr>
            <w:tcW w:w="1398" w:type="dxa"/>
            <w:tcBorders>
              <w:bottom w:val="single" w:color="auto" w:sz="4" w:space="0"/>
              <w:right w:val="single" w:color="auto" w:sz="12" w:space="0"/>
            </w:tcBorders>
            <w:vAlign w:val="center"/>
          </w:tcPr>
          <w:p w14:paraId="4DF54ACC">
            <w:pPr>
              <w:autoSpaceDE w:val="0"/>
              <w:autoSpaceDN w:val="0"/>
              <w:adjustRightInd w:val="0"/>
              <w:spacing w:line="320" w:lineRule="exact"/>
              <w:jc w:val="center"/>
              <w:rPr>
                <w:rFonts w:hint="eastAsia" w:ascii="仿宋_GB2312" w:hAnsi="仿宋_GB2312" w:eastAsia="仿宋_GB2312" w:cs="仿宋_GB2312"/>
                <w:bCs/>
                <w:color w:val="auto"/>
                <w:kern w:val="0"/>
                <w:sz w:val="24"/>
                <w:szCs w:val="24"/>
              </w:rPr>
            </w:pPr>
          </w:p>
        </w:tc>
      </w:tr>
      <w:tr w14:paraId="1E5085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09" w:hRule="atLeast"/>
          <w:jc w:val="center"/>
        </w:trPr>
        <w:tc>
          <w:tcPr>
            <w:tcW w:w="1686" w:type="dxa"/>
            <w:tcBorders>
              <w:left w:val="single" w:color="auto" w:sz="12" w:space="0"/>
              <w:bottom w:val="single" w:color="auto" w:sz="12" w:space="0"/>
            </w:tcBorders>
            <w:vAlign w:val="center"/>
          </w:tcPr>
          <w:p w14:paraId="4FD2F000">
            <w:pPr>
              <w:autoSpaceDE w:val="0"/>
              <w:autoSpaceDN w:val="0"/>
              <w:adjustRightInd w:val="0"/>
              <w:spacing w:line="320" w:lineRule="exact"/>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说明</w:t>
            </w:r>
          </w:p>
        </w:tc>
        <w:tc>
          <w:tcPr>
            <w:tcW w:w="7494" w:type="dxa"/>
            <w:gridSpan w:val="6"/>
            <w:tcBorders>
              <w:bottom w:val="single" w:color="auto" w:sz="12" w:space="0"/>
              <w:right w:val="single" w:color="auto" w:sz="12" w:space="0"/>
            </w:tcBorders>
            <w:vAlign w:val="center"/>
          </w:tcPr>
          <w:p w14:paraId="017F17D6">
            <w:pPr>
              <w:spacing w:line="320" w:lineRule="exact"/>
              <w:ind w:left="360" w:hanging="36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1、登记证号指营业执照/事业单位法人证书/专业服务机构执业许可证/民办非企业单位登记证书中的登记号。</w:t>
            </w:r>
          </w:p>
          <w:p w14:paraId="6D9D91A7">
            <w:pPr>
              <w:spacing w:line="320" w:lineRule="exact"/>
              <w:ind w:left="360" w:hanging="36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2、成立时间至提交响应文件截止时间不足一年的可不提供“上年度营业收入”。</w:t>
            </w:r>
          </w:p>
          <w:p w14:paraId="504D650E">
            <w:pPr>
              <w:spacing w:line="320" w:lineRule="exact"/>
              <w:ind w:left="360" w:hanging="360"/>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sz w:val="24"/>
                <w:szCs w:val="24"/>
              </w:rPr>
              <w:t>3、供应商应如实填写上述信息。</w:t>
            </w:r>
            <w:bookmarkStart w:id="412" w:name="■AcceptUnion_CH5_A■"/>
            <w:r>
              <w:rPr>
                <w:rFonts w:hint="eastAsia" w:ascii="仿宋_GB2312" w:hAnsi="仿宋_GB2312" w:eastAsia="仿宋_GB2312" w:cs="仿宋_GB2312"/>
                <w:color w:val="auto"/>
                <w:sz w:val="24"/>
                <w:szCs w:val="24"/>
              </w:rPr>
              <w:t>磋商文件允许联合体投标的，联合体各方均应提供。</w:t>
            </w:r>
            <w:bookmarkEnd w:id="412"/>
          </w:p>
        </w:tc>
      </w:tr>
    </w:tbl>
    <w:p w14:paraId="0056457D">
      <w:pPr>
        <w:spacing w:line="500" w:lineRule="exact"/>
        <w:ind w:firstLine="584" w:firstLineChars="200"/>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eastAsia="zh-CN"/>
        </w:rPr>
        <w:t>（</w:t>
      </w:r>
      <w:r>
        <w:rPr>
          <w:rFonts w:hint="eastAsia" w:ascii="仿宋_GB2312" w:hAnsi="仿宋_GB2312" w:eastAsia="仿宋_GB2312" w:cs="仿宋_GB2312"/>
          <w:b/>
          <w:bCs/>
          <w:color w:val="auto"/>
          <w:sz w:val="28"/>
          <w:szCs w:val="28"/>
          <w:lang w:val="en-US" w:eastAsia="zh-CN"/>
        </w:rPr>
        <w:t>二</w:t>
      </w:r>
      <w:r>
        <w:rPr>
          <w:rFonts w:hint="eastAsia" w:ascii="仿宋_GB2312" w:hAnsi="仿宋_GB2312" w:eastAsia="仿宋_GB2312" w:cs="仿宋_GB2312"/>
          <w:b/>
          <w:bCs/>
          <w:color w:val="auto"/>
          <w:sz w:val="28"/>
          <w:szCs w:val="28"/>
          <w:lang w:eastAsia="zh-CN"/>
        </w:rPr>
        <w:t>）</w:t>
      </w:r>
      <w:r>
        <w:rPr>
          <w:rFonts w:hint="eastAsia" w:ascii="仿宋_GB2312" w:hAnsi="仿宋_GB2312" w:eastAsia="仿宋_GB2312" w:cs="仿宋_GB2312"/>
          <w:b/>
          <w:bCs/>
          <w:color w:val="auto"/>
          <w:sz w:val="28"/>
          <w:szCs w:val="28"/>
          <w:lang w:val="en-US" w:eastAsia="zh-CN"/>
        </w:rPr>
        <w:t>供应商其他情况</w:t>
      </w:r>
    </w:p>
    <w:p w14:paraId="13EA1A7C">
      <w:pPr>
        <w:tabs>
          <w:tab w:val="right" w:pos="8364"/>
        </w:tabs>
        <w:spacing w:line="500" w:lineRule="exact"/>
        <w:ind w:firstLine="584" w:firstLineChars="20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包括但不限于总公司分公司分布及经营状况、股权变更、管理制度、人员配备、用户评价、正在实施的项目，评优获奖等情况，以及供应商认为有利于成交的其他情况说明。</w:t>
      </w:r>
    </w:p>
    <w:p w14:paraId="227323E9">
      <w:pPr>
        <w:spacing w:line="500" w:lineRule="exact"/>
        <w:ind w:firstLine="4964" w:firstLineChars="1700"/>
        <w:rPr>
          <w:rFonts w:hint="eastAsia"/>
          <w:b/>
          <w:color w:val="auto"/>
          <w:sz w:val="28"/>
          <w:szCs w:val="28"/>
        </w:rPr>
      </w:pPr>
      <w:r>
        <w:rPr>
          <w:rFonts w:hint="eastAsia"/>
          <w:b/>
          <w:color w:val="auto"/>
          <w:sz w:val="28"/>
          <w:szCs w:val="28"/>
        </w:rPr>
        <w:br w:type="page"/>
      </w:r>
    </w:p>
    <w:p w14:paraId="3FB0B74D">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二、技术服务方案</w:t>
      </w:r>
    </w:p>
    <w:p w14:paraId="2F567D9B">
      <w:pPr>
        <w:keepNext w:val="0"/>
        <w:keepLines w:val="0"/>
        <w:pageBreakBefore w:val="0"/>
        <w:widowControl/>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rPr>
        <w:t>参照磋商文件第二章《组织评审》各条款的要求，结合第三章《磋商</w:t>
      </w:r>
      <w:r>
        <w:rPr>
          <w:rFonts w:hint="eastAsia" w:ascii="仿宋_GB2312" w:hAnsi="仿宋_GB2312" w:eastAsia="仿宋_GB2312" w:cs="仿宋_GB2312"/>
          <w:bCs/>
          <w:color w:val="auto"/>
          <w:sz w:val="28"/>
          <w:szCs w:val="28"/>
          <w:highlight w:val="none"/>
        </w:rPr>
        <w:t>内容及采购要求》编制技术服务方案。</w:t>
      </w:r>
    </w:p>
    <w:p w14:paraId="565E4848">
      <w:pPr>
        <w:keepNext w:val="0"/>
        <w:keepLines w:val="0"/>
        <w:pageBreakBefore w:val="0"/>
        <w:widowControl/>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eastAsia="zh-CN"/>
        </w:rPr>
        <w:t>（</w:t>
      </w:r>
      <w:r>
        <w:rPr>
          <w:rFonts w:hint="eastAsia" w:ascii="仿宋_GB2312" w:hAnsi="仿宋_GB2312" w:eastAsia="仿宋_GB2312" w:cs="仿宋_GB2312"/>
          <w:bCs/>
          <w:color w:val="auto"/>
          <w:sz w:val="28"/>
          <w:szCs w:val="28"/>
          <w:highlight w:val="none"/>
          <w:lang w:val="en-US" w:eastAsia="zh-CN"/>
        </w:rPr>
        <w:t>一</w:t>
      </w:r>
      <w:r>
        <w:rPr>
          <w:rFonts w:hint="eastAsia" w:ascii="仿宋_GB2312" w:hAnsi="仿宋_GB2312" w:eastAsia="仿宋_GB2312" w:cs="仿宋_GB2312"/>
          <w:bCs/>
          <w:color w:val="auto"/>
          <w:sz w:val="28"/>
          <w:szCs w:val="28"/>
          <w:highlight w:val="none"/>
          <w:lang w:eastAsia="zh-CN"/>
        </w:rPr>
        <w:t>）</w:t>
      </w:r>
      <w:r>
        <w:rPr>
          <w:rFonts w:hint="eastAsia" w:ascii="仿宋_GB2312" w:hAnsi="仿宋_GB2312" w:eastAsia="仿宋_GB2312" w:cs="仿宋_GB2312"/>
          <w:bCs/>
          <w:color w:val="auto"/>
          <w:sz w:val="28"/>
          <w:szCs w:val="28"/>
          <w:highlight w:val="none"/>
          <w:lang w:val="en-US" w:eastAsia="zh-CN"/>
        </w:rPr>
        <w:t>所报产品详细介绍（品牌、型号、</w:t>
      </w:r>
      <w:r>
        <w:rPr>
          <w:rFonts w:hint="eastAsia" w:ascii="仿宋_GB2312" w:hAnsi="仿宋_GB2312" w:eastAsia="仿宋_GB2312" w:cs="仿宋_GB2312"/>
          <w:color w:val="auto"/>
          <w:highlight w:val="none"/>
        </w:rPr>
        <w:t>技术参数</w:t>
      </w:r>
      <w:r>
        <w:rPr>
          <w:rFonts w:hint="eastAsia" w:ascii="仿宋_GB2312" w:hAnsi="仿宋_GB2312" w:eastAsia="仿宋_GB2312" w:cs="仿宋_GB2312"/>
          <w:color w:val="auto"/>
          <w:highlight w:val="none"/>
          <w:lang w:val="en-US" w:eastAsia="zh-CN"/>
        </w:rPr>
        <w:t>等</w:t>
      </w:r>
      <w:r>
        <w:rPr>
          <w:rFonts w:hint="eastAsia" w:ascii="仿宋_GB2312" w:hAnsi="仿宋_GB2312" w:eastAsia="仿宋_GB2312" w:cs="仿宋_GB2312"/>
          <w:bCs/>
          <w:color w:val="auto"/>
          <w:sz w:val="28"/>
          <w:szCs w:val="28"/>
          <w:highlight w:val="none"/>
          <w:lang w:val="en-US" w:eastAsia="zh-CN"/>
        </w:rPr>
        <w:t>）</w:t>
      </w:r>
    </w:p>
    <w:p w14:paraId="5C47CC6F">
      <w:pPr>
        <w:keepNext w:val="0"/>
        <w:keepLines w:val="0"/>
        <w:pageBreakBefore w:val="0"/>
        <w:widowControl/>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Cs/>
          <w:color w:val="auto"/>
          <w:sz w:val="28"/>
          <w:szCs w:val="28"/>
          <w:highlight w:val="none"/>
          <w:lang w:eastAsia="zh-CN"/>
        </w:rPr>
        <w:t>（</w:t>
      </w:r>
      <w:r>
        <w:rPr>
          <w:rFonts w:hint="eastAsia" w:ascii="仿宋_GB2312" w:hAnsi="仿宋_GB2312" w:eastAsia="仿宋_GB2312" w:cs="仿宋_GB2312"/>
          <w:bCs/>
          <w:color w:val="auto"/>
          <w:sz w:val="28"/>
          <w:szCs w:val="28"/>
          <w:highlight w:val="none"/>
          <w:lang w:val="en-US" w:eastAsia="zh-CN"/>
        </w:rPr>
        <w:t>二</w:t>
      </w:r>
      <w:r>
        <w:rPr>
          <w:rFonts w:hint="eastAsia" w:ascii="仿宋_GB2312" w:hAnsi="仿宋_GB2312" w:eastAsia="仿宋_GB2312" w:cs="仿宋_GB2312"/>
          <w:bCs/>
          <w:color w:val="auto"/>
          <w:sz w:val="28"/>
          <w:szCs w:val="28"/>
          <w:highlight w:val="none"/>
          <w:lang w:eastAsia="zh-CN"/>
        </w:rPr>
        <w:t>）</w:t>
      </w:r>
      <w:r>
        <w:rPr>
          <w:rFonts w:hint="eastAsia" w:ascii="仿宋_GB2312" w:hAnsi="仿宋_GB2312" w:eastAsia="仿宋_GB2312" w:cs="仿宋_GB2312"/>
          <w:color w:val="auto"/>
          <w:highlight w:val="none"/>
        </w:rPr>
        <w:t>来源渠道</w:t>
      </w:r>
    </w:p>
    <w:p w14:paraId="5F16F301">
      <w:pPr>
        <w:keepNext w:val="0"/>
        <w:keepLines w:val="0"/>
        <w:pageBreakBefore w:val="0"/>
        <w:widowControl/>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bCs/>
          <w:color w:val="auto"/>
          <w:sz w:val="28"/>
          <w:szCs w:val="28"/>
          <w:highlight w:val="none"/>
          <w:lang w:eastAsia="zh-CN"/>
        </w:rPr>
        <w:t>（</w:t>
      </w:r>
      <w:r>
        <w:rPr>
          <w:rFonts w:hint="eastAsia" w:ascii="仿宋_GB2312" w:hAnsi="仿宋_GB2312" w:eastAsia="仿宋_GB2312" w:cs="仿宋_GB2312"/>
          <w:bCs/>
          <w:color w:val="auto"/>
          <w:sz w:val="28"/>
          <w:szCs w:val="28"/>
          <w:highlight w:val="none"/>
          <w:lang w:val="en-US" w:eastAsia="zh-CN"/>
        </w:rPr>
        <w:t>三</w:t>
      </w:r>
      <w:r>
        <w:rPr>
          <w:rFonts w:hint="eastAsia" w:ascii="仿宋_GB2312" w:hAnsi="仿宋_GB2312" w:eastAsia="仿宋_GB2312" w:cs="仿宋_GB2312"/>
          <w:bCs/>
          <w:color w:val="auto"/>
          <w:sz w:val="28"/>
          <w:szCs w:val="28"/>
          <w:highlight w:val="none"/>
          <w:lang w:eastAsia="zh-CN"/>
        </w:rPr>
        <w:t>）</w:t>
      </w:r>
      <w:r>
        <w:rPr>
          <w:rFonts w:hint="eastAsia" w:ascii="仿宋_GB2312" w:hAnsi="仿宋_GB2312" w:eastAsia="仿宋_GB2312" w:cs="仿宋_GB2312"/>
          <w:color w:val="auto"/>
          <w:highlight w:val="none"/>
        </w:rPr>
        <w:t>项目实施方案</w:t>
      </w:r>
    </w:p>
    <w:p w14:paraId="368676B6">
      <w:pPr>
        <w:keepNext w:val="0"/>
        <w:keepLines w:val="0"/>
        <w:pageBreakBefore w:val="0"/>
        <w:widowControl/>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bCs/>
          <w:color w:val="auto"/>
          <w:sz w:val="28"/>
          <w:szCs w:val="28"/>
          <w:highlight w:val="none"/>
          <w:lang w:eastAsia="zh-CN"/>
        </w:rPr>
      </w:pPr>
      <w:r>
        <w:rPr>
          <w:rFonts w:hint="eastAsia" w:ascii="仿宋_GB2312" w:hAnsi="仿宋_GB2312" w:eastAsia="仿宋_GB2312" w:cs="仿宋_GB2312"/>
          <w:bCs/>
          <w:color w:val="auto"/>
          <w:sz w:val="28"/>
          <w:szCs w:val="28"/>
          <w:highlight w:val="none"/>
          <w:lang w:eastAsia="zh-CN"/>
        </w:rPr>
        <w:t>（</w:t>
      </w:r>
      <w:r>
        <w:rPr>
          <w:rFonts w:hint="eastAsia" w:ascii="仿宋_GB2312" w:hAnsi="仿宋_GB2312" w:eastAsia="仿宋_GB2312" w:cs="仿宋_GB2312"/>
          <w:bCs/>
          <w:color w:val="auto"/>
          <w:sz w:val="28"/>
          <w:szCs w:val="28"/>
          <w:highlight w:val="none"/>
          <w:lang w:val="en-US" w:eastAsia="zh-CN"/>
        </w:rPr>
        <w:t>四</w:t>
      </w:r>
      <w:r>
        <w:rPr>
          <w:rFonts w:hint="eastAsia" w:ascii="仿宋_GB2312" w:hAnsi="仿宋_GB2312" w:eastAsia="仿宋_GB2312" w:cs="仿宋_GB2312"/>
          <w:bCs/>
          <w:color w:val="auto"/>
          <w:sz w:val="28"/>
          <w:szCs w:val="28"/>
          <w:highlight w:val="none"/>
          <w:lang w:eastAsia="zh-CN"/>
        </w:rPr>
        <w:t>）安装实施方案</w:t>
      </w:r>
    </w:p>
    <w:p w14:paraId="055156BD">
      <w:pPr>
        <w:keepNext w:val="0"/>
        <w:keepLines w:val="0"/>
        <w:pageBreakBefore w:val="0"/>
        <w:widowControl/>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bCs/>
          <w:color w:val="auto"/>
          <w:sz w:val="28"/>
          <w:szCs w:val="28"/>
          <w:highlight w:val="none"/>
          <w:lang w:eastAsia="zh-CN"/>
        </w:rPr>
      </w:pPr>
      <w:r>
        <w:rPr>
          <w:rFonts w:hint="eastAsia" w:ascii="仿宋_GB2312" w:hAnsi="仿宋_GB2312" w:eastAsia="仿宋_GB2312" w:cs="仿宋_GB2312"/>
          <w:bCs/>
          <w:color w:val="auto"/>
          <w:sz w:val="28"/>
          <w:szCs w:val="28"/>
          <w:highlight w:val="none"/>
          <w:lang w:eastAsia="zh-CN"/>
        </w:rPr>
        <w:t>（</w:t>
      </w:r>
      <w:r>
        <w:rPr>
          <w:rFonts w:hint="eastAsia" w:ascii="仿宋_GB2312" w:hAnsi="仿宋_GB2312" w:eastAsia="仿宋_GB2312" w:cs="仿宋_GB2312"/>
          <w:bCs/>
          <w:color w:val="auto"/>
          <w:sz w:val="28"/>
          <w:szCs w:val="28"/>
          <w:highlight w:val="none"/>
          <w:lang w:val="en-US" w:eastAsia="zh-CN"/>
        </w:rPr>
        <w:t>五</w:t>
      </w:r>
      <w:r>
        <w:rPr>
          <w:rFonts w:hint="eastAsia" w:ascii="仿宋_GB2312" w:hAnsi="仿宋_GB2312" w:eastAsia="仿宋_GB2312" w:cs="仿宋_GB2312"/>
          <w:bCs/>
          <w:color w:val="auto"/>
          <w:sz w:val="28"/>
          <w:szCs w:val="28"/>
          <w:highlight w:val="none"/>
          <w:lang w:eastAsia="zh-CN"/>
        </w:rPr>
        <w:t>）</w:t>
      </w:r>
      <w:r>
        <w:rPr>
          <w:rFonts w:hint="eastAsia" w:ascii="仿宋_GB2312" w:hAnsi="仿宋_GB2312" w:eastAsia="仿宋_GB2312" w:cs="仿宋_GB2312"/>
          <w:color w:val="auto"/>
          <w:highlight w:val="none"/>
        </w:rPr>
        <w:t>质量保证方案</w:t>
      </w:r>
    </w:p>
    <w:p w14:paraId="3EDD58B9">
      <w:pPr>
        <w:keepNext w:val="0"/>
        <w:keepLines w:val="0"/>
        <w:pageBreakBefore w:val="0"/>
        <w:widowControl/>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bCs/>
          <w:color w:val="auto"/>
          <w:sz w:val="28"/>
          <w:szCs w:val="28"/>
          <w:highlight w:val="none"/>
          <w:lang w:eastAsia="zh-CN"/>
        </w:rPr>
      </w:pPr>
      <w:r>
        <w:rPr>
          <w:rFonts w:hint="eastAsia" w:ascii="仿宋_GB2312" w:hAnsi="仿宋_GB2312" w:eastAsia="仿宋_GB2312" w:cs="仿宋_GB2312"/>
          <w:bCs/>
          <w:color w:val="auto"/>
          <w:sz w:val="28"/>
          <w:szCs w:val="28"/>
          <w:highlight w:val="none"/>
          <w:lang w:val="en-US" w:eastAsia="zh-CN"/>
        </w:rPr>
        <w:t>（六）</w:t>
      </w:r>
      <w:r>
        <w:rPr>
          <w:rFonts w:hint="eastAsia" w:ascii="仿宋_GB2312" w:hAnsi="仿宋_GB2312" w:eastAsia="仿宋_GB2312" w:cs="仿宋_GB2312"/>
          <w:bCs/>
          <w:color w:val="auto"/>
          <w:kern w:val="2"/>
          <w:sz w:val="28"/>
          <w:szCs w:val="28"/>
          <w:highlight w:val="none"/>
          <w:lang w:val="en-US" w:eastAsia="zh-CN" w:bidi="ar-SA"/>
        </w:rPr>
        <w:t>环保产品</w:t>
      </w:r>
    </w:p>
    <w:p w14:paraId="270E716D">
      <w:pPr>
        <w:keepNext w:val="0"/>
        <w:keepLines w:val="0"/>
        <w:pageBreakBefore w:val="0"/>
        <w:widowControl/>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bCs/>
          <w:color w:val="auto"/>
          <w:sz w:val="28"/>
          <w:szCs w:val="28"/>
          <w:highlight w:val="none"/>
          <w:lang w:eastAsia="zh-CN"/>
        </w:rPr>
      </w:pPr>
      <w:r>
        <w:rPr>
          <w:rFonts w:hint="eastAsia" w:ascii="仿宋_GB2312" w:hAnsi="仿宋_GB2312" w:eastAsia="仿宋_GB2312" w:cs="仿宋_GB2312"/>
          <w:bCs/>
          <w:color w:val="auto"/>
          <w:sz w:val="28"/>
          <w:szCs w:val="28"/>
          <w:highlight w:val="none"/>
          <w:lang w:val="en-US" w:eastAsia="zh-CN"/>
        </w:rPr>
        <w:t>（七）</w:t>
      </w:r>
      <w:r>
        <w:rPr>
          <w:rFonts w:hint="eastAsia" w:ascii="仿宋_GB2312" w:hAnsi="仿宋_GB2312" w:eastAsia="仿宋_GB2312" w:cs="仿宋_GB2312"/>
          <w:bCs/>
          <w:color w:val="auto"/>
          <w:sz w:val="28"/>
          <w:szCs w:val="28"/>
          <w:highlight w:val="none"/>
          <w:lang w:eastAsia="zh-CN"/>
        </w:rPr>
        <w:t>业绩</w:t>
      </w:r>
    </w:p>
    <w:p w14:paraId="29D4A181">
      <w:pPr>
        <w:keepNext w:val="0"/>
        <w:keepLines w:val="0"/>
        <w:pageBreakBefore w:val="0"/>
        <w:widowControl/>
        <w:kinsoku/>
        <w:wordWrap/>
        <w:overflowPunct/>
        <w:topLinePunct w:val="0"/>
        <w:autoSpaceDE/>
        <w:autoSpaceDN/>
        <w:bidi w:val="0"/>
        <w:adjustRightInd/>
        <w:snapToGrid/>
        <w:spacing w:line="560" w:lineRule="exact"/>
        <w:ind w:firstLine="584" w:firstLineChars="200"/>
        <w:textAlignment w:val="auto"/>
        <w:rPr>
          <w:rFonts w:hint="default"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eastAsia="zh-CN"/>
        </w:rPr>
        <w:t>（</w:t>
      </w:r>
      <w:r>
        <w:rPr>
          <w:rFonts w:hint="eastAsia" w:ascii="仿宋_GB2312" w:hAnsi="仿宋_GB2312" w:eastAsia="仿宋_GB2312" w:cs="仿宋_GB2312"/>
          <w:bCs/>
          <w:color w:val="auto"/>
          <w:sz w:val="28"/>
          <w:szCs w:val="28"/>
          <w:highlight w:val="none"/>
          <w:lang w:val="en-US" w:eastAsia="zh-CN"/>
        </w:rPr>
        <w:t>八</w:t>
      </w:r>
      <w:r>
        <w:rPr>
          <w:rFonts w:hint="eastAsia" w:ascii="仿宋_GB2312" w:hAnsi="仿宋_GB2312" w:eastAsia="仿宋_GB2312" w:cs="仿宋_GB2312"/>
          <w:bCs/>
          <w:color w:val="auto"/>
          <w:sz w:val="28"/>
          <w:szCs w:val="28"/>
          <w:highlight w:val="none"/>
          <w:lang w:eastAsia="zh-CN"/>
        </w:rPr>
        <w:t>）</w:t>
      </w:r>
      <w:r>
        <w:rPr>
          <w:rFonts w:hint="eastAsia" w:ascii="仿宋_GB2312" w:hAnsi="仿宋_GB2312" w:eastAsia="仿宋_GB2312" w:cs="仿宋_GB2312"/>
          <w:bCs/>
          <w:color w:val="auto"/>
          <w:sz w:val="28"/>
          <w:szCs w:val="28"/>
          <w:highlight w:val="none"/>
          <w:lang w:val="en-US" w:eastAsia="zh-CN"/>
        </w:rPr>
        <w:t>售后</w:t>
      </w:r>
      <w:r>
        <w:rPr>
          <w:rFonts w:hint="eastAsia" w:ascii="仿宋_GB2312" w:hAnsi="仿宋_GB2312" w:eastAsia="仿宋_GB2312" w:cs="仿宋_GB2312"/>
          <w:bCs/>
          <w:color w:val="auto"/>
          <w:sz w:val="28"/>
          <w:szCs w:val="28"/>
          <w:highlight w:val="none"/>
          <w:lang w:eastAsia="zh-CN"/>
        </w:rPr>
        <w:t>服务</w:t>
      </w:r>
    </w:p>
    <w:p w14:paraId="2164839B">
      <w:pPr>
        <w:keepNext w:val="0"/>
        <w:keepLines w:val="0"/>
        <w:pageBreakBefore w:val="0"/>
        <w:widowControl/>
        <w:kinsoku/>
        <w:wordWrap/>
        <w:overflowPunct/>
        <w:topLinePunct w:val="0"/>
        <w:autoSpaceDE/>
        <w:autoSpaceDN/>
        <w:bidi w:val="0"/>
        <w:adjustRightInd/>
        <w:snapToGrid/>
        <w:spacing w:line="560" w:lineRule="exact"/>
        <w:ind w:firstLine="584" w:firstLineChars="200"/>
        <w:textAlignment w:val="auto"/>
        <w:rPr>
          <w:rFonts w:hint="eastAsia" w:ascii="仿宋_GB2312" w:hAnsi="仿宋_GB2312" w:eastAsia="仿宋_GB2312" w:cs="仿宋_GB2312"/>
          <w:bCs/>
          <w:color w:val="auto"/>
          <w:kern w:val="2"/>
          <w:sz w:val="28"/>
          <w:szCs w:val="28"/>
          <w:highlight w:val="none"/>
          <w:lang w:val="en-US" w:eastAsia="zh-CN" w:bidi="ar-SA"/>
        </w:rPr>
      </w:pPr>
      <w:r>
        <w:rPr>
          <w:rFonts w:hint="eastAsia" w:ascii="仿宋_GB2312" w:hAnsi="仿宋_GB2312" w:eastAsia="仿宋_GB2312" w:cs="仿宋_GB2312"/>
          <w:bCs/>
          <w:color w:val="auto"/>
          <w:sz w:val="28"/>
          <w:szCs w:val="28"/>
          <w:highlight w:val="none"/>
          <w:lang w:eastAsia="zh-CN"/>
        </w:rPr>
        <w:t>（</w:t>
      </w:r>
      <w:r>
        <w:rPr>
          <w:rFonts w:hint="eastAsia" w:ascii="仿宋_GB2312" w:hAnsi="仿宋_GB2312" w:eastAsia="仿宋_GB2312" w:cs="仿宋_GB2312"/>
          <w:bCs/>
          <w:color w:val="auto"/>
          <w:sz w:val="28"/>
          <w:szCs w:val="28"/>
          <w:highlight w:val="none"/>
          <w:lang w:val="en-US" w:eastAsia="zh-CN"/>
        </w:rPr>
        <w:t>九</w:t>
      </w:r>
      <w:r>
        <w:rPr>
          <w:rFonts w:hint="eastAsia" w:ascii="仿宋_GB2312" w:hAnsi="仿宋_GB2312" w:eastAsia="仿宋_GB2312" w:cs="仿宋_GB2312"/>
          <w:bCs/>
          <w:color w:val="auto"/>
          <w:sz w:val="28"/>
          <w:szCs w:val="28"/>
          <w:highlight w:val="none"/>
          <w:lang w:eastAsia="zh-CN"/>
        </w:rPr>
        <w:t>）</w:t>
      </w:r>
      <w:r>
        <w:rPr>
          <w:rFonts w:hint="eastAsia" w:ascii="仿宋_GB2312" w:hAnsi="仿宋_GB2312" w:eastAsia="仿宋_GB2312" w:cs="仿宋_GB2312"/>
          <w:bCs/>
          <w:color w:val="auto"/>
          <w:kern w:val="2"/>
          <w:sz w:val="28"/>
          <w:szCs w:val="28"/>
          <w:highlight w:val="none"/>
          <w:lang w:val="en-US" w:eastAsia="zh-CN" w:bidi="ar-SA"/>
        </w:rPr>
        <w:t>其他有必要说明的内容</w:t>
      </w:r>
    </w:p>
    <w:p w14:paraId="21C31D4A">
      <w:pP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br w:type="page"/>
      </w:r>
    </w:p>
    <w:p w14:paraId="7308709A">
      <w:pPr>
        <w:tabs>
          <w:tab w:val="right" w:pos="9070"/>
        </w:tabs>
        <w:spacing w:line="500" w:lineRule="exact"/>
        <w:rPr>
          <w:rFonts w:ascii="仿宋" w:hAnsi="仿宋" w:eastAsia="仿宋"/>
          <w:bCs/>
          <w:color w:val="auto"/>
          <w:sz w:val="28"/>
          <w:szCs w:val="28"/>
        </w:rPr>
      </w:pPr>
      <w:r>
        <w:rPr>
          <w:rFonts w:hint="eastAsia" w:ascii="仿宋" w:hAnsi="仿宋" w:eastAsia="仿宋"/>
          <w:b/>
          <w:color w:val="auto"/>
          <w:sz w:val="28"/>
          <w:szCs w:val="28"/>
        </w:rPr>
        <w:t>三、参考样表</w:t>
      </w:r>
    </w:p>
    <w:p w14:paraId="669CA94D">
      <w:pPr>
        <w:spacing w:line="500" w:lineRule="exact"/>
        <w:ind w:firstLine="584" w:firstLineChars="200"/>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（一）履约进度计划表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2498"/>
        <w:gridCol w:w="3095"/>
        <w:gridCol w:w="2589"/>
      </w:tblGrid>
      <w:tr w14:paraId="0DBB9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3" w:type="dxa"/>
            <w:noWrap w:val="0"/>
            <w:vAlign w:val="center"/>
          </w:tcPr>
          <w:p w14:paraId="33BEE38C">
            <w:pPr>
              <w:keepNext w:val="0"/>
              <w:keepLines w:val="0"/>
              <w:pageBreakBefore w:val="0"/>
              <w:widowControl w:val="0"/>
              <w:tabs>
                <w:tab w:val="left" w:pos="540"/>
              </w:tabs>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color w:val="auto"/>
                <w:kern w:val="2"/>
                <w:sz w:val="28"/>
                <w:szCs w:val="28"/>
                <w:shd w:val="clear" w:color="auto" w:fill="auto"/>
                <w:lang w:val="en-US" w:eastAsia="zh-CN" w:bidi="ar-SA"/>
              </w:rPr>
            </w:pPr>
            <w:r>
              <w:rPr>
                <w:rFonts w:hint="eastAsia" w:ascii="仿宋_GB2312" w:hAnsi="仿宋_GB2312" w:eastAsia="仿宋_GB2312" w:cs="仿宋_GB2312"/>
                <w:b/>
                <w:color w:val="auto"/>
                <w:sz w:val="28"/>
                <w:szCs w:val="28"/>
                <w:shd w:val="clear" w:color="auto" w:fill="auto"/>
              </w:rPr>
              <w:t>序号</w:t>
            </w:r>
          </w:p>
        </w:tc>
        <w:tc>
          <w:tcPr>
            <w:tcW w:w="2498" w:type="dxa"/>
            <w:noWrap w:val="0"/>
            <w:vAlign w:val="center"/>
          </w:tcPr>
          <w:p w14:paraId="35578B24">
            <w:pPr>
              <w:keepNext w:val="0"/>
              <w:keepLines w:val="0"/>
              <w:pageBreakBefore w:val="0"/>
              <w:widowControl w:val="0"/>
              <w:tabs>
                <w:tab w:val="left" w:pos="540"/>
              </w:tabs>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color w:val="auto"/>
                <w:kern w:val="2"/>
                <w:sz w:val="28"/>
                <w:szCs w:val="28"/>
                <w:shd w:val="clear" w:color="auto" w:fill="auto"/>
                <w:lang w:val="en-US" w:eastAsia="zh-CN" w:bidi="ar-SA"/>
              </w:rPr>
            </w:pPr>
            <w:r>
              <w:rPr>
                <w:rFonts w:hint="eastAsia" w:ascii="仿宋_GB2312" w:hAnsi="仿宋_GB2312" w:eastAsia="仿宋_GB2312" w:cs="仿宋_GB2312"/>
                <w:b/>
                <w:color w:val="auto"/>
                <w:sz w:val="28"/>
                <w:szCs w:val="28"/>
                <w:shd w:val="clear" w:color="auto" w:fill="auto"/>
              </w:rPr>
              <w:t>拟定时间安排</w:t>
            </w:r>
          </w:p>
        </w:tc>
        <w:tc>
          <w:tcPr>
            <w:tcW w:w="3095" w:type="dxa"/>
            <w:noWrap w:val="0"/>
            <w:vAlign w:val="center"/>
          </w:tcPr>
          <w:p w14:paraId="4124DA05">
            <w:pPr>
              <w:keepNext w:val="0"/>
              <w:keepLines w:val="0"/>
              <w:pageBreakBefore w:val="0"/>
              <w:widowControl w:val="0"/>
              <w:tabs>
                <w:tab w:val="left" w:pos="540"/>
              </w:tabs>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color w:val="auto"/>
                <w:kern w:val="2"/>
                <w:sz w:val="28"/>
                <w:szCs w:val="28"/>
                <w:shd w:val="clear" w:color="auto" w:fill="auto"/>
                <w:lang w:val="en-US" w:eastAsia="zh-CN" w:bidi="ar-SA"/>
              </w:rPr>
            </w:pPr>
            <w:r>
              <w:rPr>
                <w:rFonts w:hint="eastAsia" w:ascii="仿宋_GB2312" w:hAnsi="仿宋_GB2312" w:eastAsia="仿宋_GB2312" w:cs="仿宋_GB2312"/>
                <w:b/>
                <w:color w:val="auto"/>
                <w:sz w:val="28"/>
                <w:szCs w:val="28"/>
                <w:shd w:val="clear" w:color="auto" w:fill="auto"/>
              </w:rPr>
              <w:t>计划完成的工作内容</w:t>
            </w:r>
          </w:p>
        </w:tc>
        <w:tc>
          <w:tcPr>
            <w:tcW w:w="2589" w:type="dxa"/>
            <w:noWrap w:val="0"/>
            <w:vAlign w:val="center"/>
          </w:tcPr>
          <w:p w14:paraId="7994956B">
            <w:pPr>
              <w:keepNext w:val="0"/>
              <w:keepLines w:val="0"/>
              <w:pageBreakBefore w:val="0"/>
              <w:widowControl w:val="0"/>
              <w:tabs>
                <w:tab w:val="left" w:pos="540"/>
              </w:tabs>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color w:val="auto"/>
                <w:kern w:val="2"/>
                <w:sz w:val="28"/>
                <w:szCs w:val="28"/>
                <w:shd w:val="clear" w:color="auto" w:fill="auto"/>
                <w:lang w:val="en-US" w:eastAsia="zh-CN" w:bidi="ar-SA"/>
              </w:rPr>
            </w:pPr>
            <w:r>
              <w:rPr>
                <w:rFonts w:hint="eastAsia" w:ascii="仿宋_GB2312" w:hAnsi="仿宋_GB2312" w:eastAsia="仿宋_GB2312" w:cs="仿宋_GB2312"/>
                <w:b/>
                <w:color w:val="auto"/>
                <w:sz w:val="28"/>
                <w:szCs w:val="28"/>
                <w:shd w:val="clear" w:color="auto" w:fill="auto"/>
              </w:rPr>
              <w:t>实施方建议或要求</w:t>
            </w:r>
          </w:p>
        </w:tc>
      </w:tr>
      <w:tr w14:paraId="43EBC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3" w:type="dxa"/>
            <w:noWrap w:val="0"/>
            <w:vAlign w:val="center"/>
          </w:tcPr>
          <w:p w14:paraId="11172AB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center"/>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w:t>
            </w:r>
          </w:p>
        </w:tc>
        <w:tc>
          <w:tcPr>
            <w:tcW w:w="2498" w:type="dxa"/>
            <w:noWrap w:val="0"/>
            <w:vAlign w:val="center"/>
          </w:tcPr>
          <w:p w14:paraId="4C9E4139">
            <w:pPr>
              <w:keepNext w:val="0"/>
              <w:keepLines w:val="0"/>
              <w:pageBreakBefore w:val="0"/>
              <w:widowControl w:val="0"/>
              <w:tabs>
                <w:tab w:val="left" w:pos="540"/>
              </w:tabs>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拟定  年 月 日</w:t>
            </w:r>
          </w:p>
        </w:tc>
        <w:tc>
          <w:tcPr>
            <w:tcW w:w="3095" w:type="dxa"/>
            <w:noWrap w:val="0"/>
            <w:vAlign w:val="center"/>
          </w:tcPr>
          <w:p w14:paraId="2EEE976A">
            <w:pPr>
              <w:keepNext w:val="0"/>
              <w:keepLines w:val="0"/>
              <w:pageBreakBefore w:val="0"/>
              <w:widowControl w:val="0"/>
              <w:tabs>
                <w:tab w:val="left" w:pos="540"/>
              </w:tabs>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签订</w:t>
            </w:r>
            <w:r>
              <w:rPr>
                <w:rFonts w:hint="eastAsia" w:ascii="仿宋_GB2312" w:hAnsi="仿宋_GB2312" w:eastAsia="仿宋_GB2312" w:cs="仿宋_GB2312"/>
                <w:color w:val="auto"/>
                <w:sz w:val="28"/>
                <w:szCs w:val="28"/>
              </w:rPr>
              <w:t>合同并生效</w:t>
            </w:r>
          </w:p>
        </w:tc>
        <w:tc>
          <w:tcPr>
            <w:tcW w:w="2589" w:type="dxa"/>
            <w:noWrap w:val="0"/>
            <w:vAlign w:val="center"/>
          </w:tcPr>
          <w:p w14:paraId="0B3976BE">
            <w:pPr>
              <w:keepNext w:val="0"/>
              <w:keepLines w:val="0"/>
              <w:pageBreakBefore w:val="0"/>
              <w:widowControl w:val="0"/>
              <w:tabs>
                <w:tab w:val="left" w:pos="540"/>
              </w:tabs>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p>
        </w:tc>
      </w:tr>
      <w:tr w14:paraId="42EC2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3" w:type="dxa"/>
            <w:noWrap w:val="0"/>
            <w:vAlign w:val="center"/>
          </w:tcPr>
          <w:p w14:paraId="351E168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center"/>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2</w:t>
            </w:r>
          </w:p>
        </w:tc>
        <w:tc>
          <w:tcPr>
            <w:tcW w:w="2498" w:type="dxa"/>
            <w:noWrap w:val="0"/>
            <w:vAlign w:val="center"/>
          </w:tcPr>
          <w:p w14:paraId="3797D67E">
            <w:pPr>
              <w:keepNext w:val="0"/>
              <w:keepLines w:val="0"/>
              <w:pageBreakBefore w:val="0"/>
              <w:widowControl w:val="0"/>
              <w:tabs>
                <w:tab w:val="left" w:pos="540"/>
              </w:tabs>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月 日—  月 日</w:t>
            </w:r>
          </w:p>
        </w:tc>
        <w:tc>
          <w:tcPr>
            <w:tcW w:w="3095" w:type="dxa"/>
            <w:noWrap w:val="0"/>
            <w:vAlign w:val="center"/>
          </w:tcPr>
          <w:p w14:paraId="5254A723">
            <w:pPr>
              <w:keepNext w:val="0"/>
              <w:keepLines w:val="0"/>
              <w:pageBreakBefore w:val="0"/>
              <w:widowControl w:val="0"/>
              <w:tabs>
                <w:tab w:val="left" w:pos="540"/>
              </w:tabs>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p>
        </w:tc>
        <w:tc>
          <w:tcPr>
            <w:tcW w:w="2589" w:type="dxa"/>
            <w:noWrap w:val="0"/>
            <w:vAlign w:val="center"/>
          </w:tcPr>
          <w:p w14:paraId="449E983C">
            <w:pPr>
              <w:keepNext w:val="0"/>
              <w:keepLines w:val="0"/>
              <w:pageBreakBefore w:val="0"/>
              <w:widowControl w:val="0"/>
              <w:tabs>
                <w:tab w:val="left" w:pos="540"/>
              </w:tabs>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p>
        </w:tc>
      </w:tr>
      <w:tr w14:paraId="5EA80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3" w:type="dxa"/>
            <w:noWrap w:val="0"/>
            <w:vAlign w:val="center"/>
          </w:tcPr>
          <w:p w14:paraId="158AC24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center"/>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3</w:t>
            </w:r>
          </w:p>
        </w:tc>
        <w:tc>
          <w:tcPr>
            <w:tcW w:w="2498" w:type="dxa"/>
            <w:noWrap w:val="0"/>
            <w:vAlign w:val="center"/>
          </w:tcPr>
          <w:p w14:paraId="6BD815EF">
            <w:pPr>
              <w:keepNext w:val="0"/>
              <w:keepLines w:val="0"/>
              <w:pageBreakBefore w:val="0"/>
              <w:widowControl w:val="0"/>
              <w:tabs>
                <w:tab w:val="left" w:pos="540"/>
              </w:tabs>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月 日—  月 日</w:t>
            </w:r>
          </w:p>
        </w:tc>
        <w:tc>
          <w:tcPr>
            <w:tcW w:w="3095" w:type="dxa"/>
            <w:noWrap w:val="0"/>
            <w:vAlign w:val="center"/>
          </w:tcPr>
          <w:p w14:paraId="3E019FFD">
            <w:pPr>
              <w:keepNext w:val="0"/>
              <w:keepLines w:val="0"/>
              <w:pageBreakBefore w:val="0"/>
              <w:widowControl w:val="0"/>
              <w:tabs>
                <w:tab w:val="left" w:pos="540"/>
              </w:tabs>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p>
        </w:tc>
        <w:tc>
          <w:tcPr>
            <w:tcW w:w="2589" w:type="dxa"/>
            <w:noWrap w:val="0"/>
            <w:vAlign w:val="center"/>
          </w:tcPr>
          <w:p w14:paraId="1F956BD3">
            <w:pPr>
              <w:keepNext w:val="0"/>
              <w:keepLines w:val="0"/>
              <w:pageBreakBefore w:val="0"/>
              <w:widowControl w:val="0"/>
              <w:tabs>
                <w:tab w:val="left" w:pos="540"/>
              </w:tabs>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p>
        </w:tc>
      </w:tr>
      <w:tr w14:paraId="33DC7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3" w:type="dxa"/>
            <w:noWrap w:val="0"/>
            <w:vAlign w:val="center"/>
          </w:tcPr>
          <w:p w14:paraId="1182D0D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center"/>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4</w:t>
            </w:r>
          </w:p>
        </w:tc>
        <w:tc>
          <w:tcPr>
            <w:tcW w:w="2498" w:type="dxa"/>
            <w:noWrap w:val="0"/>
            <w:vAlign w:val="center"/>
          </w:tcPr>
          <w:p w14:paraId="060F23CE">
            <w:pPr>
              <w:keepNext w:val="0"/>
              <w:keepLines w:val="0"/>
              <w:pageBreakBefore w:val="0"/>
              <w:widowControl w:val="0"/>
              <w:tabs>
                <w:tab w:val="left" w:pos="540"/>
              </w:tabs>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月 日—  月 日</w:t>
            </w:r>
          </w:p>
        </w:tc>
        <w:tc>
          <w:tcPr>
            <w:tcW w:w="3095" w:type="dxa"/>
            <w:noWrap w:val="0"/>
            <w:vAlign w:val="center"/>
          </w:tcPr>
          <w:p w14:paraId="7D55C1DA">
            <w:pPr>
              <w:keepNext w:val="0"/>
              <w:keepLines w:val="0"/>
              <w:pageBreakBefore w:val="0"/>
              <w:widowControl w:val="0"/>
              <w:tabs>
                <w:tab w:val="left" w:pos="540"/>
              </w:tabs>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质保期</w:t>
            </w:r>
          </w:p>
        </w:tc>
        <w:tc>
          <w:tcPr>
            <w:tcW w:w="2589" w:type="dxa"/>
            <w:noWrap w:val="0"/>
            <w:vAlign w:val="center"/>
          </w:tcPr>
          <w:p w14:paraId="70AF9021">
            <w:pPr>
              <w:keepNext w:val="0"/>
              <w:keepLines w:val="0"/>
              <w:pageBreakBefore w:val="0"/>
              <w:widowControl w:val="0"/>
              <w:tabs>
                <w:tab w:val="left" w:pos="540"/>
              </w:tabs>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p>
        </w:tc>
      </w:tr>
    </w:tbl>
    <w:p w14:paraId="75D920FA">
      <w:pPr>
        <w:spacing w:line="500" w:lineRule="exact"/>
        <w:ind w:firstLine="584" w:firstLineChars="200"/>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lang w:eastAsia="zh-CN"/>
        </w:rPr>
        <w:t>（</w:t>
      </w:r>
      <w:r>
        <w:rPr>
          <w:rFonts w:hint="eastAsia" w:ascii="仿宋_GB2312" w:hAnsi="仿宋_GB2312" w:eastAsia="仿宋_GB2312" w:cs="仿宋_GB2312"/>
          <w:b/>
          <w:bCs/>
          <w:color w:val="auto"/>
          <w:sz w:val="28"/>
          <w:szCs w:val="28"/>
          <w:lang w:val="en-US" w:eastAsia="zh-CN"/>
        </w:rPr>
        <w:t>二</w:t>
      </w:r>
      <w:r>
        <w:rPr>
          <w:rFonts w:hint="eastAsia" w:ascii="仿宋_GB2312" w:hAnsi="仿宋_GB2312" w:eastAsia="仿宋_GB2312" w:cs="仿宋_GB2312"/>
          <w:b/>
          <w:bCs/>
          <w:color w:val="auto"/>
          <w:sz w:val="28"/>
          <w:szCs w:val="28"/>
          <w:lang w:eastAsia="zh-CN"/>
        </w:rPr>
        <w:t>）</w:t>
      </w:r>
      <w:r>
        <w:rPr>
          <w:rFonts w:hint="eastAsia" w:ascii="仿宋_GB2312" w:hAnsi="仿宋_GB2312" w:eastAsia="仿宋_GB2312" w:cs="仿宋_GB2312"/>
          <w:b/>
          <w:bCs/>
          <w:color w:val="auto"/>
          <w:sz w:val="28"/>
          <w:szCs w:val="28"/>
        </w:rPr>
        <w:t>业绩合同样表</w:t>
      </w:r>
    </w:p>
    <w:tbl>
      <w:tblPr>
        <w:tblStyle w:val="21"/>
        <w:tblW w:w="9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2027"/>
        <w:gridCol w:w="1592"/>
        <w:gridCol w:w="2375"/>
        <w:gridCol w:w="1984"/>
      </w:tblGrid>
      <w:tr w14:paraId="28C01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056" w:type="dxa"/>
            <w:vAlign w:val="center"/>
          </w:tcPr>
          <w:p w14:paraId="2E18E20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序号</w:t>
            </w:r>
          </w:p>
        </w:tc>
        <w:tc>
          <w:tcPr>
            <w:tcW w:w="2027" w:type="dxa"/>
            <w:vAlign w:val="center"/>
          </w:tcPr>
          <w:p w14:paraId="61A921A1">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采购单位名称</w:t>
            </w:r>
          </w:p>
        </w:tc>
        <w:tc>
          <w:tcPr>
            <w:tcW w:w="1592" w:type="dxa"/>
            <w:vAlign w:val="center"/>
          </w:tcPr>
          <w:p w14:paraId="0E838EED">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合同名称</w:t>
            </w:r>
          </w:p>
        </w:tc>
        <w:tc>
          <w:tcPr>
            <w:tcW w:w="2375" w:type="dxa"/>
            <w:vAlign w:val="center"/>
          </w:tcPr>
          <w:p w14:paraId="0BACC2D5">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合同起止时间</w:t>
            </w:r>
          </w:p>
        </w:tc>
        <w:tc>
          <w:tcPr>
            <w:tcW w:w="1984" w:type="dxa"/>
            <w:vAlign w:val="center"/>
          </w:tcPr>
          <w:p w14:paraId="2702D0D6">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合同金额（万元）</w:t>
            </w:r>
          </w:p>
        </w:tc>
      </w:tr>
      <w:tr w14:paraId="08D80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056" w:type="dxa"/>
            <w:vAlign w:val="center"/>
          </w:tcPr>
          <w:p w14:paraId="23E3E49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w:t>
            </w:r>
          </w:p>
        </w:tc>
        <w:tc>
          <w:tcPr>
            <w:tcW w:w="2027" w:type="dxa"/>
            <w:vAlign w:val="center"/>
          </w:tcPr>
          <w:p w14:paraId="44F265C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p>
        </w:tc>
        <w:tc>
          <w:tcPr>
            <w:tcW w:w="1592" w:type="dxa"/>
            <w:vAlign w:val="center"/>
          </w:tcPr>
          <w:p w14:paraId="77FF85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p>
        </w:tc>
        <w:tc>
          <w:tcPr>
            <w:tcW w:w="2375" w:type="dxa"/>
            <w:vAlign w:val="center"/>
          </w:tcPr>
          <w:p w14:paraId="65BECED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p>
        </w:tc>
        <w:tc>
          <w:tcPr>
            <w:tcW w:w="1984" w:type="dxa"/>
            <w:vAlign w:val="center"/>
          </w:tcPr>
          <w:p w14:paraId="63768EB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p>
        </w:tc>
      </w:tr>
      <w:tr w14:paraId="4F847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056" w:type="dxa"/>
            <w:vAlign w:val="center"/>
          </w:tcPr>
          <w:p w14:paraId="02776C2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2</w:t>
            </w:r>
          </w:p>
        </w:tc>
        <w:tc>
          <w:tcPr>
            <w:tcW w:w="2027" w:type="dxa"/>
            <w:vAlign w:val="center"/>
          </w:tcPr>
          <w:p w14:paraId="409CE96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p>
        </w:tc>
        <w:tc>
          <w:tcPr>
            <w:tcW w:w="1592" w:type="dxa"/>
            <w:vAlign w:val="center"/>
          </w:tcPr>
          <w:p w14:paraId="2AA55EB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p>
        </w:tc>
        <w:tc>
          <w:tcPr>
            <w:tcW w:w="2375" w:type="dxa"/>
            <w:vAlign w:val="center"/>
          </w:tcPr>
          <w:p w14:paraId="4EEFC7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p>
        </w:tc>
        <w:tc>
          <w:tcPr>
            <w:tcW w:w="1984" w:type="dxa"/>
            <w:vAlign w:val="center"/>
          </w:tcPr>
          <w:p w14:paraId="18847A5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p>
        </w:tc>
      </w:tr>
      <w:tr w14:paraId="175EC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056" w:type="dxa"/>
            <w:vAlign w:val="center"/>
          </w:tcPr>
          <w:p w14:paraId="67A04E9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3</w:t>
            </w:r>
          </w:p>
        </w:tc>
        <w:tc>
          <w:tcPr>
            <w:tcW w:w="2027" w:type="dxa"/>
            <w:vAlign w:val="center"/>
          </w:tcPr>
          <w:p w14:paraId="7AF6A0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p>
        </w:tc>
        <w:tc>
          <w:tcPr>
            <w:tcW w:w="1592" w:type="dxa"/>
            <w:vAlign w:val="center"/>
          </w:tcPr>
          <w:p w14:paraId="3EBE028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p>
        </w:tc>
        <w:tc>
          <w:tcPr>
            <w:tcW w:w="2375" w:type="dxa"/>
            <w:vAlign w:val="center"/>
          </w:tcPr>
          <w:p w14:paraId="439F6F5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p>
        </w:tc>
        <w:tc>
          <w:tcPr>
            <w:tcW w:w="1984" w:type="dxa"/>
            <w:vAlign w:val="center"/>
          </w:tcPr>
          <w:p w14:paraId="6345FB8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p>
        </w:tc>
      </w:tr>
      <w:tr w14:paraId="1C4ED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056" w:type="dxa"/>
            <w:vAlign w:val="center"/>
          </w:tcPr>
          <w:p w14:paraId="4A00FF9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tc>
        <w:tc>
          <w:tcPr>
            <w:tcW w:w="2027" w:type="dxa"/>
            <w:vAlign w:val="center"/>
          </w:tcPr>
          <w:p w14:paraId="277F32B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p>
        </w:tc>
        <w:tc>
          <w:tcPr>
            <w:tcW w:w="1592" w:type="dxa"/>
            <w:vAlign w:val="center"/>
          </w:tcPr>
          <w:p w14:paraId="69CF39D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p>
        </w:tc>
        <w:tc>
          <w:tcPr>
            <w:tcW w:w="2375" w:type="dxa"/>
            <w:vAlign w:val="center"/>
          </w:tcPr>
          <w:p w14:paraId="3879D3F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p>
        </w:tc>
        <w:tc>
          <w:tcPr>
            <w:tcW w:w="1984" w:type="dxa"/>
            <w:vAlign w:val="center"/>
          </w:tcPr>
          <w:p w14:paraId="4DACB24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p>
        </w:tc>
      </w:tr>
      <w:tr w14:paraId="597F6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034" w:type="dxa"/>
            <w:gridSpan w:val="5"/>
            <w:vAlign w:val="center"/>
          </w:tcPr>
          <w:p w14:paraId="50CD989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数量合计（个）</w:t>
            </w:r>
            <w:r>
              <w:rPr>
                <w:rFonts w:hint="eastAsia" w:ascii="仿宋_GB2312" w:hAnsi="仿宋_GB2312" w:eastAsia="仿宋_GB2312" w:cs="仿宋_GB2312"/>
                <w:color w:val="auto"/>
                <w:sz w:val="28"/>
                <w:szCs w:val="28"/>
              </w:rPr>
              <w:t>：</w:t>
            </w:r>
          </w:p>
        </w:tc>
      </w:tr>
    </w:tbl>
    <w:p w14:paraId="124480C9">
      <w:pPr>
        <w:tabs>
          <w:tab w:val="right" w:pos="9070"/>
        </w:tabs>
        <w:snapToGrid w:val="0"/>
        <w:spacing w:line="240" w:lineRule="auto"/>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color w:val="auto"/>
          <w:sz w:val="28"/>
          <w:szCs w:val="28"/>
        </w:rPr>
        <w:t xml:space="preserve">    注：</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后附20</w:t>
      </w:r>
      <w:r>
        <w:rPr>
          <w:rFonts w:hint="eastAsia" w:ascii="仿宋_GB2312" w:hAnsi="仿宋_GB2312" w:eastAsia="仿宋_GB2312" w:cs="仿宋_GB2312"/>
          <w:color w:val="auto"/>
          <w:sz w:val="28"/>
          <w:szCs w:val="28"/>
          <w:lang w:val="en-US" w:eastAsia="zh-CN"/>
        </w:rPr>
        <w:t>22</w:t>
      </w:r>
      <w:r>
        <w:rPr>
          <w:rFonts w:hint="eastAsia" w:ascii="仿宋_GB2312" w:hAnsi="仿宋_GB2312" w:eastAsia="仿宋_GB2312" w:cs="仿宋_GB2312"/>
          <w:color w:val="auto"/>
          <w:sz w:val="28"/>
          <w:szCs w:val="28"/>
        </w:rPr>
        <w:t>年1月1日以来同类项目合同复印件加盖响应人公章（以合同签订日期为准）</w:t>
      </w:r>
      <w:r>
        <w:rPr>
          <w:rFonts w:hint="eastAsia" w:ascii="仿宋_GB2312" w:hAnsi="仿宋_GB2312" w:eastAsia="仿宋_GB2312" w:cs="仿宋_GB2312"/>
          <w:bCs/>
          <w:color w:val="auto"/>
          <w:sz w:val="28"/>
          <w:szCs w:val="28"/>
          <w:lang w:val="en-US" w:eastAsia="zh-CN"/>
        </w:rPr>
        <w:t>2、视情况，此表一并随《成交结果》公示。</w:t>
      </w:r>
    </w:p>
    <w:p w14:paraId="33A72783">
      <w:pPr>
        <w:tabs>
          <w:tab w:val="right" w:pos="9070"/>
        </w:tabs>
        <w:snapToGrid w:val="0"/>
        <w:spacing w:line="500" w:lineRule="exact"/>
        <w:ind w:left="584" w:leftChars="200"/>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w:t>
      </w:r>
      <w:r>
        <w:rPr>
          <w:rFonts w:hint="eastAsia" w:ascii="仿宋_GB2312" w:hAnsi="仿宋_GB2312" w:eastAsia="仿宋_GB2312" w:cs="仿宋_GB2312"/>
          <w:b/>
          <w:bCs/>
          <w:color w:val="auto"/>
          <w:sz w:val="28"/>
          <w:szCs w:val="28"/>
          <w:lang w:val="en-US" w:eastAsia="zh-CN"/>
        </w:rPr>
        <w:t>三</w:t>
      </w:r>
      <w:r>
        <w:rPr>
          <w:rFonts w:hint="eastAsia" w:ascii="仿宋_GB2312" w:hAnsi="仿宋_GB2312" w:eastAsia="仿宋_GB2312" w:cs="仿宋_GB2312"/>
          <w:b/>
          <w:bCs/>
          <w:color w:val="auto"/>
          <w:sz w:val="28"/>
          <w:szCs w:val="28"/>
        </w:rPr>
        <w:t>）项目团队样表</w:t>
      </w:r>
    </w:p>
    <w:p w14:paraId="4DEB8EDB">
      <w:pPr>
        <w:tabs>
          <w:tab w:val="right" w:pos="9070"/>
        </w:tabs>
        <w:spacing w:line="500" w:lineRule="exact"/>
        <w:ind w:firstLine="584"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1、项目团队情况概述</w:t>
      </w:r>
    </w:p>
    <w:p w14:paraId="445D82C3">
      <w:pPr>
        <w:tabs>
          <w:tab w:val="right" w:pos="9070"/>
        </w:tabs>
        <w:spacing w:line="500" w:lineRule="exact"/>
        <w:ind w:firstLine="584"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概述内容包括但不限于为本项目提供服务的团队整体情况、团队负责人、联系人基本情况、背景、能力介绍等，具体内容自行编制。</w:t>
      </w:r>
    </w:p>
    <w:p w14:paraId="2546DEA3">
      <w:pPr>
        <w:tabs>
          <w:tab w:val="right" w:pos="9070"/>
        </w:tabs>
        <w:spacing w:line="500" w:lineRule="exact"/>
        <w:ind w:firstLine="584"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2、项目团队人员清单</w:t>
      </w:r>
    </w:p>
    <w:tbl>
      <w:tblPr>
        <w:tblStyle w:val="21"/>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69"/>
        <w:gridCol w:w="1260"/>
        <w:gridCol w:w="1023"/>
        <w:gridCol w:w="1968"/>
        <w:gridCol w:w="1672"/>
        <w:gridCol w:w="1159"/>
      </w:tblGrid>
      <w:tr w14:paraId="50AEE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85" w:type="dxa"/>
            <w:gridSpan w:val="7"/>
            <w:tcBorders>
              <w:tl2br w:val="nil"/>
              <w:tr2bl w:val="nil"/>
            </w:tcBorders>
            <w:vAlign w:val="center"/>
          </w:tcPr>
          <w:p w14:paraId="01A9B515">
            <w:pPr>
              <w:keepNext w:val="0"/>
              <w:keepLines w:val="0"/>
              <w:pageBreakBefore w:val="0"/>
              <w:tabs>
                <w:tab w:val="right" w:pos="9070"/>
              </w:tabs>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val="en-US" w:eastAsia="zh-CN"/>
              </w:rPr>
              <w:t>项目负责人</w:t>
            </w:r>
          </w:p>
        </w:tc>
      </w:tr>
      <w:tr w14:paraId="62583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l2br w:val="nil"/>
              <w:tr2bl w:val="nil"/>
            </w:tcBorders>
            <w:vAlign w:val="center"/>
          </w:tcPr>
          <w:p w14:paraId="03F42F93">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姓名</w:t>
            </w:r>
          </w:p>
        </w:tc>
        <w:tc>
          <w:tcPr>
            <w:tcW w:w="969" w:type="dxa"/>
            <w:tcBorders>
              <w:tl2br w:val="nil"/>
              <w:tr2bl w:val="nil"/>
            </w:tcBorders>
            <w:vAlign w:val="center"/>
          </w:tcPr>
          <w:p w14:paraId="447D934C">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年龄</w:t>
            </w:r>
          </w:p>
        </w:tc>
        <w:tc>
          <w:tcPr>
            <w:tcW w:w="1260" w:type="dxa"/>
            <w:tcBorders>
              <w:tl2br w:val="nil"/>
              <w:tr2bl w:val="nil"/>
            </w:tcBorders>
            <w:vAlign w:val="center"/>
          </w:tcPr>
          <w:p w14:paraId="6BDDBE4D">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资格</w:t>
            </w:r>
          </w:p>
        </w:tc>
        <w:tc>
          <w:tcPr>
            <w:tcW w:w="1023" w:type="dxa"/>
            <w:tcBorders>
              <w:tl2br w:val="nil"/>
              <w:tr2bl w:val="nil"/>
            </w:tcBorders>
            <w:vAlign w:val="center"/>
          </w:tcPr>
          <w:p w14:paraId="1366343A">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职称</w:t>
            </w:r>
          </w:p>
        </w:tc>
        <w:tc>
          <w:tcPr>
            <w:tcW w:w="1968" w:type="dxa"/>
            <w:tcBorders>
              <w:tl2br w:val="nil"/>
              <w:tr2bl w:val="nil"/>
            </w:tcBorders>
            <w:vAlign w:val="center"/>
          </w:tcPr>
          <w:p w14:paraId="641CE7B0">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在本行业从业工作年限</w:t>
            </w:r>
          </w:p>
        </w:tc>
        <w:tc>
          <w:tcPr>
            <w:tcW w:w="1672" w:type="dxa"/>
            <w:tcBorders>
              <w:tl2br w:val="nil"/>
              <w:tr2bl w:val="nil"/>
            </w:tcBorders>
            <w:vAlign w:val="center"/>
          </w:tcPr>
          <w:p w14:paraId="43C6EA67">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主要工作</w:t>
            </w:r>
          </w:p>
          <w:p w14:paraId="6AA889AE">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业绩和经历</w:t>
            </w:r>
          </w:p>
        </w:tc>
        <w:tc>
          <w:tcPr>
            <w:tcW w:w="1159" w:type="dxa"/>
            <w:tcBorders>
              <w:tl2br w:val="nil"/>
              <w:tr2bl w:val="nil"/>
            </w:tcBorders>
            <w:vAlign w:val="center"/>
          </w:tcPr>
          <w:p w14:paraId="4F2F4EDB">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本项目</w:t>
            </w:r>
            <w:r>
              <w:rPr>
                <w:rFonts w:hint="eastAsia" w:ascii="仿宋_GB2312" w:hAnsi="仿宋_GB2312" w:eastAsia="仿宋_GB2312" w:cs="仿宋_GB2312"/>
                <w:color w:val="auto"/>
                <w:sz w:val="28"/>
                <w:szCs w:val="28"/>
                <w:highlight w:val="none"/>
              </w:rPr>
              <w:t>分工</w:t>
            </w:r>
          </w:p>
        </w:tc>
      </w:tr>
      <w:tr w14:paraId="57D8C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l2br w:val="nil"/>
              <w:tr2bl w:val="nil"/>
            </w:tcBorders>
            <w:vAlign w:val="center"/>
          </w:tcPr>
          <w:p w14:paraId="6F86E3E3">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highlight w:val="none"/>
              </w:rPr>
            </w:pPr>
          </w:p>
        </w:tc>
        <w:tc>
          <w:tcPr>
            <w:tcW w:w="969" w:type="dxa"/>
            <w:tcBorders>
              <w:tl2br w:val="nil"/>
              <w:tr2bl w:val="nil"/>
            </w:tcBorders>
            <w:vAlign w:val="center"/>
          </w:tcPr>
          <w:p w14:paraId="76383A4C">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highlight w:val="none"/>
              </w:rPr>
            </w:pPr>
          </w:p>
        </w:tc>
        <w:tc>
          <w:tcPr>
            <w:tcW w:w="1260" w:type="dxa"/>
            <w:tcBorders>
              <w:tl2br w:val="nil"/>
              <w:tr2bl w:val="nil"/>
            </w:tcBorders>
            <w:vAlign w:val="center"/>
          </w:tcPr>
          <w:p w14:paraId="23003453">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highlight w:val="none"/>
              </w:rPr>
            </w:pPr>
          </w:p>
        </w:tc>
        <w:tc>
          <w:tcPr>
            <w:tcW w:w="1023" w:type="dxa"/>
            <w:tcBorders>
              <w:tl2br w:val="nil"/>
              <w:tr2bl w:val="nil"/>
            </w:tcBorders>
            <w:vAlign w:val="center"/>
          </w:tcPr>
          <w:p w14:paraId="2F0A0AE0">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highlight w:val="none"/>
              </w:rPr>
            </w:pPr>
          </w:p>
        </w:tc>
        <w:tc>
          <w:tcPr>
            <w:tcW w:w="1968" w:type="dxa"/>
            <w:tcBorders>
              <w:tl2br w:val="nil"/>
              <w:tr2bl w:val="nil"/>
            </w:tcBorders>
            <w:vAlign w:val="center"/>
          </w:tcPr>
          <w:p w14:paraId="570D8D3A">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highlight w:val="none"/>
              </w:rPr>
            </w:pPr>
          </w:p>
        </w:tc>
        <w:tc>
          <w:tcPr>
            <w:tcW w:w="1672" w:type="dxa"/>
            <w:tcBorders>
              <w:tl2br w:val="nil"/>
              <w:tr2bl w:val="nil"/>
            </w:tcBorders>
            <w:vAlign w:val="center"/>
          </w:tcPr>
          <w:p w14:paraId="40C8FB67">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highlight w:val="none"/>
              </w:rPr>
            </w:pPr>
          </w:p>
        </w:tc>
        <w:tc>
          <w:tcPr>
            <w:tcW w:w="1159" w:type="dxa"/>
            <w:tcBorders>
              <w:tl2br w:val="nil"/>
              <w:tr2bl w:val="nil"/>
            </w:tcBorders>
            <w:vAlign w:val="center"/>
          </w:tcPr>
          <w:p w14:paraId="57CBF1AA">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highlight w:val="none"/>
              </w:rPr>
            </w:pPr>
          </w:p>
        </w:tc>
      </w:tr>
      <w:tr w14:paraId="375E1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185" w:type="dxa"/>
            <w:gridSpan w:val="7"/>
            <w:tcBorders>
              <w:tl2br w:val="nil"/>
              <w:tr2bl w:val="nil"/>
            </w:tcBorders>
            <w:vAlign w:val="center"/>
          </w:tcPr>
          <w:p w14:paraId="4F02B284">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r>
              <w:rPr>
                <w:rFonts w:hint="eastAsia" w:ascii="仿宋_GB2312" w:hAnsi="仿宋_GB2312" w:eastAsia="仿宋_GB2312" w:cs="仿宋_GB2312"/>
                <w:color w:val="auto"/>
                <w:sz w:val="28"/>
                <w:szCs w:val="28"/>
                <w:highlight w:val="none"/>
                <w:lang w:val="en-US" w:eastAsia="zh-CN"/>
              </w:rPr>
              <w:t>技术人员</w:t>
            </w:r>
          </w:p>
        </w:tc>
      </w:tr>
      <w:tr w14:paraId="11A13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l2br w:val="nil"/>
              <w:tr2bl w:val="nil"/>
            </w:tcBorders>
            <w:vAlign w:val="center"/>
          </w:tcPr>
          <w:p w14:paraId="0886769F">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姓名</w:t>
            </w:r>
          </w:p>
        </w:tc>
        <w:tc>
          <w:tcPr>
            <w:tcW w:w="969" w:type="dxa"/>
            <w:tcBorders>
              <w:tl2br w:val="nil"/>
              <w:tr2bl w:val="nil"/>
            </w:tcBorders>
            <w:vAlign w:val="center"/>
          </w:tcPr>
          <w:p w14:paraId="249D52D1">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年龄</w:t>
            </w:r>
          </w:p>
        </w:tc>
        <w:tc>
          <w:tcPr>
            <w:tcW w:w="1260" w:type="dxa"/>
            <w:tcBorders>
              <w:tl2br w:val="nil"/>
              <w:tr2bl w:val="nil"/>
            </w:tcBorders>
            <w:vAlign w:val="center"/>
          </w:tcPr>
          <w:p w14:paraId="03BB6503">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资格</w:t>
            </w:r>
          </w:p>
        </w:tc>
        <w:tc>
          <w:tcPr>
            <w:tcW w:w="1023" w:type="dxa"/>
            <w:tcBorders>
              <w:tl2br w:val="nil"/>
              <w:tr2bl w:val="nil"/>
            </w:tcBorders>
            <w:vAlign w:val="center"/>
          </w:tcPr>
          <w:p w14:paraId="2509CB29">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职称</w:t>
            </w:r>
          </w:p>
        </w:tc>
        <w:tc>
          <w:tcPr>
            <w:tcW w:w="1968" w:type="dxa"/>
            <w:tcBorders>
              <w:tl2br w:val="nil"/>
              <w:tr2bl w:val="nil"/>
            </w:tcBorders>
            <w:vAlign w:val="center"/>
          </w:tcPr>
          <w:p w14:paraId="25E5BAA9">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在本行业从业工作年限</w:t>
            </w:r>
          </w:p>
        </w:tc>
        <w:tc>
          <w:tcPr>
            <w:tcW w:w="1672" w:type="dxa"/>
            <w:tcBorders>
              <w:tl2br w:val="nil"/>
              <w:tr2bl w:val="nil"/>
            </w:tcBorders>
            <w:vAlign w:val="center"/>
          </w:tcPr>
          <w:p w14:paraId="59D1EF15">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主要工作</w:t>
            </w:r>
          </w:p>
          <w:p w14:paraId="58AB5B1C">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业绩和经历</w:t>
            </w:r>
          </w:p>
        </w:tc>
        <w:tc>
          <w:tcPr>
            <w:tcW w:w="1159" w:type="dxa"/>
            <w:tcBorders>
              <w:tl2br w:val="nil"/>
              <w:tr2bl w:val="nil"/>
            </w:tcBorders>
            <w:vAlign w:val="center"/>
          </w:tcPr>
          <w:p w14:paraId="6A153625">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本项目</w:t>
            </w:r>
          </w:p>
          <w:p w14:paraId="348257E4">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分工</w:t>
            </w:r>
          </w:p>
        </w:tc>
      </w:tr>
      <w:tr w14:paraId="28A36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l2br w:val="nil"/>
              <w:tr2bl w:val="nil"/>
            </w:tcBorders>
            <w:vAlign w:val="center"/>
          </w:tcPr>
          <w:p w14:paraId="0B648ED2">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rPr>
            </w:pPr>
          </w:p>
        </w:tc>
        <w:tc>
          <w:tcPr>
            <w:tcW w:w="969" w:type="dxa"/>
            <w:tcBorders>
              <w:tl2br w:val="nil"/>
              <w:tr2bl w:val="nil"/>
            </w:tcBorders>
            <w:vAlign w:val="center"/>
          </w:tcPr>
          <w:p w14:paraId="5E0F8F6B">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rPr>
            </w:pPr>
          </w:p>
        </w:tc>
        <w:tc>
          <w:tcPr>
            <w:tcW w:w="1260" w:type="dxa"/>
            <w:tcBorders>
              <w:tl2br w:val="nil"/>
              <w:tr2bl w:val="nil"/>
            </w:tcBorders>
            <w:vAlign w:val="center"/>
          </w:tcPr>
          <w:p w14:paraId="747FA8E8">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rPr>
            </w:pPr>
          </w:p>
        </w:tc>
        <w:tc>
          <w:tcPr>
            <w:tcW w:w="1023" w:type="dxa"/>
            <w:tcBorders>
              <w:tl2br w:val="nil"/>
              <w:tr2bl w:val="nil"/>
            </w:tcBorders>
            <w:vAlign w:val="center"/>
          </w:tcPr>
          <w:p w14:paraId="6316613A">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rPr>
            </w:pPr>
          </w:p>
        </w:tc>
        <w:tc>
          <w:tcPr>
            <w:tcW w:w="1968" w:type="dxa"/>
            <w:tcBorders>
              <w:tl2br w:val="nil"/>
              <w:tr2bl w:val="nil"/>
            </w:tcBorders>
            <w:vAlign w:val="center"/>
          </w:tcPr>
          <w:p w14:paraId="00D22161">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rPr>
            </w:pPr>
          </w:p>
        </w:tc>
        <w:tc>
          <w:tcPr>
            <w:tcW w:w="1672" w:type="dxa"/>
            <w:tcBorders>
              <w:tl2br w:val="nil"/>
              <w:tr2bl w:val="nil"/>
            </w:tcBorders>
            <w:vAlign w:val="center"/>
          </w:tcPr>
          <w:p w14:paraId="04F7F52C">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rPr>
            </w:pPr>
          </w:p>
        </w:tc>
        <w:tc>
          <w:tcPr>
            <w:tcW w:w="1159" w:type="dxa"/>
            <w:tcBorders>
              <w:tl2br w:val="nil"/>
              <w:tr2bl w:val="nil"/>
            </w:tcBorders>
            <w:vAlign w:val="center"/>
          </w:tcPr>
          <w:p w14:paraId="453F1F91">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rPr>
            </w:pPr>
          </w:p>
        </w:tc>
      </w:tr>
      <w:tr w14:paraId="66F4C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l2br w:val="nil"/>
              <w:tr2bl w:val="nil"/>
            </w:tcBorders>
            <w:vAlign w:val="center"/>
          </w:tcPr>
          <w:p w14:paraId="450948A9">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rPr>
            </w:pPr>
          </w:p>
        </w:tc>
        <w:tc>
          <w:tcPr>
            <w:tcW w:w="969" w:type="dxa"/>
            <w:tcBorders>
              <w:tl2br w:val="nil"/>
              <w:tr2bl w:val="nil"/>
            </w:tcBorders>
            <w:vAlign w:val="center"/>
          </w:tcPr>
          <w:p w14:paraId="67D476AA">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rPr>
            </w:pPr>
          </w:p>
        </w:tc>
        <w:tc>
          <w:tcPr>
            <w:tcW w:w="1260" w:type="dxa"/>
            <w:tcBorders>
              <w:tl2br w:val="nil"/>
              <w:tr2bl w:val="nil"/>
            </w:tcBorders>
            <w:vAlign w:val="center"/>
          </w:tcPr>
          <w:p w14:paraId="0967F158">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rPr>
            </w:pPr>
          </w:p>
        </w:tc>
        <w:tc>
          <w:tcPr>
            <w:tcW w:w="1023" w:type="dxa"/>
            <w:tcBorders>
              <w:tl2br w:val="nil"/>
              <w:tr2bl w:val="nil"/>
            </w:tcBorders>
            <w:vAlign w:val="center"/>
          </w:tcPr>
          <w:p w14:paraId="5EFBC93D">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rPr>
            </w:pPr>
          </w:p>
        </w:tc>
        <w:tc>
          <w:tcPr>
            <w:tcW w:w="1968" w:type="dxa"/>
            <w:tcBorders>
              <w:tl2br w:val="nil"/>
              <w:tr2bl w:val="nil"/>
            </w:tcBorders>
            <w:vAlign w:val="center"/>
          </w:tcPr>
          <w:p w14:paraId="44A7535A">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rPr>
            </w:pPr>
          </w:p>
        </w:tc>
        <w:tc>
          <w:tcPr>
            <w:tcW w:w="1672" w:type="dxa"/>
            <w:tcBorders>
              <w:tl2br w:val="nil"/>
              <w:tr2bl w:val="nil"/>
            </w:tcBorders>
            <w:vAlign w:val="center"/>
          </w:tcPr>
          <w:p w14:paraId="34EC59BE">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rPr>
            </w:pPr>
          </w:p>
        </w:tc>
        <w:tc>
          <w:tcPr>
            <w:tcW w:w="1159" w:type="dxa"/>
            <w:tcBorders>
              <w:tl2br w:val="nil"/>
              <w:tr2bl w:val="nil"/>
            </w:tcBorders>
            <w:vAlign w:val="center"/>
          </w:tcPr>
          <w:p w14:paraId="0DA0BFE2">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rPr>
            </w:pPr>
          </w:p>
        </w:tc>
      </w:tr>
      <w:tr w14:paraId="7D425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l2br w:val="nil"/>
              <w:tr2bl w:val="nil"/>
            </w:tcBorders>
            <w:vAlign w:val="center"/>
          </w:tcPr>
          <w:p w14:paraId="18F3F7F9">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备注</w:t>
            </w:r>
          </w:p>
        </w:tc>
        <w:tc>
          <w:tcPr>
            <w:tcW w:w="8051" w:type="dxa"/>
            <w:gridSpan w:val="6"/>
            <w:tcBorders>
              <w:tl2br w:val="nil"/>
              <w:tr2bl w:val="nil"/>
            </w:tcBorders>
            <w:vAlign w:val="center"/>
          </w:tcPr>
          <w:p w14:paraId="66EA3CCB">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表格空间不足时请自行扩展。</w:t>
            </w:r>
          </w:p>
        </w:tc>
      </w:tr>
    </w:tbl>
    <w:p w14:paraId="2BD9633E">
      <w:pPr>
        <w:pStyle w:val="2"/>
        <w:rPr>
          <w:color w:val="auto"/>
        </w:rPr>
      </w:pPr>
    </w:p>
    <w:sectPr>
      <w:pgSz w:w="11906" w:h="16838"/>
      <w:pgMar w:top="1417" w:right="1417" w:bottom="1417" w:left="1417" w:header="850" w:footer="992" w:gutter="0"/>
      <w:pgBorders>
        <w:top w:val="none" w:sz="0" w:space="0"/>
        <w:left w:val="none" w:sz="0" w:space="0"/>
        <w:bottom w:val="none" w:sz="0" w:space="0"/>
        <w:right w:val="none" w:sz="0" w:space="0"/>
      </w:pgBorders>
      <w:cols w:space="0" w:num="1"/>
      <w:rtlGutter w:val="0"/>
      <w:docGrid w:type="linesAndChars" w:linePitch="394" w:charSpace="258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auto"/>
    <w:pitch w:val="default"/>
    <w:sig w:usb0="00000000" w:usb1="00000000" w:usb2="0000003F" w:usb3="00000000" w:csb0="603F01FF" w:csb1="FFFF0000"/>
  </w:font>
  <w:font w:name="方正小标宋简体">
    <w:altName w:val="黑体"/>
    <w:panose1 w:val="03000509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63A8AF">
    <w:pPr>
      <w:pStyle w:val="13"/>
      <w:tabs>
        <w:tab w:val="clear" w:pos="4153"/>
        <w:tab w:val="clear" w:pos="8306"/>
      </w:tabs>
      <w:jc w:val="center"/>
      <w:rPr>
        <w:rFonts w:ascii="宋体" w:hAnsi="宋体" w:eastAsia="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9F4265">
    <w:pPr>
      <w:pStyle w:val="13"/>
      <w:tabs>
        <w:tab w:val="clear" w:pos="4153"/>
        <w:tab w:val="clear" w:pos="8306"/>
      </w:tabs>
      <w:jc w:val="center"/>
      <w:rPr>
        <w:rFonts w:ascii="宋体" w:hAnsi="宋体" w:eastAsia="宋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7859B">
    <w:pPr>
      <w:pStyle w:val="13"/>
      <w:tabs>
        <w:tab w:val="center" w:pos="4536"/>
        <w:tab w:val="right" w:pos="10489"/>
        <w:tab w:val="clear" w:pos="4153"/>
        <w:tab w:val="clear" w:pos="8306"/>
      </w:tabs>
      <w:jc w:val="center"/>
      <w:rPr>
        <w:rFonts w:ascii="宋体" w:hAnsi="宋体" w:eastAsia="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41D62F">
                          <w:pPr>
                            <w:pStyle w:val="1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33</w:t>
                          </w:r>
                          <w:r>
                            <w:rPr>
                              <w:rFonts w:hint="eastAsia"/>
                            </w:rPr>
                            <w:fldChar w:fldCharType="end"/>
                          </w:r>
                          <w:r>
                            <w:rPr>
                              <w:rFonts w:hint="eastAsia"/>
                            </w:rPr>
                            <w:t xml:space="preserve"> 页 共 </w:t>
                          </w:r>
                          <w:r>
                            <w:rPr>
                              <w:rFonts w:hint="eastAsia"/>
                              <w:lang w:val="en-US" w:eastAsia="zh-CN"/>
                            </w:rPr>
                            <w:t xml:space="preserve">52 </w:t>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5241D62F">
                    <w:pPr>
                      <w:pStyle w:val="1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33</w:t>
                    </w:r>
                    <w:r>
                      <w:rPr>
                        <w:rFonts w:hint="eastAsia"/>
                      </w:rPr>
                      <w:fldChar w:fldCharType="end"/>
                    </w:r>
                    <w:r>
                      <w:rPr>
                        <w:rFonts w:hint="eastAsia"/>
                      </w:rPr>
                      <w:t xml:space="preserve"> 页 共 </w:t>
                    </w:r>
                    <w:r>
                      <w:rPr>
                        <w:rFonts w:hint="eastAsia"/>
                        <w:lang w:val="en-US" w:eastAsia="zh-CN"/>
                      </w:rPr>
                      <w:t xml:space="preserve">52 </w:t>
                    </w:r>
                    <w:r>
                      <w:rPr>
                        <w:rFonts w:hint="eastAsia"/>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C6CD12">
    <w:pPr>
      <w:pStyle w:val="13"/>
      <w:tabs>
        <w:tab w:val="clear" w:pos="4153"/>
        <w:tab w:val="clear" w:pos="8306"/>
      </w:tabs>
      <w:rPr>
        <w:rFonts w:ascii="宋体" w:hAnsi="宋体" w:eastAsia="宋体"/>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01B75E">
                          <w:pPr>
                            <w:pStyle w:val="1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63</w:t>
                          </w:r>
                          <w:r>
                            <w:rPr>
                              <w:rFonts w:hint="eastAsia"/>
                            </w:rPr>
                            <w:fldChar w:fldCharType="end"/>
                          </w:r>
                          <w:r>
                            <w:rPr>
                              <w:rFonts w:hint="eastAsia"/>
                            </w:rPr>
                            <w:t xml:space="preserve"> 页 共 </w:t>
                          </w:r>
                          <w:r>
                            <w:rPr>
                              <w:rFonts w:hint="eastAsia"/>
                              <w:lang w:val="en-US" w:eastAsia="zh-CN"/>
                            </w:rPr>
                            <w:t xml:space="preserve">52 </w:t>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5901B75E">
                    <w:pPr>
                      <w:pStyle w:val="1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63</w:t>
                    </w:r>
                    <w:r>
                      <w:rPr>
                        <w:rFonts w:hint="eastAsia"/>
                      </w:rPr>
                      <w:fldChar w:fldCharType="end"/>
                    </w:r>
                    <w:r>
                      <w:rPr>
                        <w:rFonts w:hint="eastAsia"/>
                      </w:rPr>
                      <w:t xml:space="preserve"> 页 共 </w:t>
                    </w:r>
                    <w:r>
                      <w:rPr>
                        <w:rFonts w:hint="eastAsia"/>
                        <w:lang w:val="en-US" w:eastAsia="zh-CN"/>
                      </w:rPr>
                      <w:t xml:space="preserve">52 </w:t>
                    </w:r>
                    <w:r>
                      <w:rPr>
                        <w:rFonts w:hint="eastAsia"/>
                      </w:rPr>
                      <w:t>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C69DC">
    <w:pPr>
      <w:pStyle w:val="13"/>
      <w:tabs>
        <w:tab w:val="clear" w:pos="4153"/>
        <w:tab w:val="clear" w:pos="8306"/>
      </w:tabs>
    </w:pPr>
    <w:r>
      <w:rPr>
        <w:rFonts w:hint="eastAsia" w:ascii="宋体" w:hAnsi="宋体" w:eastAsia="宋体"/>
      </w:rPr>
      <w:t>西安市市级单位政府采购中心第</w:t>
    </w:r>
    <w:r>
      <w:rPr>
        <w:rFonts w:ascii="宋体" w:hAnsi="宋体" w:eastAsia="宋体"/>
      </w:rPr>
      <w:fldChar w:fldCharType="begin"/>
    </w:r>
    <w:r>
      <w:rPr>
        <w:rFonts w:ascii="宋体" w:hAnsi="宋体" w:eastAsia="宋体"/>
      </w:rPr>
      <w:instrText xml:space="preserve"> PAGE </w:instrText>
    </w:r>
    <w:r>
      <w:rPr>
        <w:rFonts w:ascii="宋体" w:hAnsi="宋体" w:eastAsia="宋体"/>
      </w:rPr>
      <w:fldChar w:fldCharType="separate"/>
    </w:r>
    <w:r>
      <w:rPr>
        <w:rFonts w:ascii="宋体" w:hAnsi="宋体" w:eastAsia="宋体"/>
      </w:rPr>
      <w:t>31</w:t>
    </w:r>
    <w:r>
      <w:rPr>
        <w:rFonts w:ascii="宋体" w:hAnsi="宋体" w:eastAsia="宋体"/>
      </w:rPr>
      <w:fldChar w:fldCharType="end"/>
    </w:r>
    <w:r>
      <w:rPr>
        <w:rFonts w:hint="eastAsia" w:ascii="宋体" w:hAnsi="宋体" w:eastAsia="宋体"/>
      </w:rPr>
      <w:t>页　共</w:t>
    </w:r>
    <w:r>
      <w:rPr>
        <w:rFonts w:ascii="宋体" w:hAnsi="宋体" w:eastAsia="宋体"/>
      </w:rPr>
      <w:fldChar w:fldCharType="begin"/>
    </w:r>
    <w:r>
      <w:rPr>
        <w:rFonts w:ascii="宋体" w:hAnsi="宋体" w:eastAsia="宋体"/>
      </w:rPr>
      <w:instrText xml:space="preserve"> =</w:instrText>
    </w:r>
    <w:r>
      <w:rPr>
        <w:rFonts w:ascii="宋体" w:hAnsi="宋体" w:eastAsia="宋体"/>
      </w:rPr>
      <w:fldChar w:fldCharType="begin"/>
    </w:r>
    <w:r>
      <w:rPr>
        <w:rFonts w:ascii="宋体" w:hAnsi="宋体" w:eastAsia="宋体"/>
      </w:rPr>
      <w:instrText xml:space="preserve"> NUMPAGES </w:instrText>
    </w:r>
    <w:r>
      <w:rPr>
        <w:rFonts w:ascii="宋体" w:hAnsi="宋体" w:eastAsia="宋体"/>
      </w:rPr>
      <w:fldChar w:fldCharType="separate"/>
    </w:r>
    <w:r>
      <w:rPr>
        <w:rFonts w:ascii="宋体" w:hAnsi="宋体" w:eastAsia="宋体"/>
      </w:rPr>
      <w:instrText xml:space="preserve">68</w:instrText>
    </w:r>
    <w:r>
      <w:rPr>
        <w:rFonts w:ascii="宋体" w:hAnsi="宋体" w:eastAsia="宋体"/>
      </w:rPr>
      <w:fldChar w:fldCharType="end"/>
    </w:r>
    <w:r>
      <w:rPr>
        <w:rFonts w:ascii="宋体" w:hAnsi="宋体" w:eastAsia="宋体"/>
      </w:rPr>
      <w:instrText xml:space="preserve">-1 </w:instrText>
    </w:r>
    <w:r>
      <w:rPr>
        <w:rFonts w:ascii="宋体" w:hAnsi="宋体" w:eastAsia="宋体"/>
      </w:rPr>
      <w:fldChar w:fldCharType="separate"/>
    </w:r>
    <w:r>
      <w:rPr>
        <w:rFonts w:ascii="宋体" w:hAnsi="宋体" w:eastAsia="宋体"/>
      </w:rPr>
      <w:t>67</w:t>
    </w:r>
    <w:r>
      <w:rPr>
        <w:rFonts w:ascii="宋体" w:hAnsi="宋体" w:eastAsia="宋体"/>
      </w:rPr>
      <w:fldChar w:fldCharType="end"/>
    </w:r>
    <w:r>
      <w:rPr>
        <w:rFonts w:hint="eastAsia" w:ascii="宋体" w:hAnsi="宋体" w:eastAsia="宋体"/>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FAF7B0">
    <w:pPr>
      <w:pStyle w:val="14"/>
    </w:pPr>
    <w:r>
      <w:rPr>
        <w:rFonts w:hint="eastAsia" w:ascii="宋体" w:hAnsi="宋体" w:eastAsia="宋体" w:cs="华文仿宋"/>
        <w:lang w:val="en-US" w:eastAsia="zh-CN"/>
      </w:rPr>
      <w:t>汉中市政府采购中心                                                 竞争性磋商文件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4F9FDF">
    <w:pPr>
      <w:pStyle w:val="14"/>
      <w:rPr>
        <w:rFonts w:hint="default" w:eastAsia="宋体"/>
        <w:sz w:val="21"/>
        <w:szCs w:val="21"/>
        <w:lang w:val="en-US" w:eastAsia="zh-CN"/>
      </w:rPr>
    </w:pPr>
    <w:r>
      <w:rPr>
        <w:rFonts w:hint="eastAsia" w:ascii="宋体" w:hAnsi="宋体" w:eastAsia="宋体" w:cs="华文仿宋"/>
        <w:lang w:val="en-US" w:eastAsia="zh-CN"/>
      </w:rPr>
      <w:t>汉中市政府采购中心                                                 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BA63B9"/>
    <w:multiLevelType w:val="singleLevel"/>
    <w:tmpl w:val="D7BA63B9"/>
    <w:lvl w:ilvl="0" w:tentative="0">
      <w:start w:val="1"/>
      <w:numFmt w:val="chineseCounting"/>
      <w:suff w:val="space"/>
      <w:lvlText w:val="第%1章"/>
      <w:lvlJc w:val="left"/>
      <w:rPr>
        <w:rFonts w:hint="eastAsia"/>
      </w:rPr>
    </w:lvl>
  </w:abstractNum>
  <w:abstractNum w:abstractNumId="1">
    <w:nsid w:val="EB2DA4E9"/>
    <w:multiLevelType w:val="singleLevel"/>
    <w:tmpl w:val="EB2DA4E9"/>
    <w:lvl w:ilvl="0" w:tentative="0">
      <w:start w:val="1"/>
      <w:numFmt w:val="decimal"/>
      <w:suff w:val="nothing"/>
      <w:lvlText w:val="%1、"/>
      <w:lvlJc w:val="left"/>
    </w:lvl>
  </w:abstractNum>
  <w:abstractNum w:abstractNumId="2">
    <w:nsid w:val="0053208E"/>
    <w:multiLevelType w:val="singleLevel"/>
    <w:tmpl w:val="0053208E"/>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6"/>
  <w:drawingGridVerticalSpacing w:val="197"/>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iY2EwYTliYzRhYmI5YjgwYWI5N2JkYzNiMjBlOTkifQ=="/>
  </w:docVars>
  <w:rsids>
    <w:rsidRoot w:val="15DB7622"/>
    <w:rsid w:val="0007204D"/>
    <w:rsid w:val="00294CF0"/>
    <w:rsid w:val="002B30BD"/>
    <w:rsid w:val="00331341"/>
    <w:rsid w:val="00340C6A"/>
    <w:rsid w:val="0038572B"/>
    <w:rsid w:val="003917EE"/>
    <w:rsid w:val="003E41D4"/>
    <w:rsid w:val="004F3FD4"/>
    <w:rsid w:val="007378C6"/>
    <w:rsid w:val="007A39DA"/>
    <w:rsid w:val="00934F0E"/>
    <w:rsid w:val="009716B8"/>
    <w:rsid w:val="00975546"/>
    <w:rsid w:val="009E70F5"/>
    <w:rsid w:val="00BA4780"/>
    <w:rsid w:val="00D54DC4"/>
    <w:rsid w:val="00DA0F8E"/>
    <w:rsid w:val="00EF498E"/>
    <w:rsid w:val="00F058FE"/>
    <w:rsid w:val="010518F0"/>
    <w:rsid w:val="015A5870"/>
    <w:rsid w:val="015C7263"/>
    <w:rsid w:val="015D1C6F"/>
    <w:rsid w:val="015F7C67"/>
    <w:rsid w:val="016439CE"/>
    <w:rsid w:val="01684E01"/>
    <w:rsid w:val="01903397"/>
    <w:rsid w:val="01A050EF"/>
    <w:rsid w:val="01BD7E6C"/>
    <w:rsid w:val="01C1789B"/>
    <w:rsid w:val="01C82D28"/>
    <w:rsid w:val="01CD6A8A"/>
    <w:rsid w:val="01CE3474"/>
    <w:rsid w:val="01D515BB"/>
    <w:rsid w:val="01FA3AC8"/>
    <w:rsid w:val="0204742C"/>
    <w:rsid w:val="02343D5B"/>
    <w:rsid w:val="023E3EED"/>
    <w:rsid w:val="02557B87"/>
    <w:rsid w:val="025A0286"/>
    <w:rsid w:val="028642E4"/>
    <w:rsid w:val="02891DCB"/>
    <w:rsid w:val="02BA36FE"/>
    <w:rsid w:val="02BD0EE2"/>
    <w:rsid w:val="02C11391"/>
    <w:rsid w:val="02C4205E"/>
    <w:rsid w:val="02C848FD"/>
    <w:rsid w:val="02C92162"/>
    <w:rsid w:val="02D15085"/>
    <w:rsid w:val="02E17221"/>
    <w:rsid w:val="02E307E4"/>
    <w:rsid w:val="02EF0B32"/>
    <w:rsid w:val="02FC284D"/>
    <w:rsid w:val="032A6C20"/>
    <w:rsid w:val="03427B4F"/>
    <w:rsid w:val="03460878"/>
    <w:rsid w:val="034B3DA3"/>
    <w:rsid w:val="03526AB2"/>
    <w:rsid w:val="03531D00"/>
    <w:rsid w:val="036C3D74"/>
    <w:rsid w:val="036E21FF"/>
    <w:rsid w:val="03767EB5"/>
    <w:rsid w:val="037E48A2"/>
    <w:rsid w:val="0387207F"/>
    <w:rsid w:val="039F5F7A"/>
    <w:rsid w:val="03A7685B"/>
    <w:rsid w:val="03B2157C"/>
    <w:rsid w:val="03BD2FA8"/>
    <w:rsid w:val="03D43FC2"/>
    <w:rsid w:val="03E823D6"/>
    <w:rsid w:val="03EC3438"/>
    <w:rsid w:val="03EF1CB8"/>
    <w:rsid w:val="03F22485"/>
    <w:rsid w:val="0426080F"/>
    <w:rsid w:val="0442656C"/>
    <w:rsid w:val="044762AA"/>
    <w:rsid w:val="045F127B"/>
    <w:rsid w:val="0467205E"/>
    <w:rsid w:val="046E5030"/>
    <w:rsid w:val="047F7D42"/>
    <w:rsid w:val="0489653F"/>
    <w:rsid w:val="048A6B28"/>
    <w:rsid w:val="04981D44"/>
    <w:rsid w:val="049F3DB3"/>
    <w:rsid w:val="04A04E7B"/>
    <w:rsid w:val="04A56CCB"/>
    <w:rsid w:val="04B01582"/>
    <w:rsid w:val="04C17D44"/>
    <w:rsid w:val="04C57B89"/>
    <w:rsid w:val="04C66C1A"/>
    <w:rsid w:val="05016CE4"/>
    <w:rsid w:val="050E718A"/>
    <w:rsid w:val="05210E5D"/>
    <w:rsid w:val="05214B13"/>
    <w:rsid w:val="055F2FF6"/>
    <w:rsid w:val="0562110C"/>
    <w:rsid w:val="05686454"/>
    <w:rsid w:val="057139B6"/>
    <w:rsid w:val="057754F2"/>
    <w:rsid w:val="05A35D71"/>
    <w:rsid w:val="05B065AB"/>
    <w:rsid w:val="05D17456"/>
    <w:rsid w:val="062335AF"/>
    <w:rsid w:val="06243474"/>
    <w:rsid w:val="0637726D"/>
    <w:rsid w:val="06410743"/>
    <w:rsid w:val="064B18B7"/>
    <w:rsid w:val="064E03A2"/>
    <w:rsid w:val="068157BD"/>
    <w:rsid w:val="06843B5A"/>
    <w:rsid w:val="06B51EAB"/>
    <w:rsid w:val="06C17517"/>
    <w:rsid w:val="07195343"/>
    <w:rsid w:val="071A4FFB"/>
    <w:rsid w:val="07254389"/>
    <w:rsid w:val="07280963"/>
    <w:rsid w:val="073843F7"/>
    <w:rsid w:val="074E0A56"/>
    <w:rsid w:val="076C6CA2"/>
    <w:rsid w:val="076D5CE6"/>
    <w:rsid w:val="078508C6"/>
    <w:rsid w:val="07C92D47"/>
    <w:rsid w:val="07CA4DE5"/>
    <w:rsid w:val="07DB28A2"/>
    <w:rsid w:val="07E020CE"/>
    <w:rsid w:val="07EA4D10"/>
    <w:rsid w:val="08097B10"/>
    <w:rsid w:val="080F1B46"/>
    <w:rsid w:val="0813234A"/>
    <w:rsid w:val="08143D4E"/>
    <w:rsid w:val="081B4D10"/>
    <w:rsid w:val="08211FD1"/>
    <w:rsid w:val="08243795"/>
    <w:rsid w:val="083537ED"/>
    <w:rsid w:val="083C734E"/>
    <w:rsid w:val="083E6008"/>
    <w:rsid w:val="083F4CD5"/>
    <w:rsid w:val="08417A7B"/>
    <w:rsid w:val="085F77E6"/>
    <w:rsid w:val="086E5C87"/>
    <w:rsid w:val="08707E21"/>
    <w:rsid w:val="08712B08"/>
    <w:rsid w:val="08763D9D"/>
    <w:rsid w:val="088F579F"/>
    <w:rsid w:val="089366B6"/>
    <w:rsid w:val="08955C70"/>
    <w:rsid w:val="08970F3A"/>
    <w:rsid w:val="08976949"/>
    <w:rsid w:val="08A10645"/>
    <w:rsid w:val="08AC12A9"/>
    <w:rsid w:val="08BA2649"/>
    <w:rsid w:val="08C85A1D"/>
    <w:rsid w:val="08D06A36"/>
    <w:rsid w:val="08D8683B"/>
    <w:rsid w:val="08DC0FE3"/>
    <w:rsid w:val="08E24872"/>
    <w:rsid w:val="08EF588E"/>
    <w:rsid w:val="08F6330D"/>
    <w:rsid w:val="090C54BA"/>
    <w:rsid w:val="092F16EE"/>
    <w:rsid w:val="09555E20"/>
    <w:rsid w:val="096F7367"/>
    <w:rsid w:val="097F6C5F"/>
    <w:rsid w:val="098900BC"/>
    <w:rsid w:val="09921B5C"/>
    <w:rsid w:val="099F1A4B"/>
    <w:rsid w:val="09A44801"/>
    <w:rsid w:val="09E319B7"/>
    <w:rsid w:val="09ED721B"/>
    <w:rsid w:val="0A16231D"/>
    <w:rsid w:val="0A193620"/>
    <w:rsid w:val="0A394E5E"/>
    <w:rsid w:val="0A4214E6"/>
    <w:rsid w:val="0A554622"/>
    <w:rsid w:val="0A622F41"/>
    <w:rsid w:val="0A7A446C"/>
    <w:rsid w:val="0A7D5CED"/>
    <w:rsid w:val="0A7F7130"/>
    <w:rsid w:val="0A870BFA"/>
    <w:rsid w:val="0A9B2547"/>
    <w:rsid w:val="0AA90B70"/>
    <w:rsid w:val="0AAC4E29"/>
    <w:rsid w:val="0AF11BC9"/>
    <w:rsid w:val="0AFB176D"/>
    <w:rsid w:val="0B0B31B3"/>
    <w:rsid w:val="0B144A64"/>
    <w:rsid w:val="0B1C7012"/>
    <w:rsid w:val="0B240833"/>
    <w:rsid w:val="0B3031ED"/>
    <w:rsid w:val="0B354EB2"/>
    <w:rsid w:val="0B373F04"/>
    <w:rsid w:val="0B3F0F07"/>
    <w:rsid w:val="0B4C17B5"/>
    <w:rsid w:val="0B5155F7"/>
    <w:rsid w:val="0B6901C4"/>
    <w:rsid w:val="0B692F04"/>
    <w:rsid w:val="0B6A096C"/>
    <w:rsid w:val="0B721EFB"/>
    <w:rsid w:val="0B8556F0"/>
    <w:rsid w:val="0B894B9F"/>
    <w:rsid w:val="0B8E23DB"/>
    <w:rsid w:val="0B9C58ED"/>
    <w:rsid w:val="0BC4039D"/>
    <w:rsid w:val="0BD14F4E"/>
    <w:rsid w:val="0BDF2684"/>
    <w:rsid w:val="0BDF30E8"/>
    <w:rsid w:val="0BDF5D7D"/>
    <w:rsid w:val="0BE60A01"/>
    <w:rsid w:val="0BEC43AB"/>
    <w:rsid w:val="0C182E69"/>
    <w:rsid w:val="0C1D529F"/>
    <w:rsid w:val="0C1E1870"/>
    <w:rsid w:val="0C325E86"/>
    <w:rsid w:val="0C424E69"/>
    <w:rsid w:val="0C5D7BD6"/>
    <w:rsid w:val="0C620A1C"/>
    <w:rsid w:val="0C62343A"/>
    <w:rsid w:val="0C7C7D5B"/>
    <w:rsid w:val="0C8E6CD7"/>
    <w:rsid w:val="0CBE1B9E"/>
    <w:rsid w:val="0CC20327"/>
    <w:rsid w:val="0CC24884"/>
    <w:rsid w:val="0CE86762"/>
    <w:rsid w:val="0CEC4544"/>
    <w:rsid w:val="0D085996"/>
    <w:rsid w:val="0D256266"/>
    <w:rsid w:val="0D6E60A1"/>
    <w:rsid w:val="0D9171AE"/>
    <w:rsid w:val="0D9A1169"/>
    <w:rsid w:val="0DA9338A"/>
    <w:rsid w:val="0DE037BA"/>
    <w:rsid w:val="0DE85E53"/>
    <w:rsid w:val="0E0E4861"/>
    <w:rsid w:val="0E132C75"/>
    <w:rsid w:val="0E2E2A82"/>
    <w:rsid w:val="0E550C71"/>
    <w:rsid w:val="0E5F01E5"/>
    <w:rsid w:val="0E8363B6"/>
    <w:rsid w:val="0EB253C1"/>
    <w:rsid w:val="0EB957D3"/>
    <w:rsid w:val="0ECE1CDE"/>
    <w:rsid w:val="0ECF35E0"/>
    <w:rsid w:val="0ED94312"/>
    <w:rsid w:val="0EDB7766"/>
    <w:rsid w:val="0EED3D24"/>
    <w:rsid w:val="0EED500D"/>
    <w:rsid w:val="0F1B578D"/>
    <w:rsid w:val="0F1D03EF"/>
    <w:rsid w:val="0F3533CF"/>
    <w:rsid w:val="0F461A45"/>
    <w:rsid w:val="0F5615D4"/>
    <w:rsid w:val="0F684453"/>
    <w:rsid w:val="0F7165DD"/>
    <w:rsid w:val="0F8A6E5B"/>
    <w:rsid w:val="0F8B2DA9"/>
    <w:rsid w:val="0FAE6AEF"/>
    <w:rsid w:val="0FB15E33"/>
    <w:rsid w:val="0FDA797C"/>
    <w:rsid w:val="0FE75496"/>
    <w:rsid w:val="0FF86D48"/>
    <w:rsid w:val="100C563E"/>
    <w:rsid w:val="10292C44"/>
    <w:rsid w:val="10841837"/>
    <w:rsid w:val="10883FD1"/>
    <w:rsid w:val="109A142C"/>
    <w:rsid w:val="109F5877"/>
    <w:rsid w:val="10BB57F6"/>
    <w:rsid w:val="10BC00C6"/>
    <w:rsid w:val="10C20090"/>
    <w:rsid w:val="10E13394"/>
    <w:rsid w:val="10E36DA6"/>
    <w:rsid w:val="10FD2B76"/>
    <w:rsid w:val="110C102F"/>
    <w:rsid w:val="11181B40"/>
    <w:rsid w:val="114A462A"/>
    <w:rsid w:val="1169081A"/>
    <w:rsid w:val="118249C0"/>
    <w:rsid w:val="11B03DAF"/>
    <w:rsid w:val="11DE655A"/>
    <w:rsid w:val="12303C06"/>
    <w:rsid w:val="123E6579"/>
    <w:rsid w:val="12421048"/>
    <w:rsid w:val="124E27C4"/>
    <w:rsid w:val="125C0391"/>
    <w:rsid w:val="126F2075"/>
    <w:rsid w:val="128D6FC9"/>
    <w:rsid w:val="12950F85"/>
    <w:rsid w:val="12960862"/>
    <w:rsid w:val="12A04BDA"/>
    <w:rsid w:val="12A86650"/>
    <w:rsid w:val="12BB71B7"/>
    <w:rsid w:val="12E51257"/>
    <w:rsid w:val="12F57C06"/>
    <w:rsid w:val="12FD6D66"/>
    <w:rsid w:val="12FF18AF"/>
    <w:rsid w:val="131953F9"/>
    <w:rsid w:val="13310D86"/>
    <w:rsid w:val="134C233A"/>
    <w:rsid w:val="136F7A26"/>
    <w:rsid w:val="137B051A"/>
    <w:rsid w:val="138222F2"/>
    <w:rsid w:val="13837718"/>
    <w:rsid w:val="138C0895"/>
    <w:rsid w:val="138D048A"/>
    <w:rsid w:val="13900013"/>
    <w:rsid w:val="13931510"/>
    <w:rsid w:val="13A11597"/>
    <w:rsid w:val="13AE09B3"/>
    <w:rsid w:val="13C31130"/>
    <w:rsid w:val="13C40C8F"/>
    <w:rsid w:val="13C85D12"/>
    <w:rsid w:val="13C937D6"/>
    <w:rsid w:val="13E737B7"/>
    <w:rsid w:val="13EE393F"/>
    <w:rsid w:val="1402440B"/>
    <w:rsid w:val="1408673E"/>
    <w:rsid w:val="140E39DD"/>
    <w:rsid w:val="141C207A"/>
    <w:rsid w:val="142D54E1"/>
    <w:rsid w:val="14336CEA"/>
    <w:rsid w:val="14341855"/>
    <w:rsid w:val="14477D16"/>
    <w:rsid w:val="144B4426"/>
    <w:rsid w:val="14503183"/>
    <w:rsid w:val="14633F0B"/>
    <w:rsid w:val="14743D20"/>
    <w:rsid w:val="14774D9D"/>
    <w:rsid w:val="14817EA1"/>
    <w:rsid w:val="148D32B1"/>
    <w:rsid w:val="1493627B"/>
    <w:rsid w:val="14A539EC"/>
    <w:rsid w:val="14DA45EC"/>
    <w:rsid w:val="14E56F92"/>
    <w:rsid w:val="14F33389"/>
    <w:rsid w:val="14FB602E"/>
    <w:rsid w:val="150E3E9E"/>
    <w:rsid w:val="151F1ED6"/>
    <w:rsid w:val="1564126D"/>
    <w:rsid w:val="15645D6E"/>
    <w:rsid w:val="157F0489"/>
    <w:rsid w:val="15A614D9"/>
    <w:rsid w:val="15CA6D94"/>
    <w:rsid w:val="15D226A2"/>
    <w:rsid w:val="15DB7622"/>
    <w:rsid w:val="162271CE"/>
    <w:rsid w:val="16300397"/>
    <w:rsid w:val="163D2276"/>
    <w:rsid w:val="1646616E"/>
    <w:rsid w:val="164B7078"/>
    <w:rsid w:val="16545E33"/>
    <w:rsid w:val="16961986"/>
    <w:rsid w:val="16984A31"/>
    <w:rsid w:val="16A724A2"/>
    <w:rsid w:val="16DF64BF"/>
    <w:rsid w:val="16E25B8A"/>
    <w:rsid w:val="16FF6F24"/>
    <w:rsid w:val="170555E3"/>
    <w:rsid w:val="172547B0"/>
    <w:rsid w:val="17562AFA"/>
    <w:rsid w:val="17614F9A"/>
    <w:rsid w:val="176E561B"/>
    <w:rsid w:val="178701A0"/>
    <w:rsid w:val="178D3B42"/>
    <w:rsid w:val="17CD1BB2"/>
    <w:rsid w:val="17EB105E"/>
    <w:rsid w:val="17F54509"/>
    <w:rsid w:val="180D61E0"/>
    <w:rsid w:val="181417AB"/>
    <w:rsid w:val="18460FF6"/>
    <w:rsid w:val="184B4224"/>
    <w:rsid w:val="184F21B3"/>
    <w:rsid w:val="186802BC"/>
    <w:rsid w:val="18864D3A"/>
    <w:rsid w:val="18890233"/>
    <w:rsid w:val="189A4C02"/>
    <w:rsid w:val="18A626E9"/>
    <w:rsid w:val="18A74FE1"/>
    <w:rsid w:val="18A90755"/>
    <w:rsid w:val="18B428F3"/>
    <w:rsid w:val="18B77BA2"/>
    <w:rsid w:val="18BA17D8"/>
    <w:rsid w:val="18C835DC"/>
    <w:rsid w:val="18CB4DD4"/>
    <w:rsid w:val="18D41CCF"/>
    <w:rsid w:val="18E1122A"/>
    <w:rsid w:val="190A1374"/>
    <w:rsid w:val="19192C89"/>
    <w:rsid w:val="19364865"/>
    <w:rsid w:val="19392B48"/>
    <w:rsid w:val="195E4D01"/>
    <w:rsid w:val="19961403"/>
    <w:rsid w:val="19A07745"/>
    <w:rsid w:val="19B25FC3"/>
    <w:rsid w:val="19BF282D"/>
    <w:rsid w:val="19C0263E"/>
    <w:rsid w:val="19CD08FA"/>
    <w:rsid w:val="19D22C3D"/>
    <w:rsid w:val="19F0518E"/>
    <w:rsid w:val="1A0D68EB"/>
    <w:rsid w:val="1A2B68D6"/>
    <w:rsid w:val="1A50307B"/>
    <w:rsid w:val="1A810701"/>
    <w:rsid w:val="1A9D590B"/>
    <w:rsid w:val="1AA441E5"/>
    <w:rsid w:val="1AC85D1B"/>
    <w:rsid w:val="1ACC5E1B"/>
    <w:rsid w:val="1AD304B8"/>
    <w:rsid w:val="1AD532A6"/>
    <w:rsid w:val="1ADA6B24"/>
    <w:rsid w:val="1AE006FC"/>
    <w:rsid w:val="1AE21AC3"/>
    <w:rsid w:val="1AFB6292"/>
    <w:rsid w:val="1AFF05E0"/>
    <w:rsid w:val="1B0374CB"/>
    <w:rsid w:val="1B1021D6"/>
    <w:rsid w:val="1B2E0D2F"/>
    <w:rsid w:val="1B34316D"/>
    <w:rsid w:val="1B3C49CA"/>
    <w:rsid w:val="1B4771C2"/>
    <w:rsid w:val="1B7D49F7"/>
    <w:rsid w:val="1B8E56AB"/>
    <w:rsid w:val="1BA80A6F"/>
    <w:rsid w:val="1BB14E66"/>
    <w:rsid w:val="1BE04391"/>
    <w:rsid w:val="1BE31C2B"/>
    <w:rsid w:val="1BF8652E"/>
    <w:rsid w:val="1C2E65C9"/>
    <w:rsid w:val="1C2F716F"/>
    <w:rsid w:val="1C3E54EB"/>
    <w:rsid w:val="1C3F3D72"/>
    <w:rsid w:val="1C552039"/>
    <w:rsid w:val="1C796C6B"/>
    <w:rsid w:val="1C8A3C5A"/>
    <w:rsid w:val="1C8F7303"/>
    <w:rsid w:val="1C901B90"/>
    <w:rsid w:val="1C967A89"/>
    <w:rsid w:val="1CAE291B"/>
    <w:rsid w:val="1CC21924"/>
    <w:rsid w:val="1CD15C79"/>
    <w:rsid w:val="1CDD6D9F"/>
    <w:rsid w:val="1CF458DE"/>
    <w:rsid w:val="1D126A49"/>
    <w:rsid w:val="1D1B4F27"/>
    <w:rsid w:val="1D20081E"/>
    <w:rsid w:val="1D335514"/>
    <w:rsid w:val="1D356CC0"/>
    <w:rsid w:val="1D501181"/>
    <w:rsid w:val="1D70376F"/>
    <w:rsid w:val="1D8343E7"/>
    <w:rsid w:val="1D992236"/>
    <w:rsid w:val="1DA51267"/>
    <w:rsid w:val="1DC27599"/>
    <w:rsid w:val="1DE42258"/>
    <w:rsid w:val="1DF82208"/>
    <w:rsid w:val="1DFB27F1"/>
    <w:rsid w:val="1E0D6943"/>
    <w:rsid w:val="1E150EE3"/>
    <w:rsid w:val="1E3C4FCE"/>
    <w:rsid w:val="1E5A2132"/>
    <w:rsid w:val="1E776749"/>
    <w:rsid w:val="1E820D2A"/>
    <w:rsid w:val="1E8F1ECA"/>
    <w:rsid w:val="1E9546A5"/>
    <w:rsid w:val="1E9B1F5F"/>
    <w:rsid w:val="1EA37146"/>
    <w:rsid w:val="1EAB1ADB"/>
    <w:rsid w:val="1EAC4085"/>
    <w:rsid w:val="1EBF5830"/>
    <w:rsid w:val="1EC645BF"/>
    <w:rsid w:val="1EC67C8F"/>
    <w:rsid w:val="1ED8574D"/>
    <w:rsid w:val="1EDC1A7B"/>
    <w:rsid w:val="1EDD7FA9"/>
    <w:rsid w:val="1EED7099"/>
    <w:rsid w:val="1F0268BD"/>
    <w:rsid w:val="1F0F280A"/>
    <w:rsid w:val="1F1260D8"/>
    <w:rsid w:val="1F2422DF"/>
    <w:rsid w:val="1F2B2168"/>
    <w:rsid w:val="1F306773"/>
    <w:rsid w:val="1F321C14"/>
    <w:rsid w:val="1F346CA0"/>
    <w:rsid w:val="1F4C66FE"/>
    <w:rsid w:val="1F77014D"/>
    <w:rsid w:val="1F827198"/>
    <w:rsid w:val="1F876088"/>
    <w:rsid w:val="1F8C2A73"/>
    <w:rsid w:val="1F925678"/>
    <w:rsid w:val="1F9F20EA"/>
    <w:rsid w:val="1FB20F28"/>
    <w:rsid w:val="1FB47EFC"/>
    <w:rsid w:val="1FD35342"/>
    <w:rsid w:val="1FDB5C4A"/>
    <w:rsid w:val="200705EA"/>
    <w:rsid w:val="203945B9"/>
    <w:rsid w:val="2042167B"/>
    <w:rsid w:val="20491DF1"/>
    <w:rsid w:val="204D2CD4"/>
    <w:rsid w:val="20500A32"/>
    <w:rsid w:val="205D4EF1"/>
    <w:rsid w:val="20677454"/>
    <w:rsid w:val="20787973"/>
    <w:rsid w:val="207F496E"/>
    <w:rsid w:val="20885D40"/>
    <w:rsid w:val="20A21E92"/>
    <w:rsid w:val="20A37050"/>
    <w:rsid w:val="20A91698"/>
    <w:rsid w:val="20B53E4A"/>
    <w:rsid w:val="20BA6848"/>
    <w:rsid w:val="20C430EF"/>
    <w:rsid w:val="20E07AF1"/>
    <w:rsid w:val="20F37841"/>
    <w:rsid w:val="210F4172"/>
    <w:rsid w:val="21263134"/>
    <w:rsid w:val="215E7F7D"/>
    <w:rsid w:val="216545BF"/>
    <w:rsid w:val="216A5B17"/>
    <w:rsid w:val="21881D08"/>
    <w:rsid w:val="218C5F60"/>
    <w:rsid w:val="218D3E5D"/>
    <w:rsid w:val="21910AEA"/>
    <w:rsid w:val="21AA2BB6"/>
    <w:rsid w:val="21CE6EEF"/>
    <w:rsid w:val="21D073B0"/>
    <w:rsid w:val="21D72497"/>
    <w:rsid w:val="21DE4542"/>
    <w:rsid w:val="21EB6A1B"/>
    <w:rsid w:val="21ED538F"/>
    <w:rsid w:val="21F0447F"/>
    <w:rsid w:val="21F77868"/>
    <w:rsid w:val="21FB63BA"/>
    <w:rsid w:val="2217504C"/>
    <w:rsid w:val="221E3587"/>
    <w:rsid w:val="223E2DC4"/>
    <w:rsid w:val="22491C26"/>
    <w:rsid w:val="224E07D8"/>
    <w:rsid w:val="22554647"/>
    <w:rsid w:val="22575CE6"/>
    <w:rsid w:val="2264646B"/>
    <w:rsid w:val="226C52A0"/>
    <w:rsid w:val="226E2973"/>
    <w:rsid w:val="226F59C8"/>
    <w:rsid w:val="22711D00"/>
    <w:rsid w:val="22887BC3"/>
    <w:rsid w:val="229343C2"/>
    <w:rsid w:val="22FA3D86"/>
    <w:rsid w:val="231A1B0E"/>
    <w:rsid w:val="231B09DE"/>
    <w:rsid w:val="23222DE2"/>
    <w:rsid w:val="23244A98"/>
    <w:rsid w:val="23373684"/>
    <w:rsid w:val="23567880"/>
    <w:rsid w:val="237D15F6"/>
    <w:rsid w:val="23876DB6"/>
    <w:rsid w:val="238C2D74"/>
    <w:rsid w:val="239048BE"/>
    <w:rsid w:val="23A93BDB"/>
    <w:rsid w:val="23A96390"/>
    <w:rsid w:val="23B35841"/>
    <w:rsid w:val="23C41338"/>
    <w:rsid w:val="23DC390D"/>
    <w:rsid w:val="23EF46D5"/>
    <w:rsid w:val="23F724F4"/>
    <w:rsid w:val="24042BDB"/>
    <w:rsid w:val="24234AF6"/>
    <w:rsid w:val="24404FB3"/>
    <w:rsid w:val="244C739C"/>
    <w:rsid w:val="245B144E"/>
    <w:rsid w:val="245D3144"/>
    <w:rsid w:val="246B7E66"/>
    <w:rsid w:val="246F4AAC"/>
    <w:rsid w:val="247E599E"/>
    <w:rsid w:val="248E26A9"/>
    <w:rsid w:val="249155FE"/>
    <w:rsid w:val="24E16FE1"/>
    <w:rsid w:val="24EB6423"/>
    <w:rsid w:val="24FB37B4"/>
    <w:rsid w:val="25064BBD"/>
    <w:rsid w:val="250A773C"/>
    <w:rsid w:val="25136D8E"/>
    <w:rsid w:val="25384B48"/>
    <w:rsid w:val="25471D43"/>
    <w:rsid w:val="254D418D"/>
    <w:rsid w:val="255179ED"/>
    <w:rsid w:val="256B6EB4"/>
    <w:rsid w:val="2571095A"/>
    <w:rsid w:val="257302A1"/>
    <w:rsid w:val="258549DE"/>
    <w:rsid w:val="259326F1"/>
    <w:rsid w:val="25C7239A"/>
    <w:rsid w:val="25F305D3"/>
    <w:rsid w:val="26016813"/>
    <w:rsid w:val="2606196B"/>
    <w:rsid w:val="26072636"/>
    <w:rsid w:val="26143C85"/>
    <w:rsid w:val="26156A2E"/>
    <w:rsid w:val="261D1E42"/>
    <w:rsid w:val="262364AE"/>
    <w:rsid w:val="26414B12"/>
    <w:rsid w:val="2664395E"/>
    <w:rsid w:val="26755ECA"/>
    <w:rsid w:val="26906045"/>
    <w:rsid w:val="269E5D92"/>
    <w:rsid w:val="26A37629"/>
    <w:rsid w:val="26C02358"/>
    <w:rsid w:val="26C77C48"/>
    <w:rsid w:val="26D20FF7"/>
    <w:rsid w:val="26D272A7"/>
    <w:rsid w:val="26D93911"/>
    <w:rsid w:val="26E63298"/>
    <w:rsid w:val="270E53C1"/>
    <w:rsid w:val="271543D2"/>
    <w:rsid w:val="27475541"/>
    <w:rsid w:val="275E46A6"/>
    <w:rsid w:val="27723BE0"/>
    <w:rsid w:val="27835FC2"/>
    <w:rsid w:val="27886618"/>
    <w:rsid w:val="278A15B2"/>
    <w:rsid w:val="278C71E1"/>
    <w:rsid w:val="279845D2"/>
    <w:rsid w:val="27B256E3"/>
    <w:rsid w:val="27D305C7"/>
    <w:rsid w:val="27D91A5B"/>
    <w:rsid w:val="27DB1F8C"/>
    <w:rsid w:val="27E31A18"/>
    <w:rsid w:val="27E70AD2"/>
    <w:rsid w:val="27E964AC"/>
    <w:rsid w:val="27EE6269"/>
    <w:rsid w:val="27F947FC"/>
    <w:rsid w:val="280B2A12"/>
    <w:rsid w:val="283F53A6"/>
    <w:rsid w:val="28424EE2"/>
    <w:rsid w:val="28453086"/>
    <w:rsid w:val="285E08D0"/>
    <w:rsid w:val="28637E3D"/>
    <w:rsid w:val="28651224"/>
    <w:rsid w:val="287B7B56"/>
    <w:rsid w:val="287C746C"/>
    <w:rsid w:val="288D49B8"/>
    <w:rsid w:val="288D78CB"/>
    <w:rsid w:val="28A15125"/>
    <w:rsid w:val="28CB1F56"/>
    <w:rsid w:val="28D30D37"/>
    <w:rsid w:val="28DF504B"/>
    <w:rsid w:val="28F224E1"/>
    <w:rsid w:val="28F358A2"/>
    <w:rsid w:val="28FC7ED2"/>
    <w:rsid w:val="290410FD"/>
    <w:rsid w:val="291A586C"/>
    <w:rsid w:val="292045F7"/>
    <w:rsid w:val="292B0B20"/>
    <w:rsid w:val="29514F8D"/>
    <w:rsid w:val="29613908"/>
    <w:rsid w:val="2967676A"/>
    <w:rsid w:val="298C582A"/>
    <w:rsid w:val="299568ED"/>
    <w:rsid w:val="299E4141"/>
    <w:rsid w:val="29CD2E3F"/>
    <w:rsid w:val="29D02637"/>
    <w:rsid w:val="29D432EC"/>
    <w:rsid w:val="29D67228"/>
    <w:rsid w:val="2A144AFA"/>
    <w:rsid w:val="2A212221"/>
    <w:rsid w:val="2A230158"/>
    <w:rsid w:val="2A3B2025"/>
    <w:rsid w:val="2A5F55C3"/>
    <w:rsid w:val="2A6F48BA"/>
    <w:rsid w:val="2A8339A2"/>
    <w:rsid w:val="2ACE1EC8"/>
    <w:rsid w:val="2ADD059B"/>
    <w:rsid w:val="2ADE61BC"/>
    <w:rsid w:val="2AE632C3"/>
    <w:rsid w:val="2B007F78"/>
    <w:rsid w:val="2B290297"/>
    <w:rsid w:val="2B4A4876"/>
    <w:rsid w:val="2B8F395A"/>
    <w:rsid w:val="2B9A382D"/>
    <w:rsid w:val="2BA0394B"/>
    <w:rsid w:val="2BA35BA3"/>
    <w:rsid w:val="2BB2311B"/>
    <w:rsid w:val="2BBD4C5A"/>
    <w:rsid w:val="2BCD150F"/>
    <w:rsid w:val="2BD93648"/>
    <w:rsid w:val="2BE34287"/>
    <w:rsid w:val="2BEC377F"/>
    <w:rsid w:val="2BFC2CAF"/>
    <w:rsid w:val="2C26758B"/>
    <w:rsid w:val="2C286B86"/>
    <w:rsid w:val="2C292C06"/>
    <w:rsid w:val="2C357305"/>
    <w:rsid w:val="2C383938"/>
    <w:rsid w:val="2C473F94"/>
    <w:rsid w:val="2C4958B7"/>
    <w:rsid w:val="2C5E4EB5"/>
    <w:rsid w:val="2C617E8F"/>
    <w:rsid w:val="2C916EC8"/>
    <w:rsid w:val="2CA65861"/>
    <w:rsid w:val="2CC828D8"/>
    <w:rsid w:val="2D0E75A7"/>
    <w:rsid w:val="2D197F39"/>
    <w:rsid w:val="2D272F05"/>
    <w:rsid w:val="2D3145A1"/>
    <w:rsid w:val="2D472455"/>
    <w:rsid w:val="2D477E26"/>
    <w:rsid w:val="2D4E0FF6"/>
    <w:rsid w:val="2D551367"/>
    <w:rsid w:val="2D9939FD"/>
    <w:rsid w:val="2DA06D16"/>
    <w:rsid w:val="2DB53831"/>
    <w:rsid w:val="2DCE3C7D"/>
    <w:rsid w:val="2DCF0D38"/>
    <w:rsid w:val="2DDB0505"/>
    <w:rsid w:val="2DF77CC5"/>
    <w:rsid w:val="2DFD104F"/>
    <w:rsid w:val="2DFF70AD"/>
    <w:rsid w:val="2E197228"/>
    <w:rsid w:val="2E490CF6"/>
    <w:rsid w:val="2E616693"/>
    <w:rsid w:val="2E640E80"/>
    <w:rsid w:val="2E685A4D"/>
    <w:rsid w:val="2E6D421C"/>
    <w:rsid w:val="2E85670C"/>
    <w:rsid w:val="2E93683E"/>
    <w:rsid w:val="2EAE51C5"/>
    <w:rsid w:val="2ECE0FF5"/>
    <w:rsid w:val="2EDB35F4"/>
    <w:rsid w:val="2EE80E9D"/>
    <w:rsid w:val="2EF105FE"/>
    <w:rsid w:val="2F124686"/>
    <w:rsid w:val="2F340AB1"/>
    <w:rsid w:val="2F3E05FD"/>
    <w:rsid w:val="2F5A04F1"/>
    <w:rsid w:val="2F702A20"/>
    <w:rsid w:val="2F7601D5"/>
    <w:rsid w:val="2F9C3813"/>
    <w:rsid w:val="2FB13E9F"/>
    <w:rsid w:val="2FB214E2"/>
    <w:rsid w:val="2FC13835"/>
    <w:rsid w:val="2FC17679"/>
    <w:rsid w:val="2FCB33B7"/>
    <w:rsid w:val="2FE82DA7"/>
    <w:rsid w:val="2FE8558C"/>
    <w:rsid w:val="2FED6249"/>
    <w:rsid w:val="2FF724D0"/>
    <w:rsid w:val="3012072F"/>
    <w:rsid w:val="30141C9C"/>
    <w:rsid w:val="301A150C"/>
    <w:rsid w:val="30233EAF"/>
    <w:rsid w:val="302D1BB3"/>
    <w:rsid w:val="30342F1D"/>
    <w:rsid w:val="30395C43"/>
    <w:rsid w:val="303F40CB"/>
    <w:rsid w:val="305344F9"/>
    <w:rsid w:val="305658CA"/>
    <w:rsid w:val="306C1DBC"/>
    <w:rsid w:val="307A4AC9"/>
    <w:rsid w:val="308929C6"/>
    <w:rsid w:val="30893359"/>
    <w:rsid w:val="308E0291"/>
    <w:rsid w:val="30942A46"/>
    <w:rsid w:val="309E477A"/>
    <w:rsid w:val="30A42698"/>
    <w:rsid w:val="30DB652B"/>
    <w:rsid w:val="30E639BE"/>
    <w:rsid w:val="30E74C0B"/>
    <w:rsid w:val="30F02844"/>
    <w:rsid w:val="30F30335"/>
    <w:rsid w:val="31051699"/>
    <w:rsid w:val="310D5CA5"/>
    <w:rsid w:val="311321B5"/>
    <w:rsid w:val="31182B58"/>
    <w:rsid w:val="311A5A74"/>
    <w:rsid w:val="311F02AF"/>
    <w:rsid w:val="313A7E15"/>
    <w:rsid w:val="3145771C"/>
    <w:rsid w:val="3151177C"/>
    <w:rsid w:val="317A3376"/>
    <w:rsid w:val="318031CF"/>
    <w:rsid w:val="31890866"/>
    <w:rsid w:val="318A77C5"/>
    <w:rsid w:val="31A063FD"/>
    <w:rsid w:val="31B4416D"/>
    <w:rsid w:val="31C854D0"/>
    <w:rsid w:val="31E150A9"/>
    <w:rsid w:val="31F5271A"/>
    <w:rsid w:val="320061DC"/>
    <w:rsid w:val="32352A7B"/>
    <w:rsid w:val="323671A4"/>
    <w:rsid w:val="3237369F"/>
    <w:rsid w:val="32406CCF"/>
    <w:rsid w:val="32463A26"/>
    <w:rsid w:val="32552500"/>
    <w:rsid w:val="326E6E6C"/>
    <w:rsid w:val="32700042"/>
    <w:rsid w:val="327166EE"/>
    <w:rsid w:val="327C087E"/>
    <w:rsid w:val="32933F60"/>
    <w:rsid w:val="329A2FAD"/>
    <w:rsid w:val="32CA3359"/>
    <w:rsid w:val="32E02AEF"/>
    <w:rsid w:val="32E5571A"/>
    <w:rsid w:val="32EB65E8"/>
    <w:rsid w:val="32EC120E"/>
    <w:rsid w:val="32EE756C"/>
    <w:rsid w:val="331623EA"/>
    <w:rsid w:val="33165D81"/>
    <w:rsid w:val="331F562A"/>
    <w:rsid w:val="331F7CDC"/>
    <w:rsid w:val="33201918"/>
    <w:rsid w:val="33275293"/>
    <w:rsid w:val="333B2E78"/>
    <w:rsid w:val="33441CFD"/>
    <w:rsid w:val="33634E42"/>
    <w:rsid w:val="3386499B"/>
    <w:rsid w:val="33B12A74"/>
    <w:rsid w:val="33B755E0"/>
    <w:rsid w:val="33EA22B9"/>
    <w:rsid w:val="33EE561B"/>
    <w:rsid w:val="33F2005B"/>
    <w:rsid w:val="340915D9"/>
    <w:rsid w:val="341660D6"/>
    <w:rsid w:val="343321E4"/>
    <w:rsid w:val="3449718C"/>
    <w:rsid w:val="345A7CDA"/>
    <w:rsid w:val="346B239F"/>
    <w:rsid w:val="3477169F"/>
    <w:rsid w:val="347845C3"/>
    <w:rsid w:val="347A4A94"/>
    <w:rsid w:val="348061C8"/>
    <w:rsid w:val="348E726D"/>
    <w:rsid w:val="34A72740"/>
    <w:rsid w:val="34A83CBD"/>
    <w:rsid w:val="34C90259"/>
    <w:rsid w:val="34F23FA0"/>
    <w:rsid w:val="34F5398E"/>
    <w:rsid w:val="350811D1"/>
    <w:rsid w:val="35232779"/>
    <w:rsid w:val="35276058"/>
    <w:rsid w:val="354E7917"/>
    <w:rsid w:val="35533564"/>
    <w:rsid w:val="357F3C0D"/>
    <w:rsid w:val="35970B46"/>
    <w:rsid w:val="359C482A"/>
    <w:rsid w:val="35A2648D"/>
    <w:rsid w:val="35EE3F20"/>
    <w:rsid w:val="3603321B"/>
    <w:rsid w:val="3638515C"/>
    <w:rsid w:val="363A1A40"/>
    <w:rsid w:val="365057CB"/>
    <w:rsid w:val="366F05D1"/>
    <w:rsid w:val="36707E4B"/>
    <w:rsid w:val="36BB1AA7"/>
    <w:rsid w:val="36C06D6C"/>
    <w:rsid w:val="36C0742F"/>
    <w:rsid w:val="36C848DD"/>
    <w:rsid w:val="36CB72FE"/>
    <w:rsid w:val="36DF115E"/>
    <w:rsid w:val="370B22B6"/>
    <w:rsid w:val="3720617D"/>
    <w:rsid w:val="375A115E"/>
    <w:rsid w:val="37786996"/>
    <w:rsid w:val="37AB7604"/>
    <w:rsid w:val="3801652E"/>
    <w:rsid w:val="380F20AB"/>
    <w:rsid w:val="38152477"/>
    <w:rsid w:val="381A3FBC"/>
    <w:rsid w:val="383115F5"/>
    <w:rsid w:val="386A4D8B"/>
    <w:rsid w:val="387060FE"/>
    <w:rsid w:val="38780152"/>
    <w:rsid w:val="38787B47"/>
    <w:rsid w:val="387D2978"/>
    <w:rsid w:val="388242C0"/>
    <w:rsid w:val="388D490B"/>
    <w:rsid w:val="38A35CBB"/>
    <w:rsid w:val="38AA19BF"/>
    <w:rsid w:val="38B3195E"/>
    <w:rsid w:val="38C53CA2"/>
    <w:rsid w:val="38CA274D"/>
    <w:rsid w:val="38D51F7C"/>
    <w:rsid w:val="38DB3D3B"/>
    <w:rsid w:val="391A3434"/>
    <w:rsid w:val="396759FD"/>
    <w:rsid w:val="397958BD"/>
    <w:rsid w:val="397D3884"/>
    <w:rsid w:val="39801E55"/>
    <w:rsid w:val="398F400C"/>
    <w:rsid w:val="398F55AF"/>
    <w:rsid w:val="39916AF0"/>
    <w:rsid w:val="399B079A"/>
    <w:rsid w:val="39BB72A2"/>
    <w:rsid w:val="39C61315"/>
    <w:rsid w:val="39DA200A"/>
    <w:rsid w:val="39DB1464"/>
    <w:rsid w:val="39E42BF1"/>
    <w:rsid w:val="39EC4848"/>
    <w:rsid w:val="39FB1FB5"/>
    <w:rsid w:val="3A1D23B3"/>
    <w:rsid w:val="3A3620BE"/>
    <w:rsid w:val="3A3932E5"/>
    <w:rsid w:val="3A3F327A"/>
    <w:rsid w:val="3A402C8E"/>
    <w:rsid w:val="3A57294E"/>
    <w:rsid w:val="3A712BA9"/>
    <w:rsid w:val="3A725720"/>
    <w:rsid w:val="3A8A623C"/>
    <w:rsid w:val="3A8C487E"/>
    <w:rsid w:val="3A8D36C6"/>
    <w:rsid w:val="3A9E50EE"/>
    <w:rsid w:val="3ABC50BD"/>
    <w:rsid w:val="3AC416E1"/>
    <w:rsid w:val="3AE47E5B"/>
    <w:rsid w:val="3AFB0727"/>
    <w:rsid w:val="3B0E7AE4"/>
    <w:rsid w:val="3B34709E"/>
    <w:rsid w:val="3B374E54"/>
    <w:rsid w:val="3B6256FC"/>
    <w:rsid w:val="3B662A70"/>
    <w:rsid w:val="3B7216AD"/>
    <w:rsid w:val="3B7A2E9E"/>
    <w:rsid w:val="3B815EBA"/>
    <w:rsid w:val="3B8B5E54"/>
    <w:rsid w:val="3B924D83"/>
    <w:rsid w:val="3B9C0F7B"/>
    <w:rsid w:val="3BA044D9"/>
    <w:rsid w:val="3BE54BE6"/>
    <w:rsid w:val="3C043541"/>
    <w:rsid w:val="3C1D0ABD"/>
    <w:rsid w:val="3C456A27"/>
    <w:rsid w:val="3C7B42E0"/>
    <w:rsid w:val="3C894E88"/>
    <w:rsid w:val="3CA37266"/>
    <w:rsid w:val="3CEF7ADE"/>
    <w:rsid w:val="3CF010B9"/>
    <w:rsid w:val="3CF61A27"/>
    <w:rsid w:val="3D1B7EA2"/>
    <w:rsid w:val="3D2116F3"/>
    <w:rsid w:val="3D2E7CCB"/>
    <w:rsid w:val="3D4B512D"/>
    <w:rsid w:val="3D4F2F4A"/>
    <w:rsid w:val="3D612479"/>
    <w:rsid w:val="3D741EAE"/>
    <w:rsid w:val="3D7E2A2B"/>
    <w:rsid w:val="3D7E6297"/>
    <w:rsid w:val="3D834075"/>
    <w:rsid w:val="3D8D740C"/>
    <w:rsid w:val="3DBA72BA"/>
    <w:rsid w:val="3DC92869"/>
    <w:rsid w:val="3DD3562E"/>
    <w:rsid w:val="3DDE52D5"/>
    <w:rsid w:val="3DEE0AC0"/>
    <w:rsid w:val="3E077CBE"/>
    <w:rsid w:val="3E0B0664"/>
    <w:rsid w:val="3E102F58"/>
    <w:rsid w:val="3E1C24A8"/>
    <w:rsid w:val="3E29618D"/>
    <w:rsid w:val="3E3C7AEA"/>
    <w:rsid w:val="3E3D4BD0"/>
    <w:rsid w:val="3E683EEA"/>
    <w:rsid w:val="3E824C64"/>
    <w:rsid w:val="3E8A0F75"/>
    <w:rsid w:val="3E987AEE"/>
    <w:rsid w:val="3E9A2284"/>
    <w:rsid w:val="3EAC34A7"/>
    <w:rsid w:val="3EB472BD"/>
    <w:rsid w:val="3F101630"/>
    <w:rsid w:val="3F15252A"/>
    <w:rsid w:val="3F1B5750"/>
    <w:rsid w:val="3F3177A8"/>
    <w:rsid w:val="3F496CBE"/>
    <w:rsid w:val="3F587306"/>
    <w:rsid w:val="3F6173B1"/>
    <w:rsid w:val="3FAE024D"/>
    <w:rsid w:val="3FF033EE"/>
    <w:rsid w:val="3FF67573"/>
    <w:rsid w:val="40210AFB"/>
    <w:rsid w:val="40213BB3"/>
    <w:rsid w:val="40275EA5"/>
    <w:rsid w:val="40546C48"/>
    <w:rsid w:val="4061451C"/>
    <w:rsid w:val="40672358"/>
    <w:rsid w:val="40701A4C"/>
    <w:rsid w:val="40741F5B"/>
    <w:rsid w:val="40774232"/>
    <w:rsid w:val="40860801"/>
    <w:rsid w:val="40865A6A"/>
    <w:rsid w:val="408E7435"/>
    <w:rsid w:val="40924816"/>
    <w:rsid w:val="40A427E0"/>
    <w:rsid w:val="40AE3E97"/>
    <w:rsid w:val="40FA1B12"/>
    <w:rsid w:val="4122513C"/>
    <w:rsid w:val="41355EF0"/>
    <w:rsid w:val="41392674"/>
    <w:rsid w:val="415D1E0C"/>
    <w:rsid w:val="41794F45"/>
    <w:rsid w:val="41C51A2C"/>
    <w:rsid w:val="41E24A0A"/>
    <w:rsid w:val="41E54201"/>
    <w:rsid w:val="41EA0EFE"/>
    <w:rsid w:val="42517364"/>
    <w:rsid w:val="4262363F"/>
    <w:rsid w:val="42866E0B"/>
    <w:rsid w:val="42887741"/>
    <w:rsid w:val="42A10A0B"/>
    <w:rsid w:val="42A82704"/>
    <w:rsid w:val="42AF630A"/>
    <w:rsid w:val="42CE76C5"/>
    <w:rsid w:val="42F51E9D"/>
    <w:rsid w:val="4305085A"/>
    <w:rsid w:val="431742E7"/>
    <w:rsid w:val="43312BDE"/>
    <w:rsid w:val="433862B6"/>
    <w:rsid w:val="43457D5C"/>
    <w:rsid w:val="436B4715"/>
    <w:rsid w:val="43743B53"/>
    <w:rsid w:val="43763D41"/>
    <w:rsid w:val="43843137"/>
    <w:rsid w:val="4391176E"/>
    <w:rsid w:val="43B545F0"/>
    <w:rsid w:val="43CF397F"/>
    <w:rsid w:val="43D01C4E"/>
    <w:rsid w:val="43EC3C39"/>
    <w:rsid w:val="43F539A2"/>
    <w:rsid w:val="442A447D"/>
    <w:rsid w:val="442E5667"/>
    <w:rsid w:val="44391ED2"/>
    <w:rsid w:val="444903F3"/>
    <w:rsid w:val="444F12A9"/>
    <w:rsid w:val="44737D06"/>
    <w:rsid w:val="449A4C45"/>
    <w:rsid w:val="44A85A06"/>
    <w:rsid w:val="44C252E7"/>
    <w:rsid w:val="44E43D61"/>
    <w:rsid w:val="44E72DD0"/>
    <w:rsid w:val="44EE10CA"/>
    <w:rsid w:val="452250F1"/>
    <w:rsid w:val="4525639F"/>
    <w:rsid w:val="452623E2"/>
    <w:rsid w:val="45284541"/>
    <w:rsid w:val="45316B5D"/>
    <w:rsid w:val="45593BE6"/>
    <w:rsid w:val="456875F0"/>
    <w:rsid w:val="456F5A54"/>
    <w:rsid w:val="45A96C77"/>
    <w:rsid w:val="45AC7614"/>
    <w:rsid w:val="45B33761"/>
    <w:rsid w:val="45C53DA9"/>
    <w:rsid w:val="45CC6425"/>
    <w:rsid w:val="463F07A1"/>
    <w:rsid w:val="46A75BA4"/>
    <w:rsid w:val="46B67097"/>
    <w:rsid w:val="46BA5F18"/>
    <w:rsid w:val="46BC3AE3"/>
    <w:rsid w:val="46BF57EA"/>
    <w:rsid w:val="46E22B80"/>
    <w:rsid w:val="47073A3C"/>
    <w:rsid w:val="471C6162"/>
    <w:rsid w:val="471D1AE4"/>
    <w:rsid w:val="471E63A8"/>
    <w:rsid w:val="474268F8"/>
    <w:rsid w:val="47450357"/>
    <w:rsid w:val="474B7E8D"/>
    <w:rsid w:val="474F4C0B"/>
    <w:rsid w:val="475F38B6"/>
    <w:rsid w:val="47685614"/>
    <w:rsid w:val="476D294A"/>
    <w:rsid w:val="477E4AE2"/>
    <w:rsid w:val="47A428C2"/>
    <w:rsid w:val="47B75973"/>
    <w:rsid w:val="47C00874"/>
    <w:rsid w:val="47D236CB"/>
    <w:rsid w:val="47E41648"/>
    <w:rsid w:val="47E71D6B"/>
    <w:rsid w:val="47E801AB"/>
    <w:rsid w:val="47EC4B78"/>
    <w:rsid w:val="47F02948"/>
    <w:rsid w:val="47FB39B9"/>
    <w:rsid w:val="480D47B9"/>
    <w:rsid w:val="48233849"/>
    <w:rsid w:val="48277842"/>
    <w:rsid w:val="483D20C4"/>
    <w:rsid w:val="48776E5E"/>
    <w:rsid w:val="48795C23"/>
    <w:rsid w:val="488C2FD7"/>
    <w:rsid w:val="48974A79"/>
    <w:rsid w:val="489F5422"/>
    <w:rsid w:val="48D14BB0"/>
    <w:rsid w:val="48D70F6B"/>
    <w:rsid w:val="48E50E7E"/>
    <w:rsid w:val="490E63AC"/>
    <w:rsid w:val="490F1DBB"/>
    <w:rsid w:val="49260A0E"/>
    <w:rsid w:val="492A7C7B"/>
    <w:rsid w:val="49750ACF"/>
    <w:rsid w:val="498768B0"/>
    <w:rsid w:val="498F1EC9"/>
    <w:rsid w:val="498F281F"/>
    <w:rsid w:val="49B471AD"/>
    <w:rsid w:val="49E1306F"/>
    <w:rsid w:val="4A0A6A2A"/>
    <w:rsid w:val="4A104F60"/>
    <w:rsid w:val="4A1277D9"/>
    <w:rsid w:val="4A204EC8"/>
    <w:rsid w:val="4A236AB7"/>
    <w:rsid w:val="4A262FA2"/>
    <w:rsid w:val="4A4C7A60"/>
    <w:rsid w:val="4A5730A3"/>
    <w:rsid w:val="4A5751EC"/>
    <w:rsid w:val="4A7D1B58"/>
    <w:rsid w:val="4A7D6FF8"/>
    <w:rsid w:val="4A907AAC"/>
    <w:rsid w:val="4AD34EFA"/>
    <w:rsid w:val="4ADD1B95"/>
    <w:rsid w:val="4AE04400"/>
    <w:rsid w:val="4AE93111"/>
    <w:rsid w:val="4B30754A"/>
    <w:rsid w:val="4B37594E"/>
    <w:rsid w:val="4B3C44DC"/>
    <w:rsid w:val="4B4546E2"/>
    <w:rsid w:val="4B5D4A84"/>
    <w:rsid w:val="4B5F5FC3"/>
    <w:rsid w:val="4B6549DC"/>
    <w:rsid w:val="4B6E06DF"/>
    <w:rsid w:val="4B937C35"/>
    <w:rsid w:val="4B9F2EFD"/>
    <w:rsid w:val="4BAF63DD"/>
    <w:rsid w:val="4BB57285"/>
    <w:rsid w:val="4BBD1489"/>
    <w:rsid w:val="4BDB0C2D"/>
    <w:rsid w:val="4C0478A6"/>
    <w:rsid w:val="4C3A380D"/>
    <w:rsid w:val="4C650674"/>
    <w:rsid w:val="4C6A0DCA"/>
    <w:rsid w:val="4C6B04B5"/>
    <w:rsid w:val="4C7F272A"/>
    <w:rsid w:val="4CB01933"/>
    <w:rsid w:val="4CB45732"/>
    <w:rsid w:val="4CBD3D2C"/>
    <w:rsid w:val="4CC24367"/>
    <w:rsid w:val="4CD160C0"/>
    <w:rsid w:val="4D022C05"/>
    <w:rsid w:val="4D1F5342"/>
    <w:rsid w:val="4D2A0DFA"/>
    <w:rsid w:val="4D2C7AF3"/>
    <w:rsid w:val="4D343260"/>
    <w:rsid w:val="4D387556"/>
    <w:rsid w:val="4D445EFB"/>
    <w:rsid w:val="4D452701"/>
    <w:rsid w:val="4D484218"/>
    <w:rsid w:val="4D5D0D6B"/>
    <w:rsid w:val="4D5F4C58"/>
    <w:rsid w:val="4D677E3B"/>
    <w:rsid w:val="4D7267BE"/>
    <w:rsid w:val="4DAA2AAB"/>
    <w:rsid w:val="4DD067B1"/>
    <w:rsid w:val="4DDC7FA5"/>
    <w:rsid w:val="4E143766"/>
    <w:rsid w:val="4E4906EE"/>
    <w:rsid w:val="4E5B5471"/>
    <w:rsid w:val="4E5C0BF1"/>
    <w:rsid w:val="4E692982"/>
    <w:rsid w:val="4E81128D"/>
    <w:rsid w:val="4E9F1F0E"/>
    <w:rsid w:val="4EAA2B9B"/>
    <w:rsid w:val="4EAC63A7"/>
    <w:rsid w:val="4EB44450"/>
    <w:rsid w:val="4EBE06E2"/>
    <w:rsid w:val="4ED211D4"/>
    <w:rsid w:val="4EF018DD"/>
    <w:rsid w:val="4F04640B"/>
    <w:rsid w:val="4F0E3BBD"/>
    <w:rsid w:val="4F144EEE"/>
    <w:rsid w:val="4F413D75"/>
    <w:rsid w:val="4F4C2A01"/>
    <w:rsid w:val="4F6B7BB9"/>
    <w:rsid w:val="4F8D0EEC"/>
    <w:rsid w:val="4F981B6D"/>
    <w:rsid w:val="4FA6654E"/>
    <w:rsid w:val="4FCC7BD9"/>
    <w:rsid w:val="4FD51E77"/>
    <w:rsid w:val="4FEF0962"/>
    <w:rsid w:val="4FF51ACA"/>
    <w:rsid w:val="4FF659D3"/>
    <w:rsid w:val="4FFB6AF8"/>
    <w:rsid w:val="502D6990"/>
    <w:rsid w:val="503A7C33"/>
    <w:rsid w:val="503B1D58"/>
    <w:rsid w:val="503B7503"/>
    <w:rsid w:val="505408EF"/>
    <w:rsid w:val="50626FEC"/>
    <w:rsid w:val="50802698"/>
    <w:rsid w:val="50B62460"/>
    <w:rsid w:val="50DF4E67"/>
    <w:rsid w:val="50E15827"/>
    <w:rsid w:val="50FF3312"/>
    <w:rsid w:val="51002F0E"/>
    <w:rsid w:val="51071B0C"/>
    <w:rsid w:val="51532F3E"/>
    <w:rsid w:val="51753008"/>
    <w:rsid w:val="517D7903"/>
    <w:rsid w:val="51A26A9F"/>
    <w:rsid w:val="51E809A2"/>
    <w:rsid w:val="51EF6CDE"/>
    <w:rsid w:val="51F219E4"/>
    <w:rsid w:val="52151A1A"/>
    <w:rsid w:val="521A27C6"/>
    <w:rsid w:val="522C13B9"/>
    <w:rsid w:val="5234116C"/>
    <w:rsid w:val="52391B1D"/>
    <w:rsid w:val="5254213E"/>
    <w:rsid w:val="526650E8"/>
    <w:rsid w:val="5274323B"/>
    <w:rsid w:val="527812C6"/>
    <w:rsid w:val="52804735"/>
    <w:rsid w:val="52AE3750"/>
    <w:rsid w:val="52B5436D"/>
    <w:rsid w:val="52BE1CC3"/>
    <w:rsid w:val="52DB195C"/>
    <w:rsid w:val="52E25026"/>
    <w:rsid w:val="52F03D33"/>
    <w:rsid w:val="53053AB0"/>
    <w:rsid w:val="530E7D45"/>
    <w:rsid w:val="531655AF"/>
    <w:rsid w:val="536E66F9"/>
    <w:rsid w:val="53733BF6"/>
    <w:rsid w:val="53873D44"/>
    <w:rsid w:val="53962B3E"/>
    <w:rsid w:val="539F4BC3"/>
    <w:rsid w:val="53C7637D"/>
    <w:rsid w:val="53C9708E"/>
    <w:rsid w:val="53CD6E9C"/>
    <w:rsid w:val="53E3217E"/>
    <w:rsid w:val="53E51640"/>
    <w:rsid w:val="53FE2DBF"/>
    <w:rsid w:val="5410069F"/>
    <w:rsid w:val="5428422D"/>
    <w:rsid w:val="542850CE"/>
    <w:rsid w:val="54370072"/>
    <w:rsid w:val="54412AB9"/>
    <w:rsid w:val="54484B90"/>
    <w:rsid w:val="545430A1"/>
    <w:rsid w:val="5459131B"/>
    <w:rsid w:val="5471114B"/>
    <w:rsid w:val="54721E9F"/>
    <w:rsid w:val="54B14A15"/>
    <w:rsid w:val="54B14ED7"/>
    <w:rsid w:val="54B57A36"/>
    <w:rsid w:val="54BE73BB"/>
    <w:rsid w:val="54C0392D"/>
    <w:rsid w:val="54C71CC1"/>
    <w:rsid w:val="54EC1A3E"/>
    <w:rsid w:val="550876C8"/>
    <w:rsid w:val="55236D3E"/>
    <w:rsid w:val="552473CE"/>
    <w:rsid w:val="55273084"/>
    <w:rsid w:val="553918DB"/>
    <w:rsid w:val="554F3566"/>
    <w:rsid w:val="55694C7A"/>
    <w:rsid w:val="557A1F24"/>
    <w:rsid w:val="557B277B"/>
    <w:rsid w:val="558A40D4"/>
    <w:rsid w:val="55A939CC"/>
    <w:rsid w:val="55AA7895"/>
    <w:rsid w:val="55BB270A"/>
    <w:rsid w:val="55DF443D"/>
    <w:rsid w:val="55E62380"/>
    <w:rsid w:val="55EF0CD5"/>
    <w:rsid w:val="55FB34EE"/>
    <w:rsid w:val="5628417F"/>
    <w:rsid w:val="562B489D"/>
    <w:rsid w:val="56310FE7"/>
    <w:rsid w:val="564357FC"/>
    <w:rsid w:val="5650554F"/>
    <w:rsid w:val="565C7725"/>
    <w:rsid w:val="56655560"/>
    <w:rsid w:val="56721800"/>
    <w:rsid w:val="568820D4"/>
    <w:rsid w:val="568D45BE"/>
    <w:rsid w:val="569D5052"/>
    <w:rsid w:val="56D33E1D"/>
    <w:rsid w:val="56D80D7B"/>
    <w:rsid w:val="56EB5C17"/>
    <w:rsid w:val="56F67432"/>
    <w:rsid w:val="56FC10C4"/>
    <w:rsid w:val="570C2AAA"/>
    <w:rsid w:val="570F06B1"/>
    <w:rsid w:val="57196811"/>
    <w:rsid w:val="57230876"/>
    <w:rsid w:val="5725461D"/>
    <w:rsid w:val="57440F69"/>
    <w:rsid w:val="5754503F"/>
    <w:rsid w:val="576378C6"/>
    <w:rsid w:val="57645644"/>
    <w:rsid w:val="578C51EE"/>
    <w:rsid w:val="57AC7CFA"/>
    <w:rsid w:val="57C2639A"/>
    <w:rsid w:val="57D33829"/>
    <w:rsid w:val="57E27D6D"/>
    <w:rsid w:val="58135902"/>
    <w:rsid w:val="581D05D2"/>
    <w:rsid w:val="581E7B89"/>
    <w:rsid w:val="58203E2B"/>
    <w:rsid w:val="58363A1E"/>
    <w:rsid w:val="583B5B55"/>
    <w:rsid w:val="583E7652"/>
    <w:rsid w:val="586C0F12"/>
    <w:rsid w:val="586E0CF8"/>
    <w:rsid w:val="587F7675"/>
    <w:rsid w:val="58AA2D4B"/>
    <w:rsid w:val="58AE53FA"/>
    <w:rsid w:val="58B0376F"/>
    <w:rsid w:val="58D24194"/>
    <w:rsid w:val="58E72DE9"/>
    <w:rsid w:val="590251D7"/>
    <w:rsid w:val="59075246"/>
    <w:rsid w:val="590810D4"/>
    <w:rsid w:val="592B1BE2"/>
    <w:rsid w:val="592D2065"/>
    <w:rsid w:val="593E07E2"/>
    <w:rsid w:val="59517920"/>
    <w:rsid w:val="59617A34"/>
    <w:rsid w:val="596C32A7"/>
    <w:rsid w:val="59721B65"/>
    <w:rsid w:val="599574FB"/>
    <w:rsid w:val="59A25F54"/>
    <w:rsid w:val="59A87F44"/>
    <w:rsid w:val="59B368E2"/>
    <w:rsid w:val="59C451A3"/>
    <w:rsid w:val="59C46400"/>
    <w:rsid w:val="59CE01AC"/>
    <w:rsid w:val="59FD3B38"/>
    <w:rsid w:val="5A0507C0"/>
    <w:rsid w:val="5A054C64"/>
    <w:rsid w:val="5A255212"/>
    <w:rsid w:val="5A290952"/>
    <w:rsid w:val="5A2B7D90"/>
    <w:rsid w:val="5A3E0765"/>
    <w:rsid w:val="5A406DEB"/>
    <w:rsid w:val="5A4640AD"/>
    <w:rsid w:val="5A493D64"/>
    <w:rsid w:val="5A583C89"/>
    <w:rsid w:val="5A5E3DF2"/>
    <w:rsid w:val="5A6E567A"/>
    <w:rsid w:val="5A8238C1"/>
    <w:rsid w:val="5A824E8E"/>
    <w:rsid w:val="5AAF6D4A"/>
    <w:rsid w:val="5AB74837"/>
    <w:rsid w:val="5AC530DC"/>
    <w:rsid w:val="5AC54D73"/>
    <w:rsid w:val="5ADF16B5"/>
    <w:rsid w:val="5B034F7D"/>
    <w:rsid w:val="5B077572"/>
    <w:rsid w:val="5B1C48F7"/>
    <w:rsid w:val="5B3D2335"/>
    <w:rsid w:val="5B596518"/>
    <w:rsid w:val="5B825172"/>
    <w:rsid w:val="5B95101E"/>
    <w:rsid w:val="5BA43574"/>
    <w:rsid w:val="5BAA3237"/>
    <w:rsid w:val="5BBA2229"/>
    <w:rsid w:val="5BC46FC8"/>
    <w:rsid w:val="5BC91312"/>
    <w:rsid w:val="5BDD6EA5"/>
    <w:rsid w:val="5BDE1220"/>
    <w:rsid w:val="5BDE3B67"/>
    <w:rsid w:val="5C1F62D6"/>
    <w:rsid w:val="5C313AEE"/>
    <w:rsid w:val="5C4471CE"/>
    <w:rsid w:val="5C510CA7"/>
    <w:rsid w:val="5C6C4B26"/>
    <w:rsid w:val="5C70627F"/>
    <w:rsid w:val="5C7429EA"/>
    <w:rsid w:val="5C78121F"/>
    <w:rsid w:val="5C7E3B46"/>
    <w:rsid w:val="5C8E6AD3"/>
    <w:rsid w:val="5C962A0F"/>
    <w:rsid w:val="5C9C63C8"/>
    <w:rsid w:val="5CA04BF9"/>
    <w:rsid w:val="5CBA15A3"/>
    <w:rsid w:val="5CD82D18"/>
    <w:rsid w:val="5CDC0BDD"/>
    <w:rsid w:val="5CE96DCA"/>
    <w:rsid w:val="5CFB0D0E"/>
    <w:rsid w:val="5D077EF5"/>
    <w:rsid w:val="5D0D570F"/>
    <w:rsid w:val="5D31543A"/>
    <w:rsid w:val="5D5061F6"/>
    <w:rsid w:val="5D590772"/>
    <w:rsid w:val="5D670BC7"/>
    <w:rsid w:val="5D6F385A"/>
    <w:rsid w:val="5D8E4CA8"/>
    <w:rsid w:val="5D920685"/>
    <w:rsid w:val="5DB86D54"/>
    <w:rsid w:val="5DBE6255"/>
    <w:rsid w:val="5DCA043A"/>
    <w:rsid w:val="5DDC5EE5"/>
    <w:rsid w:val="5DDD79A1"/>
    <w:rsid w:val="5DE06080"/>
    <w:rsid w:val="5E026B09"/>
    <w:rsid w:val="5E103836"/>
    <w:rsid w:val="5E1216FE"/>
    <w:rsid w:val="5E1C1E8A"/>
    <w:rsid w:val="5E1C4572"/>
    <w:rsid w:val="5E246A8B"/>
    <w:rsid w:val="5E303CE5"/>
    <w:rsid w:val="5E4B5198"/>
    <w:rsid w:val="5E642265"/>
    <w:rsid w:val="5EA70CDE"/>
    <w:rsid w:val="5EBE0A06"/>
    <w:rsid w:val="5ECB1CD4"/>
    <w:rsid w:val="5ED50ED8"/>
    <w:rsid w:val="5EDA258A"/>
    <w:rsid w:val="5EF779D7"/>
    <w:rsid w:val="5EFA1803"/>
    <w:rsid w:val="5EFC2014"/>
    <w:rsid w:val="5F0465E4"/>
    <w:rsid w:val="5F0E78E8"/>
    <w:rsid w:val="5F1B0A3E"/>
    <w:rsid w:val="5F3B2D6C"/>
    <w:rsid w:val="5F4D0535"/>
    <w:rsid w:val="5F57453E"/>
    <w:rsid w:val="5F5B53F6"/>
    <w:rsid w:val="5F60685A"/>
    <w:rsid w:val="5FA570E4"/>
    <w:rsid w:val="5FAC744F"/>
    <w:rsid w:val="5FC353A5"/>
    <w:rsid w:val="5FDC62ED"/>
    <w:rsid w:val="5FE819D3"/>
    <w:rsid w:val="5FED7100"/>
    <w:rsid w:val="5FF44887"/>
    <w:rsid w:val="604550F9"/>
    <w:rsid w:val="6049085F"/>
    <w:rsid w:val="6051231A"/>
    <w:rsid w:val="60554CDC"/>
    <w:rsid w:val="60580311"/>
    <w:rsid w:val="60751E3A"/>
    <w:rsid w:val="60963944"/>
    <w:rsid w:val="60994E7B"/>
    <w:rsid w:val="60DC5B8D"/>
    <w:rsid w:val="60E77EFC"/>
    <w:rsid w:val="60ED27E4"/>
    <w:rsid w:val="611C61A9"/>
    <w:rsid w:val="613926B5"/>
    <w:rsid w:val="6143479C"/>
    <w:rsid w:val="61610431"/>
    <w:rsid w:val="618C7E67"/>
    <w:rsid w:val="619A1950"/>
    <w:rsid w:val="619D4186"/>
    <w:rsid w:val="61AE7D97"/>
    <w:rsid w:val="61F80AC1"/>
    <w:rsid w:val="62031A89"/>
    <w:rsid w:val="62316AA4"/>
    <w:rsid w:val="623E241B"/>
    <w:rsid w:val="624A237C"/>
    <w:rsid w:val="62686EAA"/>
    <w:rsid w:val="62722A66"/>
    <w:rsid w:val="627D508D"/>
    <w:rsid w:val="629F78CE"/>
    <w:rsid w:val="62A226C2"/>
    <w:rsid w:val="62C8546B"/>
    <w:rsid w:val="62D813F4"/>
    <w:rsid w:val="62DC4BD7"/>
    <w:rsid w:val="630615B2"/>
    <w:rsid w:val="632073D1"/>
    <w:rsid w:val="6329520B"/>
    <w:rsid w:val="63362285"/>
    <w:rsid w:val="633C307F"/>
    <w:rsid w:val="635C5213"/>
    <w:rsid w:val="636D7EBA"/>
    <w:rsid w:val="639064E8"/>
    <w:rsid w:val="63CE15FA"/>
    <w:rsid w:val="63D83474"/>
    <w:rsid w:val="63DB6EED"/>
    <w:rsid w:val="63EF2296"/>
    <w:rsid w:val="64044E99"/>
    <w:rsid w:val="64181284"/>
    <w:rsid w:val="642D103F"/>
    <w:rsid w:val="643F15A9"/>
    <w:rsid w:val="644D1BED"/>
    <w:rsid w:val="64743A57"/>
    <w:rsid w:val="647727CB"/>
    <w:rsid w:val="6494440A"/>
    <w:rsid w:val="64962060"/>
    <w:rsid w:val="64A81117"/>
    <w:rsid w:val="64B27796"/>
    <w:rsid w:val="64B308E0"/>
    <w:rsid w:val="64C32CDA"/>
    <w:rsid w:val="64E85323"/>
    <w:rsid w:val="64E86B5E"/>
    <w:rsid w:val="64EC5266"/>
    <w:rsid w:val="650A75D2"/>
    <w:rsid w:val="65336F33"/>
    <w:rsid w:val="655834E5"/>
    <w:rsid w:val="65774DE2"/>
    <w:rsid w:val="658F6A2D"/>
    <w:rsid w:val="65A22F4F"/>
    <w:rsid w:val="65A9123D"/>
    <w:rsid w:val="65AF7C90"/>
    <w:rsid w:val="65B124D6"/>
    <w:rsid w:val="65BD2414"/>
    <w:rsid w:val="65FB194F"/>
    <w:rsid w:val="661208FC"/>
    <w:rsid w:val="661C3008"/>
    <w:rsid w:val="6626043C"/>
    <w:rsid w:val="662D301C"/>
    <w:rsid w:val="664803B2"/>
    <w:rsid w:val="664A36D1"/>
    <w:rsid w:val="665A7A13"/>
    <w:rsid w:val="6664740F"/>
    <w:rsid w:val="6665384F"/>
    <w:rsid w:val="66943F9D"/>
    <w:rsid w:val="6695367E"/>
    <w:rsid w:val="66986EFA"/>
    <w:rsid w:val="66B91561"/>
    <w:rsid w:val="66B91976"/>
    <w:rsid w:val="66B97C81"/>
    <w:rsid w:val="66F43DD4"/>
    <w:rsid w:val="66FC4493"/>
    <w:rsid w:val="670C7116"/>
    <w:rsid w:val="673452B8"/>
    <w:rsid w:val="67472245"/>
    <w:rsid w:val="674B7A80"/>
    <w:rsid w:val="675C0C10"/>
    <w:rsid w:val="67B75509"/>
    <w:rsid w:val="67C004EE"/>
    <w:rsid w:val="67CB3049"/>
    <w:rsid w:val="67DF5789"/>
    <w:rsid w:val="67E5058E"/>
    <w:rsid w:val="67E553B0"/>
    <w:rsid w:val="67EF2889"/>
    <w:rsid w:val="67FA4E8C"/>
    <w:rsid w:val="67FB568E"/>
    <w:rsid w:val="681E1C8A"/>
    <w:rsid w:val="681E74FC"/>
    <w:rsid w:val="68246020"/>
    <w:rsid w:val="6846531F"/>
    <w:rsid w:val="685A18FB"/>
    <w:rsid w:val="68790CF7"/>
    <w:rsid w:val="687C28DB"/>
    <w:rsid w:val="68907DEF"/>
    <w:rsid w:val="68976136"/>
    <w:rsid w:val="68A0278A"/>
    <w:rsid w:val="68C812E7"/>
    <w:rsid w:val="68CE0B86"/>
    <w:rsid w:val="68F540D3"/>
    <w:rsid w:val="69082643"/>
    <w:rsid w:val="69256E15"/>
    <w:rsid w:val="692764EA"/>
    <w:rsid w:val="694C4D3B"/>
    <w:rsid w:val="695976F5"/>
    <w:rsid w:val="699219DD"/>
    <w:rsid w:val="69A654F2"/>
    <w:rsid w:val="69B00A10"/>
    <w:rsid w:val="69B42EE2"/>
    <w:rsid w:val="69CB37D4"/>
    <w:rsid w:val="69D92366"/>
    <w:rsid w:val="69DE72A2"/>
    <w:rsid w:val="69E40BF9"/>
    <w:rsid w:val="69FA5E67"/>
    <w:rsid w:val="6A206100"/>
    <w:rsid w:val="6A263131"/>
    <w:rsid w:val="6A263720"/>
    <w:rsid w:val="6A330B04"/>
    <w:rsid w:val="6A426472"/>
    <w:rsid w:val="6A436AEC"/>
    <w:rsid w:val="6A717CE3"/>
    <w:rsid w:val="6A730EA4"/>
    <w:rsid w:val="6A9260A0"/>
    <w:rsid w:val="6AAB68AC"/>
    <w:rsid w:val="6AB574DF"/>
    <w:rsid w:val="6ACC62E0"/>
    <w:rsid w:val="6ACE4105"/>
    <w:rsid w:val="6AD03793"/>
    <w:rsid w:val="6AE608D0"/>
    <w:rsid w:val="6AF65840"/>
    <w:rsid w:val="6B327AFB"/>
    <w:rsid w:val="6B336006"/>
    <w:rsid w:val="6B467F07"/>
    <w:rsid w:val="6B4904A7"/>
    <w:rsid w:val="6B5E78FE"/>
    <w:rsid w:val="6B622E3D"/>
    <w:rsid w:val="6B735ED1"/>
    <w:rsid w:val="6B94255A"/>
    <w:rsid w:val="6B966DF8"/>
    <w:rsid w:val="6BA554C4"/>
    <w:rsid w:val="6BB06E24"/>
    <w:rsid w:val="6BB211A1"/>
    <w:rsid w:val="6BF71AE5"/>
    <w:rsid w:val="6BFA67A6"/>
    <w:rsid w:val="6C0C2360"/>
    <w:rsid w:val="6C1D733F"/>
    <w:rsid w:val="6C296A44"/>
    <w:rsid w:val="6C2C23C0"/>
    <w:rsid w:val="6C395525"/>
    <w:rsid w:val="6C54338D"/>
    <w:rsid w:val="6C5F747B"/>
    <w:rsid w:val="6C6643BF"/>
    <w:rsid w:val="6C667726"/>
    <w:rsid w:val="6C6B1CC8"/>
    <w:rsid w:val="6C813704"/>
    <w:rsid w:val="6CCD618B"/>
    <w:rsid w:val="6CD41A5B"/>
    <w:rsid w:val="6CD45481"/>
    <w:rsid w:val="6CE33536"/>
    <w:rsid w:val="6D0059E8"/>
    <w:rsid w:val="6D0D058A"/>
    <w:rsid w:val="6D155705"/>
    <w:rsid w:val="6D2102DD"/>
    <w:rsid w:val="6D4F5F3E"/>
    <w:rsid w:val="6D654AF0"/>
    <w:rsid w:val="6D672DF1"/>
    <w:rsid w:val="6D702BDA"/>
    <w:rsid w:val="6D7607C6"/>
    <w:rsid w:val="6D7C6B93"/>
    <w:rsid w:val="6D91680B"/>
    <w:rsid w:val="6DBE61E8"/>
    <w:rsid w:val="6DF45B50"/>
    <w:rsid w:val="6E0237C7"/>
    <w:rsid w:val="6E0F5CB7"/>
    <w:rsid w:val="6E3C46FC"/>
    <w:rsid w:val="6E487B8A"/>
    <w:rsid w:val="6E547FBE"/>
    <w:rsid w:val="6E62419F"/>
    <w:rsid w:val="6E9D322D"/>
    <w:rsid w:val="6EBB757B"/>
    <w:rsid w:val="6EC519AE"/>
    <w:rsid w:val="6ECA1928"/>
    <w:rsid w:val="6ED17380"/>
    <w:rsid w:val="6EEE6897"/>
    <w:rsid w:val="6F080E6D"/>
    <w:rsid w:val="6F086931"/>
    <w:rsid w:val="6F175ED7"/>
    <w:rsid w:val="6F1A63C1"/>
    <w:rsid w:val="6F222ACE"/>
    <w:rsid w:val="6F4106F3"/>
    <w:rsid w:val="6F570003"/>
    <w:rsid w:val="6F724588"/>
    <w:rsid w:val="6F734606"/>
    <w:rsid w:val="6F812514"/>
    <w:rsid w:val="6F8C7562"/>
    <w:rsid w:val="6F8D5CB6"/>
    <w:rsid w:val="6FA9005F"/>
    <w:rsid w:val="6FC71C5E"/>
    <w:rsid w:val="6FCC43BD"/>
    <w:rsid w:val="6FD91702"/>
    <w:rsid w:val="6FE657EB"/>
    <w:rsid w:val="6FED00FF"/>
    <w:rsid w:val="6FF84890"/>
    <w:rsid w:val="70383246"/>
    <w:rsid w:val="704E6956"/>
    <w:rsid w:val="70D3169F"/>
    <w:rsid w:val="70DC4E9C"/>
    <w:rsid w:val="70FB50CB"/>
    <w:rsid w:val="71103E0A"/>
    <w:rsid w:val="711F45B9"/>
    <w:rsid w:val="712802B3"/>
    <w:rsid w:val="713B1222"/>
    <w:rsid w:val="714E63D6"/>
    <w:rsid w:val="71756349"/>
    <w:rsid w:val="71905F74"/>
    <w:rsid w:val="71AC3EEB"/>
    <w:rsid w:val="71B24809"/>
    <w:rsid w:val="71E33AEE"/>
    <w:rsid w:val="71F71DF5"/>
    <w:rsid w:val="71FC66A6"/>
    <w:rsid w:val="71FD217F"/>
    <w:rsid w:val="720601C5"/>
    <w:rsid w:val="72206BCE"/>
    <w:rsid w:val="722B123D"/>
    <w:rsid w:val="72441107"/>
    <w:rsid w:val="724541FF"/>
    <w:rsid w:val="72842B7E"/>
    <w:rsid w:val="729C6937"/>
    <w:rsid w:val="72AC0994"/>
    <w:rsid w:val="72C20476"/>
    <w:rsid w:val="72D32E9D"/>
    <w:rsid w:val="72D95E85"/>
    <w:rsid w:val="72E66B78"/>
    <w:rsid w:val="72E7502A"/>
    <w:rsid w:val="73044502"/>
    <w:rsid w:val="730832B1"/>
    <w:rsid w:val="7345735F"/>
    <w:rsid w:val="734E1B56"/>
    <w:rsid w:val="736528CC"/>
    <w:rsid w:val="736D4CD8"/>
    <w:rsid w:val="73A019BD"/>
    <w:rsid w:val="73A9592E"/>
    <w:rsid w:val="73A960E7"/>
    <w:rsid w:val="73BC23E0"/>
    <w:rsid w:val="73DB7AF6"/>
    <w:rsid w:val="73DE0A03"/>
    <w:rsid w:val="73E96B3C"/>
    <w:rsid w:val="73EC7BCD"/>
    <w:rsid w:val="740A43A4"/>
    <w:rsid w:val="741F3BD7"/>
    <w:rsid w:val="74314148"/>
    <w:rsid w:val="744C7E0E"/>
    <w:rsid w:val="745775DE"/>
    <w:rsid w:val="745D758A"/>
    <w:rsid w:val="745F712C"/>
    <w:rsid w:val="74695686"/>
    <w:rsid w:val="746A3BEA"/>
    <w:rsid w:val="746C3BCF"/>
    <w:rsid w:val="74726218"/>
    <w:rsid w:val="74813987"/>
    <w:rsid w:val="74AF7B7D"/>
    <w:rsid w:val="74B15097"/>
    <w:rsid w:val="74B174B7"/>
    <w:rsid w:val="74B662A6"/>
    <w:rsid w:val="74C14C55"/>
    <w:rsid w:val="74C730E6"/>
    <w:rsid w:val="74D40C14"/>
    <w:rsid w:val="74DD408E"/>
    <w:rsid w:val="74EF0204"/>
    <w:rsid w:val="74F4000B"/>
    <w:rsid w:val="74F53565"/>
    <w:rsid w:val="750C0702"/>
    <w:rsid w:val="7518696C"/>
    <w:rsid w:val="75290C8A"/>
    <w:rsid w:val="752B3379"/>
    <w:rsid w:val="75354D85"/>
    <w:rsid w:val="753A05F3"/>
    <w:rsid w:val="755E271D"/>
    <w:rsid w:val="756646E4"/>
    <w:rsid w:val="75674CA9"/>
    <w:rsid w:val="756C26AF"/>
    <w:rsid w:val="758B541D"/>
    <w:rsid w:val="75A152BF"/>
    <w:rsid w:val="75B5699E"/>
    <w:rsid w:val="75EF0431"/>
    <w:rsid w:val="761D6F02"/>
    <w:rsid w:val="7628317F"/>
    <w:rsid w:val="763846D6"/>
    <w:rsid w:val="765C2A9A"/>
    <w:rsid w:val="76616E2A"/>
    <w:rsid w:val="769470CC"/>
    <w:rsid w:val="76B90DB8"/>
    <w:rsid w:val="76C27F57"/>
    <w:rsid w:val="76EE01F5"/>
    <w:rsid w:val="7709593C"/>
    <w:rsid w:val="770F4A0E"/>
    <w:rsid w:val="771B662C"/>
    <w:rsid w:val="771C23B1"/>
    <w:rsid w:val="772E2BF6"/>
    <w:rsid w:val="774804CC"/>
    <w:rsid w:val="77547927"/>
    <w:rsid w:val="77722EAD"/>
    <w:rsid w:val="777C270F"/>
    <w:rsid w:val="777C39DF"/>
    <w:rsid w:val="777E71B7"/>
    <w:rsid w:val="77CF75E3"/>
    <w:rsid w:val="77D23F80"/>
    <w:rsid w:val="77DD3B92"/>
    <w:rsid w:val="77F12A59"/>
    <w:rsid w:val="78063C29"/>
    <w:rsid w:val="780B46B4"/>
    <w:rsid w:val="782021D6"/>
    <w:rsid w:val="782C17E6"/>
    <w:rsid w:val="7831720A"/>
    <w:rsid w:val="784A371B"/>
    <w:rsid w:val="784D0268"/>
    <w:rsid w:val="78511BFB"/>
    <w:rsid w:val="78570929"/>
    <w:rsid w:val="78720F0B"/>
    <w:rsid w:val="787B6CEB"/>
    <w:rsid w:val="7889250C"/>
    <w:rsid w:val="7895540D"/>
    <w:rsid w:val="789629A1"/>
    <w:rsid w:val="78AA212A"/>
    <w:rsid w:val="78AF725D"/>
    <w:rsid w:val="78B47E62"/>
    <w:rsid w:val="78BD3A19"/>
    <w:rsid w:val="78CA743F"/>
    <w:rsid w:val="78FC723E"/>
    <w:rsid w:val="7903576C"/>
    <w:rsid w:val="790B2A62"/>
    <w:rsid w:val="791059C4"/>
    <w:rsid w:val="79471A66"/>
    <w:rsid w:val="794B4FBB"/>
    <w:rsid w:val="79715F03"/>
    <w:rsid w:val="79832C90"/>
    <w:rsid w:val="79B34D12"/>
    <w:rsid w:val="79BA09EE"/>
    <w:rsid w:val="79CD40FA"/>
    <w:rsid w:val="79EA60FA"/>
    <w:rsid w:val="7A1376CB"/>
    <w:rsid w:val="7A3F5532"/>
    <w:rsid w:val="7A3F563E"/>
    <w:rsid w:val="7A47368D"/>
    <w:rsid w:val="7A477AC9"/>
    <w:rsid w:val="7A487312"/>
    <w:rsid w:val="7A4A7E2B"/>
    <w:rsid w:val="7A4B0FE0"/>
    <w:rsid w:val="7A4C2BA3"/>
    <w:rsid w:val="7A5A5650"/>
    <w:rsid w:val="7A662F0C"/>
    <w:rsid w:val="7A922A62"/>
    <w:rsid w:val="7A9B7021"/>
    <w:rsid w:val="7AAB161A"/>
    <w:rsid w:val="7AB744CE"/>
    <w:rsid w:val="7AD622E1"/>
    <w:rsid w:val="7AE019BD"/>
    <w:rsid w:val="7AE31DB8"/>
    <w:rsid w:val="7AEE7382"/>
    <w:rsid w:val="7AF2300E"/>
    <w:rsid w:val="7B0C07ED"/>
    <w:rsid w:val="7B192506"/>
    <w:rsid w:val="7B2B7492"/>
    <w:rsid w:val="7B3B29FD"/>
    <w:rsid w:val="7B440233"/>
    <w:rsid w:val="7B505C2F"/>
    <w:rsid w:val="7B590514"/>
    <w:rsid w:val="7B631BC2"/>
    <w:rsid w:val="7B66424C"/>
    <w:rsid w:val="7B687274"/>
    <w:rsid w:val="7BAB783C"/>
    <w:rsid w:val="7BAC3148"/>
    <w:rsid w:val="7BBC0F77"/>
    <w:rsid w:val="7BBF003E"/>
    <w:rsid w:val="7BC86099"/>
    <w:rsid w:val="7BCF61EF"/>
    <w:rsid w:val="7BDE4FC2"/>
    <w:rsid w:val="7C251BB9"/>
    <w:rsid w:val="7C270A47"/>
    <w:rsid w:val="7C4028DA"/>
    <w:rsid w:val="7C420169"/>
    <w:rsid w:val="7C526BA2"/>
    <w:rsid w:val="7C66738C"/>
    <w:rsid w:val="7C887303"/>
    <w:rsid w:val="7C9E49BB"/>
    <w:rsid w:val="7CBE33F7"/>
    <w:rsid w:val="7CDE5CED"/>
    <w:rsid w:val="7CE77E19"/>
    <w:rsid w:val="7CF873D9"/>
    <w:rsid w:val="7CFC31CC"/>
    <w:rsid w:val="7D023B87"/>
    <w:rsid w:val="7D094AC2"/>
    <w:rsid w:val="7D277784"/>
    <w:rsid w:val="7D281411"/>
    <w:rsid w:val="7D2D0E92"/>
    <w:rsid w:val="7D2F1335"/>
    <w:rsid w:val="7D32265D"/>
    <w:rsid w:val="7D4112D4"/>
    <w:rsid w:val="7D5E7AAB"/>
    <w:rsid w:val="7D613541"/>
    <w:rsid w:val="7D623196"/>
    <w:rsid w:val="7D6A383D"/>
    <w:rsid w:val="7D787EF8"/>
    <w:rsid w:val="7D853F17"/>
    <w:rsid w:val="7DB3008D"/>
    <w:rsid w:val="7DB32A7F"/>
    <w:rsid w:val="7DC3439E"/>
    <w:rsid w:val="7DE435B1"/>
    <w:rsid w:val="7DF123E8"/>
    <w:rsid w:val="7E0064D6"/>
    <w:rsid w:val="7E032F24"/>
    <w:rsid w:val="7E0D5D12"/>
    <w:rsid w:val="7E113552"/>
    <w:rsid w:val="7E34384C"/>
    <w:rsid w:val="7E3D470A"/>
    <w:rsid w:val="7E3E2ED1"/>
    <w:rsid w:val="7E481050"/>
    <w:rsid w:val="7E4F112B"/>
    <w:rsid w:val="7E501B25"/>
    <w:rsid w:val="7E5132C5"/>
    <w:rsid w:val="7E725143"/>
    <w:rsid w:val="7E7722A2"/>
    <w:rsid w:val="7E8D040A"/>
    <w:rsid w:val="7EB75211"/>
    <w:rsid w:val="7ED17784"/>
    <w:rsid w:val="7EDA761A"/>
    <w:rsid w:val="7EDB5E10"/>
    <w:rsid w:val="7EFC4E2F"/>
    <w:rsid w:val="7F20708C"/>
    <w:rsid w:val="7F413AA5"/>
    <w:rsid w:val="7F4E67C5"/>
    <w:rsid w:val="7F5E3540"/>
    <w:rsid w:val="7F6C5324"/>
    <w:rsid w:val="7F8A2AB7"/>
    <w:rsid w:val="7F8C2BED"/>
    <w:rsid w:val="7F8F0454"/>
    <w:rsid w:val="7FAE3829"/>
    <w:rsid w:val="7FC62FFE"/>
    <w:rsid w:val="7FCA3FDF"/>
    <w:rsid w:val="7FE349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99"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0"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qFormat="1" w:uiPriority="0" w:name="HTML Acronym"/>
    <w:lsdException w:uiPriority="0" w:name="HTML Address"/>
    <w:lsdException w:qFormat="1" w:uiPriority="0" w:name="HTML Cite"/>
    <w:lsdException w:qFormat="1" w:uiPriority="0" w:name="HTML Code"/>
    <w:lsdException w:qFormat="1" w:uiPriority="0" w:name="HTML Definition"/>
    <w:lsdException w:qFormat="1" w:uiPriority="0" w:name="HTML Keyboard"/>
    <w:lsdException w:uiPriority="0" w:name="HTML Preformatted"/>
    <w:lsdException w:qFormat="1" w:uiPriority="0" w:name="HTML Sample"/>
    <w:lsdException w:qFormat="1" w:uiPriority="0" w:name="HTML Typewriter"/>
    <w:lsdException w:qFormat="1"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spacing w:line="400" w:lineRule="exact"/>
      <w:jc w:val="both"/>
    </w:pPr>
    <w:rPr>
      <w:rFonts w:ascii="Calibri Light" w:hAnsi="Calibri Light" w:eastAsia="华文仿宋" w:cs="Calibri Light"/>
      <w:kern w:val="2"/>
      <w:sz w:val="28"/>
      <w:szCs w:val="28"/>
      <w:lang w:val="en-US" w:eastAsia="zh-CN" w:bidi="ar-SA"/>
    </w:rPr>
  </w:style>
  <w:style w:type="paragraph" w:styleId="3">
    <w:name w:val="heading 1"/>
    <w:basedOn w:val="1"/>
    <w:next w:val="1"/>
    <w:link w:val="44"/>
    <w:autoRedefine/>
    <w:qFormat/>
    <w:uiPriority w:val="9"/>
    <w:pPr>
      <w:keepNext/>
      <w:keepLines/>
      <w:spacing w:line="240" w:lineRule="auto"/>
      <w:jc w:val="center"/>
      <w:outlineLvl w:val="0"/>
    </w:pPr>
    <w:rPr>
      <w:rFonts w:eastAsia="仿宋"/>
      <w:b/>
      <w:color w:val="000000"/>
      <w:kern w:val="44"/>
      <w:sz w:val="36"/>
      <w:szCs w:val="44"/>
    </w:rPr>
  </w:style>
  <w:style w:type="paragraph" w:styleId="4">
    <w:name w:val="heading 2"/>
    <w:basedOn w:val="1"/>
    <w:next w:val="1"/>
    <w:autoRedefine/>
    <w:qFormat/>
    <w:uiPriority w:val="9"/>
    <w:pPr>
      <w:keepNext/>
      <w:keepLines/>
      <w:spacing w:line="240" w:lineRule="auto"/>
      <w:outlineLvl w:val="1"/>
    </w:pPr>
    <w:rPr>
      <w:rFonts w:ascii="Calibri" w:hAnsi="Calibri" w:cs="黑体"/>
      <w:b/>
      <w:bCs/>
      <w:sz w:val="32"/>
      <w:szCs w:val="32"/>
    </w:rPr>
  </w:style>
  <w:style w:type="paragraph" w:styleId="5">
    <w:name w:val="heading 3"/>
    <w:basedOn w:val="1"/>
    <w:next w:val="1"/>
    <w:autoRedefine/>
    <w:qFormat/>
    <w:uiPriority w:val="9"/>
    <w:pPr>
      <w:keepNext/>
      <w:keepLines/>
      <w:spacing w:line="400" w:lineRule="atLeast"/>
      <w:jc w:val="center"/>
      <w:outlineLvl w:val="2"/>
    </w:pPr>
    <w:rPr>
      <w:b/>
      <w:bCs/>
      <w:sz w:val="32"/>
      <w:szCs w:val="32"/>
      <w:u w:val="double"/>
    </w:rPr>
  </w:style>
  <w:style w:type="paragraph" w:styleId="6">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3">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99"/>
    <w:pPr>
      <w:spacing w:after="120"/>
    </w:pPr>
  </w:style>
  <w:style w:type="paragraph" w:styleId="7">
    <w:name w:val="Normal Indent"/>
    <w:basedOn w:val="1"/>
    <w:autoRedefine/>
    <w:qFormat/>
    <w:uiPriority w:val="99"/>
    <w:pPr>
      <w:ind w:firstLine="420"/>
    </w:pPr>
  </w:style>
  <w:style w:type="paragraph" w:styleId="8">
    <w:name w:val="annotation text"/>
    <w:basedOn w:val="1"/>
    <w:link w:val="48"/>
    <w:autoRedefine/>
    <w:qFormat/>
    <w:uiPriority w:val="0"/>
    <w:pPr>
      <w:jc w:val="left"/>
    </w:pPr>
  </w:style>
  <w:style w:type="paragraph" w:styleId="9">
    <w:name w:val="Body Text Indent"/>
    <w:basedOn w:val="1"/>
    <w:autoRedefine/>
    <w:qFormat/>
    <w:uiPriority w:val="0"/>
    <w:pPr>
      <w:spacing w:after="120"/>
      <w:ind w:left="420" w:leftChars="200"/>
    </w:pPr>
  </w:style>
  <w:style w:type="paragraph" w:styleId="10">
    <w:name w:val="Plain Text"/>
    <w:autoRedefine/>
    <w:qFormat/>
    <w:uiPriority w:val="0"/>
    <w:pPr>
      <w:widowControl w:val="0"/>
      <w:jc w:val="both"/>
    </w:pPr>
    <w:rPr>
      <w:rFonts w:ascii="宋体" w:hAnsi="Courier New" w:eastAsia="宋体" w:cs="Courier New"/>
      <w:kern w:val="2"/>
      <w:sz w:val="21"/>
      <w:szCs w:val="21"/>
      <w:lang w:val="en-US" w:eastAsia="zh-CN" w:bidi="ar-SA"/>
    </w:rPr>
  </w:style>
  <w:style w:type="paragraph" w:styleId="11">
    <w:name w:val="Date"/>
    <w:next w:val="1"/>
    <w:autoRedefine/>
    <w:qFormat/>
    <w:uiPriority w:val="0"/>
    <w:pPr>
      <w:widowControl w:val="0"/>
      <w:ind w:leftChars="2500"/>
      <w:jc w:val="both"/>
    </w:pPr>
    <w:rPr>
      <w:rFonts w:hint="eastAsia" w:ascii="仿宋_GB2312" w:hAnsi="Calibri" w:eastAsia="仿宋_GB2312" w:cs="Times New Roman"/>
      <w:color w:val="000000"/>
      <w:kern w:val="0"/>
      <w:sz w:val="32"/>
      <w:szCs w:val="20"/>
      <w:lang w:val="en-US" w:eastAsia="zh-CN" w:bidi="ar-SA"/>
    </w:rPr>
  </w:style>
  <w:style w:type="paragraph" w:styleId="12">
    <w:name w:val="Balloon Text"/>
    <w:basedOn w:val="1"/>
    <w:link w:val="50"/>
    <w:autoRedefine/>
    <w:qFormat/>
    <w:uiPriority w:val="0"/>
    <w:pPr>
      <w:spacing w:line="240" w:lineRule="auto"/>
    </w:pPr>
    <w:rPr>
      <w:sz w:val="18"/>
      <w:szCs w:val="18"/>
    </w:rPr>
  </w:style>
  <w:style w:type="paragraph" w:styleId="13">
    <w:name w:val="footer"/>
    <w:basedOn w:val="1"/>
    <w:autoRedefine/>
    <w:qFormat/>
    <w:uiPriority w:val="99"/>
    <w:pPr>
      <w:widowControl w:val="0"/>
      <w:tabs>
        <w:tab w:val="center" w:pos="4153"/>
        <w:tab w:val="right" w:pos="8306"/>
      </w:tabs>
      <w:snapToGrid w:val="0"/>
      <w:spacing w:line="240" w:lineRule="auto"/>
      <w:jc w:val="left"/>
    </w:pPr>
    <w:rPr>
      <w:sz w:val="18"/>
    </w:rPr>
  </w:style>
  <w:style w:type="paragraph" w:styleId="14">
    <w:name w:val="header"/>
    <w:basedOn w:val="1"/>
    <w:autoRedefine/>
    <w:qFormat/>
    <w:uiPriority w:val="0"/>
    <w:pPr>
      <w:widowControl w:val="0"/>
      <w:pBdr>
        <w:bottom w:val="single" w:color="auto" w:sz="6" w:space="1"/>
      </w:pBdr>
      <w:tabs>
        <w:tab w:val="center" w:pos="4153"/>
        <w:tab w:val="right" w:pos="8306"/>
      </w:tabs>
      <w:snapToGrid w:val="0"/>
      <w:spacing w:line="240" w:lineRule="auto"/>
      <w:jc w:val="center"/>
    </w:pPr>
    <w:rPr>
      <w:sz w:val="18"/>
    </w:rPr>
  </w:style>
  <w:style w:type="paragraph" w:styleId="15">
    <w:name w:val="toc 1"/>
    <w:basedOn w:val="1"/>
    <w:next w:val="1"/>
    <w:autoRedefine/>
    <w:qFormat/>
    <w:uiPriority w:val="39"/>
  </w:style>
  <w:style w:type="paragraph" w:styleId="16">
    <w:name w:val="toc 2"/>
    <w:basedOn w:val="1"/>
    <w:next w:val="1"/>
    <w:autoRedefine/>
    <w:unhideWhenUsed/>
    <w:qFormat/>
    <w:uiPriority w:val="39"/>
    <w:pPr>
      <w:ind w:left="420" w:leftChars="200"/>
    </w:pPr>
  </w:style>
  <w:style w:type="paragraph" w:styleId="17">
    <w:name w:val="Normal (Web)"/>
    <w:basedOn w:val="1"/>
    <w:autoRedefine/>
    <w:qFormat/>
    <w:uiPriority w:val="99"/>
    <w:pPr>
      <w:spacing w:beforeAutospacing="1" w:afterAutospacing="1"/>
      <w:jc w:val="left"/>
    </w:pPr>
    <w:rPr>
      <w:rFonts w:cs="Times New Roman"/>
      <w:kern w:val="0"/>
      <w:sz w:val="24"/>
    </w:rPr>
  </w:style>
  <w:style w:type="paragraph" w:styleId="18">
    <w:name w:val="annotation subject"/>
    <w:basedOn w:val="8"/>
    <w:next w:val="8"/>
    <w:link w:val="49"/>
    <w:autoRedefine/>
    <w:qFormat/>
    <w:uiPriority w:val="0"/>
    <w:rPr>
      <w:b/>
      <w:bCs/>
    </w:rPr>
  </w:style>
  <w:style w:type="paragraph" w:styleId="19">
    <w:name w:val="Body Text First Indent"/>
    <w:basedOn w:val="2"/>
    <w:autoRedefine/>
    <w:unhideWhenUsed/>
    <w:qFormat/>
    <w:uiPriority w:val="0"/>
    <w:pPr>
      <w:spacing w:line="240" w:lineRule="auto"/>
      <w:ind w:firstLine="420" w:firstLineChars="100"/>
    </w:pPr>
    <w:rPr>
      <w:rFonts w:ascii="Times New Roman" w:hAnsi="Times New Roman"/>
      <w:sz w:val="18"/>
      <w:szCs w:val="18"/>
    </w:rPr>
  </w:style>
  <w:style w:type="paragraph" w:styleId="20">
    <w:name w:val="Body Text First Indent 2"/>
    <w:basedOn w:val="9"/>
    <w:autoRedefine/>
    <w:qFormat/>
    <w:uiPriority w:val="0"/>
    <w:pPr>
      <w:ind w:firstLine="420" w:firstLineChars="200"/>
    </w:pPr>
  </w:style>
  <w:style w:type="table" w:styleId="22">
    <w:name w:val="Table Grid"/>
    <w:basedOn w:val="2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autoRedefine/>
    <w:qFormat/>
    <w:uiPriority w:val="0"/>
    <w:rPr>
      <w:b/>
    </w:rPr>
  </w:style>
  <w:style w:type="character" w:styleId="25">
    <w:name w:val="FollowedHyperlink"/>
    <w:basedOn w:val="23"/>
    <w:autoRedefine/>
    <w:semiHidden/>
    <w:unhideWhenUsed/>
    <w:qFormat/>
    <w:uiPriority w:val="0"/>
    <w:rPr>
      <w:color w:val="800080"/>
      <w:u w:val="none"/>
    </w:rPr>
  </w:style>
  <w:style w:type="character" w:styleId="26">
    <w:name w:val="Emphasis"/>
    <w:basedOn w:val="23"/>
    <w:autoRedefine/>
    <w:qFormat/>
    <w:uiPriority w:val="0"/>
    <w:rPr>
      <w:b/>
    </w:rPr>
  </w:style>
  <w:style w:type="character" w:styleId="27">
    <w:name w:val="HTML Definition"/>
    <w:basedOn w:val="23"/>
    <w:autoRedefine/>
    <w:semiHidden/>
    <w:unhideWhenUsed/>
    <w:qFormat/>
    <w:uiPriority w:val="0"/>
  </w:style>
  <w:style w:type="character" w:styleId="28">
    <w:name w:val="HTML Typewriter"/>
    <w:basedOn w:val="23"/>
    <w:autoRedefine/>
    <w:semiHidden/>
    <w:unhideWhenUsed/>
    <w:qFormat/>
    <w:uiPriority w:val="0"/>
    <w:rPr>
      <w:rFonts w:ascii="monospace" w:hAnsi="monospace" w:eastAsia="monospace" w:cs="monospace"/>
      <w:sz w:val="20"/>
    </w:rPr>
  </w:style>
  <w:style w:type="character" w:styleId="29">
    <w:name w:val="HTML Acronym"/>
    <w:basedOn w:val="23"/>
    <w:autoRedefine/>
    <w:semiHidden/>
    <w:unhideWhenUsed/>
    <w:qFormat/>
    <w:uiPriority w:val="0"/>
  </w:style>
  <w:style w:type="character" w:styleId="30">
    <w:name w:val="HTML Variable"/>
    <w:basedOn w:val="23"/>
    <w:autoRedefine/>
    <w:semiHidden/>
    <w:unhideWhenUsed/>
    <w:qFormat/>
    <w:uiPriority w:val="0"/>
  </w:style>
  <w:style w:type="character" w:styleId="31">
    <w:name w:val="Hyperlink"/>
    <w:autoRedefine/>
    <w:qFormat/>
    <w:uiPriority w:val="99"/>
    <w:rPr>
      <w:color w:val="000000"/>
      <w:sz w:val="18"/>
      <w:szCs w:val="18"/>
      <w:u w:val="none"/>
    </w:rPr>
  </w:style>
  <w:style w:type="character" w:styleId="32">
    <w:name w:val="HTML Code"/>
    <w:basedOn w:val="23"/>
    <w:autoRedefine/>
    <w:semiHidden/>
    <w:unhideWhenUsed/>
    <w:qFormat/>
    <w:uiPriority w:val="0"/>
    <w:rPr>
      <w:rFonts w:hint="default" w:ascii="monospace" w:hAnsi="monospace" w:eastAsia="monospace" w:cs="monospace"/>
      <w:sz w:val="20"/>
    </w:rPr>
  </w:style>
  <w:style w:type="character" w:styleId="33">
    <w:name w:val="annotation reference"/>
    <w:basedOn w:val="23"/>
    <w:autoRedefine/>
    <w:qFormat/>
    <w:uiPriority w:val="0"/>
    <w:rPr>
      <w:sz w:val="21"/>
      <w:szCs w:val="21"/>
    </w:rPr>
  </w:style>
  <w:style w:type="character" w:styleId="34">
    <w:name w:val="HTML Cite"/>
    <w:basedOn w:val="23"/>
    <w:autoRedefine/>
    <w:semiHidden/>
    <w:unhideWhenUsed/>
    <w:qFormat/>
    <w:uiPriority w:val="0"/>
  </w:style>
  <w:style w:type="character" w:styleId="35">
    <w:name w:val="HTML Keyboard"/>
    <w:basedOn w:val="23"/>
    <w:autoRedefine/>
    <w:semiHidden/>
    <w:unhideWhenUsed/>
    <w:qFormat/>
    <w:uiPriority w:val="0"/>
    <w:rPr>
      <w:rFonts w:hint="default" w:ascii="monospace" w:hAnsi="monospace" w:eastAsia="monospace" w:cs="monospace"/>
      <w:sz w:val="18"/>
      <w:szCs w:val="18"/>
      <w:bdr w:val="single" w:color="D2D2D2" w:sz="2" w:space="0"/>
    </w:rPr>
  </w:style>
  <w:style w:type="character" w:styleId="36">
    <w:name w:val="HTML Sample"/>
    <w:basedOn w:val="23"/>
    <w:autoRedefine/>
    <w:semiHidden/>
    <w:unhideWhenUsed/>
    <w:qFormat/>
    <w:uiPriority w:val="0"/>
    <w:rPr>
      <w:rFonts w:hint="default" w:ascii="monospace" w:hAnsi="monospace" w:eastAsia="monospace" w:cs="monospace"/>
    </w:rPr>
  </w:style>
  <w:style w:type="paragraph" w:customStyle="1" w:styleId="37">
    <w:name w:val="段"/>
    <w:next w:val="1"/>
    <w:autoRedefine/>
    <w:qFormat/>
    <w:uiPriority w:val="0"/>
    <w:pPr>
      <w:tabs>
        <w:tab w:val="center" w:pos="4201"/>
        <w:tab w:val="right" w:leader="dot" w:pos="9298"/>
      </w:tabs>
      <w:autoSpaceDE w:val="0"/>
      <w:autoSpaceDN w:val="0"/>
      <w:ind w:firstLine="420" w:firstLineChars="200"/>
      <w:jc w:val="both"/>
    </w:pPr>
    <w:rPr>
      <w:rFonts w:ascii="宋体" w:hAnsi="宋体" w:eastAsia="宋体" w:cs="Times New Roman"/>
      <w:kern w:val="2"/>
      <w:sz w:val="21"/>
      <w:szCs w:val="22"/>
      <w:lang w:val="en-US" w:eastAsia="zh-CN" w:bidi="ar-SA"/>
    </w:rPr>
  </w:style>
  <w:style w:type="paragraph" w:customStyle="1" w:styleId="38">
    <w:name w:val="正文缩进1"/>
    <w:basedOn w:val="1"/>
    <w:autoRedefine/>
    <w:qFormat/>
    <w:uiPriority w:val="0"/>
    <w:pPr>
      <w:ind w:firstLine="420" w:firstLineChars="200"/>
    </w:pPr>
  </w:style>
  <w:style w:type="paragraph" w:customStyle="1" w:styleId="39">
    <w:name w:val="正文（缩进 2 字符）"/>
    <w:basedOn w:val="1"/>
    <w:autoRedefine/>
    <w:qFormat/>
    <w:uiPriority w:val="0"/>
    <w:pPr>
      <w:ind w:firstLine="200" w:firstLineChars="200"/>
    </w:pPr>
  </w:style>
  <w:style w:type="paragraph" w:customStyle="1" w:styleId="40">
    <w:name w:val="正文（缩进 4 字符）"/>
    <w:basedOn w:val="1"/>
    <w:autoRedefine/>
    <w:qFormat/>
    <w:uiPriority w:val="0"/>
    <w:pPr>
      <w:ind w:firstLine="1134" w:firstLineChars="400"/>
    </w:pPr>
  </w:style>
  <w:style w:type="paragraph" w:customStyle="1" w:styleId="41">
    <w:name w:val="列出段落1"/>
    <w:basedOn w:val="1"/>
    <w:autoRedefine/>
    <w:qFormat/>
    <w:uiPriority w:val="99"/>
    <w:pPr>
      <w:ind w:firstLine="420" w:firstLineChars="200"/>
    </w:pPr>
  </w:style>
  <w:style w:type="paragraph" w:customStyle="1" w:styleId="42">
    <w:name w:val="Default"/>
    <w:autoRedefine/>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3">
    <w:name w:val="标题 2（投标文件）"/>
    <w:basedOn w:val="4"/>
    <w:autoRedefine/>
    <w:qFormat/>
    <w:uiPriority w:val="0"/>
    <w:pPr>
      <w:jc w:val="center"/>
    </w:pPr>
  </w:style>
  <w:style w:type="character" w:customStyle="1" w:styleId="44">
    <w:name w:val="标题 1 字符"/>
    <w:link w:val="3"/>
    <w:autoRedefine/>
    <w:qFormat/>
    <w:uiPriority w:val="9"/>
    <w:rPr>
      <w:rFonts w:eastAsia="仿宋"/>
      <w:b/>
      <w:color w:val="000000"/>
      <w:kern w:val="44"/>
      <w:sz w:val="36"/>
      <w:szCs w:val="44"/>
    </w:rPr>
  </w:style>
  <w:style w:type="paragraph" w:customStyle="1" w:styleId="45">
    <w:name w:val="标题 3（投标文件）"/>
    <w:basedOn w:val="5"/>
    <w:autoRedefine/>
    <w:qFormat/>
    <w:uiPriority w:val="0"/>
    <w:pPr>
      <w:jc w:val="left"/>
    </w:pPr>
    <w:rPr>
      <w:u w:val="none"/>
    </w:rPr>
  </w:style>
  <w:style w:type="character" w:customStyle="1" w:styleId="46">
    <w:name w:val="font21"/>
    <w:basedOn w:val="23"/>
    <w:autoRedefine/>
    <w:qFormat/>
    <w:uiPriority w:val="0"/>
    <w:rPr>
      <w:rFonts w:hint="default" w:ascii="Tahoma" w:hAnsi="Tahoma" w:eastAsia="Tahoma" w:cs="Tahoma"/>
      <w:color w:val="000000"/>
      <w:sz w:val="22"/>
      <w:szCs w:val="22"/>
      <w:u w:val="none"/>
    </w:rPr>
  </w:style>
  <w:style w:type="character" w:customStyle="1" w:styleId="47">
    <w:name w:val="font01"/>
    <w:basedOn w:val="23"/>
    <w:autoRedefine/>
    <w:qFormat/>
    <w:uiPriority w:val="0"/>
    <w:rPr>
      <w:rFonts w:hint="eastAsia" w:ascii="宋体" w:hAnsi="宋体" w:eastAsia="宋体" w:cs="宋体"/>
      <w:color w:val="000000"/>
      <w:sz w:val="22"/>
      <w:szCs w:val="22"/>
      <w:u w:val="none"/>
    </w:rPr>
  </w:style>
  <w:style w:type="character" w:customStyle="1" w:styleId="48">
    <w:name w:val="批注文字 字符"/>
    <w:basedOn w:val="23"/>
    <w:link w:val="8"/>
    <w:autoRedefine/>
    <w:qFormat/>
    <w:uiPriority w:val="0"/>
    <w:rPr>
      <w:rFonts w:ascii="Calibri Light" w:hAnsi="Calibri Light" w:eastAsia="华文仿宋" w:cs="Calibri Light"/>
      <w:kern w:val="2"/>
      <w:sz w:val="28"/>
      <w:szCs w:val="28"/>
    </w:rPr>
  </w:style>
  <w:style w:type="character" w:customStyle="1" w:styleId="49">
    <w:name w:val="批注主题 字符"/>
    <w:basedOn w:val="48"/>
    <w:link w:val="18"/>
    <w:autoRedefine/>
    <w:qFormat/>
    <w:uiPriority w:val="0"/>
    <w:rPr>
      <w:rFonts w:ascii="Calibri Light" w:hAnsi="Calibri Light" w:eastAsia="华文仿宋" w:cs="Calibri Light"/>
      <w:b/>
      <w:bCs/>
      <w:kern w:val="2"/>
      <w:sz w:val="28"/>
      <w:szCs w:val="28"/>
    </w:rPr>
  </w:style>
  <w:style w:type="character" w:customStyle="1" w:styleId="50">
    <w:name w:val="批注框文本 字符"/>
    <w:basedOn w:val="23"/>
    <w:link w:val="12"/>
    <w:autoRedefine/>
    <w:qFormat/>
    <w:uiPriority w:val="0"/>
    <w:rPr>
      <w:rFonts w:ascii="Calibri Light" w:hAnsi="Calibri Light" w:eastAsia="华文仿宋" w:cs="Calibri Light"/>
      <w:kern w:val="2"/>
      <w:sz w:val="18"/>
      <w:szCs w:val="18"/>
    </w:rPr>
  </w:style>
  <w:style w:type="paragraph" w:styleId="51">
    <w:name w:val="List Paragraph"/>
    <w:basedOn w:val="1"/>
    <w:autoRedefine/>
    <w:qFormat/>
    <w:uiPriority w:val="34"/>
    <w:pPr>
      <w:ind w:firstLine="420" w:firstLineChars="200"/>
    </w:pPr>
  </w:style>
  <w:style w:type="table" w:customStyle="1" w:styleId="52">
    <w:name w:val="Table Normal"/>
    <w:autoRedefine/>
    <w:unhideWhenUsed/>
    <w:qFormat/>
    <w:uiPriority w:val="0"/>
    <w:tblPr>
      <w:tblCellMar>
        <w:top w:w="0" w:type="dxa"/>
        <w:left w:w="0" w:type="dxa"/>
        <w:bottom w:w="0" w:type="dxa"/>
        <w:right w:w="0" w:type="dxa"/>
      </w:tblCellMar>
    </w:tblPr>
  </w:style>
  <w:style w:type="character" w:customStyle="1" w:styleId="53">
    <w:name w:val="font11"/>
    <w:basedOn w:val="23"/>
    <w:autoRedefine/>
    <w:qFormat/>
    <w:uiPriority w:val="0"/>
    <w:rPr>
      <w:rFonts w:hint="eastAsia" w:ascii="宋体" w:hAnsi="宋体" w:eastAsia="宋体" w:cs="宋体"/>
      <w:color w:val="000000"/>
      <w:sz w:val="24"/>
      <w:szCs w:val="24"/>
      <w:u w:val="none"/>
    </w:rPr>
  </w:style>
  <w:style w:type="character" w:customStyle="1" w:styleId="54">
    <w:name w:val="font31"/>
    <w:basedOn w:val="23"/>
    <w:autoRedefine/>
    <w:qFormat/>
    <w:uiPriority w:val="0"/>
    <w:rPr>
      <w:rFonts w:ascii="Arial Unicode MS" w:hAnsi="Arial Unicode MS" w:eastAsia="Arial Unicode MS" w:cs="Arial Unicode MS"/>
      <w:color w:val="000000"/>
      <w:sz w:val="24"/>
      <w:szCs w:val="24"/>
      <w:u w:val="none"/>
    </w:rPr>
  </w:style>
  <w:style w:type="character" w:customStyle="1" w:styleId="55">
    <w:name w:val="font61"/>
    <w:basedOn w:val="23"/>
    <w:autoRedefine/>
    <w:qFormat/>
    <w:uiPriority w:val="0"/>
    <w:rPr>
      <w:rFonts w:hint="eastAsia" w:ascii="宋体" w:hAnsi="宋体" w:eastAsia="宋体" w:cs="宋体"/>
      <w:color w:val="000000"/>
      <w:sz w:val="24"/>
      <w:szCs w:val="24"/>
      <w:u w:val="single"/>
    </w:rPr>
  </w:style>
  <w:style w:type="paragraph" w:customStyle="1" w:styleId="56">
    <w:name w:val="Table Text"/>
    <w:autoRedefine/>
    <w:semiHidden/>
    <w:qFormat/>
    <w:uiPriority w:val="0"/>
    <w:pPr>
      <w:kinsoku w:val="0"/>
      <w:autoSpaceDE w:val="0"/>
      <w:autoSpaceDN w:val="0"/>
      <w:adjustRightInd w:val="0"/>
      <w:snapToGrid w:val="0"/>
      <w:textAlignment w:val="baseline"/>
    </w:pPr>
    <w:rPr>
      <w:rFonts w:ascii="黑体" w:hAnsi="黑体" w:eastAsia="黑体" w:cs="黑体"/>
      <w:snapToGrid w:val="0"/>
      <w:color w:val="000000"/>
      <w:sz w:val="18"/>
      <w:szCs w:val="18"/>
      <w:lang w:val="en-US" w:eastAsia="en-US" w:bidi="ar-SA"/>
    </w:rPr>
  </w:style>
  <w:style w:type="character" w:customStyle="1" w:styleId="57">
    <w:name w:val="font71"/>
    <w:basedOn w:val="23"/>
    <w:autoRedefine/>
    <w:qFormat/>
    <w:uiPriority w:val="0"/>
    <w:rPr>
      <w:rFonts w:hint="default" w:ascii="Times New Roman" w:hAnsi="Times New Roman" w:cs="Times New Roman"/>
      <w:color w:val="000000"/>
      <w:sz w:val="28"/>
      <w:szCs w:val="28"/>
      <w:u w:val="none"/>
    </w:rPr>
  </w:style>
  <w:style w:type="character" w:customStyle="1" w:styleId="58">
    <w:name w:val="font81"/>
    <w:basedOn w:val="23"/>
    <w:autoRedefine/>
    <w:qFormat/>
    <w:uiPriority w:val="0"/>
    <w:rPr>
      <w:rFonts w:hint="eastAsia" w:ascii="宋体" w:hAnsi="宋体" w:eastAsia="宋体" w:cs="宋体"/>
      <w:color w:val="000000"/>
      <w:sz w:val="28"/>
      <w:szCs w:val="28"/>
      <w:u w:val="none"/>
    </w:rPr>
  </w:style>
  <w:style w:type="character" w:customStyle="1" w:styleId="59">
    <w:name w:val="font51"/>
    <w:basedOn w:val="23"/>
    <w:autoRedefine/>
    <w:qFormat/>
    <w:uiPriority w:val="0"/>
    <w:rPr>
      <w:rFonts w:hint="eastAsia" w:ascii="宋体" w:hAnsi="宋体" w:eastAsia="宋体" w:cs="宋体"/>
      <w:color w:val="000000"/>
      <w:sz w:val="22"/>
      <w:szCs w:val="22"/>
      <w:u w:val="none"/>
    </w:rPr>
  </w:style>
  <w:style w:type="character" w:customStyle="1" w:styleId="60">
    <w:name w:val="font91"/>
    <w:basedOn w:val="23"/>
    <w:autoRedefine/>
    <w:qFormat/>
    <w:uiPriority w:val="0"/>
    <w:rPr>
      <w:rFonts w:hint="default" w:ascii="Times New Roman" w:hAnsi="Times New Roman" w:cs="Times New Roman"/>
      <w:color w:val="000000"/>
      <w:sz w:val="24"/>
      <w:szCs w:val="24"/>
      <w:u w:val="none"/>
    </w:rPr>
  </w:style>
  <w:style w:type="character" w:customStyle="1" w:styleId="61">
    <w:name w:val="font101"/>
    <w:basedOn w:val="23"/>
    <w:autoRedefine/>
    <w:qFormat/>
    <w:uiPriority w:val="0"/>
    <w:rPr>
      <w:rFonts w:hint="default" w:ascii="Tahoma" w:hAnsi="Tahoma" w:eastAsia="Tahoma" w:cs="Tahoma"/>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3.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54</Pages>
  <Words>16299</Words>
  <Characters>17249</Characters>
  <Lines>245</Lines>
  <Paragraphs>68</Paragraphs>
  <TotalTime>17</TotalTime>
  <ScaleCrop>false</ScaleCrop>
  <LinksUpToDate>false</LinksUpToDate>
  <CharactersWithSpaces>17473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2020-07-14T04:13:00Z</dcterms:created>
  <dc:creator>x</dc:creator>
  <cp:lastModifiedBy>善良</cp:lastModifiedBy>
  <cp:lastPrinted>2023-11-13T06:35:00Z</cp:lastPrinted>
  <dcterms:modified xsi:type="dcterms:W3CDTF">2025-07-18T01:33:05Z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C1863EAD3B154342B8010F7CF7AB9BA7</vt:lpwstr>
  </property>
  <property fmtid="{D5CDD505-2E9C-101B-9397-08002B2CF9AE}" pid="4" name="KSOTemplateDocerSaveRecord">
    <vt:lpwstr>eyJoZGlkIjoiNDI4YTQxZjE2N2EwMGY2MTM1M2M4ZDRiNzM1MjljOTYiLCJ1c2VySWQiOiI0NzgyNjExNDQifQ==</vt:lpwstr>
  </property>
</Properties>
</file>