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eastAsia="宋体" w:cs="Tahoma"/>
          <w:sz w:val="44"/>
          <w:szCs w:val="44"/>
        </w:rPr>
      </w:pPr>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3"/>
        <w:widowControl w:val="0"/>
        <w:topLinePunct/>
        <w:rPr>
          <w:rFonts w:cstheme="minorHAnsi"/>
        </w:rPr>
      </w:pPr>
      <w:r>
        <w:rPr>
          <w:rFonts w:hint="eastAsia" w:cstheme="minorHAnsi"/>
        </w:rPr>
        <w:t>竞争性磋商</w:t>
      </w:r>
      <w:r>
        <w:rPr>
          <w:rFonts w:cstheme="minorHAnsi"/>
        </w:rPr>
        <w:t>文件</w:t>
      </w:r>
    </w:p>
    <w:p w14:paraId="0BF7852F">
      <w:pPr>
        <w:widowControl w:val="0"/>
        <w:topLinePunct/>
        <w:spacing w:line="360" w:lineRule="auto"/>
        <w:jc w:val="center"/>
        <w:rPr>
          <w:rFonts w:eastAsia="宋体" w:cs="Tahoma"/>
          <w:sz w:val="36"/>
          <w:szCs w:val="36"/>
        </w:rPr>
      </w:pPr>
    </w:p>
    <w:p w14:paraId="31BD0224">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西安市中心血站车辆加油</w:t>
      </w:r>
    </w:p>
    <w:p w14:paraId="3B07DD0B">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XCZX2025-0051-3</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4"/>
        <w:widowControl w:val="0"/>
        <w:topLinePunct/>
        <w:spacing w:line="360" w:lineRule="auto"/>
        <w:rPr>
          <w:rFonts w:eastAsia="宋体" w:cs="Tahoma" w:asciiTheme="minorHAnsi" w:hAnsiTheme="minorHAnsi"/>
        </w:rPr>
      </w:pPr>
      <w:r>
        <w:rPr>
          <w:rFonts w:hint="eastAsia" w:eastAsia="宋体" w:cs="Tahoma" w:asciiTheme="minorHAnsi" w:hAnsiTheme="minorHAnsi"/>
        </w:rPr>
        <w:t>2025年5月</w:t>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6D87EF81">
      <w:pPr>
        <w:pStyle w:val="19"/>
        <w:tabs>
          <w:tab w:val="right" w:leader="hyphen" w:pos="8504"/>
        </w:tabs>
        <w:spacing w:before="460" w:beforeLines="0" w:after="460" w:line="400" w:lineRule="exact"/>
        <w:ind w:left="1920" w:leftChars="200" w:right="480" w:rightChars="200" w:hanging="1440" w:hangingChars="400"/>
        <w:jc w:val="both"/>
        <w:rPr>
          <w:rFonts w:ascii="Calibri Light" w:hAnsi="Calibri Light" w:eastAsia="华文仿宋" w:cstheme="minorBidi"/>
          <w:kern w:val="2"/>
          <w:sz w:val="36"/>
          <w:szCs w:val="22"/>
        </w:rPr>
      </w:pPr>
      <w:r>
        <w:rPr>
          <w:rFonts w:ascii="Calibri Light" w:hAnsi="Calibri Light" w:eastAsia="华文仿宋" w:cstheme="minorHAnsi"/>
          <w:sz w:val="36"/>
          <w:szCs w:val="30"/>
        </w:rPr>
        <w:fldChar w:fldCharType="begin"/>
      </w:r>
      <w:r>
        <w:rPr>
          <w:rFonts w:ascii="Calibri Light" w:hAnsi="Calibri Light" w:eastAsia="华文仿宋" w:cstheme="minorHAnsi"/>
          <w:sz w:val="36"/>
          <w:szCs w:val="30"/>
        </w:rPr>
        <w:instrText xml:space="preserve"> TOC \o "1-1" \f - \t "-1" </w:instrText>
      </w:r>
      <w:r>
        <w:rPr>
          <w:rFonts w:ascii="Calibri Light" w:hAnsi="Calibri Light" w:eastAsia="华文仿宋" w:cstheme="minorHAnsi"/>
          <w:sz w:val="36"/>
          <w:szCs w:val="30"/>
        </w:rPr>
        <w:fldChar w:fldCharType="separate"/>
      </w:r>
      <w:r>
        <w:rPr>
          <w:rFonts w:hint="eastAsia" w:ascii="Calibri Light" w:hAnsi="Calibri Light" w:eastAsia="华文仿宋"/>
          <w:sz w:val="36"/>
        </w:rPr>
        <w:t>第一章　磋商邀请函</w:t>
      </w:r>
      <w:r>
        <w:rPr>
          <w:rFonts w:ascii="Calibri Light" w:hAnsi="Calibri Light" w:eastAsia="华文仿宋"/>
          <w:sz w:val="36"/>
        </w:rPr>
        <w:tab/>
      </w:r>
      <w:r>
        <w:rPr>
          <w:rFonts w:ascii="Calibri Light" w:hAnsi="Calibri Light" w:eastAsia="华文仿宋"/>
          <w:sz w:val="36"/>
        </w:rPr>
        <w:fldChar w:fldCharType="begin"/>
      </w:r>
      <w:r>
        <w:rPr>
          <w:rFonts w:ascii="Calibri Light" w:hAnsi="Calibri Light" w:eastAsia="华文仿宋"/>
          <w:sz w:val="36"/>
        </w:rPr>
        <w:instrText xml:space="preserve"> PAGEREF _Toc198213906 \h </w:instrText>
      </w:r>
      <w:r>
        <w:rPr>
          <w:rFonts w:ascii="Calibri Light" w:hAnsi="Calibri Light" w:eastAsia="华文仿宋"/>
          <w:sz w:val="36"/>
        </w:rPr>
        <w:fldChar w:fldCharType="separate"/>
      </w:r>
      <w:r>
        <w:rPr>
          <w:rFonts w:ascii="Calibri Light" w:hAnsi="Calibri Light" w:eastAsia="华文仿宋"/>
          <w:sz w:val="36"/>
        </w:rPr>
        <w:t>1</w:t>
      </w:r>
      <w:r>
        <w:rPr>
          <w:rFonts w:ascii="Calibri Light" w:hAnsi="Calibri Light" w:eastAsia="华文仿宋"/>
          <w:sz w:val="36"/>
        </w:rPr>
        <w:fldChar w:fldCharType="end"/>
      </w:r>
    </w:p>
    <w:p w14:paraId="12FC16E9">
      <w:pPr>
        <w:pStyle w:val="19"/>
        <w:tabs>
          <w:tab w:val="right" w:leader="hyphen" w:pos="8504"/>
        </w:tabs>
        <w:spacing w:before="460" w:beforeLines="0" w:after="460" w:line="400" w:lineRule="exact"/>
        <w:ind w:left="1920" w:leftChars="200" w:right="480" w:rightChars="200" w:hanging="1440" w:hangingChars="400"/>
        <w:jc w:val="both"/>
        <w:rPr>
          <w:rFonts w:ascii="Calibri Light" w:hAnsi="Calibri Light" w:eastAsia="华文仿宋" w:cstheme="minorBidi"/>
          <w:kern w:val="2"/>
          <w:sz w:val="36"/>
          <w:szCs w:val="22"/>
        </w:rPr>
      </w:pPr>
      <w:r>
        <w:rPr>
          <w:rFonts w:hint="eastAsia" w:ascii="Calibri Light" w:hAnsi="Calibri Light" w:eastAsia="华文仿宋"/>
          <w:sz w:val="36"/>
        </w:rPr>
        <w:t>第二章　供应商须知</w:t>
      </w:r>
      <w:r>
        <w:rPr>
          <w:rFonts w:ascii="Calibri Light" w:hAnsi="Calibri Light" w:eastAsia="华文仿宋"/>
          <w:sz w:val="36"/>
        </w:rPr>
        <w:tab/>
      </w:r>
      <w:r>
        <w:rPr>
          <w:rFonts w:ascii="Calibri Light" w:hAnsi="Calibri Light" w:eastAsia="华文仿宋"/>
          <w:sz w:val="36"/>
        </w:rPr>
        <w:fldChar w:fldCharType="begin"/>
      </w:r>
      <w:r>
        <w:rPr>
          <w:rFonts w:ascii="Calibri Light" w:hAnsi="Calibri Light" w:eastAsia="华文仿宋"/>
          <w:sz w:val="36"/>
        </w:rPr>
        <w:instrText xml:space="preserve"> PAGEREF _Toc198213907 \h </w:instrText>
      </w:r>
      <w:r>
        <w:rPr>
          <w:rFonts w:ascii="Calibri Light" w:hAnsi="Calibri Light" w:eastAsia="华文仿宋"/>
          <w:sz w:val="36"/>
        </w:rPr>
        <w:fldChar w:fldCharType="separate"/>
      </w:r>
      <w:r>
        <w:rPr>
          <w:rFonts w:ascii="Calibri Light" w:hAnsi="Calibri Light" w:eastAsia="华文仿宋"/>
          <w:sz w:val="36"/>
        </w:rPr>
        <w:t>4</w:t>
      </w:r>
      <w:r>
        <w:rPr>
          <w:rFonts w:ascii="Calibri Light" w:hAnsi="Calibri Light" w:eastAsia="华文仿宋"/>
          <w:sz w:val="36"/>
        </w:rPr>
        <w:fldChar w:fldCharType="end"/>
      </w:r>
    </w:p>
    <w:p w14:paraId="6C07A39C">
      <w:pPr>
        <w:pStyle w:val="19"/>
        <w:tabs>
          <w:tab w:val="right" w:leader="hyphen" w:pos="8504"/>
        </w:tabs>
        <w:spacing w:before="460" w:beforeLines="0" w:after="460" w:line="400" w:lineRule="exact"/>
        <w:ind w:left="1920" w:leftChars="200" w:right="480" w:rightChars="200" w:hanging="1440" w:hangingChars="400"/>
        <w:jc w:val="both"/>
        <w:rPr>
          <w:rFonts w:ascii="Calibri Light" w:hAnsi="Calibri Light" w:eastAsia="华文仿宋" w:cstheme="minorBidi"/>
          <w:kern w:val="2"/>
          <w:sz w:val="36"/>
          <w:szCs w:val="22"/>
        </w:rPr>
      </w:pPr>
      <w:r>
        <w:rPr>
          <w:rFonts w:hint="eastAsia" w:ascii="Calibri Light" w:hAnsi="Calibri Light" w:eastAsia="华文仿宋"/>
          <w:sz w:val="36"/>
        </w:rPr>
        <w:t>第三章　磋商内容及要求</w:t>
      </w:r>
      <w:r>
        <w:rPr>
          <w:rFonts w:ascii="Calibri Light" w:hAnsi="Calibri Light" w:eastAsia="华文仿宋"/>
          <w:sz w:val="36"/>
        </w:rPr>
        <w:tab/>
      </w:r>
      <w:r>
        <w:rPr>
          <w:rFonts w:ascii="Calibri Light" w:hAnsi="Calibri Light" w:eastAsia="华文仿宋"/>
          <w:sz w:val="36"/>
        </w:rPr>
        <w:fldChar w:fldCharType="begin"/>
      </w:r>
      <w:r>
        <w:rPr>
          <w:rFonts w:ascii="Calibri Light" w:hAnsi="Calibri Light" w:eastAsia="华文仿宋"/>
          <w:sz w:val="36"/>
        </w:rPr>
        <w:instrText xml:space="preserve"> PAGEREF _Toc198213908 \h </w:instrText>
      </w:r>
      <w:r>
        <w:rPr>
          <w:rFonts w:ascii="Calibri Light" w:hAnsi="Calibri Light" w:eastAsia="华文仿宋"/>
          <w:sz w:val="36"/>
        </w:rPr>
        <w:fldChar w:fldCharType="separate"/>
      </w:r>
      <w:r>
        <w:rPr>
          <w:rFonts w:ascii="Calibri Light" w:hAnsi="Calibri Light" w:eastAsia="华文仿宋"/>
          <w:sz w:val="36"/>
        </w:rPr>
        <w:t>31</w:t>
      </w:r>
      <w:r>
        <w:rPr>
          <w:rFonts w:ascii="Calibri Light" w:hAnsi="Calibri Light" w:eastAsia="华文仿宋"/>
          <w:sz w:val="36"/>
        </w:rPr>
        <w:fldChar w:fldCharType="end"/>
      </w:r>
    </w:p>
    <w:p w14:paraId="7C1C95FF">
      <w:pPr>
        <w:pStyle w:val="19"/>
        <w:tabs>
          <w:tab w:val="right" w:leader="hyphen" w:pos="8504"/>
        </w:tabs>
        <w:spacing w:before="460" w:beforeLines="0" w:after="460" w:line="400" w:lineRule="exact"/>
        <w:ind w:left="1920" w:leftChars="200" w:right="480" w:rightChars="200" w:hanging="1440" w:hangingChars="400"/>
        <w:jc w:val="both"/>
        <w:rPr>
          <w:rFonts w:ascii="Calibri Light" w:hAnsi="Calibri Light" w:eastAsia="华文仿宋" w:cstheme="minorBidi"/>
          <w:kern w:val="2"/>
          <w:sz w:val="36"/>
          <w:szCs w:val="22"/>
        </w:rPr>
      </w:pPr>
      <w:r>
        <w:rPr>
          <w:rFonts w:hint="eastAsia" w:ascii="Calibri Light" w:hAnsi="Calibri Light" w:eastAsia="华文仿宋"/>
          <w:sz w:val="36"/>
        </w:rPr>
        <w:t>第四章　合同草案条款</w:t>
      </w:r>
      <w:r>
        <w:rPr>
          <w:rFonts w:ascii="Calibri Light" w:hAnsi="Calibri Light" w:eastAsia="华文仿宋"/>
          <w:sz w:val="36"/>
        </w:rPr>
        <w:tab/>
      </w:r>
      <w:r>
        <w:rPr>
          <w:rFonts w:ascii="Calibri Light" w:hAnsi="Calibri Light" w:eastAsia="华文仿宋"/>
          <w:sz w:val="36"/>
        </w:rPr>
        <w:fldChar w:fldCharType="begin"/>
      </w:r>
      <w:r>
        <w:rPr>
          <w:rFonts w:ascii="Calibri Light" w:hAnsi="Calibri Light" w:eastAsia="华文仿宋"/>
          <w:sz w:val="36"/>
        </w:rPr>
        <w:instrText xml:space="preserve"> PAGEREF _Toc198213909 \h </w:instrText>
      </w:r>
      <w:r>
        <w:rPr>
          <w:rFonts w:ascii="Calibri Light" w:hAnsi="Calibri Light" w:eastAsia="华文仿宋"/>
          <w:sz w:val="36"/>
        </w:rPr>
        <w:fldChar w:fldCharType="separate"/>
      </w:r>
      <w:r>
        <w:rPr>
          <w:rFonts w:ascii="Calibri Light" w:hAnsi="Calibri Light" w:eastAsia="华文仿宋"/>
          <w:sz w:val="36"/>
        </w:rPr>
        <w:t>34</w:t>
      </w:r>
      <w:r>
        <w:rPr>
          <w:rFonts w:ascii="Calibri Light" w:hAnsi="Calibri Light" w:eastAsia="华文仿宋"/>
          <w:sz w:val="36"/>
        </w:rPr>
        <w:fldChar w:fldCharType="end"/>
      </w:r>
    </w:p>
    <w:p w14:paraId="6FB3616D">
      <w:pPr>
        <w:pStyle w:val="19"/>
        <w:tabs>
          <w:tab w:val="right" w:leader="hyphen" w:pos="8504"/>
        </w:tabs>
        <w:spacing w:before="460" w:beforeLines="0" w:after="460" w:line="400" w:lineRule="exact"/>
        <w:ind w:left="1920" w:leftChars="200" w:right="480" w:rightChars="200" w:hanging="1440" w:hangingChars="400"/>
        <w:jc w:val="both"/>
        <w:rPr>
          <w:rFonts w:ascii="Calibri Light" w:hAnsi="Calibri Light" w:eastAsia="华文仿宋" w:cstheme="minorBidi"/>
          <w:kern w:val="2"/>
          <w:sz w:val="36"/>
          <w:szCs w:val="22"/>
        </w:rPr>
      </w:pPr>
      <w:r>
        <w:rPr>
          <w:rFonts w:hint="eastAsia" w:ascii="Calibri Light" w:hAnsi="Calibri Light" w:eastAsia="华文仿宋"/>
          <w:sz w:val="36"/>
        </w:rPr>
        <w:t>第五章　响应文件构成及格式</w:t>
      </w:r>
      <w:r>
        <w:rPr>
          <w:rFonts w:ascii="Calibri Light" w:hAnsi="Calibri Light" w:eastAsia="华文仿宋"/>
          <w:sz w:val="36"/>
        </w:rPr>
        <w:tab/>
      </w:r>
      <w:r>
        <w:rPr>
          <w:rFonts w:ascii="Calibri Light" w:hAnsi="Calibri Light" w:eastAsia="华文仿宋"/>
          <w:sz w:val="36"/>
        </w:rPr>
        <w:fldChar w:fldCharType="begin"/>
      </w:r>
      <w:r>
        <w:rPr>
          <w:rFonts w:ascii="Calibri Light" w:hAnsi="Calibri Light" w:eastAsia="华文仿宋"/>
          <w:sz w:val="36"/>
        </w:rPr>
        <w:instrText xml:space="preserve"> PAGEREF _Toc198213910 \h </w:instrText>
      </w:r>
      <w:r>
        <w:rPr>
          <w:rFonts w:ascii="Calibri Light" w:hAnsi="Calibri Light" w:eastAsia="华文仿宋"/>
          <w:sz w:val="36"/>
        </w:rPr>
        <w:fldChar w:fldCharType="separate"/>
      </w:r>
      <w:r>
        <w:rPr>
          <w:rFonts w:ascii="Calibri Light" w:hAnsi="Calibri Light" w:eastAsia="华文仿宋"/>
          <w:sz w:val="36"/>
        </w:rPr>
        <w:t>37</w:t>
      </w:r>
      <w:r>
        <w:rPr>
          <w:rFonts w:ascii="Calibri Light" w:hAnsi="Calibri Light" w:eastAsia="华文仿宋"/>
          <w:sz w:val="36"/>
        </w:rPr>
        <w:fldChar w:fldCharType="end"/>
      </w:r>
    </w:p>
    <w:p w14:paraId="41D1F5B5">
      <w:pPr>
        <w:pStyle w:val="19"/>
        <w:tabs>
          <w:tab w:val="right" w:leader="hyphen" w:pos="8504"/>
        </w:tabs>
        <w:spacing w:before="460" w:beforeLines="0" w:after="460" w:line="400" w:lineRule="exact"/>
        <w:ind w:left="1920" w:leftChars="200" w:right="480" w:rightChars="200" w:hanging="1440" w:hangingChars="400"/>
        <w:jc w:val="both"/>
        <w:rPr>
          <w:rFonts w:cstheme="minorHAnsi"/>
          <w:sz w:val="36"/>
          <w:szCs w:val="36"/>
        </w:rPr>
      </w:pPr>
      <w:r>
        <w:rPr>
          <w:rFonts w:ascii="Calibri Light" w:hAnsi="Calibri Light" w:eastAsia="华文仿宋" w:cstheme="minorHAnsi"/>
          <w:sz w:val="36"/>
          <w:szCs w:val="30"/>
        </w:rPr>
        <w:fldChar w:fldCharType="end"/>
      </w:r>
    </w:p>
    <w:p w14:paraId="61B59243">
      <w:pPr>
        <w:widowControl w:val="0"/>
        <w:topLinePunct/>
        <w:jc w:val="both"/>
        <w:rPr>
          <w:rFonts w:eastAsia="宋体" w:cstheme="minorHAnsi"/>
          <w:sz w:val="36"/>
          <w:szCs w:val="36"/>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100219612"/>
      <w:bookmarkStart w:id="1" w:name="_Toc198213906"/>
      <w:r>
        <w:rPr>
          <w:rFonts w:hint="eastAsia"/>
        </w:rPr>
        <w:t>第一章　磋商邀请函</w:t>
      </w:r>
      <w:bookmarkEnd w:id="0"/>
      <w:bookmarkEnd w:id="1"/>
    </w:p>
    <w:p w14:paraId="0B3A0504">
      <w:pPr>
        <w:widowControl w:val="0"/>
        <w:topLinePunct/>
        <w:ind w:firstLine="480" w:firstLineChars="200"/>
        <w:jc w:val="both"/>
      </w:pPr>
      <w:r>
        <w:rPr>
          <w:rFonts w:hint="eastAsia"/>
        </w:rPr>
        <w:t>西安市市级单位政府采购中心受</w:t>
      </w:r>
      <w:r>
        <w:rPr>
          <w:rFonts w:hint="eastAsia"/>
          <w:color w:val="C00000"/>
        </w:rPr>
        <w:t>西安市中心血站</w:t>
      </w:r>
      <w:r>
        <w:rPr>
          <w:rFonts w:hint="eastAsia"/>
        </w:rPr>
        <w:t>的委托，经政府采购监管部门批准，按照政府采购程序，对</w:t>
      </w:r>
      <w:r>
        <w:rPr>
          <w:rFonts w:hint="eastAsia"/>
          <w:color w:val="C00000"/>
        </w:rPr>
        <w:t>西安市中心血站车辆加油</w:t>
      </w:r>
      <w:r>
        <w:rPr>
          <w:rFonts w:hint="eastAsia"/>
        </w:rPr>
        <w:t>项目进行竞争性磋商，欢迎符合资格条件的、有能力提供本项目所需货物和服务的供应商参加磋商。</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西安市中心血站车辆加油</w:t>
      </w:r>
    </w:p>
    <w:p w14:paraId="62B33849">
      <w:pPr>
        <w:widowControl w:val="0"/>
        <w:topLinePunct/>
        <w:ind w:firstLine="480" w:firstLineChars="200"/>
        <w:jc w:val="both"/>
      </w:pPr>
      <w:r>
        <w:rPr>
          <w:rFonts w:hint="eastAsia"/>
        </w:rPr>
        <w:t>项目编号：</w:t>
      </w:r>
      <w:r>
        <w:rPr>
          <w:rFonts w:hint="eastAsia"/>
          <w:color w:val="C00000"/>
        </w:rPr>
        <w:t>XCZX2025-0051-3</w:t>
      </w:r>
    </w:p>
    <w:p w14:paraId="3201ECCD">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0882</w:t>
      </w:r>
    </w:p>
    <w:p w14:paraId="11EC738C">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14:paraId="143219DA">
      <w:pPr>
        <w:widowControl w:val="0"/>
        <w:topLinePunct/>
        <w:ind w:firstLine="480" w:firstLineChars="200"/>
        <w:jc w:val="both"/>
        <w:rPr>
          <w:color w:val="C00000"/>
        </w:rPr>
      </w:pPr>
      <w:r>
        <w:rPr>
          <w:rFonts w:hint="eastAsia"/>
          <w:b/>
        </w:rPr>
        <w:t>三、采购预算：</w:t>
      </w:r>
      <w:r>
        <w:rPr>
          <w:color w:val="C00000"/>
        </w:rPr>
        <w:t>1100000</w:t>
      </w:r>
      <w:r>
        <w:rPr>
          <w:rFonts w:hint="eastAsia"/>
          <w:color w:val="C00000"/>
        </w:rPr>
        <w:t>元（最高限价1</w:t>
      </w:r>
      <w:r>
        <w:rPr>
          <w:color w:val="C00000"/>
        </w:rPr>
        <w:t>100000</w:t>
      </w:r>
      <w:r>
        <w:rPr>
          <w:rFonts w:hint="eastAsia"/>
          <w:color w:val="C00000"/>
        </w:rPr>
        <w:t>元）</w:t>
      </w:r>
    </w:p>
    <w:p w14:paraId="22CDC1C3">
      <w:pPr>
        <w:widowControl w:val="0"/>
        <w:topLinePunct/>
        <w:ind w:firstLine="480" w:firstLineChars="200"/>
        <w:jc w:val="both"/>
        <w:rPr>
          <w:b/>
        </w:rPr>
      </w:pPr>
      <w:r>
        <w:rPr>
          <w:b/>
        </w:rPr>
        <w:t>四、采购</w:t>
      </w:r>
      <w:r>
        <w:rPr>
          <w:rFonts w:hint="eastAsia"/>
          <w:b/>
        </w:rPr>
        <w:t>内容和要求：</w:t>
      </w:r>
    </w:p>
    <w:p w14:paraId="5D4F1931">
      <w:pPr>
        <w:widowControl w:val="0"/>
        <w:topLinePunct/>
        <w:ind w:firstLine="480" w:firstLineChars="200"/>
        <w:jc w:val="both"/>
      </w:pPr>
      <w:r>
        <w:rPr>
          <w:rFonts w:hint="eastAsia"/>
          <w:color w:val="C00000"/>
        </w:rPr>
        <w:t>西安市中心血站车辆加油</w:t>
      </w:r>
    </w:p>
    <w:p w14:paraId="64FC89D4">
      <w:pPr>
        <w:widowControl w:val="0"/>
        <w:topLinePunct/>
        <w:ind w:firstLine="480" w:firstLineChars="200"/>
        <w:jc w:val="both"/>
      </w:pPr>
      <w:r>
        <w:rPr>
          <w:rFonts w:hint="eastAsia"/>
        </w:rPr>
        <w:t>详见第三章「磋商内容及要求」。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39B3C26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4036FEA1">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D34C5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58DE4155">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8A5394C">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七、获取磋商文件的时间及方式：</w:t>
      </w:r>
    </w:p>
    <w:p w14:paraId="00291F81">
      <w:pPr>
        <w:widowControl w:val="0"/>
        <w:topLinePunct/>
        <w:ind w:firstLine="480" w:firstLineChars="200"/>
        <w:jc w:val="both"/>
      </w:pPr>
      <w:r>
        <w:rPr>
          <w:rFonts w:hint="eastAsia"/>
        </w:rPr>
        <w:t>1．获取时间：自磋商公告发布之日起5个工作日内。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089EDA29">
      <w:pPr>
        <w:widowControl w:val="0"/>
        <w:topLinePunct/>
        <w:ind w:firstLine="480" w:firstLineChars="200"/>
        <w:jc w:val="both"/>
        <w:rPr>
          <w:b/>
        </w:rPr>
      </w:pPr>
      <w:r>
        <w:rPr>
          <w:rFonts w:hint="eastAsia"/>
          <w:b/>
        </w:rPr>
        <w:t>八、提交首次响应文件截止时间及方式：</w:t>
      </w:r>
    </w:p>
    <w:p w14:paraId="51241B74">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u w:val="single"/>
        </w:rPr>
        <w:t>7</w:t>
      </w:r>
      <w:r>
        <w:rPr>
          <w:rFonts w:hint="eastAsia"/>
        </w:rPr>
        <w:t>月</w:t>
      </w:r>
      <w:r>
        <w:rPr>
          <w:u w:val="single"/>
        </w:rPr>
        <w:t>23</w:t>
      </w:r>
      <w:r>
        <w:rPr>
          <w:rFonts w:hint="eastAsia"/>
        </w:rPr>
        <w:t>日10:30，逾期提交的，系统将拒绝接收。</w:t>
      </w:r>
    </w:p>
    <w:p w14:paraId="713E12B2">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002298FE">
      <w:pPr>
        <w:widowControl w:val="0"/>
        <w:topLinePunct/>
        <w:ind w:firstLine="480" w:firstLineChars="200"/>
        <w:jc w:val="both"/>
      </w:pPr>
      <w:r>
        <w:rPr>
          <w:rFonts w:hint="eastAsia"/>
          <w:b/>
        </w:rPr>
        <w:t>九、开启时间、地点及开标形式：</w:t>
      </w:r>
    </w:p>
    <w:p w14:paraId="1CB81DA3">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7</w:t>
      </w:r>
      <w:r>
        <w:rPr>
          <w:rFonts w:hint="eastAsia"/>
        </w:rPr>
        <w:t>月</w:t>
      </w:r>
      <w:r>
        <w:rPr>
          <w:u w:val="single"/>
        </w:rPr>
        <w:t>23</w:t>
      </w:r>
      <w:r>
        <w:rPr>
          <w:rFonts w:hint="eastAsia"/>
        </w:rPr>
        <w:t>日10:30</w:t>
      </w:r>
    </w:p>
    <w:p w14:paraId="75602388">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6</w:t>
      </w:r>
      <w:r>
        <w:rPr>
          <w:rFonts w:hint="eastAsia"/>
        </w:rPr>
        <w:t>。</w:t>
      </w:r>
    </w:p>
    <w:p w14:paraId="044015C4">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1．采购人：西安市中心血站</w:t>
      </w:r>
    </w:p>
    <w:p w14:paraId="42313200">
      <w:pPr>
        <w:widowControl w:val="0"/>
        <w:topLinePunct/>
        <w:ind w:firstLine="480" w:firstLineChars="200"/>
        <w:jc w:val="both"/>
      </w:pPr>
      <w:r>
        <w:rPr>
          <w:rFonts w:hint="eastAsia"/>
        </w:rPr>
        <w:t>地址：西安市雁塔区朱雀大街407号</w:t>
      </w:r>
    </w:p>
    <w:p w14:paraId="5CD1CE1F">
      <w:pPr>
        <w:widowControl w:val="0"/>
        <w:topLinePunct/>
        <w:ind w:firstLine="480" w:firstLineChars="200"/>
        <w:jc w:val="both"/>
      </w:pPr>
      <w:r>
        <w:rPr>
          <w:rFonts w:hint="eastAsia"/>
        </w:rPr>
        <w:t>联系人：瑚老师</w:t>
      </w:r>
    </w:p>
    <w:p w14:paraId="7C403659">
      <w:pPr>
        <w:widowControl w:val="0"/>
        <w:topLinePunct/>
        <w:ind w:firstLine="480" w:firstLineChars="200"/>
        <w:jc w:val="both"/>
      </w:pPr>
      <w:r>
        <w:rPr>
          <w:rFonts w:hint="eastAsia"/>
        </w:rPr>
        <w:t>联系电话：</w:t>
      </w:r>
      <w:r>
        <w:t>029-85212746</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标书联系人及分机号：冯老师（</w:t>
      </w:r>
      <w:r>
        <w:t>80846</w:t>
      </w:r>
      <w:r>
        <w:rPr>
          <w:rFonts w:hint="eastAsia"/>
        </w:rPr>
        <w:t>）</w:t>
      </w:r>
    </w:p>
    <w:p w14:paraId="6F1334A2">
      <w:pPr>
        <w:widowControl w:val="0"/>
        <w:topLinePunct/>
        <w:ind w:firstLine="480" w:firstLineChars="200"/>
        <w:jc w:val="both"/>
      </w:pPr>
      <w:r>
        <w:rPr>
          <w:rFonts w:hint="eastAsia"/>
        </w:rPr>
        <w:t>开标联系人及分机号：朱老师（</w:t>
      </w:r>
      <w:r>
        <w:t>80805</w:t>
      </w:r>
      <w:r>
        <w:rPr>
          <w:rFonts w:hint="eastAsia"/>
        </w:rPr>
        <w:t>）</w:t>
      </w:r>
    </w:p>
    <w:p w14:paraId="4ED7171F">
      <w:pPr>
        <w:widowControl w:val="0"/>
        <w:topLinePunct/>
        <w:jc w:val="both"/>
      </w:pPr>
    </w:p>
    <w:p w14:paraId="2C9EEC3C">
      <w:pPr>
        <w:widowControl w:val="0"/>
        <w:topLinePunct/>
        <w:jc w:val="both"/>
        <w:sectPr>
          <w:headerReference r:id="rId8" w:type="default"/>
          <w:footerReference r:id="rId10" w:type="default"/>
          <w:headerReference r:id="rId9" w:type="even"/>
          <w:footerReference r:id="rId11"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2" w:name="_Toc445407251"/>
      <w:bookmarkStart w:id="3" w:name="_Toc534656414"/>
      <w:bookmarkStart w:id="4" w:name="_Toc198213907"/>
      <w:bookmarkStart w:id="5" w:name="_Toc533363235"/>
      <w:bookmarkStart w:id="6" w:name="_Toc100219613"/>
      <w:bookmarkStart w:id="7" w:name="_Toc533363262"/>
      <w:bookmarkStart w:id="8" w:name="_Toc97563329"/>
      <w:bookmarkStart w:id="9" w:name="_Toc534656409"/>
      <w:bookmarkStart w:id="10" w:name="_Toc498349068"/>
      <w:r>
        <w:t>第二章</w:t>
      </w:r>
      <w:r>
        <w:rPr>
          <w:rFonts w:hint="eastAsia"/>
        </w:rPr>
        <w:t>　</w:t>
      </w:r>
      <w:r>
        <w:t>供应商须知</w:t>
      </w:r>
      <w:bookmarkEnd w:id="2"/>
      <w:bookmarkEnd w:id="3"/>
      <w:bookmarkEnd w:id="4"/>
      <w:bookmarkEnd w:id="5"/>
      <w:bookmarkEnd w:id="6"/>
      <w:bookmarkEnd w:id="7"/>
      <w:bookmarkEnd w:id="8"/>
      <w:bookmarkEnd w:id="9"/>
      <w:bookmarkEnd w:id="10"/>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西安市中心血站车辆加油</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XCZX2025-0051-3</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694" w:type="dxa"/>
            <w:shd w:val="clear" w:color="auto" w:fill="auto"/>
            <w:vAlign w:val="center"/>
          </w:tcPr>
          <w:p w14:paraId="4D74D8F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ascii="Calibri" w:hAnsi="宋体" w:eastAsia="宋体" w:cstheme="minorHAnsi"/>
                <w:sz w:val="21"/>
              </w:rPr>
              <w:t>1100000</w:t>
            </w:r>
            <w:r>
              <w:rPr>
                <w:rFonts w:hint="eastAsia" w:ascii="Calibri" w:hAnsi="宋体" w:eastAsia="宋体" w:cstheme="minorHAnsi"/>
                <w:sz w:val="21"/>
              </w:rPr>
              <w:t>元（最高限价</w:t>
            </w:r>
            <w:r>
              <w:rPr>
                <w:rFonts w:ascii="Calibri" w:hAnsi="宋体" w:eastAsia="宋体" w:cstheme="minorHAnsi"/>
                <w:sz w:val="21"/>
              </w:rPr>
              <w:t>1100000</w:t>
            </w:r>
            <w:r>
              <w:rPr>
                <w:rFonts w:hint="eastAsia" w:ascii="Calibri" w:hAnsi="宋体" w:eastAsia="宋体" w:cstheme="minorHAnsi"/>
                <w:sz w:val="21"/>
              </w:rPr>
              <w:t>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1D0D8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71065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40C658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DC1D910">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0B106DD">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261342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AA0FCC2">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3A61785F">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63474F9">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7578361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零售业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49F2AD90">
      <w:pPr>
        <w:pStyle w:val="81"/>
        <w:ind w:firstLine="480"/>
      </w:pPr>
    </w:p>
    <w:p w14:paraId="6230B20D">
      <w:pPr>
        <w:rPr>
          <w:rFonts w:ascii="Calibri" w:hAnsi="Calibri" w:eastAsia="黑体" w:cstheme="majorBidi"/>
          <w:bCs/>
          <w:iCs/>
          <w:kern w:val="32"/>
          <w:sz w:val="28"/>
          <w:szCs w:val="28"/>
        </w:rPr>
      </w:pPr>
      <w:r>
        <w:br w:type="page"/>
      </w:r>
    </w:p>
    <w:p w14:paraId="3669E3A3">
      <w:pPr>
        <w:pStyle w:val="3"/>
        <w:jc w:val="both"/>
      </w:pPr>
      <w:r>
        <w:t>一、有关定义</w:t>
      </w:r>
    </w:p>
    <w:p w14:paraId="174EA960">
      <w:pPr>
        <w:ind w:firstLine="480" w:firstLineChars="200"/>
        <w:jc w:val="both"/>
        <w:rPr>
          <w:rFonts w:cstheme="minorHAnsi"/>
        </w:rPr>
      </w:pPr>
      <w:r>
        <w:rPr>
          <w:rFonts w:hint="eastAsia" w:cstheme="minorHAnsi"/>
        </w:rPr>
        <w:t>1．采购人：依法进行政府采购的西安市市级机关、事业单位或团体组织。</w:t>
      </w:r>
    </w:p>
    <w:p w14:paraId="7DF98CC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C49474">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039F54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0C993A48">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4068C74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1" w:name="OLE_LINK9"/>
      <w:bookmarkStart w:id="12" w:name="OLE_LINK10"/>
      <w:r>
        <w:rPr>
          <w:rFonts w:hint="eastAsia"/>
          <w:color w:val="C00000"/>
        </w:rPr>
        <w:t>采购文件公告期限届满之日</w:t>
      </w:r>
      <w:bookmarkEnd w:id="11"/>
      <w:bookmarkEnd w:id="12"/>
      <w:r>
        <w:rPr>
          <w:rFonts w:hint="eastAsia"/>
          <w:color w:val="C00000"/>
        </w:rPr>
        <w:t>。</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0757EB72">
      <w:pPr>
        <w:pStyle w:val="4"/>
        <w:ind w:firstLine="482"/>
      </w:pPr>
      <w:r>
        <w:t>（五）</w:t>
      </w:r>
      <w:r>
        <w:rPr>
          <w:rFonts w:hint="eastAsia"/>
        </w:rPr>
        <w:t>关于政府采购</w:t>
      </w:r>
      <w:r>
        <w:t>政策</w:t>
      </w:r>
    </w:p>
    <w:p w14:paraId="45D8A6C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38383B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7604E96">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447BE28B">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5FAECBEE">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3553126">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373C800F">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270992C5">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355068CF">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7A1308D2">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47466523">
      <w:pPr>
        <w:ind w:firstLine="480" w:firstLineChars="200"/>
        <w:jc w:val="both"/>
        <w:rPr>
          <w:rFonts w:cstheme="minorHAnsi"/>
          <w:b/>
        </w:rPr>
      </w:pPr>
      <w:r>
        <w:rPr>
          <w:rFonts w:hint="eastAsia" w:cstheme="minorHAnsi"/>
          <w:b/>
        </w:rPr>
        <w:t>（1）陕西省中小企业政府采购信用融资办法</w:t>
      </w:r>
    </w:p>
    <w:p w14:paraId="72A2CB80">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14:paraId="6A65DAE5">
      <w:pPr>
        <w:ind w:firstLine="480" w:firstLineChars="200"/>
        <w:jc w:val="both"/>
        <w:rPr>
          <w:b/>
        </w:rPr>
      </w:pPr>
      <w:r>
        <w:rPr>
          <w:rFonts w:hint="eastAsia" w:cstheme="minorHAnsi"/>
          <w:b/>
        </w:rPr>
        <w:t>（2）</w:t>
      </w:r>
      <w:r>
        <w:rPr>
          <w:b/>
        </w:rPr>
        <w:t>西安市政府采购信用担保及信用融资政策</w:t>
      </w:r>
    </w:p>
    <w:p w14:paraId="43FA72C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4FAF62E3">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8ABBE46">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4317014E">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pPr>
        <w:pStyle w:val="4"/>
      </w:pPr>
      <w:r>
        <w:t>（十）关于联合体</w:t>
      </w:r>
    </w:p>
    <w:p w14:paraId="5CDDB123">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3FE162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0121866">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713EBE0B">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0F0DA6A8">
      <w:pPr>
        <w:ind w:firstLine="480" w:firstLineChars="200"/>
        <w:jc w:val="both"/>
      </w:pPr>
      <w:r>
        <w:rPr>
          <w:rFonts w:hint="eastAsia"/>
        </w:rPr>
        <w:t>6．联合体可享受的中小企业优惠政策：</w:t>
      </w:r>
    </w:p>
    <w:p w14:paraId="19BF3BD9">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867ABE1">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1C39AB7C">
      <w:pPr>
        <w:ind w:firstLine="480" w:firstLineChars="200"/>
        <w:jc w:val="both"/>
      </w:pPr>
      <w:r>
        <w:rPr>
          <w:rFonts w:hint="eastAsia"/>
        </w:rPr>
        <w:t>7．联合体出现下列情形之一的，响</w:t>
      </w:r>
      <w:r>
        <w:rPr>
          <w:rFonts w:hint="eastAsia"/>
          <w:w w:val="1"/>
        </w:rPr>
        <w:t>　</w:t>
      </w:r>
      <w:r>
        <w:rPr>
          <w:rFonts w:hint="eastAsia"/>
        </w:rPr>
        <w:t>应无效：</w:t>
      </w:r>
    </w:p>
    <w:p w14:paraId="6B74783B">
      <w:pPr>
        <w:ind w:firstLine="480" w:firstLineChars="200"/>
        <w:jc w:val="both"/>
      </w:pPr>
      <w:r>
        <w:rPr>
          <w:rFonts w:hint="eastAsia"/>
        </w:rPr>
        <w:t>（1）联合体没有提交有效的联合协议的；</w:t>
      </w:r>
    </w:p>
    <w:p w14:paraId="6E355482">
      <w:pPr>
        <w:ind w:firstLine="480" w:firstLineChars="200"/>
        <w:jc w:val="both"/>
      </w:pPr>
      <w:r>
        <w:rPr>
          <w:rFonts w:hint="eastAsia"/>
        </w:rPr>
        <w:t xml:space="preserve">（2）进行资格预审的项目，资格预审后联合体增减、更换成员的； </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三、磋商文件</w:t>
      </w:r>
    </w:p>
    <w:p w14:paraId="57027355">
      <w:pPr>
        <w:pStyle w:val="4"/>
        <w:ind w:firstLine="482"/>
      </w:pPr>
      <w:r>
        <w:t>（一）磋商</w:t>
      </w:r>
      <w:r>
        <w:rPr>
          <w:rFonts w:hint="eastAsia"/>
        </w:rPr>
        <w:t>文件的解释权</w:t>
      </w:r>
    </w:p>
    <w:p w14:paraId="140F6F8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2F374EBD">
      <w:pPr>
        <w:pStyle w:val="4"/>
        <w:ind w:firstLine="482"/>
      </w:pPr>
      <w:r>
        <w:t>（二）磋商文件主要内容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604A09AD">
      <w:pPr>
        <w:pStyle w:val="4"/>
        <w:ind w:firstLine="482"/>
      </w:pPr>
      <w:r>
        <w:t>（三）磋商文件的检查及阅读</w:t>
      </w:r>
    </w:p>
    <w:p w14:paraId="136227A3">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4558F347">
      <w:pPr>
        <w:pStyle w:val="4"/>
        <w:ind w:firstLine="482"/>
      </w:pPr>
      <w:r>
        <w:t>（四）磋商文件的修改、澄清</w:t>
      </w:r>
    </w:p>
    <w:p w14:paraId="0079D1A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5C6D7605">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55830B">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76A1CFDA">
      <w:pPr>
        <w:pStyle w:val="3"/>
      </w:pPr>
      <w:r>
        <w:t>四、响应文件</w:t>
      </w:r>
    </w:p>
    <w:p w14:paraId="38AFDCFA">
      <w:pPr>
        <w:pStyle w:val="4"/>
        <w:ind w:firstLine="482"/>
      </w:pPr>
      <w:r>
        <w:rPr>
          <w:rFonts w:hint="eastAsia"/>
        </w:rPr>
        <w:t>（一）响应文件</w:t>
      </w:r>
      <w:r>
        <w:t>的式样</w:t>
      </w:r>
    </w:p>
    <w:p w14:paraId="4DBD232F">
      <w:pPr>
        <w:pStyle w:val="81"/>
        <w:ind w:firstLine="480"/>
      </w:pPr>
      <w:r>
        <w:t>1</w:t>
      </w:r>
      <w:r>
        <w:rPr>
          <w:rFonts w:hint="eastAsia"/>
          <w:color w:val="auto"/>
        </w:rPr>
        <w:t>．</w:t>
      </w:r>
      <w:r>
        <w:rPr>
          <w:rFonts w:hint="eastAsia"/>
        </w:rPr>
        <w:t>组成</w:t>
      </w:r>
      <w:r>
        <w:t>及格式</w:t>
      </w:r>
    </w:p>
    <w:p w14:paraId="6BFB9D09">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EC44FBE">
      <w:pPr>
        <w:pStyle w:val="81"/>
        <w:ind w:firstLine="480"/>
      </w:pPr>
      <w:r>
        <w:rPr>
          <w:rFonts w:hint="eastAsia"/>
        </w:rPr>
        <w:t>2</w:t>
      </w:r>
      <w:r>
        <w:rPr>
          <w:rFonts w:hint="eastAsia"/>
          <w:color w:val="auto"/>
        </w:rPr>
        <w:t>．</w:t>
      </w:r>
      <w:r>
        <w:rPr>
          <w:rFonts w:hint="eastAsia"/>
        </w:rPr>
        <w:t>语言</w:t>
      </w:r>
    </w:p>
    <w:p w14:paraId="3C33EE09">
      <w:pPr>
        <w:pStyle w:val="81"/>
        <w:ind w:firstLine="480"/>
      </w:pPr>
      <w:r>
        <w:rPr>
          <w:rFonts w:hint="eastAsia"/>
        </w:rPr>
        <w:t>磋商活动的所有文件、资料、函电文字均使用简体中文，确需提交用其他语言形成的资料，必须翻译成简体中文，如有差异，以简体中文为准。</w:t>
      </w:r>
    </w:p>
    <w:p w14:paraId="2F3FAA15">
      <w:pPr>
        <w:pStyle w:val="81"/>
        <w:ind w:firstLine="480"/>
      </w:pPr>
      <w:r>
        <w:rPr>
          <w:rFonts w:hint="eastAsia"/>
        </w:rPr>
        <w:t>3</w:t>
      </w:r>
      <w:r>
        <w:rPr>
          <w:rFonts w:hint="eastAsia"/>
          <w:color w:val="auto"/>
        </w:rPr>
        <w:t>．</w:t>
      </w:r>
      <w:r>
        <w:t>计量单位</w:t>
      </w:r>
    </w:p>
    <w:p w14:paraId="386CC72A">
      <w:pPr>
        <w:pStyle w:val="81"/>
        <w:ind w:firstLine="480"/>
      </w:pPr>
      <w:r>
        <w:rPr>
          <w:rFonts w:hint="eastAsia"/>
        </w:rPr>
        <w:t>响应文件的计量单位应使用中华人民共和国法定计量单位，但磋商文件另有规定的除外。</w:t>
      </w:r>
    </w:p>
    <w:p w14:paraId="40216070">
      <w:pPr>
        <w:pStyle w:val="4"/>
        <w:ind w:firstLine="482"/>
      </w:pPr>
      <w:r>
        <w:rPr>
          <w:rFonts w:hint="eastAsia"/>
        </w:rPr>
        <w:t>（二）响应文件</w:t>
      </w:r>
      <w:r>
        <w:t>的有效期</w:t>
      </w:r>
    </w:p>
    <w:p w14:paraId="5B7D7BC8">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802925A">
      <w:pPr>
        <w:pStyle w:val="4"/>
        <w:ind w:firstLine="482"/>
      </w:pPr>
      <w:r>
        <w:rPr>
          <w:rFonts w:hint="eastAsia"/>
        </w:rPr>
        <w:t>（三）磋商</w:t>
      </w:r>
      <w:r>
        <w:t>报价</w:t>
      </w:r>
    </w:p>
    <w:p w14:paraId="15B579B7">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pPr>
        <w:pStyle w:val="4"/>
        <w:ind w:firstLine="482"/>
      </w:pPr>
      <w:r>
        <w:rPr>
          <w:rFonts w:hint="eastAsia"/>
        </w:rPr>
        <w:t>（四）电子响应文件</w:t>
      </w:r>
      <w:r>
        <w:t>的</w:t>
      </w:r>
      <w:r>
        <w:rPr>
          <w:rFonts w:hint="eastAsia"/>
        </w:rPr>
        <w:t>制作、</w:t>
      </w:r>
      <w:r>
        <w:t>签章及加密</w:t>
      </w:r>
    </w:p>
    <w:p w14:paraId="5660DCD5">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1AFAE165">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5C61E669">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20C51986">
      <w:pPr>
        <w:pStyle w:val="4"/>
        <w:ind w:firstLine="482"/>
      </w:pPr>
      <w:r>
        <w:rPr>
          <w:rFonts w:hint="eastAsia"/>
        </w:rPr>
        <w:t>（五）电子响应文件</w:t>
      </w:r>
      <w:r>
        <w:t>的提交</w:t>
      </w:r>
    </w:p>
    <w:p w14:paraId="0656DC15">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340285A">
      <w:pPr>
        <w:pStyle w:val="81"/>
        <w:ind w:firstLine="480"/>
      </w:pPr>
      <w:r>
        <w:t>出现下述情形的，电子响应文件将被系统拒收：</w:t>
      </w:r>
    </w:p>
    <w:p w14:paraId="4AC6B849">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AA2B29A">
      <w:pPr>
        <w:ind w:firstLine="480" w:firstLineChars="200"/>
        <w:jc w:val="both"/>
        <w:rPr>
          <w:rFonts w:cstheme="minorHAnsi"/>
        </w:rPr>
      </w:pPr>
      <w:r>
        <w:rPr>
          <w:rFonts w:hint="eastAsia" w:cstheme="minorHAnsi"/>
        </w:rPr>
        <w:t>2．</w:t>
      </w:r>
      <w:r>
        <w:rPr>
          <w:rFonts w:cstheme="minorHAnsi"/>
        </w:rPr>
        <w:t>逾期提交电子响应文件的；</w:t>
      </w:r>
    </w:p>
    <w:p w14:paraId="76583FD7">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092E8868">
      <w:pPr>
        <w:pStyle w:val="4"/>
        <w:ind w:firstLine="482"/>
      </w:pPr>
      <w:r>
        <w:t>（</w:t>
      </w:r>
      <w:r>
        <w:rPr>
          <w:rFonts w:hint="eastAsia"/>
        </w:rPr>
        <w:t>六</w:t>
      </w:r>
      <w:r>
        <w:t>）电子响应文件的撤回、补充及修改</w:t>
      </w:r>
    </w:p>
    <w:p w14:paraId="3592412A">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pPr>
        <w:pStyle w:val="4"/>
        <w:ind w:firstLine="482"/>
      </w:pPr>
      <w:r>
        <w:rPr>
          <w:rFonts w:hint="eastAsia"/>
        </w:rPr>
        <w:t>（七）关于电子投</w:t>
      </w:r>
      <w:r>
        <w:rPr>
          <w:rFonts w:hint="eastAsia"/>
          <w:w w:val="1"/>
        </w:rPr>
        <w:t>　</w:t>
      </w:r>
      <w:r>
        <w:rPr>
          <w:rFonts w:hint="eastAsia"/>
        </w:rPr>
        <w:t>标文件的雷同性分析</w:t>
      </w:r>
    </w:p>
    <w:p w14:paraId="6B9F7F24">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60DD6D01">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29ABB2FB">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AFE0513">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1601A4A6">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8163BC9">
      <w:pPr>
        <w:pStyle w:val="81"/>
        <w:ind w:firstLine="480"/>
      </w:pPr>
      <w:r>
        <w:rPr>
          <w:rFonts w:hint="eastAsia"/>
        </w:rPr>
        <w:t>1．不同供应商的响应文件由同一单位或者个人编制的；</w:t>
      </w:r>
    </w:p>
    <w:p w14:paraId="680072CC">
      <w:pPr>
        <w:pStyle w:val="81"/>
        <w:ind w:firstLine="480"/>
      </w:pPr>
      <w:r>
        <w:rPr>
          <w:rFonts w:hint="eastAsia"/>
        </w:rPr>
        <w:t>2．不同供应商委托同一单位或者个人办理磋商事宜的；</w:t>
      </w:r>
    </w:p>
    <w:p w14:paraId="7440E1B6">
      <w:pPr>
        <w:pStyle w:val="81"/>
        <w:ind w:firstLine="480"/>
      </w:pPr>
      <w:r>
        <w:rPr>
          <w:rFonts w:hint="eastAsia"/>
        </w:rPr>
        <w:t>3．不同供应商的响应文件载明的项目管理成员或者联系人员为同一人的；</w:t>
      </w:r>
    </w:p>
    <w:p w14:paraId="781FE8A4">
      <w:pPr>
        <w:pStyle w:val="81"/>
        <w:ind w:firstLine="480"/>
      </w:pPr>
      <w:r>
        <w:rPr>
          <w:rFonts w:hint="eastAsia"/>
        </w:rPr>
        <w:t>4．不同供应商的响应文件异常一致或者报价呈规律性差异的；</w:t>
      </w:r>
    </w:p>
    <w:p w14:paraId="3D0E3CF0">
      <w:pPr>
        <w:pStyle w:val="81"/>
        <w:ind w:firstLine="480"/>
      </w:pPr>
      <w:r>
        <w:rPr>
          <w:rFonts w:hint="eastAsia"/>
        </w:rPr>
        <w:t>5．不同供应商的响应文件相互混编或混装的。</w:t>
      </w:r>
    </w:p>
    <w:p w14:paraId="147CE1F7">
      <w:pPr>
        <w:pStyle w:val="3"/>
      </w:pPr>
      <w:r>
        <w:rPr>
          <w:rFonts w:hint="eastAsia"/>
        </w:rPr>
        <w:t>五</w:t>
      </w:r>
      <w:r>
        <w:t>、开启</w:t>
      </w:r>
    </w:p>
    <w:p w14:paraId="7E9B778B">
      <w:pPr>
        <w:pStyle w:val="81"/>
        <w:ind w:firstLine="480"/>
      </w:pPr>
      <w:r>
        <w:rPr>
          <w:rFonts w:hint="eastAsia"/>
        </w:rPr>
        <w:t>开启工作由采购代理机构组织实施，整个过程受同级政府采购监管部门的监督、管理。</w:t>
      </w:r>
    </w:p>
    <w:p w14:paraId="5994D3AC">
      <w:pPr>
        <w:pStyle w:val="81"/>
        <w:ind w:firstLine="480"/>
        <w:rPr>
          <w:color w:val="auto"/>
        </w:rPr>
      </w:pPr>
      <w:r>
        <w:rPr>
          <w:rFonts w:hint="eastAsia"/>
        </w:rPr>
        <w:t>1</w:t>
      </w:r>
      <w:r>
        <w:rPr>
          <w:rFonts w:hint="eastAsia"/>
          <w:color w:val="auto"/>
        </w:rPr>
        <w:t>．提交首次响应文件截止时间前，请各供应商务必确认已正常提交了响应文件。</w:t>
      </w:r>
    </w:p>
    <w:p w14:paraId="7F3B1320">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1859B800">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554DB15D">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5DF699C5">
      <w:pPr>
        <w:pStyle w:val="81"/>
        <w:ind w:firstLine="480"/>
        <w:rPr>
          <w:color w:val="auto"/>
        </w:rPr>
      </w:pPr>
      <w:r>
        <w:rPr>
          <w:rFonts w:hint="eastAsia"/>
          <w:color w:val="auto"/>
        </w:rPr>
        <w:t>（3）上传</w:t>
      </w:r>
      <w:r>
        <w:rPr>
          <w:color w:val="auto"/>
        </w:rPr>
        <w:t>的电子响应文件无法正常打开的；</w:t>
      </w:r>
    </w:p>
    <w:p w14:paraId="5875F9E0">
      <w:pPr>
        <w:pStyle w:val="81"/>
        <w:ind w:firstLine="480"/>
        <w:rPr>
          <w:color w:val="auto"/>
        </w:rPr>
      </w:pPr>
      <w:r>
        <w:rPr>
          <w:rFonts w:hint="eastAsia"/>
          <w:color w:val="auto"/>
        </w:rPr>
        <w:t>（4）</w:t>
      </w:r>
      <w:r>
        <w:rPr>
          <w:color w:val="auto"/>
        </w:rPr>
        <w:t>政府采购法律法规规定的其他无效情形。</w:t>
      </w:r>
    </w:p>
    <w:p w14:paraId="76C6C5F6">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14:paraId="30688DCD">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pPr>
        <w:pStyle w:val="3"/>
      </w:pPr>
      <w:r>
        <w:t>六、磋商方法和程序</w:t>
      </w:r>
    </w:p>
    <w:p w14:paraId="70C3F6C2">
      <w:pPr>
        <w:pStyle w:val="4"/>
        <w:ind w:firstLine="482"/>
      </w:pPr>
      <w:r>
        <w:rPr>
          <w:rFonts w:hint="eastAsia"/>
        </w:rPr>
        <w:t>（一）组建磋商小组</w:t>
      </w:r>
    </w:p>
    <w:p w14:paraId="2FB0A0CA">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B85A452">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pPr>
        <w:ind w:firstLine="480" w:firstLineChars="200"/>
        <w:jc w:val="both"/>
      </w:pPr>
      <w:r>
        <w:rPr>
          <w:rFonts w:hint="eastAsia"/>
        </w:rPr>
        <w:t>由采购代理机构组织磋商小组推选评审组长，采购人代表不得担任组长。</w:t>
      </w:r>
    </w:p>
    <w:p w14:paraId="147E3A3B">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pPr>
        <w:pStyle w:val="4"/>
        <w:ind w:firstLine="482"/>
      </w:pPr>
      <w:r>
        <w:t>（二）资格性审查</w:t>
      </w:r>
    </w:p>
    <w:p w14:paraId="72965B24">
      <w:pPr>
        <w:pStyle w:val="81"/>
        <w:ind w:firstLine="480"/>
      </w:pPr>
      <w:r>
        <w:rPr>
          <w:rFonts w:hint="eastAsia"/>
        </w:rPr>
        <w:t>磋商文件经确认后，磋商小组对响应文件中的供应商资格证明文件进行审查（其中供应商信用记录审查由采购人进行）。</w:t>
      </w:r>
    </w:p>
    <w:p w14:paraId="415E7DA6">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pPr>
        <w:pStyle w:val="81"/>
        <w:ind w:firstLine="480"/>
      </w:pPr>
      <w:r>
        <w:rPr>
          <w:rFonts w:hint="eastAsia"/>
        </w:rPr>
        <w:t>（1）不具备磋商文件中规定的资格要求的；</w:t>
      </w:r>
    </w:p>
    <w:p w14:paraId="679D2DFA">
      <w:pPr>
        <w:pStyle w:val="81"/>
        <w:ind w:firstLine="480"/>
      </w:pPr>
      <w:r>
        <w:rPr>
          <w:rFonts w:hint="eastAsia"/>
        </w:rPr>
        <w:t>（2）未按磋商文件要求提供资格证明文件，或资格证明文件未按磋商文件要求签字、盖章的；</w:t>
      </w:r>
    </w:p>
    <w:p w14:paraId="13F9BBCC">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6EA62AC4">
      <w:pPr>
        <w:pStyle w:val="81"/>
        <w:ind w:firstLine="480"/>
      </w:pPr>
      <w:r>
        <w:rPr>
          <w:rFonts w:hint="eastAsia"/>
        </w:rPr>
        <w:t>（4）法律法规规定的其他无效情形。</w:t>
      </w:r>
    </w:p>
    <w:p w14:paraId="17B8864D">
      <w:pPr>
        <w:pStyle w:val="81"/>
        <w:ind w:firstLine="480"/>
      </w:pPr>
      <w:r>
        <w:rPr>
          <w:rFonts w:hint="eastAsia"/>
        </w:rPr>
        <w:t>资格审查结束后，磋商小组成员应当对审查结果进行签字确认，并告知无效响应供应商资格审查未通过的原因。</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425"/>
        <w:gridCol w:w="5964"/>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425"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964"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425"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964" w:type="dxa"/>
            <w:vAlign w:val="center"/>
          </w:tcPr>
          <w:p w14:paraId="7FD882F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425"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964" w:type="dxa"/>
            <w:vAlign w:val="center"/>
          </w:tcPr>
          <w:p w14:paraId="3A72EC81">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4098725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425"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964" w:type="dxa"/>
            <w:vAlign w:val="center"/>
          </w:tcPr>
          <w:p w14:paraId="42E430C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425"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964" w:type="dxa"/>
            <w:vAlign w:val="center"/>
          </w:tcPr>
          <w:p w14:paraId="0ABCA65E">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425"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964" w:type="dxa"/>
            <w:vAlign w:val="center"/>
          </w:tcPr>
          <w:p w14:paraId="3F5DE6C2">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425"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964" w:type="dxa"/>
            <w:vAlign w:val="center"/>
          </w:tcPr>
          <w:p w14:paraId="4B1F7D0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8389" w:type="dxa"/>
            <w:gridSpan w:val="2"/>
            <w:vAlign w:val="center"/>
          </w:tcPr>
          <w:p w14:paraId="123631DD">
            <w:pPr>
              <w:spacing w:line="400" w:lineRule="exact"/>
              <w:jc w:val="both"/>
              <w:rPr>
                <w:rFonts w:ascii="Calibri" w:hAnsi="宋体" w:eastAsia="宋体" w:cstheme="minorHAnsi"/>
                <w:bCs/>
                <w:color w:val="FF0000"/>
                <w:sz w:val="21"/>
              </w:rPr>
            </w:pPr>
            <w:r>
              <w:rPr>
                <w:rFonts w:hint="eastAsia" w:ascii="Calibri" w:hAnsi="宋体" w:eastAsia="宋体" w:cstheme="minorHAnsi"/>
                <w:bCs/>
                <w:color w:val="C00000"/>
                <w:sz w:val="21"/>
              </w:rPr>
              <w:t>无</w:t>
            </w:r>
          </w:p>
        </w:tc>
      </w:tr>
      <w:tr w14:paraId="30F3D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F46995">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5C833778">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5D3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47FBB9">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425" w:type="dxa"/>
            <w:vAlign w:val="center"/>
          </w:tcPr>
          <w:p w14:paraId="0590A008">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《危险化学品经营许可证》</w:t>
            </w:r>
          </w:p>
        </w:tc>
        <w:tc>
          <w:tcPr>
            <w:tcW w:w="5964" w:type="dxa"/>
            <w:vAlign w:val="center"/>
          </w:tcPr>
          <w:p w14:paraId="185812BF">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具有《危险化学品经营许可证》，提供证书扫描件。</w:t>
            </w: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1AE48BD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74C790DD">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4DCD95B1">
      <w:pPr>
        <w:pStyle w:val="4"/>
        <w:ind w:firstLine="482"/>
      </w:pPr>
      <w:r>
        <w:t>（三）符合性审查</w:t>
      </w:r>
    </w:p>
    <w:p w14:paraId="02B54396">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4C9FC3B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9497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2823F95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721E28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39FC90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9701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3486B8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0C51DED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3BDE3B1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78EB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1A43A25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FB70CC4">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C71810A">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AE1F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D040B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0C4F16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5125CA3B">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31CC1C0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E5C86F8">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3EB2C20B">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6ACAF3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06F962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84E9CC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6A98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A98E6A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56D6201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7ADF7BAF">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4F0C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9FFD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65D1DAD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EC60DCD">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5C81A9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6CE55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AA6A19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25919158">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C179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5636AF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20C2D1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282AF31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12BDBA5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13A2706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59BFD0C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2EB836B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1CA0A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5EB10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BBAE4D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3BE8D608">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6E67BB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A112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0CD97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700613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049D1A93">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7A29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DF665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865014C">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35EFB294">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7F64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9E8F6">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6B4AF92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6449067">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0A78B2A">
      <w:pPr>
        <w:pStyle w:val="4"/>
        <w:ind w:firstLine="482"/>
      </w:pPr>
      <w:r>
        <w:t>（四）磋商</w:t>
      </w:r>
    </w:p>
    <w:p w14:paraId="6E195E68">
      <w:pPr>
        <w:ind w:firstLine="480" w:firstLineChars="200"/>
        <w:jc w:val="both"/>
      </w:pPr>
      <w:r>
        <w:rPr>
          <w:rFonts w:hint="eastAsia"/>
        </w:rPr>
        <w:t>磋商小组所有成员将集中与单一供应商分别进行磋商，并给予所有参加磋商的供应商平等的磋商机会。</w:t>
      </w:r>
    </w:p>
    <w:p w14:paraId="6692C3F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pPr>
        <w:pStyle w:val="4"/>
        <w:ind w:firstLine="482"/>
      </w:pPr>
      <w:r>
        <w:t>（五）提交最后报价</w:t>
      </w:r>
    </w:p>
    <w:p w14:paraId="09C9AC31">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pPr>
        <w:ind w:firstLine="480" w:firstLineChars="200"/>
        <w:jc w:val="both"/>
      </w:pPr>
      <w:r>
        <w:rPr>
          <w:rFonts w:hint="eastAsia"/>
        </w:rPr>
        <w:t>提交最后报价的供应商不得少于3家，但以下情形除外：</w:t>
      </w:r>
    </w:p>
    <w:p w14:paraId="1C7866C4">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4C034289">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28566B72">
      <w:pPr>
        <w:pStyle w:val="4"/>
        <w:ind w:firstLine="482"/>
        <w:jc w:val="both"/>
      </w:pPr>
      <w:r>
        <w:t>（六）综合比较与评分</w:t>
      </w:r>
    </w:p>
    <w:p w14:paraId="1664C8C9">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70995E6E">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1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850"/>
      </w:tblGrid>
      <w:tr w14:paraId="49002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4E375E42">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3D27EF94">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401EE64B">
            <w:pPr>
              <w:spacing w:line="400" w:lineRule="exact"/>
              <w:ind w:firstLine="422"/>
              <w:jc w:val="center"/>
              <w:rPr>
                <w:rFonts w:ascii="Calibri" w:hAnsi="宋体" w:eastAsia="宋体" w:cstheme="minorHAnsi"/>
                <w:b/>
                <w:bCs/>
                <w:sz w:val="21"/>
                <w:szCs w:val="21"/>
              </w:rPr>
            </w:pPr>
            <w:r>
              <w:rPr>
                <w:rFonts w:ascii="Calibri" w:hAnsi="宋体" w:eastAsia="宋体" w:cstheme="minorHAnsi"/>
                <w:b/>
                <w:bCs/>
                <w:sz w:val="21"/>
                <w:szCs w:val="21"/>
              </w:rPr>
              <w:t>评分标准</w:t>
            </w:r>
          </w:p>
        </w:tc>
        <w:tc>
          <w:tcPr>
            <w:tcW w:w="850" w:type="dxa"/>
            <w:vMerge w:val="restart"/>
            <w:tcBorders>
              <w:top w:val="single" w:color="auto" w:sz="12" w:space="0"/>
              <w:bottom w:val="single" w:color="auto" w:sz="2" w:space="0"/>
            </w:tcBorders>
            <w:shd w:val="clear" w:color="auto" w:fill="F1F1F1" w:themeFill="background1" w:themeFillShade="F2"/>
            <w:vAlign w:val="center"/>
          </w:tcPr>
          <w:p w14:paraId="7C75A9C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2FCA53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25D27856">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165F41A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5F6759C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1AECB9AF">
            <w:pPr>
              <w:spacing w:line="400" w:lineRule="exact"/>
              <w:ind w:firstLine="420"/>
              <w:jc w:val="center"/>
              <w:rPr>
                <w:rFonts w:ascii="Calibri" w:hAnsi="宋体" w:eastAsia="宋体" w:cstheme="minorHAnsi"/>
                <w:bCs/>
                <w:sz w:val="21"/>
                <w:szCs w:val="21"/>
              </w:rPr>
            </w:pPr>
          </w:p>
        </w:tc>
        <w:tc>
          <w:tcPr>
            <w:tcW w:w="850" w:type="dxa"/>
            <w:vMerge w:val="continue"/>
            <w:tcBorders>
              <w:top w:val="single" w:color="auto" w:sz="2" w:space="0"/>
              <w:bottom w:val="single" w:color="auto" w:sz="2" w:space="0"/>
            </w:tcBorders>
            <w:shd w:val="clear" w:color="auto" w:fill="F1F1F1" w:themeFill="background1" w:themeFillShade="F2"/>
            <w:vAlign w:val="center"/>
          </w:tcPr>
          <w:p w14:paraId="069C287F">
            <w:pPr>
              <w:spacing w:line="400" w:lineRule="exact"/>
              <w:jc w:val="center"/>
              <w:rPr>
                <w:rFonts w:ascii="Calibri" w:hAnsi="宋体" w:eastAsia="宋体" w:cstheme="minorHAnsi"/>
                <w:bCs/>
                <w:sz w:val="21"/>
                <w:szCs w:val="21"/>
              </w:rPr>
            </w:pPr>
          </w:p>
        </w:tc>
      </w:tr>
      <w:tr w14:paraId="6C9DB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7FE974AD">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3A2DFF4B">
            <w:pPr>
              <w:spacing w:line="400" w:lineRule="exact"/>
              <w:jc w:val="center"/>
              <w:rPr>
                <w:rFonts w:ascii="Calibri" w:hAnsi="宋体" w:eastAsia="宋体" w:cs="宋体"/>
                <w:bCs/>
                <w:sz w:val="21"/>
                <w:szCs w:val="21"/>
              </w:rPr>
            </w:pPr>
            <w:r>
              <w:rPr>
                <w:rFonts w:hint="eastAsia" w:ascii="Calibri" w:hAnsi="宋体" w:eastAsia="宋体" w:cs="宋体"/>
                <w:bCs/>
                <w:sz w:val="21"/>
                <w:szCs w:val="21"/>
              </w:rPr>
              <w:t>30</w:t>
            </w:r>
          </w:p>
        </w:tc>
        <w:tc>
          <w:tcPr>
            <w:tcW w:w="860" w:type="dxa"/>
            <w:shd w:val="clear" w:color="auto" w:fill="auto"/>
            <w:vAlign w:val="center"/>
          </w:tcPr>
          <w:p w14:paraId="11A7B033">
            <w:pPr>
              <w:spacing w:line="400" w:lineRule="exact"/>
              <w:jc w:val="center"/>
              <w:rPr>
                <w:rFonts w:ascii="Calibri" w:hAnsi="宋体" w:eastAsia="宋体" w:cs="宋体"/>
                <w:bCs/>
                <w:sz w:val="21"/>
                <w:szCs w:val="21"/>
              </w:rPr>
            </w:pPr>
            <w:r>
              <w:rPr>
                <w:rFonts w:hint="eastAsia" w:ascii="Calibri" w:hAnsi="宋体" w:eastAsia="宋体" w:cs="宋体"/>
                <w:bCs/>
                <w:sz w:val="21"/>
                <w:szCs w:val="21"/>
              </w:rPr>
              <w:t>30</w:t>
            </w:r>
          </w:p>
        </w:tc>
        <w:tc>
          <w:tcPr>
            <w:tcW w:w="6093" w:type="dxa"/>
            <w:tcBorders>
              <w:top w:val="single" w:color="auto" w:sz="2" w:space="0"/>
            </w:tcBorders>
            <w:shd w:val="clear" w:color="auto" w:fill="auto"/>
            <w:vAlign w:val="center"/>
          </w:tcPr>
          <w:p w14:paraId="691F40BC">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3</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3</w:t>
            </w:r>
            <w:r>
              <w:rPr>
                <w:rFonts w:hint="eastAsia" w:ascii="Calibri" w:hAnsi="宋体" w:eastAsia="宋体" w:cs="宋体"/>
                <w:sz w:val="21"/>
                <w:szCs w:val="21"/>
              </w:rPr>
              <w:t>0％×100。</w:t>
            </w:r>
          </w:p>
        </w:tc>
        <w:tc>
          <w:tcPr>
            <w:tcW w:w="850" w:type="dxa"/>
            <w:tcBorders>
              <w:top w:val="single" w:color="auto" w:sz="2" w:space="0"/>
            </w:tcBorders>
            <w:shd w:val="clear" w:color="auto" w:fill="auto"/>
            <w:vAlign w:val="center"/>
          </w:tcPr>
          <w:p w14:paraId="6F034C94">
            <w:pPr>
              <w:spacing w:line="400" w:lineRule="exact"/>
              <w:jc w:val="center"/>
              <w:rPr>
                <w:rFonts w:ascii="Calibri" w:hAnsi="宋体" w:eastAsia="宋体" w:cs="宋体"/>
                <w:bCs/>
                <w:color w:val="FF0000"/>
                <w:sz w:val="21"/>
                <w:szCs w:val="21"/>
              </w:rPr>
            </w:pPr>
          </w:p>
        </w:tc>
      </w:tr>
      <w:tr w14:paraId="6590B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78F307F3">
            <w:pPr>
              <w:spacing w:line="400" w:lineRule="exact"/>
              <w:jc w:val="center"/>
              <w:rPr>
                <w:rFonts w:ascii="Calibri" w:hAnsi="宋体" w:eastAsia="宋体" w:cs="宋体"/>
                <w:b/>
                <w:sz w:val="21"/>
                <w:szCs w:val="21"/>
              </w:rPr>
            </w:pPr>
            <w:r>
              <w:rPr>
                <w:rFonts w:hint="eastAsia" w:ascii="Calibri" w:hAnsi="宋体" w:eastAsia="宋体" w:cs="宋体"/>
                <w:b/>
                <w:sz w:val="21"/>
                <w:szCs w:val="21"/>
              </w:rPr>
              <w:t>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14:paraId="1E84E3CD">
            <w:pPr>
              <w:spacing w:line="400" w:lineRule="exact"/>
              <w:jc w:val="center"/>
              <w:rPr>
                <w:rFonts w:ascii="Calibri" w:hAnsi="宋体" w:eastAsia="宋体" w:cs="宋体"/>
                <w:bCs/>
                <w:sz w:val="21"/>
                <w:szCs w:val="21"/>
              </w:rPr>
            </w:pPr>
            <w:r>
              <w:rPr>
                <w:rFonts w:ascii="宋体" w:hAnsi="宋体" w:eastAsia="宋体" w:cs="Calibri Light"/>
                <w:bCs/>
                <w:sz w:val="21"/>
                <w:szCs w:val="21"/>
              </w:rPr>
              <w:t>21</w:t>
            </w:r>
          </w:p>
        </w:tc>
        <w:tc>
          <w:tcPr>
            <w:tcW w:w="860" w:type="dxa"/>
            <w:shd w:val="clear" w:color="auto" w:fill="auto"/>
            <w:vAlign w:val="center"/>
          </w:tcPr>
          <w:p w14:paraId="6B23DFF3">
            <w:pPr>
              <w:spacing w:line="400" w:lineRule="exact"/>
              <w:jc w:val="center"/>
              <w:rPr>
                <w:rFonts w:ascii="Calibri" w:hAnsi="宋体" w:eastAsia="宋体" w:cs="宋体"/>
                <w:bCs/>
                <w:sz w:val="21"/>
                <w:szCs w:val="21"/>
              </w:rPr>
            </w:pPr>
            <w:r>
              <w:rPr>
                <w:rFonts w:hint="eastAsia" w:ascii="宋体" w:hAnsi="宋体" w:eastAsia="宋体" w:cs="Calibri Light"/>
                <w:bCs/>
                <w:sz w:val="21"/>
                <w:szCs w:val="21"/>
              </w:rPr>
              <w:t>1</w:t>
            </w:r>
            <w:r>
              <w:rPr>
                <w:rFonts w:ascii="宋体" w:hAnsi="宋体" w:eastAsia="宋体" w:cs="Calibri Light"/>
                <w:bCs/>
                <w:sz w:val="21"/>
                <w:szCs w:val="21"/>
              </w:rPr>
              <w:t>2</w:t>
            </w:r>
          </w:p>
        </w:tc>
        <w:tc>
          <w:tcPr>
            <w:tcW w:w="6093" w:type="dxa"/>
            <w:tcBorders>
              <w:top w:val="single" w:color="auto" w:sz="2" w:space="0"/>
            </w:tcBorders>
            <w:shd w:val="clear" w:color="auto" w:fill="auto"/>
            <w:vAlign w:val="center"/>
          </w:tcPr>
          <w:p w14:paraId="46CB37CE">
            <w:pPr>
              <w:autoSpaceDE w:val="0"/>
              <w:autoSpaceDN w:val="0"/>
              <w:adjustRightInd w:val="0"/>
              <w:spacing w:line="300" w:lineRule="exact"/>
              <w:jc w:val="both"/>
              <w:rPr>
                <w:rFonts w:ascii="宋体" w:hAnsi="宋体" w:eastAsia="宋体" w:cs="Calibri Light"/>
                <w:b/>
                <w:sz w:val="21"/>
                <w:szCs w:val="21"/>
              </w:rPr>
            </w:pPr>
            <w:r>
              <w:rPr>
                <w:rFonts w:hint="eastAsia" w:ascii="宋体" w:hAnsi="宋体" w:eastAsia="宋体" w:cs="Calibri Light"/>
                <w:b/>
                <w:sz w:val="21"/>
                <w:szCs w:val="21"/>
              </w:rPr>
              <w:t>管理制度</w:t>
            </w:r>
          </w:p>
          <w:p w14:paraId="7D28B83E">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一、评审内容</w:t>
            </w:r>
          </w:p>
          <w:p w14:paraId="1E311DA2">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提供管理制度，包括①油品经营管理制度、②消防安全管理制度、③应急管理制度、④安全生产标准制度。</w:t>
            </w:r>
          </w:p>
          <w:p w14:paraId="5D4A941C">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二、评审标准</w:t>
            </w:r>
          </w:p>
          <w:p w14:paraId="1120E239">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 完整性：方案须全面，对评审内容中的各项要求有详细描述及说明；</w:t>
            </w:r>
          </w:p>
          <w:p w14:paraId="35935556">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②可实施性：切合本项目实际情况，实施步骤清晰、合理；</w:t>
            </w:r>
          </w:p>
          <w:p w14:paraId="703D99A8">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③针对性：方案能够紧扣项目实际情况，内容科学合理。</w:t>
            </w:r>
          </w:p>
          <w:p w14:paraId="063CC4EF">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三、赋分标准（满分1</w:t>
            </w:r>
            <w:r>
              <w:rPr>
                <w:rFonts w:ascii="Calibri" w:hAnsi="宋体" w:eastAsia="宋体" w:cs="宋体"/>
                <w:sz w:val="21"/>
                <w:szCs w:val="21"/>
              </w:rPr>
              <w:t>2</w:t>
            </w:r>
            <w:r>
              <w:rPr>
                <w:rFonts w:hint="eastAsia" w:ascii="Calibri" w:hAnsi="宋体" w:eastAsia="宋体" w:cs="宋体"/>
                <w:sz w:val="21"/>
                <w:szCs w:val="21"/>
              </w:rPr>
              <w:t>分）</w:t>
            </w:r>
          </w:p>
          <w:p w14:paraId="645BC4E3">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①油品经营管理制度：每完全满足一项评审标准得1分，满分</w:t>
            </w:r>
            <w:r>
              <w:rPr>
                <w:rFonts w:ascii="Calibri" w:hAnsi="宋体" w:eastAsia="宋体" w:cs="宋体"/>
                <w:sz w:val="21"/>
                <w:szCs w:val="21"/>
              </w:rPr>
              <w:t>3</w:t>
            </w:r>
            <w:r>
              <w:rPr>
                <w:rFonts w:hint="eastAsia" w:ascii="Calibri" w:hAnsi="宋体" w:eastAsia="宋体" w:cs="宋体"/>
                <w:sz w:val="21"/>
                <w:szCs w:val="21"/>
              </w:rPr>
              <w:t>分；</w:t>
            </w:r>
          </w:p>
          <w:p w14:paraId="2F9D1DEB">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②消防安全管理制度：每完全满足一项评审标准得1分，满分</w:t>
            </w:r>
            <w:r>
              <w:rPr>
                <w:rFonts w:ascii="Calibri" w:hAnsi="宋体" w:eastAsia="宋体" w:cs="宋体"/>
                <w:sz w:val="21"/>
                <w:szCs w:val="21"/>
              </w:rPr>
              <w:t>3</w:t>
            </w:r>
            <w:r>
              <w:rPr>
                <w:rFonts w:hint="eastAsia" w:ascii="Calibri" w:hAnsi="宋体" w:eastAsia="宋体" w:cs="宋体"/>
                <w:sz w:val="21"/>
                <w:szCs w:val="21"/>
              </w:rPr>
              <w:t>分。</w:t>
            </w:r>
          </w:p>
          <w:p w14:paraId="399197F7">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③应急管理制度：每完全满足一项评审标准得1分，满分</w:t>
            </w:r>
            <w:r>
              <w:rPr>
                <w:rFonts w:ascii="Calibri" w:hAnsi="宋体" w:eastAsia="宋体" w:cs="宋体"/>
                <w:sz w:val="21"/>
                <w:szCs w:val="21"/>
              </w:rPr>
              <w:t>3</w:t>
            </w:r>
            <w:r>
              <w:rPr>
                <w:rFonts w:hint="eastAsia" w:ascii="Calibri" w:hAnsi="宋体" w:eastAsia="宋体" w:cs="宋体"/>
                <w:sz w:val="21"/>
                <w:szCs w:val="21"/>
              </w:rPr>
              <w:t>分。</w:t>
            </w:r>
          </w:p>
          <w:p w14:paraId="5A535B1F">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④安全生产标准制度：每完全满足一项评审标准得1分，满分</w:t>
            </w:r>
            <w:r>
              <w:rPr>
                <w:rFonts w:ascii="Calibri" w:hAnsi="宋体" w:eastAsia="宋体" w:cs="宋体"/>
                <w:sz w:val="21"/>
                <w:szCs w:val="21"/>
              </w:rPr>
              <w:t>3</w:t>
            </w:r>
            <w:r>
              <w:rPr>
                <w:rFonts w:hint="eastAsia" w:ascii="Calibri" w:hAnsi="宋体" w:eastAsia="宋体" w:cs="宋体"/>
                <w:sz w:val="21"/>
                <w:szCs w:val="21"/>
              </w:rPr>
              <w:t>分。</w:t>
            </w:r>
          </w:p>
        </w:tc>
        <w:tc>
          <w:tcPr>
            <w:tcW w:w="850" w:type="dxa"/>
            <w:vMerge w:val="restart"/>
            <w:tcBorders>
              <w:top w:val="single" w:color="auto" w:sz="2" w:space="0"/>
            </w:tcBorders>
            <w:shd w:val="clear" w:color="auto" w:fill="auto"/>
            <w:vAlign w:val="center"/>
          </w:tcPr>
          <w:p w14:paraId="4ADB9931">
            <w:pPr>
              <w:spacing w:line="400" w:lineRule="exact"/>
              <w:jc w:val="center"/>
              <w:rPr>
                <w:rFonts w:ascii="Calibri" w:hAnsi="宋体" w:eastAsia="宋体" w:cs="宋体"/>
                <w:bCs/>
                <w:color w:val="FF0000"/>
                <w:sz w:val="21"/>
                <w:szCs w:val="21"/>
              </w:rPr>
            </w:pPr>
          </w:p>
        </w:tc>
      </w:tr>
      <w:tr w14:paraId="5ADCD4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5" w:hRule="atLeast"/>
        </w:trPr>
        <w:tc>
          <w:tcPr>
            <w:tcW w:w="756" w:type="dxa"/>
            <w:vMerge w:val="continue"/>
            <w:shd w:val="clear" w:color="auto" w:fill="auto"/>
            <w:vAlign w:val="center"/>
          </w:tcPr>
          <w:p w14:paraId="7C3B891A">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1307B01F">
            <w:pPr>
              <w:spacing w:line="400" w:lineRule="exact"/>
              <w:jc w:val="center"/>
              <w:rPr>
                <w:rFonts w:ascii="Calibri" w:hAnsi="宋体" w:eastAsia="宋体" w:cs="宋体"/>
                <w:bCs/>
                <w:sz w:val="21"/>
                <w:szCs w:val="21"/>
              </w:rPr>
            </w:pPr>
          </w:p>
        </w:tc>
        <w:tc>
          <w:tcPr>
            <w:tcW w:w="860" w:type="dxa"/>
            <w:shd w:val="clear" w:color="auto" w:fill="auto"/>
            <w:vAlign w:val="center"/>
          </w:tcPr>
          <w:p w14:paraId="28FC4A8A">
            <w:pPr>
              <w:spacing w:line="400" w:lineRule="exact"/>
              <w:jc w:val="center"/>
              <w:rPr>
                <w:rFonts w:ascii="Calibri" w:hAnsi="宋体" w:eastAsia="宋体" w:cs="宋体"/>
                <w:bCs/>
                <w:sz w:val="21"/>
                <w:szCs w:val="21"/>
              </w:rPr>
            </w:pPr>
            <w:r>
              <w:rPr>
                <w:rFonts w:ascii="宋体" w:hAnsi="宋体" w:eastAsia="宋体" w:cs="Calibri Light"/>
                <w:bCs/>
                <w:sz w:val="21"/>
                <w:szCs w:val="21"/>
              </w:rPr>
              <w:t>9</w:t>
            </w:r>
          </w:p>
        </w:tc>
        <w:tc>
          <w:tcPr>
            <w:tcW w:w="6093" w:type="dxa"/>
            <w:tcBorders>
              <w:top w:val="single" w:color="auto" w:sz="2" w:space="0"/>
            </w:tcBorders>
            <w:shd w:val="clear" w:color="auto" w:fill="auto"/>
            <w:vAlign w:val="center"/>
          </w:tcPr>
          <w:p w14:paraId="37C1A4A7">
            <w:pPr>
              <w:autoSpaceDE w:val="0"/>
              <w:autoSpaceDN w:val="0"/>
              <w:adjustRightInd w:val="0"/>
              <w:spacing w:line="300" w:lineRule="exact"/>
              <w:jc w:val="both"/>
              <w:rPr>
                <w:rFonts w:ascii="宋体" w:hAnsi="宋体" w:eastAsia="宋体" w:cs="Calibri Light"/>
                <w:b/>
                <w:sz w:val="21"/>
                <w:szCs w:val="21"/>
              </w:rPr>
            </w:pPr>
            <w:r>
              <w:rPr>
                <w:rFonts w:ascii="宋体" w:hAnsi="宋体" w:eastAsia="宋体" w:cs="Calibri Light"/>
                <w:b/>
                <w:sz w:val="21"/>
                <w:szCs w:val="21"/>
              </w:rPr>
              <w:t>服务方案</w:t>
            </w:r>
          </w:p>
          <w:p w14:paraId="1AD67269">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一、评审内容</w:t>
            </w:r>
          </w:p>
          <w:p w14:paraId="2FEFF485">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提供针对</w:t>
            </w:r>
            <w:r>
              <w:rPr>
                <w:rFonts w:ascii="Calibri" w:hAnsi="宋体" w:eastAsia="宋体" w:cs="宋体"/>
                <w:sz w:val="21"/>
                <w:szCs w:val="21"/>
              </w:rPr>
              <w:t>本项目的</w:t>
            </w:r>
            <w:r>
              <w:rPr>
                <w:rFonts w:hint="eastAsia" w:ascii="Calibri" w:hAnsi="宋体" w:eastAsia="宋体" w:cs="宋体"/>
                <w:sz w:val="21"/>
                <w:szCs w:val="21"/>
              </w:rPr>
              <w:t>服务方案</w:t>
            </w:r>
            <w:r>
              <w:rPr>
                <w:rFonts w:ascii="Calibri" w:hAnsi="宋体" w:eastAsia="宋体" w:cs="宋体"/>
                <w:sz w:val="21"/>
                <w:szCs w:val="21"/>
              </w:rPr>
              <w:t>，包括但不限于</w:t>
            </w:r>
            <w:r>
              <w:rPr>
                <w:rFonts w:hint="eastAsia" w:ascii="Calibri" w:hAnsi="宋体" w:eastAsia="宋体" w:cs="宋体"/>
                <w:sz w:val="21"/>
                <w:szCs w:val="21"/>
              </w:rPr>
              <w:t>①服务标准、②对保障采购人优先获得加油服务的</w:t>
            </w:r>
            <w:r>
              <w:rPr>
                <w:rFonts w:ascii="Calibri" w:hAnsi="宋体" w:eastAsia="宋体" w:cs="宋体"/>
                <w:sz w:val="21"/>
                <w:szCs w:val="21"/>
              </w:rPr>
              <w:t>服务措施</w:t>
            </w:r>
            <w:r>
              <w:rPr>
                <w:rFonts w:hint="eastAsia" w:ascii="Calibri" w:hAnsi="宋体" w:eastAsia="宋体" w:cs="宋体"/>
                <w:sz w:val="21"/>
                <w:szCs w:val="21"/>
              </w:rPr>
              <w:t>、③本项目重点、难点把控等。</w:t>
            </w:r>
          </w:p>
          <w:p w14:paraId="23846C02">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二、评审标准</w:t>
            </w:r>
          </w:p>
          <w:p w14:paraId="2A304C77">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①完整性：方案须全面，对评审内容中的各项要求有详细描述及说明；</w:t>
            </w:r>
          </w:p>
          <w:p w14:paraId="19F22C80">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②可实施性：切合本项目实际情况，实施步骤清晰、合理；</w:t>
            </w:r>
          </w:p>
          <w:p w14:paraId="7AA1F7F9">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③针对性：方案能够紧扣项目实际情况，内容科学合理。</w:t>
            </w:r>
          </w:p>
          <w:p w14:paraId="32B3049E">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三、赋分标准（满分</w:t>
            </w:r>
            <w:r>
              <w:rPr>
                <w:rFonts w:ascii="Calibri" w:hAnsi="宋体" w:eastAsia="宋体" w:cs="宋体"/>
                <w:sz w:val="21"/>
                <w:szCs w:val="21"/>
              </w:rPr>
              <w:t>9</w:t>
            </w:r>
            <w:r>
              <w:rPr>
                <w:rFonts w:hint="eastAsia" w:ascii="Calibri" w:hAnsi="宋体" w:eastAsia="宋体" w:cs="宋体"/>
                <w:sz w:val="21"/>
                <w:szCs w:val="21"/>
              </w:rPr>
              <w:t>分）</w:t>
            </w:r>
          </w:p>
          <w:p w14:paraId="18C4F04D">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①服务标准：每完全满足一项评审标准得</w:t>
            </w:r>
            <w:r>
              <w:rPr>
                <w:rFonts w:ascii="Calibri" w:hAnsi="宋体" w:eastAsia="宋体" w:cs="宋体"/>
                <w:sz w:val="21"/>
                <w:szCs w:val="21"/>
              </w:rPr>
              <w:t>1</w:t>
            </w:r>
            <w:r>
              <w:rPr>
                <w:rFonts w:hint="eastAsia" w:ascii="Calibri" w:hAnsi="宋体" w:eastAsia="宋体" w:cs="宋体"/>
                <w:sz w:val="21"/>
                <w:szCs w:val="21"/>
              </w:rPr>
              <w:t>分，满分</w:t>
            </w:r>
            <w:r>
              <w:rPr>
                <w:rFonts w:ascii="Calibri" w:hAnsi="宋体" w:eastAsia="宋体" w:cs="宋体"/>
                <w:sz w:val="21"/>
                <w:szCs w:val="21"/>
              </w:rPr>
              <w:t>3</w:t>
            </w:r>
            <w:r>
              <w:rPr>
                <w:rFonts w:hint="eastAsia" w:ascii="Calibri" w:hAnsi="宋体" w:eastAsia="宋体" w:cs="宋体"/>
                <w:sz w:val="21"/>
                <w:szCs w:val="21"/>
              </w:rPr>
              <w:t>分。</w:t>
            </w:r>
          </w:p>
          <w:p w14:paraId="564377B6">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②对保障采购人优先获得加油服务的</w:t>
            </w:r>
            <w:r>
              <w:rPr>
                <w:rFonts w:ascii="Calibri" w:hAnsi="宋体" w:eastAsia="宋体" w:cs="宋体"/>
                <w:sz w:val="21"/>
                <w:szCs w:val="21"/>
              </w:rPr>
              <w:t>服务措施</w:t>
            </w:r>
            <w:r>
              <w:rPr>
                <w:rFonts w:hint="eastAsia" w:ascii="Calibri" w:hAnsi="宋体" w:eastAsia="宋体" w:cs="宋体"/>
                <w:sz w:val="21"/>
                <w:szCs w:val="21"/>
              </w:rPr>
              <w:t>：每完全满足一项评审标准得</w:t>
            </w:r>
            <w:r>
              <w:rPr>
                <w:rFonts w:ascii="Calibri" w:hAnsi="宋体" w:eastAsia="宋体" w:cs="宋体"/>
                <w:sz w:val="21"/>
                <w:szCs w:val="21"/>
              </w:rPr>
              <w:t>1</w:t>
            </w:r>
            <w:r>
              <w:rPr>
                <w:rFonts w:hint="eastAsia" w:ascii="Calibri" w:hAnsi="宋体" w:eastAsia="宋体" w:cs="宋体"/>
                <w:sz w:val="21"/>
                <w:szCs w:val="21"/>
              </w:rPr>
              <w:t>分，满分</w:t>
            </w:r>
            <w:r>
              <w:rPr>
                <w:rFonts w:ascii="Calibri" w:hAnsi="宋体" w:eastAsia="宋体" w:cs="宋体"/>
                <w:sz w:val="21"/>
                <w:szCs w:val="21"/>
              </w:rPr>
              <w:t>3</w:t>
            </w:r>
            <w:r>
              <w:rPr>
                <w:rFonts w:hint="eastAsia" w:ascii="Calibri" w:hAnsi="宋体" w:eastAsia="宋体" w:cs="宋体"/>
                <w:sz w:val="21"/>
                <w:szCs w:val="21"/>
              </w:rPr>
              <w:t>分。</w:t>
            </w:r>
          </w:p>
          <w:p w14:paraId="71C4493A">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③本项目重点、难点把控：每完全满足一项评审标准得</w:t>
            </w:r>
            <w:r>
              <w:rPr>
                <w:rFonts w:ascii="Calibri" w:hAnsi="宋体" w:eastAsia="宋体" w:cs="宋体"/>
                <w:sz w:val="21"/>
                <w:szCs w:val="21"/>
              </w:rPr>
              <w:t>1</w:t>
            </w:r>
            <w:r>
              <w:rPr>
                <w:rFonts w:hint="eastAsia" w:ascii="Calibri" w:hAnsi="宋体" w:eastAsia="宋体" w:cs="宋体"/>
                <w:sz w:val="21"/>
                <w:szCs w:val="21"/>
              </w:rPr>
              <w:t>分，满分</w:t>
            </w:r>
            <w:r>
              <w:rPr>
                <w:rFonts w:ascii="Calibri" w:hAnsi="宋体" w:eastAsia="宋体" w:cs="宋体"/>
                <w:sz w:val="21"/>
                <w:szCs w:val="21"/>
              </w:rPr>
              <w:t>3</w:t>
            </w:r>
            <w:r>
              <w:rPr>
                <w:rFonts w:hint="eastAsia" w:ascii="Calibri" w:hAnsi="宋体" w:eastAsia="宋体" w:cs="宋体"/>
                <w:sz w:val="21"/>
                <w:szCs w:val="21"/>
              </w:rPr>
              <w:t>分。</w:t>
            </w:r>
          </w:p>
        </w:tc>
        <w:tc>
          <w:tcPr>
            <w:tcW w:w="850" w:type="dxa"/>
            <w:vMerge w:val="continue"/>
            <w:shd w:val="clear" w:color="auto" w:fill="auto"/>
            <w:vAlign w:val="center"/>
          </w:tcPr>
          <w:p w14:paraId="123A1FA6">
            <w:pPr>
              <w:spacing w:line="400" w:lineRule="exact"/>
              <w:jc w:val="center"/>
              <w:rPr>
                <w:rFonts w:ascii="Calibri" w:hAnsi="宋体" w:eastAsia="宋体" w:cs="宋体"/>
                <w:bCs/>
                <w:color w:val="FF0000"/>
                <w:sz w:val="21"/>
                <w:szCs w:val="21"/>
              </w:rPr>
            </w:pPr>
          </w:p>
        </w:tc>
      </w:tr>
      <w:tr w14:paraId="5DE584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68408C6D">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0F581315">
            <w:pPr>
              <w:spacing w:line="400" w:lineRule="exact"/>
              <w:jc w:val="center"/>
              <w:rPr>
                <w:rFonts w:ascii="Calibri" w:hAnsi="宋体" w:eastAsia="宋体" w:cs="宋体"/>
                <w:bCs/>
                <w:sz w:val="21"/>
                <w:szCs w:val="21"/>
              </w:rPr>
            </w:pPr>
            <w:r>
              <w:rPr>
                <w:rFonts w:hint="eastAsia" w:ascii="Calibri" w:hAnsi="宋体" w:eastAsia="宋体" w:cs="宋体"/>
                <w:bCs/>
                <w:sz w:val="21"/>
                <w:szCs w:val="21"/>
              </w:rPr>
              <w:t>49</w:t>
            </w:r>
          </w:p>
        </w:tc>
        <w:tc>
          <w:tcPr>
            <w:tcW w:w="860" w:type="dxa"/>
            <w:shd w:val="clear" w:color="auto" w:fill="auto"/>
            <w:vAlign w:val="center"/>
          </w:tcPr>
          <w:p w14:paraId="40E0CC2B">
            <w:pPr>
              <w:spacing w:line="400" w:lineRule="exact"/>
              <w:jc w:val="center"/>
              <w:rPr>
                <w:rFonts w:ascii="Calibri" w:hAnsi="宋体" w:eastAsia="宋体" w:cs="宋体"/>
                <w:bCs/>
                <w:sz w:val="21"/>
                <w:szCs w:val="21"/>
              </w:rPr>
            </w:pPr>
            <w:r>
              <w:rPr>
                <w:rFonts w:ascii="宋体" w:hAnsi="宋体" w:eastAsia="宋体" w:cs="Calibri Light"/>
                <w:bCs/>
                <w:sz w:val="21"/>
                <w:szCs w:val="21"/>
              </w:rPr>
              <w:t>4</w:t>
            </w:r>
          </w:p>
        </w:tc>
        <w:tc>
          <w:tcPr>
            <w:tcW w:w="6093" w:type="dxa"/>
            <w:shd w:val="clear" w:color="auto" w:fill="auto"/>
            <w:vAlign w:val="center"/>
          </w:tcPr>
          <w:p w14:paraId="51B9A59D">
            <w:pPr>
              <w:autoSpaceDE w:val="0"/>
              <w:autoSpaceDN w:val="0"/>
              <w:adjustRightInd w:val="0"/>
              <w:spacing w:line="300" w:lineRule="exact"/>
              <w:jc w:val="both"/>
              <w:rPr>
                <w:rFonts w:ascii="宋体" w:hAnsi="宋体" w:eastAsia="宋体" w:cs="Calibri Light"/>
                <w:b/>
                <w:bCs/>
                <w:color w:val="000000"/>
                <w:sz w:val="21"/>
                <w:szCs w:val="21"/>
              </w:rPr>
            </w:pPr>
            <w:r>
              <w:rPr>
                <w:rFonts w:hint="eastAsia" w:ascii="宋体" w:hAnsi="宋体" w:eastAsia="宋体" w:cs="Calibri Light"/>
                <w:b/>
                <w:bCs/>
                <w:color w:val="000000"/>
                <w:sz w:val="21"/>
                <w:szCs w:val="21"/>
              </w:rPr>
              <w:t>项目经理</w:t>
            </w:r>
          </w:p>
          <w:p w14:paraId="5A134E34">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①具有专科以上学历得1分（该项赋分依据为提供经学信网查证的大专及以上《教育部学历证书电子注册备案表》）</w:t>
            </w:r>
          </w:p>
          <w:p w14:paraId="31ABF663">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②年龄50周岁以下得1</w:t>
            </w:r>
            <w:r>
              <w:rPr>
                <w:rFonts w:ascii="Calibri" w:hAnsi="宋体" w:eastAsia="宋体" w:cs="宋体"/>
                <w:sz w:val="21"/>
                <w:szCs w:val="21"/>
              </w:rPr>
              <w:t>分</w:t>
            </w:r>
            <w:r>
              <w:rPr>
                <w:rFonts w:hint="eastAsia" w:ascii="Calibri" w:hAnsi="宋体" w:eastAsia="宋体" w:cs="宋体"/>
                <w:sz w:val="21"/>
                <w:szCs w:val="21"/>
              </w:rPr>
              <w:t>(提供身份证复印件)</w:t>
            </w:r>
          </w:p>
          <w:p w14:paraId="2D17F11C">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③具有类似项目3年以上的工作经验或被服务单位加盖公章的证明材料得1分</w:t>
            </w:r>
          </w:p>
          <w:p w14:paraId="0B0568AA">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④2024 年</w:t>
            </w:r>
            <w:r>
              <w:rPr>
                <w:rFonts w:ascii="Calibri" w:hAnsi="宋体" w:eastAsia="宋体" w:cs="宋体"/>
                <w:sz w:val="21"/>
                <w:szCs w:val="21"/>
              </w:rPr>
              <w:t>6</w:t>
            </w:r>
            <w:r>
              <w:rPr>
                <w:rFonts w:hint="eastAsia" w:ascii="Calibri" w:hAnsi="宋体" w:eastAsia="宋体" w:cs="宋体"/>
                <w:sz w:val="21"/>
                <w:szCs w:val="21"/>
              </w:rPr>
              <w:t>月起，服务商连续6个月为其缴纳社保的凭证证明（须加盖社保中心公章）得1分。</w:t>
            </w:r>
          </w:p>
        </w:tc>
        <w:tc>
          <w:tcPr>
            <w:tcW w:w="850" w:type="dxa"/>
            <w:vMerge w:val="restart"/>
            <w:shd w:val="clear" w:color="auto" w:fill="auto"/>
            <w:vAlign w:val="center"/>
          </w:tcPr>
          <w:p w14:paraId="698CE978">
            <w:pPr>
              <w:spacing w:line="400" w:lineRule="exact"/>
              <w:jc w:val="center"/>
              <w:rPr>
                <w:rFonts w:ascii="Calibri" w:hAnsi="宋体" w:eastAsia="宋体" w:cs="宋体"/>
                <w:bCs/>
                <w:color w:val="FF0000"/>
                <w:sz w:val="21"/>
                <w:szCs w:val="21"/>
              </w:rPr>
            </w:pPr>
          </w:p>
        </w:tc>
      </w:tr>
      <w:tr w14:paraId="101D9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9237426">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702BB5EF">
            <w:pPr>
              <w:spacing w:line="400" w:lineRule="exact"/>
              <w:jc w:val="center"/>
              <w:rPr>
                <w:rFonts w:ascii="Calibri" w:hAnsi="宋体" w:eastAsia="宋体" w:cs="宋体"/>
                <w:bCs/>
                <w:sz w:val="21"/>
                <w:szCs w:val="21"/>
              </w:rPr>
            </w:pPr>
          </w:p>
        </w:tc>
        <w:tc>
          <w:tcPr>
            <w:tcW w:w="860" w:type="dxa"/>
            <w:shd w:val="clear" w:color="auto" w:fill="auto"/>
            <w:vAlign w:val="center"/>
          </w:tcPr>
          <w:p w14:paraId="57EF93C0">
            <w:pPr>
              <w:spacing w:line="400" w:lineRule="exact"/>
              <w:jc w:val="center"/>
              <w:rPr>
                <w:rFonts w:ascii="Calibri" w:hAnsi="宋体" w:eastAsia="宋体" w:cs="宋体"/>
                <w:b/>
                <w:bCs/>
                <w:sz w:val="21"/>
                <w:szCs w:val="21"/>
              </w:rPr>
            </w:pPr>
            <w:r>
              <w:rPr>
                <w:rFonts w:ascii="宋体" w:hAnsi="宋体" w:eastAsia="宋体" w:cs="Calibri Light"/>
                <w:bCs/>
                <w:sz w:val="21"/>
                <w:szCs w:val="21"/>
              </w:rPr>
              <w:t>11</w:t>
            </w:r>
          </w:p>
        </w:tc>
        <w:tc>
          <w:tcPr>
            <w:tcW w:w="6093" w:type="dxa"/>
            <w:shd w:val="clear" w:color="auto" w:fill="auto"/>
            <w:vAlign w:val="center"/>
          </w:tcPr>
          <w:p w14:paraId="5C54A22F">
            <w:pPr>
              <w:autoSpaceDE w:val="0"/>
              <w:autoSpaceDN w:val="0"/>
              <w:adjustRightInd w:val="0"/>
              <w:spacing w:line="300" w:lineRule="exact"/>
              <w:jc w:val="both"/>
              <w:rPr>
                <w:rFonts w:ascii="宋体" w:hAnsi="宋体" w:eastAsia="宋体" w:cs="Calibri Light"/>
                <w:b/>
                <w:sz w:val="21"/>
                <w:szCs w:val="21"/>
              </w:rPr>
            </w:pPr>
            <w:r>
              <w:rPr>
                <w:rFonts w:ascii="宋体" w:hAnsi="宋体" w:eastAsia="宋体" w:cs="Calibri Light"/>
                <w:b/>
                <w:sz w:val="21"/>
                <w:szCs w:val="21"/>
              </w:rPr>
              <w:t>营业网点位置</w:t>
            </w:r>
          </w:p>
          <w:p w14:paraId="35DEC189">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根据市内加油站点分布</w:t>
            </w:r>
            <w:r>
              <w:rPr>
                <w:rFonts w:ascii="Calibri" w:hAnsi="宋体" w:eastAsia="宋体" w:cs="宋体"/>
                <w:sz w:val="21"/>
                <w:szCs w:val="21"/>
              </w:rPr>
              <w:t>情况进行</w:t>
            </w:r>
            <w:r>
              <w:rPr>
                <w:rFonts w:hint="eastAsia" w:ascii="Calibri" w:hAnsi="宋体" w:eastAsia="宋体" w:cs="宋体"/>
                <w:sz w:val="21"/>
                <w:szCs w:val="21"/>
              </w:rPr>
              <w:t>综合</w:t>
            </w:r>
            <w:r>
              <w:rPr>
                <w:rFonts w:ascii="Calibri" w:hAnsi="宋体" w:eastAsia="宋体" w:cs="宋体"/>
                <w:sz w:val="21"/>
                <w:szCs w:val="21"/>
              </w:rPr>
              <w:t>评分</w:t>
            </w:r>
            <w:r>
              <w:rPr>
                <w:rFonts w:hint="eastAsia" w:ascii="Calibri" w:hAnsi="宋体" w:eastAsia="宋体" w:cs="宋体"/>
                <w:sz w:val="21"/>
                <w:szCs w:val="21"/>
              </w:rPr>
              <w:t>，提供经营场所位置示意图。</w:t>
            </w:r>
          </w:p>
          <w:p w14:paraId="3DB38427">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网点设置充足</w:t>
            </w:r>
            <w:r>
              <w:rPr>
                <w:rFonts w:ascii="Calibri" w:hAnsi="宋体" w:eastAsia="宋体" w:cs="宋体"/>
                <w:sz w:val="21"/>
                <w:szCs w:val="21"/>
              </w:rPr>
              <w:t>，位置</w:t>
            </w:r>
            <w:r>
              <w:rPr>
                <w:rFonts w:hint="eastAsia" w:ascii="Calibri" w:hAnsi="宋体" w:eastAsia="宋体" w:cs="宋体"/>
                <w:sz w:val="21"/>
                <w:szCs w:val="21"/>
              </w:rPr>
              <w:t>分布</w:t>
            </w:r>
            <w:r>
              <w:rPr>
                <w:rFonts w:ascii="Calibri" w:hAnsi="宋体" w:eastAsia="宋体" w:cs="宋体"/>
                <w:sz w:val="21"/>
                <w:szCs w:val="21"/>
              </w:rPr>
              <w:t>合理</w:t>
            </w:r>
            <w:r>
              <w:rPr>
                <w:rFonts w:hint="eastAsia" w:ascii="Calibri" w:hAnsi="宋体" w:eastAsia="宋体" w:cs="宋体"/>
                <w:sz w:val="21"/>
                <w:szCs w:val="21"/>
              </w:rPr>
              <w:t>,</w:t>
            </w:r>
            <w:r>
              <w:rPr>
                <w:rFonts w:ascii="Calibri" w:hAnsi="宋体" w:eastAsia="宋体" w:cs="宋体"/>
                <w:sz w:val="21"/>
                <w:szCs w:val="21"/>
              </w:rPr>
              <w:t>11</w:t>
            </w:r>
            <w:r>
              <w:rPr>
                <w:rFonts w:hint="eastAsia" w:ascii="Calibri" w:hAnsi="宋体" w:eastAsia="宋体" w:cs="宋体"/>
                <w:sz w:val="21"/>
                <w:szCs w:val="21"/>
              </w:rPr>
              <w:t>分。</w:t>
            </w:r>
          </w:p>
          <w:p w14:paraId="2AE1AEC6">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网点设置较为充足</w:t>
            </w:r>
            <w:r>
              <w:rPr>
                <w:rFonts w:ascii="Calibri" w:hAnsi="宋体" w:eastAsia="宋体" w:cs="宋体"/>
                <w:sz w:val="21"/>
                <w:szCs w:val="21"/>
              </w:rPr>
              <w:t>，并具有较好的位置分</w:t>
            </w:r>
            <w:r>
              <w:rPr>
                <w:rFonts w:hint="eastAsia" w:ascii="Calibri" w:hAnsi="宋体" w:eastAsia="宋体" w:cs="宋体"/>
                <w:sz w:val="21"/>
                <w:szCs w:val="21"/>
              </w:rPr>
              <w:t>布，</w:t>
            </w:r>
            <w:r>
              <w:rPr>
                <w:rFonts w:ascii="Calibri" w:hAnsi="宋体" w:eastAsia="宋体" w:cs="宋体"/>
                <w:sz w:val="21"/>
                <w:szCs w:val="21"/>
              </w:rPr>
              <w:t>6</w:t>
            </w:r>
            <w:r>
              <w:rPr>
                <w:rFonts w:hint="eastAsia" w:ascii="Calibri" w:hAnsi="宋体" w:eastAsia="宋体" w:cs="宋体"/>
                <w:sz w:val="21"/>
                <w:szCs w:val="21"/>
              </w:rPr>
              <w:t>分。</w:t>
            </w:r>
          </w:p>
          <w:p w14:paraId="1D040565">
            <w:pPr>
              <w:tabs>
                <w:tab w:val="left" w:pos="547"/>
              </w:tabs>
              <w:spacing w:line="400" w:lineRule="exact"/>
              <w:ind w:firstLine="420"/>
              <w:jc w:val="both"/>
              <w:rPr>
                <w:rFonts w:ascii="Calibri" w:hAnsi="宋体" w:eastAsia="宋体"/>
                <w:b/>
                <w:sz w:val="21"/>
              </w:rPr>
            </w:pPr>
            <w:r>
              <w:rPr>
                <w:rFonts w:hint="eastAsia" w:ascii="Calibri" w:hAnsi="宋体" w:eastAsia="宋体" w:cs="宋体"/>
                <w:sz w:val="21"/>
                <w:szCs w:val="21"/>
              </w:rPr>
              <w:t>网点</w:t>
            </w:r>
            <w:r>
              <w:rPr>
                <w:rFonts w:ascii="Calibri" w:hAnsi="宋体" w:eastAsia="宋体" w:cs="宋体"/>
                <w:sz w:val="21"/>
                <w:szCs w:val="21"/>
              </w:rPr>
              <w:t>少，</w:t>
            </w:r>
            <w:r>
              <w:rPr>
                <w:rFonts w:hint="eastAsia" w:ascii="Calibri" w:hAnsi="宋体" w:eastAsia="宋体" w:cs="宋体"/>
                <w:sz w:val="21"/>
                <w:szCs w:val="21"/>
              </w:rPr>
              <w:t>分布偏僻，</w:t>
            </w:r>
            <w:r>
              <w:rPr>
                <w:rFonts w:ascii="Calibri" w:hAnsi="宋体" w:eastAsia="宋体" w:cs="宋体"/>
                <w:sz w:val="21"/>
                <w:szCs w:val="21"/>
              </w:rPr>
              <w:t>2</w:t>
            </w:r>
            <w:r>
              <w:rPr>
                <w:rFonts w:hint="eastAsia" w:ascii="Calibri" w:hAnsi="宋体" w:eastAsia="宋体" w:cs="宋体"/>
                <w:sz w:val="21"/>
                <w:szCs w:val="21"/>
              </w:rPr>
              <w:t>分</w:t>
            </w:r>
            <w:r>
              <w:rPr>
                <w:rFonts w:ascii="Calibri" w:hAnsi="宋体" w:eastAsia="宋体" w:cs="宋体"/>
                <w:sz w:val="21"/>
                <w:szCs w:val="21"/>
              </w:rPr>
              <w:t>。</w:t>
            </w:r>
          </w:p>
        </w:tc>
        <w:tc>
          <w:tcPr>
            <w:tcW w:w="850" w:type="dxa"/>
            <w:vMerge w:val="continue"/>
            <w:shd w:val="clear" w:color="auto" w:fill="auto"/>
            <w:vAlign w:val="center"/>
          </w:tcPr>
          <w:p w14:paraId="3E4FA299">
            <w:pPr>
              <w:spacing w:line="400" w:lineRule="exact"/>
              <w:jc w:val="center"/>
              <w:rPr>
                <w:rFonts w:ascii="Calibri" w:hAnsi="宋体" w:eastAsia="宋体" w:cs="宋体"/>
                <w:bCs/>
                <w:color w:val="FF0000"/>
                <w:sz w:val="21"/>
                <w:szCs w:val="21"/>
              </w:rPr>
            </w:pPr>
          </w:p>
        </w:tc>
      </w:tr>
      <w:tr w14:paraId="7D9CD6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28BF3B97">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4B5DD4DD">
            <w:pPr>
              <w:spacing w:line="400" w:lineRule="exact"/>
              <w:jc w:val="center"/>
              <w:rPr>
                <w:rFonts w:ascii="Calibri" w:hAnsi="宋体" w:eastAsia="宋体" w:cs="宋体"/>
                <w:bCs/>
                <w:sz w:val="21"/>
                <w:szCs w:val="21"/>
              </w:rPr>
            </w:pPr>
          </w:p>
        </w:tc>
        <w:tc>
          <w:tcPr>
            <w:tcW w:w="860" w:type="dxa"/>
            <w:shd w:val="clear" w:color="auto" w:fill="auto"/>
            <w:vAlign w:val="center"/>
          </w:tcPr>
          <w:p w14:paraId="69BC0749">
            <w:pPr>
              <w:spacing w:line="400" w:lineRule="exact"/>
              <w:jc w:val="center"/>
              <w:rPr>
                <w:rFonts w:ascii="Calibri" w:hAnsi="宋体" w:eastAsia="宋体" w:cs="宋体"/>
                <w:b/>
                <w:bCs/>
                <w:sz w:val="21"/>
                <w:szCs w:val="21"/>
              </w:rPr>
            </w:pPr>
            <w:r>
              <w:rPr>
                <w:rFonts w:hint="eastAsia" w:ascii="宋体" w:hAnsi="宋体" w:eastAsia="宋体" w:cs="Calibri Light"/>
                <w:bCs/>
                <w:sz w:val="21"/>
                <w:szCs w:val="21"/>
              </w:rPr>
              <w:t>2</w:t>
            </w:r>
            <w:r>
              <w:rPr>
                <w:rFonts w:ascii="宋体" w:hAnsi="宋体" w:eastAsia="宋体" w:cs="Calibri Light"/>
                <w:bCs/>
                <w:sz w:val="21"/>
                <w:szCs w:val="21"/>
              </w:rPr>
              <w:t>4</w:t>
            </w:r>
          </w:p>
        </w:tc>
        <w:tc>
          <w:tcPr>
            <w:tcW w:w="6093" w:type="dxa"/>
            <w:shd w:val="clear" w:color="auto" w:fill="auto"/>
          </w:tcPr>
          <w:p w14:paraId="63CDB15C">
            <w:pPr>
              <w:autoSpaceDE w:val="0"/>
              <w:autoSpaceDN w:val="0"/>
              <w:adjustRightInd w:val="0"/>
              <w:spacing w:line="300" w:lineRule="exact"/>
              <w:jc w:val="both"/>
              <w:rPr>
                <w:rFonts w:ascii="宋体" w:hAnsi="宋体" w:eastAsia="宋体" w:cs="Calibri Light"/>
                <w:b/>
                <w:sz w:val="21"/>
                <w:szCs w:val="21"/>
              </w:rPr>
            </w:pPr>
            <w:r>
              <w:rPr>
                <w:rFonts w:ascii="宋体" w:hAnsi="宋体" w:eastAsia="宋体" w:cs="Calibri Light"/>
                <w:b/>
                <w:sz w:val="21"/>
                <w:szCs w:val="21"/>
              </w:rPr>
              <w:t>加油机</w:t>
            </w:r>
            <w:r>
              <w:rPr>
                <w:rFonts w:hint="eastAsia" w:ascii="宋体" w:hAnsi="宋体" w:eastAsia="宋体" w:cs="Calibri Light"/>
                <w:b/>
                <w:sz w:val="21"/>
                <w:szCs w:val="21"/>
              </w:rPr>
              <w:t>数量</w:t>
            </w:r>
          </w:p>
          <w:p w14:paraId="651A1280">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统计市内各加油站的加油机总数，每具有1台计量精度检测合格的加油机得2分，最多得2</w:t>
            </w:r>
            <w:r>
              <w:rPr>
                <w:rFonts w:ascii="Calibri" w:hAnsi="宋体" w:eastAsia="宋体" w:cs="宋体"/>
                <w:sz w:val="21"/>
                <w:szCs w:val="21"/>
              </w:rPr>
              <w:t>4</w:t>
            </w:r>
            <w:r>
              <w:rPr>
                <w:rFonts w:hint="eastAsia" w:ascii="Calibri" w:hAnsi="宋体" w:eastAsia="宋体" w:cs="宋体"/>
                <w:sz w:val="21"/>
                <w:szCs w:val="21"/>
              </w:rPr>
              <w:t>分。</w:t>
            </w:r>
          </w:p>
          <w:p w14:paraId="6D707606">
            <w:pPr>
              <w:tabs>
                <w:tab w:val="left" w:pos="547"/>
              </w:tabs>
              <w:spacing w:line="400" w:lineRule="exact"/>
              <w:ind w:firstLine="420"/>
              <w:jc w:val="both"/>
              <w:rPr>
                <w:rFonts w:ascii="Calibri" w:hAnsi="宋体" w:eastAsia="宋体"/>
                <w:b/>
                <w:sz w:val="21"/>
              </w:rPr>
            </w:pPr>
            <w:r>
              <w:rPr>
                <w:rFonts w:hint="eastAsia" w:ascii="Calibri" w:hAnsi="宋体" w:eastAsia="宋体" w:cs="宋体"/>
                <w:sz w:val="21"/>
                <w:szCs w:val="21"/>
              </w:rPr>
              <w:t>提供加油机鉴定报告或证书扫描件，以上证明材料上应体现加油站名称。</w:t>
            </w:r>
          </w:p>
        </w:tc>
        <w:tc>
          <w:tcPr>
            <w:tcW w:w="850" w:type="dxa"/>
            <w:vMerge w:val="continue"/>
            <w:shd w:val="clear" w:color="auto" w:fill="auto"/>
            <w:vAlign w:val="center"/>
          </w:tcPr>
          <w:p w14:paraId="0E6CC3B6">
            <w:pPr>
              <w:spacing w:line="400" w:lineRule="exact"/>
              <w:jc w:val="center"/>
              <w:rPr>
                <w:rFonts w:ascii="Calibri" w:hAnsi="宋体" w:eastAsia="宋体" w:cs="宋体"/>
                <w:bCs/>
                <w:color w:val="FF0000"/>
                <w:sz w:val="21"/>
                <w:szCs w:val="21"/>
              </w:rPr>
            </w:pPr>
          </w:p>
        </w:tc>
      </w:tr>
      <w:tr w14:paraId="20D5D4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5A17514E">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4B96FB12">
            <w:pPr>
              <w:spacing w:line="400" w:lineRule="exact"/>
              <w:jc w:val="center"/>
              <w:rPr>
                <w:rFonts w:ascii="Calibri" w:hAnsi="宋体" w:eastAsia="宋体" w:cs="宋体"/>
                <w:bCs/>
                <w:sz w:val="21"/>
                <w:szCs w:val="21"/>
              </w:rPr>
            </w:pPr>
          </w:p>
        </w:tc>
        <w:tc>
          <w:tcPr>
            <w:tcW w:w="860" w:type="dxa"/>
            <w:shd w:val="clear" w:color="auto" w:fill="auto"/>
            <w:vAlign w:val="center"/>
          </w:tcPr>
          <w:p w14:paraId="7A2AC44B">
            <w:pPr>
              <w:spacing w:line="400" w:lineRule="exact"/>
              <w:jc w:val="center"/>
              <w:rPr>
                <w:rFonts w:ascii="Calibri" w:hAnsi="宋体" w:eastAsia="宋体" w:cs="宋体"/>
                <w:b/>
                <w:bCs/>
                <w:sz w:val="21"/>
                <w:szCs w:val="21"/>
              </w:rPr>
            </w:pPr>
            <w:r>
              <w:rPr>
                <w:rFonts w:hint="eastAsia" w:ascii="宋体" w:hAnsi="宋体" w:eastAsia="宋体" w:cs="Calibri Light"/>
                <w:bCs/>
                <w:sz w:val="21"/>
                <w:szCs w:val="21"/>
              </w:rPr>
              <w:t>10</w:t>
            </w:r>
          </w:p>
        </w:tc>
        <w:tc>
          <w:tcPr>
            <w:tcW w:w="6093" w:type="dxa"/>
            <w:shd w:val="clear" w:color="auto" w:fill="auto"/>
            <w:vAlign w:val="center"/>
          </w:tcPr>
          <w:p w14:paraId="21D77193">
            <w:pPr>
              <w:autoSpaceDE w:val="0"/>
              <w:autoSpaceDN w:val="0"/>
              <w:adjustRightInd w:val="0"/>
              <w:spacing w:line="300" w:lineRule="exact"/>
              <w:jc w:val="both"/>
              <w:rPr>
                <w:rFonts w:ascii="宋体" w:hAnsi="宋体" w:eastAsia="宋体"/>
                <w:b/>
                <w:sz w:val="21"/>
                <w:szCs w:val="21"/>
              </w:rPr>
            </w:pPr>
            <w:r>
              <w:rPr>
                <w:rFonts w:hint="eastAsia" w:ascii="宋体" w:hAnsi="宋体" w:eastAsia="宋体"/>
                <w:b/>
                <w:sz w:val="21"/>
                <w:szCs w:val="21"/>
              </w:rPr>
              <w:t>业绩</w:t>
            </w:r>
          </w:p>
          <w:p w14:paraId="55B95A85">
            <w:pPr>
              <w:tabs>
                <w:tab w:val="left" w:pos="547"/>
              </w:tabs>
              <w:spacing w:line="400" w:lineRule="exact"/>
              <w:ind w:firstLine="420"/>
              <w:jc w:val="both"/>
              <w:rPr>
                <w:rFonts w:ascii="Calibri" w:hAnsi="宋体" w:eastAsia="宋体"/>
                <w:b/>
                <w:sz w:val="21"/>
              </w:rPr>
            </w:pPr>
            <w:r>
              <w:rPr>
                <w:rFonts w:ascii="Calibri" w:hAnsi="宋体" w:eastAsia="宋体" w:cs="宋体"/>
                <w:sz w:val="21"/>
                <w:szCs w:val="21"/>
              </w:rPr>
              <w:t>提供2022年1月1日以来类似项目</w:t>
            </w:r>
            <w:r>
              <w:rPr>
                <w:rFonts w:hint="eastAsia" w:ascii="Calibri" w:hAnsi="宋体" w:eastAsia="宋体" w:cs="宋体"/>
                <w:sz w:val="21"/>
                <w:szCs w:val="21"/>
              </w:rPr>
              <w:t>（单位定点加油服务项目）</w:t>
            </w:r>
            <w:r>
              <w:rPr>
                <w:rFonts w:ascii="Calibri" w:hAnsi="宋体" w:eastAsia="宋体" w:cs="宋体"/>
                <w:sz w:val="21"/>
                <w:szCs w:val="21"/>
              </w:rPr>
              <w:t>的业绩证明文件（即合同），评审时以</w:t>
            </w:r>
            <w:r>
              <w:rPr>
                <w:rFonts w:hint="eastAsia" w:ascii="Calibri" w:hAnsi="宋体" w:eastAsia="宋体" w:cs="宋体"/>
                <w:sz w:val="21"/>
                <w:szCs w:val="21"/>
              </w:rPr>
              <w:t>响应文件中</w:t>
            </w:r>
            <w:r>
              <w:rPr>
                <w:rFonts w:ascii="Calibri" w:hAnsi="宋体" w:eastAsia="宋体" w:cs="宋体"/>
                <w:sz w:val="21"/>
                <w:szCs w:val="21"/>
              </w:rPr>
              <w:t>的</w:t>
            </w:r>
            <w:r>
              <w:rPr>
                <w:rFonts w:hint="eastAsia" w:ascii="Calibri" w:hAnsi="宋体" w:eastAsia="宋体" w:cs="宋体"/>
                <w:sz w:val="21"/>
                <w:szCs w:val="21"/>
              </w:rPr>
              <w:t>扫描件</w:t>
            </w:r>
            <w:r>
              <w:rPr>
                <w:rFonts w:ascii="Calibri" w:hAnsi="宋体" w:eastAsia="宋体" w:cs="宋体"/>
                <w:sz w:val="21"/>
                <w:szCs w:val="21"/>
              </w:rPr>
              <w:t>为计分依据</w:t>
            </w:r>
            <w:r>
              <w:rPr>
                <w:rFonts w:hint="eastAsia" w:ascii="Calibri" w:hAnsi="宋体" w:eastAsia="宋体" w:cs="宋体"/>
                <w:sz w:val="21"/>
                <w:szCs w:val="21"/>
              </w:rPr>
              <w:t>。每提供一份</w:t>
            </w:r>
            <w:r>
              <w:rPr>
                <w:rFonts w:ascii="Calibri" w:hAnsi="宋体" w:eastAsia="宋体" w:cs="宋体"/>
                <w:sz w:val="21"/>
                <w:szCs w:val="21"/>
              </w:rPr>
              <w:t>业绩证明文件得</w:t>
            </w:r>
            <w:r>
              <w:rPr>
                <w:rFonts w:hint="eastAsia" w:ascii="Calibri" w:hAnsi="宋体" w:eastAsia="宋体" w:cs="宋体"/>
                <w:sz w:val="21"/>
                <w:szCs w:val="21"/>
              </w:rPr>
              <w:t>2分</w:t>
            </w:r>
            <w:r>
              <w:rPr>
                <w:rFonts w:ascii="Calibri" w:hAnsi="宋体" w:eastAsia="宋体" w:cs="宋体"/>
                <w:sz w:val="21"/>
                <w:szCs w:val="21"/>
              </w:rPr>
              <w:t>，满分</w:t>
            </w:r>
            <w:r>
              <w:rPr>
                <w:rFonts w:hint="eastAsia" w:ascii="Calibri" w:hAnsi="宋体" w:eastAsia="宋体" w:cs="宋体"/>
                <w:sz w:val="21"/>
                <w:szCs w:val="21"/>
              </w:rPr>
              <w:t>10</w:t>
            </w:r>
            <w:r>
              <w:rPr>
                <w:rFonts w:ascii="Calibri" w:hAnsi="宋体" w:eastAsia="宋体" w:cs="宋体"/>
                <w:sz w:val="21"/>
                <w:szCs w:val="21"/>
              </w:rPr>
              <w:t>分。</w:t>
            </w:r>
          </w:p>
        </w:tc>
        <w:tc>
          <w:tcPr>
            <w:tcW w:w="850" w:type="dxa"/>
            <w:vMerge w:val="continue"/>
            <w:shd w:val="clear" w:color="auto" w:fill="auto"/>
            <w:vAlign w:val="center"/>
          </w:tcPr>
          <w:p w14:paraId="42D28219">
            <w:pPr>
              <w:spacing w:line="400" w:lineRule="exact"/>
              <w:jc w:val="center"/>
              <w:rPr>
                <w:rFonts w:ascii="Calibri" w:hAnsi="宋体" w:eastAsia="宋体" w:cs="宋体"/>
                <w:bCs/>
                <w:color w:val="FF0000"/>
                <w:sz w:val="21"/>
                <w:szCs w:val="21"/>
              </w:rPr>
            </w:pPr>
          </w:p>
        </w:tc>
      </w:tr>
      <w:tr w14:paraId="757420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4645D6B1">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443" w:type="dxa"/>
            <w:gridSpan w:val="4"/>
            <w:shd w:val="clear" w:color="auto" w:fill="auto"/>
            <w:vAlign w:val="center"/>
          </w:tcPr>
          <w:p w14:paraId="004A13E1">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1．磋商小组成员必须按照本评审要素据实打分，各类数字计算均按“四舍五入”保留小数点后两位。</w:t>
            </w:r>
          </w:p>
          <w:p w14:paraId="34E94E78">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2．</w:t>
            </w:r>
            <w:r>
              <w:rPr>
                <w:rFonts w:ascii="Calibri" w:hAnsi="宋体" w:eastAsia="宋体" w:cs="宋体"/>
                <w:bCs/>
                <w:sz w:val="21"/>
                <w:szCs w:val="21"/>
              </w:rPr>
              <w:t>价格评审优惠：</w:t>
            </w:r>
            <w:r>
              <w:rPr>
                <w:rFonts w:hint="eastAsia" w:ascii="Calibri" w:hAnsi="宋体" w:eastAsia="宋体" w:cs="宋体"/>
                <w:bCs/>
                <w:sz w:val="21"/>
                <w:szCs w:val="21"/>
              </w:rPr>
              <w:t>对符合政府采购优惠政策的小型和微型企业制造的货物、承接的服务报价给予</w:t>
            </w:r>
            <w:r>
              <w:rPr>
                <w:rFonts w:hint="eastAsia" w:ascii="Calibri" w:hAnsi="宋体" w:eastAsia="宋体" w:cs="宋体"/>
                <w:bCs/>
                <w:sz w:val="21"/>
                <w:szCs w:val="21"/>
                <w:u w:val="single"/>
              </w:rPr>
              <w:t>10%（工程</w:t>
            </w:r>
            <w:r>
              <w:rPr>
                <w:rFonts w:ascii="Calibri" w:hAnsi="宋体" w:eastAsia="宋体" w:cs="宋体"/>
                <w:bCs/>
                <w:sz w:val="21"/>
                <w:szCs w:val="21"/>
                <w:u w:val="single"/>
              </w:rPr>
              <w:t>为</w:t>
            </w:r>
            <w:r>
              <w:rPr>
                <w:rFonts w:hint="eastAsia" w:ascii="Calibri" w:hAnsi="宋体" w:eastAsia="宋体" w:cs="宋体"/>
                <w:bCs/>
                <w:sz w:val="21"/>
                <w:szCs w:val="21"/>
                <w:u w:val="single"/>
              </w:rPr>
              <w:t>3%）</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14:paraId="5E16FD7D">
      <w:pPr>
        <w:pStyle w:val="81"/>
        <w:ind w:firstLine="482"/>
        <w:rPr>
          <w:b/>
        </w:rPr>
      </w:pPr>
      <w:r>
        <w:rPr>
          <w:b/>
        </w:rPr>
        <w:t>（七）推荐成交候选人并编写评审报告</w:t>
      </w:r>
    </w:p>
    <w:p w14:paraId="441B310C">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154C24D1">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pPr>
        <w:pStyle w:val="3"/>
      </w:pPr>
      <w:r>
        <w:t>七、成交</w:t>
      </w:r>
    </w:p>
    <w:p w14:paraId="5D87E9E5">
      <w:pPr>
        <w:pStyle w:val="81"/>
        <w:ind w:firstLine="480"/>
      </w:pPr>
      <w:r>
        <w:rPr>
          <w:rFonts w:hint="eastAsia"/>
        </w:rPr>
        <w:t>1</w:t>
      </w:r>
      <w:r>
        <w:rPr>
          <w:rFonts w:hint="eastAsia"/>
          <w:color w:val="auto"/>
        </w:rPr>
        <w:t>．</w:t>
      </w:r>
      <w:r>
        <w:t>采购代理机构在评审工作结束后2个工作日内，将评审报告送采购人确认。</w:t>
      </w:r>
    </w:p>
    <w:p w14:paraId="4224D80C">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14:paraId="67B80D74">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pPr>
        <w:pStyle w:val="3"/>
      </w:pPr>
      <w:r>
        <w:t>八、合同签订、履行及验收</w:t>
      </w:r>
    </w:p>
    <w:p w14:paraId="704629A0">
      <w:pPr>
        <w:pStyle w:val="81"/>
        <w:ind w:firstLine="480"/>
      </w:pPr>
      <w:r>
        <w:t>磋商文件、响应文件、澄清、补充合同等为政府采购合同的组成部分，具有同等法律效力。</w:t>
      </w:r>
    </w:p>
    <w:p w14:paraId="4EB7DCB4">
      <w:pPr>
        <w:pStyle w:val="4"/>
        <w:ind w:firstLine="482"/>
      </w:pPr>
      <w:r>
        <w:t>（一）签订政府采购合同</w:t>
      </w:r>
    </w:p>
    <w:p w14:paraId="5931A392">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CD42713">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pPr>
        <w:pStyle w:val="4"/>
        <w:ind w:firstLine="482"/>
      </w:pPr>
      <w:r>
        <w:t>（二）合同公示</w:t>
      </w:r>
    </w:p>
    <w:p w14:paraId="75105598">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0EB09D09">
      <w:pPr>
        <w:pStyle w:val="4"/>
        <w:ind w:firstLine="482"/>
      </w:pPr>
      <w:r>
        <w:t>（三）合同履行</w:t>
      </w:r>
    </w:p>
    <w:p w14:paraId="0D105C6D">
      <w:pPr>
        <w:pStyle w:val="81"/>
        <w:ind w:firstLine="480"/>
        <w:rPr>
          <w:color w:val="auto"/>
        </w:rPr>
      </w:pPr>
      <w:r>
        <w:rPr>
          <w:rFonts w:hint="eastAsia"/>
        </w:rPr>
        <w:t>1</w:t>
      </w:r>
      <w:r>
        <w:rPr>
          <w:rFonts w:hint="eastAsia"/>
          <w:color w:val="auto"/>
        </w:rPr>
        <w:t>．采购人与成交供应商应当根据合同的约定依法履行合同义务。</w:t>
      </w:r>
    </w:p>
    <w:p w14:paraId="29751297">
      <w:pPr>
        <w:pStyle w:val="81"/>
        <w:ind w:firstLine="480"/>
      </w:pPr>
      <w:r>
        <w:rPr>
          <w:rFonts w:hint="eastAsia"/>
          <w:color w:val="auto"/>
        </w:rPr>
        <w:t>2．政府采购合同的履行、违约责任和解决争议的方法等适用《中华人民共和国民法典》。</w:t>
      </w:r>
    </w:p>
    <w:p w14:paraId="7D2FB0C7">
      <w:pPr>
        <w:pStyle w:val="4"/>
        <w:ind w:firstLine="482"/>
      </w:pPr>
      <w:r>
        <w:t>（四）验收或考核</w:t>
      </w:r>
    </w:p>
    <w:p w14:paraId="299DB2FD">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九、其他</w:t>
      </w:r>
    </w:p>
    <w:p w14:paraId="7E2D661B">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pPr>
        <w:pStyle w:val="81"/>
        <w:ind w:firstLine="480"/>
      </w:pPr>
      <w:r>
        <w:t>3</w:t>
      </w:r>
      <w:r>
        <w:rPr>
          <w:rFonts w:hint="eastAsia"/>
        </w:rPr>
        <w:t>．出现下列情形之一的，采购人或者采购代理机构应当终止竞争性磋商采购活动，发布项目终止公告并说明原因，重新开展采购活动：</w:t>
      </w:r>
    </w:p>
    <w:p w14:paraId="5D68919C">
      <w:pPr>
        <w:pStyle w:val="81"/>
        <w:ind w:firstLine="480"/>
      </w:pPr>
      <w:r>
        <w:rPr>
          <w:rFonts w:hint="eastAsia"/>
        </w:rPr>
        <w:t>（1）因情况变化，不再符合规定的竞争性磋商采购方式适用情形的；</w:t>
      </w:r>
    </w:p>
    <w:p w14:paraId="0FA6E2DE">
      <w:pPr>
        <w:pStyle w:val="81"/>
        <w:ind w:firstLine="480"/>
      </w:pPr>
      <w:r>
        <w:rPr>
          <w:rFonts w:hint="eastAsia"/>
        </w:rPr>
        <w:t>（2）出现影响采购公正的违法、违规行为的；</w:t>
      </w:r>
    </w:p>
    <w:p w14:paraId="119AEF1E">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35A598FC">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FD9A5A8">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BB5030A">
      <w:pPr>
        <w:pStyle w:val="81"/>
        <w:ind w:firstLine="0" w:firstLineChars="0"/>
      </w:pPr>
    </w:p>
    <w:p w14:paraId="0A42446B">
      <w:pPr>
        <w:widowControl w:val="0"/>
        <w:topLinePunct/>
        <w:jc w:val="both"/>
        <w:sectPr>
          <w:footerReference r:id="rId12" w:type="default"/>
          <w:footerReference r:id="rId13" w:type="even"/>
          <w:pgSz w:w="11906" w:h="16838"/>
          <w:pgMar w:top="1418" w:right="1418" w:bottom="1418" w:left="1418" w:header="851" w:footer="992" w:gutter="0"/>
          <w:cols w:space="425" w:num="1"/>
          <w:docGrid w:type="linesAndChars" w:linePitch="460" w:charSpace="0"/>
        </w:sectPr>
      </w:pPr>
    </w:p>
    <w:p w14:paraId="3E5C702B">
      <w:pPr>
        <w:pStyle w:val="2"/>
        <w:spacing w:before="230" w:after="230"/>
      </w:pPr>
      <w:bookmarkStart w:id="13" w:name="_Toc198213908"/>
      <w:bookmarkStart w:id="14" w:name="_Toc100219614"/>
      <w:r>
        <w:rPr>
          <w:rFonts w:hint="eastAsia"/>
        </w:rPr>
        <w:t>第三章　磋商内容及要求</w:t>
      </w:r>
      <w:bookmarkEnd w:id="13"/>
      <w:bookmarkEnd w:id="14"/>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066B8F95">
      <w:pPr>
        <w:ind w:firstLine="480" w:firstLineChars="200"/>
        <w:jc w:val="both"/>
      </w:pPr>
      <w:r>
        <w:rPr>
          <w:rFonts w:hint="eastAsia"/>
        </w:rPr>
        <w:t>现为西安市中心血站公务车辆采购92#汽油、95#汽油、0#柴油、-10#柴油加油服务，执行油卡统一管理。</w:t>
      </w:r>
    </w:p>
    <w:p w14:paraId="7307D21B">
      <w:pPr>
        <w:pStyle w:val="3"/>
        <w:jc w:val="both"/>
      </w:pPr>
      <w:r>
        <w:rPr>
          <w:rFonts w:hint="eastAsia"/>
        </w:rPr>
        <w:t>二、服务内容</w:t>
      </w:r>
    </w:p>
    <w:p w14:paraId="683D9795">
      <w:pPr>
        <w:ind w:firstLine="480" w:firstLineChars="200"/>
        <w:jc w:val="both"/>
      </w:pPr>
      <w:r>
        <w:rPr>
          <w:rFonts w:hint="eastAsia"/>
        </w:rPr>
        <w:t>油品名称：</w:t>
      </w:r>
    </w:p>
    <w:p w14:paraId="1DED1572">
      <w:pPr>
        <w:ind w:firstLine="480" w:firstLineChars="200"/>
        <w:jc w:val="both"/>
      </w:pPr>
      <w:r>
        <w:rPr>
          <w:rFonts w:hint="eastAsia"/>
        </w:rPr>
        <w:t xml:space="preserve"> 92#汽油规格：车用汽油（VIA）</w:t>
      </w:r>
    </w:p>
    <w:p w14:paraId="2B5C7E32">
      <w:pPr>
        <w:ind w:firstLine="480" w:firstLineChars="200"/>
        <w:jc w:val="both"/>
      </w:pPr>
      <w:r>
        <w:rPr>
          <w:rFonts w:hint="eastAsia"/>
        </w:rPr>
        <w:t>95#汽油规格：车用汽油（VIA）</w:t>
      </w:r>
    </w:p>
    <w:p w14:paraId="16621E75">
      <w:pPr>
        <w:ind w:firstLine="480" w:firstLineChars="200"/>
        <w:jc w:val="both"/>
        <w:rPr>
          <w:rFonts w:hint="eastAsia" w:eastAsiaTheme="minorEastAsia"/>
          <w:lang w:val="en-US" w:eastAsia="zh-CN"/>
        </w:rPr>
      </w:pPr>
      <w:r>
        <w:rPr>
          <w:rFonts w:hint="eastAsia"/>
        </w:rPr>
        <w:t>0#柴油规格：车用柴油（VI）</w:t>
      </w:r>
      <w:r>
        <w:rPr>
          <w:rFonts w:hint="eastAsia"/>
          <w:lang w:val="en-US" w:eastAsia="zh-CN"/>
        </w:rPr>
        <w:t>0</w:t>
      </w:r>
    </w:p>
    <w:p w14:paraId="3CBBC845">
      <w:pPr>
        <w:ind w:firstLine="480" w:firstLineChars="200"/>
        <w:jc w:val="both"/>
      </w:pPr>
      <w:r>
        <w:rPr>
          <w:rFonts w:hint="eastAsia"/>
        </w:rPr>
        <w:t>-10#柴油规格：车用柴油（VI）</w:t>
      </w:r>
      <w:bookmarkStart w:id="19" w:name="_GoBack"/>
      <w:bookmarkEnd w:id="19"/>
    </w:p>
    <w:p w14:paraId="26042384">
      <w:pPr>
        <w:pStyle w:val="3"/>
        <w:jc w:val="both"/>
      </w:pPr>
      <w:r>
        <w:t>三、</w:t>
      </w:r>
      <w:r>
        <w:rPr>
          <w:rFonts w:hint="eastAsia"/>
        </w:rPr>
        <w:t>服务要求</w:t>
      </w:r>
    </w:p>
    <w:p w14:paraId="100D9E49">
      <w:pPr>
        <w:ind w:firstLine="480" w:firstLineChars="200"/>
        <w:jc w:val="both"/>
      </w:pPr>
      <w:r>
        <w:rPr>
          <w:rFonts w:hint="eastAsia"/>
        </w:rPr>
        <w:t>（一）油源渠道稳定，必须保证油料正常供应，做到任何情况下，不断油、不停供、不掺假、不销售不合格油品，油品紧张时，优先保证采购人供油。</w:t>
      </w:r>
    </w:p>
    <w:p w14:paraId="757E2172">
      <w:pPr>
        <w:ind w:firstLine="480" w:firstLineChars="200"/>
        <w:jc w:val="both"/>
      </w:pPr>
      <w:r>
        <w:rPr>
          <w:rFonts w:hint="eastAsia"/>
        </w:rPr>
        <w:t>（二）认真落实消防安全责任制，确保加油车辆在加油时的安全，如因服务商安全生产措施不力，造成采购人车辆损失的，负责赔偿责任。</w:t>
      </w:r>
    </w:p>
    <w:p w14:paraId="02D604D5">
      <w:pPr>
        <w:ind w:firstLine="480" w:firstLineChars="200"/>
        <w:jc w:val="both"/>
      </w:pPr>
      <w:r>
        <w:rPr>
          <w:rFonts w:hint="eastAsia"/>
        </w:rPr>
        <w:t>（三）因服务商、供货延误或货品质量问题，造成采购人损失的，服务商负责赔偿采购人的全部损失，并承担违约责任，</w:t>
      </w:r>
    </w:p>
    <w:p w14:paraId="678420F0">
      <w:pPr>
        <w:ind w:firstLine="480" w:firstLineChars="200"/>
        <w:jc w:val="both"/>
      </w:pPr>
      <w:r>
        <w:rPr>
          <w:rFonts w:hint="eastAsia"/>
        </w:rPr>
        <w:t>（四）如因服务商因不可抗力的原因需要改变燃油品种，应提前一个月与采购人协商，未经采购人人同意不得改变，否则按违约处理。</w:t>
      </w:r>
    </w:p>
    <w:p w14:paraId="52F094EB">
      <w:pPr>
        <w:ind w:firstLine="480" w:firstLineChars="200"/>
        <w:jc w:val="both"/>
      </w:pPr>
      <w:r>
        <w:rPr>
          <w:rFonts w:hint="eastAsia"/>
        </w:rPr>
        <w:t>（五）服务商工作人员要认真执行凭卡加油管理制度，对采购人加油时违反规定等其他行为，有权拒绝并及时向采购人反映。</w:t>
      </w:r>
    </w:p>
    <w:p w14:paraId="728DE445">
      <w:pPr>
        <w:ind w:firstLine="480" w:firstLineChars="200"/>
        <w:jc w:val="both"/>
      </w:pPr>
      <w:r>
        <w:rPr>
          <w:rFonts w:hint="eastAsia"/>
        </w:rPr>
        <w:t>（六）为本项目设置专门的项目负责人，有明确的服务标准，能够保障采购人优先获得加油服务。</w:t>
      </w:r>
    </w:p>
    <w:p w14:paraId="487B104B">
      <w:pPr>
        <w:ind w:firstLine="480" w:firstLineChars="200"/>
        <w:jc w:val="both"/>
      </w:pPr>
      <w:r>
        <w:rPr>
          <w:rFonts w:hint="eastAsia"/>
        </w:rPr>
        <w:t>（七）服务商应当具有完善的管理制度，包括①油品经营管理制度；②消防安全管理制度；③应急管理制度；④安全生产标准制度。并在响应文件中明确制度内容。</w:t>
      </w:r>
    </w:p>
    <w:p w14:paraId="68B4ED16">
      <w:pPr>
        <w:ind w:firstLine="480" w:firstLineChars="200"/>
        <w:jc w:val="both"/>
      </w:pPr>
      <w:r>
        <w:rPr>
          <w:rFonts w:hint="eastAsia"/>
        </w:rPr>
        <w:t>（八）提供针对本项目的服务方案，包括但不限于①服务标准、②对保障采购人优先获得加油服务的服务措施、③本项目重点、难点把控等。</w:t>
      </w:r>
    </w:p>
    <w:p w14:paraId="1C8888A0">
      <w:pPr>
        <w:pStyle w:val="3"/>
        <w:jc w:val="both"/>
      </w:pPr>
      <w:r>
        <w:rPr>
          <w:rFonts w:hint="eastAsia"/>
        </w:rPr>
        <w:t>四、质量验收标准</w:t>
      </w:r>
    </w:p>
    <w:p w14:paraId="3B54D9D3">
      <w:pPr>
        <w:ind w:firstLine="480" w:firstLineChars="200"/>
        <w:jc w:val="both"/>
      </w:pPr>
      <w:r>
        <w:rPr>
          <w:rFonts w:hint="eastAsia"/>
        </w:rPr>
        <w:t>（一）服务内容完成后由服务商进行自检，自检合格后邀请采购人进行验收。采购人确认服务商的自检内容后，组织服务商（必要时请有关专家）进行最终验收，验收时服务商应派员参加，共同对验收结果进行确认，并承担相关责任。验收合格后，填写政府采购项目履约验收单。</w:t>
      </w:r>
    </w:p>
    <w:p w14:paraId="413557FB">
      <w:pPr>
        <w:ind w:firstLine="480" w:firstLineChars="200"/>
        <w:jc w:val="both"/>
      </w:pPr>
      <w:r>
        <w:rPr>
          <w:rFonts w:hint="eastAsia"/>
        </w:rPr>
        <w:t>（二）随机检验。服务期间，采购人可委托第三方检测机构对服务商所供油品品质进行检测。</w:t>
      </w:r>
    </w:p>
    <w:p w14:paraId="367D1A57">
      <w:pPr>
        <w:ind w:firstLine="480" w:firstLineChars="200"/>
        <w:jc w:val="both"/>
      </w:pPr>
      <w:r>
        <w:rPr>
          <w:rFonts w:hint="eastAsia"/>
        </w:rPr>
        <w:t>（三）年终验收：各批次油品质量和服务商服务质量均无问题，在服务期满后由采购人填写政府采购项目验收单。</w:t>
      </w:r>
    </w:p>
    <w:p w14:paraId="28C5A625">
      <w:pPr>
        <w:ind w:firstLine="480" w:firstLineChars="200"/>
        <w:jc w:val="both"/>
      </w:pPr>
      <w:r>
        <w:rPr>
          <w:rFonts w:hint="eastAsia"/>
        </w:rPr>
        <w:t>（四）服务商向采购人提交服务实施过程中的所有资料。</w:t>
      </w:r>
    </w:p>
    <w:p w14:paraId="411AFC00">
      <w:pPr>
        <w:pStyle w:val="3"/>
        <w:jc w:val="both"/>
      </w:pPr>
      <w:r>
        <w:t>五、</w:t>
      </w:r>
      <w:r>
        <w:rPr>
          <w:rFonts w:hint="eastAsia"/>
        </w:rPr>
        <w:t>对项目</w:t>
      </w:r>
      <w:r>
        <w:t>经理的要求</w:t>
      </w:r>
    </w:p>
    <w:p w14:paraId="38F35A87">
      <w:pPr>
        <w:ind w:firstLine="480" w:firstLineChars="200"/>
      </w:pPr>
      <w:r>
        <w:rPr>
          <w:rFonts w:hint="eastAsia"/>
        </w:rPr>
        <w:t>项目经理具有专科以上学历，年龄50周岁以下，具有类似项目3年以上的工作经验。</w:t>
      </w:r>
    </w:p>
    <w:p w14:paraId="611EC7B9">
      <w:pPr>
        <w:pStyle w:val="3"/>
        <w:jc w:val="both"/>
      </w:pPr>
      <w:r>
        <w:rPr>
          <w:rFonts w:hint="eastAsia"/>
        </w:rPr>
        <w:t>六</w:t>
      </w:r>
      <w:r>
        <w:t>、</w:t>
      </w:r>
      <w:r>
        <w:rPr>
          <w:rFonts w:hint="eastAsia"/>
        </w:rPr>
        <w:t>商务</w:t>
      </w:r>
      <w:r>
        <w:t>要求</w:t>
      </w:r>
    </w:p>
    <w:p w14:paraId="27D6E493">
      <w:pPr>
        <w:ind w:firstLine="480" w:firstLineChars="200"/>
        <w:jc w:val="both"/>
      </w:pPr>
      <w:r>
        <w:rPr>
          <w:rFonts w:hint="eastAsia"/>
        </w:rPr>
        <w:t>（一）服务期： 一年，以双方签订合同时约定的起止时间为准。</w:t>
      </w:r>
    </w:p>
    <w:p w14:paraId="7A0BAD72">
      <w:pPr>
        <w:ind w:firstLine="480" w:firstLineChars="200"/>
        <w:jc w:val="both"/>
      </w:pPr>
      <w:r>
        <w:rPr>
          <w:rFonts w:hint="eastAsia"/>
        </w:rPr>
        <w:t>（二）交付时间</w:t>
      </w:r>
    </w:p>
    <w:p w14:paraId="2D09EAA6">
      <w:pPr>
        <w:ind w:firstLine="480" w:firstLineChars="200"/>
        <w:jc w:val="both"/>
      </w:pPr>
      <w:r>
        <w:rPr>
          <w:rFonts w:hint="eastAsia"/>
        </w:rPr>
        <w:t>合同价款支付完毕后7日内，服务商按采购人提供的相关资质办理加油卡（包括充值及资金分配等相关手续）并交付给采购人。</w:t>
      </w:r>
    </w:p>
    <w:p w14:paraId="707B9C12">
      <w:pPr>
        <w:ind w:firstLine="480" w:firstLineChars="200"/>
        <w:jc w:val="both"/>
      </w:pPr>
      <w:r>
        <w:rPr>
          <w:rFonts w:hint="eastAsia"/>
        </w:rPr>
        <w:t>（三）款项结算</w:t>
      </w:r>
    </w:p>
    <w:p w14:paraId="511F6077">
      <w:pPr>
        <w:ind w:firstLine="480" w:firstLineChars="200"/>
        <w:jc w:val="both"/>
      </w:pPr>
      <w:r>
        <w:rPr>
          <w:rFonts w:hint="eastAsia"/>
        </w:rPr>
        <w:t>1、采购人单位统一办理“专用卡”并进行充值，持卡人凭“专用卡”上载明的车牌号和油号加油。</w:t>
      </w:r>
    </w:p>
    <w:p w14:paraId="3BC48DDF">
      <w:pPr>
        <w:ind w:firstLine="480" w:firstLineChars="200"/>
        <w:jc w:val="both"/>
      </w:pPr>
      <w:r>
        <w:rPr>
          <w:rFonts w:hint="eastAsia"/>
        </w:rPr>
        <w:t>2、支付方式：银行转账。</w:t>
      </w:r>
    </w:p>
    <w:p w14:paraId="7E837947">
      <w:pPr>
        <w:ind w:firstLine="480" w:firstLineChars="200"/>
        <w:jc w:val="both"/>
      </w:pPr>
      <w:r>
        <w:rPr>
          <w:rFonts w:hint="eastAsia"/>
        </w:rPr>
        <w:t>3、结算方式：服务商开具发票（按合同总价直开采购人），持成交通知书、服务合同、发票，与采购人结算。</w:t>
      </w:r>
    </w:p>
    <w:p w14:paraId="14D08DC2">
      <w:pPr>
        <w:ind w:firstLine="480" w:firstLineChars="200"/>
        <w:jc w:val="both"/>
      </w:pPr>
      <w:r>
        <w:rPr>
          <w:rFonts w:hint="eastAsia"/>
        </w:rPr>
        <w:t>（四）付款方式</w:t>
      </w:r>
    </w:p>
    <w:p w14:paraId="1FDB13C9">
      <w:pPr>
        <w:ind w:firstLine="480" w:firstLineChars="200"/>
        <w:jc w:val="both"/>
      </w:pPr>
      <w:r>
        <w:rPr>
          <w:rFonts w:hint="eastAsia"/>
        </w:rPr>
        <w:t>采购人使用“专用卡”对所属车辆加油实行管理，服务商凭“专用卡”给持卡人加油。刷卡时，以当日国家发改委油品价格优惠后的价格，根据实际加油量结算。</w:t>
      </w:r>
    </w:p>
    <w:p w14:paraId="3292C45C">
      <w:pPr>
        <w:ind w:firstLine="480" w:firstLineChars="200"/>
        <w:jc w:val="both"/>
      </w:pPr>
      <w:r>
        <w:rPr>
          <w:rFonts w:hint="eastAsia"/>
        </w:rPr>
        <w:t>（五）报价要求</w:t>
      </w:r>
    </w:p>
    <w:p w14:paraId="4383DC0E">
      <w:pPr>
        <w:ind w:firstLine="480" w:firstLineChars="200"/>
        <w:jc w:val="both"/>
      </w:pPr>
      <w:r>
        <w:rPr>
          <w:rFonts w:hint="eastAsia"/>
        </w:rPr>
        <w:t>供给的92#汽油、95#汽油、0#柴油、-10#柴油价格，应当在当日挂牌价基础上（零售价不得突破物价局规定的最高零售价）按服务商所报“折扣”予以优惠，如遇国家政策性调价，成交服务商需及时将油价变动情况告知采购人。</w:t>
      </w:r>
    </w:p>
    <w:p w14:paraId="5EA0FD35">
      <w:pPr>
        <w:ind w:firstLine="480" w:firstLineChars="200"/>
        <w:jc w:val="both"/>
      </w:pPr>
      <w:r>
        <w:rPr>
          <w:rFonts w:hint="eastAsia"/>
        </w:rPr>
        <w:t>（六）除合同约定的费用外，服务商收取其他任何费用，应报采购人批准。</w:t>
      </w:r>
    </w:p>
    <w:p w14:paraId="2A3BDD75">
      <w:pPr>
        <w:pStyle w:val="81"/>
        <w:ind w:firstLine="0" w:firstLineChars="0"/>
      </w:pPr>
    </w:p>
    <w:p w14:paraId="220B5AB6">
      <w:pPr>
        <w:pStyle w:val="81"/>
        <w:ind w:firstLine="480"/>
        <w:sectPr>
          <w:footerReference r:id="rId14" w:type="default"/>
          <w:footerReference r:id="rId15" w:type="even"/>
          <w:pgSz w:w="11906" w:h="16838"/>
          <w:pgMar w:top="1418" w:right="1418" w:bottom="1418" w:left="1418" w:header="851" w:footer="992" w:gutter="0"/>
          <w:cols w:space="425" w:num="1"/>
          <w:docGrid w:type="linesAndChars" w:linePitch="460" w:charSpace="0"/>
        </w:sectPr>
      </w:pPr>
    </w:p>
    <w:p w14:paraId="2DA58542">
      <w:pPr>
        <w:pStyle w:val="2"/>
        <w:spacing w:before="230" w:after="230"/>
        <w:rPr>
          <w:color w:val="C00000"/>
        </w:rPr>
      </w:pPr>
      <w:bookmarkStart w:id="15" w:name="_Toc148453731"/>
      <w:bookmarkStart w:id="16" w:name="_Toc198213909"/>
      <w:r>
        <w:rPr>
          <w:rFonts w:hint="eastAsia"/>
        </w:rPr>
        <w:t>第四章　合同</w:t>
      </w:r>
      <w:bookmarkEnd w:id="15"/>
      <w:r>
        <w:rPr>
          <w:rFonts w:hint="eastAsia"/>
        </w:rPr>
        <w:t>草案条款</w:t>
      </w:r>
      <w:bookmarkEnd w:id="16"/>
    </w:p>
    <w:p w14:paraId="16DA02A7">
      <w:pPr>
        <w:spacing w:before="230" w:beforeLines="50"/>
        <w:ind w:firstLine="480" w:firstLineChars="200"/>
        <w:jc w:val="both"/>
        <w:rPr>
          <w:b/>
        </w:rPr>
      </w:pPr>
      <w:r>
        <w:rPr>
          <w:b/>
        </w:rPr>
        <w:t>甲方（采购人）：</w:t>
      </w:r>
      <w:r>
        <w:rPr>
          <w:b/>
          <w:color w:val="C00000"/>
          <w:u w:val="single"/>
        </w:rPr>
        <w:t>西安市中心血站</w:t>
      </w:r>
    </w:p>
    <w:p w14:paraId="44A487A0">
      <w:pPr>
        <w:ind w:firstLine="480" w:firstLineChars="200"/>
        <w:jc w:val="both"/>
        <w:rPr>
          <w:b/>
        </w:rPr>
      </w:pPr>
      <w:r>
        <w:rPr>
          <w:b/>
        </w:rPr>
        <w:t>乙方（成交供应商）：</w:t>
      </w:r>
      <w:r>
        <w:rPr>
          <w:color w:val="C00000"/>
        </w:rPr>
        <w:t>_________________</w:t>
      </w:r>
    </w:p>
    <w:p w14:paraId="76F3DF7C">
      <w:pPr>
        <w:spacing w:before="230" w:beforeLines="50"/>
        <w:jc w:val="both"/>
        <w:rPr>
          <w:rFonts w:cs="Calibri Light"/>
          <w:b/>
        </w:rPr>
      </w:pPr>
      <w:r>
        <w:rPr>
          <w:rFonts w:cs="Calibri Light"/>
          <w:b/>
        </w:rPr>
        <w:t>一、服务条件：</w:t>
      </w:r>
    </w:p>
    <w:p w14:paraId="04D19A80">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7820DD1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14:paraId="1FCF9FB7">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w:t>
      </w:r>
      <w:r>
        <w:rPr>
          <w:rFonts w:hint="eastAsia" w:asciiTheme="minorHAnsi" w:hAnsiTheme="minorHAnsi" w:eastAsiaTheme="minorEastAsia"/>
          <w:sz w:val="24"/>
          <w:szCs w:val="24"/>
        </w:rPr>
        <w:t>一年，以双方签订合同时约定的起止时间为准。</w:t>
      </w:r>
    </w:p>
    <w:p w14:paraId="7B2F04D2">
      <w:pPr>
        <w:spacing w:before="230" w:beforeLines="50"/>
        <w:jc w:val="both"/>
        <w:rPr>
          <w:rFonts w:cs="Calibri Light"/>
          <w:b/>
        </w:rPr>
      </w:pPr>
      <w:r>
        <w:rPr>
          <w:rFonts w:cs="Calibri Light"/>
          <w:b/>
        </w:rPr>
        <w:t>二、合同价款</w:t>
      </w:r>
    </w:p>
    <w:p w14:paraId="7D5196F7">
      <w:pPr>
        <w:ind w:firstLine="480" w:firstLineChars="200"/>
        <w:jc w:val="both"/>
      </w:pPr>
      <w:r>
        <w:rPr>
          <w:rFonts w:hint="eastAsia"/>
        </w:rPr>
        <w:t>在当日挂牌价（零售价不得突破物价部门规定的最高零售价）的基础上，给予____%的折扣（即给甲方的实际售价=挂牌价×折扣）。</w:t>
      </w:r>
    </w:p>
    <w:p w14:paraId="3E196DC7">
      <w:pPr>
        <w:spacing w:before="230" w:beforeLines="50"/>
        <w:jc w:val="both"/>
        <w:rPr>
          <w:rFonts w:cs="Calibri Light"/>
          <w:b/>
        </w:rPr>
      </w:pPr>
      <w:r>
        <w:rPr>
          <w:rFonts w:cs="Calibri Light"/>
          <w:b/>
        </w:rPr>
        <w:t>三、款项结算</w:t>
      </w:r>
    </w:p>
    <w:p w14:paraId="2CF1E4FA">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（一）付款方式：甲方使用“专用卡”对所属车辆加油实行管理，乙方凭“专用卡”给持卡人加油。刷卡时，以当日国家发改委油品价格优惠后的价格，根据实际加油量结算。</w:t>
      </w:r>
    </w:p>
    <w:p w14:paraId="56EA06C3">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（二）支付方式：银行转账。</w:t>
      </w:r>
    </w:p>
    <w:p w14:paraId="5E2B1E65">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（三）结算方式：乙方开具发票（按合同总价直开甲方），持成交通知书、服务合同、发票，与甲方结算。</w:t>
      </w:r>
    </w:p>
    <w:p w14:paraId="3739DF02">
      <w:pPr>
        <w:spacing w:before="230" w:beforeLines="50"/>
        <w:jc w:val="both"/>
        <w:rPr>
          <w:rFonts w:cs="Calibri Light"/>
          <w:b/>
        </w:rPr>
      </w:pPr>
      <w:r>
        <w:rPr>
          <w:rFonts w:cs="Calibri Light"/>
          <w:b/>
        </w:rPr>
        <w:t>四、双方的权利和义务</w:t>
      </w:r>
    </w:p>
    <w:p w14:paraId="422D3328">
      <w:pPr>
        <w:wordWrap w:val="0"/>
        <w:ind w:firstLine="480" w:firstLineChars="200"/>
        <w:jc w:val="both"/>
      </w:pPr>
      <w:r>
        <w:t>（一）甲方的权利和义务</w:t>
      </w:r>
    </w:p>
    <w:p w14:paraId="53B3533D">
      <w:pPr>
        <w:wordWrap w:val="0"/>
        <w:ind w:firstLine="480" w:firstLineChars="200"/>
        <w:jc w:val="both"/>
      </w:pPr>
      <w:r>
        <w:rPr>
          <w:rFonts w:hint="eastAsia"/>
        </w:rPr>
        <w:t>1、有权对加油站油品进行随机检验；</w:t>
      </w:r>
    </w:p>
    <w:p w14:paraId="218D3D34">
      <w:pPr>
        <w:wordWrap w:val="0"/>
        <w:ind w:firstLine="480" w:firstLineChars="200"/>
        <w:jc w:val="both"/>
      </w:pPr>
      <w:r>
        <w:rPr>
          <w:rFonts w:hint="eastAsia"/>
        </w:rPr>
        <w:t>2、集中办理“专用卡”并进行充值；</w:t>
      </w:r>
    </w:p>
    <w:p w14:paraId="1FCF348F">
      <w:pPr>
        <w:wordWrap w:val="0"/>
        <w:ind w:firstLine="480" w:firstLineChars="200"/>
        <w:jc w:val="both"/>
      </w:pPr>
      <w:r>
        <w:rPr>
          <w:rFonts w:hint="eastAsia"/>
        </w:rPr>
        <w:t>3、加强内控管理，做到“专卡专用”。</w:t>
      </w:r>
    </w:p>
    <w:p w14:paraId="10616045">
      <w:pPr>
        <w:wordWrap w:val="0"/>
        <w:ind w:firstLine="480" w:firstLineChars="200"/>
        <w:jc w:val="both"/>
      </w:pPr>
      <w:r>
        <w:t>（二）乙方的权利和义务</w:t>
      </w:r>
    </w:p>
    <w:p w14:paraId="13056ECD">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1、按协议约定的优惠率进行加油费用结算；</w:t>
      </w:r>
    </w:p>
    <w:p w14:paraId="52785942">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2、按专用卡上载明的车牌号和油号加油；</w:t>
      </w:r>
    </w:p>
    <w:p w14:paraId="6E0507F3">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3、拒绝利用专用卡套取现金或搭买货物；</w:t>
      </w:r>
    </w:p>
    <w:p w14:paraId="51D4F364">
      <w:pPr>
        <w:pStyle w:val="40"/>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4、负责“专用卡”制作、更换。</w:t>
      </w:r>
    </w:p>
    <w:p w14:paraId="718A2D59">
      <w:pPr>
        <w:spacing w:before="230" w:beforeLines="50"/>
        <w:jc w:val="both"/>
        <w:rPr>
          <w:rFonts w:cs="Calibri Light"/>
          <w:b/>
        </w:rPr>
      </w:pPr>
      <w:r>
        <w:rPr>
          <w:rFonts w:cs="Calibri Light"/>
          <w:b/>
        </w:rPr>
        <w:t>五、</w:t>
      </w:r>
      <w:r>
        <w:rPr>
          <w:rFonts w:hint="eastAsia" w:cs="Calibri Light"/>
          <w:b/>
        </w:rPr>
        <w:t>服务保证</w:t>
      </w:r>
    </w:p>
    <w:p w14:paraId="7021ED33">
      <w:pPr>
        <w:spacing w:before="230" w:beforeLines="50"/>
        <w:jc w:val="both"/>
      </w:pPr>
      <w:r>
        <w:rPr>
          <w:rFonts w:hint="eastAsia"/>
        </w:rPr>
        <w:t>（一）乙方必须保证供油质量和计量。在合同期限内无论因什么原因（包括油源紧张、价格调整、政策变化等因素）都不能降低在响应文件中承诺的供油价格优惠比例。</w:t>
      </w:r>
    </w:p>
    <w:p w14:paraId="671BD49D">
      <w:pPr>
        <w:spacing w:before="230" w:beforeLines="50"/>
        <w:jc w:val="both"/>
      </w:pPr>
      <w:r>
        <w:rPr>
          <w:rFonts w:hint="eastAsia"/>
        </w:rPr>
        <w:t>（二）乙方必须保证油料正常供应，不得擅自停止服务。</w:t>
      </w:r>
    </w:p>
    <w:p w14:paraId="4B83D0FA">
      <w:pPr>
        <w:spacing w:before="230" w:beforeLines="50"/>
        <w:jc w:val="both"/>
        <w:rPr>
          <w:rFonts w:cs="Calibri Light"/>
          <w:b/>
        </w:rPr>
      </w:pPr>
      <w:r>
        <w:rPr>
          <w:rFonts w:cs="Calibri Light"/>
          <w:b/>
        </w:rPr>
        <w:t>六、验收</w:t>
      </w:r>
    </w:p>
    <w:p w14:paraId="7BF6FFE8">
      <w:pPr>
        <w:wordWrap w:val="0"/>
        <w:ind w:firstLine="480" w:firstLineChars="200"/>
        <w:jc w:val="both"/>
      </w:pPr>
      <w:r>
        <w:rPr>
          <w:rFonts w:hint="eastAsia"/>
        </w:rPr>
        <w:t>（一）随机检验：服务期间，采购人可以委托第三方检测机构对服务商所供油品品质进行检测。</w:t>
      </w:r>
    </w:p>
    <w:p w14:paraId="02895462">
      <w:pPr>
        <w:wordWrap w:val="0"/>
        <w:ind w:firstLine="480" w:firstLineChars="200"/>
        <w:jc w:val="both"/>
      </w:pPr>
      <w:r>
        <w:rPr>
          <w:rFonts w:hint="eastAsia"/>
        </w:rPr>
        <w:t>（二）年终验收：各批次油品质量和服务商服务质量均无问题，在服务期满后由采购人填写政府采购项目验收单。</w:t>
      </w:r>
    </w:p>
    <w:p w14:paraId="4C1DA18C">
      <w:pPr>
        <w:wordWrap w:val="0"/>
        <w:ind w:firstLine="480" w:firstLineChars="200"/>
        <w:jc w:val="both"/>
      </w:pPr>
      <w:r>
        <w:t>（三）乙方向甲方提供服务过程中的所有资料，以便甲方日后管理。</w:t>
      </w:r>
    </w:p>
    <w:p w14:paraId="27CB4423">
      <w:pPr>
        <w:wordWrap w:val="0"/>
        <w:ind w:firstLine="480" w:firstLineChars="200"/>
        <w:jc w:val="both"/>
      </w:pPr>
      <w:r>
        <w:t>（四）验收依据：</w:t>
      </w:r>
    </w:p>
    <w:p w14:paraId="3C01C91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14:paraId="2B8CFB3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14:paraId="5A8DF76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14:paraId="1358C10D">
      <w:pPr>
        <w:spacing w:before="230" w:beforeLines="50"/>
        <w:jc w:val="both"/>
        <w:rPr>
          <w:rFonts w:cs="Calibri Light"/>
          <w:b/>
        </w:rPr>
      </w:pPr>
      <w:r>
        <w:rPr>
          <w:rFonts w:cs="Calibri Light"/>
          <w:b/>
        </w:rPr>
        <w:t>七、违约责任</w:t>
      </w:r>
    </w:p>
    <w:p w14:paraId="0F548830">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经国家法定部门鉴定油品质量不合格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4E3EDB02">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（二）其他事宜按《民法典》中的相关条款执行。</w:t>
      </w:r>
    </w:p>
    <w:p w14:paraId="5C64B497">
      <w:pPr>
        <w:spacing w:before="230" w:beforeLines="50"/>
        <w:jc w:val="both"/>
        <w:rPr>
          <w:rFonts w:cs="Calibri Light"/>
          <w:b/>
        </w:rPr>
      </w:pPr>
      <w:r>
        <w:rPr>
          <w:rFonts w:cs="Calibri Light"/>
          <w:b/>
        </w:rPr>
        <w:t>八、合同的变更和修改、中止和终止</w:t>
      </w:r>
    </w:p>
    <w:p w14:paraId="1E70EF08">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D8EC824">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19A0FCC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373B5981">
      <w:pPr>
        <w:spacing w:before="230" w:beforeLines="50"/>
        <w:jc w:val="both"/>
        <w:rPr>
          <w:rFonts w:cs="Calibri Light"/>
          <w:b/>
        </w:rPr>
      </w:pPr>
      <w:r>
        <w:rPr>
          <w:rFonts w:hint="eastAsia" w:cs="Calibri Light"/>
          <w:b/>
        </w:rPr>
        <w:t>九</w:t>
      </w:r>
      <w:r>
        <w:rPr>
          <w:rFonts w:cs="Calibri Light"/>
          <w:b/>
        </w:rPr>
        <w:t>、争议解决</w:t>
      </w:r>
    </w:p>
    <w:p w14:paraId="7AE5789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5050F534">
      <w:pPr>
        <w:wordWrap w:val="0"/>
        <w:ind w:firstLine="480" w:firstLineChars="200"/>
        <w:jc w:val="both"/>
      </w:pPr>
      <w:r>
        <w:t>（二）凡与本合同有关的一切争议，双方应通过友好协商解决。如协商后仍不能达成协议时，按下列第___种方式解决。</w:t>
      </w:r>
    </w:p>
    <w:p w14:paraId="4CDBA189">
      <w:pPr>
        <w:wordWrap w:val="0"/>
        <w:ind w:firstLine="480" w:firstLineChars="200"/>
        <w:jc w:val="both"/>
      </w:pPr>
      <w:r>
        <w:t>1．提交西安仲裁委员会。</w:t>
      </w:r>
    </w:p>
    <w:p w14:paraId="20D0CFD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14:paraId="05C291D3">
      <w:pPr>
        <w:spacing w:before="230" w:beforeLines="50"/>
        <w:jc w:val="both"/>
        <w:rPr>
          <w:rFonts w:cs="Calibri Light"/>
          <w:b/>
        </w:rPr>
      </w:pPr>
      <w:r>
        <w:rPr>
          <w:rFonts w:cs="Calibri Light"/>
          <w:b/>
        </w:rPr>
        <w:t>十、不可抗力</w:t>
      </w:r>
    </w:p>
    <w:p w14:paraId="146104E7">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14:paraId="558B1EDB">
      <w:pPr>
        <w:spacing w:before="230" w:beforeLines="50"/>
        <w:jc w:val="both"/>
        <w:rPr>
          <w:rFonts w:cs="Calibri Light"/>
          <w:b/>
        </w:rPr>
      </w:pPr>
      <w:r>
        <w:rPr>
          <w:rFonts w:cs="Calibri Light"/>
          <w:b/>
        </w:rPr>
        <w:t>十</w:t>
      </w:r>
      <w:r>
        <w:rPr>
          <w:rFonts w:hint="eastAsia" w:cs="Calibri Light"/>
          <w:b/>
        </w:rPr>
        <w:t>一</w:t>
      </w:r>
      <w:r>
        <w:rPr>
          <w:rFonts w:cs="Calibri Light"/>
          <w:b/>
        </w:rPr>
        <w:t>、合同生效及其他</w:t>
      </w:r>
    </w:p>
    <w:p w14:paraId="552BA70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06B4825B">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14:paraId="4318751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14:paraId="6FD31474"/>
    <w:p w14:paraId="0FC4A7EB">
      <w:pPr>
        <w:sectPr>
          <w:footerReference r:id="rId16" w:type="default"/>
          <w:footerReference r:id="rId17" w:type="even"/>
          <w:pgSz w:w="11906" w:h="16838"/>
          <w:pgMar w:top="1418" w:right="1418" w:bottom="1418" w:left="1418" w:header="851" w:footer="992" w:gutter="0"/>
          <w:cols w:space="425" w:num="1"/>
          <w:docGrid w:type="linesAndChars" w:linePitch="460" w:charSpace="0"/>
        </w:sectPr>
      </w:pPr>
    </w:p>
    <w:p w14:paraId="066AACEE">
      <w:pPr>
        <w:pStyle w:val="2"/>
        <w:spacing w:before="230" w:after="230"/>
      </w:pPr>
      <w:bookmarkStart w:id="17" w:name="_Toc100219616"/>
      <w:bookmarkStart w:id="18" w:name="_Toc198213910"/>
      <w:r>
        <w:rPr>
          <w:rFonts w:hint="eastAsia"/>
        </w:rPr>
        <w:t>第五章　响应文件构成及格式</w:t>
      </w:r>
      <w:bookmarkEnd w:id="17"/>
      <w:bookmarkEnd w:id="18"/>
    </w:p>
    <w:p w14:paraId="4578CFAC">
      <w:pPr>
        <w:jc w:val="center"/>
        <w:rPr>
          <w:rFonts w:cstheme="minorHAnsi"/>
          <w:sz w:val="36"/>
          <w:szCs w:val="36"/>
        </w:rPr>
      </w:pPr>
    </w:p>
    <w:p w14:paraId="46C3CF94">
      <w:pPr>
        <w:jc w:val="center"/>
        <w:rPr>
          <w:rFonts w:cstheme="minorHAnsi"/>
          <w:sz w:val="36"/>
          <w:szCs w:val="36"/>
        </w:rPr>
      </w:pPr>
    </w:p>
    <w:p w14:paraId="60FF2F4A">
      <w:pPr>
        <w:jc w:val="center"/>
        <w:rPr>
          <w:rFonts w:cstheme="minorHAnsi"/>
          <w:sz w:val="36"/>
          <w:szCs w:val="36"/>
        </w:rPr>
      </w:pPr>
    </w:p>
    <w:p w14:paraId="38C61182">
      <w:pPr>
        <w:jc w:val="center"/>
        <w:rPr>
          <w:rFonts w:cstheme="minorHAnsi"/>
          <w:b/>
          <w:color w:val="C00000"/>
          <w:sz w:val="44"/>
          <w:szCs w:val="44"/>
        </w:rPr>
      </w:pPr>
      <w:r>
        <w:rPr>
          <w:rFonts w:cstheme="minorHAnsi"/>
          <w:b/>
          <w:color w:val="C00000"/>
          <w:sz w:val="36"/>
          <w:szCs w:val="36"/>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63B1F57B">
      <w:pPr>
        <w:rPr>
          <w:rFonts w:cstheme="minorHAnsi"/>
          <w:b/>
          <w:sz w:val="36"/>
        </w:rPr>
      </w:pPr>
      <w:r>
        <w:rPr>
          <w:rFonts w:hint="eastAsia" w:cstheme="minorHAnsi"/>
          <w:b/>
          <w:sz w:val="28"/>
          <w:szCs w:val="28"/>
        </w:rPr>
        <w:t>特别提醒</w:t>
      </w:r>
      <w:r>
        <w:rPr>
          <w:rFonts w:cstheme="minorHAnsi"/>
          <w:b/>
          <w:sz w:val="28"/>
          <w:szCs w:val="28"/>
        </w:rPr>
        <w:t>：</w:t>
      </w:r>
      <w:r>
        <w:rPr>
          <w:rFonts w:hint="eastAsia" w:cstheme="minorHAnsi"/>
          <w:b/>
          <w:sz w:val="28"/>
          <w:szCs w:val="28"/>
        </w:rPr>
        <w:t>本章中项目名称、项目编号、采购包等</w:t>
      </w:r>
      <w:r>
        <w:rPr>
          <w:rFonts w:cstheme="minorHAnsi"/>
          <w:b/>
          <w:sz w:val="28"/>
          <w:szCs w:val="28"/>
        </w:rPr>
        <w:t>信息须按照</w:t>
      </w:r>
      <w:r>
        <w:rPr>
          <w:rFonts w:hint="eastAsia" w:cstheme="minorHAnsi"/>
          <w:b/>
          <w:sz w:val="28"/>
          <w:szCs w:val="28"/>
        </w:rPr>
        <w:t>磋商邀请函自行填写</w:t>
      </w:r>
      <w:r>
        <w:rPr>
          <w:rFonts w:cstheme="minorHAnsi"/>
          <w:b/>
          <w:sz w:val="28"/>
          <w:szCs w:val="28"/>
        </w:rPr>
        <w:t>。</w:t>
      </w:r>
      <w:r>
        <w:rPr>
          <w:rFonts w:cstheme="minorHAnsi"/>
          <w:b/>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8" w:type="default"/>
          <w:footerReference r:id="rId19"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5A4E611A">
      <w:pPr>
        <w:jc w:val="both"/>
        <w:rPr>
          <w:rFonts w:cstheme="minorHAnsi"/>
          <w:color w:val="000000"/>
        </w:rPr>
      </w:pPr>
      <w:r>
        <w:rPr>
          <w:rFonts w:hint="eastAsia"/>
        </w:rPr>
        <w:t>西安市市级单位政府采购中心</w:t>
      </w:r>
      <w:r>
        <w:rPr>
          <w:rFonts w:hint="eastAsia" w:cstheme="minorHAnsi"/>
          <w:color w:val="000000"/>
        </w:rPr>
        <w:t>：</w:t>
      </w:r>
    </w:p>
    <w:p w14:paraId="0BF01936">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1503DC46">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502630FC">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64321F4B">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1E761BA">
      <w:pPr>
        <w:ind w:firstLine="567"/>
        <w:jc w:val="both"/>
        <w:rPr>
          <w:rFonts w:cstheme="minorHAnsi"/>
          <w:color w:val="000000"/>
        </w:rPr>
      </w:pPr>
      <w:r>
        <w:rPr>
          <w:rFonts w:hint="eastAsia" w:cstheme="minorHAnsi"/>
          <w:color w:val="000000"/>
        </w:rPr>
        <w:t>4．我方理解最低价不是成交的唯一条件，并尊重磋商小组的评审结果。</w:t>
      </w:r>
    </w:p>
    <w:p w14:paraId="2D5BA30B">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068EBFA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49D0279">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2674B6FF">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669D22B6">
      <w:pPr>
        <w:ind w:firstLine="567"/>
        <w:jc w:val="both"/>
        <w:rPr>
          <w:rFonts w:cstheme="minorHAnsi"/>
          <w:color w:val="000000"/>
        </w:rPr>
      </w:pPr>
      <w:r>
        <w:rPr>
          <w:rFonts w:hint="eastAsia" w:cstheme="minorHAnsi"/>
          <w:color w:val="000000"/>
        </w:rPr>
        <w:t>（1）将成交文件有效期延长至合同执行完毕；</w:t>
      </w:r>
    </w:p>
    <w:p w14:paraId="3549844C">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60652BD4">
      <w:pPr>
        <w:ind w:firstLine="567"/>
        <w:jc w:val="both"/>
        <w:rPr>
          <w:rFonts w:cstheme="minorHAnsi"/>
          <w:color w:val="000000"/>
        </w:rPr>
      </w:pPr>
      <w:r>
        <w:rPr>
          <w:rFonts w:hint="eastAsia" w:cstheme="minorHAnsi"/>
          <w:color w:val="000000"/>
        </w:rPr>
        <w:t>（3）遵照磋商文件中的要求，完成本项目的合同责任和义务。</w:t>
      </w:r>
    </w:p>
    <w:p w14:paraId="244F4427">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75368B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pPr>
        <w:ind w:firstLine="567"/>
        <w:jc w:val="both"/>
        <w:rPr>
          <w:color w:val="000000"/>
        </w:rPr>
      </w:pPr>
      <w:r>
        <w:rPr>
          <w:rFonts w:hint="eastAsia"/>
          <w:color w:val="000000"/>
        </w:rPr>
        <w:t>（2）联系</w:t>
      </w:r>
      <w:r>
        <w:rPr>
          <w:color w:val="000000"/>
        </w:rPr>
        <w:t>电话：</w:t>
      </w:r>
    </w:p>
    <w:p w14:paraId="048F967E">
      <w:pPr>
        <w:ind w:firstLine="567"/>
        <w:jc w:val="both"/>
        <w:rPr>
          <w:color w:val="000000"/>
        </w:rPr>
      </w:pPr>
      <w:r>
        <w:rPr>
          <w:color w:val="000000"/>
        </w:rPr>
        <w:t>（</w:t>
      </w:r>
      <w:r>
        <w:rPr>
          <w:rFonts w:hint="eastAsia"/>
          <w:color w:val="000000"/>
        </w:rPr>
        <w:t>3</w:t>
      </w:r>
      <w:r>
        <w:rPr>
          <w:color w:val="000000"/>
        </w:rPr>
        <w:t>）通讯地址：</w:t>
      </w:r>
    </w:p>
    <w:p w14:paraId="138D00E5">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5D405F22">
      <w:pPr>
        <w:ind w:firstLine="567"/>
        <w:jc w:val="both"/>
      </w:pPr>
      <w:r>
        <w:t>（</w:t>
      </w:r>
      <w:r>
        <w:rPr>
          <w:rFonts w:hint="eastAsia"/>
        </w:rPr>
        <w:t>5</w:t>
      </w:r>
      <w:r>
        <w:t>）电子邮箱：</w:t>
      </w:r>
    </w:p>
    <w:p w14:paraId="6BFF3E77">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9AB650B">
      <w:pPr>
        <w:ind w:firstLine="567"/>
        <w:jc w:val="both"/>
        <w:sectPr>
          <w:footerReference r:id="rId20" w:type="default"/>
          <w:footerReference r:id="rId21"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79170807">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14:paraId="7A022D50">
      <w:pPr>
        <w:pStyle w:val="40"/>
        <w:jc w:val="center"/>
        <w:rPr>
          <w:rFonts w:asciiTheme="minorHAnsi" w:hAnsiTheme="minorHAnsi" w:eastAsiaTheme="minorEastAsia"/>
          <w:b/>
          <w:color w:val="C00000"/>
          <w:sz w:val="24"/>
          <w:szCs w:val="24"/>
        </w:rPr>
      </w:pPr>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716"/>
        <w:gridCol w:w="2694"/>
      </w:tblGrid>
      <w:tr w14:paraId="565F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083" w:type="dxa"/>
            <w:vMerge w:val="restart"/>
            <w:tcBorders>
              <w:tl2br w:val="single" w:color="auto" w:sz="4" w:space="0"/>
            </w:tcBorders>
          </w:tcPr>
          <w:p w14:paraId="4ED13CDC">
            <w:pPr>
              <w:spacing w:line="440" w:lineRule="exact"/>
              <w:ind w:right="280"/>
              <w:jc w:val="right"/>
              <w:rPr>
                <w:rFonts w:cs="Calibri" w:asciiTheme="minorEastAsia" w:hAnsiTheme="minorEastAsia"/>
                <w:b/>
                <w:color w:val="000000"/>
              </w:rPr>
            </w:pPr>
            <w:r>
              <w:rPr>
                <w:rFonts w:cs="Calibri" w:asciiTheme="minorEastAsia" w:hAnsiTheme="minorEastAsia"/>
                <w:b/>
                <w:color w:val="000000"/>
              </w:rPr>
              <w:t>报价内容</w:t>
            </w:r>
          </w:p>
          <w:p w14:paraId="4C189764">
            <w:pPr>
              <w:rPr>
                <w:rFonts w:cs="Calibri" w:asciiTheme="minorEastAsia" w:hAnsiTheme="minorEastAsia"/>
                <w:color w:val="000000"/>
              </w:rPr>
            </w:pPr>
          </w:p>
          <w:p w14:paraId="6674BE81">
            <w:pPr>
              <w:spacing w:line="440" w:lineRule="exact"/>
              <w:ind w:right="1540" w:firstLine="120" w:firstLineChars="50"/>
              <w:rPr>
                <w:rFonts w:cs="Calibri" w:asciiTheme="minorEastAsia" w:hAnsiTheme="minorEastAsia"/>
                <w:b/>
                <w:color w:val="000000"/>
              </w:rPr>
            </w:pPr>
            <w:r>
              <w:rPr>
                <w:rFonts w:cs="Calibri" w:asciiTheme="minorEastAsia" w:hAnsiTheme="minorEastAsia"/>
                <w:b/>
                <w:color w:val="000000"/>
              </w:rPr>
              <w:t>项目名称</w:t>
            </w:r>
          </w:p>
        </w:tc>
        <w:tc>
          <w:tcPr>
            <w:tcW w:w="3716" w:type="dxa"/>
            <w:vAlign w:val="center"/>
          </w:tcPr>
          <w:p w14:paraId="27BD3946">
            <w:pPr>
              <w:jc w:val="center"/>
              <w:rPr>
                <w:rFonts w:cs="Calibri" w:asciiTheme="minorEastAsia" w:hAnsiTheme="minorEastAsia"/>
                <w:b/>
                <w:color w:val="C00000"/>
              </w:rPr>
            </w:pPr>
            <w:r>
              <w:rPr>
                <w:rFonts w:hint="eastAsia" w:cs="Calibri" w:asciiTheme="minorEastAsia" w:hAnsiTheme="minorEastAsia"/>
                <w:b/>
                <w:color w:val="C00000"/>
              </w:rPr>
              <w:t>A</w:t>
            </w:r>
          </w:p>
        </w:tc>
        <w:tc>
          <w:tcPr>
            <w:tcW w:w="2694" w:type="dxa"/>
            <w:vAlign w:val="center"/>
          </w:tcPr>
          <w:p w14:paraId="214B072D">
            <w:pPr>
              <w:jc w:val="center"/>
              <w:rPr>
                <w:rFonts w:cs="Calibri" w:asciiTheme="minorEastAsia" w:hAnsiTheme="minorEastAsia"/>
                <w:b/>
                <w:color w:val="C00000"/>
              </w:rPr>
            </w:pPr>
            <w:r>
              <w:rPr>
                <w:rFonts w:cs="Calibri" w:asciiTheme="minorEastAsia" w:hAnsiTheme="minorEastAsia"/>
                <w:b/>
                <w:color w:val="C00000"/>
              </w:rPr>
              <w:t>B</w:t>
            </w:r>
          </w:p>
        </w:tc>
      </w:tr>
      <w:tr w14:paraId="6D95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83" w:type="dxa"/>
            <w:vMerge w:val="continue"/>
            <w:tcBorders>
              <w:tl2br w:val="single" w:color="auto" w:sz="4" w:space="0"/>
            </w:tcBorders>
          </w:tcPr>
          <w:p w14:paraId="1796FF7D">
            <w:pPr>
              <w:spacing w:line="440" w:lineRule="exact"/>
              <w:ind w:right="280"/>
              <w:jc w:val="right"/>
              <w:rPr>
                <w:rFonts w:cs="Calibri" w:asciiTheme="minorEastAsia" w:hAnsiTheme="minorEastAsia"/>
                <w:b/>
                <w:color w:val="000000"/>
              </w:rPr>
            </w:pPr>
          </w:p>
        </w:tc>
        <w:tc>
          <w:tcPr>
            <w:tcW w:w="3716" w:type="dxa"/>
            <w:vAlign w:val="center"/>
          </w:tcPr>
          <w:p w14:paraId="16D4132A">
            <w:pPr>
              <w:jc w:val="center"/>
              <w:rPr>
                <w:rFonts w:asciiTheme="minorEastAsia" w:hAnsiTheme="minorEastAsia"/>
                <w:b/>
                <w:color w:val="C00000"/>
              </w:rPr>
            </w:pPr>
            <w:r>
              <w:rPr>
                <w:rFonts w:cs="Calibri Light" w:asciiTheme="minorEastAsia" w:hAnsiTheme="minorEastAsia"/>
              </w:rPr>
              <w:t>折扣（%）</w:t>
            </w:r>
          </w:p>
        </w:tc>
        <w:tc>
          <w:tcPr>
            <w:tcW w:w="2694" w:type="dxa"/>
            <w:vAlign w:val="center"/>
          </w:tcPr>
          <w:p w14:paraId="60EFE0F0">
            <w:pPr>
              <w:jc w:val="center"/>
              <w:rPr>
                <w:rFonts w:asciiTheme="minorEastAsia" w:hAnsiTheme="minorEastAsia"/>
                <w:b/>
                <w:color w:val="C00000"/>
              </w:rPr>
            </w:pPr>
            <w:r>
              <w:rPr>
                <w:rFonts w:asciiTheme="minorEastAsia" w:hAnsiTheme="minorEastAsia"/>
                <w:b/>
                <w:color w:val="C00000"/>
              </w:rPr>
              <w:t>服务期</w:t>
            </w:r>
          </w:p>
        </w:tc>
      </w:tr>
      <w:tr w14:paraId="7EA7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083" w:type="dxa"/>
            <w:vAlign w:val="center"/>
          </w:tcPr>
          <w:p w14:paraId="1075407C">
            <w:pPr>
              <w:spacing w:line="440" w:lineRule="exact"/>
              <w:jc w:val="center"/>
              <w:rPr>
                <w:rFonts w:cs="Calibri" w:asciiTheme="minorEastAsia" w:hAnsiTheme="minorEastAsia"/>
                <w:b/>
                <w:color w:val="000000"/>
              </w:rPr>
            </w:pPr>
            <w:r>
              <w:rPr>
                <w:rFonts w:hint="eastAsia" w:cs="Calibri Light" w:asciiTheme="minorEastAsia" w:hAnsiTheme="minorEastAsia"/>
                <w:color w:val="C00000"/>
              </w:rPr>
              <w:t>西安市中心血站车辆油料采购</w:t>
            </w:r>
          </w:p>
        </w:tc>
        <w:tc>
          <w:tcPr>
            <w:tcW w:w="3716" w:type="dxa"/>
            <w:vAlign w:val="center"/>
          </w:tcPr>
          <w:p w14:paraId="7D378B5E">
            <w:pPr>
              <w:spacing w:line="440" w:lineRule="exact"/>
              <w:jc w:val="center"/>
              <w:rPr>
                <w:rFonts w:cs="Calibri Light" w:asciiTheme="minorEastAsia" w:hAnsiTheme="minorEastAsia"/>
              </w:rPr>
            </w:pPr>
            <w:r>
              <w:rPr>
                <w:rFonts w:hint="eastAsia" w:cs="Calibri Light" w:asciiTheme="minorEastAsia" w:hAnsiTheme="minorEastAsia"/>
                <w:i/>
                <w:color w:val="7030A0"/>
              </w:rPr>
              <w:t>（仅</w:t>
            </w:r>
            <w:r>
              <w:rPr>
                <w:rFonts w:cs="Calibri Light" w:asciiTheme="minorEastAsia" w:hAnsiTheme="minorEastAsia"/>
                <w:i/>
                <w:color w:val="7030A0"/>
              </w:rPr>
              <w:t>填写数字，不填写单位</w:t>
            </w:r>
            <w:r>
              <w:rPr>
                <w:rFonts w:hint="eastAsia" w:cs="Calibri Light" w:asciiTheme="minorEastAsia" w:hAnsiTheme="minorEastAsia"/>
                <w:i/>
                <w:color w:val="7030A0"/>
              </w:rPr>
              <w:t>）</w:t>
            </w:r>
          </w:p>
        </w:tc>
        <w:tc>
          <w:tcPr>
            <w:tcW w:w="2694" w:type="dxa"/>
            <w:vAlign w:val="center"/>
          </w:tcPr>
          <w:p w14:paraId="56EA8970">
            <w:pPr>
              <w:spacing w:line="440" w:lineRule="exact"/>
              <w:jc w:val="center"/>
              <w:rPr>
                <w:rFonts w:cs="Calibri Light" w:asciiTheme="minorEastAsia" w:hAnsiTheme="minorEastAsia"/>
                <w:color w:val="000000"/>
              </w:rPr>
            </w:pPr>
          </w:p>
        </w:tc>
      </w:tr>
      <w:tr w14:paraId="224F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83" w:type="dxa"/>
            <w:vAlign w:val="center"/>
          </w:tcPr>
          <w:p w14:paraId="76B17DEB">
            <w:pPr>
              <w:spacing w:line="440" w:lineRule="exact"/>
              <w:jc w:val="center"/>
              <w:rPr>
                <w:rFonts w:cs="Calibri" w:asciiTheme="minorEastAsia" w:hAnsiTheme="minorEastAsia"/>
                <w:b/>
                <w:color w:val="000000"/>
              </w:rPr>
            </w:pPr>
            <w:r>
              <w:rPr>
                <w:rFonts w:hint="eastAsia" w:cs="Calibri" w:asciiTheme="minorEastAsia" w:hAnsiTheme="minorEastAsia"/>
                <w:b/>
                <w:color w:val="000000"/>
              </w:rPr>
              <w:t>折扣</w:t>
            </w:r>
            <w:r>
              <w:rPr>
                <w:rFonts w:cs="Calibri" w:asciiTheme="minorEastAsia" w:hAnsiTheme="minorEastAsia"/>
                <w:b/>
                <w:color w:val="000000"/>
              </w:rPr>
              <w:t>（大写）</w:t>
            </w:r>
          </w:p>
        </w:tc>
        <w:tc>
          <w:tcPr>
            <w:tcW w:w="6410" w:type="dxa"/>
            <w:gridSpan w:val="2"/>
          </w:tcPr>
          <w:p w14:paraId="1238A645">
            <w:pPr>
              <w:spacing w:line="440" w:lineRule="exact"/>
              <w:jc w:val="center"/>
              <w:rPr>
                <w:rFonts w:cs="Calibri" w:asciiTheme="minorEastAsia" w:hAnsiTheme="minorEastAsia"/>
                <w:color w:val="FF0000"/>
              </w:rPr>
            </w:pPr>
            <w:r>
              <w:rPr>
                <w:rFonts w:cs="Calibri Light" w:asciiTheme="minorEastAsia" w:hAnsiTheme="minorEastAsia"/>
                <w:color w:val="C00000"/>
              </w:rPr>
              <w:t>百分之</w:t>
            </w:r>
            <w:r>
              <w:rPr>
                <w:rFonts w:hint="eastAsia" w:cs="Calibri Light" w:asciiTheme="minorEastAsia" w:hAnsiTheme="minorEastAsia"/>
                <w:color w:val="C00000"/>
              </w:rPr>
              <w:t>____</w:t>
            </w:r>
          </w:p>
        </w:tc>
      </w:tr>
    </w:tbl>
    <w:p w14:paraId="102223AE">
      <w:pPr>
        <w:spacing w:before="230" w:beforeLines="50" w:line="400" w:lineRule="exact"/>
        <w:jc w:val="both"/>
        <w:rPr>
          <w:rFonts w:cs="Calibri Light" w:asciiTheme="minorEastAsia" w:hAnsiTheme="minorEastAsia"/>
          <w:b/>
          <w:color w:val="000000"/>
        </w:rPr>
      </w:pPr>
      <w:r>
        <w:rPr>
          <w:rFonts w:cs="Calibri Light" w:asciiTheme="minorEastAsia" w:hAnsiTheme="minorEastAsia"/>
          <w:color w:val="000000"/>
        </w:rPr>
        <w:t>服务商：（</w:t>
      </w:r>
      <w:r>
        <w:rPr>
          <w:rFonts w:cs="Calibri Light" w:asciiTheme="minorEastAsia" w:hAnsiTheme="minorEastAsia"/>
          <w:color w:val="C00000"/>
        </w:rPr>
        <w:t>服务商全称并加盖公章</w:t>
      </w:r>
      <w:r>
        <w:rPr>
          <w:rFonts w:cs="Calibri Light" w:asciiTheme="minorEastAsia" w:hAnsiTheme="minorEastAsia"/>
          <w:color w:val="000000"/>
        </w:rPr>
        <w:t>）</w:t>
      </w:r>
    </w:p>
    <w:p w14:paraId="08BF8ED9">
      <w:pPr>
        <w:spacing w:before="230" w:beforeLines="50" w:line="400" w:lineRule="exact"/>
        <w:jc w:val="both"/>
        <w:rPr>
          <w:rFonts w:cs="Calibri Light" w:asciiTheme="minorEastAsia" w:hAnsiTheme="minorEastAsia"/>
          <w:b/>
          <w:color w:val="000000"/>
        </w:rPr>
      </w:pPr>
    </w:p>
    <w:p w14:paraId="37D7DCFF">
      <w:pPr>
        <w:spacing w:line="400" w:lineRule="exact"/>
        <w:jc w:val="both"/>
        <w:rPr>
          <w:rFonts w:cs="Calibri Light" w:asciiTheme="minorEastAsia" w:hAnsiTheme="minorEastAsia"/>
          <w:i/>
          <w:color w:val="000000"/>
        </w:rPr>
      </w:pPr>
      <w:r>
        <w:rPr>
          <w:rFonts w:cs="Calibri Light" w:asciiTheme="minorEastAsia" w:hAnsiTheme="minorEastAsia"/>
          <w:color w:val="000000"/>
        </w:rPr>
        <w:t>注：</w:t>
      </w:r>
      <w:r>
        <w:rPr>
          <w:rFonts w:hint="eastAsia" w:cs="Calibri Light" w:asciiTheme="minorEastAsia" w:hAnsiTheme="minorEastAsia"/>
          <w:color w:val="000000"/>
        </w:rPr>
        <w:t>一、</w:t>
      </w:r>
      <w:r>
        <w:rPr>
          <w:rFonts w:cs="Calibri Light" w:asciiTheme="minorEastAsia" w:hAnsiTheme="minorEastAsia"/>
          <w:color w:val="000000"/>
        </w:rPr>
        <w:t>折扣=（给采购人的实际售价</w:t>
      </w:r>
      <w:r>
        <w:rPr>
          <w:rFonts w:hint="eastAsia" w:cs="Calibri Light" w:asciiTheme="minorEastAsia" w:hAnsiTheme="minorEastAsia"/>
          <w:color w:val="000000"/>
        </w:rPr>
        <w:t>/挂牌价</w:t>
      </w:r>
      <w:r>
        <w:rPr>
          <w:rFonts w:cs="Calibri Light" w:asciiTheme="minorEastAsia" w:hAnsiTheme="minorEastAsia"/>
          <w:color w:val="000000"/>
        </w:rPr>
        <w:t>）×100%；</w:t>
      </w:r>
      <w:r>
        <w:rPr>
          <w:rFonts w:cs="Calibri Light" w:asciiTheme="minorEastAsia" w:hAnsiTheme="minorEastAsia"/>
          <w:i/>
          <w:color w:val="C00000"/>
        </w:rPr>
        <w:t>友情提醒：请按照此处给定的公式正确理解和计算“折扣”。</w:t>
      </w:r>
    </w:p>
    <w:p w14:paraId="6F45E505">
      <w:pPr>
        <w:spacing w:line="400" w:lineRule="exact"/>
        <w:ind w:firstLine="480" w:firstLineChars="200"/>
        <w:jc w:val="both"/>
        <w:rPr>
          <w:rFonts w:cs="Calibri Light" w:asciiTheme="minorEastAsia" w:hAnsiTheme="minorEastAsia"/>
          <w:color w:val="000000"/>
        </w:rPr>
      </w:pPr>
      <w:r>
        <w:rPr>
          <w:rFonts w:cs="Calibri Light" w:asciiTheme="minorEastAsia" w:hAnsiTheme="minorEastAsia"/>
          <w:color w:val="000000"/>
        </w:rPr>
        <w:t>二、填报A栏时请省略</w:t>
      </w:r>
      <w:r>
        <w:rPr>
          <w:rFonts w:hint="eastAsia" w:cs="Calibri Light" w:asciiTheme="minorEastAsia" w:hAnsiTheme="minorEastAsia"/>
          <w:color w:val="000000"/>
        </w:rPr>
        <w:t>“%”。</w:t>
      </w:r>
      <w:r>
        <w:rPr>
          <w:rFonts w:cs="Calibri Light" w:asciiTheme="minorEastAsia" w:hAnsiTheme="minorEastAsia"/>
          <w:color w:val="000000"/>
        </w:rPr>
        <w:t>比如折扣为n%，则A栏只需填n值；否则，将被视为n%%（即万分之n）</w:t>
      </w:r>
      <w:r>
        <w:rPr>
          <w:rFonts w:hint="eastAsia" w:cs="Calibri Light" w:asciiTheme="minorEastAsia" w:hAnsiTheme="minorEastAsia"/>
          <w:color w:val="000000"/>
        </w:rPr>
        <w:t>。</w:t>
      </w:r>
    </w:p>
    <w:p w14:paraId="676FEE78">
      <w:pPr>
        <w:spacing w:line="400" w:lineRule="exact"/>
        <w:ind w:firstLine="480" w:firstLineChars="200"/>
        <w:jc w:val="both"/>
        <w:rPr>
          <w:rFonts w:cs="Calibri Light" w:asciiTheme="minorEastAsia" w:hAnsiTheme="minorEastAsia"/>
          <w:b/>
          <w:color w:val="000000"/>
        </w:rPr>
      </w:pPr>
      <w:r>
        <w:rPr>
          <w:rFonts w:cs="Calibri Light" w:asciiTheme="minorEastAsia" w:hAnsiTheme="minorEastAsia"/>
          <w:b/>
          <w:color w:val="000000"/>
        </w:rPr>
        <w:t>三、出现以下情况按无效响应处理。</w:t>
      </w:r>
    </w:p>
    <w:p w14:paraId="4C1C62F6">
      <w:pPr>
        <w:adjustRightInd w:val="0"/>
        <w:snapToGrid w:val="0"/>
        <w:spacing w:line="440" w:lineRule="exact"/>
        <w:ind w:firstLine="480" w:firstLineChars="200"/>
        <w:jc w:val="both"/>
        <w:rPr>
          <w:rFonts w:cs="Calibri Light" w:asciiTheme="minorEastAsia" w:hAnsiTheme="minorEastAsia"/>
          <w:color w:val="000000"/>
        </w:rPr>
      </w:pPr>
      <w:r>
        <w:rPr>
          <w:rFonts w:cs="Calibri Light" w:asciiTheme="minorEastAsia" w:hAnsiTheme="minorEastAsia"/>
          <w:color w:val="000000"/>
        </w:rPr>
        <w:t>1、A栏未填写阿拉伯数字，或B栏未填写服务</w:t>
      </w:r>
      <w:r>
        <w:rPr>
          <w:rFonts w:hint="eastAsia" w:cs="Calibri Light" w:asciiTheme="minorEastAsia" w:hAnsiTheme="minorEastAsia"/>
          <w:color w:val="000000"/>
        </w:rPr>
        <w:t>期</w:t>
      </w:r>
      <w:r>
        <w:rPr>
          <w:rFonts w:cs="Calibri Light" w:asciiTheme="minorEastAsia" w:hAnsiTheme="minorEastAsia"/>
          <w:color w:val="000000"/>
        </w:rPr>
        <w:t>；</w:t>
      </w:r>
    </w:p>
    <w:p w14:paraId="780D4A62">
      <w:pPr>
        <w:adjustRightInd w:val="0"/>
        <w:snapToGrid w:val="0"/>
        <w:spacing w:line="440" w:lineRule="exact"/>
        <w:ind w:firstLine="480" w:firstLineChars="200"/>
        <w:jc w:val="both"/>
        <w:rPr>
          <w:rFonts w:cs="Calibri Light" w:asciiTheme="minorEastAsia" w:hAnsiTheme="minorEastAsia"/>
          <w:color w:val="000000"/>
        </w:rPr>
      </w:pPr>
      <w:r>
        <w:rPr>
          <w:rFonts w:cs="Calibri Light" w:asciiTheme="minorEastAsia" w:hAnsiTheme="minorEastAsia"/>
          <w:color w:val="000000"/>
        </w:rPr>
        <w:t>2、</w:t>
      </w:r>
      <w:r>
        <w:rPr>
          <w:rFonts w:hint="eastAsia" w:cs="Calibri Light" w:asciiTheme="minorEastAsia" w:hAnsiTheme="minorEastAsia"/>
          <w:color w:val="000000"/>
        </w:rPr>
        <w:t>“折扣（大写）”</w:t>
      </w:r>
      <w:r>
        <w:rPr>
          <w:rFonts w:cs="Calibri Light" w:asciiTheme="minorEastAsia" w:hAnsiTheme="minorEastAsia"/>
          <w:color w:val="000000"/>
        </w:rPr>
        <w:t>栏未填写大写报价</w:t>
      </w:r>
      <w:r>
        <w:rPr>
          <w:rFonts w:hint="eastAsia" w:cs="Calibri Light" w:asciiTheme="minorEastAsia" w:hAnsiTheme="minorEastAsia"/>
          <w:color w:val="000000"/>
        </w:rPr>
        <w:t>，</w:t>
      </w:r>
      <w:r>
        <w:rPr>
          <w:rFonts w:cs="Calibri Light" w:asciiTheme="minorEastAsia" w:hAnsiTheme="minorEastAsia"/>
          <w:color w:val="000000"/>
        </w:rPr>
        <w:t>或</w:t>
      </w:r>
      <w:r>
        <w:rPr>
          <w:rFonts w:hint="eastAsia" w:cs="Calibri Light" w:asciiTheme="minorEastAsia" w:hAnsiTheme="minorEastAsia"/>
          <w:color w:val="000000"/>
        </w:rPr>
        <w:t>“折扣（大写）”</w:t>
      </w:r>
      <w:r>
        <w:rPr>
          <w:rFonts w:cs="Calibri Light" w:asciiTheme="minorEastAsia" w:hAnsiTheme="minorEastAsia"/>
          <w:color w:val="000000"/>
        </w:rPr>
        <w:t>栏</w:t>
      </w:r>
      <w:r>
        <w:rPr>
          <w:rFonts w:hint="eastAsia" w:cs="Calibri Light" w:asciiTheme="minorEastAsia" w:hAnsiTheme="minorEastAsia"/>
          <w:color w:val="000000"/>
        </w:rPr>
        <w:t>值与</w:t>
      </w:r>
      <w:r>
        <w:rPr>
          <w:rFonts w:cs="Calibri Light" w:asciiTheme="minorEastAsia" w:hAnsiTheme="minorEastAsia"/>
          <w:color w:val="000000"/>
        </w:rPr>
        <w:t>A</w:t>
      </w:r>
      <w:r>
        <w:rPr>
          <w:rFonts w:hint="eastAsia" w:cs="Calibri Light" w:asciiTheme="minorEastAsia" w:hAnsiTheme="minorEastAsia"/>
          <w:color w:val="000000"/>
        </w:rPr>
        <w:t>栏</w:t>
      </w:r>
      <w:r>
        <w:rPr>
          <w:rFonts w:cs="Calibri Light" w:asciiTheme="minorEastAsia" w:hAnsiTheme="minorEastAsia"/>
          <w:color w:val="000000"/>
        </w:rPr>
        <w:t>值不一致</w:t>
      </w:r>
      <w:r>
        <w:rPr>
          <w:rFonts w:hint="eastAsia" w:cs="Calibri Light" w:asciiTheme="minorEastAsia" w:hAnsiTheme="minorEastAsia"/>
          <w:color w:val="000000"/>
        </w:rPr>
        <w:t>。</w:t>
      </w:r>
    </w:p>
    <w:p w14:paraId="30EB9BB2">
      <w:pPr>
        <w:spacing w:line="400" w:lineRule="exact"/>
        <w:jc w:val="both"/>
        <w:rPr>
          <w:rFonts w:cs="Calibri Light" w:asciiTheme="minorEastAsia" w:hAnsiTheme="minorEastAsia"/>
        </w:rPr>
      </w:pPr>
    </w:p>
    <w:p w14:paraId="57B8AE3B">
      <w:pPr>
        <w:adjustRightInd w:val="0"/>
        <w:snapToGrid w:val="0"/>
        <w:spacing w:line="440" w:lineRule="exact"/>
        <w:jc w:val="both"/>
        <w:rPr>
          <w:rFonts w:cs="Calibri Light" w:asciiTheme="minorEastAsia" w:hAnsiTheme="minorEastAsia"/>
          <w:color w:val="000000"/>
        </w:rPr>
        <w:sectPr>
          <w:footerReference r:id="rId22" w:type="default"/>
          <w:footerReference r:id="rId23" w:type="even"/>
          <w:pgSz w:w="16838" w:h="11906" w:orient="landscape"/>
          <w:pgMar w:top="1418" w:right="1418" w:bottom="1418" w:left="1418" w:header="851" w:footer="992" w:gutter="0"/>
          <w:cols w:space="425" w:num="1"/>
          <w:docGrid w:type="linesAndChars" w:linePitch="460" w:charSpace="0"/>
        </w:sectPr>
      </w:pPr>
      <w:r>
        <w:rPr>
          <w:rFonts w:cs="Calibri Light" w:asciiTheme="minorEastAsia" w:hAnsiTheme="minorEastAsia"/>
          <w:color w:val="C00000"/>
        </w:rPr>
        <w:t>特别提醒</w:t>
      </w:r>
      <w:r>
        <w:rPr>
          <w:rFonts w:cs="Calibri Light" w:asciiTheme="minorEastAsia" w:hAnsiTheme="minorEastAsia"/>
          <w:color w:val="000000"/>
        </w:rPr>
        <w:t>：</w:t>
      </w:r>
      <w:r>
        <w:rPr>
          <w:rFonts w:hint="eastAsia" w:cs="Calibri Light" w:asciiTheme="minorEastAsia" w:hAnsiTheme="minorEastAsia"/>
        </w:rPr>
        <w:t>电子</w:t>
      </w:r>
      <w:r>
        <w:rPr>
          <w:rFonts w:cs="Calibri Light" w:asciiTheme="minorEastAsia" w:hAnsiTheme="minorEastAsia"/>
        </w:rPr>
        <w:t>化</w:t>
      </w:r>
      <w:r>
        <w:rPr>
          <w:rFonts w:hint="eastAsia" w:cs="Calibri Light" w:asciiTheme="minorEastAsia" w:hAnsiTheme="minorEastAsia"/>
        </w:rPr>
        <w:t>开标一览表</w:t>
      </w:r>
      <w:r>
        <w:rPr>
          <w:rFonts w:cs="Calibri Light" w:asciiTheme="minorEastAsia" w:hAnsiTheme="minorEastAsia"/>
        </w:rPr>
        <w:t>填写</w:t>
      </w:r>
      <w:r>
        <w:rPr>
          <w:rFonts w:hint="eastAsia" w:cs="Calibri Light" w:asciiTheme="minorEastAsia" w:hAnsiTheme="minorEastAsia"/>
        </w:rPr>
        <w:t>时</w:t>
      </w:r>
      <w:r>
        <w:rPr>
          <w:rFonts w:cs="Calibri Light" w:asciiTheme="minorEastAsia" w:hAnsiTheme="minorEastAsia"/>
        </w:rPr>
        <w:t>，</w:t>
      </w:r>
      <w:r>
        <w:rPr>
          <w:rFonts w:hint="eastAsia" w:cs="Calibri Light" w:asciiTheme="minorEastAsia" w:hAnsiTheme="minorEastAsia"/>
        </w:rPr>
        <w:t>“</w:t>
      </w:r>
      <w:r>
        <w:rPr>
          <w:rFonts w:hint="eastAsia" w:cs="Calibri Light" w:asciiTheme="minorEastAsia" w:hAnsiTheme="minorEastAsia"/>
          <w:color w:val="C00000"/>
        </w:rPr>
        <w:t>投标报价</w:t>
      </w:r>
      <w:r>
        <w:rPr>
          <w:rFonts w:hint="eastAsia" w:cs="Calibri Light" w:asciiTheme="minorEastAsia" w:hAnsiTheme="minorEastAsia"/>
        </w:rPr>
        <w:t>”值</w:t>
      </w:r>
      <w:r>
        <w:rPr>
          <w:rFonts w:cs="Calibri Light" w:asciiTheme="minorEastAsia" w:hAnsiTheme="minorEastAsia"/>
        </w:rPr>
        <w:t>须</w:t>
      </w:r>
      <w:r>
        <w:rPr>
          <w:rFonts w:hint="eastAsia" w:cs="Calibri Light" w:asciiTheme="minorEastAsia" w:hAnsiTheme="minorEastAsia"/>
        </w:rPr>
        <w:t>按</w:t>
      </w:r>
      <w:r>
        <w:rPr>
          <w:rFonts w:hint="eastAsia" w:cs="Calibri Light" w:asciiTheme="minorEastAsia" w:hAnsiTheme="minorEastAsia"/>
          <w:color w:val="C00000"/>
        </w:rPr>
        <w:t>A栏</w:t>
      </w:r>
      <w:r>
        <w:rPr>
          <w:rFonts w:hint="eastAsia" w:cs="Calibri Light" w:asciiTheme="minorEastAsia" w:hAnsiTheme="minorEastAsia"/>
        </w:rPr>
        <w:t>所</w:t>
      </w:r>
      <w:r>
        <w:rPr>
          <w:rFonts w:cs="Calibri Light" w:asciiTheme="minorEastAsia" w:hAnsiTheme="minorEastAsia"/>
        </w:rPr>
        <w:t>填写值</w:t>
      </w:r>
      <w:r>
        <w:rPr>
          <w:rFonts w:hint="eastAsia" w:cs="Calibri Light" w:asciiTheme="minorEastAsia" w:hAnsiTheme="minorEastAsia"/>
        </w:rPr>
        <w:t>填写（仅填写数字，不填写单位）</w:t>
      </w:r>
      <w:r>
        <w:rPr>
          <w:rFonts w:cs="Calibri Light" w:asciiTheme="minorEastAsia" w:hAnsiTheme="minorEastAsia"/>
        </w:rPr>
        <w:t>，</w:t>
      </w:r>
      <w:r>
        <w:rPr>
          <w:rFonts w:hint="eastAsia" w:cs="Calibri Light" w:asciiTheme="minorEastAsia" w:hAnsiTheme="minorEastAsia"/>
        </w:rPr>
        <w:t>若</w:t>
      </w:r>
      <w:r>
        <w:rPr>
          <w:rFonts w:cs="Calibri Light" w:asciiTheme="minorEastAsia" w:hAnsiTheme="minorEastAsia"/>
        </w:rPr>
        <w:t>不按照本规则填写，</w:t>
      </w:r>
      <w:r>
        <w:rPr>
          <w:rFonts w:hint="eastAsia" w:cs="Calibri Light" w:asciiTheme="minorEastAsia" w:hAnsiTheme="minorEastAsia"/>
        </w:rPr>
        <w:t>可能</w:t>
      </w:r>
      <w:r>
        <w:rPr>
          <w:rFonts w:cs="Calibri Light" w:asciiTheme="minorEastAsia" w:hAnsiTheme="minorEastAsia"/>
        </w:rPr>
        <w:t>导致电子化系统无法识别报价，后果自负</w:t>
      </w:r>
      <w:r>
        <w:rPr>
          <w:rFonts w:hint="eastAsia" w:cs="Calibri Light" w:asciiTheme="minorEastAsia" w:hAnsiTheme="minorEastAsia"/>
        </w:rPr>
        <w:t>。</w:t>
      </w:r>
      <w:r>
        <w:t xml:space="preserve"> </w:t>
      </w: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74837B2F">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2249DF91">
      <w:pPr>
        <w:widowControl w:val="0"/>
        <w:spacing w:before="120" w:after="60"/>
      </w:pPr>
      <w:r>
        <w:br w:type="page"/>
      </w:r>
    </w:p>
    <w:p w14:paraId="793BBEE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770AED3A">
      <w:pPr>
        <w:jc w:val="both"/>
        <w:rPr>
          <w:rFonts w:ascii="Calibri" w:hAnsi="Calibri" w:eastAsia="黑体"/>
          <w:kern w:val="28"/>
          <w:sz w:val="28"/>
        </w:rPr>
        <w:sectPr>
          <w:footerReference r:id="rId24" w:type="default"/>
          <w:footerReference r:id="rId25"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6" w:type="default"/>
          <w:footerReference r:id="rId27"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6E135A1">
      <w:pPr>
        <w:outlineLvl w:val="2"/>
        <w:rPr>
          <w:rFonts w:asciiTheme="minorEastAsia" w:hAnsiTheme="minorEastAsia"/>
        </w:rPr>
      </w:pPr>
      <w:r>
        <w:rPr>
          <w:rFonts w:asciiTheme="minorEastAsia" w:hAnsiTheme="minorEastAsia"/>
        </w:rPr>
        <w:t>（一）技术（服务）条款响应</w:t>
      </w:r>
    </w:p>
    <w:p w14:paraId="6A34FB30">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3C7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D9559D3">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pPr>
              <w:jc w:val="center"/>
              <w:rPr>
                <w:rFonts w:asciiTheme="minorEastAsia" w:hAnsiTheme="minorEastAsia"/>
                <w:sz w:val="21"/>
                <w:szCs w:val="21"/>
              </w:rPr>
            </w:pPr>
            <w:r>
              <w:rPr>
                <w:rFonts w:asciiTheme="minorEastAsia" w:hAnsiTheme="minorEastAsia"/>
                <w:sz w:val="21"/>
                <w:szCs w:val="21"/>
              </w:rPr>
              <w:t>响应说明</w:t>
            </w:r>
          </w:p>
        </w:tc>
      </w:tr>
      <w:tr w14:paraId="685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3ABD1459">
            <w:pPr>
              <w:rPr>
                <w:rFonts w:asciiTheme="minorEastAsia" w:hAnsiTheme="minorEastAsia"/>
                <w:sz w:val="21"/>
                <w:szCs w:val="21"/>
              </w:rPr>
            </w:pPr>
          </w:p>
        </w:tc>
        <w:tc>
          <w:tcPr>
            <w:tcW w:w="3207" w:type="dxa"/>
            <w:shd w:val="clear" w:color="auto" w:fill="auto"/>
            <w:vAlign w:val="center"/>
          </w:tcPr>
          <w:p w14:paraId="02C26A36">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E853BF7">
            <w:pPr>
              <w:rPr>
                <w:rFonts w:asciiTheme="minorEastAsia" w:hAnsiTheme="minorEastAsia"/>
                <w:sz w:val="21"/>
                <w:szCs w:val="21"/>
              </w:rPr>
            </w:pPr>
          </w:p>
        </w:tc>
      </w:tr>
      <w:tr w14:paraId="54B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B384EB5">
            <w:pPr>
              <w:jc w:val="center"/>
              <w:rPr>
                <w:rFonts w:asciiTheme="minorEastAsia" w:hAnsiTheme="minorEastAsia"/>
                <w:sz w:val="21"/>
                <w:szCs w:val="21"/>
              </w:rPr>
            </w:pPr>
          </w:p>
        </w:tc>
        <w:tc>
          <w:tcPr>
            <w:tcW w:w="3207" w:type="dxa"/>
            <w:shd w:val="clear" w:color="auto" w:fill="auto"/>
            <w:vAlign w:val="center"/>
          </w:tcPr>
          <w:p w14:paraId="6A307581">
            <w:pPr>
              <w:rPr>
                <w:rFonts w:asciiTheme="minorEastAsia" w:hAnsiTheme="minorEastAsia"/>
                <w:sz w:val="21"/>
                <w:szCs w:val="21"/>
              </w:rPr>
            </w:pPr>
          </w:p>
        </w:tc>
        <w:tc>
          <w:tcPr>
            <w:tcW w:w="3351" w:type="dxa"/>
            <w:shd w:val="clear" w:color="auto" w:fill="auto"/>
            <w:vAlign w:val="center"/>
          </w:tcPr>
          <w:p w14:paraId="6018CA86">
            <w:pPr>
              <w:rPr>
                <w:rFonts w:asciiTheme="minorEastAsia" w:hAnsiTheme="minorEastAsia"/>
                <w:sz w:val="21"/>
                <w:szCs w:val="21"/>
              </w:rPr>
            </w:pPr>
          </w:p>
        </w:tc>
        <w:tc>
          <w:tcPr>
            <w:tcW w:w="1798" w:type="dxa"/>
            <w:shd w:val="clear" w:color="auto" w:fill="auto"/>
            <w:vAlign w:val="center"/>
          </w:tcPr>
          <w:p w14:paraId="321E6FC4">
            <w:pPr>
              <w:rPr>
                <w:rFonts w:asciiTheme="minorEastAsia" w:hAnsiTheme="minorEastAsia"/>
                <w:sz w:val="21"/>
                <w:szCs w:val="21"/>
              </w:rPr>
            </w:pPr>
          </w:p>
        </w:tc>
      </w:tr>
      <w:tr w14:paraId="254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0172B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pPr>
              <w:rPr>
                <w:rFonts w:asciiTheme="minorEastAsia" w:hAnsiTheme="minorEastAsia"/>
                <w:sz w:val="21"/>
                <w:szCs w:val="21"/>
              </w:rPr>
            </w:pPr>
            <w:r>
              <w:rPr>
                <w:rFonts w:asciiTheme="minorEastAsia" w:hAnsiTheme="minorEastAsia"/>
                <w:sz w:val="21"/>
                <w:szCs w:val="21"/>
              </w:rPr>
              <w:t>1、黑色，打印量1500页……</w:t>
            </w:r>
          </w:p>
          <w:p w14:paraId="7487281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pPr>
              <w:jc w:val="center"/>
              <w:rPr>
                <w:rFonts w:asciiTheme="minorEastAsia" w:hAnsiTheme="minorEastAsia"/>
                <w:sz w:val="21"/>
                <w:szCs w:val="21"/>
              </w:rPr>
            </w:pPr>
            <w:r>
              <w:rPr>
                <w:rFonts w:asciiTheme="minorEastAsia" w:hAnsiTheme="minorEastAsia"/>
                <w:sz w:val="21"/>
                <w:szCs w:val="21"/>
              </w:rPr>
              <w:t>符合</w:t>
            </w:r>
          </w:p>
        </w:tc>
      </w:tr>
      <w:tr w14:paraId="10E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A0B181">
            <w:pPr>
              <w:jc w:val="center"/>
              <w:rPr>
                <w:rFonts w:asciiTheme="minorEastAsia" w:hAnsiTheme="minorEastAsia"/>
                <w:sz w:val="21"/>
                <w:szCs w:val="21"/>
              </w:rPr>
            </w:pPr>
          </w:p>
        </w:tc>
        <w:tc>
          <w:tcPr>
            <w:tcW w:w="3207" w:type="dxa"/>
            <w:shd w:val="clear" w:color="auto" w:fill="auto"/>
            <w:vAlign w:val="center"/>
          </w:tcPr>
          <w:p w14:paraId="62C69207">
            <w:pPr>
              <w:rPr>
                <w:rFonts w:asciiTheme="minorEastAsia" w:hAnsiTheme="minorEastAsia"/>
                <w:sz w:val="21"/>
                <w:szCs w:val="21"/>
              </w:rPr>
            </w:pPr>
          </w:p>
        </w:tc>
        <w:tc>
          <w:tcPr>
            <w:tcW w:w="3351" w:type="dxa"/>
            <w:shd w:val="clear" w:color="auto" w:fill="auto"/>
            <w:vAlign w:val="center"/>
          </w:tcPr>
          <w:p w14:paraId="76DD1385">
            <w:pPr>
              <w:rPr>
                <w:rFonts w:asciiTheme="minorEastAsia" w:hAnsiTheme="minorEastAsia"/>
                <w:sz w:val="21"/>
                <w:szCs w:val="21"/>
              </w:rPr>
            </w:pPr>
          </w:p>
        </w:tc>
        <w:tc>
          <w:tcPr>
            <w:tcW w:w="1798" w:type="dxa"/>
            <w:shd w:val="clear" w:color="auto" w:fill="auto"/>
            <w:vAlign w:val="center"/>
          </w:tcPr>
          <w:p w14:paraId="1A42D49F">
            <w:pPr>
              <w:rPr>
                <w:rFonts w:asciiTheme="minorEastAsia" w:hAnsiTheme="minorEastAsia"/>
                <w:sz w:val="21"/>
                <w:szCs w:val="21"/>
              </w:rPr>
            </w:pPr>
          </w:p>
        </w:tc>
      </w:tr>
      <w:tr w14:paraId="775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7E24C7C">
            <w:pPr>
              <w:jc w:val="center"/>
              <w:rPr>
                <w:rFonts w:asciiTheme="minorEastAsia" w:hAnsiTheme="minorEastAsia"/>
                <w:sz w:val="21"/>
                <w:szCs w:val="21"/>
              </w:rPr>
            </w:pPr>
          </w:p>
        </w:tc>
        <w:tc>
          <w:tcPr>
            <w:tcW w:w="3207" w:type="dxa"/>
            <w:shd w:val="clear" w:color="auto" w:fill="auto"/>
            <w:vAlign w:val="center"/>
          </w:tcPr>
          <w:p w14:paraId="0F9CF6A9">
            <w:pPr>
              <w:rPr>
                <w:rFonts w:asciiTheme="minorEastAsia" w:hAnsiTheme="minorEastAsia"/>
                <w:sz w:val="21"/>
                <w:szCs w:val="21"/>
              </w:rPr>
            </w:pPr>
          </w:p>
        </w:tc>
        <w:tc>
          <w:tcPr>
            <w:tcW w:w="3351" w:type="dxa"/>
            <w:shd w:val="clear" w:color="auto" w:fill="auto"/>
            <w:vAlign w:val="center"/>
          </w:tcPr>
          <w:p w14:paraId="13AF5B0F">
            <w:pPr>
              <w:rPr>
                <w:rFonts w:asciiTheme="minorEastAsia" w:hAnsiTheme="minorEastAsia"/>
                <w:sz w:val="21"/>
                <w:szCs w:val="21"/>
              </w:rPr>
            </w:pPr>
          </w:p>
        </w:tc>
        <w:tc>
          <w:tcPr>
            <w:tcW w:w="1798" w:type="dxa"/>
            <w:shd w:val="clear" w:color="auto" w:fill="auto"/>
            <w:vAlign w:val="center"/>
          </w:tcPr>
          <w:p w14:paraId="494501A0">
            <w:pPr>
              <w:rPr>
                <w:rFonts w:asciiTheme="minorEastAsia" w:hAnsiTheme="minorEastAsia"/>
                <w:sz w:val="21"/>
                <w:szCs w:val="21"/>
              </w:rPr>
            </w:pPr>
          </w:p>
        </w:tc>
      </w:tr>
      <w:tr w14:paraId="583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7286165">
            <w:pPr>
              <w:jc w:val="center"/>
              <w:rPr>
                <w:rFonts w:asciiTheme="minorEastAsia" w:hAnsiTheme="minorEastAsia"/>
                <w:sz w:val="21"/>
                <w:szCs w:val="21"/>
              </w:rPr>
            </w:pPr>
          </w:p>
        </w:tc>
        <w:tc>
          <w:tcPr>
            <w:tcW w:w="3207" w:type="dxa"/>
            <w:shd w:val="clear" w:color="auto" w:fill="auto"/>
            <w:vAlign w:val="center"/>
          </w:tcPr>
          <w:p w14:paraId="532D2C7E">
            <w:pPr>
              <w:rPr>
                <w:rFonts w:asciiTheme="minorEastAsia" w:hAnsiTheme="minorEastAsia"/>
                <w:sz w:val="21"/>
                <w:szCs w:val="21"/>
              </w:rPr>
            </w:pPr>
          </w:p>
        </w:tc>
        <w:tc>
          <w:tcPr>
            <w:tcW w:w="3351" w:type="dxa"/>
            <w:shd w:val="clear" w:color="auto" w:fill="auto"/>
            <w:vAlign w:val="center"/>
          </w:tcPr>
          <w:p w14:paraId="0710BE96">
            <w:pPr>
              <w:rPr>
                <w:rFonts w:asciiTheme="minorEastAsia" w:hAnsiTheme="minorEastAsia"/>
                <w:sz w:val="21"/>
                <w:szCs w:val="21"/>
              </w:rPr>
            </w:pPr>
          </w:p>
        </w:tc>
        <w:tc>
          <w:tcPr>
            <w:tcW w:w="1798" w:type="dxa"/>
            <w:shd w:val="clear" w:color="auto" w:fill="auto"/>
            <w:vAlign w:val="center"/>
          </w:tcPr>
          <w:p w14:paraId="286C27AE">
            <w:pPr>
              <w:rPr>
                <w:rFonts w:asciiTheme="minorEastAsia" w:hAnsiTheme="minorEastAsia"/>
                <w:sz w:val="21"/>
                <w:szCs w:val="21"/>
              </w:rPr>
            </w:pPr>
          </w:p>
        </w:tc>
      </w:tr>
      <w:tr w14:paraId="4F2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E139C85">
            <w:pPr>
              <w:jc w:val="center"/>
              <w:rPr>
                <w:rFonts w:asciiTheme="minorEastAsia" w:hAnsiTheme="minorEastAsia"/>
                <w:sz w:val="21"/>
                <w:szCs w:val="21"/>
              </w:rPr>
            </w:pPr>
          </w:p>
        </w:tc>
        <w:tc>
          <w:tcPr>
            <w:tcW w:w="3207" w:type="dxa"/>
            <w:shd w:val="clear" w:color="auto" w:fill="auto"/>
            <w:vAlign w:val="center"/>
          </w:tcPr>
          <w:p w14:paraId="01689E32">
            <w:pPr>
              <w:rPr>
                <w:rFonts w:asciiTheme="minorEastAsia" w:hAnsiTheme="minorEastAsia"/>
                <w:sz w:val="21"/>
                <w:szCs w:val="21"/>
              </w:rPr>
            </w:pPr>
          </w:p>
        </w:tc>
        <w:tc>
          <w:tcPr>
            <w:tcW w:w="3351" w:type="dxa"/>
            <w:shd w:val="clear" w:color="auto" w:fill="auto"/>
            <w:vAlign w:val="center"/>
          </w:tcPr>
          <w:p w14:paraId="25898BA7">
            <w:pPr>
              <w:rPr>
                <w:rFonts w:asciiTheme="minorEastAsia" w:hAnsiTheme="minorEastAsia"/>
                <w:sz w:val="21"/>
                <w:szCs w:val="21"/>
              </w:rPr>
            </w:pPr>
          </w:p>
        </w:tc>
        <w:tc>
          <w:tcPr>
            <w:tcW w:w="1798" w:type="dxa"/>
            <w:shd w:val="clear" w:color="auto" w:fill="auto"/>
            <w:vAlign w:val="center"/>
          </w:tcPr>
          <w:p w14:paraId="28BF54F2">
            <w:pPr>
              <w:rPr>
                <w:rFonts w:asciiTheme="minorEastAsia" w:hAnsiTheme="minorEastAsia"/>
                <w:sz w:val="21"/>
                <w:szCs w:val="21"/>
              </w:rPr>
            </w:pPr>
          </w:p>
        </w:tc>
      </w:tr>
      <w:tr w14:paraId="37E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E886D83">
            <w:pPr>
              <w:jc w:val="center"/>
              <w:rPr>
                <w:rFonts w:asciiTheme="minorEastAsia" w:hAnsiTheme="minorEastAsia"/>
                <w:sz w:val="21"/>
                <w:szCs w:val="21"/>
              </w:rPr>
            </w:pPr>
          </w:p>
        </w:tc>
        <w:tc>
          <w:tcPr>
            <w:tcW w:w="3207" w:type="dxa"/>
            <w:shd w:val="clear" w:color="auto" w:fill="auto"/>
            <w:vAlign w:val="center"/>
          </w:tcPr>
          <w:p w14:paraId="42DDFABB">
            <w:pPr>
              <w:rPr>
                <w:rFonts w:asciiTheme="minorEastAsia" w:hAnsiTheme="minorEastAsia"/>
                <w:sz w:val="21"/>
                <w:szCs w:val="21"/>
              </w:rPr>
            </w:pPr>
          </w:p>
        </w:tc>
        <w:tc>
          <w:tcPr>
            <w:tcW w:w="3351" w:type="dxa"/>
            <w:shd w:val="clear" w:color="auto" w:fill="auto"/>
            <w:vAlign w:val="center"/>
          </w:tcPr>
          <w:p w14:paraId="58E89DFE">
            <w:pPr>
              <w:rPr>
                <w:rFonts w:asciiTheme="minorEastAsia" w:hAnsiTheme="minorEastAsia"/>
                <w:sz w:val="21"/>
                <w:szCs w:val="21"/>
              </w:rPr>
            </w:pPr>
          </w:p>
        </w:tc>
        <w:tc>
          <w:tcPr>
            <w:tcW w:w="1798" w:type="dxa"/>
            <w:shd w:val="clear" w:color="auto" w:fill="auto"/>
            <w:vAlign w:val="center"/>
          </w:tcPr>
          <w:p w14:paraId="6F01ECBE">
            <w:pPr>
              <w:rPr>
                <w:rFonts w:asciiTheme="minorEastAsia" w:hAnsiTheme="minorEastAsia"/>
                <w:sz w:val="21"/>
                <w:szCs w:val="21"/>
              </w:rPr>
            </w:pPr>
          </w:p>
        </w:tc>
      </w:tr>
      <w:tr w14:paraId="1ED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51AAF03">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6EBB5BE6">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pPr>
        <w:rPr>
          <w:rFonts w:asciiTheme="minorEastAsia" w:hAnsiTheme="minorEastAsia"/>
        </w:rPr>
      </w:pPr>
    </w:p>
    <w:p w14:paraId="77EAE1D6">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14:paraId="3309612C">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09E19919">
      <w:pPr>
        <w:rPr>
          <w:rFonts w:asciiTheme="minorEastAsia" w:hAnsiTheme="minorEastAsia"/>
        </w:rPr>
      </w:pPr>
      <w:r>
        <w:rPr>
          <w:rFonts w:hint="eastAsia" w:asciiTheme="minorEastAsia" w:hAnsiTheme="minorEastAsia"/>
        </w:rPr>
        <w:t>1．管理制度</w:t>
      </w:r>
    </w:p>
    <w:p w14:paraId="2EBB0BD4">
      <w:pPr>
        <w:rPr>
          <w:rFonts w:asciiTheme="minorEastAsia" w:hAnsiTheme="minorEastAsia"/>
        </w:rPr>
      </w:pPr>
    </w:p>
    <w:p w14:paraId="58C1A340">
      <w:pPr>
        <w:rPr>
          <w:rFonts w:asciiTheme="minorEastAsia" w:hAnsiTheme="minorEastAsia"/>
        </w:rPr>
      </w:pPr>
      <w:r>
        <w:rPr>
          <w:rFonts w:asciiTheme="minorEastAsia" w:hAnsiTheme="minorEastAsia"/>
        </w:rPr>
        <w:t>2</w:t>
      </w:r>
      <w:r>
        <w:rPr>
          <w:rFonts w:hint="eastAsia" w:asciiTheme="minorEastAsia" w:hAnsiTheme="minorEastAsia"/>
        </w:rPr>
        <w:t>．服务方案</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sz w:val="21"/>
                <w:szCs w:val="21"/>
              </w:rPr>
              <w:t>磋商文件</w:t>
            </w:r>
          </w:p>
        </w:tc>
        <w:tc>
          <w:tcPr>
            <w:tcW w:w="3432" w:type="dxa"/>
            <w:shd w:val="clear" w:color="auto" w:fill="F1F1F1" w:themeFill="background1" w:themeFillShade="F2"/>
            <w:vAlign w:val="center"/>
          </w:tcPr>
          <w:p w14:paraId="75A1598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7CA100E9">
      <w:pPr>
        <w:rPr>
          <w:i/>
          <w:color w:val="C00000"/>
        </w:rPr>
      </w:pPr>
    </w:p>
    <w:p w14:paraId="47ACE9F3">
      <w:pPr>
        <w:jc w:val="center"/>
        <w:rPr>
          <w:rFonts w:cstheme="minorHAnsi"/>
          <w:b/>
        </w:rPr>
      </w:pPr>
      <w:r>
        <w:rPr>
          <w:rFonts w:cstheme="minorHAnsi"/>
          <w:b/>
        </w:rPr>
        <w:t>2</w:t>
      </w:r>
      <w:r>
        <w:rPr>
          <w:rFonts w:hint="eastAsia" w:cstheme="minorHAnsi"/>
          <w:b/>
        </w:rPr>
        <w:t>.商务评审部分方案</w:t>
      </w:r>
    </w:p>
    <w:p w14:paraId="32EFF2EE">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pPr>
        <w:rPr>
          <w:rFonts w:asciiTheme="minorEastAsia" w:hAnsiTheme="minorEastAsia" w:cstheme="minorHAnsi"/>
          <w:b/>
          <w:color w:val="000000"/>
          <w:kern w:val="24"/>
        </w:rPr>
      </w:pPr>
    </w:p>
    <w:p w14:paraId="31119CD0">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．项目经理</w:t>
      </w:r>
    </w:p>
    <w:p w14:paraId="0BB9A80A">
      <w:pPr>
        <w:rPr>
          <w:rFonts w:asciiTheme="minorEastAsia" w:hAnsiTheme="minorEastAsia" w:cstheme="minorHAnsi"/>
          <w:b/>
          <w:color w:val="000000"/>
          <w:kern w:val="24"/>
        </w:rPr>
      </w:pPr>
    </w:p>
    <w:p w14:paraId="0C2EF47B">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．营业网点</w:t>
      </w:r>
      <w:r>
        <w:rPr>
          <w:rFonts w:asciiTheme="minorEastAsia" w:hAnsiTheme="minorEastAsia" w:cstheme="minorHAnsi"/>
          <w:b/>
          <w:color w:val="000000"/>
          <w:kern w:val="24"/>
        </w:rPr>
        <w:t>布置</w:t>
      </w:r>
    </w:p>
    <w:p w14:paraId="7AC7B290">
      <w:pPr>
        <w:rPr>
          <w:rFonts w:asciiTheme="minorEastAsia" w:hAnsiTheme="minorEastAsia" w:cstheme="minorHAnsi"/>
          <w:b/>
          <w:color w:val="000000"/>
          <w:kern w:val="24"/>
        </w:rPr>
      </w:pPr>
    </w:p>
    <w:p w14:paraId="21883646">
      <w:pPr>
        <w:rPr>
          <w:rFonts w:asciiTheme="minorEastAsia" w:hAnsiTheme="minorEastAsia" w:cstheme="minorHAnsi"/>
          <w:b/>
          <w:color w:val="000000"/>
          <w:kern w:val="24"/>
        </w:rPr>
      </w:pPr>
      <w:r>
        <w:rPr>
          <w:rFonts w:hint="eastAsia" w:asciiTheme="minorEastAsia" w:hAnsiTheme="minorEastAsia" w:cstheme="minorHAnsi"/>
          <w:b/>
          <w:color w:val="000000"/>
          <w:kern w:val="24"/>
        </w:rPr>
        <w:t>3．加油机数量</w:t>
      </w:r>
    </w:p>
    <w:p w14:paraId="0196E99F">
      <w:pPr>
        <w:rPr>
          <w:rFonts w:asciiTheme="minorEastAsia" w:hAnsiTheme="minorEastAsia" w:cstheme="minorHAnsi"/>
          <w:b/>
          <w:color w:val="000000"/>
          <w:kern w:val="24"/>
        </w:rPr>
      </w:pPr>
    </w:p>
    <w:p w14:paraId="49827016">
      <w:pPr>
        <w:rPr>
          <w:rFonts w:asciiTheme="minorEastAsia" w:hAnsiTheme="minorEastAsia" w:cstheme="minorHAnsi"/>
          <w:b/>
          <w:color w:val="000000"/>
          <w:kern w:val="24"/>
        </w:rPr>
      </w:pPr>
      <w:r>
        <w:rPr>
          <w:rFonts w:asciiTheme="minorEastAsia" w:hAnsiTheme="minorEastAsia" w:cstheme="minorHAnsi"/>
          <w:b/>
          <w:color w:val="000000"/>
          <w:kern w:val="24"/>
        </w:rPr>
        <w:t>4</w:t>
      </w:r>
      <w:r>
        <w:rPr>
          <w:rFonts w:hint="eastAsia" w:asciiTheme="minorEastAsia" w:hAnsiTheme="minorEastAsia" w:cstheme="minorHAnsi"/>
          <w:b/>
          <w:color w:val="000000"/>
          <w:kern w:val="24"/>
        </w:rPr>
        <w:t>．业绩</w:t>
      </w: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8" w:type="default"/>
          <w:footerReference r:id="rId29"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1"/>
        <w:ind w:firstLine="480"/>
        <w:rPr>
          <w:i/>
          <w:color w:val="7030A0"/>
        </w:rPr>
      </w:pPr>
      <w:r>
        <w:rPr>
          <w:i/>
          <w:color w:val="7030A0"/>
        </w:rPr>
        <w:t>未签署下列承诺书的，将被视为无效响应，其责任由供应商自行承担。</w:t>
      </w:r>
    </w:p>
    <w:p w14:paraId="409E63E0">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76A5D0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668052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63ECBA9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CB8922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5FCB3D60">
      <w:pPr>
        <w:ind w:firstLine="480" w:firstLineChars="200"/>
        <w:jc w:val="both"/>
        <w:rPr>
          <w:rFonts w:ascii="Calibri" w:hAnsi="Calibri" w:eastAsia="宋体" w:cstheme="minorHAnsi"/>
          <w:color w:val="000000"/>
          <w:kern w:val="24"/>
        </w:rPr>
      </w:pPr>
    </w:p>
    <w:p w14:paraId="12FE84F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493F993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667F1DB1">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48D38801">
      <w:pPr>
        <w:rPr>
          <w:rFonts w:ascii="Calibri Light" w:hAnsi="Calibri Light" w:eastAsia="华文仿宋" w:cs="Calibri Light"/>
          <w:color w:val="000000"/>
          <w:sz w:val="28"/>
          <w:szCs w:val="28"/>
        </w:rPr>
        <w:sectPr>
          <w:footerReference r:id="rId30" w:type="default"/>
          <w:footerReference r:id="rId31" w:type="even"/>
          <w:pgSz w:w="11906" w:h="16838"/>
          <w:pgMar w:top="1418" w:right="1418" w:bottom="1418" w:left="1418" w:header="851" w:footer="992" w:gutter="0"/>
          <w:cols w:space="425" w:num="1"/>
          <w:docGrid w:type="linesAndChars" w:linePitch="460" w:charSpace="0"/>
        </w:sectPr>
      </w:pPr>
    </w:p>
    <w:p w14:paraId="78DA254E">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14:paraId="154F3E51">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14:paraId="36499E24">
      <w:pPr>
        <w:ind w:firstLine="480" w:firstLineChars="200"/>
        <w:jc w:val="both"/>
      </w:pPr>
      <w:r>
        <w:rPr>
          <w:rFonts w:hint="eastAsia"/>
        </w:rPr>
        <w:t>成交供应商享受了政府采购优惠政策的，将随成交结果公开其声明函\证明函，接受社会监督。</w:t>
      </w:r>
    </w:p>
    <w:p w14:paraId="63D620A3">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78BD3DE4">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43F2C4E8">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7005AC0">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3C4953CE">
      <w:pPr>
        <w:tabs>
          <w:tab w:val="left" w:pos="5670"/>
        </w:tabs>
        <w:ind w:firstLine="480" w:firstLineChars="200"/>
        <w:jc w:val="both"/>
        <w:rPr>
          <w:rFonts w:cstheme="minorHAnsi"/>
          <w:b/>
          <w:color w:val="C00000"/>
        </w:rPr>
      </w:pPr>
    </w:p>
    <w:p w14:paraId="6420DDCD">
      <w:pPr>
        <w:tabs>
          <w:tab w:val="left" w:pos="5670"/>
        </w:tabs>
        <w:jc w:val="center"/>
        <w:rPr>
          <w:rFonts w:cs="Calibri Light"/>
          <w:b/>
          <w:color w:val="1F4E79"/>
          <w:sz w:val="28"/>
          <w:szCs w:val="36"/>
        </w:rPr>
      </w:pPr>
      <w:r>
        <w:rPr>
          <w:rFonts w:cs="Calibri Light"/>
          <w:b/>
          <w:color w:val="1F4E79"/>
          <w:sz w:val="28"/>
          <w:szCs w:val="36"/>
        </w:rPr>
        <w:t>『中小企业声明函』（服务类格式）</w:t>
      </w:r>
    </w:p>
    <w:p w14:paraId="5BE9E4C0">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36F98D71">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1EB3ECEA">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77947DB5">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16A78B82">
      <w:pPr>
        <w:ind w:firstLine="480" w:firstLineChars="200"/>
        <w:jc w:val="both"/>
      </w:pPr>
      <w:r>
        <w:t>以上企业，不属于大企业的分支机构，不存在控股股东为大企业的情形，也不存在与大企业的负责人为同一人的情形。</w:t>
      </w:r>
    </w:p>
    <w:p w14:paraId="349FAC5B">
      <w:pPr>
        <w:ind w:firstLine="480" w:firstLineChars="200"/>
        <w:jc w:val="both"/>
      </w:pPr>
      <w:r>
        <w:t>本企业对上述声明内容的真实性负责。如有虚假，将依法承担相应责任。</w:t>
      </w:r>
    </w:p>
    <w:p w14:paraId="6CA3E663">
      <w:pPr>
        <w:ind w:firstLine="480" w:firstLineChars="200"/>
        <w:jc w:val="both"/>
      </w:pPr>
    </w:p>
    <w:p w14:paraId="66CA612B">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023BA8A3">
      <w:pPr>
        <w:tabs>
          <w:tab w:val="left" w:pos="5670"/>
        </w:tabs>
        <w:ind w:firstLine="480" w:firstLineChars="200"/>
        <w:jc w:val="both"/>
        <w:rPr>
          <w:rFonts w:cs="Calibri Light"/>
          <w:color w:val="000000"/>
        </w:rPr>
      </w:pPr>
      <w:r>
        <w:rPr>
          <w:rFonts w:cs="Calibri Light"/>
          <w:color w:val="000000"/>
        </w:rPr>
        <w:t>日　期：　　年　月　日</w:t>
      </w:r>
    </w:p>
    <w:p w14:paraId="6EF6D66A">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DFD68B6">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5136CF1D">
      <w:pPr>
        <w:jc w:val="center"/>
        <w:rPr>
          <w:rFonts w:cs="Calibri Light"/>
          <w:b/>
          <w:color w:val="1F4E79"/>
          <w:sz w:val="28"/>
          <w:szCs w:val="36"/>
        </w:rPr>
      </w:pPr>
      <w:r>
        <w:rPr>
          <w:rFonts w:cs="Calibri Light"/>
          <w:b/>
          <w:color w:val="1F4E79"/>
          <w:sz w:val="28"/>
          <w:szCs w:val="36"/>
        </w:rPr>
        <w:t>『残疾人福利性单位声明函』（格式）</w:t>
      </w:r>
    </w:p>
    <w:p w14:paraId="3EB47A5B">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CC6C156">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FF3D6A2">
      <w:pPr>
        <w:ind w:firstLine="480" w:firstLineChars="200"/>
        <w:jc w:val="both"/>
        <w:rPr>
          <w:rFonts w:cstheme="minorHAnsi"/>
          <w:color w:val="000000"/>
        </w:rPr>
      </w:pPr>
    </w:p>
    <w:p w14:paraId="287DEF40">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0328D65">
      <w:pPr>
        <w:tabs>
          <w:tab w:val="left" w:pos="5670"/>
        </w:tabs>
        <w:ind w:firstLine="480" w:firstLineChars="200"/>
        <w:jc w:val="both"/>
        <w:rPr>
          <w:rFonts w:cstheme="minorHAnsi"/>
          <w:color w:val="000000"/>
        </w:rPr>
      </w:pPr>
      <w:r>
        <w:rPr>
          <w:rFonts w:cstheme="minorHAnsi"/>
          <w:color w:val="000000"/>
        </w:rPr>
        <w:t>日　期：　　年　月　日</w:t>
      </w:r>
    </w:p>
    <w:p w14:paraId="4E6717EF">
      <w:pPr>
        <w:tabs>
          <w:tab w:val="left" w:pos="5670"/>
        </w:tabs>
        <w:jc w:val="both"/>
        <w:rPr>
          <w:rFonts w:cstheme="minorHAnsi"/>
          <w:color w:val="000000"/>
        </w:rPr>
      </w:pPr>
    </w:p>
    <w:p w14:paraId="0E8C8EF5">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34351D54">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685BC729">
      <w:pPr>
        <w:jc w:val="center"/>
        <w:rPr>
          <w:rFonts w:cs="Calibri Light"/>
          <w:b/>
          <w:color w:val="1F4E79"/>
          <w:sz w:val="28"/>
          <w:szCs w:val="36"/>
        </w:rPr>
      </w:pPr>
      <w:r>
        <w:rPr>
          <w:rFonts w:cs="Calibri Light"/>
          <w:b/>
          <w:color w:val="1F4E79"/>
          <w:sz w:val="28"/>
          <w:szCs w:val="36"/>
        </w:rPr>
        <w:t>『监狱企业证明函』</w:t>
      </w:r>
    </w:p>
    <w:p w14:paraId="23F46BFA">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2" w:type="default"/>
      <w:footerReference r:id="rId33"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7"/>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B3DE">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2930">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57D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DD9E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038A">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9098">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9C092">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B75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6843">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6E4B">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B477">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3427">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FE2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0A2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E7A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E24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63B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3B99">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F30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11E4">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8B4E">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9F6D">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8"/>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西安市中心血站车辆加油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629F">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西安市中心血站车辆加油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西安市中心血站车辆加油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4A3A"/>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0A40"/>
    <w:rsid w:val="0008209C"/>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6766"/>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28FE"/>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69C6"/>
    <w:rsid w:val="001A7BDA"/>
    <w:rsid w:val="001B0699"/>
    <w:rsid w:val="001B06CE"/>
    <w:rsid w:val="001B0C7B"/>
    <w:rsid w:val="001B2019"/>
    <w:rsid w:val="001B4066"/>
    <w:rsid w:val="001B49FD"/>
    <w:rsid w:val="001B5302"/>
    <w:rsid w:val="001B6638"/>
    <w:rsid w:val="001C0A0A"/>
    <w:rsid w:val="001C0BA3"/>
    <w:rsid w:val="001C0BBD"/>
    <w:rsid w:val="001C25ED"/>
    <w:rsid w:val="001C4AFC"/>
    <w:rsid w:val="001C5BE5"/>
    <w:rsid w:val="001C607B"/>
    <w:rsid w:val="001C732E"/>
    <w:rsid w:val="001C77C8"/>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663"/>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8492C"/>
    <w:rsid w:val="00291777"/>
    <w:rsid w:val="0029384E"/>
    <w:rsid w:val="00294428"/>
    <w:rsid w:val="002961E2"/>
    <w:rsid w:val="00296372"/>
    <w:rsid w:val="002966F0"/>
    <w:rsid w:val="00296C23"/>
    <w:rsid w:val="00297703"/>
    <w:rsid w:val="00297866"/>
    <w:rsid w:val="002A26D5"/>
    <w:rsid w:val="002A3B25"/>
    <w:rsid w:val="002A4387"/>
    <w:rsid w:val="002A5296"/>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0A7D"/>
    <w:rsid w:val="002C4511"/>
    <w:rsid w:val="002C45C3"/>
    <w:rsid w:val="002C4DAE"/>
    <w:rsid w:val="002C6442"/>
    <w:rsid w:val="002C6F4A"/>
    <w:rsid w:val="002D2580"/>
    <w:rsid w:val="002D2B5F"/>
    <w:rsid w:val="002D327B"/>
    <w:rsid w:val="002D41DD"/>
    <w:rsid w:val="002D5205"/>
    <w:rsid w:val="002D65D4"/>
    <w:rsid w:val="002D6C9E"/>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9FF"/>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78D"/>
    <w:rsid w:val="00346A88"/>
    <w:rsid w:val="00346D43"/>
    <w:rsid w:val="00346DCB"/>
    <w:rsid w:val="00346E2B"/>
    <w:rsid w:val="0035004F"/>
    <w:rsid w:val="003509CA"/>
    <w:rsid w:val="003511FC"/>
    <w:rsid w:val="00351734"/>
    <w:rsid w:val="0035221D"/>
    <w:rsid w:val="00354FCF"/>
    <w:rsid w:val="003551E0"/>
    <w:rsid w:val="003552C3"/>
    <w:rsid w:val="0035572B"/>
    <w:rsid w:val="00357AD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421"/>
    <w:rsid w:val="003966C3"/>
    <w:rsid w:val="00397EEA"/>
    <w:rsid w:val="003A0002"/>
    <w:rsid w:val="003A0295"/>
    <w:rsid w:val="003A0D83"/>
    <w:rsid w:val="003A192D"/>
    <w:rsid w:val="003A2A14"/>
    <w:rsid w:val="003B086A"/>
    <w:rsid w:val="003B0D75"/>
    <w:rsid w:val="003B25DE"/>
    <w:rsid w:val="003B2AF6"/>
    <w:rsid w:val="003B3207"/>
    <w:rsid w:val="003B35A9"/>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67A7"/>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0BB6"/>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52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465F"/>
    <w:rsid w:val="005668B8"/>
    <w:rsid w:val="005676F6"/>
    <w:rsid w:val="005715AF"/>
    <w:rsid w:val="005722C2"/>
    <w:rsid w:val="005722F7"/>
    <w:rsid w:val="00572506"/>
    <w:rsid w:val="00573AC9"/>
    <w:rsid w:val="005747B3"/>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D8C"/>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141E"/>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B58"/>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32E"/>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0A14"/>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2B53"/>
    <w:rsid w:val="00782E92"/>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1F42"/>
    <w:rsid w:val="007C2A5B"/>
    <w:rsid w:val="007C2F2F"/>
    <w:rsid w:val="007C32E6"/>
    <w:rsid w:val="007C3BD4"/>
    <w:rsid w:val="007C4071"/>
    <w:rsid w:val="007C551E"/>
    <w:rsid w:val="007C6103"/>
    <w:rsid w:val="007C6B04"/>
    <w:rsid w:val="007C7079"/>
    <w:rsid w:val="007C71C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9FB"/>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0DC2"/>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3FE"/>
    <w:rsid w:val="00942FCD"/>
    <w:rsid w:val="0094338B"/>
    <w:rsid w:val="009453D0"/>
    <w:rsid w:val="0094638E"/>
    <w:rsid w:val="0094681D"/>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2F0"/>
    <w:rsid w:val="009F48B5"/>
    <w:rsid w:val="009F5D47"/>
    <w:rsid w:val="009F68EB"/>
    <w:rsid w:val="009F750B"/>
    <w:rsid w:val="00A00435"/>
    <w:rsid w:val="00A01FCD"/>
    <w:rsid w:val="00A025E8"/>
    <w:rsid w:val="00A03071"/>
    <w:rsid w:val="00A044F0"/>
    <w:rsid w:val="00A04764"/>
    <w:rsid w:val="00A04E73"/>
    <w:rsid w:val="00A0549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0484"/>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1E13"/>
    <w:rsid w:val="00AB3274"/>
    <w:rsid w:val="00AB3AA4"/>
    <w:rsid w:val="00AB3B2A"/>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5F0"/>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988"/>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2E5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53F4"/>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0BD"/>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1FF9"/>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15FF"/>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2B26"/>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3BE4"/>
    <w:rsid w:val="00C74041"/>
    <w:rsid w:val="00C75F5C"/>
    <w:rsid w:val="00C76B39"/>
    <w:rsid w:val="00C76F57"/>
    <w:rsid w:val="00C77767"/>
    <w:rsid w:val="00C77891"/>
    <w:rsid w:val="00C8081E"/>
    <w:rsid w:val="00C8194B"/>
    <w:rsid w:val="00C8225F"/>
    <w:rsid w:val="00C831A1"/>
    <w:rsid w:val="00C84ACF"/>
    <w:rsid w:val="00C8510F"/>
    <w:rsid w:val="00C856C4"/>
    <w:rsid w:val="00C860F9"/>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240"/>
    <w:rsid w:val="00CC1A2E"/>
    <w:rsid w:val="00CC237A"/>
    <w:rsid w:val="00CC37A9"/>
    <w:rsid w:val="00CC456E"/>
    <w:rsid w:val="00CC5447"/>
    <w:rsid w:val="00CC5D7B"/>
    <w:rsid w:val="00CC776F"/>
    <w:rsid w:val="00CD2332"/>
    <w:rsid w:val="00CD2668"/>
    <w:rsid w:val="00CD2FAC"/>
    <w:rsid w:val="00CD361B"/>
    <w:rsid w:val="00CD3879"/>
    <w:rsid w:val="00CD495B"/>
    <w:rsid w:val="00CD5C64"/>
    <w:rsid w:val="00CD611F"/>
    <w:rsid w:val="00CD6818"/>
    <w:rsid w:val="00CD6E23"/>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0B"/>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0E8D"/>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B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B6F08"/>
    <w:rsid w:val="00DC1404"/>
    <w:rsid w:val="00DC1FC6"/>
    <w:rsid w:val="00DC3ED2"/>
    <w:rsid w:val="00DC4AE1"/>
    <w:rsid w:val="00DC5939"/>
    <w:rsid w:val="00DC61FA"/>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3B02"/>
    <w:rsid w:val="00E046DC"/>
    <w:rsid w:val="00E05F80"/>
    <w:rsid w:val="00E0664E"/>
    <w:rsid w:val="00E07564"/>
    <w:rsid w:val="00E07EB9"/>
    <w:rsid w:val="00E10A87"/>
    <w:rsid w:val="00E114BC"/>
    <w:rsid w:val="00E11638"/>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0E9"/>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BCA"/>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61BA"/>
    <w:rsid w:val="00F078C6"/>
    <w:rsid w:val="00F1070F"/>
    <w:rsid w:val="00F1280C"/>
    <w:rsid w:val="00F13BB5"/>
    <w:rsid w:val="00F14992"/>
    <w:rsid w:val="00F16A50"/>
    <w:rsid w:val="00F21456"/>
    <w:rsid w:val="00F21D20"/>
    <w:rsid w:val="00F22674"/>
    <w:rsid w:val="00F22B78"/>
    <w:rsid w:val="00F23C54"/>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545"/>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4D"/>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1567"/>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09BD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theme" Target="theme/theme1.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14:paraId="63BC7D84">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64AD8"/>
    <w:rsid w:val="00082A19"/>
    <w:rsid w:val="000D27B6"/>
    <w:rsid w:val="000D2840"/>
    <w:rsid w:val="000E72B8"/>
    <w:rsid w:val="000F0D9C"/>
    <w:rsid w:val="001039B1"/>
    <w:rsid w:val="00113420"/>
    <w:rsid w:val="001C220A"/>
    <w:rsid w:val="001E1C14"/>
    <w:rsid w:val="001E6971"/>
    <w:rsid w:val="0025478B"/>
    <w:rsid w:val="002E3790"/>
    <w:rsid w:val="003326D5"/>
    <w:rsid w:val="00375459"/>
    <w:rsid w:val="003C7E4A"/>
    <w:rsid w:val="003E20A5"/>
    <w:rsid w:val="0044699C"/>
    <w:rsid w:val="00456A2D"/>
    <w:rsid w:val="004E5B2D"/>
    <w:rsid w:val="005774E0"/>
    <w:rsid w:val="00580B99"/>
    <w:rsid w:val="005B3059"/>
    <w:rsid w:val="005E51DE"/>
    <w:rsid w:val="005F723A"/>
    <w:rsid w:val="00626103"/>
    <w:rsid w:val="006D613E"/>
    <w:rsid w:val="0072520E"/>
    <w:rsid w:val="0076050E"/>
    <w:rsid w:val="007970D2"/>
    <w:rsid w:val="007C0CC8"/>
    <w:rsid w:val="007D2B0D"/>
    <w:rsid w:val="007E7C2D"/>
    <w:rsid w:val="007F215A"/>
    <w:rsid w:val="00823F53"/>
    <w:rsid w:val="009011BA"/>
    <w:rsid w:val="009014DE"/>
    <w:rsid w:val="0091562D"/>
    <w:rsid w:val="0093199E"/>
    <w:rsid w:val="00946FAF"/>
    <w:rsid w:val="009A1BF6"/>
    <w:rsid w:val="009F2A1D"/>
    <w:rsid w:val="00A3218D"/>
    <w:rsid w:val="00A84B89"/>
    <w:rsid w:val="00AA6B6C"/>
    <w:rsid w:val="00AD148E"/>
    <w:rsid w:val="00B81C7A"/>
    <w:rsid w:val="00BA2F24"/>
    <w:rsid w:val="00BA36F6"/>
    <w:rsid w:val="00BB6ED4"/>
    <w:rsid w:val="00C47C35"/>
    <w:rsid w:val="00C854ED"/>
    <w:rsid w:val="00CD5949"/>
    <w:rsid w:val="00CE595A"/>
    <w:rsid w:val="00CF08BA"/>
    <w:rsid w:val="00D83E68"/>
    <w:rsid w:val="00D938D8"/>
    <w:rsid w:val="00DD1067"/>
    <w:rsid w:val="00DF3362"/>
    <w:rsid w:val="00E66484"/>
    <w:rsid w:val="00F23E54"/>
    <w:rsid w:val="00F516FE"/>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E090-A27A-4C4C-8126-75717DB04D22}">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59</Pages>
  <Words>1642</Words>
  <Characters>1814</Characters>
  <Lines>877</Lines>
  <Paragraphs>949</Paragraphs>
  <TotalTime>41</TotalTime>
  <ScaleCrop>false</ScaleCrop>
  <LinksUpToDate>false</LinksUpToDate>
  <CharactersWithSpaces>1834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2025-07-08T07:15:00Z</dcterms:created>
  <dc:creator>admin</dc:creator>
  <cp:lastModifiedBy>小心眼子脾气大</cp:lastModifiedBy>
  <cp:lastPrinted>2025-07-08T07:21:00Z</cp:lastPrinted>
  <dcterms:modified xsi:type="dcterms:W3CDTF">2025-07-24T07:37:46Z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eyJoZGlkIjoiODc1Y2JlYjU4ZjYyZjIxZjIxNGI5NGNmYzI5YzY0NDIiLCJ1c2VySWQiOiI1NTc5MDkzNTMifQ==</vt:lpwstr>
  </property>
  <property fmtid="{D5CDD505-2E9C-101B-9397-08002B2CF9AE}" pid="3" name="KSOProductBuildVer">
    <vt:lpwstr>2052-12.1.0.21915</vt:lpwstr>
  </property>
  <property fmtid="{D5CDD505-2E9C-101B-9397-08002B2CF9AE}" pid="4" name="ICV">
    <vt:lpwstr>37C67489FAC84246B7CA0442603ED139_12</vt:lpwstr>
  </property>
</Properties>
</file>