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B66892">
      <w:pPr>
        <w:widowControl w:val="0"/>
        <w:topLinePunct/>
        <w:spacing w:line="360" w:lineRule="auto"/>
        <w:ind w:left="0"/>
        <w:contextualSpacing/>
        <w:jc w:val="center"/>
        <w:outlineLvl w:val="1"/>
        <w:rPr>
          <w:rFonts w:ascii="宋体" w:hAnsi="宋体" w:eastAsia="宋体" w:cs="宋体"/>
          <w:b/>
          <w:bCs/>
          <w:kern w:val="2"/>
          <w:sz w:val="24"/>
          <w:szCs w:val="24"/>
          <w:lang w:val="en-US" w:eastAsia="zh-CN" w:bidi="ar-SA"/>
        </w:rPr>
      </w:pPr>
      <w:bookmarkStart w:id="0" w:name="_Toc79484010"/>
      <w:bookmarkStart w:id="1" w:name="_Toc53392319"/>
      <w:bookmarkStart w:id="2" w:name="_Toc523129554"/>
      <w:bookmarkStart w:id="3" w:name="_Toc14217"/>
      <w:bookmarkStart w:id="4" w:name="_Toc12576"/>
      <w:bookmarkStart w:id="5" w:name="_Toc481569918"/>
      <w:bookmarkStart w:id="6" w:name="_Toc328733255"/>
      <w:bookmarkStart w:id="7" w:name="_Toc21749"/>
      <w:bookmarkStart w:id="8" w:name="_Toc21183"/>
      <w:bookmarkStart w:id="9" w:name="_Toc3637"/>
      <w:bookmarkStart w:id="10" w:name="_Toc13571"/>
      <w:bookmarkStart w:id="11" w:name="_Toc7932"/>
      <w:bookmarkStart w:id="12" w:name="_Toc481658004"/>
      <w:r>
        <w:rPr>
          <w:rFonts w:hint="eastAsia" w:ascii="宋体" w:hAnsi="宋体" w:eastAsia="宋体" w:cs="宋体"/>
          <w:b/>
          <w:bCs/>
          <w:kern w:val="2"/>
          <w:sz w:val="24"/>
          <w:szCs w:val="24"/>
          <w:lang w:val="en-US" w:eastAsia="zh-CN" w:bidi="ar-SA"/>
        </w:rPr>
        <w:t>包1（网络安全设备运维服务售后服务）</w:t>
      </w:r>
    </w:p>
    <w:p w14:paraId="49856D64">
      <w:pPr>
        <w:widowControl w:val="0"/>
        <w:spacing w:line="360" w:lineRule="auto"/>
        <w:ind w:firstLine="482" w:firstLineChars="200"/>
        <w:jc w:val="both"/>
        <w:rPr>
          <w:rFonts w:ascii="宋体" w:hAnsi="宋体" w:eastAsia="宋体" w:cs="宋体"/>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一.项目概述</w:t>
      </w:r>
    </w:p>
    <w:p w14:paraId="5D40B390">
      <w:pPr>
        <w:widowControl w:val="0"/>
        <w:spacing w:line="360" w:lineRule="auto"/>
        <w:ind w:firstLine="480" w:firstLineChars="200"/>
        <w:jc w:val="both"/>
        <w:rPr>
          <w:rFonts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采购人自2018年开始启用网络安全设备，至今已上线运行多个设备，包含路由器、防火墙、行为管理等多台安全设备，为保障采购人信息系统正常运行，维护正常的医疗秩序，确保采购人网络安全，充分保障患者的医疗权益，现委托具有网络安全维护能力供应商，为采购人进行维护工作，进一步加强网络安全维护管理与技术支持。</w:t>
      </w:r>
    </w:p>
    <w:p w14:paraId="1D373B49">
      <w:pPr>
        <w:widowControl w:val="0"/>
        <w:spacing w:line="360" w:lineRule="auto"/>
        <w:ind w:firstLine="482" w:firstLineChars="200"/>
        <w:jc w:val="both"/>
        <w:rPr>
          <w:rFonts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二.技术要求</w:t>
      </w:r>
      <w:bookmarkEnd w:id="0"/>
    </w:p>
    <w:p w14:paraId="5FC31F94">
      <w:pPr>
        <w:widowControl w:val="0"/>
        <w:spacing w:line="360" w:lineRule="auto"/>
        <w:ind w:firstLine="482" w:firstLineChars="200"/>
        <w:jc w:val="both"/>
        <w:rPr>
          <w:rFonts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1.名词解释：</w:t>
      </w:r>
    </w:p>
    <w:p w14:paraId="76160C64">
      <w:pPr>
        <w:widowControl w:val="0"/>
        <w:spacing w:line="360" w:lineRule="auto"/>
        <w:ind w:firstLine="480" w:firstLineChars="200"/>
        <w:jc w:val="both"/>
        <w:rPr>
          <w:rFonts w:ascii="宋体" w:hAnsi="宋体" w:eastAsia="宋体" w:cs="宋体"/>
          <w:b/>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1.1.“维护”是指服务供应商为采购人提供基于许可软件的技术指导和解决产品故障等服务工作的总称。</w:t>
      </w:r>
    </w:p>
    <w:p w14:paraId="29164651">
      <w:pPr>
        <w:widowControl w:val="0"/>
        <w:spacing w:line="360" w:lineRule="auto"/>
        <w:ind w:firstLine="480" w:firstLineChars="200"/>
        <w:jc w:val="both"/>
        <w:rPr>
          <w:rFonts w:ascii="宋体" w:hAnsi="宋体" w:eastAsia="宋体" w:cs="宋体"/>
          <w:b/>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1.2.“现场”是指供应商根据许可合同许可采购人使用许可系统的场所。</w:t>
      </w:r>
    </w:p>
    <w:p w14:paraId="3F6AEAA3">
      <w:pPr>
        <w:widowControl w:val="0"/>
        <w:spacing w:line="360" w:lineRule="auto"/>
        <w:ind w:firstLine="480" w:firstLineChars="200"/>
        <w:jc w:val="both"/>
        <w:rPr>
          <w:rFonts w:ascii="宋体" w:hAnsi="宋体" w:eastAsia="宋体" w:cs="宋体"/>
          <w:b/>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1.3.“现场维护”是指服务供应商采购方提出 的技术问题派遣技术人员到采购方现场处解决问题的过程。</w:t>
      </w:r>
    </w:p>
    <w:p w14:paraId="7BF5427E">
      <w:pPr>
        <w:widowControl w:val="0"/>
        <w:spacing w:line="360" w:lineRule="auto"/>
        <w:ind w:firstLine="480" w:firstLineChars="200"/>
        <w:jc w:val="both"/>
        <w:rPr>
          <w:rFonts w:ascii="宋体" w:hAnsi="宋体" w:eastAsia="宋体" w:cs="宋体"/>
          <w:b/>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1.4.“远程维护”是指服务供应商根据采购方提出的技术问题通过电话或互联网向采购方提供问题解答、技术指导和远程操作的过程。</w:t>
      </w:r>
    </w:p>
    <w:p w14:paraId="53156024">
      <w:pPr>
        <w:widowControl w:val="0"/>
        <w:spacing w:line="360" w:lineRule="auto"/>
        <w:ind w:firstLine="480" w:firstLineChars="200"/>
        <w:jc w:val="both"/>
        <w:rPr>
          <w:rFonts w:ascii="宋体" w:hAnsi="宋体" w:eastAsia="宋体" w:cs="宋体"/>
          <w:b/>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1.5.“软件更新”是指由于许可软件出现故障而对许可软件进行优化、换代的过程。</w:t>
      </w:r>
    </w:p>
    <w:p w14:paraId="60596D11">
      <w:pPr>
        <w:widowControl w:val="0"/>
        <w:spacing w:line="360" w:lineRule="auto"/>
        <w:ind w:firstLine="480" w:firstLineChars="200"/>
        <w:jc w:val="both"/>
        <w:rPr>
          <w:rFonts w:ascii="宋体" w:hAnsi="宋体" w:eastAsia="宋体" w:cs="宋体"/>
          <w:b/>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1.6.“技术支持”是指服务供应商为了保障许可软件和系统正常运行，在服务时间内通过电话、互联网等技术向采购方提供的援助或技术指导。</w:t>
      </w:r>
    </w:p>
    <w:p w14:paraId="217CB8DE">
      <w:pPr>
        <w:widowControl w:val="0"/>
        <w:spacing w:line="360" w:lineRule="auto"/>
        <w:ind w:firstLine="480" w:firstLineChars="200"/>
        <w:jc w:val="both"/>
        <w:rPr>
          <w:rFonts w:ascii="宋体" w:hAnsi="宋体" w:eastAsia="宋体" w:cs="宋体"/>
          <w:b/>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1.7.“热线支持”是指服务供应商客户服务中心服务 人员通过电话向采购方提供技术问题解答的过程。</w:t>
      </w:r>
    </w:p>
    <w:p w14:paraId="20F288DF">
      <w:pPr>
        <w:widowControl w:val="0"/>
        <w:spacing w:line="360" w:lineRule="auto"/>
        <w:ind w:firstLine="480" w:firstLineChars="200"/>
        <w:jc w:val="both"/>
        <w:rPr>
          <w:rFonts w:ascii="宋体" w:hAnsi="宋体" w:eastAsia="宋体" w:cs="宋体"/>
          <w:b/>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1.8.“网上技术支持”是指服务供应商客户服务中心通过在线支持系统接收、解答采购方问题，并在网上发面相关技术解决问答的过程。</w:t>
      </w:r>
    </w:p>
    <w:p w14:paraId="7E71C765">
      <w:pPr>
        <w:widowControl w:val="0"/>
        <w:spacing w:line="360" w:lineRule="auto"/>
        <w:ind w:firstLine="480" w:firstLineChars="200"/>
        <w:jc w:val="both"/>
        <w:rPr>
          <w:rFonts w:ascii="宋体" w:hAnsi="宋体" w:eastAsia="宋体" w:cs="宋体"/>
          <w:b/>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1.9.“响应时间”是指服务供应商接到采购方服务请求之后，到与采购方进行沟通并对采购方做出服务承诺的时间。</w:t>
      </w:r>
    </w:p>
    <w:p w14:paraId="0E472C74">
      <w:pPr>
        <w:widowControl w:val="0"/>
        <w:spacing w:line="360" w:lineRule="auto"/>
        <w:ind w:firstLine="482" w:firstLineChars="200"/>
        <w:jc w:val="both"/>
        <w:rPr>
          <w:rFonts w:ascii="宋体" w:hAnsi="宋体" w:eastAsia="宋体" w:cs="宋体"/>
          <w:b/>
          <w:color w:val="auto"/>
          <w:kern w:val="2"/>
          <w:sz w:val="24"/>
          <w:szCs w:val="24"/>
          <w:lang w:val="en-US" w:eastAsia="zh-CN" w:bidi="ar-SA"/>
        </w:rPr>
      </w:pPr>
      <w:r>
        <w:rPr>
          <w:rFonts w:hint="eastAsia" w:ascii="宋体" w:hAnsi="宋体" w:eastAsia="宋体" w:cs="宋体"/>
          <w:b/>
          <w:color w:val="auto"/>
          <w:kern w:val="2"/>
          <w:sz w:val="24"/>
          <w:szCs w:val="24"/>
          <w:lang w:val="en-US" w:eastAsia="zh-CN" w:bidi="ar-SA"/>
        </w:rPr>
        <w:t>2.甲方委托乙方售后运维服务的网络及安全设备清单：</w:t>
      </w:r>
    </w:p>
    <w:tbl>
      <w:tblPr>
        <w:tblStyle w:val="9"/>
        <w:tblW w:w="82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5"/>
        <w:gridCol w:w="4535"/>
        <w:gridCol w:w="2412"/>
      </w:tblGrid>
      <w:tr w14:paraId="34AFB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75" w:type="pct"/>
            <w:tcBorders>
              <w:right w:val="single" w:color="auto" w:sz="4" w:space="0"/>
            </w:tcBorders>
            <w:vAlign w:val="center"/>
          </w:tcPr>
          <w:p w14:paraId="5648F1DC">
            <w:pPr>
              <w:spacing w:line="360" w:lineRule="auto"/>
              <w:jc w:val="center"/>
              <w:rPr>
                <w:rFonts w:ascii="宋体" w:hAnsi="宋体" w:cs="宋体"/>
                <w:b/>
                <w:kern w:val="0"/>
                <w:sz w:val="24"/>
              </w:rPr>
            </w:pPr>
            <w:r>
              <w:rPr>
                <w:rFonts w:hint="eastAsia" w:ascii="宋体" w:hAnsi="宋体" w:cs="宋体"/>
                <w:b/>
                <w:kern w:val="0"/>
                <w:sz w:val="24"/>
              </w:rPr>
              <w:t>序号</w:t>
            </w:r>
          </w:p>
        </w:tc>
        <w:tc>
          <w:tcPr>
            <w:tcW w:w="2757" w:type="pct"/>
            <w:tcBorders>
              <w:top w:val="single" w:color="auto" w:sz="4" w:space="0"/>
              <w:left w:val="single" w:color="auto" w:sz="4" w:space="0"/>
              <w:bottom w:val="single" w:color="auto" w:sz="4" w:space="0"/>
              <w:right w:val="single" w:color="auto" w:sz="4" w:space="0"/>
            </w:tcBorders>
            <w:vAlign w:val="center"/>
          </w:tcPr>
          <w:p w14:paraId="6A465761">
            <w:pPr>
              <w:spacing w:line="360" w:lineRule="auto"/>
              <w:jc w:val="center"/>
              <w:rPr>
                <w:rFonts w:ascii="宋体" w:hAnsi="宋体" w:cs="宋体"/>
                <w:b/>
                <w:kern w:val="0"/>
                <w:sz w:val="24"/>
              </w:rPr>
            </w:pPr>
            <w:r>
              <w:rPr>
                <w:rFonts w:hint="eastAsia" w:ascii="宋体" w:hAnsi="宋体" w:cs="宋体"/>
                <w:b/>
                <w:kern w:val="0"/>
                <w:sz w:val="24"/>
              </w:rPr>
              <w:t>设备名称</w:t>
            </w:r>
          </w:p>
        </w:tc>
        <w:tc>
          <w:tcPr>
            <w:tcW w:w="1466" w:type="pct"/>
            <w:tcBorders>
              <w:top w:val="single" w:color="auto" w:sz="4" w:space="0"/>
              <w:left w:val="single" w:color="auto" w:sz="4" w:space="0"/>
              <w:bottom w:val="single" w:color="auto" w:sz="4" w:space="0"/>
              <w:right w:val="single" w:color="auto" w:sz="4" w:space="0"/>
            </w:tcBorders>
            <w:vAlign w:val="center"/>
          </w:tcPr>
          <w:p w14:paraId="13223550">
            <w:pPr>
              <w:spacing w:line="360" w:lineRule="auto"/>
              <w:jc w:val="center"/>
              <w:rPr>
                <w:rFonts w:ascii="宋体" w:hAnsi="宋体" w:cs="宋体"/>
                <w:b/>
                <w:kern w:val="0"/>
                <w:sz w:val="24"/>
              </w:rPr>
            </w:pPr>
            <w:r>
              <w:rPr>
                <w:rFonts w:hint="eastAsia" w:ascii="宋体" w:hAnsi="宋体" w:cs="宋体"/>
                <w:b/>
                <w:kern w:val="0"/>
                <w:sz w:val="24"/>
              </w:rPr>
              <w:t>数量</w:t>
            </w:r>
          </w:p>
        </w:tc>
      </w:tr>
      <w:tr w14:paraId="3F243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75" w:type="pct"/>
            <w:vAlign w:val="center"/>
          </w:tcPr>
          <w:p w14:paraId="69BDE93B">
            <w:pPr>
              <w:spacing w:line="360" w:lineRule="auto"/>
              <w:jc w:val="center"/>
              <w:rPr>
                <w:rFonts w:ascii="宋体" w:hAnsi="宋体" w:cs="宋体"/>
                <w:sz w:val="24"/>
              </w:rPr>
            </w:pPr>
            <w:r>
              <w:rPr>
                <w:rFonts w:hint="eastAsia" w:ascii="宋体" w:hAnsi="宋体" w:cs="宋体"/>
                <w:sz w:val="24"/>
              </w:rPr>
              <w:t>1</w:t>
            </w:r>
          </w:p>
        </w:tc>
        <w:tc>
          <w:tcPr>
            <w:tcW w:w="2757" w:type="pct"/>
            <w:tcBorders>
              <w:top w:val="single" w:color="auto" w:sz="4" w:space="0"/>
            </w:tcBorders>
            <w:vAlign w:val="center"/>
          </w:tcPr>
          <w:p w14:paraId="34D57A91">
            <w:pPr>
              <w:spacing w:line="360" w:lineRule="auto"/>
              <w:jc w:val="center"/>
              <w:rPr>
                <w:rFonts w:ascii="宋体" w:hAnsi="宋体" w:cs="宋体"/>
                <w:sz w:val="24"/>
              </w:rPr>
            </w:pPr>
            <w:r>
              <w:rPr>
                <w:rFonts w:hint="eastAsia" w:ascii="宋体" w:hAnsi="宋体" w:cs="宋体"/>
                <w:sz w:val="24"/>
              </w:rPr>
              <w:t>路由器</w:t>
            </w:r>
          </w:p>
        </w:tc>
        <w:tc>
          <w:tcPr>
            <w:tcW w:w="1466" w:type="pct"/>
            <w:tcBorders>
              <w:top w:val="single" w:color="auto" w:sz="4" w:space="0"/>
            </w:tcBorders>
            <w:vAlign w:val="center"/>
          </w:tcPr>
          <w:p w14:paraId="056DB2F9">
            <w:pPr>
              <w:spacing w:line="360" w:lineRule="auto"/>
              <w:jc w:val="center"/>
              <w:rPr>
                <w:rFonts w:ascii="宋体" w:hAnsi="宋体" w:cs="宋体"/>
                <w:kern w:val="0"/>
                <w:sz w:val="24"/>
              </w:rPr>
            </w:pPr>
            <w:r>
              <w:rPr>
                <w:rFonts w:hint="eastAsia" w:ascii="宋体" w:hAnsi="宋体" w:cs="宋体"/>
                <w:kern w:val="0"/>
                <w:sz w:val="24"/>
              </w:rPr>
              <w:t>1</w:t>
            </w:r>
          </w:p>
        </w:tc>
      </w:tr>
      <w:tr w14:paraId="03AD0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75" w:type="pct"/>
            <w:vAlign w:val="center"/>
          </w:tcPr>
          <w:p w14:paraId="36DFCB2B">
            <w:pPr>
              <w:spacing w:line="360" w:lineRule="auto"/>
              <w:jc w:val="center"/>
              <w:rPr>
                <w:rFonts w:ascii="宋体" w:hAnsi="宋体" w:cs="宋体"/>
                <w:kern w:val="0"/>
                <w:sz w:val="24"/>
              </w:rPr>
            </w:pPr>
            <w:r>
              <w:rPr>
                <w:rFonts w:hint="eastAsia" w:ascii="宋体" w:hAnsi="宋体" w:cs="宋体"/>
                <w:kern w:val="0"/>
                <w:sz w:val="24"/>
              </w:rPr>
              <w:t>2</w:t>
            </w:r>
          </w:p>
        </w:tc>
        <w:tc>
          <w:tcPr>
            <w:tcW w:w="2757" w:type="pct"/>
            <w:vAlign w:val="center"/>
          </w:tcPr>
          <w:p w14:paraId="0BD229C6">
            <w:pPr>
              <w:spacing w:line="360" w:lineRule="auto"/>
              <w:jc w:val="center"/>
              <w:rPr>
                <w:rFonts w:ascii="宋体" w:hAnsi="宋体" w:cs="宋体"/>
                <w:kern w:val="0"/>
                <w:sz w:val="24"/>
              </w:rPr>
            </w:pPr>
            <w:r>
              <w:rPr>
                <w:rFonts w:hint="eastAsia" w:ascii="宋体" w:hAnsi="宋体" w:cs="宋体"/>
                <w:kern w:val="0"/>
                <w:sz w:val="24"/>
              </w:rPr>
              <w:t>防火墙</w:t>
            </w:r>
          </w:p>
        </w:tc>
        <w:tc>
          <w:tcPr>
            <w:tcW w:w="1466" w:type="pct"/>
            <w:vAlign w:val="center"/>
          </w:tcPr>
          <w:p w14:paraId="0D28F365">
            <w:pPr>
              <w:spacing w:line="360" w:lineRule="auto"/>
              <w:jc w:val="center"/>
              <w:rPr>
                <w:rFonts w:ascii="宋体" w:hAnsi="宋体" w:cs="宋体"/>
                <w:kern w:val="0"/>
                <w:sz w:val="24"/>
              </w:rPr>
            </w:pPr>
            <w:r>
              <w:rPr>
                <w:rFonts w:hint="eastAsia" w:ascii="宋体" w:hAnsi="宋体" w:cs="宋体"/>
                <w:kern w:val="0"/>
                <w:sz w:val="24"/>
              </w:rPr>
              <w:t>3</w:t>
            </w:r>
          </w:p>
        </w:tc>
      </w:tr>
      <w:tr w14:paraId="7A6AA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75" w:type="pct"/>
            <w:vAlign w:val="center"/>
          </w:tcPr>
          <w:p w14:paraId="6C16E595">
            <w:pPr>
              <w:spacing w:line="360" w:lineRule="auto"/>
              <w:jc w:val="center"/>
              <w:rPr>
                <w:rFonts w:ascii="宋体" w:hAnsi="宋体" w:cs="宋体"/>
                <w:kern w:val="0"/>
                <w:sz w:val="24"/>
              </w:rPr>
            </w:pPr>
            <w:r>
              <w:rPr>
                <w:rFonts w:hint="eastAsia" w:ascii="宋体" w:hAnsi="宋体" w:cs="宋体"/>
                <w:kern w:val="0"/>
                <w:sz w:val="24"/>
              </w:rPr>
              <w:t>3</w:t>
            </w:r>
          </w:p>
        </w:tc>
        <w:tc>
          <w:tcPr>
            <w:tcW w:w="2757" w:type="pct"/>
            <w:vAlign w:val="center"/>
          </w:tcPr>
          <w:p w14:paraId="3DBF6B8C">
            <w:pPr>
              <w:spacing w:line="360" w:lineRule="auto"/>
              <w:jc w:val="center"/>
              <w:rPr>
                <w:rFonts w:ascii="宋体" w:hAnsi="宋体" w:cs="宋体"/>
                <w:kern w:val="0"/>
                <w:sz w:val="24"/>
              </w:rPr>
            </w:pPr>
            <w:r>
              <w:rPr>
                <w:rFonts w:hint="eastAsia" w:ascii="宋体" w:hAnsi="宋体" w:cs="宋体"/>
                <w:kern w:val="0"/>
                <w:sz w:val="24"/>
              </w:rPr>
              <w:t>核心交换机</w:t>
            </w:r>
          </w:p>
        </w:tc>
        <w:tc>
          <w:tcPr>
            <w:tcW w:w="1466" w:type="pct"/>
            <w:vAlign w:val="center"/>
          </w:tcPr>
          <w:p w14:paraId="79A2C124">
            <w:pPr>
              <w:spacing w:line="360" w:lineRule="auto"/>
              <w:jc w:val="center"/>
              <w:rPr>
                <w:rFonts w:ascii="宋体" w:hAnsi="宋体" w:cs="宋体"/>
                <w:kern w:val="0"/>
                <w:sz w:val="24"/>
              </w:rPr>
            </w:pPr>
            <w:r>
              <w:rPr>
                <w:rFonts w:hint="eastAsia" w:ascii="宋体" w:hAnsi="宋体" w:cs="宋体"/>
                <w:kern w:val="0"/>
                <w:sz w:val="24"/>
              </w:rPr>
              <w:t>2</w:t>
            </w:r>
          </w:p>
        </w:tc>
      </w:tr>
      <w:tr w14:paraId="67B75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75" w:type="pct"/>
            <w:vAlign w:val="center"/>
          </w:tcPr>
          <w:p w14:paraId="78292A5B">
            <w:pPr>
              <w:spacing w:line="360" w:lineRule="auto"/>
              <w:jc w:val="center"/>
              <w:rPr>
                <w:rFonts w:ascii="宋体" w:hAnsi="宋体" w:cs="宋体"/>
                <w:kern w:val="0"/>
                <w:sz w:val="24"/>
              </w:rPr>
            </w:pPr>
            <w:r>
              <w:rPr>
                <w:rFonts w:hint="eastAsia" w:ascii="宋体" w:hAnsi="宋体" w:cs="宋体"/>
                <w:kern w:val="0"/>
                <w:sz w:val="24"/>
              </w:rPr>
              <w:t>4</w:t>
            </w:r>
          </w:p>
        </w:tc>
        <w:tc>
          <w:tcPr>
            <w:tcW w:w="2757" w:type="pct"/>
            <w:vAlign w:val="center"/>
          </w:tcPr>
          <w:p w14:paraId="128C7D3E">
            <w:pPr>
              <w:spacing w:line="360" w:lineRule="auto"/>
              <w:jc w:val="center"/>
              <w:rPr>
                <w:rFonts w:ascii="宋体" w:hAnsi="宋体" w:cs="宋体"/>
                <w:kern w:val="0"/>
                <w:sz w:val="24"/>
              </w:rPr>
            </w:pPr>
            <w:r>
              <w:rPr>
                <w:rFonts w:hint="eastAsia" w:ascii="宋体" w:hAnsi="宋体" w:cs="宋体"/>
                <w:kern w:val="0"/>
                <w:sz w:val="24"/>
              </w:rPr>
              <w:t>接入交换机</w:t>
            </w:r>
          </w:p>
        </w:tc>
        <w:tc>
          <w:tcPr>
            <w:tcW w:w="1466" w:type="pct"/>
            <w:vAlign w:val="center"/>
          </w:tcPr>
          <w:p w14:paraId="73AC080D">
            <w:pPr>
              <w:spacing w:line="360" w:lineRule="auto"/>
              <w:jc w:val="center"/>
              <w:rPr>
                <w:rFonts w:ascii="宋体" w:hAnsi="宋体" w:cs="宋体"/>
                <w:kern w:val="0"/>
                <w:sz w:val="24"/>
              </w:rPr>
            </w:pPr>
            <w:r>
              <w:rPr>
                <w:rFonts w:hint="eastAsia" w:ascii="宋体" w:hAnsi="宋体" w:cs="宋体"/>
                <w:kern w:val="0"/>
                <w:sz w:val="24"/>
              </w:rPr>
              <w:t>19</w:t>
            </w:r>
          </w:p>
        </w:tc>
      </w:tr>
      <w:tr w14:paraId="0D587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75" w:type="pct"/>
            <w:vAlign w:val="center"/>
          </w:tcPr>
          <w:p w14:paraId="7B19F0BC">
            <w:pPr>
              <w:spacing w:line="360" w:lineRule="auto"/>
              <w:jc w:val="center"/>
              <w:rPr>
                <w:rFonts w:ascii="宋体" w:hAnsi="宋体" w:cs="宋体"/>
                <w:kern w:val="0"/>
                <w:sz w:val="24"/>
              </w:rPr>
            </w:pPr>
            <w:r>
              <w:rPr>
                <w:rFonts w:hint="eastAsia" w:ascii="宋体" w:hAnsi="宋体" w:cs="宋体"/>
                <w:kern w:val="0"/>
                <w:sz w:val="24"/>
              </w:rPr>
              <w:t>5</w:t>
            </w:r>
          </w:p>
        </w:tc>
        <w:tc>
          <w:tcPr>
            <w:tcW w:w="2757" w:type="pct"/>
            <w:vAlign w:val="center"/>
          </w:tcPr>
          <w:p w14:paraId="6E1CE4B9">
            <w:pPr>
              <w:spacing w:line="360" w:lineRule="auto"/>
              <w:jc w:val="center"/>
              <w:rPr>
                <w:rFonts w:ascii="宋体" w:hAnsi="宋体" w:cs="宋体"/>
                <w:kern w:val="0"/>
                <w:sz w:val="24"/>
              </w:rPr>
            </w:pPr>
            <w:r>
              <w:rPr>
                <w:rFonts w:hint="eastAsia" w:ascii="宋体" w:hAnsi="宋体" w:cs="宋体"/>
                <w:kern w:val="0"/>
                <w:sz w:val="24"/>
              </w:rPr>
              <w:t>入侵检测</w:t>
            </w:r>
          </w:p>
        </w:tc>
        <w:tc>
          <w:tcPr>
            <w:tcW w:w="1466" w:type="pct"/>
            <w:vAlign w:val="center"/>
          </w:tcPr>
          <w:p w14:paraId="372C04A1">
            <w:pPr>
              <w:spacing w:line="360" w:lineRule="auto"/>
              <w:jc w:val="center"/>
              <w:rPr>
                <w:rFonts w:ascii="宋体" w:hAnsi="宋体" w:cs="宋体"/>
                <w:kern w:val="0"/>
                <w:sz w:val="24"/>
              </w:rPr>
            </w:pPr>
            <w:r>
              <w:rPr>
                <w:rFonts w:hint="eastAsia" w:ascii="宋体" w:hAnsi="宋体" w:cs="宋体"/>
                <w:kern w:val="0"/>
                <w:sz w:val="24"/>
              </w:rPr>
              <w:t>1</w:t>
            </w:r>
          </w:p>
        </w:tc>
      </w:tr>
      <w:tr w14:paraId="07772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75" w:type="pct"/>
            <w:vAlign w:val="center"/>
          </w:tcPr>
          <w:p w14:paraId="345859A4">
            <w:pPr>
              <w:spacing w:line="360" w:lineRule="auto"/>
              <w:jc w:val="center"/>
              <w:rPr>
                <w:rFonts w:ascii="宋体" w:hAnsi="宋体" w:cs="宋体"/>
                <w:kern w:val="0"/>
                <w:sz w:val="24"/>
              </w:rPr>
            </w:pPr>
            <w:r>
              <w:rPr>
                <w:rFonts w:hint="eastAsia" w:ascii="宋体" w:hAnsi="宋体" w:cs="宋体"/>
                <w:kern w:val="0"/>
                <w:sz w:val="24"/>
              </w:rPr>
              <w:t>6</w:t>
            </w:r>
          </w:p>
        </w:tc>
        <w:tc>
          <w:tcPr>
            <w:tcW w:w="2757" w:type="pct"/>
            <w:vAlign w:val="center"/>
          </w:tcPr>
          <w:p w14:paraId="6E07A5CE">
            <w:pPr>
              <w:spacing w:line="360" w:lineRule="auto"/>
              <w:jc w:val="center"/>
              <w:rPr>
                <w:rFonts w:ascii="宋体" w:hAnsi="宋体" w:cs="宋体"/>
                <w:kern w:val="0"/>
                <w:sz w:val="24"/>
              </w:rPr>
            </w:pPr>
            <w:r>
              <w:rPr>
                <w:rFonts w:hint="eastAsia" w:ascii="宋体" w:hAnsi="宋体" w:cs="宋体"/>
                <w:kern w:val="0"/>
                <w:sz w:val="24"/>
              </w:rPr>
              <w:t>行为管理</w:t>
            </w:r>
          </w:p>
        </w:tc>
        <w:tc>
          <w:tcPr>
            <w:tcW w:w="1466" w:type="pct"/>
            <w:vAlign w:val="center"/>
          </w:tcPr>
          <w:p w14:paraId="39C0BA85">
            <w:pPr>
              <w:spacing w:line="360" w:lineRule="auto"/>
              <w:jc w:val="center"/>
              <w:rPr>
                <w:rFonts w:ascii="宋体" w:hAnsi="宋体" w:cs="宋体"/>
                <w:kern w:val="0"/>
                <w:sz w:val="24"/>
              </w:rPr>
            </w:pPr>
            <w:r>
              <w:rPr>
                <w:rFonts w:hint="eastAsia" w:ascii="宋体" w:hAnsi="宋体" w:cs="宋体"/>
                <w:kern w:val="0"/>
                <w:sz w:val="24"/>
              </w:rPr>
              <w:t>1</w:t>
            </w:r>
          </w:p>
        </w:tc>
      </w:tr>
      <w:tr w14:paraId="6B060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75" w:type="pct"/>
            <w:vAlign w:val="center"/>
          </w:tcPr>
          <w:p w14:paraId="26FB33DA">
            <w:pPr>
              <w:spacing w:line="360" w:lineRule="auto"/>
              <w:jc w:val="center"/>
              <w:rPr>
                <w:rFonts w:ascii="宋体" w:hAnsi="宋体" w:cs="宋体"/>
                <w:kern w:val="0"/>
                <w:sz w:val="24"/>
              </w:rPr>
            </w:pPr>
            <w:r>
              <w:rPr>
                <w:rFonts w:hint="eastAsia" w:ascii="宋体" w:hAnsi="宋体" w:cs="宋体"/>
                <w:kern w:val="0"/>
                <w:sz w:val="24"/>
              </w:rPr>
              <w:t>7</w:t>
            </w:r>
          </w:p>
        </w:tc>
        <w:tc>
          <w:tcPr>
            <w:tcW w:w="2757" w:type="pct"/>
            <w:vAlign w:val="center"/>
          </w:tcPr>
          <w:p w14:paraId="5F73F932">
            <w:pPr>
              <w:spacing w:line="360" w:lineRule="auto"/>
              <w:jc w:val="center"/>
              <w:rPr>
                <w:rFonts w:ascii="宋体" w:hAnsi="宋体" w:cs="宋体"/>
                <w:kern w:val="0"/>
                <w:sz w:val="24"/>
              </w:rPr>
            </w:pPr>
            <w:r>
              <w:rPr>
                <w:rFonts w:hint="eastAsia" w:ascii="宋体" w:hAnsi="宋体" w:cs="宋体"/>
                <w:kern w:val="0"/>
                <w:sz w:val="24"/>
              </w:rPr>
              <w:t>网络管理</w:t>
            </w:r>
          </w:p>
        </w:tc>
        <w:tc>
          <w:tcPr>
            <w:tcW w:w="1466" w:type="pct"/>
            <w:vAlign w:val="center"/>
          </w:tcPr>
          <w:p w14:paraId="21A468E1">
            <w:pPr>
              <w:spacing w:line="360" w:lineRule="auto"/>
              <w:jc w:val="center"/>
              <w:rPr>
                <w:rFonts w:ascii="宋体" w:hAnsi="宋体" w:cs="宋体"/>
                <w:kern w:val="0"/>
                <w:sz w:val="24"/>
              </w:rPr>
            </w:pPr>
            <w:r>
              <w:rPr>
                <w:rFonts w:hint="eastAsia" w:ascii="宋体" w:hAnsi="宋体" w:cs="宋体"/>
                <w:kern w:val="0"/>
                <w:sz w:val="24"/>
              </w:rPr>
              <w:t>1</w:t>
            </w:r>
          </w:p>
        </w:tc>
      </w:tr>
      <w:tr w14:paraId="010E3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75" w:type="pct"/>
            <w:vAlign w:val="center"/>
          </w:tcPr>
          <w:p w14:paraId="22569AA5">
            <w:pPr>
              <w:spacing w:line="360" w:lineRule="auto"/>
              <w:jc w:val="center"/>
              <w:rPr>
                <w:rFonts w:ascii="宋体" w:hAnsi="宋体" w:cs="宋体"/>
                <w:kern w:val="0"/>
                <w:sz w:val="24"/>
              </w:rPr>
            </w:pPr>
            <w:r>
              <w:rPr>
                <w:rFonts w:hint="eastAsia" w:ascii="宋体" w:hAnsi="宋体" w:cs="宋体"/>
                <w:kern w:val="0"/>
                <w:sz w:val="24"/>
              </w:rPr>
              <w:t>8</w:t>
            </w:r>
          </w:p>
        </w:tc>
        <w:tc>
          <w:tcPr>
            <w:tcW w:w="2757" w:type="pct"/>
            <w:vAlign w:val="center"/>
          </w:tcPr>
          <w:p w14:paraId="177B858C">
            <w:pPr>
              <w:spacing w:line="360" w:lineRule="auto"/>
              <w:jc w:val="center"/>
              <w:rPr>
                <w:rFonts w:ascii="宋体" w:hAnsi="宋体" w:cs="宋体"/>
                <w:kern w:val="0"/>
                <w:sz w:val="24"/>
              </w:rPr>
            </w:pPr>
            <w:r>
              <w:rPr>
                <w:rFonts w:hint="eastAsia" w:ascii="宋体" w:hAnsi="宋体" w:cs="宋体"/>
                <w:kern w:val="0"/>
                <w:sz w:val="24"/>
              </w:rPr>
              <w:t>网络隔离</w:t>
            </w:r>
          </w:p>
        </w:tc>
        <w:tc>
          <w:tcPr>
            <w:tcW w:w="1466" w:type="pct"/>
            <w:vAlign w:val="center"/>
          </w:tcPr>
          <w:p w14:paraId="03DA2121">
            <w:pPr>
              <w:spacing w:line="360" w:lineRule="auto"/>
              <w:jc w:val="center"/>
              <w:rPr>
                <w:rFonts w:ascii="宋体" w:hAnsi="宋体" w:cs="宋体"/>
                <w:kern w:val="0"/>
                <w:sz w:val="24"/>
              </w:rPr>
            </w:pPr>
            <w:r>
              <w:rPr>
                <w:rFonts w:hint="eastAsia" w:ascii="宋体" w:hAnsi="宋体" w:cs="宋体"/>
                <w:kern w:val="0"/>
                <w:sz w:val="24"/>
              </w:rPr>
              <w:t>1</w:t>
            </w:r>
          </w:p>
        </w:tc>
      </w:tr>
      <w:tr w14:paraId="16193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75" w:type="pct"/>
            <w:vAlign w:val="center"/>
          </w:tcPr>
          <w:p w14:paraId="430091C0">
            <w:pPr>
              <w:spacing w:line="360" w:lineRule="auto"/>
              <w:jc w:val="center"/>
              <w:rPr>
                <w:rFonts w:ascii="宋体" w:hAnsi="宋体" w:cs="宋体"/>
                <w:kern w:val="0"/>
                <w:sz w:val="24"/>
              </w:rPr>
            </w:pPr>
            <w:r>
              <w:rPr>
                <w:rFonts w:hint="eastAsia" w:ascii="宋体" w:hAnsi="宋体" w:cs="宋体"/>
                <w:kern w:val="0"/>
                <w:sz w:val="24"/>
              </w:rPr>
              <w:t>9</w:t>
            </w:r>
          </w:p>
        </w:tc>
        <w:tc>
          <w:tcPr>
            <w:tcW w:w="2757" w:type="pct"/>
            <w:vAlign w:val="center"/>
          </w:tcPr>
          <w:p w14:paraId="046326AA">
            <w:pPr>
              <w:spacing w:line="360" w:lineRule="auto"/>
              <w:jc w:val="center"/>
              <w:rPr>
                <w:rFonts w:ascii="宋体" w:hAnsi="宋体" w:cs="宋体"/>
                <w:kern w:val="0"/>
                <w:sz w:val="24"/>
              </w:rPr>
            </w:pPr>
            <w:r>
              <w:rPr>
                <w:rFonts w:hint="eastAsia" w:ascii="宋体" w:hAnsi="宋体" w:cs="宋体"/>
                <w:kern w:val="0"/>
                <w:sz w:val="24"/>
              </w:rPr>
              <w:t>日志审计</w:t>
            </w:r>
          </w:p>
        </w:tc>
        <w:tc>
          <w:tcPr>
            <w:tcW w:w="1466" w:type="pct"/>
            <w:vAlign w:val="center"/>
          </w:tcPr>
          <w:p w14:paraId="6FF3CC07">
            <w:pPr>
              <w:spacing w:line="360" w:lineRule="auto"/>
              <w:jc w:val="center"/>
              <w:rPr>
                <w:rFonts w:ascii="宋体" w:hAnsi="宋体" w:cs="宋体"/>
                <w:kern w:val="0"/>
                <w:sz w:val="24"/>
              </w:rPr>
            </w:pPr>
            <w:r>
              <w:rPr>
                <w:rFonts w:hint="eastAsia" w:ascii="宋体" w:hAnsi="宋体" w:cs="宋体"/>
                <w:kern w:val="0"/>
                <w:sz w:val="24"/>
              </w:rPr>
              <w:t>1</w:t>
            </w:r>
          </w:p>
        </w:tc>
      </w:tr>
    </w:tbl>
    <w:p w14:paraId="214E4A31">
      <w:pPr>
        <w:widowControl w:val="0"/>
        <w:spacing w:line="360" w:lineRule="auto"/>
        <w:jc w:val="both"/>
        <w:rPr>
          <w:rFonts w:ascii="宋体" w:hAnsi="宋体" w:eastAsia="宋体" w:cs="宋体"/>
          <w:color w:val="auto"/>
          <w:kern w:val="2"/>
          <w:sz w:val="24"/>
          <w:szCs w:val="24"/>
          <w:lang w:val="en-US" w:eastAsia="zh-CN" w:bidi="ar-SA"/>
        </w:rPr>
      </w:pPr>
    </w:p>
    <w:p w14:paraId="2D43AE27">
      <w:pPr>
        <w:widowControl w:val="0"/>
        <w:spacing w:line="360" w:lineRule="auto"/>
        <w:ind w:firstLine="482" w:firstLineChars="200"/>
        <w:jc w:val="both"/>
        <w:rPr>
          <w:rFonts w:ascii="宋体" w:hAnsi="宋体" w:eastAsia="宋体" w:cs="宋体"/>
          <w:b/>
          <w:color w:val="auto"/>
          <w:kern w:val="2"/>
          <w:sz w:val="24"/>
          <w:szCs w:val="24"/>
          <w:lang w:val="en-US" w:eastAsia="zh-CN" w:bidi="ar-SA"/>
        </w:rPr>
      </w:pPr>
      <w:r>
        <w:rPr>
          <w:rFonts w:hint="eastAsia" w:ascii="宋体" w:hAnsi="宋体" w:eastAsia="宋体" w:cs="宋体"/>
          <w:b/>
          <w:color w:val="auto"/>
          <w:kern w:val="2"/>
          <w:sz w:val="24"/>
          <w:szCs w:val="24"/>
          <w:lang w:val="en-US" w:eastAsia="zh-CN" w:bidi="ar-SA"/>
        </w:rPr>
        <w:t>3.医院故障分级标准及响应时间要求</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1276"/>
        <w:gridCol w:w="3544"/>
        <w:gridCol w:w="2778"/>
      </w:tblGrid>
      <w:tr w14:paraId="7AAA4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14:paraId="2CE7D065">
            <w:pPr>
              <w:spacing w:line="360" w:lineRule="auto"/>
              <w:jc w:val="center"/>
              <w:rPr>
                <w:rFonts w:ascii="宋体" w:hAnsi="宋体" w:eastAsia="等线" w:cs="宋体"/>
                <w:b/>
                <w:sz w:val="24"/>
              </w:rPr>
            </w:pPr>
            <w:r>
              <w:rPr>
                <w:rFonts w:hint="eastAsia" w:ascii="宋体" w:hAnsi="宋体" w:eastAsia="等线" w:cs="宋体"/>
                <w:b/>
                <w:sz w:val="24"/>
              </w:rPr>
              <w:t>序号</w:t>
            </w:r>
          </w:p>
        </w:tc>
        <w:tc>
          <w:tcPr>
            <w:tcW w:w="1276" w:type="dxa"/>
            <w:vAlign w:val="center"/>
          </w:tcPr>
          <w:p w14:paraId="37F8A0F3">
            <w:pPr>
              <w:spacing w:line="360" w:lineRule="auto"/>
              <w:jc w:val="center"/>
              <w:rPr>
                <w:rFonts w:ascii="宋体" w:hAnsi="宋体" w:eastAsia="等线" w:cs="宋体"/>
                <w:b/>
                <w:sz w:val="24"/>
              </w:rPr>
            </w:pPr>
            <w:r>
              <w:rPr>
                <w:rFonts w:hint="eastAsia" w:ascii="宋体" w:hAnsi="宋体" w:eastAsia="等线" w:cs="宋体"/>
                <w:b/>
                <w:sz w:val="24"/>
              </w:rPr>
              <w:t>故障等级</w:t>
            </w:r>
          </w:p>
        </w:tc>
        <w:tc>
          <w:tcPr>
            <w:tcW w:w="3544" w:type="dxa"/>
            <w:vAlign w:val="center"/>
          </w:tcPr>
          <w:p w14:paraId="4E5832C4">
            <w:pPr>
              <w:spacing w:line="360" w:lineRule="auto"/>
              <w:jc w:val="center"/>
              <w:rPr>
                <w:rFonts w:ascii="宋体" w:hAnsi="宋体" w:eastAsia="等线" w:cs="宋体"/>
                <w:b/>
                <w:sz w:val="24"/>
              </w:rPr>
            </w:pPr>
            <w:r>
              <w:rPr>
                <w:rFonts w:hint="eastAsia" w:ascii="宋体" w:hAnsi="宋体" w:eastAsia="等线" w:cs="宋体"/>
                <w:b/>
                <w:sz w:val="24"/>
              </w:rPr>
              <w:t>故障情况描述</w:t>
            </w:r>
          </w:p>
        </w:tc>
        <w:tc>
          <w:tcPr>
            <w:tcW w:w="2778" w:type="dxa"/>
            <w:vAlign w:val="center"/>
          </w:tcPr>
          <w:p w14:paraId="156C30FD">
            <w:pPr>
              <w:spacing w:line="360" w:lineRule="auto"/>
              <w:jc w:val="center"/>
              <w:rPr>
                <w:rFonts w:ascii="宋体" w:hAnsi="宋体" w:eastAsia="等线" w:cs="宋体"/>
                <w:b/>
                <w:sz w:val="24"/>
              </w:rPr>
            </w:pPr>
            <w:r>
              <w:rPr>
                <w:rFonts w:hint="eastAsia" w:ascii="宋体" w:hAnsi="宋体" w:eastAsia="等线" w:cs="宋体"/>
                <w:b/>
                <w:sz w:val="24"/>
              </w:rPr>
              <w:t>响应时间要求</w:t>
            </w:r>
          </w:p>
        </w:tc>
      </w:tr>
      <w:tr w14:paraId="60BFE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14:paraId="2DFDF07C">
            <w:pPr>
              <w:spacing w:line="360" w:lineRule="auto"/>
              <w:jc w:val="center"/>
              <w:rPr>
                <w:rFonts w:ascii="宋体" w:hAnsi="宋体" w:eastAsia="等线" w:cs="宋体"/>
                <w:sz w:val="24"/>
              </w:rPr>
            </w:pPr>
            <w:r>
              <w:rPr>
                <w:rFonts w:hint="eastAsia" w:ascii="宋体" w:hAnsi="宋体" w:eastAsia="等线" w:cs="宋体"/>
                <w:sz w:val="24"/>
              </w:rPr>
              <w:t>1</w:t>
            </w:r>
          </w:p>
        </w:tc>
        <w:tc>
          <w:tcPr>
            <w:tcW w:w="1276" w:type="dxa"/>
            <w:vAlign w:val="center"/>
          </w:tcPr>
          <w:p w14:paraId="7E976F7F">
            <w:pPr>
              <w:spacing w:line="360" w:lineRule="auto"/>
              <w:jc w:val="center"/>
              <w:rPr>
                <w:rFonts w:ascii="宋体" w:hAnsi="宋体" w:eastAsia="等线" w:cs="宋体"/>
                <w:sz w:val="24"/>
              </w:rPr>
            </w:pPr>
            <w:r>
              <w:rPr>
                <w:rFonts w:hint="eastAsia" w:ascii="宋体" w:hAnsi="宋体" w:eastAsia="等线" w:cs="宋体"/>
                <w:sz w:val="24"/>
              </w:rPr>
              <w:t>一级故障</w:t>
            </w:r>
          </w:p>
        </w:tc>
        <w:tc>
          <w:tcPr>
            <w:tcW w:w="3544" w:type="dxa"/>
            <w:vAlign w:val="center"/>
          </w:tcPr>
          <w:p w14:paraId="22DDFF6B">
            <w:pPr>
              <w:spacing w:line="360" w:lineRule="auto"/>
              <w:rPr>
                <w:rFonts w:ascii="宋体" w:hAnsi="宋体" w:eastAsia="等线" w:cs="宋体"/>
                <w:sz w:val="24"/>
              </w:rPr>
            </w:pPr>
            <w:r>
              <w:rPr>
                <w:rFonts w:hint="eastAsia" w:ascii="宋体" w:hAnsi="宋体" w:eastAsia="等线" w:cs="宋体"/>
                <w:sz w:val="24"/>
              </w:rPr>
              <w:t>网络瘫痪，或出现网络攻击，导致多部门终端用户的业务无法办理，严重影响医院业务正常运作。</w:t>
            </w:r>
          </w:p>
        </w:tc>
        <w:tc>
          <w:tcPr>
            <w:tcW w:w="2778" w:type="dxa"/>
            <w:vAlign w:val="center"/>
          </w:tcPr>
          <w:p w14:paraId="4E9E30BD">
            <w:pPr>
              <w:spacing w:line="360" w:lineRule="auto"/>
              <w:rPr>
                <w:rFonts w:ascii="宋体" w:hAnsi="宋体" w:eastAsia="等线" w:cs="宋体"/>
                <w:sz w:val="24"/>
              </w:rPr>
            </w:pPr>
            <w:r>
              <w:rPr>
                <w:rFonts w:hint="eastAsia" w:ascii="宋体" w:hAnsi="宋体" w:eastAsia="等线" w:cs="宋体"/>
                <w:sz w:val="24"/>
              </w:rPr>
              <w:t>服务商应在10分钟内响应，4小时内到达现场，6小时内解决问题，或提供相应解决方案直至网络恢复正常。</w:t>
            </w:r>
          </w:p>
        </w:tc>
      </w:tr>
      <w:tr w14:paraId="1B2CA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14:paraId="06CBE6EB">
            <w:pPr>
              <w:spacing w:line="360" w:lineRule="auto"/>
              <w:jc w:val="center"/>
              <w:rPr>
                <w:rFonts w:ascii="宋体" w:hAnsi="宋体" w:eastAsia="等线" w:cs="宋体"/>
                <w:sz w:val="24"/>
              </w:rPr>
            </w:pPr>
            <w:r>
              <w:rPr>
                <w:rFonts w:hint="eastAsia" w:ascii="宋体" w:hAnsi="宋体" w:eastAsia="等线" w:cs="宋体"/>
                <w:sz w:val="24"/>
              </w:rPr>
              <w:t>2</w:t>
            </w:r>
          </w:p>
        </w:tc>
        <w:tc>
          <w:tcPr>
            <w:tcW w:w="1276" w:type="dxa"/>
            <w:vAlign w:val="center"/>
          </w:tcPr>
          <w:p w14:paraId="1E5D2639">
            <w:pPr>
              <w:spacing w:line="360" w:lineRule="auto"/>
              <w:jc w:val="center"/>
              <w:rPr>
                <w:rFonts w:ascii="宋体" w:hAnsi="宋体" w:eastAsia="等线" w:cs="宋体"/>
                <w:sz w:val="24"/>
              </w:rPr>
            </w:pPr>
            <w:r>
              <w:rPr>
                <w:rFonts w:hint="eastAsia" w:ascii="宋体" w:hAnsi="宋体" w:eastAsia="等线" w:cs="宋体"/>
                <w:sz w:val="24"/>
              </w:rPr>
              <w:t>二级故障</w:t>
            </w:r>
          </w:p>
        </w:tc>
        <w:tc>
          <w:tcPr>
            <w:tcW w:w="3544" w:type="dxa"/>
            <w:vAlign w:val="center"/>
          </w:tcPr>
          <w:p w14:paraId="3589614A">
            <w:pPr>
              <w:spacing w:line="360" w:lineRule="auto"/>
              <w:rPr>
                <w:rFonts w:ascii="宋体" w:hAnsi="宋体" w:eastAsia="等线" w:cs="宋体"/>
                <w:sz w:val="24"/>
              </w:rPr>
            </w:pPr>
            <w:r>
              <w:rPr>
                <w:rFonts w:hint="eastAsia" w:ascii="宋体" w:hAnsi="宋体" w:eastAsia="等线" w:cs="宋体"/>
                <w:sz w:val="24"/>
              </w:rPr>
              <w:t>部分网络瘫痪，安全设备运行异常，出现非致命性故障，导致设备性能严重降级，或由于设备性能失常严重影响用户的业务动作。</w:t>
            </w:r>
          </w:p>
        </w:tc>
        <w:tc>
          <w:tcPr>
            <w:tcW w:w="2778" w:type="dxa"/>
            <w:vAlign w:val="center"/>
          </w:tcPr>
          <w:p w14:paraId="2EF2D864">
            <w:pPr>
              <w:spacing w:line="360" w:lineRule="auto"/>
              <w:rPr>
                <w:rFonts w:ascii="宋体" w:hAnsi="宋体" w:eastAsia="等线" w:cs="宋体"/>
                <w:sz w:val="24"/>
              </w:rPr>
            </w:pPr>
            <w:r>
              <w:rPr>
                <w:rFonts w:hint="eastAsia" w:ascii="宋体" w:hAnsi="宋体" w:eastAsia="等线" w:cs="宋体"/>
                <w:sz w:val="24"/>
              </w:rPr>
              <w:t>服务商应在30分钟内响应，6小时内到达现场或远程维护，12小时内解决问题，或提供相应解决方案直至网络恢复正常。</w:t>
            </w:r>
          </w:p>
        </w:tc>
      </w:tr>
      <w:tr w14:paraId="14708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14:paraId="70AC11BE">
            <w:pPr>
              <w:spacing w:line="360" w:lineRule="auto"/>
              <w:jc w:val="center"/>
              <w:rPr>
                <w:rFonts w:ascii="宋体" w:hAnsi="宋体" w:eastAsia="等线" w:cs="宋体"/>
                <w:sz w:val="24"/>
              </w:rPr>
            </w:pPr>
            <w:r>
              <w:rPr>
                <w:rFonts w:hint="eastAsia" w:ascii="宋体" w:hAnsi="宋体" w:eastAsia="等线" w:cs="宋体"/>
                <w:sz w:val="24"/>
              </w:rPr>
              <w:t>3</w:t>
            </w:r>
          </w:p>
        </w:tc>
        <w:tc>
          <w:tcPr>
            <w:tcW w:w="1276" w:type="dxa"/>
            <w:vAlign w:val="center"/>
          </w:tcPr>
          <w:p w14:paraId="0D8C760D">
            <w:pPr>
              <w:spacing w:line="360" w:lineRule="auto"/>
              <w:jc w:val="center"/>
              <w:rPr>
                <w:rFonts w:ascii="宋体" w:hAnsi="宋体" w:eastAsia="等线" w:cs="宋体"/>
                <w:sz w:val="24"/>
              </w:rPr>
            </w:pPr>
            <w:r>
              <w:rPr>
                <w:rFonts w:hint="eastAsia" w:ascii="宋体" w:hAnsi="宋体" w:eastAsia="等线" w:cs="宋体"/>
                <w:sz w:val="24"/>
              </w:rPr>
              <w:t>三级故障</w:t>
            </w:r>
          </w:p>
        </w:tc>
        <w:tc>
          <w:tcPr>
            <w:tcW w:w="3544" w:type="dxa"/>
            <w:vAlign w:val="center"/>
          </w:tcPr>
          <w:p w14:paraId="7760DF44">
            <w:pPr>
              <w:spacing w:line="360" w:lineRule="auto"/>
              <w:rPr>
                <w:rFonts w:ascii="宋体" w:hAnsi="宋体" w:eastAsia="等线" w:cs="宋体"/>
                <w:sz w:val="24"/>
              </w:rPr>
            </w:pPr>
            <w:r>
              <w:rPr>
                <w:rFonts w:hint="eastAsia" w:ascii="宋体" w:hAnsi="宋体" w:eastAsia="等线" w:cs="宋体"/>
                <w:sz w:val="24"/>
              </w:rPr>
              <w:t>网络设备或安全设备部分功能异常，影响较少患者正常就诊，医院主要业务正常工作。</w:t>
            </w:r>
          </w:p>
        </w:tc>
        <w:tc>
          <w:tcPr>
            <w:tcW w:w="2778" w:type="dxa"/>
            <w:vAlign w:val="center"/>
          </w:tcPr>
          <w:p w14:paraId="53EAA493">
            <w:pPr>
              <w:spacing w:line="360" w:lineRule="auto"/>
              <w:rPr>
                <w:rFonts w:ascii="宋体" w:hAnsi="宋体" w:eastAsia="等线" w:cs="宋体"/>
                <w:sz w:val="24"/>
              </w:rPr>
            </w:pPr>
            <w:r>
              <w:rPr>
                <w:rFonts w:hint="eastAsia" w:ascii="宋体" w:hAnsi="宋体" w:eastAsia="等线" w:cs="宋体"/>
                <w:sz w:val="24"/>
              </w:rPr>
              <w:t>服务商应在30分钟内响应，12小时内到达现场或远程维护，24小时内解决问题。</w:t>
            </w:r>
          </w:p>
        </w:tc>
      </w:tr>
      <w:tr w14:paraId="446C1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14:paraId="79031BDA">
            <w:pPr>
              <w:spacing w:line="360" w:lineRule="auto"/>
              <w:jc w:val="center"/>
              <w:rPr>
                <w:rFonts w:ascii="宋体" w:hAnsi="宋体" w:eastAsia="等线" w:cs="宋体"/>
                <w:sz w:val="24"/>
              </w:rPr>
            </w:pPr>
            <w:r>
              <w:rPr>
                <w:rFonts w:hint="eastAsia" w:ascii="宋体" w:hAnsi="宋体" w:eastAsia="等线" w:cs="宋体"/>
                <w:sz w:val="24"/>
              </w:rPr>
              <w:t>4</w:t>
            </w:r>
          </w:p>
        </w:tc>
        <w:tc>
          <w:tcPr>
            <w:tcW w:w="1276" w:type="dxa"/>
            <w:vAlign w:val="center"/>
          </w:tcPr>
          <w:p w14:paraId="1233DA7D">
            <w:pPr>
              <w:spacing w:line="360" w:lineRule="auto"/>
              <w:jc w:val="center"/>
              <w:rPr>
                <w:rFonts w:ascii="宋体" w:hAnsi="宋体" w:eastAsia="等线" w:cs="宋体"/>
                <w:sz w:val="24"/>
              </w:rPr>
            </w:pPr>
            <w:r>
              <w:rPr>
                <w:rFonts w:hint="eastAsia" w:ascii="宋体" w:hAnsi="宋体" w:eastAsia="等线" w:cs="宋体"/>
                <w:sz w:val="24"/>
              </w:rPr>
              <w:t>四级故障</w:t>
            </w:r>
          </w:p>
        </w:tc>
        <w:tc>
          <w:tcPr>
            <w:tcW w:w="3544" w:type="dxa"/>
            <w:vAlign w:val="center"/>
          </w:tcPr>
          <w:p w14:paraId="63B8CEBD">
            <w:pPr>
              <w:spacing w:line="360" w:lineRule="auto"/>
              <w:rPr>
                <w:rFonts w:ascii="宋体" w:hAnsi="宋体" w:eastAsia="等线" w:cs="宋体"/>
                <w:sz w:val="24"/>
              </w:rPr>
            </w:pPr>
            <w:r>
              <w:rPr>
                <w:rFonts w:hint="eastAsia" w:ascii="宋体" w:hAnsi="宋体" w:eastAsia="等线" w:cs="宋体"/>
                <w:sz w:val="24"/>
              </w:rPr>
              <w:t>设备出现一般性问题，对患者与系统运行几乎或无影响。</w:t>
            </w:r>
          </w:p>
        </w:tc>
        <w:tc>
          <w:tcPr>
            <w:tcW w:w="2778" w:type="dxa"/>
            <w:vAlign w:val="center"/>
          </w:tcPr>
          <w:p w14:paraId="5A000ADE">
            <w:pPr>
              <w:spacing w:line="360" w:lineRule="auto"/>
              <w:rPr>
                <w:rFonts w:ascii="宋体" w:hAnsi="宋体" w:eastAsia="等线" w:cs="宋体"/>
                <w:sz w:val="24"/>
              </w:rPr>
            </w:pPr>
            <w:r>
              <w:rPr>
                <w:rFonts w:hint="eastAsia" w:ascii="宋体" w:hAnsi="宋体" w:eastAsia="等线" w:cs="宋体"/>
                <w:sz w:val="24"/>
              </w:rPr>
              <w:t>服务商应在30分钟内响应，24小时内到达现场或远程维护，48小时内解决问题。</w:t>
            </w:r>
          </w:p>
        </w:tc>
      </w:tr>
    </w:tbl>
    <w:p w14:paraId="44471A16">
      <w:pPr>
        <w:widowControl w:val="0"/>
        <w:autoSpaceDE w:val="0"/>
        <w:autoSpaceDN w:val="0"/>
        <w:adjustRightInd w:val="0"/>
        <w:spacing w:line="360" w:lineRule="auto"/>
        <w:ind w:firstLine="463" w:firstLineChars="193"/>
        <w:jc w:val="both"/>
        <w:rPr>
          <w:rFonts w:ascii="宋体" w:hAnsi="宋体" w:eastAsia="宋体" w:cs="宋体"/>
          <w:kern w:val="0"/>
          <w:sz w:val="24"/>
          <w:szCs w:val="24"/>
          <w:lang w:val="en-US" w:eastAsia="zh-CN" w:bidi="ar-SA"/>
        </w:rPr>
      </w:pPr>
    </w:p>
    <w:p w14:paraId="3FC7DB38">
      <w:pPr>
        <w:widowControl w:val="0"/>
        <w:spacing w:line="360" w:lineRule="auto"/>
        <w:ind w:firstLine="482" w:firstLineChars="200"/>
        <w:jc w:val="both"/>
        <w:rPr>
          <w:rFonts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4.售后运维服务要求：</w:t>
      </w:r>
    </w:p>
    <w:p w14:paraId="6EBEE7B1">
      <w:pPr>
        <w:widowControl w:val="0"/>
        <w:autoSpaceDE w:val="0"/>
        <w:autoSpaceDN w:val="0"/>
        <w:adjustRightInd w:val="0"/>
        <w:spacing w:line="360" w:lineRule="auto"/>
        <w:ind w:firstLine="480" w:firstLineChars="200"/>
        <w:jc w:val="both"/>
        <w:rPr>
          <w:rFonts w:ascii="宋体" w:hAnsi="宋体" w:eastAsia="宋体" w:cs="宋体"/>
          <w:bCs/>
          <w:kern w:val="0"/>
          <w:sz w:val="24"/>
          <w:szCs w:val="24"/>
          <w:lang w:val="en-US" w:eastAsia="zh-CN" w:bidi="ar-SA"/>
        </w:rPr>
      </w:pPr>
      <w:r>
        <w:rPr>
          <w:rFonts w:hint="eastAsia" w:ascii="宋体" w:hAnsi="宋体" w:eastAsia="宋体" w:cs="宋体"/>
          <w:bCs/>
          <w:kern w:val="0"/>
          <w:sz w:val="24"/>
          <w:szCs w:val="24"/>
          <w:lang w:val="en-US" w:eastAsia="zh-CN" w:bidi="ar-SA"/>
        </w:rPr>
        <w:t>服务商根据以下要求内容提供售后运维服务，但不仅限于以下服务，可依据自身技术能力提供增项服务。</w:t>
      </w:r>
    </w:p>
    <w:tbl>
      <w:tblPr>
        <w:tblStyle w:val="9"/>
        <w:tblW w:w="9307" w:type="dxa"/>
        <w:jc w:val="center"/>
        <w:tblLayout w:type="fixed"/>
        <w:tblCellMar>
          <w:top w:w="0" w:type="dxa"/>
          <w:left w:w="108" w:type="dxa"/>
          <w:bottom w:w="0" w:type="dxa"/>
          <w:right w:w="108" w:type="dxa"/>
        </w:tblCellMar>
      </w:tblPr>
      <w:tblGrid>
        <w:gridCol w:w="748"/>
        <w:gridCol w:w="1775"/>
        <w:gridCol w:w="4260"/>
        <w:gridCol w:w="1262"/>
        <w:gridCol w:w="1262"/>
      </w:tblGrid>
      <w:tr w14:paraId="4F1D8CBC">
        <w:tblPrEx>
          <w:tblCellMar>
            <w:top w:w="0" w:type="dxa"/>
            <w:left w:w="108" w:type="dxa"/>
            <w:bottom w:w="0" w:type="dxa"/>
            <w:right w:w="108" w:type="dxa"/>
          </w:tblCellMar>
        </w:tblPrEx>
        <w:trPr>
          <w:trHeight w:val="272" w:hRule="atLeast"/>
          <w:jc w:val="center"/>
        </w:trPr>
        <w:tc>
          <w:tcPr>
            <w:tcW w:w="748" w:type="dxa"/>
            <w:tcBorders>
              <w:top w:val="single" w:color="auto" w:sz="4" w:space="0"/>
              <w:left w:val="single" w:color="auto" w:sz="4" w:space="0"/>
              <w:bottom w:val="single" w:color="auto" w:sz="4" w:space="0"/>
              <w:right w:val="single" w:color="auto" w:sz="4" w:space="0"/>
            </w:tcBorders>
            <w:noWrap/>
            <w:vAlign w:val="center"/>
          </w:tcPr>
          <w:p w14:paraId="1B735CEE">
            <w:pPr>
              <w:spacing w:line="360" w:lineRule="auto"/>
              <w:jc w:val="center"/>
              <w:rPr>
                <w:rFonts w:ascii="宋体" w:hAnsi="宋体" w:cs="宋体"/>
                <w:b/>
                <w:kern w:val="0"/>
                <w:sz w:val="24"/>
              </w:rPr>
            </w:pPr>
            <w:r>
              <w:rPr>
                <w:rFonts w:hint="eastAsia" w:ascii="宋体" w:hAnsi="宋体" w:cs="宋体"/>
                <w:b/>
                <w:kern w:val="0"/>
                <w:sz w:val="24"/>
              </w:rPr>
              <w:t>序号</w:t>
            </w:r>
          </w:p>
        </w:tc>
        <w:tc>
          <w:tcPr>
            <w:tcW w:w="1775" w:type="dxa"/>
            <w:tcBorders>
              <w:top w:val="single" w:color="auto" w:sz="4" w:space="0"/>
              <w:left w:val="nil"/>
              <w:bottom w:val="single" w:color="auto" w:sz="4" w:space="0"/>
              <w:right w:val="single" w:color="auto" w:sz="4" w:space="0"/>
            </w:tcBorders>
            <w:noWrap/>
            <w:vAlign w:val="center"/>
          </w:tcPr>
          <w:p w14:paraId="2F193923">
            <w:pPr>
              <w:spacing w:line="360" w:lineRule="auto"/>
              <w:jc w:val="center"/>
              <w:rPr>
                <w:rFonts w:ascii="宋体" w:hAnsi="宋体" w:cs="宋体"/>
                <w:b/>
                <w:kern w:val="0"/>
                <w:sz w:val="24"/>
              </w:rPr>
            </w:pPr>
            <w:r>
              <w:rPr>
                <w:rFonts w:hint="eastAsia" w:ascii="宋体" w:hAnsi="宋体" w:cs="宋体"/>
                <w:b/>
                <w:kern w:val="0"/>
                <w:sz w:val="24"/>
              </w:rPr>
              <w:t>服务项目</w:t>
            </w:r>
          </w:p>
        </w:tc>
        <w:tc>
          <w:tcPr>
            <w:tcW w:w="4260" w:type="dxa"/>
            <w:tcBorders>
              <w:top w:val="single" w:color="auto" w:sz="4" w:space="0"/>
              <w:left w:val="nil"/>
              <w:bottom w:val="single" w:color="auto" w:sz="4" w:space="0"/>
              <w:right w:val="single" w:color="auto" w:sz="4" w:space="0"/>
            </w:tcBorders>
            <w:noWrap/>
            <w:vAlign w:val="center"/>
          </w:tcPr>
          <w:p w14:paraId="45159D12">
            <w:pPr>
              <w:spacing w:line="360" w:lineRule="auto"/>
              <w:jc w:val="center"/>
              <w:rPr>
                <w:rFonts w:ascii="宋体" w:hAnsi="宋体" w:cs="宋体"/>
                <w:b/>
                <w:kern w:val="0"/>
                <w:sz w:val="24"/>
              </w:rPr>
            </w:pPr>
            <w:r>
              <w:rPr>
                <w:rFonts w:hint="eastAsia" w:ascii="宋体" w:hAnsi="宋体" w:cs="宋体"/>
                <w:b/>
                <w:kern w:val="0"/>
                <w:sz w:val="24"/>
              </w:rPr>
              <w:t>服务内涵</w:t>
            </w:r>
          </w:p>
        </w:tc>
        <w:tc>
          <w:tcPr>
            <w:tcW w:w="1262" w:type="dxa"/>
            <w:tcBorders>
              <w:top w:val="single" w:color="auto" w:sz="4" w:space="0"/>
              <w:left w:val="nil"/>
              <w:bottom w:val="single" w:color="auto" w:sz="4" w:space="0"/>
              <w:right w:val="single" w:color="auto" w:sz="4" w:space="0"/>
            </w:tcBorders>
            <w:noWrap/>
            <w:vAlign w:val="center"/>
          </w:tcPr>
          <w:p w14:paraId="660C3170">
            <w:pPr>
              <w:spacing w:line="360" w:lineRule="auto"/>
              <w:jc w:val="center"/>
              <w:rPr>
                <w:rFonts w:ascii="宋体" w:hAnsi="宋体" w:cs="宋体"/>
                <w:b/>
                <w:kern w:val="0"/>
                <w:sz w:val="24"/>
              </w:rPr>
            </w:pPr>
            <w:r>
              <w:rPr>
                <w:rFonts w:hint="eastAsia" w:ascii="宋体" w:hAnsi="宋体" w:cs="宋体"/>
                <w:b/>
                <w:kern w:val="0"/>
                <w:sz w:val="24"/>
              </w:rPr>
              <w:t>服务方式</w:t>
            </w:r>
          </w:p>
        </w:tc>
        <w:tc>
          <w:tcPr>
            <w:tcW w:w="1262" w:type="dxa"/>
            <w:tcBorders>
              <w:top w:val="single" w:color="auto" w:sz="4" w:space="0"/>
              <w:left w:val="nil"/>
              <w:bottom w:val="single" w:color="auto" w:sz="4" w:space="0"/>
              <w:right w:val="single" w:color="auto" w:sz="4" w:space="0"/>
            </w:tcBorders>
          </w:tcPr>
          <w:p w14:paraId="6D64B980">
            <w:pPr>
              <w:spacing w:line="360" w:lineRule="auto"/>
              <w:jc w:val="center"/>
              <w:rPr>
                <w:rFonts w:ascii="宋体" w:hAnsi="宋体" w:cs="宋体"/>
                <w:b/>
                <w:kern w:val="0"/>
                <w:sz w:val="24"/>
              </w:rPr>
            </w:pPr>
            <w:r>
              <w:rPr>
                <w:rFonts w:hint="eastAsia" w:ascii="宋体" w:hAnsi="宋体" w:cs="宋体"/>
                <w:b/>
                <w:kern w:val="0"/>
                <w:sz w:val="24"/>
              </w:rPr>
              <w:t>服务次数</w:t>
            </w:r>
          </w:p>
        </w:tc>
      </w:tr>
      <w:tr w14:paraId="50148A71">
        <w:tblPrEx>
          <w:tblCellMar>
            <w:top w:w="0" w:type="dxa"/>
            <w:left w:w="108" w:type="dxa"/>
            <w:bottom w:w="0" w:type="dxa"/>
            <w:right w:w="108" w:type="dxa"/>
          </w:tblCellMar>
        </w:tblPrEx>
        <w:trPr>
          <w:trHeight w:val="272" w:hRule="atLeast"/>
          <w:jc w:val="center"/>
        </w:trPr>
        <w:tc>
          <w:tcPr>
            <w:tcW w:w="748" w:type="dxa"/>
            <w:tcBorders>
              <w:top w:val="single" w:color="auto" w:sz="4" w:space="0"/>
              <w:left w:val="single" w:color="auto" w:sz="4" w:space="0"/>
              <w:bottom w:val="single" w:color="auto" w:sz="4" w:space="0"/>
              <w:right w:val="single" w:color="auto" w:sz="4" w:space="0"/>
            </w:tcBorders>
            <w:noWrap/>
            <w:vAlign w:val="center"/>
          </w:tcPr>
          <w:p w14:paraId="4325FD4B">
            <w:pPr>
              <w:spacing w:line="360" w:lineRule="auto"/>
              <w:jc w:val="center"/>
              <w:rPr>
                <w:rFonts w:ascii="宋体" w:hAnsi="宋体" w:cs="宋体"/>
                <w:kern w:val="0"/>
                <w:sz w:val="24"/>
              </w:rPr>
            </w:pPr>
            <w:r>
              <w:rPr>
                <w:rFonts w:hint="eastAsia" w:ascii="宋体" w:hAnsi="宋体" w:cs="宋体"/>
                <w:kern w:val="0"/>
                <w:sz w:val="24"/>
              </w:rPr>
              <w:t>1</w:t>
            </w:r>
          </w:p>
        </w:tc>
        <w:tc>
          <w:tcPr>
            <w:tcW w:w="1775" w:type="dxa"/>
            <w:tcBorders>
              <w:top w:val="single" w:color="auto" w:sz="4" w:space="0"/>
              <w:left w:val="nil"/>
              <w:bottom w:val="single" w:color="auto" w:sz="4" w:space="0"/>
              <w:right w:val="single" w:color="auto" w:sz="4" w:space="0"/>
            </w:tcBorders>
            <w:noWrap/>
            <w:vAlign w:val="center"/>
          </w:tcPr>
          <w:p w14:paraId="5D95391C">
            <w:pPr>
              <w:spacing w:line="360" w:lineRule="auto"/>
              <w:jc w:val="center"/>
              <w:rPr>
                <w:rFonts w:ascii="宋体" w:hAnsi="宋体" w:cs="宋体"/>
                <w:kern w:val="0"/>
                <w:sz w:val="24"/>
              </w:rPr>
            </w:pPr>
            <w:r>
              <w:rPr>
                <w:rFonts w:hint="eastAsia" w:ascii="宋体" w:hAnsi="宋体" w:cs="宋体"/>
                <w:kern w:val="0"/>
                <w:sz w:val="24"/>
              </w:rPr>
              <w:t>网络设备与安全设备运维服务</w:t>
            </w:r>
          </w:p>
        </w:tc>
        <w:tc>
          <w:tcPr>
            <w:tcW w:w="4260" w:type="dxa"/>
            <w:tcBorders>
              <w:top w:val="single" w:color="auto" w:sz="4" w:space="0"/>
              <w:left w:val="nil"/>
              <w:bottom w:val="single" w:color="auto" w:sz="4" w:space="0"/>
              <w:right w:val="single" w:color="auto" w:sz="4" w:space="0"/>
            </w:tcBorders>
            <w:noWrap/>
            <w:vAlign w:val="center"/>
          </w:tcPr>
          <w:p w14:paraId="06BFD0F0">
            <w:pPr>
              <w:spacing w:line="360" w:lineRule="auto"/>
              <w:rPr>
                <w:rFonts w:ascii="宋体" w:hAnsi="宋体" w:cs="宋体"/>
                <w:kern w:val="0"/>
                <w:sz w:val="24"/>
              </w:rPr>
            </w:pPr>
            <w:r>
              <w:rPr>
                <w:rFonts w:hint="eastAsia" w:ascii="宋体" w:hAnsi="宋体" w:cs="宋体"/>
                <w:kern w:val="0"/>
                <w:sz w:val="24"/>
              </w:rPr>
              <w:t>1、设备的软、硬件维护操作、排错技术操作指导管理；</w:t>
            </w:r>
          </w:p>
          <w:p w14:paraId="7D4C79AA">
            <w:pPr>
              <w:spacing w:line="360" w:lineRule="auto"/>
              <w:rPr>
                <w:rFonts w:ascii="宋体" w:hAnsi="宋体" w:cs="宋体"/>
                <w:kern w:val="0"/>
                <w:sz w:val="24"/>
              </w:rPr>
            </w:pPr>
            <w:r>
              <w:rPr>
                <w:rFonts w:hint="eastAsia" w:ascii="宋体" w:hAnsi="宋体" w:cs="宋体"/>
                <w:kern w:val="0"/>
                <w:sz w:val="24"/>
              </w:rPr>
              <w:t>2、由于产品故障导致的网络故障、安全风险事件；</w:t>
            </w:r>
          </w:p>
          <w:p w14:paraId="2596E492">
            <w:pPr>
              <w:spacing w:line="360" w:lineRule="auto"/>
              <w:rPr>
                <w:rFonts w:ascii="宋体" w:hAnsi="宋体" w:cs="宋体"/>
                <w:kern w:val="0"/>
                <w:sz w:val="24"/>
              </w:rPr>
            </w:pPr>
            <w:r>
              <w:rPr>
                <w:rFonts w:hint="eastAsia" w:ascii="宋体" w:hAnsi="宋体" w:cs="宋体"/>
                <w:kern w:val="0"/>
                <w:sz w:val="24"/>
              </w:rPr>
              <w:t>3、针对具体业务应用进行网络设备与安全策略的配置管理；</w:t>
            </w:r>
          </w:p>
          <w:p w14:paraId="471A93CD">
            <w:pPr>
              <w:spacing w:line="360" w:lineRule="auto"/>
              <w:rPr>
                <w:rFonts w:ascii="宋体" w:hAnsi="宋体" w:cs="宋体"/>
                <w:kern w:val="0"/>
                <w:sz w:val="24"/>
              </w:rPr>
            </w:pPr>
            <w:r>
              <w:rPr>
                <w:rFonts w:hint="eastAsia" w:ascii="宋体" w:hAnsi="宋体" w:cs="宋体"/>
                <w:kern w:val="0"/>
                <w:sz w:val="24"/>
              </w:rPr>
              <w:t>4、由于外部或内部网络环境变化导致的系统显示错误、数据错误、运行效率降低等问题；</w:t>
            </w:r>
          </w:p>
          <w:p w14:paraId="635591E2">
            <w:pPr>
              <w:spacing w:line="360" w:lineRule="auto"/>
              <w:rPr>
                <w:rFonts w:ascii="宋体" w:hAnsi="宋体" w:cs="宋体"/>
                <w:kern w:val="0"/>
                <w:sz w:val="24"/>
              </w:rPr>
            </w:pPr>
            <w:r>
              <w:rPr>
                <w:rFonts w:hint="eastAsia" w:ascii="宋体" w:hAnsi="宋体" w:cs="宋体"/>
                <w:kern w:val="0"/>
                <w:sz w:val="24"/>
              </w:rPr>
              <w:t>5、</w:t>
            </w:r>
            <w:r>
              <w:rPr>
                <w:rFonts w:hint="eastAsia" w:ascii="宋体" w:hAnsi="宋体" w:cs="宋体"/>
                <w:sz w:val="24"/>
              </w:rPr>
              <w:t>由于产品故障导致网络故障，需更换设备的排除故障的事件，服务商为采购人提供同等类型产品替代服务。</w:t>
            </w:r>
            <w:r>
              <w:rPr>
                <w:rFonts w:hint="eastAsia" w:ascii="宋体" w:hAnsi="宋体" w:cs="宋体"/>
                <w:kern w:val="0"/>
                <w:sz w:val="24"/>
              </w:rPr>
              <w:t xml:space="preserve"> </w:t>
            </w:r>
          </w:p>
          <w:p w14:paraId="144D9F8D">
            <w:pPr>
              <w:widowControl w:val="0"/>
              <w:spacing w:line="360" w:lineRule="auto"/>
              <w:jc w:val="both"/>
              <w:rPr>
                <w:rFonts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6、定期为采购人提供安全检测，收集并分析各个设备的日志文件，分析安全隐患并进行相关的处理。</w:t>
            </w:r>
          </w:p>
          <w:p w14:paraId="5A625A9F">
            <w:pPr>
              <w:widowControl w:val="0"/>
              <w:spacing w:line="360" w:lineRule="auto"/>
              <w:jc w:val="both"/>
              <w:rPr>
                <w:rFonts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7、</w:t>
            </w:r>
            <w:r>
              <w:rPr>
                <w:rFonts w:hint="eastAsia" w:ascii="宋体" w:hAnsi="宋体" w:eastAsia="宋体" w:cs="宋体"/>
                <w:color w:val="auto"/>
                <w:kern w:val="0"/>
                <w:sz w:val="24"/>
                <w:szCs w:val="24"/>
                <w:lang w:val="en-US" w:eastAsia="zh-CN" w:bidi="ar-SA"/>
              </w:rPr>
              <w:t>对硬件环境进行检查。</w:t>
            </w:r>
          </w:p>
        </w:tc>
        <w:tc>
          <w:tcPr>
            <w:tcW w:w="1262" w:type="dxa"/>
            <w:tcBorders>
              <w:top w:val="single" w:color="auto" w:sz="4" w:space="0"/>
              <w:left w:val="nil"/>
              <w:bottom w:val="single" w:color="auto" w:sz="4" w:space="0"/>
              <w:right w:val="single" w:color="auto" w:sz="4" w:space="0"/>
            </w:tcBorders>
            <w:noWrap/>
            <w:vAlign w:val="center"/>
          </w:tcPr>
          <w:p w14:paraId="1663EB0D">
            <w:pPr>
              <w:spacing w:line="360" w:lineRule="auto"/>
              <w:rPr>
                <w:rFonts w:ascii="宋体" w:hAnsi="宋体" w:cs="宋体"/>
                <w:kern w:val="0"/>
                <w:sz w:val="24"/>
              </w:rPr>
            </w:pPr>
            <w:r>
              <w:rPr>
                <w:rFonts w:hint="eastAsia" w:ascii="宋体" w:hAnsi="宋体" w:cs="宋体"/>
                <w:kern w:val="0"/>
                <w:sz w:val="24"/>
              </w:rPr>
              <w:t>电话服务</w:t>
            </w:r>
          </w:p>
          <w:p w14:paraId="1E652598">
            <w:pPr>
              <w:widowControl w:val="0"/>
              <w:spacing w:line="360" w:lineRule="auto"/>
              <w:jc w:val="both"/>
              <w:rPr>
                <w:rFonts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远程服务</w:t>
            </w:r>
          </w:p>
          <w:p w14:paraId="3E7CCED9">
            <w:pPr>
              <w:spacing w:line="360" w:lineRule="auto"/>
              <w:rPr>
                <w:rFonts w:ascii="宋体" w:hAnsi="宋体" w:cs="宋体"/>
                <w:kern w:val="0"/>
                <w:sz w:val="24"/>
              </w:rPr>
            </w:pPr>
            <w:r>
              <w:rPr>
                <w:rFonts w:hint="eastAsia" w:ascii="宋体" w:hAnsi="宋体" w:cs="宋体"/>
                <w:kern w:val="0"/>
                <w:sz w:val="24"/>
              </w:rPr>
              <w:t>现场服务</w:t>
            </w:r>
          </w:p>
        </w:tc>
        <w:tc>
          <w:tcPr>
            <w:tcW w:w="1262" w:type="dxa"/>
            <w:tcBorders>
              <w:top w:val="single" w:color="auto" w:sz="4" w:space="0"/>
              <w:left w:val="nil"/>
              <w:bottom w:val="single" w:color="auto" w:sz="4" w:space="0"/>
              <w:right w:val="single" w:color="auto" w:sz="4" w:space="0"/>
            </w:tcBorders>
            <w:vAlign w:val="center"/>
          </w:tcPr>
          <w:p w14:paraId="3D854638">
            <w:pPr>
              <w:spacing w:line="360" w:lineRule="auto"/>
              <w:jc w:val="center"/>
              <w:rPr>
                <w:rFonts w:ascii="宋体" w:hAnsi="宋体" w:cs="宋体"/>
                <w:kern w:val="0"/>
                <w:sz w:val="24"/>
              </w:rPr>
            </w:pPr>
            <w:r>
              <w:rPr>
                <w:rFonts w:hint="eastAsia" w:ascii="宋体" w:hAnsi="宋体" w:cs="宋体"/>
                <w:kern w:val="0"/>
                <w:sz w:val="24"/>
              </w:rPr>
              <w:t>不限</w:t>
            </w:r>
          </w:p>
        </w:tc>
      </w:tr>
      <w:tr w14:paraId="06AD0FEB">
        <w:tblPrEx>
          <w:tblCellMar>
            <w:top w:w="0" w:type="dxa"/>
            <w:left w:w="108" w:type="dxa"/>
            <w:bottom w:w="0" w:type="dxa"/>
            <w:right w:w="108" w:type="dxa"/>
          </w:tblCellMar>
        </w:tblPrEx>
        <w:trPr>
          <w:trHeight w:val="1567" w:hRule="atLeast"/>
          <w:jc w:val="center"/>
        </w:trPr>
        <w:tc>
          <w:tcPr>
            <w:tcW w:w="748" w:type="dxa"/>
            <w:tcBorders>
              <w:top w:val="nil"/>
              <w:left w:val="single" w:color="auto" w:sz="4" w:space="0"/>
              <w:bottom w:val="single" w:color="auto" w:sz="4" w:space="0"/>
              <w:right w:val="single" w:color="auto" w:sz="4" w:space="0"/>
            </w:tcBorders>
            <w:noWrap/>
            <w:vAlign w:val="center"/>
          </w:tcPr>
          <w:p w14:paraId="174A3AED">
            <w:pPr>
              <w:spacing w:line="360" w:lineRule="auto"/>
              <w:jc w:val="center"/>
              <w:rPr>
                <w:rFonts w:ascii="宋体" w:hAnsi="宋体" w:cs="宋体"/>
                <w:kern w:val="0"/>
                <w:sz w:val="24"/>
              </w:rPr>
            </w:pPr>
            <w:r>
              <w:rPr>
                <w:rFonts w:hint="eastAsia" w:ascii="宋体" w:hAnsi="宋体" w:cs="宋体"/>
                <w:kern w:val="0"/>
                <w:sz w:val="24"/>
              </w:rPr>
              <w:t>2</w:t>
            </w:r>
          </w:p>
        </w:tc>
        <w:tc>
          <w:tcPr>
            <w:tcW w:w="1775" w:type="dxa"/>
            <w:tcBorders>
              <w:top w:val="nil"/>
              <w:left w:val="single" w:color="auto" w:sz="4" w:space="0"/>
              <w:bottom w:val="single" w:color="auto" w:sz="4" w:space="0"/>
              <w:right w:val="single" w:color="auto" w:sz="4" w:space="0"/>
            </w:tcBorders>
            <w:vAlign w:val="center"/>
          </w:tcPr>
          <w:p w14:paraId="41833DD6">
            <w:pPr>
              <w:spacing w:line="360" w:lineRule="auto"/>
              <w:jc w:val="center"/>
              <w:rPr>
                <w:rFonts w:ascii="宋体" w:hAnsi="宋体" w:cs="宋体"/>
                <w:kern w:val="0"/>
                <w:sz w:val="24"/>
              </w:rPr>
            </w:pPr>
            <w:r>
              <w:rPr>
                <w:rFonts w:hint="eastAsia" w:ascii="宋体" w:hAnsi="宋体" w:cs="宋体"/>
                <w:kern w:val="0"/>
                <w:sz w:val="24"/>
              </w:rPr>
              <w:t>设备升级更新</w:t>
            </w:r>
          </w:p>
          <w:p w14:paraId="13A93F7F">
            <w:pPr>
              <w:spacing w:line="360" w:lineRule="auto"/>
              <w:jc w:val="center"/>
              <w:rPr>
                <w:rFonts w:ascii="宋体" w:hAnsi="宋体" w:cs="宋体"/>
                <w:kern w:val="0"/>
                <w:sz w:val="24"/>
              </w:rPr>
            </w:pPr>
            <w:r>
              <w:rPr>
                <w:rFonts w:hint="eastAsia" w:ascii="宋体" w:hAnsi="宋体" w:cs="宋体"/>
                <w:kern w:val="0"/>
                <w:sz w:val="24"/>
              </w:rPr>
              <w:t>服务</w:t>
            </w:r>
          </w:p>
        </w:tc>
        <w:tc>
          <w:tcPr>
            <w:tcW w:w="4260" w:type="dxa"/>
            <w:tcBorders>
              <w:top w:val="single" w:color="auto" w:sz="4" w:space="0"/>
              <w:left w:val="single" w:color="auto" w:sz="4" w:space="0"/>
              <w:bottom w:val="single" w:color="auto" w:sz="4" w:space="0"/>
              <w:right w:val="single" w:color="auto" w:sz="4" w:space="0"/>
            </w:tcBorders>
            <w:noWrap/>
            <w:vAlign w:val="center"/>
          </w:tcPr>
          <w:p w14:paraId="2F345E58">
            <w:pPr>
              <w:spacing w:line="360" w:lineRule="auto"/>
              <w:rPr>
                <w:rFonts w:ascii="宋体" w:hAnsi="宋体" w:cs="宋体"/>
                <w:kern w:val="0"/>
                <w:sz w:val="24"/>
              </w:rPr>
            </w:pPr>
            <w:r>
              <w:rPr>
                <w:rFonts w:hint="eastAsia" w:ascii="宋体" w:hAnsi="宋体" w:cs="宋体"/>
                <w:kern w:val="0"/>
                <w:sz w:val="24"/>
              </w:rPr>
              <w:t>1、服务商组织专业技术人员为院方提供网络设备与安全设备软件升级服务；</w:t>
            </w:r>
          </w:p>
          <w:p w14:paraId="68DCF234">
            <w:pPr>
              <w:spacing w:line="360" w:lineRule="auto"/>
              <w:rPr>
                <w:rFonts w:ascii="宋体" w:hAnsi="宋体" w:cs="宋体"/>
                <w:kern w:val="0"/>
                <w:sz w:val="24"/>
              </w:rPr>
            </w:pPr>
            <w:r>
              <w:rPr>
                <w:rFonts w:hint="eastAsia" w:ascii="宋体" w:hAnsi="宋体" w:cs="宋体"/>
                <w:kern w:val="0"/>
                <w:sz w:val="24"/>
              </w:rPr>
              <w:t>2、服务商定期为院方提供安全设备各类安全补丁安装、调试服务。</w:t>
            </w:r>
          </w:p>
        </w:tc>
        <w:tc>
          <w:tcPr>
            <w:tcW w:w="1262" w:type="dxa"/>
            <w:tcBorders>
              <w:top w:val="single" w:color="auto" w:sz="4" w:space="0"/>
              <w:left w:val="nil"/>
              <w:bottom w:val="single" w:color="auto" w:sz="4" w:space="0"/>
              <w:right w:val="single" w:color="auto" w:sz="4" w:space="0"/>
            </w:tcBorders>
            <w:noWrap/>
            <w:vAlign w:val="center"/>
          </w:tcPr>
          <w:p w14:paraId="069AF423">
            <w:pPr>
              <w:spacing w:line="360" w:lineRule="auto"/>
              <w:rPr>
                <w:rFonts w:ascii="宋体" w:hAnsi="宋体" w:cs="宋体"/>
                <w:kern w:val="0"/>
                <w:sz w:val="24"/>
              </w:rPr>
            </w:pPr>
            <w:r>
              <w:rPr>
                <w:rFonts w:hint="eastAsia" w:ascii="宋体" w:hAnsi="宋体" w:cs="宋体"/>
                <w:kern w:val="0"/>
                <w:sz w:val="24"/>
              </w:rPr>
              <w:t>远程服务</w:t>
            </w:r>
          </w:p>
          <w:p w14:paraId="7E53B3B0">
            <w:pPr>
              <w:spacing w:line="360" w:lineRule="auto"/>
              <w:rPr>
                <w:rFonts w:ascii="宋体" w:hAnsi="宋体" w:cs="宋体"/>
                <w:kern w:val="0"/>
                <w:sz w:val="24"/>
              </w:rPr>
            </w:pPr>
            <w:r>
              <w:rPr>
                <w:rFonts w:hint="eastAsia" w:ascii="宋体" w:hAnsi="宋体" w:cs="宋体"/>
                <w:kern w:val="0"/>
                <w:sz w:val="24"/>
              </w:rPr>
              <w:t>现场服务</w:t>
            </w:r>
          </w:p>
        </w:tc>
        <w:tc>
          <w:tcPr>
            <w:tcW w:w="1262" w:type="dxa"/>
            <w:tcBorders>
              <w:top w:val="single" w:color="auto" w:sz="4" w:space="0"/>
              <w:left w:val="nil"/>
              <w:bottom w:val="single" w:color="auto" w:sz="4" w:space="0"/>
              <w:right w:val="single" w:color="auto" w:sz="4" w:space="0"/>
            </w:tcBorders>
            <w:vAlign w:val="center"/>
          </w:tcPr>
          <w:p w14:paraId="4FBC0018">
            <w:pPr>
              <w:spacing w:line="360" w:lineRule="auto"/>
              <w:jc w:val="center"/>
              <w:rPr>
                <w:rFonts w:ascii="宋体" w:hAnsi="宋体" w:cs="宋体"/>
                <w:kern w:val="0"/>
                <w:sz w:val="24"/>
              </w:rPr>
            </w:pPr>
            <w:r>
              <w:rPr>
                <w:rFonts w:hint="eastAsia" w:ascii="宋体" w:hAnsi="宋体" w:cs="宋体"/>
                <w:kern w:val="0"/>
                <w:sz w:val="24"/>
              </w:rPr>
              <w:t>不限</w:t>
            </w:r>
          </w:p>
        </w:tc>
      </w:tr>
      <w:tr w14:paraId="2547355C">
        <w:tblPrEx>
          <w:tblCellMar>
            <w:top w:w="0" w:type="dxa"/>
            <w:left w:w="108" w:type="dxa"/>
            <w:bottom w:w="0" w:type="dxa"/>
            <w:right w:w="108" w:type="dxa"/>
          </w:tblCellMar>
        </w:tblPrEx>
        <w:trPr>
          <w:trHeight w:val="1289" w:hRule="atLeast"/>
          <w:jc w:val="center"/>
        </w:trPr>
        <w:tc>
          <w:tcPr>
            <w:tcW w:w="748" w:type="dxa"/>
            <w:tcBorders>
              <w:top w:val="nil"/>
              <w:left w:val="single" w:color="auto" w:sz="4" w:space="0"/>
              <w:bottom w:val="single" w:color="auto" w:sz="4" w:space="0"/>
              <w:right w:val="single" w:color="auto" w:sz="4" w:space="0"/>
            </w:tcBorders>
            <w:noWrap/>
            <w:vAlign w:val="center"/>
          </w:tcPr>
          <w:p w14:paraId="3DD2C80C">
            <w:pPr>
              <w:spacing w:line="360" w:lineRule="auto"/>
              <w:jc w:val="center"/>
              <w:rPr>
                <w:rFonts w:ascii="宋体" w:hAnsi="宋体" w:cs="宋体"/>
                <w:kern w:val="0"/>
                <w:sz w:val="24"/>
              </w:rPr>
            </w:pPr>
            <w:r>
              <w:rPr>
                <w:rFonts w:hint="eastAsia" w:ascii="宋体" w:hAnsi="宋体" w:cs="宋体"/>
                <w:kern w:val="0"/>
                <w:sz w:val="24"/>
              </w:rPr>
              <w:t>3</w:t>
            </w:r>
          </w:p>
        </w:tc>
        <w:tc>
          <w:tcPr>
            <w:tcW w:w="1775" w:type="dxa"/>
            <w:tcBorders>
              <w:top w:val="nil"/>
              <w:left w:val="single" w:color="auto" w:sz="4" w:space="0"/>
              <w:bottom w:val="single" w:color="auto" w:sz="4" w:space="0"/>
              <w:right w:val="single" w:color="auto" w:sz="4" w:space="0"/>
            </w:tcBorders>
            <w:vAlign w:val="center"/>
          </w:tcPr>
          <w:p w14:paraId="7791F1CE">
            <w:pPr>
              <w:spacing w:line="360" w:lineRule="auto"/>
              <w:rPr>
                <w:rFonts w:ascii="宋体" w:hAnsi="宋体" w:cs="宋体"/>
                <w:kern w:val="0"/>
                <w:sz w:val="24"/>
              </w:rPr>
            </w:pPr>
            <w:r>
              <w:rPr>
                <w:rFonts w:hint="eastAsia" w:ascii="宋体" w:hAnsi="宋体" w:cs="宋体"/>
                <w:kern w:val="0"/>
                <w:sz w:val="24"/>
              </w:rPr>
              <w:t>人员培训服务</w:t>
            </w:r>
          </w:p>
        </w:tc>
        <w:tc>
          <w:tcPr>
            <w:tcW w:w="4260" w:type="dxa"/>
            <w:tcBorders>
              <w:top w:val="single" w:color="auto" w:sz="4" w:space="0"/>
              <w:left w:val="single" w:color="auto" w:sz="4" w:space="0"/>
              <w:bottom w:val="single" w:color="auto" w:sz="4" w:space="0"/>
              <w:right w:val="single" w:color="auto" w:sz="4" w:space="0"/>
            </w:tcBorders>
            <w:noWrap/>
            <w:vAlign w:val="center"/>
          </w:tcPr>
          <w:p w14:paraId="4AECE14F">
            <w:pPr>
              <w:spacing w:line="360" w:lineRule="auto"/>
              <w:rPr>
                <w:rFonts w:ascii="宋体" w:hAnsi="宋体" w:cs="宋体"/>
                <w:kern w:val="0"/>
                <w:sz w:val="24"/>
              </w:rPr>
            </w:pPr>
            <w:r>
              <w:rPr>
                <w:rFonts w:hint="eastAsia" w:ascii="宋体" w:hAnsi="宋体" w:cs="宋体"/>
                <w:kern w:val="0"/>
                <w:sz w:val="24"/>
              </w:rPr>
              <w:t>服务商应定期组织技术人员为院方提供相关技术培训服务。</w:t>
            </w:r>
          </w:p>
        </w:tc>
        <w:tc>
          <w:tcPr>
            <w:tcW w:w="1262" w:type="dxa"/>
            <w:tcBorders>
              <w:top w:val="single" w:color="auto" w:sz="4" w:space="0"/>
              <w:left w:val="nil"/>
              <w:bottom w:val="single" w:color="auto" w:sz="4" w:space="0"/>
              <w:right w:val="single" w:color="auto" w:sz="4" w:space="0"/>
            </w:tcBorders>
            <w:noWrap/>
            <w:vAlign w:val="center"/>
          </w:tcPr>
          <w:p w14:paraId="7A5AA2A5">
            <w:pPr>
              <w:spacing w:line="360" w:lineRule="auto"/>
              <w:rPr>
                <w:rFonts w:ascii="宋体" w:hAnsi="宋体" w:cs="宋体"/>
                <w:kern w:val="0"/>
                <w:sz w:val="24"/>
              </w:rPr>
            </w:pPr>
            <w:r>
              <w:rPr>
                <w:rFonts w:hint="eastAsia" w:ascii="宋体" w:hAnsi="宋体" w:cs="宋体"/>
                <w:kern w:val="0"/>
                <w:sz w:val="24"/>
              </w:rPr>
              <w:t>远程服务</w:t>
            </w:r>
          </w:p>
          <w:p w14:paraId="7CCDA71D">
            <w:pPr>
              <w:spacing w:line="360" w:lineRule="auto"/>
              <w:rPr>
                <w:rFonts w:ascii="宋体" w:hAnsi="宋体" w:cs="宋体"/>
                <w:kern w:val="0"/>
                <w:sz w:val="24"/>
              </w:rPr>
            </w:pPr>
            <w:r>
              <w:rPr>
                <w:rFonts w:hint="eastAsia" w:ascii="宋体" w:hAnsi="宋体" w:cs="宋体"/>
                <w:kern w:val="0"/>
                <w:sz w:val="24"/>
              </w:rPr>
              <w:t>现场服务</w:t>
            </w:r>
          </w:p>
        </w:tc>
        <w:tc>
          <w:tcPr>
            <w:tcW w:w="1262" w:type="dxa"/>
            <w:tcBorders>
              <w:top w:val="single" w:color="auto" w:sz="4" w:space="0"/>
              <w:left w:val="nil"/>
              <w:bottom w:val="single" w:color="auto" w:sz="4" w:space="0"/>
              <w:right w:val="single" w:color="auto" w:sz="4" w:space="0"/>
            </w:tcBorders>
            <w:vAlign w:val="center"/>
          </w:tcPr>
          <w:p w14:paraId="5DA6B255">
            <w:pPr>
              <w:spacing w:line="360" w:lineRule="auto"/>
              <w:jc w:val="center"/>
              <w:rPr>
                <w:rFonts w:ascii="宋体" w:hAnsi="宋体" w:cs="宋体"/>
                <w:kern w:val="0"/>
                <w:sz w:val="24"/>
              </w:rPr>
            </w:pPr>
            <w:r>
              <w:rPr>
                <w:rFonts w:hint="eastAsia" w:ascii="宋体" w:hAnsi="宋体" w:cs="宋体"/>
                <w:kern w:val="0"/>
                <w:sz w:val="24"/>
              </w:rPr>
              <w:t>全年不少于20学时</w:t>
            </w:r>
          </w:p>
        </w:tc>
      </w:tr>
    </w:tbl>
    <w:p w14:paraId="63452631">
      <w:pPr>
        <w:widowControl w:val="0"/>
        <w:spacing w:line="360" w:lineRule="auto"/>
        <w:ind w:firstLine="482" w:firstLineChars="200"/>
        <w:jc w:val="both"/>
        <w:rPr>
          <w:rFonts w:ascii="宋体" w:hAnsi="宋体" w:eastAsia="宋体" w:cs="宋体"/>
          <w:b/>
          <w:color w:val="auto"/>
          <w:kern w:val="2"/>
          <w:sz w:val="24"/>
          <w:szCs w:val="24"/>
          <w:lang w:val="en-US" w:eastAsia="zh-CN" w:bidi="ar-SA"/>
        </w:rPr>
      </w:pPr>
    </w:p>
    <w:p w14:paraId="665450FD">
      <w:pPr>
        <w:widowControl w:val="0"/>
        <w:spacing w:line="360" w:lineRule="auto"/>
        <w:ind w:firstLine="482" w:firstLineChars="200"/>
        <w:jc w:val="both"/>
        <w:rPr>
          <w:rFonts w:ascii="宋体" w:hAnsi="宋体" w:eastAsia="宋体" w:cs="宋体"/>
          <w:b/>
          <w:color w:val="auto"/>
          <w:kern w:val="2"/>
          <w:sz w:val="24"/>
          <w:szCs w:val="24"/>
          <w:lang w:val="en-US" w:eastAsia="zh-CN" w:bidi="ar-SA"/>
        </w:rPr>
      </w:pPr>
      <w:r>
        <w:rPr>
          <w:rFonts w:hint="eastAsia" w:ascii="宋体" w:hAnsi="宋体" w:eastAsia="宋体" w:cs="宋体"/>
          <w:b/>
          <w:color w:val="auto"/>
          <w:kern w:val="2"/>
          <w:sz w:val="24"/>
          <w:szCs w:val="24"/>
          <w:lang w:val="en-US" w:eastAsia="zh-CN" w:bidi="ar-SA"/>
        </w:rPr>
        <w:t>5.售后服务方案与技术能力要求：</w:t>
      </w:r>
    </w:p>
    <w:p w14:paraId="15091DF3">
      <w:pPr>
        <w:widowControl w:val="0"/>
        <w:spacing w:line="360" w:lineRule="auto"/>
        <w:ind w:firstLine="480" w:firstLineChars="200"/>
        <w:jc w:val="both"/>
        <w:rPr>
          <w:rFonts w:ascii="宋体" w:hAnsi="宋体" w:eastAsia="宋体" w:cs="宋体"/>
          <w:bCs/>
          <w:color w:val="auto"/>
          <w:kern w:val="2"/>
          <w:sz w:val="24"/>
          <w:szCs w:val="24"/>
          <w:lang w:val="en-US" w:eastAsia="zh-CN" w:bidi="ar-SA"/>
        </w:rPr>
      </w:pPr>
      <w:r>
        <w:rPr>
          <w:rFonts w:hint="eastAsia" w:ascii="宋体" w:hAnsi="宋体" w:eastAsia="宋体" w:cs="宋体"/>
          <w:bCs/>
          <w:color w:val="auto"/>
          <w:kern w:val="2"/>
          <w:sz w:val="24"/>
          <w:szCs w:val="24"/>
          <w:lang w:val="en-US" w:eastAsia="zh-CN" w:bidi="ar-SA"/>
        </w:rPr>
        <w:t>5.1.服务商应根据院方信息化建设情况与信息系统使用情况，制定详尽的售后服务方案。内容应涵盖以下几点：</w:t>
      </w:r>
    </w:p>
    <w:p w14:paraId="5B35F5D9">
      <w:pPr>
        <w:widowControl w:val="0"/>
        <w:spacing w:line="360" w:lineRule="auto"/>
        <w:ind w:firstLine="480" w:firstLineChars="200"/>
        <w:jc w:val="both"/>
        <w:rPr>
          <w:rFonts w:ascii="宋体" w:hAnsi="宋体" w:eastAsia="宋体" w:cs="宋体"/>
          <w:bCs/>
          <w:color w:val="auto"/>
          <w:kern w:val="2"/>
          <w:sz w:val="24"/>
          <w:szCs w:val="24"/>
          <w:lang w:val="en-US" w:eastAsia="zh-CN" w:bidi="ar-SA"/>
        </w:rPr>
      </w:pPr>
      <w:r>
        <w:rPr>
          <w:rFonts w:hint="eastAsia" w:ascii="宋体" w:hAnsi="宋体" w:eastAsia="宋体" w:cs="宋体"/>
          <w:bCs/>
          <w:color w:val="auto"/>
          <w:kern w:val="2"/>
          <w:sz w:val="24"/>
          <w:szCs w:val="24"/>
          <w:lang w:val="en-US" w:eastAsia="zh-CN" w:bidi="ar-SA"/>
        </w:rPr>
        <w:t>5.1.1.售后运维服务的承诺。</w:t>
      </w:r>
    </w:p>
    <w:p w14:paraId="0BE50815">
      <w:pPr>
        <w:widowControl w:val="0"/>
        <w:spacing w:line="360" w:lineRule="auto"/>
        <w:ind w:firstLine="480" w:firstLineChars="200"/>
        <w:jc w:val="both"/>
        <w:rPr>
          <w:rFonts w:ascii="宋体" w:hAnsi="宋体" w:eastAsia="宋体" w:cs="宋体"/>
          <w:bCs/>
          <w:color w:val="auto"/>
          <w:kern w:val="2"/>
          <w:sz w:val="24"/>
          <w:szCs w:val="24"/>
          <w:lang w:val="en-US" w:eastAsia="zh-CN" w:bidi="ar-SA"/>
        </w:rPr>
      </w:pPr>
      <w:r>
        <w:rPr>
          <w:rFonts w:hint="eastAsia" w:ascii="宋体" w:hAnsi="宋体" w:eastAsia="宋体" w:cs="宋体"/>
          <w:bCs/>
          <w:color w:val="auto"/>
          <w:kern w:val="2"/>
          <w:sz w:val="24"/>
          <w:szCs w:val="24"/>
          <w:lang w:val="en-US" w:eastAsia="zh-CN" w:bidi="ar-SA"/>
        </w:rPr>
        <w:t>5.1.2.提供售后运维服务的具体内容。</w:t>
      </w:r>
    </w:p>
    <w:p w14:paraId="54B47205">
      <w:pPr>
        <w:widowControl w:val="0"/>
        <w:spacing w:line="360" w:lineRule="auto"/>
        <w:ind w:firstLine="480" w:firstLineChars="200"/>
        <w:jc w:val="both"/>
        <w:rPr>
          <w:rFonts w:ascii="宋体" w:hAnsi="宋体" w:eastAsia="宋体" w:cs="宋体"/>
          <w:bCs/>
          <w:color w:val="auto"/>
          <w:kern w:val="2"/>
          <w:sz w:val="24"/>
          <w:szCs w:val="24"/>
          <w:lang w:val="en-US" w:eastAsia="zh-CN" w:bidi="ar-SA"/>
        </w:rPr>
      </w:pPr>
      <w:r>
        <w:rPr>
          <w:rFonts w:hint="eastAsia" w:ascii="宋体" w:hAnsi="宋体" w:eastAsia="宋体" w:cs="宋体"/>
          <w:bCs/>
          <w:color w:val="auto"/>
          <w:kern w:val="2"/>
          <w:sz w:val="24"/>
          <w:szCs w:val="24"/>
          <w:lang w:val="en-US" w:eastAsia="zh-CN" w:bidi="ar-SA"/>
        </w:rPr>
        <w:t>5.1.3.售后运维服务的具体措施。</w:t>
      </w:r>
    </w:p>
    <w:p w14:paraId="2ECB2A73">
      <w:pPr>
        <w:widowControl w:val="0"/>
        <w:spacing w:line="360" w:lineRule="auto"/>
        <w:ind w:firstLine="480" w:firstLineChars="200"/>
        <w:jc w:val="both"/>
        <w:rPr>
          <w:rFonts w:ascii="宋体" w:hAnsi="宋体" w:eastAsia="宋体" w:cs="宋体"/>
          <w:bCs/>
          <w:color w:val="auto"/>
          <w:kern w:val="2"/>
          <w:sz w:val="24"/>
          <w:szCs w:val="24"/>
          <w:lang w:val="en-US" w:eastAsia="zh-CN" w:bidi="ar-SA"/>
        </w:rPr>
      </w:pPr>
      <w:r>
        <w:rPr>
          <w:rFonts w:hint="eastAsia" w:ascii="宋体" w:hAnsi="宋体" w:eastAsia="宋体" w:cs="宋体"/>
          <w:bCs/>
          <w:color w:val="auto"/>
          <w:kern w:val="2"/>
          <w:sz w:val="24"/>
          <w:szCs w:val="24"/>
          <w:lang w:val="en-US" w:eastAsia="zh-CN" w:bidi="ar-SA"/>
        </w:rPr>
        <w:t>5.1.4.售后运维服务相关管理制度。</w:t>
      </w:r>
    </w:p>
    <w:p w14:paraId="2918F31E">
      <w:pPr>
        <w:widowControl w:val="0"/>
        <w:spacing w:line="360" w:lineRule="auto"/>
        <w:ind w:firstLine="480" w:firstLineChars="200"/>
        <w:jc w:val="both"/>
        <w:rPr>
          <w:rFonts w:ascii="宋体" w:hAnsi="宋体" w:eastAsia="宋体" w:cs="宋体"/>
          <w:bCs/>
          <w:color w:val="auto"/>
          <w:kern w:val="2"/>
          <w:sz w:val="24"/>
          <w:szCs w:val="24"/>
          <w:lang w:val="en-US" w:eastAsia="zh-CN" w:bidi="ar-SA"/>
        </w:rPr>
      </w:pPr>
      <w:r>
        <w:rPr>
          <w:rFonts w:hint="eastAsia" w:ascii="宋体" w:hAnsi="宋体" w:eastAsia="宋体" w:cs="宋体"/>
          <w:bCs/>
          <w:color w:val="auto"/>
          <w:kern w:val="2"/>
          <w:sz w:val="24"/>
          <w:szCs w:val="24"/>
          <w:lang w:val="en-US" w:eastAsia="zh-CN" w:bidi="ar-SA"/>
        </w:rPr>
        <w:t>5.1.5售后运维服务的应急预案。</w:t>
      </w:r>
    </w:p>
    <w:p w14:paraId="557605AF">
      <w:pPr>
        <w:widowControl w:val="0"/>
        <w:spacing w:line="360" w:lineRule="auto"/>
        <w:ind w:firstLine="480" w:firstLineChars="200"/>
        <w:jc w:val="both"/>
        <w:rPr>
          <w:rFonts w:ascii="宋体" w:hAnsi="宋体" w:eastAsia="宋体" w:cs="宋体"/>
          <w:bCs/>
          <w:color w:val="auto"/>
          <w:kern w:val="2"/>
          <w:sz w:val="24"/>
          <w:szCs w:val="24"/>
          <w:lang w:val="en-US" w:eastAsia="zh-CN" w:bidi="ar-SA"/>
        </w:rPr>
      </w:pPr>
      <w:r>
        <w:rPr>
          <w:rFonts w:hint="eastAsia" w:ascii="宋体" w:hAnsi="宋体" w:eastAsia="宋体" w:cs="宋体"/>
          <w:bCs/>
          <w:color w:val="auto"/>
          <w:kern w:val="2"/>
          <w:sz w:val="24"/>
          <w:szCs w:val="24"/>
          <w:lang w:val="en-US" w:eastAsia="zh-CN" w:bidi="ar-SA"/>
        </w:rPr>
        <w:t>5.1.6售后运维服务人员的考核方案。</w:t>
      </w:r>
    </w:p>
    <w:p w14:paraId="767C3C41">
      <w:pPr>
        <w:widowControl w:val="0"/>
        <w:spacing w:line="360" w:lineRule="auto"/>
        <w:ind w:firstLine="480" w:firstLineChars="200"/>
        <w:jc w:val="both"/>
        <w:rPr>
          <w:rFonts w:ascii="宋体" w:hAnsi="宋体" w:eastAsia="宋体" w:cs="宋体"/>
          <w:bCs/>
          <w:color w:val="auto"/>
          <w:kern w:val="2"/>
          <w:sz w:val="24"/>
          <w:szCs w:val="24"/>
          <w:lang w:val="en-US" w:eastAsia="zh-CN" w:bidi="ar-SA"/>
        </w:rPr>
      </w:pPr>
      <w:r>
        <w:rPr>
          <w:rFonts w:hint="eastAsia" w:ascii="宋体" w:hAnsi="宋体" w:eastAsia="宋体" w:cs="宋体"/>
          <w:bCs/>
          <w:color w:val="auto"/>
          <w:kern w:val="2"/>
          <w:sz w:val="24"/>
          <w:szCs w:val="24"/>
          <w:lang w:val="en-US" w:eastAsia="zh-CN" w:bidi="ar-SA"/>
        </w:rPr>
        <w:t>5.2.售后服务技术能力要求：</w:t>
      </w:r>
    </w:p>
    <w:p w14:paraId="718F4B97">
      <w:pPr>
        <w:widowControl w:val="0"/>
        <w:spacing w:line="360" w:lineRule="auto"/>
        <w:ind w:firstLine="480" w:firstLineChars="200"/>
        <w:jc w:val="both"/>
        <w:rPr>
          <w:rFonts w:ascii="宋体" w:hAnsi="宋体" w:eastAsia="宋体" w:cs="宋体"/>
          <w:bCs/>
          <w:color w:val="auto"/>
          <w:kern w:val="2"/>
          <w:sz w:val="24"/>
          <w:szCs w:val="24"/>
          <w:lang w:val="en-US" w:eastAsia="zh-CN" w:bidi="ar-SA"/>
        </w:rPr>
      </w:pPr>
      <w:r>
        <w:rPr>
          <w:rFonts w:hint="eastAsia" w:ascii="宋体" w:hAnsi="宋体" w:eastAsia="宋体" w:cs="宋体"/>
          <w:bCs/>
          <w:color w:val="auto"/>
          <w:kern w:val="2"/>
          <w:sz w:val="24"/>
          <w:szCs w:val="24"/>
          <w:lang w:val="en-US" w:eastAsia="zh-CN" w:bidi="ar-SA"/>
        </w:rPr>
        <w:t>5.2.1.提供售后服务人员组织架构。</w:t>
      </w:r>
    </w:p>
    <w:p w14:paraId="1467E966">
      <w:pPr>
        <w:widowControl w:val="0"/>
        <w:spacing w:line="360" w:lineRule="auto"/>
        <w:ind w:firstLine="480" w:firstLineChars="200"/>
        <w:jc w:val="both"/>
        <w:rPr>
          <w:rFonts w:ascii="宋体" w:hAnsi="宋体" w:eastAsia="宋体" w:cs="宋体"/>
          <w:bCs/>
          <w:color w:val="auto"/>
          <w:kern w:val="2"/>
          <w:sz w:val="24"/>
          <w:szCs w:val="24"/>
          <w:lang w:val="en-US" w:eastAsia="zh-CN" w:bidi="ar-SA"/>
        </w:rPr>
      </w:pPr>
      <w:r>
        <w:rPr>
          <w:rFonts w:hint="eastAsia" w:ascii="宋体" w:hAnsi="宋体" w:eastAsia="宋体" w:cs="宋体"/>
          <w:bCs/>
          <w:color w:val="auto"/>
          <w:kern w:val="2"/>
          <w:sz w:val="24"/>
          <w:szCs w:val="24"/>
          <w:lang w:val="en-US" w:eastAsia="zh-CN" w:bidi="ar-SA"/>
        </w:rPr>
        <w:t>5.2.2技术人员要求：服务商拥有设备生产企业认证的技术人员不少于5名。</w:t>
      </w:r>
    </w:p>
    <w:p w14:paraId="1885B5FA">
      <w:pPr>
        <w:widowControl w:val="0"/>
        <w:spacing w:line="360" w:lineRule="auto"/>
        <w:ind w:firstLine="482" w:firstLineChars="200"/>
        <w:jc w:val="both"/>
        <w:rPr>
          <w:rFonts w:ascii="宋体" w:hAnsi="宋体" w:eastAsia="宋体" w:cs="宋体"/>
          <w:b/>
          <w:color w:val="auto"/>
          <w:kern w:val="2"/>
          <w:sz w:val="24"/>
          <w:szCs w:val="24"/>
          <w:lang w:val="en-US" w:eastAsia="zh-CN" w:bidi="ar-SA"/>
        </w:rPr>
      </w:pPr>
      <w:r>
        <w:rPr>
          <w:rFonts w:hint="eastAsia" w:ascii="宋体" w:hAnsi="宋体" w:eastAsia="宋体" w:cs="宋体"/>
          <w:b/>
          <w:color w:val="auto"/>
          <w:kern w:val="2"/>
          <w:sz w:val="24"/>
          <w:szCs w:val="24"/>
          <w:lang w:val="en-US" w:eastAsia="zh-CN" w:bidi="ar-SA"/>
        </w:rPr>
        <w:t>6.数据安全与信息保密要求：</w:t>
      </w:r>
    </w:p>
    <w:p w14:paraId="67FBEDBA">
      <w:pPr>
        <w:widowControl w:val="0"/>
        <w:spacing w:line="360" w:lineRule="auto"/>
        <w:ind w:firstLine="480" w:firstLineChars="200"/>
        <w:jc w:val="both"/>
        <w:rPr>
          <w:rFonts w:ascii="宋体" w:hAnsi="宋体" w:eastAsia="宋体" w:cs="宋体"/>
          <w:bCs/>
          <w:color w:val="auto"/>
          <w:kern w:val="2"/>
          <w:sz w:val="24"/>
          <w:szCs w:val="24"/>
          <w:lang w:val="en-US" w:eastAsia="zh-CN" w:bidi="ar-SA"/>
        </w:rPr>
      </w:pPr>
      <w:r>
        <w:rPr>
          <w:rFonts w:hint="eastAsia" w:ascii="宋体" w:hAnsi="宋体" w:eastAsia="宋体" w:cs="宋体"/>
          <w:bCs/>
          <w:color w:val="auto"/>
          <w:kern w:val="2"/>
          <w:sz w:val="24"/>
          <w:szCs w:val="24"/>
          <w:lang w:val="en-US" w:eastAsia="zh-CN" w:bidi="ar-SA"/>
        </w:rPr>
        <w:t>6.1服务商应具有数据安全相关管理制度。</w:t>
      </w:r>
    </w:p>
    <w:p w14:paraId="4A1FE304">
      <w:pPr>
        <w:widowControl w:val="0"/>
        <w:spacing w:line="360" w:lineRule="auto"/>
        <w:ind w:firstLine="480" w:firstLineChars="200"/>
        <w:jc w:val="both"/>
        <w:rPr>
          <w:rFonts w:ascii="宋体" w:hAnsi="宋体" w:eastAsia="宋体" w:cs="宋体"/>
          <w:bCs/>
          <w:color w:val="auto"/>
          <w:kern w:val="2"/>
          <w:sz w:val="24"/>
          <w:szCs w:val="24"/>
          <w:lang w:val="en-US" w:eastAsia="zh-CN" w:bidi="ar-SA"/>
        </w:rPr>
      </w:pPr>
      <w:r>
        <w:rPr>
          <w:rFonts w:hint="eastAsia" w:ascii="宋体" w:hAnsi="宋体" w:eastAsia="宋体" w:cs="宋体"/>
          <w:bCs/>
          <w:color w:val="auto"/>
          <w:kern w:val="2"/>
          <w:sz w:val="24"/>
          <w:szCs w:val="24"/>
          <w:lang w:val="en-US" w:eastAsia="zh-CN" w:bidi="ar-SA"/>
        </w:rPr>
        <w:t>6.2服务商拥有数据安全方面技术人员，需提供近期的公司聘用证明材料。</w:t>
      </w:r>
    </w:p>
    <w:p w14:paraId="79C353C4">
      <w:pPr>
        <w:widowControl w:val="0"/>
        <w:spacing w:line="360" w:lineRule="auto"/>
        <w:ind w:firstLine="480" w:firstLineChars="200"/>
        <w:jc w:val="both"/>
        <w:rPr>
          <w:rFonts w:ascii="宋体" w:hAnsi="宋体" w:eastAsia="宋体" w:cs="宋体"/>
          <w:bCs/>
          <w:color w:val="auto"/>
          <w:kern w:val="2"/>
          <w:sz w:val="24"/>
          <w:szCs w:val="24"/>
          <w:lang w:val="en-US" w:eastAsia="zh-CN" w:bidi="ar-SA"/>
        </w:rPr>
      </w:pPr>
      <w:r>
        <w:rPr>
          <w:rFonts w:hint="eastAsia" w:ascii="宋体" w:hAnsi="宋体" w:eastAsia="宋体" w:cs="宋体"/>
          <w:bCs/>
          <w:color w:val="auto"/>
          <w:kern w:val="2"/>
          <w:sz w:val="24"/>
          <w:szCs w:val="24"/>
          <w:lang w:val="en-US" w:eastAsia="zh-CN" w:bidi="ar-SA"/>
        </w:rPr>
        <w:t>6.3提供服务商信息保密相关管理制度与公司员工保密协议。</w:t>
      </w:r>
    </w:p>
    <w:bookmarkEnd w:id="1"/>
    <w:p w14:paraId="27FA1C40">
      <w:pPr>
        <w:wordWrap w:val="0"/>
        <w:topLinePunct/>
        <w:spacing w:line="360" w:lineRule="auto"/>
        <w:ind w:firstLine="482" w:firstLineChars="200"/>
        <w:outlineLvl w:val="1"/>
        <w:rPr>
          <w:rFonts w:ascii="宋体" w:hAnsi="宋体" w:cs="宋体"/>
          <w:b/>
          <w:sz w:val="24"/>
        </w:rPr>
      </w:pPr>
      <w:bookmarkStart w:id="13" w:name="_Toc79484011"/>
      <w:bookmarkStart w:id="14" w:name="_Toc53392325"/>
      <w:r>
        <w:rPr>
          <w:rFonts w:hint="eastAsia" w:ascii="宋体" w:hAnsi="宋体" w:cs="宋体"/>
          <w:b/>
          <w:sz w:val="24"/>
        </w:rPr>
        <w:t>三.商务要求</w:t>
      </w:r>
      <w:bookmarkEnd w:id="2"/>
      <w:bookmarkEnd w:id="13"/>
      <w:bookmarkEnd w:id="14"/>
    </w:p>
    <w:p w14:paraId="57793854">
      <w:pPr>
        <w:wordWrap w:val="0"/>
        <w:topLinePunct/>
        <w:spacing w:line="360" w:lineRule="auto"/>
        <w:ind w:firstLine="482" w:firstLineChars="200"/>
        <w:rPr>
          <w:rFonts w:ascii="宋体" w:hAnsi="宋体" w:cs="宋体"/>
          <w:sz w:val="24"/>
        </w:rPr>
      </w:pPr>
      <w:r>
        <w:rPr>
          <w:rFonts w:hint="eastAsia" w:ascii="宋体" w:hAnsi="宋体" w:cs="宋体"/>
          <w:b/>
          <w:sz w:val="24"/>
        </w:rPr>
        <w:t>1.合同内容及金额：</w:t>
      </w:r>
      <w:r>
        <w:rPr>
          <w:rFonts w:hint="eastAsia" w:ascii="宋体" w:hAnsi="宋体" w:cs="宋体"/>
          <w:sz w:val="24"/>
        </w:rPr>
        <w:t>即成交单位的响应内容、现场澄清确认内容（若有）及其成交总金额。</w:t>
      </w:r>
    </w:p>
    <w:p w14:paraId="4A05A7BB">
      <w:pPr>
        <w:wordWrap w:val="0"/>
        <w:topLinePunct/>
        <w:spacing w:line="360" w:lineRule="auto"/>
        <w:ind w:firstLine="482" w:firstLineChars="200"/>
        <w:rPr>
          <w:rFonts w:ascii="宋体" w:hAnsi="宋体" w:cs="宋体"/>
          <w:sz w:val="24"/>
        </w:rPr>
      </w:pPr>
      <w:r>
        <w:rPr>
          <w:rFonts w:hint="eastAsia" w:ascii="宋体" w:hAnsi="宋体" w:cs="宋体"/>
          <w:b/>
          <w:sz w:val="24"/>
        </w:rPr>
        <w:t>2.服务地点：陕西省交通医院</w:t>
      </w:r>
    </w:p>
    <w:p w14:paraId="58BF3045">
      <w:pPr>
        <w:wordWrap w:val="0"/>
        <w:topLinePunct/>
        <w:spacing w:line="360" w:lineRule="auto"/>
        <w:ind w:firstLine="482" w:firstLineChars="200"/>
        <w:rPr>
          <w:rFonts w:ascii="宋体" w:hAnsi="宋体" w:cs="宋体"/>
          <w:bCs/>
          <w:sz w:val="24"/>
        </w:rPr>
      </w:pPr>
      <w:r>
        <w:rPr>
          <w:rFonts w:hint="eastAsia" w:ascii="宋体" w:hAnsi="宋体" w:cs="宋体"/>
          <w:b/>
          <w:sz w:val="24"/>
        </w:rPr>
        <w:t>3.服务期：</w:t>
      </w:r>
      <w:r>
        <w:rPr>
          <w:rFonts w:hint="eastAsia" w:ascii="宋体" w:hAnsi="宋体" w:cs="宋体"/>
          <w:kern w:val="0"/>
          <w:sz w:val="24"/>
        </w:rPr>
        <w:t xml:space="preserve"> 1 年</w:t>
      </w:r>
    </w:p>
    <w:p w14:paraId="1CADA7C0">
      <w:pPr>
        <w:spacing w:line="360" w:lineRule="auto"/>
        <w:ind w:firstLine="482" w:firstLineChars="200"/>
        <w:rPr>
          <w:rFonts w:ascii="宋体" w:hAnsi="宋体" w:cs="宋体"/>
          <w:sz w:val="24"/>
          <w:szCs w:val="32"/>
        </w:rPr>
      </w:pPr>
      <w:r>
        <w:rPr>
          <w:rFonts w:hint="eastAsia" w:ascii="宋体" w:hAnsi="宋体" w:cs="宋体"/>
          <w:b/>
          <w:bCs/>
          <w:sz w:val="24"/>
          <w:szCs w:val="32"/>
        </w:rPr>
        <w:t>4.履约保证金</w:t>
      </w:r>
    </w:p>
    <w:p w14:paraId="212D9FD3">
      <w:pPr>
        <w:spacing w:line="360" w:lineRule="auto"/>
        <w:ind w:firstLine="480" w:firstLineChars="200"/>
        <w:rPr>
          <w:rFonts w:ascii="宋体" w:hAnsi="宋体" w:cs="宋体"/>
          <w:sz w:val="24"/>
          <w:szCs w:val="32"/>
        </w:rPr>
      </w:pPr>
      <w:r>
        <w:rPr>
          <w:rFonts w:ascii="宋体" w:hAnsi="宋体" w:cs="宋体"/>
          <w:sz w:val="24"/>
          <w:szCs w:val="32"/>
        </w:rPr>
        <w:t>4</w:t>
      </w:r>
      <w:r>
        <w:rPr>
          <w:rFonts w:hint="eastAsia" w:ascii="宋体" w:hAnsi="宋体" w:cs="宋体"/>
          <w:sz w:val="24"/>
          <w:szCs w:val="32"/>
        </w:rPr>
        <w:t>.1为保证供应商遵守双方合同约定所有事宜和货物质量，供应商须在合同签定7日内支付采购人百分之五(5%)合同款的约保证金。</w:t>
      </w:r>
    </w:p>
    <w:p w14:paraId="508B142F">
      <w:pPr>
        <w:spacing w:line="360" w:lineRule="auto"/>
        <w:ind w:firstLine="480" w:firstLineChars="200"/>
        <w:rPr>
          <w:rFonts w:ascii="宋体" w:hAnsi="宋体" w:cs="宋体"/>
          <w:sz w:val="24"/>
          <w:szCs w:val="32"/>
        </w:rPr>
      </w:pPr>
      <w:r>
        <w:rPr>
          <w:rFonts w:ascii="宋体" w:hAnsi="宋体" w:cs="宋体"/>
          <w:sz w:val="24"/>
          <w:szCs w:val="32"/>
        </w:rPr>
        <w:t>4</w:t>
      </w:r>
      <w:r>
        <w:rPr>
          <w:rFonts w:hint="eastAsia" w:ascii="宋体" w:hAnsi="宋体" w:cs="宋体"/>
          <w:sz w:val="24"/>
          <w:szCs w:val="32"/>
        </w:rPr>
        <w:t>.2自终验结束之日起至服务期满后，在无索赔争议，且供应商提供的成果文件、产品质量、服务符合合同约定的情况下，在采购人处办理百分之五(5%)合同款的履约保证金无息支付手续。</w:t>
      </w:r>
    </w:p>
    <w:p w14:paraId="21678B52">
      <w:pPr>
        <w:spacing w:line="360" w:lineRule="auto"/>
        <w:ind w:firstLine="482" w:firstLineChars="200"/>
        <w:rPr>
          <w:rFonts w:ascii="宋体" w:hAnsi="宋体" w:cs="宋体"/>
          <w:sz w:val="24"/>
          <w:szCs w:val="32"/>
        </w:rPr>
      </w:pPr>
      <w:r>
        <w:rPr>
          <w:rFonts w:hint="eastAsia" w:ascii="宋体" w:hAnsi="宋体" w:cs="宋体"/>
          <w:b/>
          <w:bCs/>
          <w:sz w:val="24"/>
          <w:szCs w:val="32"/>
        </w:rPr>
        <w:t>5.结算方式</w:t>
      </w:r>
    </w:p>
    <w:p w14:paraId="586EC7A5">
      <w:pPr>
        <w:spacing w:line="360" w:lineRule="auto"/>
        <w:ind w:firstLine="480" w:firstLineChars="200"/>
        <w:rPr>
          <w:rFonts w:ascii="宋体" w:hAnsi="宋体" w:cs="宋体"/>
          <w:sz w:val="24"/>
          <w:szCs w:val="32"/>
        </w:rPr>
      </w:pPr>
      <w:r>
        <w:rPr>
          <w:rFonts w:ascii="宋体" w:hAnsi="宋体" w:cs="宋体"/>
          <w:sz w:val="24"/>
          <w:szCs w:val="32"/>
        </w:rPr>
        <w:t>5</w:t>
      </w:r>
      <w:r>
        <w:rPr>
          <w:rFonts w:hint="eastAsia" w:ascii="宋体" w:hAnsi="宋体" w:cs="宋体"/>
          <w:sz w:val="24"/>
          <w:szCs w:val="32"/>
        </w:rPr>
        <w:t>.1结算单位：采购人结算，结算前成交人须开具等额发票给采购人，采购人收到发票后，按照5.2的付款方式结算，否则导致的付款延误，责任自行承担。</w:t>
      </w:r>
    </w:p>
    <w:p w14:paraId="4FBC8CCF">
      <w:pPr>
        <w:spacing w:line="360" w:lineRule="auto"/>
        <w:ind w:firstLine="480" w:firstLineChars="200"/>
        <w:rPr>
          <w:rFonts w:ascii="宋体" w:hAnsi="宋体" w:cs="宋体"/>
          <w:sz w:val="24"/>
          <w:szCs w:val="32"/>
        </w:rPr>
      </w:pPr>
      <w:r>
        <w:rPr>
          <w:rFonts w:ascii="宋体" w:hAnsi="宋体" w:cs="宋体"/>
          <w:sz w:val="24"/>
          <w:szCs w:val="32"/>
        </w:rPr>
        <w:t>5</w:t>
      </w:r>
      <w:r>
        <w:rPr>
          <w:rFonts w:hint="eastAsia" w:ascii="宋体" w:hAnsi="宋体" w:cs="宋体"/>
          <w:sz w:val="24"/>
          <w:szCs w:val="32"/>
        </w:rPr>
        <w:t>.2付款方式：</w:t>
      </w:r>
    </w:p>
    <w:p w14:paraId="4CBF792D">
      <w:pPr>
        <w:spacing w:line="360" w:lineRule="auto"/>
        <w:ind w:firstLine="480" w:firstLineChars="200"/>
        <w:rPr>
          <w:rFonts w:ascii="宋体" w:hAnsi="宋体" w:cs="宋体"/>
          <w:sz w:val="24"/>
          <w:szCs w:val="32"/>
        </w:rPr>
      </w:pPr>
      <w:r>
        <w:rPr>
          <w:rFonts w:ascii="宋体" w:hAnsi="宋体" w:cs="宋体"/>
          <w:sz w:val="24"/>
          <w:szCs w:val="32"/>
        </w:rPr>
        <w:t>5.2.1</w:t>
      </w:r>
      <w:r>
        <w:rPr>
          <w:rFonts w:hint="eastAsia" w:ascii="宋体" w:hAnsi="宋体" w:cs="宋体"/>
          <w:sz w:val="24"/>
          <w:szCs w:val="32"/>
        </w:rPr>
        <w:t>合同签订生效后，乙方在甲方付款前【7】个工作日内以甲方提供的开票信息向甲方开具合同总价款（包含增项）技术服务费发票，并且支付履约保证金，甲方于收到履约保证金和乙方开具的发票后【7】个工作日内，一次性付清合同总价款，合同总价包含维护费、软件升级费、专利使用费等与履行本合同有关的一切费用。本合同总价一次性包死，不受其他市场因素变动的影响。</w:t>
      </w:r>
    </w:p>
    <w:p w14:paraId="17B2D663">
      <w:pPr>
        <w:widowControl w:val="0"/>
        <w:wordWrap w:val="0"/>
        <w:topLinePunct/>
        <w:spacing w:line="360" w:lineRule="auto"/>
        <w:ind w:firstLine="480" w:firstLineChars="200"/>
        <w:jc w:val="both"/>
        <w:rPr>
          <w:rFonts w:ascii="宋体" w:hAnsi="宋体" w:eastAsia="宋体" w:cs="宋体"/>
          <w:b/>
          <w:color w:val="auto"/>
          <w:kern w:val="2"/>
          <w:sz w:val="24"/>
          <w:szCs w:val="24"/>
          <w:highlight w:val="yellow"/>
          <w:lang w:val="en-US" w:eastAsia="zh-CN" w:bidi="ar-SA"/>
        </w:rPr>
      </w:pPr>
      <w:r>
        <w:rPr>
          <w:rFonts w:ascii="宋体" w:hAnsi="宋体" w:eastAsia="宋体" w:cs="宋体"/>
          <w:color w:val="auto"/>
          <w:kern w:val="2"/>
          <w:sz w:val="24"/>
          <w:szCs w:val="32"/>
          <w:lang w:val="en-US" w:eastAsia="zh-CN" w:bidi="ar-SA"/>
        </w:rPr>
        <w:t>5.2.</w:t>
      </w:r>
      <w:r>
        <w:rPr>
          <w:rFonts w:hint="eastAsia" w:ascii="宋体" w:hAnsi="宋体" w:eastAsia="宋体" w:cs="宋体"/>
          <w:color w:val="auto"/>
          <w:kern w:val="2"/>
          <w:sz w:val="24"/>
          <w:szCs w:val="32"/>
          <w:lang w:val="en-US" w:eastAsia="zh-CN" w:bidi="ar-SA"/>
        </w:rPr>
        <w:t>2若乙方在甲方付款前未能提供全额合规发票的，甲方有权拒付合同款项，且不承担任何责任，乙方亦不得以此为由拒绝履行任意合同义务。</w:t>
      </w:r>
    </w:p>
    <w:p w14:paraId="150C09A1">
      <w:pPr>
        <w:wordWrap w:val="0"/>
        <w:topLinePunct/>
        <w:spacing w:line="360" w:lineRule="auto"/>
        <w:ind w:firstLine="482" w:firstLineChars="200"/>
        <w:rPr>
          <w:rFonts w:ascii="宋体" w:hAnsi="宋体" w:cs="宋体"/>
          <w:b/>
          <w:sz w:val="24"/>
        </w:rPr>
      </w:pPr>
      <w:r>
        <w:rPr>
          <w:rFonts w:hint="eastAsia" w:ascii="宋体" w:hAnsi="宋体" w:cs="宋体"/>
          <w:b/>
          <w:sz w:val="24"/>
        </w:rPr>
        <w:t>6.项目验收</w:t>
      </w:r>
    </w:p>
    <w:p w14:paraId="0A277159">
      <w:pPr>
        <w:wordWrap w:val="0"/>
        <w:topLinePunct/>
        <w:spacing w:line="360" w:lineRule="auto"/>
        <w:ind w:firstLine="480" w:firstLineChars="200"/>
        <w:rPr>
          <w:rFonts w:ascii="宋体" w:hAnsi="宋体" w:cs="宋体"/>
          <w:sz w:val="24"/>
        </w:rPr>
      </w:pPr>
      <w:r>
        <w:rPr>
          <w:rFonts w:hint="eastAsia" w:ascii="宋体" w:hAnsi="宋体" w:cs="宋体"/>
          <w:sz w:val="24"/>
        </w:rPr>
        <w:t>6.1项目由采购人组织相关人员或其邀请的专家进行考核评价验收，验收时成交人应无条件予以配合并提供验收所需的全部资料：</w:t>
      </w:r>
    </w:p>
    <w:p w14:paraId="24A29EE9">
      <w:pPr>
        <w:wordWrap w:val="0"/>
        <w:topLinePunct/>
        <w:spacing w:line="360" w:lineRule="auto"/>
        <w:ind w:firstLine="480" w:firstLineChars="200"/>
        <w:rPr>
          <w:rFonts w:ascii="宋体" w:hAnsi="宋体" w:cs="宋体"/>
          <w:sz w:val="24"/>
        </w:rPr>
      </w:pPr>
      <w:r>
        <w:rPr>
          <w:rFonts w:hint="eastAsia" w:ascii="宋体" w:hAnsi="宋体" w:cs="宋体"/>
          <w:sz w:val="24"/>
        </w:rPr>
        <w:t>6.2验收依据：采购文件、响应文件、合同文本、《信息系统售后运维服务质量评价标准》、国内相应的标准、规范。</w:t>
      </w:r>
    </w:p>
    <w:p w14:paraId="663F575F">
      <w:pPr>
        <w:wordWrap w:val="0"/>
        <w:topLinePunct/>
        <w:spacing w:line="360" w:lineRule="auto"/>
        <w:ind w:firstLine="482" w:firstLineChars="200"/>
        <w:rPr>
          <w:rFonts w:ascii="宋体" w:hAnsi="宋体" w:cs="宋体"/>
          <w:b/>
          <w:bCs/>
          <w:sz w:val="24"/>
        </w:rPr>
      </w:pPr>
      <w:r>
        <w:rPr>
          <w:rFonts w:hint="eastAsia" w:ascii="宋体" w:hAnsi="宋体" w:cs="宋体"/>
          <w:b/>
          <w:bCs/>
          <w:sz w:val="24"/>
        </w:rPr>
        <w:t>7.知识产权</w:t>
      </w:r>
    </w:p>
    <w:p w14:paraId="0DDA2114">
      <w:pPr>
        <w:wordWrap w:val="0"/>
        <w:topLinePunct/>
        <w:spacing w:line="360" w:lineRule="auto"/>
        <w:ind w:firstLine="480" w:firstLineChars="200"/>
        <w:rPr>
          <w:rFonts w:ascii="宋体" w:hAnsi="宋体" w:cs="宋体"/>
          <w:sz w:val="24"/>
        </w:rPr>
      </w:pPr>
      <w:r>
        <w:rPr>
          <w:rFonts w:hint="eastAsia" w:ascii="宋体" w:hAnsi="宋体" w:cs="宋体"/>
          <w:sz w:val="24"/>
        </w:rPr>
        <w:t>供应商应保证投标服务及货物不会出现因第三方提出侵犯其专利权、商标权或其它知识产权而引发法律或经济纠纷，否则由供应商承担全部责任。任何被供应商用于未经授权的商业目的行为所造成的违约或侵权责任由供应商承但。</w:t>
      </w:r>
    </w:p>
    <w:p w14:paraId="5D3B1603">
      <w:pPr>
        <w:wordWrap w:val="0"/>
        <w:topLinePunct/>
        <w:spacing w:line="360" w:lineRule="auto"/>
        <w:ind w:firstLine="482" w:firstLineChars="200"/>
        <w:rPr>
          <w:rFonts w:ascii="宋体" w:hAnsi="宋体" w:cs="宋体"/>
          <w:b/>
          <w:bCs/>
          <w:sz w:val="24"/>
        </w:rPr>
      </w:pPr>
      <w:r>
        <w:rPr>
          <w:rFonts w:hint="eastAsia" w:ascii="宋体" w:hAnsi="宋体" w:cs="宋体"/>
          <w:b/>
          <w:bCs/>
          <w:sz w:val="24"/>
        </w:rPr>
        <w:t>8.违约责任</w:t>
      </w:r>
    </w:p>
    <w:p w14:paraId="1E7BC0B2">
      <w:pPr>
        <w:spacing w:line="336" w:lineRule="auto"/>
        <w:ind w:firstLine="480" w:firstLineChars="200"/>
        <w:rPr>
          <w:rFonts w:ascii="宋体" w:hAnsi="宋体" w:cs="宋体"/>
          <w:sz w:val="24"/>
        </w:rPr>
      </w:pPr>
      <w:r>
        <w:rPr>
          <w:rFonts w:hint="eastAsia" w:ascii="宋体" w:hAnsi="宋体" w:cs="宋体"/>
          <w:sz w:val="24"/>
        </w:rPr>
        <w:t>8.</w:t>
      </w:r>
      <w:r>
        <w:rPr>
          <w:rFonts w:ascii="宋体" w:hAnsi="宋体" w:cs="宋体"/>
          <w:sz w:val="24"/>
        </w:rPr>
        <w:t>1除不可抗力因素外，</w:t>
      </w:r>
      <w:r>
        <w:rPr>
          <w:rFonts w:hint="eastAsia" w:ascii="宋体" w:hAnsi="宋体" w:cs="宋体"/>
          <w:sz w:val="24"/>
        </w:rPr>
        <w:t>因乙方原因造成无法在本合同第十条第2款约定的时限内及时响应并排除故障</w:t>
      </w:r>
      <w:r>
        <w:rPr>
          <w:rFonts w:ascii="宋体" w:hAnsi="宋体" w:cs="宋体"/>
          <w:sz w:val="24"/>
        </w:rPr>
        <w:t>的</w:t>
      </w:r>
      <w:r>
        <w:rPr>
          <w:rFonts w:hint="eastAsia" w:ascii="宋体" w:hAnsi="宋体" w:cs="宋体"/>
          <w:sz w:val="24"/>
        </w:rPr>
        <w:t>，逾期责任由乙方承担，每逾期一天乙方按合同总价的</w:t>
      </w:r>
      <w:r>
        <w:rPr>
          <w:rFonts w:ascii="宋体" w:hAnsi="宋体" w:cs="宋体"/>
          <w:sz w:val="24"/>
        </w:rPr>
        <w:t>【</w:t>
      </w:r>
      <w:r>
        <w:rPr>
          <w:rFonts w:hint="eastAsia" w:ascii="宋体" w:hAnsi="宋体" w:cs="宋体"/>
          <w:sz w:val="24"/>
        </w:rPr>
        <w:t>0</w:t>
      </w:r>
      <w:r>
        <w:rPr>
          <w:rFonts w:ascii="宋体" w:hAnsi="宋体" w:cs="宋体"/>
          <w:sz w:val="24"/>
        </w:rPr>
        <w:t>.5】</w:t>
      </w:r>
      <w:r>
        <w:rPr>
          <w:rFonts w:hint="eastAsia" w:ascii="宋体" w:hAnsi="宋体" w:cs="宋体"/>
          <w:sz w:val="24"/>
        </w:rPr>
        <w:t>%向甲方支付违约金，累计逾期超过【3</w:t>
      </w:r>
      <w:r>
        <w:rPr>
          <w:rFonts w:ascii="宋体" w:hAnsi="宋体" w:cs="宋体"/>
          <w:sz w:val="24"/>
        </w:rPr>
        <w:t>0</w:t>
      </w:r>
      <w:r>
        <w:rPr>
          <w:rFonts w:hint="eastAsia" w:ascii="宋体" w:hAnsi="宋体" w:cs="宋体"/>
          <w:sz w:val="24"/>
        </w:rPr>
        <w:t>】天或合同期内逾期情形累计出现【1</w:t>
      </w:r>
      <w:r>
        <w:rPr>
          <w:rFonts w:ascii="宋体" w:hAnsi="宋体" w:cs="宋体"/>
          <w:sz w:val="24"/>
        </w:rPr>
        <w:t>0</w:t>
      </w:r>
      <w:r>
        <w:rPr>
          <w:rFonts w:hint="eastAsia" w:ascii="宋体" w:hAnsi="宋体" w:cs="宋体"/>
          <w:sz w:val="24"/>
        </w:rPr>
        <w:t>】次的，视为乙方根本违约，甲方有权单方解除本协议，</w:t>
      </w:r>
      <w:r>
        <w:rPr>
          <w:rFonts w:ascii="宋体" w:hAnsi="宋体" w:cs="宋体"/>
          <w:sz w:val="24"/>
        </w:rPr>
        <w:t>乙方应按合同总价的</w:t>
      </w:r>
      <w:r>
        <w:rPr>
          <w:rFonts w:hint="eastAsia" w:ascii="宋体" w:hAnsi="宋体" w:cs="宋体"/>
          <w:sz w:val="24"/>
        </w:rPr>
        <w:t>【3</w:t>
      </w:r>
      <w:r>
        <w:rPr>
          <w:rFonts w:ascii="宋体" w:hAnsi="宋体" w:cs="宋体"/>
          <w:sz w:val="24"/>
        </w:rPr>
        <w:t>0】%向甲方支付违约金，并承担因此造成的甲方损失。</w:t>
      </w:r>
    </w:p>
    <w:p w14:paraId="061013F9">
      <w:pPr>
        <w:spacing w:line="336" w:lineRule="auto"/>
        <w:ind w:firstLine="480" w:firstLineChars="200"/>
        <w:rPr>
          <w:rFonts w:ascii="宋体" w:hAnsi="宋体" w:cs="宋体"/>
          <w:sz w:val="24"/>
        </w:rPr>
      </w:pPr>
      <w:r>
        <w:rPr>
          <w:rFonts w:hint="eastAsia" w:ascii="宋体" w:hAnsi="宋体" w:cs="宋体"/>
          <w:sz w:val="24"/>
        </w:rPr>
        <w:t>8.</w:t>
      </w:r>
      <w:r>
        <w:rPr>
          <w:rFonts w:ascii="宋体" w:hAnsi="宋体" w:cs="宋体"/>
          <w:sz w:val="24"/>
        </w:rPr>
        <w:t>2</w:t>
      </w:r>
      <w:r>
        <w:rPr>
          <w:rFonts w:hint="eastAsia" w:ascii="宋体" w:hAnsi="宋体" w:cs="宋体"/>
          <w:sz w:val="24"/>
        </w:rPr>
        <w:t>在合同期限内</w:t>
      </w:r>
      <w:r>
        <w:rPr>
          <w:rFonts w:ascii="宋体" w:hAnsi="宋体" w:cs="宋体"/>
          <w:sz w:val="24"/>
        </w:rPr>
        <w:t>，由于乙方服务人员工作而导致甲方数据库受损、数据错误、丢失等，视为乙方严重违约，乙方应按合同总价的</w:t>
      </w:r>
      <w:r>
        <w:rPr>
          <w:rFonts w:hint="eastAsia" w:ascii="宋体" w:hAnsi="宋体" w:cs="宋体"/>
          <w:sz w:val="24"/>
        </w:rPr>
        <w:t>【3</w:t>
      </w:r>
      <w:r>
        <w:rPr>
          <w:rFonts w:ascii="宋体" w:hAnsi="宋体" w:cs="宋体"/>
          <w:sz w:val="24"/>
        </w:rPr>
        <w:t>0】%向甲方支付违约金，并承担因此造成的甲方损失。</w:t>
      </w:r>
    </w:p>
    <w:p w14:paraId="009311C2">
      <w:pPr>
        <w:spacing w:line="336" w:lineRule="auto"/>
        <w:ind w:firstLine="480" w:firstLineChars="200"/>
        <w:rPr>
          <w:rFonts w:ascii="宋体" w:hAnsi="宋体" w:cs="宋体"/>
          <w:sz w:val="24"/>
        </w:rPr>
      </w:pPr>
      <w:r>
        <w:rPr>
          <w:rFonts w:hint="eastAsia" w:ascii="宋体" w:hAnsi="宋体" w:cs="宋体"/>
          <w:sz w:val="24"/>
        </w:rPr>
        <w:t>8.</w:t>
      </w:r>
      <w:r>
        <w:rPr>
          <w:rFonts w:ascii="宋体" w:hAnsi="宋体" w:cs="宋体"/>
          <w:sz w:val="24"/>
        </w:rPr>
        <w:t>3</w:t>
      </w:r>
      <w:r>
        <w:rPr>
          <w:rFonts w:hint="eastAsia" w:ascii="宋体" w:hAnsi="宋体" w:cs="宋体"/>
          <w:sz w:val="24"/>
        </w:rPr>
        <w:t>在合同期限内，未经甲方同意，乙方不得转包、分包本合同项下的合同义务，否则甲方有权解除本协议，乙方需按合同总价的【3</w:t>
      </w:r>
      <w:r>
        <w:rPr>
          <w:rFonts w:ascii="宋体" w:hAnsi="宋体" w:cs="宋体"/>
          <w:sz w:val="24"/>
        </w:rPr>
        <w:t>0】%</w:t>
      </w:r>
      <w:r>
        <w:rPr>
          <w:rFonts w:hint="eastAsia" w:ascii="宋体" w:hAnsi="宋体" w:cs="宋体"/>
          <w:sz w:val="24"/>
        </w:rPr>
        <w:t xml:space="preserve">向甲方支付违约金。 </w:t>
      </w:r>
    </w:p>
    <w:p w14:paraId="470F4F1A">
      <w:pPr>
        <w:spacing w:line="336" w:lineRule="auto"/>
        <w:ind w:firstLine="480" w:firstLineChars="200"/>
        <w:rPr>
          <w:rFonts w:ascii="宋体" w:hAnsi="宋体" w:cs="宋体"/>
          <w:sz w:val="24"/>
        </w:rPr>
      </w:pPr>
      <w:r>
        <w:rPr>
          <w:rFonts w:hint="eastAsia" w:ascii="宋体" w:hAnsi="宋体" w:cs="宋体"/>
          <w:sz w:val="24"/>
        </w:rPr>
        <w:t>8.</w:t>
      </w:r>
      <w:r>
        <w:rPr>
          <w:rFonts w:ascii="宋体" w:hAnsi="宋体" w:cs="宋体"/>
          <w:sz w:val="24"/>
        </w:rPr>
        <w:t>4乙方在上门维护</w:t>
      </w:r>
      <w:r>
        <w:rPr>
          <w:rFonts w:hint="eastAsia" w:ascii="宋体" w:hAnsi="宋体" w:cs="宋体"/>
          <w:sz w:val="24"/>
        </w:rPr>
        <w:t>期间发生</w:t>
      </w:r>
      <w:r>
        <w:rPr>
          <w:rFonts w:ascii="宋体" w:hAnsi="宋体" w:cs="宋体"/>
          <w:sz w:val="24"/>
        </w:rPr>
        <w:t>任何</w:t>
      </w:r>
      <w:r>
        <w:rPr>
          <w:rFonts w:hint="eastAsia" w:ascii="宋体" w:hAnsi="宋体" w:cs="宋体"/>
          <w:sz w:val="24"/>
        </w:rPr>
        <w:t>人身事故或造成甲方设备损坏的，由乙方承担</w:t>
      </w:r>
      <w:r>
        <w:rPr>
          <w:rFonts w:ascii="宋体" w:hAnsi="宋体" w:cs="宋体"/>
          <w:sz w:val="24"/>
        </w:rPr>
        <w:t>全部</w:t>
      </w:r>
      <w:r>
        <w:rPr>
          <w:rFonts w:hint="eastAsia" w:ascii="宋体" w:hAnsi="宋体" w:cs="宋体"/>
          <w:sz w:val="24"/>
        </w:rPr>
        <w:t>赔偿责任，给甲方造成</w:t>
      </w:r>
      <w:r>
        <w:rPr>
          <w:rFonts w:ascii="宋体" w:hAnsi="宋体" w:cs="宋体"/>
          <w:sz w:val="24"/>
        </w:rPr>
        <w:t>其他</w:t>
      </w:r>
      <w:r>
        <w:rPr>
          <w:rFonts w:hint="eastAsia" w:ascii="宋体" w:hAnsi="宋体" w:cs="宋体"/>
          <w:sz w:val="24"/>
        </w:rPr>
        <w:t>损失的，甲方有权向乙方追偿。</w:t>
      </w:r>
    </w:p>
    <w:p w14:paraId="44CCE957">
      <w:pPr>
        <w:spacing w:line="336" w:lineRule="auto"/>
        <w:ind w:firstLine="480" w:firstLineChars="200"/>
        <w:rPr>
          <w:rFonts w:ascii="宋体" w:hAnsi="宋体" w:cs="宋体"/>
          <w:sz w:val="24"/>
        </w:rPr>
      </w:pPr>
      <w:r>
        <w:rPr>
          <w:rFonts w:hint="eastAsia" w:ascii="宋体" w:hAnsi="宋体" w:cs="宋体"/>
          <w:sz w:val="24"/>
        </w:rPr>
        <w:t>8.</w:t>
      </w:r>
      <w:r>
        <w:rPr>
          <w:rFonts w:ascii="宋体" w:hAnsi="宋体" w:cs="宋体"/>
          <w:sz w:val="24"/>
        </w:rPr>
        <w:t>5乙方对</w:t>
      </w:r>
      <w:r>
        <w:rPr>
          <w:rFonts w:hint="eastAsia" w:ascii="宋体" w:hAnsi="宋体" w:cs="宋体"/>
          <w:sz w:val="24"/>
        </w:rPr>
        <w:t>系统</w:t>
      </w:r>
      <w:r>
        <w:rPr>
          <w:rFonts w:ascii="宋体" w:hAnsi="宋体" w:cs="宋体"/>
          <w:sz w:val="24"/>
        </w:rPr>
        <w:t>维护或升级期间，应保证甲方的正常使用，因乙方原因中断服务的，最长不得超过【</w:t>
      </w:r>
      <w:r>
        <w:rPr>
          <w:rFonts w:hint="eastAsia" w:ascii="宋体" w:hAnsi="宋体" w:cs="宋体"/>
          <w:sz w:val="24"/>
        </w:rPr>
        <w:t>5</w:t>
      </w:r>
      <w:r>
        <w:rPr>
          <w:rFonts w:ascii="宋体" w:hAnsi="宋体" w:cs="宋体"/>
          <w:sz w:val="24"/>
        </w:rPr>
        <w:t>】天，否则甲方有权单方解除合同，合同自甲方书面解除通知送达乙方之日解除，乙方应按合同总价的</w:t>
      </w:r>
      <w:r>
        <w:rPr>
          <w:rFonts w:hint="eastAsia" w:ascii="宋体" w:hAnsi="宋体" w:cs="宋体"/>
          <w:sz w:val="24"/>
        </w:rPr>
        <w:t>【3</w:t>
      </w:r>
      <w:r>
        <w:rPr>
          <w:rFonts w:ascii="宋体" w:hAnsi="宋体" w:cs="宋体"/>
          <w:sz w:val="24"/>
        </w:rPr>
        <w:t>0】%支付违约金，违约金不足以弥补甲方损失的，乙方另行承担。</w:t>
      </w:r>
    </w:p>
    <w:p w14:paraId="43F89A8E">
      <w:pPr>
        <w:spacing w:line="336" w:lineRule="auto"/>
        <w:ind w:left="1" w:firstLine="480" w:firstLineChars="200"/>
        <w:rPr>
          <w:rFonts w:ascii="宋体" w:hAnsi="宋体" w:cs="宋体"/>
          <w:sz w:val="24"/>
          <w:szCs w:val="21"/>
        </w:rPr>
      </w:pPr>
      <w:r>
        <w:rPr>
          <w:rFonts w:hint="eastAsia" w:ascii="宋体" w:hAnsi="宋体" w:cs="宋体"/>
          <w:sz w:val="24"/>
          <w:szCs w:val="21"/>
        </w:rPr>
        <w:t>8.</w:t>
      </w:r>
      <w:r>
        <w:rPr>
          <w:rFonts w:ascii="宋体" w:hAnsi="宋体" w:cs="宋体"/>
          <w:sz w:val="24"/>
          <w:szCs w:val="21"/>
        </w:rPr>
        <w:t>6</w:t>
      </w:r>
      <w:r>
        <w:rPr>
          <w:rFonts w:hint="eastAsia" w:ascii="宋体" w:hAnsi="宋体" w:cs="宋体"/>
          <w:sz w:val="24"/>
          <w:szCs w:val="21"/>
        </w:rPr>
        <w:t>对于本合同中需乙方支付的违约金，甲方均有权从未付合同款中直接扣除。</w:t>
      </w:r>
    </w:p>
    <w:p w14:paraId="37E6C6E0">
      <w:pPr>
        <w:widowControl w:val="0"/>
        <w:spacing w:line="360" w:lineRule="auto"/>
        <w:ind w:left="0" w:leftChars="0" w:firstLine="480" w:firstLineChars="200"/>
        <w:jc w:val="both"/>
        <w:rPr>
          <w:rFonts w:ascii="宋体" w:hAnsi="宋体" w:eastAsia="宋体" w:cs="宋体"/>
          <w:kern w:val="2"/>
          <w:sz w:val="24"/>
          <w:szCs w:val="24"/>
          <w:lang w:val="en-US" w:eastAsia="zh-CN" w:bidi="ar-SA"/>
        </w:rPr>
      </w:pPr>
    </w:p>
    <w:bookmarkEnd w:id="3"/>
    <w:bookmarkEnd w:id="4"/>
    <w:bookmarkEnd w:id="5"/>
    <w:bookmarkEnd w:id="6"/>
    <w:bookmarkEnd w:id="7"/>
    <w:bookmarkEnd w:id="8"/>
    <w:bookmarkEnd w:id="9"/>
    <w:bookmarkEnd w:id="10"/>
    <w:bookmarkEnd w:id="11"/>
    <w:bookmarkEnd w:id="12"/>
    <w:p w14:paraId="620D6121">
      <w:pPr>
        <w:wordWrap w:val="0"/>
        <w:topLinePunct/>
        <w:spacing w:line="360" w:lineRule="auto"/>
        <w:ind w:firstLine="482" w:firstLineChars="200"/>
        <w:rPr>
          <w:rFonts w:ascii="宋体" w:hAnsi="宋体" w:cs="宋体"/>
          <w:sz w:val="24"/>
          <w:szCs w:val="32"/>
        </w:rPr>
      </w:pPr>
      <w:bookmarkStart w:id="15" w:name="_Toc513621195"/>
      <w:r>
        <w:rPr>
          <w:rFonts w:hint="eastAsia" w:ascii="宋体" w:hAnsi="宋体" w:cs="宋体"/>
          <w:b/>
          <w:sz w:val="24"/>
        </w:rPr>
        <w:t>注：</w:t>
      </w:r>
      <w:r>
        <w:rPr>
          <w:rFonts w:hint="eastAsia" w:ascii="宋体" w:hAnsi="宋体" w:cs="宋体"/>
          <w:sz w:val="24"/>
        </w:rPr>
        <w:t>本项目技术要求及商务要求不允许负偏离。</w:t>
      </w:r>
      <w:bookmarkEnd w:id="15"/>
    </w:p>
    <w:p w14:paraId="73E9D5B0">
      <w:pPr>
        <w:widowControl w:val="0"/>
        <w:wordWrap w:val="0"/>
        <w:topLinePunct/>
        <w:spacing w:line="360" w:lineRule="auto"/>
        <w:ind w:left="0"/>
        <w:contextualSpacing/>
        <w:jc w:val="center"/>
        <w:outlineLvl w:val="1"/>
        <w:rPr>
          <w:rFonts w:ascii="宋体" w:hAnsi="宋体" w:eastAsia="宋体" w:cs="宋体"/>
          <w:b/>
          <w:bCs/>
          <w:kern w:val="2"/>
          <w:sz w:val="24"/>
          <w:szCs w:val="24"/>
          <w:lang w:val="en-US" w:eastAsia="zh-CN" w:bidi="ar-SA"/>
        </w:rPr>
      </w:pPr>
    </w:p>
    <w:p w14:paraId="30BAD92B">
      <w:pPr>
        <w:widowControl w:val="0"/>
        <w:wordWrap w:val="0"/>
        <w:topLinePunct/>
        <w:spacing w:line="360" w:lineRule="auto"/>
        <w:ind w:left="0"/>
        <w:contextualSpacing/>
        <w:jc w:val="center"/>
        <w:outlineLvl w:val="1"/>
        <w:rPr>
          <w:rFonts w:ascii="宋体" w:hAnsi="宋体" w:eastAsia="宋体" w:cs="宋体"/>
          <w:b/>
          <w:bCs/>
          <w:kern w:val="2"/>
          <w:sz w:val="24"/>
          <w:szCs w:val="24"/>
          <w:lang w:val="en-US" w:eastAsia="zh-CN" w:bidi="ar-SA"/>
        </w:rPr>
      </w:pPr>
    </w:p>
    <w:p w14:paraId="3EE65453">
      <w:pPr>
        <w:widowControl w:val="0"/>
        <w:wordWrap w:val="0"/>
        <w:topLinePunct/>
        <w:spacing w:line="360" w:lineRule="auto"/>
        <w:ind w:left="0"/>
        <w:contextualSpacing/>
        <w:jc w:val="center"/>
        <w:outlineLvl w:val="1"/>
        <w:rPr>
          <w:rFonts w:ascii="宋体" w:hAnsi="宋体" w:eastAsia="宋体" w:cs="宋体"/>
          <w:b/>
          <w:bCs/>
          <w:kern w:val="2"/>
          <w:sz w:val="24"/>
          <w:szCs w:val="24"/>
          <w:lang w:val="en-US" w:eastAsia="zh-CN" w:bidi="ar-SA"/>
        </w:rPr>
      </w:pPr>
    </w:p>
    <w:p w14:paraId="38E37B78">
      <w:pPr>
        <w:widowControl w:val="0"/>
        <w:wordWrap w:val="0"/>
        <w:topLinePunct/>
        <w:spacing w:line="360" w:lineRule="auto"/>
        <w:ind w:left="0"/>
        <w:contextualSpacing/>
        <w:jc w:val="center"/>
        <w:outlineLvl w:val="1"/>
        <w:rPr>
          <w:rFonts w:ascii="宋体" w:hAnsi="宋体" w:eastAsia="宋体" w:cs="宋体"/>
          <w:b/>
          <w:bCs/>
          <w:kern w:val="2"/>
          <w:sz w:val="24"/>
          <w:szCs w:val="24"/>
          <w:lang w:val="en-US" w:eastAsia="zh-CN" w:bidi="ar-SA"/>
        </w:rPr>
      </w:pPr>
    </w:p>
    <w:p w14:paraId="13F0A0B5">
      <w:pPr>
        <w:widowControl w:val="0"/>
        <w:wordWrap w:val="0"/>
        <w:topLinePunct/>
        <w:spacing w:line="360" w:lineRule="auto"/>
        <w:ind w:left="0"/>
        <w:contextualSpacing/>
        <w:jc w:val="center"/>
        <w:outlineLvl w:val="1"/>
        <w:rPr>
          <w:rFonts w:ascii="宋体" w:hAnsi="宋体" w:eastAsia="宋体" w:cs="宋体"/>
          <w:b/>
          <w:bCs/>
          <w:kern w:val="2"/>
          <w:sz w:val="24"/>
          <w:szCs w:val="24"/>
          <w:lang w:val="en-US" w:eastAsia="zh-CN" w:bidi="ar-SA"/>
        </w:rPr>
      </w:pPr>
    </w:p>
    <w:p w14:paraId="2FE392DD">
      <w:pPr>
        <w:widowControl w:val="0"/>
        <w:wordWrap w:val="0"/>
        <w:topLinePunct/>
        <w:spacing w:line="360" w:lineRule="auto"/>
        <w:ind w:left="0"/>
        <w:contextualSpacing/>
        <w:jc w:val="center"/>
        <w:outlineLvl w:val="1"/>
        <w:rPr>
          <w:rFonts w:ascii="宋体" w:hAnsi="宋体" w:eastAsia="宋体" w:cs="宋体"/>
          <w:b/>
          <w:bCs/>
          <w:kern w:val="2"/>
          <w:sz w:val="24"/>
          <w:szCs w:val="24"/>
          <w:lang w:val="en-US" w:eastAsia="zh-CN" w:bidi="ar-SA"/>
        </w:rPr>
      </w:pPr>
    </w:p>
    <w:p w14:paraId="0CB7E114">
      <w:pPr>
        <w:widowControl w:val="0"/>
        <w:wordWrap w:val="0"/>
        <w:topLinePunct/>
        <w:spacing w:line="360" w:lineRule="auto"/>
        <w:ind w:left="0"/>
        <w:contextualSpacing/>
        <w:jc w:val="center"/>
        <w:outlineLvl w:val="1"/>
        <w:rPr>
          <w:rFonts w:ascii="宋体" w:hAnsi="宋体" w:eastAsia="宋体" w:cs="宋体"/>
          <w:b/>
          <w:bCs/>
          <w:kern w:val="2"/>
          <w:sz w:val="24"/>
          <w:szCs w:val="24"/>
          <w:lang w:val="en-US" w:eastAsia="zh-CN" w:bidi="ar-SA"/>
        </w:rPr>
      </w:pPr>
    </w:p>
    <w:p w14:paraId="1A59CFD3">
      <w:pPr>
        <w:widowControl w:val="0"/>
        <w:wordWrap w:val="0"/>
        <w:topLinePunct/>
        <w:spacing w:line="360" w:lineRule="auto"/>
        <w:ind w:left="0"/>
        <w:contextualSpacing/>
        <w:jc w:val="center"/>
        <w:outlineLvl w:val="1"/>
        <w:rPr>
          <w:rFonts w:ascii="宋体" w:hAnsi="宋体" w:eastAsia="宋体" w:cs="宋体"/>
          <w:b/>
          <w:bCs/>
          <w:kern w:val="2"/>
          <w:sz w:val="24"/>
          <w:szCs w:val="24"/>
          <w:lang w:val="en-US" w:eastAsia="zh-CN" w:bidi="ar-SA"/>
        </w:rPr>
      </w:pPr>
    </w:p>
    <w:p w14:paraId="28325842">
      <w:pPr>
        <w:widowControl w:val="0"/>
        <w:wordWrap w:val="0"/>
        <w:topLinePunct/>
        <w:spacing w:line="360" w:lineRule="auto"/>
        <w:ind w:left="0"/>
        <w:contextualSpacing/>
        <w:jc w:val="center"/>
        <w:outlineLvl w:val="1"/>
        <w:rPr>
          <w:rFonts w:ascii="宋体" w:hAnsi="宋体" w:eastAsia="宋体" w:cs="宋体"/>
          <w:b/>
          <w:bCs/>
          <w:kern w:val="2"/>
          <w:sz w:val="24"/>
          <w:szCs w:val="24"/>
          <w:lang w:val="en-US" w:eastAsia="zh-CN" w:bidi="ar-SA"/>
        </w:rPr>
      </w:pPr>
    </w:p>
    <w:p w14:paraId="0D2A6DEF">
      <w:pPr>
        <w:widowControl w:val="0"/>
        <w:wordWrap w:val="0"/>
        <w:topLinePunct/>
        <w:spacing w:line="360" w:lineRule="auto"/>
        <w:ind w:left="0"/>
        <w:contextualSpacing/>
        <w:jc w:val="center"/>
        <w:outlineLvl w:val="1"/>
        <w:rPr>
          <w:rFonts w:ascii="宋体" w:hAnsi="宋体" w:eastAsia="宋体" w:cs="宋体"/>
          <w:b/>
          <w:bCs/>
          <w:kern w:val="2"/>
          <w:sz w:val="24"/>
          <w:szCs w:val="24"/>
          <w:lang w:val="en-US" w:eastAsia="zh-CN" w:bidi="ar-SA"/>
        </w:rPr>
      </w:pPr>
    </w:p>
    <w:p w14:paraId="592ECB8E">
      <w:pPr>
        <w:widowControl w:val="0"/>
        <w:wordWrap w:val="0"/>
        <w:topLinePunct/>
        <w:spacing w:line="360" w:lineRule="auto"/>
        <w:ind w:left="0"/>
        <w:contextualSpacing/>
        <w:jc w:val="center"/>
        <w:outlineLvl w:val="1"/>
        <w:rPr>
          <w:rFonts w:ascii="宋体" w:hAnsi="宋体" w:eastAsia="宋体" w:cs="宋体"/>
          <w:b/>
          <w:bCs/>
          <w:kern w:val="2"/>
          <w:sz w:val="24"/>
          <w:szCs w:val="24"/>
          <w:lang w:val="en-US" w:eastAsia="zh-CN" w:bidi="ar-SA"/>
        </w:rPr>
      </w:pPr>
    </w:p>
    <w:p w14:paraId="3635F2BB">
      <w:pPr>
        <w:widowControl w:val="0"/>
        <w:wordWrap w:val="0"/>
        <w:topLinePunct/>
        <w:spacing w:line="360" w:lineRule="auto"/>
        <w:ind w:left="0"/>
        <w:contextualSpacing/>
        <w:jc w:val="center"/>
        <w:outlineLvl w:val="1"/>
        <w:rPr>
          <w:rFonts w:ascii="宋体" w:hAnsi="宋体" w:eastAsia="宋体" w:cs="宋体"/>
          <w:b/>
          <w:bCs/>
          <w:kern w:val="2"/>
          <w:sz w:val="24"/>
          <w:szCs w:val="24"/>
          <w:lang w:val="en-US" w:eastAsia="zh-CN" w:bidi="ar-SA"/>
        </w:rPr>
      </w:pPr>
    </w:p>
    <w:p w14:paraId="47F8DEB1">
      <w:pPr>
        <w:widowControl w:val="0"/>
        <w:wordWrap w:val="0"/>
        <w:topLinePunct/>
        <w:spacing w:line="360" w:lineRule="auto"/>
        <w:ind w:left="0"/>
        <w:contextualSpacing/>
        <w:jc w:val="center"/>
        <w:outlineLvl w:val="1"/>
        <w:rPr>
          <w:rFonts w:ascii="宋体" w:hAnsi="宋体" w:eastAsia="宋体" w:cs="宋体"/>
          <w:b/>
          <w:bCs/>
          <w:kern w:val="2"/>
          <w:sz w:val="24"/>
          <w:szCs w:val="24"/>
          <w:lang w:val="en-US" w:eastAsia="zh-CN" w:bidi="ar-SA"/>
        </w:rPr>
      </w:pPr>
    </w:p>
    <w:p w14:paraId="4270D3ED">
      <w:pPr>
        <w:widowControl w:val="0"/>
        <w:wordWrap w:val="0"/>
        <w:topLinePunct/>
        <w:spacing w:line="360" w:lineRule="auto"/>
        <w:ind w:left="0"/>
        <w:contextualSpacing/>
        <w:jc w:val="center"/>
        <w:outlineLvl w:val="1"/>
        <w:rPr>
          <w:rFonts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包2（数据备份系统售后服务）</w:t>
      </w:r>
    </w:p>
    <w:p w14:paraId="55527AEE">
      <w:pPr>
        <w:widowControl w:val="0"/>
        <w:spacing w:line="360" w:lineRule="auto"/>
        <w:ind w:firstLine="482" w:firstLineChars="200"/>
        <w:jc w:val="both"/>
        <w:rPr>
          <w:rFonts w:ascii="宋体" w:hAnsi="宋体" w:eastAsia="宋体" w:cs="宋体"/>
          <w:b/>
          <w:color w:val="auto"/>
          <w:kern w:val="2"/>
          <w:sz w:val="24"/>
          <w:szCs w:val="24"/>
          <w:lang w:val="en-US" w:eastAsia="zh-CN" w:bidi="ar-SA"/>
        </w:rPr>
      </w:pPr>
      <w:r>
        <w:rPr>
          <w:rFonts w:ascii="宋体" w:hAnsi="宋体" w:eastAsia="宋体" w:cs="宋体"/>
          <w:b/>
          <w:color w:val="auto"/>
          <w:kern w:val="2"/>
          <w:sz w:val="24"/>
          <w:szCs w:val="24"/>
          <w:lang w:val="en-US" w:eastAsia="zh-CN" w:bidi="ar-SA"/>
        </w:rPr>
        <w:t>一</w:t>
      </w:r>
      <w:r>
        <w:rPr>
          <w:rFonts w:hint="eastAsia" w:ascii="宋体" w:hAnsi="宋体" w:eastAsia="宋体" w:cs="宋体"/>
          <w:b/>
          <w:color w:val="auto"/>
          <w:kern w:val="2"/>
          <w:sz w:val="24"/>
          <w:szCs w:val="24"/>
          <w:lang w:val="en-US" w:eastAsia="zh-CN" w:bidi="ar-SA"/>
        </w:rPr>
        <w:t>.项目概述</w:t>
      </w:r>
    </w:p>
    <w:p w14:paraId="47904690">
      <w:pPr>
        <w:widowControl w:val="0"/>
        <w:spacing w:line="360" w:lineRule="auto"/>
        <w:ind w:firstLine="480" w:firstLineChars="200"/>
        <w:jc w:val="both"/>
        <w:rPr>
          <w:rFonts w:ascii="宋体" w:hAnsi="宋体" w:eastAsia="宋体" w:cs="宋体"/>
          <w:bCs/>
          <w:color w:val="auto"/>
          <w:kern w:val="2"/>
          <w:sz w:val="24"/>
          <w:szCs w:val="24"/>
          <w:lang w:val="en-US" w:eastAsia="zh-CN" w:bidi="ar-SA"/>
        </w:rPr>
      </w:pPr>
      <w:r>
        <w:rPr>
          <w:rFonts w:hint="eastAsia" w:ascii="宋体" w:hAnsi="宋体" w:eastAsia="宋体" w:cs="宋体"/>
          <w:bCs/>
          <w:color w:val="auto"/>
          <w:kern w:val="2"/>
          <w:sz w:val="24"/>
          <w:szCs w:val="24"/>
          <w:lang w:val="en-US" w:eastAsia="zh-CN" w:bidi="ar-SA"/>
        </w:rPr>
        <w:t>采购人自2018年10月验收并正式使用爱数信息系统数据备份系统，为保障采购人信息系统正常运行，维护正常的医疗秩序，确保采购人各信息系统数据安全，充分保障患者的医疗权益，现委托具有信息系统维护能力供应商，为采购人进行维护工作，进一步加强医院信息系统维护管理与技术支持。</w:t>
      </w:r>
    </w:p>
    <w:p w14:paraId="3D6A2F40">
      <w:pPr>
        <w:widowControl w:val="0"/>
        <w:spacing w:line="360" w:lineRule="auto"/>
        <w:ind w:firstLine="482" w:firstLineChars="200"/>
        <w:jc w:val="both"/>
        <w:rPr>
          <w:rFonts w:ascii="宋体" w:hAnsi="宋体" w:eastAsia="宋体" w:cs="宋体"/>
          <w:b/>
          <w:color w:val="auto"/>
          <w:kern w:val="2"/>
          <w:sz w:val="24"/>
          <w:szCs w:val="24"/>
          <w:lang w:val="en-US" w:eastAsia="zh-CN" w:bidi="ar-SA"/>
        </w:rPr>
      </w:pPr>
      <w:r>
        <w:rPr>
          <w:rFonts w:ascii="宋体" w:hAnsi="宋体" w:eastAsia="宋体" w:cs="宋体"/>
          <w:b/>
          <w:color w:val="auto"/>
          <w:kern w:val="2"/>
          <w:sz w:val="24"/>
          <w:szCs w:val="24"/>
          <w:lang w:val="en-US" w:eastAsia="zh-CN" w:bidi="ar-SA"/>
        </w:rPr>
        <w:t>二</w:t>
      </w:r>
      <w:r>
        <w:rPr>
          <w:rFonts w:hint="eastAsia" w:ascii="宋体" w:hAnsi="宋体" w:eastAsia="宋体" w:cs="宋体"/>
          <w:b/>
          <w:color w:val="auto"/>
          <w:kern w:val="2"/>
          <w:sz w:val="24"/>
          <w:szCs w:val="24"/>
          <w:lang w:val="en-US" w:eastAsia="zh-CN" w:bidi="ar-SA"/>
        </w:rPr>
        <w:t>.技术要求</w:t>
      </w:r>
    </w:p>
    <w:p w14:paraId="250DFEC2">
      <w:pPr>
        <w:widowControl w:val="0"/>
        <w:spacing w:line="360" w:lineRule="auto"/>
        <w:ind w:firstLine="482" w:firstLineChars="200"/>
        <w:jc w:val="both"/>
        <w:rPr>
          <w:rFonts w:ascii="宋体" w:hAnsi="宋体" w:eastAsia="宋体" w:cs="宋体"/>
          <w:b/>
          <w:color w:val="auto"/>
          <w:kern w:val="2"/>
          <w:sz w:val="24"/>
          <w:szCs w:val="24"/>
          <w:lang w:val="en-US" w:eastAsia="zh-CN" w:bidi="ar-SA"/>
        </w:rPr>
      </w:pPr>
      <w:r>
        <w:rPr>
          <w:rFonts w:hint="eastAsia" w:ascii="宋体" w:hAnsi="宋体" w:eastAsia="宋体" w:cs="宋体"/>
          <w:b/>
          <w:color w:val="auto"/>
          <w:kern w:val="2"/>
          <w:sz w:val="24"/>
          <w:szCs w:val="24"/>
          <w:lang w:val="en-US" w:eastAsia="zh-CN" w:bidi="ar-SA"/>
        </w:rPr>
        <w:t>1.名词解释：</w:t>
      </w:r>
    </w:p>
    <w:p w14:paraId="5190AADB">
      <w:pPr>
        <w:widowControl w:val="0"/>
        <w:spacing w:line="360" w:lineRule="auto"/>
        <w:ind w:firstLine="480" w:firstLineChars="200"/>
        <w:jc w:val="both"/>
        <w:rPr>
          <w:rFonts w:ascii="宋体" w:hAnsi="宋体" w:eastAsia="宋体" w:cs="宋体"/>
          <w:b/>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1.1“维护”是指服务供应商为采购人提供基于许可软件的技术指导和解决产品故障等服务工作的总称。</w:t>
      </w:r>
    </w:p>
    <w:p w14:paraId="6DAF7BE4">
      <w:pPr>
        <w:widowControl w:val="0"/>
        <w:spacing w:line="360" w:lineRule="auto"/>
        <w:ind w:firstLine="480" w:firstLineChars="200"/>
        <w:jc w:val="both"/>
        <w:rPr>
          <w:rFonts w:ascii="宋体" w:hAnsi="宋体" w:eastAsia="宋体" w:cs="宋体"/>
          <w:b/>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1.2“现场”是指供应商根据许可合同许可采购人使用许可系统的场所。</w:t>
      </w:r>
    </w:p>
    <w:p w14:paraId="2E78BF5D">
      <w:pPr>
        <w:widowControl w:val="0"/>
        <w:spacing w:line="360" w:lineRule="auto"/>
        <w:ind w:firstLine="480" w:firstLineChars="200"/>
        <w:jc w:val="both"/>
        <w:rPr>
          <w:rFonts w:ascii="宋体" w:hAnsi="宋体" w:eastAsia="宋体" w:cs="宋体"/>
          <w:b/>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1.3“现场维护”是指服务供应商采购方提出 的技术问题派遣技术人员到采购方现场处解决问题的过程。</w:t>
      </w:r>
    </w:p>
    <w:p w14:paraId="4B7BC857">
      <w:pPr>
        <w:widowControl w:val="0"/>
        <w:spacing w:line="360" w:lineRule="auto"/>
        <w:ind w:firstLine="480" w:firstLineChars="200"/>
        <w:jc w:val="both"/>
        <w:rPr>
          <w:rFonts w:ascii="宋体" w:hAnsi="宋体" w:eastAsia="宋体" w:cs="宋体"/>
          <w:b/>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1.4“远程维护”是指服务供应商根据采购方提出的技术问题通过电话或互联网向采购方提供问题解答、技术指导和远程操作的过程。</w:t>
      </w:r>
    </w:p>
    <w:p w14:paraId="4F475556">
      <w:pPr>
        <w:widowControl w:val="0"/>
        <w:spacing w:line="360" w:lineRule="auto"/>
        <w:ind w:firstLine="480" w:firstLineChars="200"/>
        <w:jc w:val="both"/>
        <w:rPr>
          <w:rFonts w:ascii="宋体" w:hAnsi="宋体" w:eastAsia="宋体" w:cs="宋体"/>
          <w:b/>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1.5“软件更新”是指由于许可软件出现故障而对许可软件进行优化、换代的过程。</w:t>
      </w:r>
    </w:p>
    <w:p w14:paraId="438EB03E">
      <w:pPr>
        <w:widowControl w:val="0"/>
        <w:spacing w:line="360" w:lineRule="auto"/>
        <w:ind w:firstLine="480" w:firstLineChars="200"/>
        <w:jc w:val="both"/>
        <w:rPr>
          <w:rFonts w:ascii="宋体" w:hAnsi="宋体" w:eastAsia="宋体" w:cs="宋体"/>
          <w:b/>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1.6“技术支持”是指服务供应商为了保障许可软件和系统正常运行，在服务时间内通过电话、互联网等技术向采购方提供的援助或技术指导。</w:t>
      </w:r>
    </w:p>
    <w:p w14:paraId="08F77BEC">
      <w:pPr>
        <w:widowControl w:val="0"/>
        <w:spacing w:line="360" w:lineRule="auto"/>
        <w:ind w:firstLine="480" w:firstLineChars="200"/>
        <w:jc w:val="both"/>
        <w:rPr>
          <w:rFonts w:ascii="宋体" w:hAnsi="宋体" w:eastAsia="宋体" w:cs="宋体"/>
          <w:b/>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1.7“热线支持”是指服务供应商客户服务中心服务 人员通过电话向采购方提供技术问题解答的过程。</w:t>
      </w:r>
    </w:p>
    <w:p w14:paraId="69310AE9">
      <w:pPr>
        <w:widowControl w:val="0"/>
        <w:spacing w:line="360" w:lineRule="auto"/>
        <w:ind w:firstLine="480" w:firstLineChars="200"/>
        <w:jc w:val="both"/>
        <w:rPr>
          <w:rFonts w:ascii="宋体" w:hAnsi="宋体" w:eastAsia="宋体" w:cs="宋体"/>
          <w:b/>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1.8“网上技术支持”是指服务供应商客户服务中心通过在线支持系统接收、解答采购方问题，并在网上发面相关技术解决问答的过程。</w:t>
      </w:r>
    </w:p>
    <w:p w14:paraId="1FB7748F">
      <w:pPr>
        <w:widowControl w:val="0"/>
        <w:spacing w:line="360" w:lineRule="auto"/>
        <w:ind w:firstLine="480" w:firstLineChars="200"/>
        <w:jc w:val="both"/>
        <w:rPr>
          <w:rFonts w:ascii="宋体" w:hAnsi="宋体" w:eastAsia="宋体" w:cs="宋体"/>
          <w:b/>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1.9“响应时间”是指服务供应商接到采购方服务请求之后，到与采购方进行沟通并对采购方做出服务承诺的时间。</w:t>
      </w:r>
    </w:p>
    <w:p w14:paraId="5BEDEE9D">
      <w:pPr>
        <w:widowControl w:val="0"/>
        <w:spacing w:line="360" w:lineRule="auto"/>
        <w:ind w:firstLine="482" w:firstLineChars="200"/>
        <w:jc w:val="both"/>
        <w:rPr>
          <w:rFonts w:ascii="宋体" w:hAnsi="宋体" w:eastAsia="宋体" w:cs="宋体"/>
          <w:b/>
          <w:color w:val="auto"/>
          <w:kern w:val="2"/>
          <w:sz w:val="24"/>
          <w:szCs w:val="24"/>
          <w:lang w:val="en-US" w:eastAsia="zh-CN" w:bidi="ar-SA"/>
        </w:rPr>
      </w:pPr>
      <w:r>
        <w:rPr>
          <w:rFonts w:hint="eastAsia" w:ascii="宋体" w:hAnsi="宋体" w:eastAsia="宋体" w:cs="宋体"/>
          <w:b/>
          <w:color w:val="auto"/>
          <w:kern w:val="2"/>
          <w:sz w:val="24"/>
          <w:szCs w:val="24"/>
          <w:lang w:val="en-US" w:eastAsia="zh-CN" w:bidi="ar-SA"/>
        </w:rPr>
        <w:t>2.甲方委托乙方售后运维服务的信息系统模块：</w:t>
      </w:r>
    </w:p>
    <w:tbl>
      <w:tblPr>
        <w:tblStyle w:val="9"/>
        <w:tblW w:w="8500" w:type="dxa"/>
        <w:jc w:val="center"/>
        <w:tblLayout w:type="fixed"/>
        <w:tblCellMar>
          <w:top w:w="0" w:type="dxa"/>
          <w:left w:w="108" w:type="dxa"/>
          <w:bottom w:w="0" w:type="dxa"/>
          <w:right w:w="108" w:type="dxa"/>
        </w:tblCellMar>
      </w:tblPr>
      <w:tblGrid>
        <w:gridCol w:w="2910"/>
        <w:gridCol w:w="4315"/>
        <w:gridCol w:w="1275"/>
      </w:tblGrid>
      <w:tr w14:paraId="30C1B0BF">
        <w:tblPrEx>
          <w:tblCellMar>
            <w:top w:w="0" w:type="dxa"/>
            <w:left w:w="108" w:type="dxa"/>
            <w:bottom w:w="0" w:type="dxa"/>
            <w:right w:w="108" w:type="dxa"/>
          </w:tblCellMar>
        </w:tblPrEx>
        <w:trPr>
          <w:trHeight w:val="383" w:hRule="atLeast"/>
          <w:jc w:val="center"/>
        </w:trPr>
        <w:tc>
          <w:tcPr>
            <w:tcW w:w="8500" w:type="dxa"/>
            <w:gridSpan w:val="3"/>
            <w:tcBorders>
              <w:top w:val="single" w:color="auto" w:sz="4" w:space="0"/>
              <w:left w:val="single" w:color="auto" w:sz="4" w:space="0"/>
              <w:bottom w:val="single" w:color="auto" w:sz="4" w:space="0"/>
              <w:right w:val="single" w:color="auto" w:sz="4" w:space="0"/>
            </w:tcBorders>
            <w:vAlign w:val="center"/>
          </w:tcPr>
          <w:p w14:paraId="5C55E038">
            <w:pPr>
              <w:spacing w:line="360" w:lineRule="auto"/>
              <w:jc w:val="center"/>
              <w:rPr>
                <w:rFonts w:ascii="宋体" w:hAnsi="宋体" w:cs="宋体"/>
                <w:b/>
                <w:sz w:val="24"/>
              </w:rPr>
            </w:pPr>
            <w:r>
              <w:rPr>
                <w:rFonts w:hint="eastAsia" w:ascii="宋体" w:hAnsi="宋体" w:cs="宋体"/>
                <w:b/>
                <w:sz w:val="24"/>
              </w:rPr>
              <w:t>陕西省交通医院信息系统数据备份系统汇总表</w:t>
            </w:r>
          </w:p>
        </w:tc>
      </w:tr>
      <w:tr w14:paraId="42870866">
        <w:tblPrEx>
          <w:tblCellMar>
            <w:top w:w="0" w:type="dxa"/>
            <w:left w:w="108" w:type="dxa"/>
            <w:bottom w:w="0" w:type="dxa"/>
            <w:right w:w="108" w:type="dxa"/>
          </w:tblCellMar>
        </w:tblPrEx>
        <w:trPr>
          <w:trHeight w:val="383" w:hRule="atLeast"/>
          <w:jc w:val="center"/>
        </w:trPr>
        <w:tc>
          <w:tcPr>
            <w:tcW w:w="2910" w:type="dxa"/>
            <w:tcBorders>
              <w:top w:val="single" w:color="auto" w:sz="4" w:space="0"/>
              <w:left w:val="single" w:color="auto" w:sz="4" w:space="0"/>
              <w:bottom w:val="single" w:color="auto" w:sz="4" w:space="0"/>
              <w:right w:val="single" w:color="auto" w:sz="4" w:space="0"/>
            </w:tcBorders>
            <w:vAlign w:val="center"/>
          </w:tcPr>
          <w:p w14:paraId="589B0F91">
            <w:pPr>
              <w:spacing w:line="360" w:lineRule="auto"/>
              <w:jc w:val="center"/>
              <w:rPr>
                <w:rFonts w:ascii="宋体" w:hAnsi="宋体" w:cs="宋体"/>
                <w:b/>
                <w:sz w:val="24"/>
              </w:rPr>
            </w:pPr>
            <w:r>
              <w:rPr>
                <w:rFonts w:hint="eastAsia" w:ascii="宋体" w:hAnsi="宋体" w:cs="宋体"/>
                <w:b/>
                <w:sz w:val="24"/>
              </w:rPr>
              <w:t>信息系统名称</w:t>
            </w:r>
          </w:p>
        </w:tc>
        <w:tc>
          <w:tcPr>
            <w:tcW w:w="4315" w:type="dxa"/>
            <w:tcBorders>
              <w:top w:val="single" w:color="auto" w:sz="4" w:space="0"/>
              <w:left w:val="single" w:color="auto" w:sz="4" w:space="0"/>
              <w:bottom w:val="single" w:color="auto" w:sz="4" w:space="0"/>
              <w:right w:val="single" w:color="auto" w:sz="4" w:space="0"/>
            </w:tcBorders>
            <w:vAlign w:val="center"/>
          </w:tcPr>
          <w:p w14:paraId="31D14FE2">
            <w:pPr>
              <w:spacing w:line="360" w:lineRule="auto"/>
              <w:jc w:val="center"/>
              <w:rPr>
                <w:rFonts w:ascii="宋体" w:hAnsi="宋体" w:cs="宋体"/>
                <w:b/>
                <w:sz w:val="24"/>
              </w:rPr>
            </w:pPr>
            <w:r>
              <w:rPr>
                <w:rFonts w:hint="eastAsia" w:ascii="宋体" w:hAnsi="宋体" w:cs="宋体"/>
                <w:b/>
                <w:sz w:val="24"/>
              </w:rPr>
              <w:t>子系统名称</w:t>
            </w:r>
          </w:p>
        </w:tc>
        <w:tc>
          <w:tcPr>
            <w:tcW w:w="1275" w:type="dxa"/>
            <w:tcBorders>
              <w:top w:val="single" w:color="auto" w:sz="4" w:space="0"/>
              <w:left w:val="single" w:color="auto" w:sz="4" w:space="0"/>
              <w:bottom w:val="single" w:color="auto" w:sz="4" w:space="0"/>
              <w:right w:val="single" w:color="auto" w:sz="4" w:space="0"/>
            </w:tcBorders>
            <w:vAlign w:val="center"/>
          </w:tcPr>
          <w:p w14:paraId="357BF16E">
            <w:pPr>
              <w:spacing w:line="360" w:lineRule="auto"/>
              <w:jc w:val="center"/>
              <w:rPr>
                <w:rFonts w:ascii="宋体" w:hAnsi="宋体" w:cs="宋体"/>
                <w:b/>
                <w:sz w:val="24"/>
              </w:rPr>
            </w:pPr>
            <w:r>
              <w:rPr>
                <w:rFonts w:hint="eastAsia" w:ascii="宋体" w:hAnsi="宋体" w:cs="宋体"/>
                <w:b/>
                <w:sz w:val="24"/>
              </w:rPr>
              <w:t>数量</w:t>
            </w:r>
          </w:p>
        </w:tc>
      </w:tr>
      <w:tr w14:paraId="5D8FF9DD">
        <w:tblPrEx>
          <w:tblCellMar>
            <w:top w:w="0" w:type="dxa"/>
            <w:left w:w="108" w:type="dxa"/>
            <w:bottom w:w="0" w:type="dxa"/>
            <w:right w:w="108" w:type="dxa"/>
          </w:tblCellMar>
        </w:tblPrEx>
        <w:trPr>
          <w:trHeight w:val="383" w:hRule="atLeast"/>
          <w:jc w:val="center"/>
        </w:trPr>
        <w:tc>
          <w:tcPr>
            <w:tcW w:w="2910" w:type="dxa"/>
            <w:vMerge w:val="restart"/>
            <w:tcBorders>
              <w:top w:val="nil"/>
              <w:left w:val="single" w:color="auto" w:sz="4" w:space="0"/>
              <w:bottom w:val="single" w:color="auto" w:sz="4" w:space="0"/>
              <w:right w:val="single" w:color="auto" w:sz="4" w:space="0"/>
            </w:tcBorders>
            <w:vAlign w:val="center"/>
          </w:tcPr>
          <w:p w14:paraId="3B723EC1">
            <w:pPr>
              <w:spacing w:line="360" w:lineRule="auto"/>
              <w:jc w:val="center"/>
              <w:rPr>
                <w:rFonts w:ascii="宋体" w:hAnsi="宋体" w:cs="宋体"/>
                <w:sz w:val="24"/>
              </w:rPr>
            </w:pPr>
            <w:r>
              <w:rPr>
                <w:rFonts w:hint="eastAsia" w:ascii="宋体" w:hAnsi="宋体" w:cs="宋体"/>
                <w:sz w:val="24"/>
              </w:rPr>
              <w:t>信息系统数据备份系统</w:t>
            </w:r>
          </w:p>
        </w:tc>
        <w:tc>
          <w:tcPr>
            <w:tcW w:w="4315" w:type="dxa"/>
            <w:tcBorders>
              <w:top w:val="nil"/>
              <w:left w:val="single" w:color="auto" w:sz="4" w:space="0"/>
              <w:bottom w:val="single" w:color="auto" w:sz="4" w:space="0"/>
              <w:right w:val="single" w:color="auto" w:sz="4" w:space="0"/>
            </w:tcBorders>
            <w:vAlign w:val="center"/>
          </w:tcPr>
          <w:p w14:paraId="3A87A200">
            <w:pPr>
              <w:spacing w:line="360" w:lineRule="auto"/>
              <w:rPr>
                <w:rFonts w:ascii="宋体" w:hAnsi="宋体" w:cs="宋体"/>
                <w:sz w:val="24"/>
              </w:rPr>
            </w:pPr>
            <w:r>
              <w:rPr>
                <w:rFonts w:hint="eastAsia" w:ascii="宋体" w:hAnsi="宋体" w:cs="宋体"/>
                <w:sz w:val="24"/>
              </w:rPr>
              <w:t>一体机定时备份子系统</w:t>
            </w:r>
          </w:p>
        </w:tc>
        <w:tc>
          <w:tcPr>
            <w:tcW w:w="1275" w:type="dxa"/>
            <w:vMerge w:val="restart"/>
            <w:tcBorders>
              <w:top w:val="nil"/>
              <w:left w:val="single" w:color="auto" w:sz="4" w:space="0"/>
              <w:right w:val="single" w:color="auto" w:sz="4" w:space="0"/>
            </w:tcBorders>
            <w:vAlign w:val="center"/>
          </w:tcPr>
          <w:p w14:paraId="5A52EE8F">
            <w:pPr>
              <w:spacing w:line="360" w:lineRule="auto"/>
              <w:jc w:val="center"/>
              <w:rPr>
                <w:rFonts w:ascii="宋体" w:hAnsi="宋体" w:cs="宋体"/>
                <w:sz w:val="24"/>
              </w:rPr>
            </w:pPr>
            <w:r>
              <w:rPr>
                <w:rFonts w:hint="eastAsia" w:ascii="宋体" w:hAnsi="宋体" w:cs="宋体"/>
                <w:sz w:val="24"/>
              </w:rPr>
              <w:t>2套</w:t>
            </w:r>
          </w:p>
        </w:tc>
      </w:tr>
      <w:tr w14:paraId="5AA65F74">
        <w:tblPrEx>
          <w:tblCellMar>
            <w:top w:w="0" w:type="dxa"/>
            <w:left w:w="108" w:type="dxa"/>
            <w:bottom w:w="0" w:type="dxa"/>
            <w:right w:w="108" w:type="dxa"/>
          </w:tblCellMar>
        </w:tblPrEx>
        <w:trPr>
          <w:trHeight w:val="383" w:hRule="atLeast"/>
          <w:jc w:val="center"/>
        </w:trPr>
        <w:tc>
          <w:tcPr>
            <w:tcW w:w="2910" w:type="dxa"/>
            <w:vMerge w:val="continue"/>
            <w:tcBorders>
              <w:top w:val="nil"/>
              <w:left w:val="single" w:color="auto" w:sz="4" w:space="0"/>
              <w:bottom w:val="single" w:color="auto" w:sz="4" w:space="0"/>
              <w:right w:val="single" w:color="auto" w:sz="4" w:space="0"/>
            </w:tcBorders>
            <w:vAlign w:val="center"/>
          </w:tcPr>
          <w:p w14:paraId="5CE6C83B">
            <w:pPr>
              <w:spacing w:line="360" w:lineRule="auto"/>
              <w:jc w:val="center"/>
              <w:rPr>
                <w:rFonts w:ascii="宋体" w:hAnsi="宋体" w:cs="宋体"/>
                <w:sz w:val="24"/>
              </w:rPr>
            </w:pPr>
          </w:p>
        </w:tc>
        <w:tc>
          <w:tcPr>
            <w:tcW w:w="4315" w:type="dxa"/>
            <w:tcBorders>
              <w:top w:val="nil"/>
              <w:left w:val="single" w:color="auto" w:sz="4" w:space="0"/>
              <w:bottom w:val="single" w:color="auto" w:sz="4" w:space="0"/>
              <w:right w:val="single" w:color="auto" w:sz="4" w:space="0"/>
            </w:tcBorders>
            <w:vAlign w:val="center"/>
          </w:tcPr>
          <w:p w14:paraId="492F463C">
            <w:pPr>
              <w:spacing w:line="360" w:lineRule="auto"/>
              <w:rPr>
                <w:rFonts w:ascii="宋体" w:hAnsi="宋体" w:cs="宋体"/>
                <w:sz w:val="24"/>
              </w:rPr>
            </w:pPr>
            <w:r>
              <w:rPr>
                <w:rFonts w:hint="eastAsia" w:ascii="宋体" w:hAnsi="宋体" w:cs="宋体"/>
                <w:sz w:val="24"/>
              </w:rPr>
              <w:t>内置控制台子系统</w:t>
            </w:r>
          </w:p>
        </w:tc>
        <w:tc>
          <w:tcPr>
            <w:tcW w:w="1275" w:type="dxa"/>
            <w:vMerge w:val="continue"/>
            <w:tcBorders>
              <w:left w:val="single" w:color="auto" w:sz="4" w:space="0"/>
              <w:right w:val="single" w:color="auto" w:sz="4" w:space="0"/>
            </w:tcBorders>
            <w:vAlign w:val="center"/>
          </w:tcPr>
          <w:p w14:paraId="748FAA72">
            <w:pPr>
              <w:spacing w:line="360" w:lineRule="auto"/>
              <w:rPr>
                <w:rFonts w:ascii="宋体" w:hAnsi="宋体" w:cs="宋体"/>
                <w:sz w:val="24"/>
              </w:rPr>
            </w:pPr>
          </w:p>
        </w:tc>
      </w:tr>
      <w:tr w14:paraId="7A70D0FA">
        <w:tblPrEx>
          <w:tblCellMar>
            <w:top w:w="0" w:type="dxa"/>
            <w:left w:w="108" w:type="dxa"/>
            <w:bottom w:w="0" w:type="dxa"/>
            <w:right w:w="108" w:type="dxa"/>
          </w:tblCellMar>
        </w:tblPrEx>
        <w:trPr>
          <w:trHeight w:val="383" w:hRule="atLeast"/>
          <w:jc w:val="center"/>
        </w:trPr>
        <w:tc>
          <w:tcPr>
            <w:tcW w:w="2910" w:type="dxa"/>
            <w:vMerge w:val="continue"/>
            <w:tcBorders>
              <w:top w:val="nil"/>
              <w:left w:val="single" w:color="auto" w:sz="4" w:space="0"/>
              <w:bottom w:val="single" w:color="auto" w:sz="4" w:space="0"/>
              <w:right w:val="single" w:color="auto" w:sz="4" w:space="0"/>
            </w:tcBorders>
            <w:vAlign w:val="center"/>
          </w:tcPr>
          <w:p w14:paraId="0B17F2A2">
            <w:pPr>
              <w:spacing w:line="360" w:lineRule="auto"/>
              <w:jc w:val="center"/>
              <w:rPr>
                <w:rFonts w:ascii="宋体" w:hAnsi="宋体" w:cs="宋体"/>
                <w:sz w:val="24"/>
              </w:rPr>
            </w:pPr>
          </w:p>
        </w:tc>
        <w:tc>
          <w:tcPr>
            <w:tcW w:w="4315" w:type="dxa"/>
            <w:tcBorders>
              <w:top w:val="nil"/>
              <w:left w:val="single" w:color="auto" w:sz="4" w:space="0"/>
              <w:bottom w:val="single" w:color="auto" w:sz="4" w:space="0"/>
              <w:right w:val="single" w:color="auto" w:sz="4" w:space="0"/>
            </w:tcBorders>
            <w:vAlign w:val="center"/>
          </w:tcPr>
          <w:p w14:paraId="6EC59CAC">
            <w:pPr>
              <w:spacing w:line="360" w:lineRule="auto"/>
              <w:rPr>
                <w:rFonts w:ascii="宋体" w:hAnsi="宋体" w:cs="宋体"/>
                <w:sz w:val="24"/>
              </w:rPr>
            </w:pPr>
            <w:r>
              <w:rPr>
                <w:rFonts w:hint="eastAsia" w:ascii="宋体" w:hAnsi="宋体" w:cs="宋体"/>
                <w:sz w:val="24"/>
              </w:rPr>
              <w:t>永久增量子系统</w:t>
            </w:r>
          </w:p>
        </w:tc>
        <w:tc>
          <w:tcPr>
            <w:tcW w:w="1275" w:type="dxa"/>
            <w:vMerge w:val="continue"/>
            <w:tcBorders>
              <w:left w:val="single" w:color="auto" w:sz="4" w:space="0"/>
              <w:right w:val="single" w:color="auto" w:sz="4" w:space="0"/>
            </w:tcBorders>
            <w:vAlign w:val="center"/>
          </w:tcPr>
          <w:p w14:paraId="57128AB0">
            <w:pPr>
              <w:spacing w:line="360" w:lineRule="auto"/>
              <w:rPr>
                <w:rFonts w:ascii="宋体" w:hAnsi="宋体" w:cs="宋体"/>
                <w:sz w:val="24"/>
              </w:rPr>
            </w:pPr>
          </w:p>
        </w:tc>
      </w:tr>
      <w:tr w14:paraId="3255A5D4">
        <w:tblPrEx>
          <w:tblCellMar>
            <w:top w:w="0" w:type="dxa"/>
            <w:left w:w="108" w:type="dxa"/>
            <w:bottom w:w="0" w:type="dxa"/>
            <w:right w:w="108" w:type="dxa"/>
          </w:tblCellMar>
        </w:tblPrEx>
        <w:trPr>
          <w:trHeight w:val="576" w:hRule="atLeast"/>
          <w:jc w:val="center"/>
        </w:trPr>
        <w:tc>
          <w:tcPr>
            <w:tcW w:w="2910" w:type="dxa"/>
            <w:vMerge w:val="continue"/>
            <w:tcBorders>
              <w:top w:val="nil"/>
              <w:left w:val="single" w:color="auto" w:sz="4" w:space="0"/>
              <w:bottom w:val="single" w:color="auto" w:sz="4" w:space="0"/>
              <w:right w:val="single" w:color="auto" w:sz="4" w:space="0"/>
            </w:tcBorders>
            <w:vAlign w:val="center"/>
          </w:tcPr>
          <w:p w14:paraId="7BBF8EB2">
            <w:pPr>
              <w:spacing w:line="360" w:lineRule="auto"/>
              <w:jc w:val="center"/>
              <w:rPr>
                <w:rFonts w:ascii="宋体" w:hAnsi="宋体" w:cs="宋体"/>
                <w:sz w:val="24"/>
              </w:rPr>
            </w:pPr>
          </w:p>
        </w:tc>
        <w:tc>
          <w:tcPr>
            <w:tcW w:w="4315" w:type="dxa"/>
            <w:tcBorders>
              <w:top w:val="nil"/>
              <w:left w:val="single" w:color="auto" w:sz="4" w:space="0"/>
              <w:bottom w:val="single" w:color="auto" w:sz="4" w:space="0"/>
              <w:right w:val="single" w:color="auto" w:sz="4" w:space="0"/>
            </w:tcBorders>
            <w:vAlign w:val="center"/>
          </w:tcPr>
          <w:p w14:paraId="66145E71">
            <w:pPr>
              <w:spacing w:line="360" w:lineRule="auto"/>
              <w:rPr>
                <w:rFonts w:ascii="宋体" w:hAnsi="宋体" w:cs="宋体"/>
                <w:sz w:val="24"/>
              </w:rPr>
            </w:pPr>
            <w:r>
              <w:rPr>
                <w:rFonts w:hint="eastAsia" w:ascii="宋体" w:hAnsi="宋体" w:cs="宋体"/>
                <w:sz w:val="24"/>
              </w:rPr>
              <w:t>重复数据删除子系统</w:t>
            </w:r>
          </w:p>
        </w:tc>
        <w:tc>
          <w:tcPr>
            <w:tcW w:w="1275" w:type="dxa"/>
            <w:vMerge w:val="continue"/>
            <w:tcBorders>
              <w:left w:val="single" w:color="auto" w:sz="4" w:space="0"/>
              <w:bottom w:val="single" w:color="auto" w:sz="4" w:space="0"/>
              <w:right w:val="single" w:color="auto" w:sz="4" w:space="0"/>
            </w:tcBorders>
            <w:vAlign w:val="center"/>
          </w:tcPr>
          <w:p w14:paraId="6F0B6E10">
            <w:pPr>
              <w:spacing w:line="360" w:lineRule="auto"/>
              <w:rPr>
                <w:rFonts w:ascii="宋体" w:hAnsi="宋体" w:cs="宋体"/>
                <w:sz w:val="24"/>
              </w:rPr>
            </w:pPr>
          </w:p>
        </w:tc>
      </w:tr>
    </w:tbl>
    <w:p w14:paraId="4A8AB82D">
      <w:pPr>
        <w:widowControl w:val="0"/>
        <w:spacing w:line="360" w:lineRule="auto"/>
        <w:ind w:firstLine="482" w:firstLineChars="200"/>
        <w:jc w:val="both"/>
        <w:rPr>
          <w:rFonts w:ascii="宋体" w:hAnsi="宋体" w:eastAsia="宋体" w:cs="宋体"/>
          <w:b/>
          <w:color w:val="auto"/>
          <w:kern w:val="2"/>
          <w:sz w:val="24"/>
          <w:szCs w:val="24"/>
          <w:lang w:val="en-US" w:eastAsia="zh-CN" w:bidi="ar-SA"/>
        </w:rPr>
      </w:pPr>
    </w:p>
    <w:p w14:paraId="695A0463">
      <w:pPr>
        <w:widowControl w:val="0"/>
        <w:spacing w:line="360" w:lineRule="auto"/>
        <w:ind w:firstLine="482" w:firstLineChars="200"/>
        <w:jc w:val="both"/>
        <w:rPr>
          <w:rFonts w:ascii="宋体" w:hAnsi="宋体" w:eastAsia="宋体" w:cs="宋体"/>
          <w:b/>
          <w:color w:val="auto"/>
          <w:kern w:val="2"/>
          <w:sz w:val="24"/>
          <w:szCs w:val="24"/>
          <w:lang w:val="en-US" w:eastAsia="zh-CN" w:bidi="ar-SA"/>
        </w:rPr>
      </w:pPr>
      <w:r>
        <w:rPr>
          <w:rFonts w:hint="eastAsia" w:ascii="宋体" w:hAnsi="宋体" w:eastAsia="宋体" w:cs="宋体"/>
          <w:b/>
          <w:color w:val="auto"/>
          <w:kern w:val="2"/>
          <w:sz w:val="24"/>
          <w:szCs w:val="24"/>
          <w:lang w:val="en-US" w:eastAsia="zh-CN" w:bidi="ar-SA"/>
        </w:rPr>
        <w:t>3.医院故障分级标准及响应时间要求</w:t>
      </w:r>
    </w:p>
    <w:tbl>
      <w:tblPr>
        <w:tblStyle w:val="10"/>
        <w:tblW w:w="96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0"/>
        <w:gridCol w:w="1134"/>
        <w:gridCol w:w="3685"/>
        <w:gridCol w:w="4111"/>
      </w:tblGrid>
      <w:tr w14:paraId="23B1F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710" w:type="dxa"/>
            <w:vAlign w:val="center"/>
          </w:tcPr>
          <w:p w14:paraId="799C307A">
            <w:pPr>
              <w:spacing w:line="360" w:lineRule="auto"/>
              <w:jc w:val="center"/>
              <w:rPr>
                <w:rFonts w:ascii="宋体" w:hAnsi="宋体" w:eastAsia="等线" w:cs="宋体"/>
                <w:b/>
                <w:sz w:val="24"/>
              </w:rPr>
            </w:pPr>
            <w:r>
              <w:rPr>
                <w:rFonts w:hint="eastAsia" w:ascii="宋体" w:hAnsi="宋体" w:eastAsia="等线" w:cs="宋体"/>
                <w:b/>
                <w:sz w:val="24"/>
              </w:rPr>
              <w:t>序号</w:t>
            </w:r>
          </w:p>
        </w:tc>
        <w:tc>
          <w:tcPr>
            <w:tcW w:w="1134" w:type="dxa"/>
            <w:vAlign w:val="center"/>
          </w:tcPr>
          <w:p w14:paraId="7DE56AEA">
            <w:pPr>
              <w:spacing w:line="360" w:lineRule="auto"/>
              <w:jc w:val="center"/>
              <w:rPr>
                <w:rFonts w:ascii="宋体" w:hAnsi="宋体" w:eastAsia="等线" w:cs="宋体"/>
                <w:b/>
                <w:sz w:val="24"/>
              </w:rPr>
            </w:pPr>
            <w:r>
              <w:rPr>
                <w:rFonts w:hint="eastAsia" w:ascii="宋体" w:hAnsi="宋体" w:eastAsia="等线" w:cs="宋体"/>
                <w:b/>
                <w:sz w:val="24"/>
              </w:rPr>
              <w:t>故障等级</w:t>
            </w:r>
          </w:p>
        </w:tc>
        <w:tc>
          <w:tcPr>
            <w:tcW w:w="3685" w:type="dxa"/>
            <w:vAlign w:val="center"/>
          </w:tcPr>
          <w:p w14:paraId="6628E0BF">
            <w:pPr>
              <w:spacing w:line="360" w:lineRule="auto"/>
              <w:jc w:val="center"/>
              <w:rPr>
                <w:rFonts w:ascii="宋体" w:hAnsi="宋体" w:eastAsia="等线" w:cs="宋体"/>
                <w:b/>
                <w:sz w:val="24"/>
              </w:rPr>
            </w:pPr>
            <w:r>
              <w:rPr>
                <w:rFonts w:hint="eastAsia" w:ascii="宋体" w:hAnsi="宋体" w:eastAsia="等线" w:cs="宋体"/>
                <w:b/>
                <w:sz w:val="24"/>
              </w:rPr>
              <w:t>故障情况描述</w:t>
            </w:r>
          </w:p>
        </w:tc>
        <w:tc>
          <w:tcPr>
            <w:tcW w:w="4111" w:type="dxa"/>
            <w:vAlign w:val="center"/>
          </w:tcPr>
          <w:p w14:paraId="56DAB1BF">
            <w:pPr>
              <w:spacing w:line="360" w:lineRule="auto"/>
              <w:jc w:val="center"/>
              <w:rPr>
                <w:rFonts w:ascii="宋体" w:hAnsi="宋体" w:eastAsia="等线" w:cs="宋体"/>
                <w:b/>
                <w:sz w:val="24"/>
              </w:rPr>
            </w:pPr>
            <w:r>
              <w:rPr>
                <w:rFonts w:hint="eastAsia" w:ascii="宋体" w:hAnsi="宋体" w:eastAsia="等线" w:cs="宋体"/>
                <w:b/>
                <w:sz w:val="24"/>
              </w:rPr>
              <w:t>响应时间要求</w:t>
            </w:r>
          </w:p>
        </w:tc>
      </w:tr>
      <w:tr w14:paraId="47E78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jc w:val="center"/>
        </w:trPr>
        <w:tc>
          <w:tcPr>
            <w:tcW w:w="710" w:type="dxa"/>
            <w:vAlign w:val="center"/>
          </w:tcPr>
          <w:p w14:paraId="4C72AAC6">
            <w:pPr>
              <w:spacing w:line="360" w:lineRule="auto"/>
              <w:jc w:val="center"/>
              <w:rPr>
                <w:rFonts w:ascii="宋体" w:hAnsi="宋体" w:eastAsia="等线" w:cs="宋体"/>
                <w:sz w:val="24"/>
              </w:rPr>
            </w:pPr>
            <w:r>
              <w:rPr>
                <w:rFonts w:hint="eastAsia" w:ascii="宋体" w:hAnsi="宋体" w:eastAsia="等线" w:cs="宋体"/>
                <w:sz w:val="24"/>
              </w:rPr>
              <w:t>1</w:t>
            </w:r>
          </w:p>
        </w:tc>
        <w:tc>
          <w:tcPr>
            <w:tcW w:w="1134" w:type="dxa"/>
            <w:vAlign w:val="center"/>
          </w:tcPr>
          <w:p w14:paraId="7AEA591B">
            <w:pPr>
              <w:spacing w:line="360" w:lineRule="auto"/>
              <w:jc w:val="center"/>
              <w:rPr>
                <w:rFonts w:ascii="宋体" w:hAnsi="宋体" w:eastAsia="等线" w:cs="宋体"/>
                <w:sz w:val="24"/>
              </w:rPr>
            </w:pPr>
            <w:r>
              <w:rPr>
                <w:rFonts w:hint="eastAsia" w:ascii="宋体" w:hAnsi="宋体" w:eastAsia="等线" w:cs="宋体"/>
                <w:sz w:val="24"/>
              </w:rPr>
              <w:t>一级故障</w:t>
            </w:r>
          </w:p>
        </w:tc>
        <w:tc>
          <w:tcPr>
            <w:tcW w:w="3685" w:type="dxa"/>
            <w:vAlign w:val="center"/>
          </w:tcPr>
          <w:p w14:paraId="5B86691C">
            <w:pPr>
              <w:spacing w:line="360" w:lineRule="auto"/>
              <w:rPr>
                <w:rFonts w:ascii="宋体" w:hAnsi="宋体" w:eastAsia="等线" w:cs="宋体"/>
                <w:sz w:val="24"/>
              </w:rPr>
            </w:pPr>
            <w:r>
              <w:rPr>
                <w:rFonts w:hint="eastAsia" w:ascii="宋体" w:hAnsi="宋体" w:eastAsia="等线" w:cs="宋体"/>
                <w:sz w:val="24"/>
              </w:rPr>
              <w:t>信息系统瘫痪，或出现多部门终端用户的业务无法办理，严重影响医院业务正常运作。</w:t>
            </w:r>
          </w:p>
        </w:tc>
        <w:tc>
          <w:tcPr>
            <w:tcW w:w="4111" w:type="dxa"/>
            <w:vAlign w:val="center"/>
          </w:tcPr>
          <w:p w14:paraId="3826B76C">
            <w:pPr>
              <w:spacing w:line="360" w:lineRule="auto"/>
              <w:rPr>
                <w:rFonts w:ascii="宋体" w:hAnsi="宋体" w:eastAsia="等线" w:cs="宋体"/>
                <w:sz w:val="24"/>
              </w:rPr>
            </w:pPr>
            <w:r>
              <w:rPr>
                <w:rFonts w:hint="eastAsia" w:ascii="宋体" w:hAnsi="宋体" w:eastAsia="等线" w:cs="宋体"/>
                <w:sz w:val="24"/>
              </w:rPr>
              <w:t>服务商应在10分钟内响应，4小时内到达现场，6小时内解决问题，或提供相应解决方案直至系统恢复正常。</w:t>
            </w:r>
          </w:p>
        </w:tc>
      </w:tr>
      <w:tr w14:paraId="1F59C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3" w:hRule="atLeast"/>
          <w:jc w:val="center"/>
        </w:trPr>
        <w:tc>
          <w:tcPr>
            <w:tcW w:w="710" w:type="dxa"/>
            <w:vAlign w:val="center"/>
          </w:tcPr>
          <w:p w14:paraId="1D474C2E">
            <w:pPr>
              <w:spacing w:line="360" w:lineRule="auto"/>
              <w:jc w:val="center"/>
              <w:rPr>
                <w:rFonts w:ascii="宋体" w:hAnsi="宋体" w:eastAsia="等线" w:cs="宋体"/>
                <w:sz w:val="24"/>
              </w:rPr>
            </w:pPr>
            <w:r>
              <w:rPr>
                <w:rFonts w:hint="eastAsia" w:ascii="宋体" w:hAnsi="宋体" w:eastAsia="等线" w:cs="宋体"/>
                <w:sz w:val="24"/>
              </w:rPr>
              <w:t>2</w:t>
            </w:r>
          </w:p>
        </w:tc>
        <w:tc>
          <w:tcPr>
            <w:tcW w:w="1134" w:type="dxa"/>
            <w:vAlign w:val="center"/>
          </w:tcPr>
          <w:p w14:paraId="44A55348">
            <w:pPr>
              <w:spacing w:line="360" w:lineRule="auto"/>
              <w:jc w:val="center"/>
              <w:rPr>
                <w:rFonts w:ascii="宋体" w:hAnsi="宋体" w:eastAsia="等线" w:cs="宋体"/>
                <w:sz w:val="24"/>
              </w:rPr>
            </w:pPr>
            <w:r>
              <w:rPr>
                <w:rFonts w:hint="eastAsia" w:ascii="宋体" w:hAnsi="宋体" w:eastAsia="等线" w:cs="宋体"/>
                <w:sz w:val="24"/>
              </w:rPr>
              <w:t>二级故障</w:t>
            </w:r>
          </w:p>
        </w:tc>
        <w:tc>
          <w:tcPr>
            <w:tcW w:w="3685" w:type="dxa"/>
            <w:vAlign w:val="center"/>
          </w:tcPr>
          <w:p w14:paraId="1137DC9E">
            <w:pPr>
              <w:spacing w:line="360" w:lineRule="auto"/>
              <w:rPr>
                <w:rFonts w:ascii="宋体" w:hAnsi="宋体" w:eastAsia="等线" w:cs="宋体"/>
                <w:sz w:val="24"/>
              </w:rPr>
            </w:pPr>
            <w:r>
              <w:rPr>
                <w:rFonts w:hint="eastAsia" w:ascii="宋体" w:hAnsi="宋体" w:eastAsia="等线" w:cs="宋体"/>
                <w:sz w:val="24"/>
              </w:rPr>
              <w:t>信息系统的操作性能严重降级，或由于系统性能失常严重影响用户的业务动作。</w:t>
            </w:r>
          </w:p>
        </w:tc>
        <w:tc>
          <w:tcPr>
            <w:tcW w:w="4111" w:type="dxa"/>
            <w:vAlign w:val="center"/>
          </w:tcPr>
          <w:p w14:paraId="542ED090">
            <w:pPr>
              <w:spacing w:line="360" w:lineRule="auto"/>
              <w:rPr>
                <w:rFonts w:ascii="宋体" w:hAnsi="宋体" w:eastAsia="等线" w:cs="宋体"/>
                <w:sz w:val="24"/>
              </w:rPr>
            </w:pPr>
            <w:r>
              <w:rPr>
                <w:rFonts w:hint="eastAsia" w:ascii="宋体" w:hAnsi="宋体" w:eastAsia="等线" w:cs="宋体"/>
                <w:sz w:val="24"/>
              </w:rPr>
              <w:t>服务商应在30分钟内响应，6小时内到达现场或远程维护，12小时内解决问题，或提供相应解决方案直至系统恢复正常。</w:t>
            </w:r>
          </w:p>
        </w:tc>
      </w:tr>
      <w:tr w14:paraId="3D293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2" w:hRule="atLeast"/>
          <w:jc w:val="center"/>
        </w:trPr>
        <w:tc>
          <w:tcPr>
            <w:tcW w:w="710" w:type="dxa"/>
            <w:vAlign w:val="center"/>
          </w:tcPr>
          <w:p w14:paraId="376E6EBA">
            <w:pPr>
              <w:spacing w:line="360" w:lineRule="auto"/>
              <w:jc w:val="center"/>
              <w:rPr>
                <w:rFonts w:ascii="宋体" w:hAnsi="宋体" w:eastAsia="等线" w:cs="宋体"/>
                <w:sz w:val="24"/>
              </w:rPr>
            </w:pPr>
            <w:r>
              <w:rPr>
                <w:rFonts w:hint="eastAsia" w:ascii="宋体" w:hAnsi="宋体" w:eastAsia="等线" w:cs="宋体"/>
                <w:sz w:val="24"/>
              </w:rPr>
              <w:t>3</w:t>
            </w:r>
          </w:p>
        </w:tc>
        <w:tc>
          <w:tcPr>
            <w:tcW w:w="1134" w:type="dxa"/>
            <w:vAlign w:val="center"/>
          </w:tcPr>
          <w:p w14:paraId="22EB4B2D">
            <w:pPr>
              <w:spacing w:line="360" w:lineRule="auto"/>
              <w:jc w:val="center"/>
              <w:rPr>
                <w:rFonts w:ascii="宋体" w:hAnsi="宋体" w:eastAsia="等线" w:cs="宋体"/>
                <w:sz w:val="24"/>
              </w:rPr>
            </w:pPr>
            <w:r>
              <w:rPr>
                <w:rFonts w:hint="eastAsia" w:ascii="宋体" w:hAnsi="宋体" w:eastAsia="等线" w:cs="宋体"/>
                <w:sz w:val="24"/>
              </w:rPr>
              <w:t>三级故障</w:t>
            </w:r>
          </w:p>
        </w:tc>
        <w:tc>
          <w:tcPr>
            <w:tcW w:w="3685" w:type="dxa"/>
            <w:vAlign w:val="center"/>
          </w:tcPr>
          <w:p w14:paraId="5930016E">
            <w:pPr>
              <w:spacing w:line="360" w:lineRule="auto"/>
              <w:rPr>
                <w:rFonts w:ascii="宋体" w:hAnsi="宋体" w:eastAsia="等线" w:cs="宋体"/>
                <w:sz w:val="24"/>
              </w:rPr>
            </w:pPr>
            <w:r>
              <w:rPr>
                <w:rFonts w:hint="eastAsia" w:ascii="宋体" w:hAnsi="宋体" w:eastAsia="等线" w:cs="宋体"/>
                <w:sz w:val="24"/>
              </w:rPr>
              <w:t>信息系统部分功能受损，影响较少患者正常就诊，医院主要业务正常工作。</w:t>
            </w:r>
          </w:p>
        </w:tc>
        <w:tc>
          <w:tcPr>
            <w:tcW w:w="4111" w:type="dxa"/>
            <w:vAlign w:val="center"/>
          </w:tcPr>
          <w:p w14:paraId="619BFB7C">
            <w:pPr>
              <w:spacing w:line="360" w:lineRule="auto"/>
              <w:rPr>
                <w:rFonts w:ascii="宋体" w:hAnsi="宋体" w:eastAsia="等线" w:cs="宋体"/>
                <w:sz w:val="24"/>
              </w:rPr>
            </w:pPr>
            <w:r>
              <w:rPr>
                <w:rFonts w:hint="eastAsia" w:ascii="宋体" w:hAnsi="宋体" w:eastAsia="等线" w:cs="宋体"/>
                <w:sz w:val="24"/>
              </w:rPr>
              <w:t>服务商应在30分钟内响应，12小时内到达现场或远程维护，24小时内解决问题。</w:t>
            </w:r>
          </w:p>
        </w:tc>
      </w:tr>
      <w:tr w14:paraId="65C54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2" w:hRule="atLeast"/>
          <w:jc w:val="center"/>
        </w:trPr>
        <w:tc>
          <w:tcPr>
            <w:tcW w:w="710" w:type="dxa"/>
            <w:vAlign w:val="center"/>
          </w:tcPr>
          <w:p w14:paraId="5F12EA0D">
            <w:pPr>
              <w:spacing w:line="360" w:lineRule="auto"/>
              <w:jc w:val="center"/>
              <w:rPr>
                <w:rFonts w:ascii="宋体" w:hAnsi="宋体" w:eastAsia="等线" w:cs="宋体"/>
                <w:sz w:val="24"/>
              </w:rPr>
            </w:pPr>
            <w:r>
              <w:rPr>
                <w:rFonts w:hint="eastAsia" w:ascii="宋体" w:hAnsi="宋体" w:eastAsia="等线" w:cs="宋体"/>
                <w:sz w:val="24"/>
              </w:rPr>
              <w:t>4</w:t>
            </w:r>
          </w:p>
        </w:tc>
        <w:tc>
          <w:tcPr>
            <w:tcW w:w="1134" w:type="dxa"/>
            <w:vAlign w:val="center"/>
          </w:tcPr>
          <w:p w14:paraId="1E015C76">
            <w:pPr>
              <w:spacing w:line="360" w:lineRule="auto"/>
              <w:jc w:val="center"/>
              <w:rPr>
                <w:rFonts w:ascii="宋体" w:hAnsi="宋体" w:eastAsia="等线" w:cs="宋体"/>
                <w:sz w:val="24"/>
              </w:rPr>
            </w:pPr>
            <w:r>
              <w:rPr>
                <w:rFonts w:hint="eastAsia" w:ascii="宋体" w:hAnsi="宋体" w:eastAsia="等线" w:cs="宋体"/>
                <w:sz w:val="24"/>
              </w:rPr>
              <w:t>四级故障</w:t>
            </w:r>
          </w:p>
        </w:tc>
        <w:tc>
          <w:tcPr>
            <w:tcW w:w="3685" w:type="dxa"/>
            <w:vAlign w:val="center"/>
          </w:tcPr>
          <w:p w14:paraId="653D13B3">
            <w:pPr>
              <w:spacing w:line="360" w:lineRule="auto"/>
              <w:rPr>
                <w:rFonts w:ascii="宋体" w:hAnsi="宋体" w:eastAsia="等线" w:cs="宋体"/>
                <w:sz w:val="24"/>
              </w:rPr>
            </w:pPr>
            <w:r>
              <w:rPr>
                <w:rFonts w:hint="eastAsia" w:ascii="宋体" w:hAnsi="宋体" w:eastAsia="等线" w:cs="宋体"/>
                <w:sz w:val="24"/>
              </w:rPr>
              <w:t>信息系统出现一般性问题，对患者与系统运行几乎或无影响。</w:t>
            </w:r>
          </w:p>
        </w:tc>
        <w:tc>
          <w:tcPr>
            <w:tcW w:w="4111" w:type="dxa"/>
            <w:vAlign w:val="center"/>
          </w:tcPr>
          <w:p w14:paraId="1216F77F">
            <w:pPr>
              <w:spacing w:line="360" w:lineRule="auto"/>
              <w:rPr>
                <w:rFonts w:ascii="宋体" w:hAnsi="宋体" w:eastAsia="等线" w:cs="宋体"/>
                <w:sz w:val="24"/>
              </w:rPr>
            </w:pPr>
            <w:r>
              <w:rPr>
                <w:rFonts w:hint="eastAsia" w:ascii="宋体" w:hAnsi="宋体" w:eastAsia="等线" w:cs="宋体"/>
                <w:sz w:val="24"/>
              </w:rPr>
              <w:t>服务商应在30分钟内响应，24小时内到达现场或远程维护，48小时内解决问题。</w:t>
            </w:r>
          </w:p>
        </w:tc>
      </w:tr>
    </w:tbl>
    <w:p w14:paraId="53C0D3CA">
      <w:pPr>
        <w:widowControl w:val="0"/>
        <w:autoSpaceDE w:val="0"/>
        <w:autoSpaceDN w:val="0"/>
        <w:adjustRightInd w:val="0"/>
        <w:spacing w:line="360" w:lineRule="auto"/>
        <w:ind w:firstLine="463" w:firstLineChars="193"/>
        <w:jc w:val="both"/>
        <w:rPr>
          <w:rFonts w:ascii="宋体" w:hAnsi="宋体" w:eastAsia="宋体" w:cs="宋体"/>
          <w:kern w:val="0"/>
          <w:sz w:val="24"/>
          <w:szCs w:val="24"/>
          <w:lang w:val="en-US" w:eastAsia="zh-CN" w:bidi="ar-SA"/>
        </w:rPr>
      </w:pPr>
    </w:p>
    <w:p w14:paraId="2FFDDB77">
      <w:pPr>
        <w:widowControl w:val="0"/>
        <w:spacing w:line="360" w:lineRule="auto"/>
        <w:ind w:firstLine="482" w:firstLineChars="200"/>
        <w:jc w:val="both"/>
        <w:rPr>
          <w:rFonts w:ascii="宋体" w:hAnsi="宋体" w:eastAsia="宋体" w:cs="宋体"/>
          <w:b/>
          <w:color w:val="auto"/>
          <w:kern w:val="2"/>
          <w:sz w:val="24"/>
          <w:szCs w:val="24"/>
          <w:lang w:val="en-US" w:eastAsia="zh-CN" w:bidi="ar-SA"/>
        </w:rPr>
      </w:pPr>
      <w:r>
        <w:rPr>
          <w:rFonts w:hint="eastAsia" w:ascii="宋体" w:hAnsi="宋体" w:eastAsia="宋体" w:cs="宋体"/>
          <w:b/>
          <w:color w:val="auto"/>
          <w:kern w:val="2"/>
          <w:sz w:val="24"/>
          <w:szCs w:val="24"/>
          <w:lang w:val="en-US" w:eastAsia="zh-CN" w:bidi="ar-SA"/>
        </w:rPr>
        <w:t>4.售后运维服务要求：</w:t>
      </w:r>
    </w:p>
    <w:p w14:paraId="764F6BA2">
      <w:pPr>
        <w:widowControl w:val="0"/>
        <w:autoSpaceDE w:val="0"/>
        <w:autoSpaceDN w:val="0"/>
        <w:adjustRightInd w:val="0"/>
        <w:spacing w:line="360" w:lineRule="auto"/>
        <w:ind w:firstLine="440"/>
        <w:jc w:val="both"/>
        <w:rPr>
          <w:rFonts w:ascii="宋体" w:hAnsi="宋体" w:eastAsia="宋体" w:cs="宋体"/>
          <w:bCs/>
          <w:kern w:val="0"/>
          <w:sz w:val="24"/>
          <w:szCs w:val="24"/>
          <w:lang w:val="en-US" w:eastAsia="zh-CN" w:bidi="ar-SA"/>
        </w:rPr>
      </w:pPr>
      <w:r>
        <w:rPr>
          <w:rFonts w:hint="eastAsia" w:ascii="宋体" w:hAnsi="宋体" w:eastAsia="宋体" w:cs="宋体"/>
          <w:bCs/>
          <w:kern w:val="0"/>
          <w:sz w:val="24"/>
          <w:szCs w:val="24"/>
          <w:lang w:val="en-US" w:eastAsia="zh-CN" w:bidi="ar-SA"/>
        </w:rPr>
        <w:t>服务商根据以下要求内容提供售后运维服务，但不仅限于以下服务，可依据自身技术能力提供增项服务。</w:t>
      </w:r>
    </w:p>
    <w:p w14:paraId="0BBBC7A1">
      <w:pPr>
        <w:widowControl w:val="0"/>
        <w:spacing w:line="360" w:lineRule="auto"/>
        <w:ind w:left="1260" w:leftChars="600"/>
        <w:jc w:val="both"/>
        <w:rPr>
          <w:rFonts w:ascii="宋体" w:hAnsi="宋体" w:eastAsia="宋体" w:cs="宋体"/>
          <w:kern w:val="2"/>
          <w:sz w:val="24"/>
          <w:szCs w:val="24"/>
          <w:lang w:val="en-US" w:eastAsia="zh-CN" w:bidi="ar-SA"/>
        </w:rPr>
      </w:pPr>
    </w:p>
    <w:tbl>
      <w:tblPr>
        <w:tblStyle w:val="9"/>
        <w:tblW w:w="9896" w:type="dxa"/>
        <w:jc w:val="center"/>
        <w:tblLayout w:type="fixed"/>
        <w:tblCellMar>
          <w:top w:w="0" w:type="dxa"/>
          <w:left w:w="108" w:type="dxa"/>
          <w:bottom w:w="0" w:type="dxa"/>
          <w:right w:w="108" w:type="dxa"/>
        </w:tblCellMar>
      </w:tblPr>
      <w:tblGrid>
        <w:gridCol w:w="739"/>
        <w:gridCol w:w="1247"/>
        <w:gridCol w:w="5244"/>
        <w:gridCol w:w="1303"/>
        <w:gridCol w:w="1363"/>
      </w:tblGrid>
      <w:tr w14:paraId="61AA46C0">
        <w:tblPrEx>
          <w:tblCellMar>
            <w:top w:w="0" w:type="dxa"/>
            <w:left w:w="108" w:type="dxa"/>
            <w:bottom w:w="0" w:type="dxa"/>
            <w:right w:w="108" w:type="dxa"/>
          </w:tblCellMar>
        </w:tblPrEx>
        <w:trPr>
          <w:trHeight w:val="273" w:hRule="atLeast"/>
          <w:jc w:val="center"/>
        </w:trPr>
        <w:tc>
          <w:tcPr>
            <w:tcW w:w="739" w:type="dxa"/>
            <w:tcBorders>
              <w:top w:val="single" w:color="auto" w:sz="4" w:space="0"/>
              <w:left w:val="single" w:color="auto" w:sz="4" w:space="0"/>
              <w:bottom w:val="single" w:color="auto" w:sz="4" w:space="0"/>
              <w:right w:val="single" w:color="auto" w:sz="4" w:space="0"/>
            </w:tcBorders>
            <w:noWrap/>
            <w:vAlign w:val="center"/>
          </w:tcPr>
          <w:p w14:paraId="31C7C535">
            <w:pPr>
              <w:spacing w:line="360" w:lineRule="auto"/>
              <w:jc w:val="center"/>
              <w:rPr>
                <w:rFonts w:ascii="宋体" w:hAnsi="宋体" w:cs="宋体"/>
                <w:b/>
                <w:kern w:val="0"/>
                <w:sz w:val="24"/>
              </w:rPr>
            </w:pPr>
            <w:r>
              <w:rPr>
                <w:rFonts w:hint="eastAsia" w:ascii="宋体" w:hAnsi="宋体" w:cs="宋体"/>
                <w:b/>
                <w:kern w:val="0"/>
                <w:sz w:val="24"/>
              </w:rPr>
              <w:t>序号</w:t>
            </w:r>
          </w:p>
        </w:tc>
        <w:tc>
          <w:tcPr>
            <w:tcW w:w="1247" w:type="dxa"/>
            <w:tcBorders>
              <w:top w:val="single" w:color="auto" w:sz="4" w:space="0"/>
              <w:left w:val="nil"/>
              <w:bottom w:val="single" w:color="auto" w:sz="4" w:space="0"/>
              <w:right w:val="single" w:color="auto" w:sz="4" w:space="0"/>
            </w:tcBorders>
            <w:noWrap/>
            <w:vAlign w:val="center"/>
          </w:tcPr>
          <w:p w14:paraId="56B0C10D">
            <w:pPr>
              <w:spacing w:line="360" w:lineRule="auto"/>
              <w:jc w:val="center"/>
              <w:rPr>
                <w:rFonts w:ascii="宋体" w:hAnsi="宋体" w:cs="宋体"/>
                <w:b/>
                <w:kern w:val="0"/>
                <w:sz w:val="24"/>
              </w:rPr>
            </w:pPr>
            <w:r>
              <w:rPr>
                <w:rFonts w:hint="eastAsia" w:ascii="宋体" w:hAnsi="宋体" w:cs="宋体"/>
                <w:b/>
                <w:kern w:val="0"/>
                <w:sz w:val="24"/>
              </w:rPr>
              <w:t>服务项目</w:t>
            </w:r>
          </w:p>
        </w:tc>
        <w:tc>
          <w:tcPr>
            <w:tcW w:w="5244" w:type="dxa"/>
            <w:tcBorders>
              <w:top w:val="single" w:color="auto" w:sz="4" w:space="0"/>
              <w:left w:val="nil"/>
              <w:bottom w:val="single" w:color="auto" w:sz="4" w:space="0"/>
              <w:right w:val="single" w:color="auto" w:sz="4" w:space="0"/>
            </w:tcBorders>
            <w:noWrap/>
            <w:vAlign w:val="center"/>
          </w:tcPr>
          <w:p w14:paraId="629E0E41">
            <w:pPr>
              <w:spacing w:line="360" w:lineRule="auto"/>
              <w:jc w:val="center"/>
              <w:rPr>
                <w:rFonts w:ascii="宋体" w:hAnsi="宋体" w:cs="宋体"/>
                <w:b/>
                <w:kern w:val="0"/>
                <w:sz w:val="24"/>
              </w:rPr>
            </w:pPr>
            <w:r>
              <w:rPr>
                <w:rFonts w:hint="eastAsia" w:ascii="宋体" w:hAnsi="宋体" w:cs="宋体"/>
                <w:b/>
                <w:kern w:val="0"/>
                <w:sz w:val="24"/>
              </w:rPr>
              <w:t>服务内涵</w:t>
            </w:r>
          </w:p>
        </w:tc>
        <w:tc>
          <w:tcPr>
            <w:tcW w:w="1303" w:type="dxa"/>
            <w:tcBorders>
              <w:top w:val="single" w:color="auto" w:sz="4" w:space="0"/>
              <w:left w:val="nil"/>
              <w:bottom w:val="single" w:color="auto" w:sz="4" w:space="0"/>
              <w:right w:val="single" w:color="auto" w:sz="4" w:space="0"/>
            </w:tcBorders>
            <w:noWrap/>
            <w:vAlign w:val="center"/>
          </w:tcPr>
          <w:p w14:paraId="677C84ED">
            <w:pPr>
              <w:spacing w:line="360" w:lineRule="auto"/>
              <w:jc w:val="center"/>
              <w:rPr>
                <w:rFonts w:ascii="宋体" w:hAnsi="宋体" w:cs="宋体"/>
                <w:b/>
                <w:kern w:val="0"/>
                <w:sz w:val="24"/>
              </w:rPr>
            </w:pPr>
            <w:r>
              <w:rPr>
                <w:rFonts w:hint="eastAsia" w:ascii="宋体" w:hAnsi="宋体" w:cs="宋体"/>
                <w:b/>
                <w:kern w:val="0"/>
                <w:sz w:val="24"/>
              </w:rPr>
              <w:t>服务方式</w:t>
            </w:r>
          </w:p>
        </w:tc>
        <w:tc>
          <w:tcPr>
            <w:tcW w:w="1363" w:type="dxa"/>
            <w:tcBorders>
              <w:top w:val="single" w:color="auto" w:sz="4" w:space="0"/>
              <w:left w:val="nil"/>
              <w:bottom w:val="single" w:color="auto" w:sz="4" w:space="0"/>
              <w:right w:val="single" w:color="auto" w:sz="4" w:space="0"/>
            </w:tcBorders>
            <w:vAlign w:val="center"/>
          </w:tcPr>
          <w:p w14:paraId="53B8B754">
            <w:pPr>
              <w:spacing w:line="360" w:lineRule="auto"/>
              <w:jc w:val="center"/>
              <w:rPr>
                <w:rFonts w:ascii="宋体" w:hAnsi="宋体" w:cs="宋体"/>
                <w:b/>
                <w:kern w:val="0"/>
                <w:sz w:val="24"/>
              </w:rPr>
            </w:pPr>
            <w:r>
              <w:rPr>
                <w:rFonts w:hint="eastAsia" w:ascii="宋体" w:hAnsi="宋体" w:cs="宋体"/>
                <w:b/>
                <w:kern w:val="0"/>
                <w:sz w:val="24"/>
              </w:rPr>
              <w:t>服务次数</w:t>
            </w:r>
          </w:p>
        </w:tc>
      </w:tr>
      <w:tr w14:paraId="7671BB6E">
        <w:tblPrEx>
          <w:tblCellMar>
            <w:top w:w="0" w:type="dxa"/>
            <w:left w:w="108" w:type="dxa"/>
            <w:bottom w:w="0" w:type="dxa"/>
            <w:right w:w="108" w:type="dxa"/>
          </w:tblCellMar>
        </w:tblPrEx>
        <w:trPr>
          <w:trHeight w:val="273" w:hRule="atLeast"/>
          <w:jc w:val="center"/>
        </w:trPr>
        <w:tc>
          <w:tcPr>
            <w:tcW w:w="739" w:type="dxa"/>
            <w:tcBorders>
              <w:top w:val="single" w:color="auto" w:sz="4" w:space="0"/>
              <w:left w:val="single" w:color="auto" w:sz="4" w:space="0"/>
              <w:bottom w:val="single" w:color="auto" w:sz="4" w:space="0"/>
              <w:right w:val="single" w:color="auto" w:sz="4" w:space="0"/>
            </w:tcBorders>
            <w:noWrap/>
            <w:vAlign w:val="center"/>
          </w:tcPr>
          <w:p w14:paraId="50E0FA79">
            <w:pPr>
              <w:spacing w:line="360" w:lineRule="auto"/>
              <w:jc w:val="center"/>
              <w:rPr>
                <w:rFonts w:ascii="宋体" w:hAnsi="宋体" w:cs="宋体"/>
                <w:kern w:val="0"/>
                <w:sz w:val="24"/>
              </w:rPr>
            </w:pPr>
            <w:r>
              <w:rPr>
                <w:rFonts w:hint="eastAsia" w:ascii="宋体" w:hAnsi="宋体" w:cs="宋体"/>
                <w:kern w:val="0"/>
                <w:sz w:val="24"/>
              </w:rPr>
              <w:t>1</w:t>
            </w:r>
          </w:p>
        </w:tc>
        <w:tc>
          <w:tcPr>
            <w:tcW w:w="1247" w:type="dxa"/>
            <w:tcBorders>
              <w:top w:val="single" w:color="auto" w:sz="4" w:space="0"/>
              <w:left w:val="nil"/>
              <w:bottom w:val="single" w:color="auto" w:sz="4" w:space="0"/>
              <w:right w:val="single" w:color="auto" w:sz="4" w:space="0"/>
            </w:tcBorders>
            <w:noWrap/>
            <w:vAlign w:val="center"/>
          </w:tcPr>
          <w:p w14:paraId="580487ED">
            <w:pPr>
              <w:spacing w:line="360" w:lineRule="auto"/>
              <w:jc w:val="center"/>
              <w:rPr>
                <w:rFonts w:ascii="宋体" w:hAnsi="宋体" w:cs="宋体"/>
                <w:kern w:val="0"/>
                <w:sz w:val="24"/>
              </w:rPr>
            </w:pPr>
            <w:r>
              <w:rPr>
                <w:rFonts w:hint="eastAsia" w:ascii="宋体" w:hAnsi="宋体" w:cs="宋体"/>
                <w:kern w:val="0"/>
                <w:sz w:val="24"/>
              </w:rPr>
              <w:t>信息系统</w:t>
            </w:r>
          </w:p>
          <w:p w14:paraId="0D320F8C">
            <w:pPr>
              <w:spacing w:line="360" w:lineRule="auto"/>
              <w:jc w:val="center"/>
              <w:rPr>
                <w:rFonts w:ascii="宋体" w:hAnsi="宋体" w:cs="宋体"/>
                <w:kern w:val="0"/>
                <w:sz w:val="24"/>
              </w:rPr>
            </w:pPr>
            <w:r>
              <w:rPr>
                <w:rFonts w:hint="eastAsia" w:ascii="宋体" w:hAnsi="宋体" w:cs="宋体"/>
                <w:kern w:val="0"/>
                <w:sz w:val="24"/>
              </w:rPr>
              <w:t>运维服务</w:t>
            </w:r>
          </w:p>
        </w:tc>
        <w:tc>
          <w:tcPr>
            <w:tcW w:w="5244" w:type="dxa"/>
            <w:tcBorders>
              <w:top w:val="single" w:color="auto" w:sz="4" w:space="0"/>
              <w:left w:val="nil"/>
              <w:bottom w:val="single" w:color="auto" w:sz="4" w:space="0"/>
              <w:right w:val="single" w:color="auto" w:sz="4" w:space="0"/>
            </w:tcBorders>
            <w:noWrap/>
            <w:vAlign w:val="center"/>
          </w:tcPr>
          <w:p w14:paraId="450726C7">
            <w:pPr>
              <w:spacing w:line="360" w:lineRule="auto"/>
              <w:rPr>
                <w:rFonts w:ascii="宋体" w:hAnsi="宋体" w:cs="宋体"/>
                <w:kern w:val="0"/>
                <w:sz w:val="24"/>
              </w:rPr>
            </w:pPr>
            <w:r>
              <w:rPr>
                <w:rFonts w:hint="eastAsia" w:ascii="宋体" w:hAnsi="宋体" w:cs="宋体"/>
                <w:kern w:val="0"/>
                <w:sz w:val="24"/>
              </w:rPr>
              <w:t>1、《陕西省交通医院信息系统数据备份系统汇总表》中信息系统的软件操作、排错技术操作指导管理；</w:t>
            </w:r>
          </w:p>
          <w:p w14:paraId="1CF347FF">
            <w:pPr>
              <w:spacing w:line="360" w:lineRule="auto"/>
              <w:rPr>
                <w:rFonts w:ascii="宋体" w:hAnsi="宋体" w:cs="宋体"/>
                <w:kern w:val="0"/>
                <w:sz w:val="24"/>
              </w:rPr>
            </w:pPr>
            <w:r>
              <w:rPr>
                <w:rFonts w:hint="eastAsia" w:ascii="宋体" w:hAnsi="宋体" w:cs="宋体"/>
                <w:kern w:val="0"/>
                <w:sz w:val="24"/>
              </w:rPr>
              <w:t>2、数据备份异常、错误或失败等故障进行排查与解决；</w:t>
            </w:r>
          </w:p>
          <w:p w14:paraId="1B6969C0">
            <w:pPr>
              <w:spacing w:line="360" w:lineRule="auto"/>
              <w:rPr>
                <w:rFonts w:ascii="宋体" w:hAnsi="宋体" w:cs="宋体"/>
                <w:kern w:val="0"/>
                <w:sz w:val="24"/>
              </w:rPr>
            </w:pPr>
            <w:r>
              <w:rPr>
                <w:rFonts w:hint="eastAsia" w:ascii="宋体" w:hAnsi="宋体" w:cs="宋体"/>
                <w:kern w:val="0"/>
                <w:sz w:val="24"/>
              </w:rPr>
              <w:t>3、由于软件产品故障导致的死机、数据错误；</w:t>
            </w:r>
          </w:p>
          <w:p w14:paraId="6438E1A0">
            <w:pPr>
              <w:spacing w:line="360" w:lineRule="auto"/>
              <w:rPr>
                <w:rFonts w:ascii="宋体" w:hAnsi="宋体" w:cs="宋体"/>
                <w:kern w:val="0"/>
                <w:sz w:val="24"/>
              </w:rPr>
            </w:pPr>
            <w:r>
              <w:rPr>
                <w:rFonts w:hint="eastAsia" w:ascii="宋体" w:hAnsi="宋体" w:cs="宋体"/>
                <w:kern w:val="0"/>
                <w:sz w:val="24"/>
              </w:rPr>
              <w:t>4、针对具体业务应用进行软件的配置管理；</w:t>
            </w:r>
          </w:p>
          <w:p w14:paraId="21571FDF">
            <w:pPr>
              <w:spacing w:line="360" w:lineRule="auto"/>
              <w:rPr>
                <w:rFonts w:ascii="宋体" w:hAnsi="宋体" w:cs="宋体"/>
                <w:kern w:val="0"/>
                <w:sz w:val="24"/>
              </w:rPr>
            </w:pPr>
            <w:r>
              <w:rPr>
                <w:rFonts w:hint="eastAsia" w:ascii="宋体" w:hAnsi="宋体" w:cs="宋体"/>
                <w:kern w:val="0"/>
                <w:sz w:val="24"/>
              </w:rPr>
              <w:t>5、由于环境原因导致的系统显示错误、数据错误、运行效率降低等问题；</w:t>
            </w:r>
          </w:p>
          <w:p w14:paraId="2BBA7D8C">
            <w:pPr>
              <w:spacing w:line="360" w:lineRule="auto"/>
              <w:rPr>
                <w:rFonts w:ascii="宋体" w:hAnsi="宋体" w:cs="宋体"/>
                <w:kern w:val="0"/>
                <w:sz w:val="24"/>
              </w:rPr>
            </w:pPr>
            <w:r>
              <w:rPr>
                <w:rFonts w:hint="eastAsia" w:ascii="宋体" w:hAnsi="宋体" w:cs="宋体"/>
                <w:kern w:val="0"/>
                <w:sz w:val="24"/>
              </w:rPr>
              <w:t>6、定期提供系统的运行环境巡检；</w:t>
            </w:r>
          </w:p>
          <w:p w14:paraId="39B655A2">
            <w:pPr>
              <w:spacing w:line="360" w:lineRule="auto"/>
              <w:rPr>
                <w:rFonts w:ascii="宋体" w:hAnsi="宋体" w:cs="宋体"/>
                <w:kern w:val="0"/>
                <w:sz w:val="24"/>
              </w:rPr>
            </w:pPr>
            <w:r>
              <w:rPr>
                <w:rFonts w:hint="eastAsia" w:ascii="宋体" w:hAnsi="宋体" w:cs="宋体"/>
                <w:kern w:val="0"/>
                <w:sz w:val="24"/>
              </w:rPr>
              <w:t xml:space="preserve">7、提供系统配套设备的维修、维护服务。 </w:t>
            </w:r>
          </w:p>
        </w:tc>
        <w:tc>
          <w:tcPr>
            <w:tcW w:w="1303" w:type="dxa"/>
            <w:tcBorders>
              <w:top w:val="single" w:color="auto" w:sz="4" w:space="0"/>
              <w:left w:val="nil"/>
              <w:bottom w:val="single" w:color="auto" w:sz="4" w:space="0"/>
              <w:right w:val="single" w:color="auto" w:sz="4" w:space="0"/>
            </w:tcBorders>
            <w:noWrap/>
            <w:vAlign w:val="center"/>
          </w:tcPr>
          <w:p w14:paraId="3D15A049">
            <w:pPr>
              <w:spacing w:line="360" w:lineRule="auto"/>
              <w:jc w:val="center"/>
              <w:rPr>
                <w:rFonts w:ascii="宋体" w:hAnsi="宋体" w:cs="宋体"/>
                <w:kern w:val="0"/>
                <w:sz w:val="24"/>
              </w:rPr>
            </w:pPr>
            <w:r>
              <w:rPr>
                <w:rFonts w:hint="eastAsia" w:ascii="宋体" w:hAnsi="宋体" w:cs="宋体"/>
                <w:kern w:val="0"/>
                <w:sz w:val="24"/>
              </w:rPr>
              <w:t>电话服务</w:t>
            </w:r>
          </w:p>
          <w:p w14:paraId="6410243E">
            <w:pPr>
              <w:widowControl w:val="0"/>
              <w:spacing w:line="360" w:lineRule="auto"/>
              <w:jc w:val="center"/>
              <w:rPr>
                <w:rFonts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远程服务</w:t>
            </w:r>
          </w:p>
          <w:p w14:paraId="32C98C09">
            <w:pPr>
              <w:spacing w:line="360" w:lineRule="auto"/>
              <w:jc w:val="center"/>
              <w:rPr>
                <w:rFonts w:ascii="宋体" w:hAnsi="宋体" w:cs="宋体"/>
                <w:kern w:val="0"/>
                <w:sz w:val="24"/>
              </w:rPr>
            </w:pPr>
            <w:r>
              <w:rPr>
                <w:rFonts w:hint="eastAsia" w:ascii="宋体" w:hAnsi="宋体" w:cs="宋体"/>
                <w:kern w:val="0"/>
                <w:sz w:val="24"/>
              </w:rPr>
              <w:t>现场服务</w:t>
            </w:r>
          </w:p>
        </w:tc>
        <w:tc>
          <w:tcPr>
            <w:tcW w:w="1363" w:type="dxa"/>
            <w:tcBorders>
              <w:top w:val="single" w:color="auto" w:sz="4" w:space="0"/>
              <w:left w:val="nil"/>
              <w:bottom w:val="single" w:color="auto" w:sz="4" w:space="0"/>
              <w:right w:val="single" w:color="auto" w:sz="4" w:space="0"/>
            </w:tcBorders>
            <w:vAlign w:val="center"/>
          </w:tcPr>
          <w:p w14:paraId="76ECED05">
            <w:pPr>
              <w:spacing w:line="360" w:lineRule="auto"/>
              <w:jc w:val="center"/>
              <w:rPr>
                <w:rFonts w:ascii="宋体" w:hAnsi="宋体" w:cs="宋体"/>
                <w:kern w:val="0"/>
                <w:sz w:val="24"/>
              </w:rPr>
            </w:pPr>
            <w:r>
              <w:rPr>
                <w:rFonts w:hint="eastAsia" w:ascii="宋体" w:hAnsi="宋体" w:cs="宋体"/>
                <w:kern w:val="0"/>
                <w:sz w:val="24"/>
              </w:rPr>
              <w:t>不限</w:t>
            </w:r>
          </w:p>
        </w:tc>
      </w:tr>
      <w:tr w14:paraId="5BE4D53E">
        <w:tblPrEx>
          <w:tblCellMar>
            <w:top w:w="0" w:type="dxa"/>
            <w:left w:w="108" w:type="dxa"/>
            <w:bottom w:w="0" w:type="dxa"/>
            <w:right w:w="108" w:type="dxa"/>
          </w:tblCellMar>
        </w:tblPrEx>
        <w:trPr>
          <w:trHeight w:val="2308" w:hRule="atLeast"/>
          <w:jc w:val="center"/>
        </w:trPr>
        <w:tc>
          <w:tcPr>
            <w:tcW w:w="739" w:type="dxa"/>
            <w:tcBorders>
              <w:top w:val="nil"/>
              <w:left w:val="single" w:color="auto" w:sz="4" w:space="0"/>
              <w:bottom w:val="single" w:color="auto" w:sz="4" w:space="0"/>
              <w:right w:val="single" w:color="auto" w:sz="4" w:space="0"/>
            </w:tcBorders>
            <w:noWrap/>
            <w:vAlign w:val="center"/>
          </w:tcPr>
          <w:p w14:paraId="45B0666B">
            <w:pPr>
              <w:spacing w:line="360" w:lineRule="auto"/>
              <w:jc w:val="center"/>
              <w:rPr>
                <w:rFonts w:ascii="宋体" w:hAnsi="宋体" w:cs="宋体"/>
                <w:kern w:val="0"/>
                <w:sz w:val="24"/>
              </w:rPr>
            </w:pPr>
            <w:r>
              <w:rPr>
                <w:rFonts w:hint="eastAsia" w:ascii="宋体" w:hAnsi="宋体" w:cs="宋体"/>
                <w:kern w:val="0"/>
                <w:sz w:val="24"/>
              </w:rPr>
              <w:t>2</w:t>
            </w:r>
          </w:p>
        </w:tc>
        <w:tc>
          <w:tcPr>
            <w:tcW w:w="1247" w:type="dxa"/>
            <w:tcBorders>
              <w:top w:val="nil"/>
              <w:left w:val="single" w:color="auto" w:sz="4" w:space="0"/>
              <w:bottom w:val="single" w:color="auto" w:sz="4" w:space="0"/>
              <w:right w:val="single" w:color="auto" w:sz="4" w:space="0"/>
            </w:tcBorders>
            <w:vAlign w:val="center"/>
          </w:tcPr>
          <w:p w14:paraId="3515EF44">
            <w:pPr>
              <w:spacing w:line="360" w:lineRule="auto"/>
              <w:jc w:val="center"/>
              <w:rPr>
                <w:rFonts w:ascii="宋体" w:hAnsi="宋体" w:cs="宋体"/>
                <w:kern w:val="0"/>
                <w:sz w:val="24"/>
              </w:rPr>
            </w:pPr>
            <w:r>
              <w:rPr>
                <w:rFonts w:hint="eastAsia" w:ascii="宋体" w:hAnsi="宋体" w:cs="宋体"/>
                <w:kern w:val="0"/>
                <w:sz w:val="24"/>
              </w:rPr>
              <w:t>信息系统升级更新服务</w:t>
            </w:r>
          </w:p>
        </w:tc>
        <w:tc>
          <w:tcPr>
            <w:tcW w:w="5244" w:type="dxa"/>
            <w:tcBorders>
              <w:top w:val="single" w:color="auto" w:sz="4" w:space="0"/>
              <w:left w:val="single" w:color="auto" w:sz="4" w:space="0"/>
              <w:bottom w:val="single" w:color="auto" w:sz="4" w:space="0"/>
              <w:right w:val="single" w:color="auto" w:sz="4" w:space="0"/>
            </w:tcBorders>
            <w:noWrap/>
            <w:vAlign w:val="center"/>
          </w:tcPr>
          <w:p w14:paraId="66F0D8B3">
            <w:pPr>
              <w:spacing w:line="360" w:lineRule="auto"/>
              <w:rPr>
                <w:rFonts w:ascii="宋体" w:hAnsi="宋体" w:cs="宋体"/>
                <w:kern w:val="0"/>
                <w:sz w:val="24"/>
              </w:rPr>
            </w:pPr>
            <w:r>
              <w:rPr>
                <w:rFonts w:hint="eastAsia" w:ascii="宋体" w:hAnsi="宋体" w:cs="宋体"/>
                <w:kern w:val="0"/>
                <w:sz w:val="24"/>
              </w:rPr>
              <w:t>1、服务商应根据国家、省和市政府部门新增或变更的相关政策，及时为医院提供同版本系统更新服务；</w:t>
            </w:r>
          </w:p>
          <w:p w14:paraId="0F262761">
            <w:pPr>
              <w:spacing w:line="360" w:lineRule="auto"/>
              <w:rPr>
                <w:rFonts w:ascii="宋体" w:hAnsi="宋体" w:cs="宋体"/>
                <w:kern w:val="0"/>
                <w:sz w:val="24"/>
              </w:rPr>
            </w:pPr>
            <w:r>
              <w:rPr>
                <w:rFonts w:hint="eastAsia" w:ascii="宋体" w:hAnsi="宋体" w:cs="宋体"/>
                <w:kern w:val="0"/>
                <w:sz w:val="24"/>
              </w:rPr>
              <w:t>2、服务商组织专业技术人员为院方提供同版本系统软件升级服务；</w:t>
            </w:r>
          </w:p>
          <w:p w14:paraId="09FA954F">
            <w:pPr>
              <w:spacing w:line="360" w:lineRule="auto"/>
              <w:rPr>
                <w:rFonts w:ascii="宋体" w:hAnsi="宋体" w:cs="宋体"/>
                <w:kern w:val="0"/>
                <w:sz w:val="24"/>
              </w:rPr>
            </w:pPr>
            <w:r>
              <w:rPr>
                <w:rFonts w:hint="eastAsia" w:ascii="宋体" w:hAnsi="宋体" w:cs="宋体"/>
                <w:kern w:val="0"/>
                <w:sz w:val="24"/>
              </w:rPr>
              <w:t>3、服务商定期为院方提供同版本系统安全补丁安装、调试服务。</w:t>
            </w:r>
          </w:p>
        </w:tc>
        <w:tc>
          <w:tcPr>
            <w:tcW w:w="1303" w:type="dxa"/>
            <w:tcBorders>
              <w:top w:val="single" w:color="auto" w:sz="4" w:space="0"/>
              <w:left w:val="nil"/>
              <w:bottom w:val="single" w:color="auto" w:sz="4" w:space="0"/>
              <w:right w:val="single" w:color="auto" w:sz="4" w:space="0"/>
            </w:tcBorders>
            <w:noWrap/>
            <w:vAlign w:val="center"/>
          </w:tcPr>
          <w:p w14:paraId="4258CBB6">
            <w:pPr>
              <w:spacing w:line="360" w:lineRule="auto"/>
              <w:jc w:val="center"/>
              <w:rPr>
                <w:rFonts w:ascii="宋体" w:hAnsi="宋体" w:cs="宋体"/>
                <w:kern w:val="0"/>
                <w:sz w:val="24"/>
              </w:rPr>
            </w:pPr>
            <w:r>
              <w:rPr>
                <w:rFonts w:hint="eastAsia" w:ascii="宋体" w:hAnsi="宋体" w:cs="宋体"/>
                <w:kern w:val="0"/>
                <w:sz w:val="24"/>
              </w:rPr>
              <w:t>远程服务</w:t>
            </w:r>
          </w:p>
          <w:p w14:paraId="2DAC15C8">
            <w:pPr>
              <w:spacing w:line="360" w:lineRule="auto"/>
              <w:jc w:val="center"/>
              <w:rPr>
                <w:rFonts w:ascii="宋体" w:hAnsi="宋体" w:cs="宋体"/>
                <w:kern w:val="0"/>
                <w:sz w:val="24"/>
              </w:rPr>
            </w:pPr>
            <w:r>
              <w:rPr>
                <w:rFonts w:hint="eastAsia" w:ascii="宋体" w:hAnsi="宋体" w:cs="宋体"/>
                <w:kern w:val="0"/>
                <w:sz w:val="24"/>
              </w:rPr>
              <w:t>现场服务</w:t>
            </w:r>
          </w:p>
        </w:tc>
        <w:tc>
          <w:tcPr>
            <w:tcW w:w="1363" w:type="dxa"/>
            <w:tcBorders>
              <w:top w:val="single" w:color="auto" w:sz="4" w:space="0"/>
              <w:left w:val="nil"/>
              <w:bottom w:val="single" w:color="auto" w:sz="4" w:space="0"/>
              <w:right w:val="single" w:color="auto" w:sz="4" w:space="0"/>
            </w:tcBorders>
            <w:vAlign w:val="center"/>
          </w:tcPr>
          <w:p w14:paraId="41B09E1A">
            <w:pPr>
              <w:spacing w:line="360" w:lineRule="auto"/>
              <w:jc w:val="center"/>
              <w:rPr>
                <w:rFonts w:ascii="宋体" w:hAnsi="宋体" w:cs="宋体"/>
                <w:kern w:val="0"/>
                <w:sz w:val="24"/>
              </w:rPr>
            </w:pPr>
            <w:r>
              <w:rPr>
                <w:rFonts w:hint="eastAsia" w:ascii="宋体" w:hAnsi="宋体" w:cs="宋体"/>
                <w:kern w:val="0"/>
                <w:sz w:val="24"/>
              </w:rPr>
              <w:t>不限</w:t>
            </w:r>
          </w:p>
        </w:tc>
      </w:tr>
      <w:tr w14:paraId="51BCCA7E">
        <w:tblPrEx>
          <w:tblCellMar>
            <w:top w:w="0" w:type="dxa"/>
            <w:left w:w="108" w:type="dxa"/>
            <w:bottom w:w="0" w:type="dxa"/>
            <w:right w:w="108" w:type="dxa"/>
          </w:tblCellMar>
        </w:tblPrEx>
        <w:trPr>
          <w:trHeight w:val="2308" w:hRule="atLeast"/>
          <w:jc w:val="center"/>
        </w:trPr>
        <w:tc>
          <w:tcPr>
            <w:tcW w:w="739" w:type="dxa"/>
            <w:tcBorders>
              <w:top w:val="nil"/>
              <w:left w:val="single" w:color="auto" w:sz="4" w:space="0"/>
              <w:bottom w:val="single" w:color="auto" w:sz="4" w:space="0"/>
              <w:right w:val="single" w:color="auto" w:sz="4" w:space="0"/>
            </w:tcBorders>
            <w:noWrap/>
            <w:vAlign w:val="center"/>
          </w:tcPr>
          <w:p w14:paraId="5676D1EE">
            <w:pPr>
              <w:spacing w:line="360" w:lineRule="auto"/>
              <w:jc w:val="center"/>
              <w:rPr>
                <w:rFonts w:ascii="宋体" w:hAnsi="宋体" w:cs="宋体"/>
                <w:kern w:val="0"/>
                <w:sz w:val="24"/>
              </w:rPr>
            </w:pPr>
            <w:r>
              <w:rPr>
                <w:rFonts w:hint="eastAsia" w:ascii="宋体" w:hAnsi="宋体" w:cs="宋体"/>
                <w:kern w:val="0"/>
                <w:sz w:val="24"/>
              </w:rPr>
              <w:t>3</w:t>
            </w:r>
          </w:p>
        </w:tc>
        <w:tc>
          <w:tcPr>
            <w:tcW w:w="1247" w:type="dxa"/>
            <w:tcBorders>
              <w:top w:val="nil"/>
              <w:left w:val="single" w:color="auto" w:sz="4" w:space="0"/>
              <w:bottom w:val="single" w:color="auto" w:sz="4" w:space="0"/>
              <w:right w:val="single" w:color="auto" w:sz="4" w:space="0"/>
            </w:tcBorders>
            <w:vAlign w:val="center"/>
          </w:tcPr>
          <w:p w14:paraId="672B0B4B">
            <w:pPr>
              <w:spacing w:line="360" w:lineRule="auto"/>
              <w:jc w:val="center"/>
              <w:rPr>
                <w:rFonts w:ascii="宋体" w:hAnsi="宋体" w:cs="宋体"/>
                <w:kern w:val="0"/>
                <w:sz w:val="24"/>
              </w:rPr>
            </w:pPr>
            <w:r>
              <w:rPr>
                <w:rFonts w:hint="eastAsia" w:ascii="宋体" w:hAnsi="宋体" w:cs="宋体"/>
                <w:kern w:val="0"/>
                <w:sz w:val="24"/>
              </w:rPr>
              <w:t>网络安全与数据安全服务</w:t>
            </w:r>
          </w:p>
        </w:tc>
        <w:tc>
          <w:tcPr>
            <w:tcW w:w="5244" w:type="dxa"/>
            <w:tcBorders>
              <w:top w:val="single" w:color="auto" w:sz="4" w:space="0"/>
              <w:left w:val="single" w:color="auto" w:sz="4" w:space="0"/>
              <w:bottom w:val="single" w:color="auto" w:sz="4" w:space="0"/>
              <w:right w:val="single" w:color="auto" w:sz="4" w:space="0"/>
            </w:tcBorders>
            <w:noWrap/>
            <w:vAlign w:val="center"/>
          </w:tcPr>
          <w:p w14:paraId="18BFE3A4">
            <w:pPr>
              <w:spacing w:line="360" w:lineRule="auto"/>
              <w:rPr>
                <w:rFonts w:ascii="宋体" w:hAnsi="宋体" w:cs="宋体"/>
                <w:kern w:val="0"/>
                <w:sz w:val="24"/>
              </w:rPr>
            </w:pPr>
            <w:r>
              <w:rPr>
                <w:rFonts w:hint="eastAsia" w:ascii="宋体" w:hAnsi="宋体" w:cs="宋体"/>
                <w:kern w:val="0"/>
                <w:sz w:val="24"/>
              </w:rPr>
              <w:t>1、服务商应根据《国家网络安全法》、《个人信息保护法》及相关法律法规，为医院提供网络安全服务与数据安全服务。</w:t>
            </w:r>
          </w:p>
          <w:p w14:paraId="473B3BDE">
            <w:pPr>
              <w:spacing w:line="360" w:lineRule="auto"/>
              <w:rPr>
                <w:rFonts w:ascii="宋体" w:hAnsi="宋体" w:cs="宋体"/>
                <w:kern w:val="0"/>
                <w:sz w:val="24"/>
              </w:rPr>
            </w:pPr>
            <w:r>
              <w:rPr>
                <w:rFonts w:hint="eastAsia" w:ascii="宋体" w:hAnsi="宋体" w:cs="宋体"/>
                <w:kern w:val="0"/>
                <w:sz w:val="24"/>
              </w:rPr>
              <w:t>2、网络安全服务包含且不限以下服务：漏洞修复、安全问题整改、安全风险排查等服务等服务。</w:t>
            </w:r>
          </w:p>
          <w:p w14:paraId="112CB658">
            <w:pPr>
              <w:spacing w:line="360" w:lineRule="auto"/>
              <w:rPr>
                <w:rFonts w:ascii="宋体" w:hAnsi="宋体" w:cs="宋体"/>
                <w:kern w:val="0"/>
                <w:sz w:val="24"/>
              </w:rPr>
            </w:pPr>
            <w:r>
              <w:rPr>
                <w:rFonts w:hint="eastAsia" w:ascii="宋体" w:hAnsi="宋体" w:cs="宋体"/>
                <w:sz w:val="24"/>
              </w:rPr>
              <w:t>3、数据安全服务</w:t>
            </w:r>
            <w:r>
              <w:rPr>
                <w:rFonts w:hint="eastAsia" w:ascii="宋体" w:hAnsi="宋体" w:cs="宋体"/>
                <w:kern w:val="0"/>
                <w:sz w:val="24"/>
              </w:rPr>
              <w:t>包含且不限以下服务：数据加密、数据备份与恢复与数据库安全审计等服务</w:t>
            </w:r>
          </w:p>
        </w:tc>
        <w:tc>
          <w:tcPr>
            <w:tcW w:w="1303" w:type="dxa"/>
            <w:tcBorders>
              <w:top w:val="single" w:color="auto" w:sz="4" w:space="0"/>
              <w:left w:val="nil"/>
              <w:bottom w:val="single" w:color="auto" w:sz="4" w:space="0"/>
              <w:right w:val="single" w:color="auto" w:sz="4" w:space="0"/>
            </w:tcBorders>
            <w:noWrap/>
            <w:vAlign w:val="center"/>
          </w:tcPr>
          <w:p w14:paraId="620F1D45">
            <w:pPr>
              <w:spacing w:line="360" w:lineRule="auto"/>
              <w:rPr>
                <w:rFonts w:ascii="宋体" w:hAnsi="宋体" w:cs="宋体"/>
                <w:kern w:val="0"/>
                <w:sz w:val="24"/>
              </w:rPr>
            </w:pPr>
            <w:r>
              <w:rPr>
                <w:rFonts w:hint="eastAsia" w:ascii="宋体" w:hAnsi="宋体" w:cs="宋体"/>
                <w:kern w:val="0"/>
                <w:sz w:val="24"/>
              </w:rPr>
              <w:t>远程服务</w:t>
            </w:r>
          </w:p>
          <w:p w14:paraId="29BAF2B2">
            <w:pPr>
              <w:spacing w:line="360" w:lineRule="auto"/>
              <w:rPr>
                <w:rFonts w:ascii="宋体" w:hAnsi="宋体" w:cs="宋体"/>
                <w:kern w:val="0"/>
                <w:sz w:val="24"/>
              </w:rPr>
            </w:pPr>
            <w:r>
              <w:rPr>
                <w:rFonts w:hint="eastAsia" w:ascii="宋体" w:hAnsi="宋体" w:cs="宋体"/>
                <w:kern w:val="0"/>
                <w:sz w:val="24"/>
              </w:rPr>
              <w:t>现场服务</w:t>
            </w:r>
          </w:p>
        </w:tc>
        <w:tc>
          <w:tcPr>
            <w:tcW w:w="1363" w:type="dxa"/>
            <w:tcBorders>
              <w:top w:val="single" w:color="auto" w:sz="4" w:space="0"/>
              <w:left w:val="nil"/>
              <w:bottom w:val="single" w:color="auto" w:sz="4" w:space="0"/>
              <w:right w:val="single" w:color="auto" w:sz="4" w:space="0"/>
            </w:tcBorders>
            <w:vAlign w:val="center"/>
          </w:tcPr>
          <w:p w14:paraId="6BB98869">
            <w:pPr>
              <w:spacing w:line="360" w:lineRule="auto"/>
              <w:jc w:val="center"/>
              <w:rPr>
                <w:rFonts w:ascii="宋体" w:hAnsi="宋体" w:cs="宋体"/>
                <w:kern w:val="0"/>
                <w:sz w:val="24"/>
              </w:rPr>
            </w:pPr>
            <w:r>
              <w:rPr>
                <w:rFonts w:hint="eastAsia" w:ascii="宋体" w:hAnsi="宋体" w:cs="宋体"/>
                <w:kern w:val="0"/>
                <w:sz w:val="24"/>
              </w:rPr>
              <w:t>不限</w:t>
            </w:r>
          </w:p>
        </w:tc>
      </w:tr>
      <w:tr w14:paraId="207C5089">
        <w:tblPrEx>
          <w:tblCellMar>
            <w:top w:w="0" w:type="dxa"/>
            <w:left w:w="108" w:type="dxa"/>
            <w:bottom w:w="0" w:type="dxa"/>
            <w:right w:w="108" w:type="dxa"/>
          </w:tblCellMar>
        </w:tblPrEx>
        <w:trPr>
          <w:trHeight w:val="1573" w:hRule="atLeast"/>
          <w:jc w:val="center"/>
        </w:trPr>
        <w:tc>
          <w:tcPr>
            <w:tcW w:w="739" w:type="dxa"/>
            <w:tcBorders>
              <w:top w:val="nil"/>
              <w:left w:val="single" w:color="auto" w:sz="4" w:space="0"/>
              <w:bottom w:val="single" w:color="auto" w:sz="4" w:space="0"/>
              <w:right w:val="single" w:color="auto" w:sz="4" w:space="0"/>
            </w:tcBorders>
            <w:noWrap/>
            <w:vAlign w:val="center"/>
          </w:tcPr>
          <w:p w14:paraId="7933DB52">
            <w:pPr>
              <w:spacing w:line="360" w:lineRule="auto"/>
              <w:jc w:val="center"/>
              <w:rPr>
                <w:rFonts w:ascii="宋体" w:hAnsi="宋体" w:cs="宋体"/>
                <w:kern w:val="0"/>
                <w:sz w:val="24"/>
              </w:rPr>
            </w:pPr>
            <w:r>
              <w:rPr>
                <w:rFonts w:hint="eastAsia" w:ascii="宋体" w:hAnsi="宋体" w:cs="宋体"/>
                <w:kern w:val="0"/>
                <w:sz w:val="24"/>
              </w:rPr>
              <w:t>4</w:t>
            </w:r>
          </w:p>
        </w:tc>
        <w:tc>
          <w:tcPr>
            <w:tcW w:w="1247" w:type="dxa"/>
            <w:tcBorders>
              <w:top w:val="nil"/>
              <w:left w:val="single" w:color="auto" w:sz="4" w:space="0"/>
              <w:bottom w:val="single" w:color="auto" w:sz="4" w:space="0"/>
              <w:right w:val="single" w:color="auto" w:sz="4" w:space="0"/>
            </w:tcBorders>
            <w:vAlign w:val="center"/>
          </w:tcPr>
          <w:p w14:paraId="1A02A832">
            <w:pPr>
              <w:spacing w:line="360" w:lineRule="auto"/>
              <w:jc w:val="center"/>
              <w:rPr>
                <w:rFonts w:ascii="宋体" w:hAnsi="宋体" w:cs="宋体"/>
                <w:kern w:val="0"/>
                <w:sz w:val="24"/>
              </w:rPr>
            </w:pPr>
            <w:r>
              <w:rPr>
                <w:rFonts w:hint="eastAsia" w:ascii="宋体" w:hAnsi="宋体" w:cs="宋体"/>
                <w:kern w:val="0"/>
                <w:sz w:val="24"/>
              </w:rPr>
              <w:t>人员培训</w:t>
            </w:r>
          </w:p>
          <w:p w14:paraId="438785AC">
            <w:pPr>
              <w:spacing w:line="360" w:lineRule="auto"/>
              <w:jc w:val="center"/>
              <w:rPr>
                <w:rFonts w:ascii="宋体" w:hAnsi="宋体" w:cs="宋体"/>
                <w:kern w:val="0"/>
                <w:sz w:val="24"/>
              </w:rPr>
            </w:pPr>
            <w:r>
              <w:rPr>
                <w:rFonts w:hint="eastAsia" w:ascii="宋体" w:hAnsi="宋体" w:cs="宋体"/>
                <w:kern w:val="0"/>
                <w:sz w:val="24"/>
              </w:rPr>
              <w:t>服务</w:t>
            </w:r>
          </w:p>
        </w:tc>
        <w:tc>
          <w:tcPr>
            <w:tcW w:w="5244" w:type="dxa"/>
            <w:tcBorders>
              <w:top w:val="single" w:color="auto" w:sz="4" w:space="0"/>
              <w:left w:val="single" w:color="auto" w:sz="4" w:space="0"/>
              <w:bottom w:val="single" w:color="auto" w:sz="4" w:space="0"/>
              <w:right w:val="single" w:color="auto" w:sz="4" w:space="0"/>
            </w:tcBorders>
            <w:noWrap/>
            <w:vAlign w:val="center"/>
          </w:tcPr>
          <w:p w14:paraId="473DF8FC">
            <w:pPr>
              <w:spacing w:line="360" w:lineRule="auto"/>
              <w:rPr>
                <w:rFonts w:ascii="宋体" w:hAnsi="宋体" w:cs="宋体"/>
                <w:kern w:val="0"/>
                <w:sz w:val="24"/>
              </w:rPr>
            </w:pPr>
            <w:r>
              <w:rPr>
                <w:rFonts w:hint="eastAsia" w:ascii="宋体" w:hAnsi="宋体" w:cs="宋体"/>
                <w:kern w:val="0"/>
                <w:sz w:val="24"/>
              </w:rPr>
              <w:t>服务商应定期组织技术人员为院方提供信息系统相关技术培训服务。</w:t>
            </w:r>
          </w:p>
        </w:tc>
        <w:tc>
          <w:tcPr>
            <w:tcW w:w="1303" w:type="dxa"/>
            <w:tcBorders>
              <w:top w:val="single" w:color="auto" w:sz="4" w:space="0"/>
              <w:left w:val="nil"/>
              <w:bottom w:val="single" w:color="auto" w:sz="4" w:space="0"/>
              <w:right w:val="single" w:color="auto" w:sz="4" w:space="0"/>
            </w:tcBorders>
            <w:noWrap/>
            <w:vAlign w:val="center"/>
          </w:tcPr>
          <w:p w14:paraId="2EFA1574">
            <w:pPr>
              <w:spacing w:line="360" w:lineRule="auto"/>
              <w:jc w:val="center"/>
              <w:rPr>
                <w:rFonts w:ascii="宋体" w:hAnsi="宋体" w:cs="宋体"/>
                <w:kern w:val="0"/>
                <w:sz w:val="24"/>
              </w:rPr>
            </w:pPr>
            <w:r>
              <w:rPr>
                <w:rFonts w:hint="eastAsia" w:ascii="宋体" w:hAnsi="宋体" w:cs="宋体"/>
                <w:kern w:val="0"/>
                <w:sz w:val="24"/>
              </w:rPr>
              <w:t>远程服务</w:t>
            </w:r>
          </w:p>
          <w:p w14:paraId="3A2ADB59">
            <w:pPr>
              <w:spacing w:line="360" w:lineRule="auto"/>
              <w:jc w:val="center"/>
              <w:rPr>
                <w:rFonts w:ascii="宋体" w:hAnsi="宋体" w:cs="宋体"/>
                <w:kern w:val="0"/>
                <w:sz w:val="24"/>
              </w:rPr>
            </w:pPr>
            <w:r>
              <w:rPr>
                <w:rFonts w:hint="eastAsia" w:ascii="宋体" w:hAnsi="宋体" w:cs="宋体"/>
                <w:kern w:val="0"/>
                <w:sz w:val="24"/>
              </w:rPr>
              <w:t>现场服务</w:t>
            </w:r>
          </w:p>
        </w:tc>
        <w:tc>
          <w:tcPr>
            <w:tcW w:w="1363" w:type="dxa"/>
            <w:tcBorders>
              <w:top w:val="single" w:color="auto" w:sz="4" w:space="0"/>
              <w:left w:val="nil"/>
              <w:bottom w:val="single" w:color="auto" w:sz="4" w:space="0"/>
              <w:right w:val="single" w:color="auto" w:sz="4" w:space="0"/>
            </w:tcBorders>
            <w:vAlign w:val="center"/>
          </w:tcPr>
          <w:p w14:paraId="7F9AE672">
            <w:pPr>
              <w:spacing w:line="360" w:lineRule="auto"/>
              <w:jc w:val="center"/>
              <w:rPr>
                <w:rFonts w:ascii="宋体" w:hAnsi="宋体" w:cs="宋体"/>
                <w:kern w:val="0"/>
                <w:sz w:val="24"/>
              </w:rPr>
            </w:pPr>
            <w:r>
              <w:rPr>
                <w:rFonts w:hint="eastAsia" w:ascii="宋体" w:hAnsi="宋体" w:cs="宋体"/>
                <w:kern w:val="0"/>
                <w:sz w:val="24"/>
              </w:rPr>
              <w:t>全年不少于20学时</w:t>
            </w:r>
          </w:p>
        </w:tc>
      </w:tr>
    </w:tbl>
    <w:p w14:paraId="0D2EF688">
      <w:pPr>
        <w:widowControl w:val="0"/>
        <w:spacing w:line="360" w:lineRule="auto"/>
        <w:ind w:firstLine="480" w:firstLineChars="200"/>
        <w:jc w:val="both"/>
        <w:rPr>
          <w:rFonts w:ascii="宋体" w:hAnsi="宋体" w:eastAsia="宋体" w:cs="宋体"/>
          <w:color w:val="auto"/>
          <w:kern w:val="2"/>
          <w:sz w:val="24"/>
          <w:szCs w:val="24"/>
          <w:lang w:val="en-US" w:eastAsia="zh-CN" w:bidi="ar-SA"/>
        </w:rPr>
      </w:pPr>
    </w:p>
    <w:p w14:paraId="14C8886A">
      <w:pPr>
        <w:widowControl w:val="0"/>
        <w:spacing w:line="360" w:lineRule="auto"/>
        <w:ind w:firstLine="482" w:firstLineChars="200"/>
        <w:jc w:val="both"/>
        <w:rPr>
          <w:rFonts w:ascii="宋体" w:hAnsi="宋体" w:eastAsia="宋体" w:cs="宋体"/>
          <w:b/>
          <w:color w:val="auto"/>
          <w:kern w:val="2"/>
          <w:sz w:val="24"/>
          <w:szCs w:val="24"/>
          <w:lang w:val="en-US" w:eastAsia="zh-CN" w:bidi="ar-SA"/>
        </w:rPr>
      </w:pPr>
      <w:r>
        <w:rPr>
          <w:rFonts w:hint="eastAsia" w:ascii="宋体" w:hAnsi="宋体" w:eastAsia="宋体" w:cs="宋体"/>
          <w:b/>
          <w:color w:val="auto"/>
          <w:kern w:val="2"/>
          <w:sz w:val="24"/>
          <w:szCs w:val="24"/>
          <w:lang w:val="en-US" w:eastAsia="zh-CN" w:bidi="ar-SA"/>
        </w:rPr>
        <w:t>5.售后服务方案与技术能力要求：</w:t>
      </w:r>
    </w:p>
    <w:p w14:paraId="6EB87A62">
      <w:pPr>
        <w:widowControl w:val="0"/>
        <w:spacing w:line="360" w:lineRule="auto"/>
        <w:ind w:firstLine="480" w:firstLineChars="200"/>
        <w:jc w:val="both"/>
        <w:rPr>
          <w:rFonts w:ascii="宋体" w:hAnsi="宋体" w:eastAsia="宋体" w:cs="宋体"/>
          <w:bCs/>
          <w:color w:val="auto"/>
          <w:kern w:val="2"/>
          <w:sz w:val="24"/>
          <w:szCs w:val="24"/>
          <w:lang w:val="en-US" w:eastAsia="zh-CN" w:bidi="ar-SA"/>
        </w:rPr>
      </w:pPr>
      <w:r>
        <w:rPr>
          <w:rFonts w:hint="eastAsia" w:ascii="宋体" w:hAnsi="宋体" w:eastAsia="宋体" w:cs="宋体"/>
          <w:bCs/>
          <w:color w:val="auto"/>
          <w:kern w:val="2"/>
          <w:sz w:val="24"/>
          <w:szCs w:val="24"/>
          <w:lang w:val="en-US" w:eastAsia="zh-CN" w:bidi="ar-SA"/>
        </w:rPr>
        <w:t>5.1服务商应根据院方信息化建设情况与信息系统使用情况，制定详尽的售后服务方案。内容应涵盖以下几点：</w:t>
      </w:r>
    </w:p>
    <w:p w14:paraId="6D9B9BA5">
      <w:pPr>
        <w:widowControl w:val="0"/>
        <w:spacing w:line="360" w:lineRule="auto"/>
        <w:ind w:firstLine="480" w:firstLineChars="200"/>
        <w:jc w:val="both"/>
        <w:rPr>
          <w:rFonts w:ascii="宋体" w:hAnsi="宋体" w:eastAsia="宋体" w:cs="宋体"/>
          <w:bCs/>
          <w:color w:val="auto"/>
          <w:kern w:val="2"/>
          <w:sz w:val="24"/>
          <w:szCs w:val="24"/>
          <w:lang w:val="en-US" w:eastAsia="zh-CN" w:bidi="ar-SA"/>
        </w:rPr>
      </w:pPr>
      <w:r>
        <w:rPr>
          <w:rFonts w:hint="eastAsia" w:ascii="宋体" w:hAnsi="宋体" w:eastAsia="宋体" w:cs="宋体"/>
          <w:bCs/>
          <w:color w:val="auto"/>
          <w:kern w:val="2"/>
          <w:sz w:val="24"/>
          <w:szCs w:val="24"/>
          <w:lang w:val="en-US" w:eastAsia="zh-CN" w:bidi="ar-SA"/>
        </w:rPr>
        <w:t>5.1.1售后运维服务的承诺。</w:t>
      </w:r>
    </w:p>
    <w:p w14:paraId="4F54ACC0">
      <w:pPr>
        <w:widowControl w:val="0"/>
        <w:spacing w:line="360" w:lineRule="auto"/>
        <w:ind w:firstLine="480" w:firstLineChars="200"/>
        <w:jc w:val="both"/>
        <w:rPr>
          <w:rFonts w:ascii="宋体" w:hAnsi="宋体" w:eastAsia="宋体" w:cs="宋体"/>
          <w:bCs/>
          <w:color w:val="auto"/>
          <w:kern w:val="2"/>
          <w:sz w:val="24"/>
          <w:szCs w:val="24"/>
          <w:lang w:val="en-US" w:eastAsia="zh-CN" w:bidi="ar-SA"/>
        </w:rPr>
      </w:pPr>
      <w:r>
        <w:rPr>
          <w:rFonts w:hint="eastAsia" w:ascii="宋体" w:hAnsi="宋体" w:eastAsia="宋体" w:cs="宋体"/>
          <w:bCs/>
          <w:color w:val="auto"/>
          <w:kern w:val="2"/>
          <w:sz w:val="24"/>
          <w:szCs w:val="24"/>
          <w:lang w:val="en-US" w:eastAsia="zh-CN" w:bidi="ar-SA"/>
        </w:rPr>
        <w:t>5.1.2提供售后运维服务的具体内容。</w:t>
      </w:r>
    </w:p>
    <w:p w14:paraId="50EE7FB8">
      <w:pPr>
        <w:widowControl w:val="0"/>
        <w:spacing w:line="360" w:lineRule="auto"/>
        <w:ind w:firstLine="480" w:firstLineChars="200"/>
        <w:jc w:val="both"/>
        <w:rPr>
          <w:rFonts w:ascii="宋体" w:hAnsi="宋体" w:eastAsia="宋体" w:cs="宋体"/>
          <w:bCs/>
          <w:color w:val="auto"/>
          <w:kern w:val="2"/>
          <w:sz w:val="24"/>
          <w:szCs w:val="24"/>
          <w:lang w:val="en-US" w:eastAsia="zh-CN" w:bidi="ar-SA"/>
        </w:rPr>
      </w:pPr>
      <w:r>
        <w:rPr>
          <w:rFonts w:hint="eastAsia" w:ascii="宋体" w:hAnsi="宋体" w:eastAsia="宋体" w:cs="宋体"/>
          <w:bCs/>
          <w:color w:val="auto"/>
          <w:kern w:val="2"/>
          <w:sz w:val="24"/>
          <w:szCs w:val="24"/>
          <w:lang w:val="en-US" w:eastAsia="zh-CN" w:bidi="ar-SA"/>
        </w:rPr>
        <w:t>5.1.3售后运维服务的具体措施。</w:t>
      </w:r>
    </w:p>
    <w:p w14:paraId="38561D9F">
      <w:pPr>
        <w:widowControl w:val="0"/>
        <w:spacing w:line="360" w:lineRule="auto"/>
        <w:ind w:firstLine="480" w:firstLineChars="200"/>
        <w:jc w:val="both"/>
        <w:rPr>
          <w:rFonts w:ascii="宋体" w:hAnsi="宋体" w:eastAsia="宋体" w:cs="宋体"/>
          <w:bCs/>
          <w:color w:val="auto"/>
          <w:kern w:val="2"/>
          <w:sz w:val="24"/>
          <w:szCs w:val="24"/>
          <w:lang w:val="en-US" w:eastAsia="zh-CN" w:bidi="ar-SA"/>
        </w:rPr>
      </w:pPr>
      <w:r>
        <w:rPr>
          <w:rFonts w:hint="eastAsia" w:ascii="宋体" w:hAnsi="宋体" w:eastAsia="宋体" w:cs="宋体"/>
          <w:bCs/>
          <w:color w:val="auto"/>
          <w:kern w:val="2"/>
          <w:sz w:val="24"/>
          <w:szCs w:val="24"/>
          <w:lang w:val="en-US" w:eastAsia="zh-CN" w:bidi="ar-SA"/>
        </w:rPr>
        <w:t>5.1.4售后运维服务相关管理制度。</w:t>
      </w:r>
    </w:p>
    <w:p w14:paraId="7F948DAB">
      <w:pPr>
        <w:widowControl w:val="0"/>
        <w:spacing w:line="360" w:lineRule="auto"/>
        <w:ind w:firstLine="480" w:firstLineChars="200"/>
        <w:jc w:val="both"/>
        <w:rPr>
          <w:rFonts w:ascii="宋体" w:hAnsi="宋体" w:eastAsia="宋体" w:cs="宋体"/>
          <w:bCs/>
          <w:color w:val="auto"/>
          <w:kern w:val="2"/>
          <w:sz w:val="24"/>
          <w:szCs w:val="24"/>
          <w:lang w:val="en-US" w:eastAsia="zh-CN" w:bidi="ar-SA"/>
        </w:rPr>
      </w:pPr>
      <w:r>
        <w:rPr>
          <w:rFonts w:hint="eastAsia" w:ascii="宋体" w:hAnsi="宋体" w:eastAsia="宋体" w:cs="宋体"/>
          <w:bCs/>
          <w:color w:val="auto"/>
          <w:kern w:val="2"/>
          <w:sz w:val="24"/>
          <w:szCs w:val="24"/>
          <w:lang w:val="en-US" w:eastAsia="zh-CN" w:bidi="ar-SA"/>
        </w:rPr>
        <w:t>5.1.5售后运维服务的应急预案。</w:t>
      </w:r>
    </w:p>
    <w:p w14:paraId="5E2E7D48">
      <w:pPr>
        <w:widowControl w:val="0"/>
        <w:spacing w:line="360" w:lineRule="auto"/>
        <w:ind w:firstLine="480" w:firstLineChars="200"/>
        <w:jc w:val="both"/>
        <w:rPr>
          <w:rFonts w:ascii="宋体" w:hAnsi="宋体" w:eastAsia="宋体" w:cs="宋体"/>
          <w:bCs/>
          <w:color w:val="auto"/>
          <w:kern w:val="2"/>
          <w:sz w:val="24"/>
          <w:szCs w:val="24"/>
          <w:lang w:val="en-US" w:eastAsia="zh-CN" w:bidi="ar-SA"/>
        </w:rPr>
      </w:pPr>
      <w:r>
        <w:rPr>
          <w:rFonts w:hint="eastAsia" w:ascii="宋体" w:hAnsi="宋体" w:eastAsia="宋体" w:cs="宋体"/>
          <w:bCs/>
          <w:color w:val="auto"/>
          <w:kern w:val="2"/>
          <w:sz w:val="24"/>
          <w:szCs w:val="24"/>
          <w:lang w:val="en-US" w:eastAsia="zh-CN" w:bidi="ar-SA"/>
        </w:rPr>
        <w:t>5.2售后服务技术能力要求：</w:t>
      </w:r>
    </w:p>
    <w:p w14:paraId="2F16E852">
      <w:pPr>
        <w:widowControl w:val="0"/>
        <w:spacing w:line="360" w:lineRule="auto"/>
        <w:ind w:firstLine="480" w:firstLineChars="200"/>
        <w:jc w:val="both"/>
        <w:rPr>
          <w:rFonts w:ascii="宋体" w:hAnsi="宋体" w:eastAsia="宋体" w:cs="宋体"/>
          <w:bCs/>
          <w:color w:val="auto"/>
          <w:kern w:val="2"/>
          <w:sz w:val="24"/>
          <w:szCs w:val="24"/>
          <w:lang w:val="en-US" w:eastAsia="zh-CN" w:bidi="ar-SA"/>
        </w:rPr>
      </w:pPr>
      <w:r>
        <w:rPr>
          <w:rFonts w:hint="eastAsia" w:ascii="宋体" w:hAnsi="宋体" w:eastAsia="宋体" w:cs="宋体"/>
          <w:bCs/>
          <w:color w:val="auto"/>
          <w:kern w:val="2"/>
          <w:sz w:val="24"/>
          <w:szCs w:val="24"/>
          <w:lang w:val="en-US" w:eastAsia="zh-CN" w:bidi="ar-SA"/>
        </w:rPr>
        <w:t>5.2.1提供售后服务人员组织架构。</w:t>
      </w:r>
    </w:p>
    <w:p w14:paraId="64B398CF">
      <w:pPr>
        <w:widowControl w:val="0"/>
        <w:spacing w:line="360" w:lineRule="auto"/>
        <w:ind w:firstLine="480" w:firstLineChars="200"/>
        <w:jc w:val="both"/>
        <w:rPr>
          <w:rFonts w:ascii="宋体" w:hAnsi="宋体" w:eastAsia="宋体" w:cs="宋体"/>
          <w:bCs/>
          <w:color w:val="auto"/>
          <w:kern w:val="2"/>
          <w:sz w:val="24"/>
          <w:szCs w:val="24"/>
          <w:lang w:val="en-US" w:eastAsia="zh-CN" w:bidi="ar-SA"/>
        </w:rPr>
      </w:pPr>
      <w:r>
        <w:rPr>
          <w:rFonts w:hint="eastAsia" w:ascii="宋体" w:hAnsi="宋体" w:eastAsia="宋体" w:cs="宋体"/>
          <w:bCs/>
          <w:color w:val="auto"/>
          <w:kern w:val="2"/>
          <w:sz w:val="24"/>
          <w:szCs w:val="24"/>
          <w:lang w:val="en-US" w:eastAsia="zh-CN" w:bidi="ar-SA"/>
        </w:rPr>
        <w:t>5.2.2技术人员要求：服务商拥有专职技术人员不少于5名。</w:t>
      </w:r>
    </w:p>
    <w:p w14:paraId="696D42F9">
      <w:pPr>
        <w:widowControl w:val="0"/>
        <w:spacing w:line="360" w:lineRule="auto"/>
        <w:ind w:firstLine="482" w:firstLineChars="200"/>
        <w:jc w:val="both"/>
        <w:rPr>
          <w:rFonts w:ascii="宋体" w:hAnsi="宋体" w:eastAsia="宋体" w:cs="宋体"/>
          <w:b/>
          <w:color w:val="auto"/>
          <w:kern w:val="2"/>
          <w:sz w:val="24"/>
          <w:szCs w:val="24"/>
          <w:lang w:val="en-US" w:eastAsia="zh-CN" w:bidi="ar-SA"/>
        </w:rPr>
      </w:pPr>
      <w:r>
        <w:rPr>
          <w:rFonts w:hint="eastAsia" w:ascii="宋体" w:hAnsi="宋体" w:eastAsia="宋体" w:cs="宋体"/>
          <w:b/>
          <w:color w:val="auto"/>
          <w:kern w:val="2"/>
          <w:sz w:val="24"/>
          <w:szCs w:val="24"/>
          <w:lang w:val="en-US" w:eastAsia="zh-CN" w:bidi="ar-SA"/>
        </w:rPr>
        <w:t>6.数据安全与信息保密要求：</w:t>
      </w:r>
    </w:p>
    <w:p w14:paraId="0C93B0D1">
      <w:pPr>
        <w:widowControl w:val="0"/>
        <w:spacing w:line="360" w:lineRule="auto"/>
        <w:ind w:firstLine="480" w:firstLineChars="200"/>
        <w:jc w:val="both"/>
        <w:rPr>
          <w:rFonts w:ascii="宋体" w:hAnsi="宋体" w:eastAsia="宋体" w:cs="宋体"/>
          <w:bCs/>
          <w:color w:val="auto"/>
          <w:kern w:val="2"/>
          <w:sz w:val="24"/>
          <w:szCs w:val="24"/>
          <w:lang w:val="en-US" w:eastAsia="zh-CN" w:bidi="ar-SA"/>
        </w:rPr>
      </w:pPr>
      <w:r>
        <w:rPr>
          <w:rFonts w:hint="eastAsia" w:ascii="宋体" w:hAnsi="宋体" w:eastAsia="宋体" w:cs="宋体"/>
          <w:bCs/>
          <w:color w:val="auto"/>
          <w:kern w:val="2"/>
          <w:sz w:val="24"/>
          <w:szCs w:val="24"/>
          <w:lang w:val="en-US" w:eastAsia="zh-CN" w:bidi="ar-SA"/>
        </w:rPr>
        <w:t>6.1服务商应具有数据安全相关管理制度。</w:t>
      </w:r>
    </w:p>
    <w:p w14:paraId="108F7869">
      <w:pPr>
        <w:widowControl w:val="0"/>
        <w:spacing w:line="360" w:lineRule="auto"/>
        <w:ind w:firstLine="480" w:firstLineChars="200"/>
        <w:jc w:val="both"/>
        <w:rPr>
          <w:rFonts w:ascii="宋体" w:hAnsi="宋体" w:eastAsia="宋体" w:cs="宋体"/>
          <w:bCs/>
          <w:color w:val="auto"/>
          <w:kern w:val="2"/>
          <w:sz w:val="24"/>
          <w:szCs w:val="24"/>
          <w:lang w:val="en-US" w:eastAsia="zh-CN" w:bidi="ar-SA"/>
        </w:rPr>
      </w:pPr>
      <w:r>
        <w:rPr>
          <w:rFonts w:hint="eastAsia" w:ascii="宋体" w:hAnsi="宋体" w:eastAsia="宋体" w:cs="宋体"/>
          <w:bCs/>
          <w:color w:val="auto"/>
          <w:kern w:val="2"/>
          <w:sz w:val="24"/>
          <w:szCs w:val="24"/>
          <w:lang w:val="en-US" w:eastAsia="zh-CN" w:bidi="ar-SA"/>
        </w:rPr>
        <w:t>6.2服务商拥有数据安全方面专职技术人员，提供近期缴纳社保证明材料。</w:t>
      </w:r>
    </w:p>
    <w:p w14:paraId="22318C70">
      <w:pPr>
        <w:wordWrap w:val="0"/>
        <w:topLinePunct/>
        <w:spacing w:line="360" w:lineRule="auto"/>
        <w:ind w:firstLine="482" w:firstLineChars="200"/>
        <w:outlineLvl w:val="1"/>
        <w:rPr>
          <w:rFonts w:ascii="宋体" w:hAnsi="宋体" w:cs="宋体"/>
          <w:b/>
          <w:sz w:val="24"/>
        </w:rPr>
      </w:pPr>
      <w:r>
        <w:rPr>
          <w:rFonts w:hint="eastAsia" w:ascii="宋体" w:hAnsi="宋体" w:cs="宋体"/>
          <w:b/>
          <w:sz w:val="24"/>
        </w:rPr>
        <w:t>三.商务要求</w:t>
      </w:r>
    </w:p>
    <w:p w14:paraId="22B3BFAB">
      <w:pPr>
        <w:wordWrap w:val="0"/>
        <w:topLinePunct/>
        <w:spacing w:line="360" w:lineRule="auto"/>
        <w:ind w:firstLine="482" w:firstLineChars="200"/>
        <w:rPr>
          <w:rFonts w:ascii="宋体" w:hAnsi="宋体" w:cs="宋体"/>
          <w:sz w:val="24"/>
        </w:rPr>
      </w:pPr>
      <w:r>
        <w:rPr>
          <w:rFonts w:hint="eastAsia" w:ascii="宋体" w:hAnsi="宋体" w:cs="宋体"/>
          <w:b/>
          <w:sz w:val="24"/>
        </w:rPr>
        <w:t>1.合同内容及金额：</w:t>
      </w:r>
      <w:r>
        <w:rPr>
          <w:rFonts w:hint="eastAsia" w:ascii="宋体" w:hAnsi="宋体" w:cs="宋体"/>
          <w:sz w:val="24"/>
        </w:rPr>
        <w:t>即成交单位的响应内容、现场澄清确认内容（若有）及其成交总金额</w:t>
      </w:r>
    </w:p>
    <w:p w14:paraId="0F8D324A">
      <w:pPr>
        <w:wordWrap w:val="0"/>
        <w:topLinePunct/>
        <w:spacing w:line="360" w:lineRule="auto"/>
        <w:ind w:firstLine="482" w:firstLineChars="200"/>
        <w:rPr>
          <w:rFonts w:ascii="宋体" w:hAnsi="宋体" w:cs="宋体"/>
          <w:sz w:val="24"/>
        </w:rPr>
      </w:pPr>
      <w:r>
        <w:rPr>
          <w:rFonts w:hint="eastAsia" w:ascii="宋体" w:hAnsi="宋体" w:cs="宋体"/>
          <w:b/>
          <w:sz w:val="24"/>
        </w:rPr>
        <w:t>2.服务地点：陕西省交通医院</w:t>
      </w:r>
    </w:p>
    <w:p w14:paraId="5916686C">
      <w:pPr>
        <w:wordWrap w:val="0"/>
        <w:topLinePunct/>
        <w:spacing w:line="360" w:lineRule="auto"/>
        <w:ind w:firstLine="482" w:firstLineChars="200"/>
        <w:rPr>
          <w:rFonts w:ascii="宋体" w:hAnsi="宋体" w:cs="宋体"/>
          <w:bCs/>
          <w:sz w:val="24"/>
        </w:rPr>
      </w:pPr>
      <w:r>
        <w:rPr>
          <w:rFonts w:hint="eastAsia" w:ascii="宋体" w:hAnsi="宋体" w:cs="宋体"/>
          <w:b/>
          <w:sz w:val="24"/>
        </w:rPr>
        <w:t>3.服务期：</w:t>
      </w:r>
      <w:r>
        <w:rPr>
          <w:rFonts w:hint="eastAsia" w:ascii="宋体" w:hAnsi="宋体" w:cs="宋体"/>
          <w:sz w:val="24"/>
        </w:rPr>
        <w:t>1 年。</w:t>
      </w:r>
    </w:p>
    <w:p w14:paraId="0AFA3EFC">
      <w:pPr>
        <w:spacing w:line="360" w:lineRule="auto"/>
        <w:ind w:firstLine="482" w:firstLineChars="200"/>
        <w:rPr>
          <w:rFonts w:ascii="宋体" w:hAnsi="宋体" w:cs="宋体"/>
          <w:sz w:val="24"/>
          <w:szCs w:val="32"/>
        </w:rPr>
      </w:pPr>
      <w:r>
        <w:rPr>
          <w:rFonts w:hint="eastAsia" w:ascii="宋体" w:hAnsi="宋体" w:cs="宋体"/>
          <w:b/>
          <w:bCs/>
          <w:sz w:val="24"/>
          <w:szCs w:val="32"/>
        </w:rPr>
        <w:t>4.履约保证金</w:t>
      </w:r>
    </w:p>
    <w:p w14:paraId="3CBFA3DF">
      <w:pPr>
        <w:spacing w:line="360" w:lineRule="auto"/>
        <w:ind w:firstLine="480" w:firstLineChars="200"/>
        <w:rPr>
          <w:rFonts w:ascii="宋体" w:hAnsi="宋体" w:cs="宋体"/>
          <w:sz w:val="24"/>
          <w:szCs w:val="32"/>
        </w:rPr>
      </w:pPr>
      <w:r>
        <w:rPr>
          <w:rFonts w:ascii="宋体" w:hAnsi="宋体" w:cs="宋体"/>
          <w:sz w:val="24"/>
          <w:szCs w:val="32"/>
        </w:rPr>
        <w:t>4</w:t>
      </w:r>
      <w:r>
        <w:rPr>
          <w:rFonts w:hint="eastAsia" w:ascii="宋体" w:hAnsi="宋体" w:cs="宋体"/>
          <w:sz w:val="24"/>
          <w:szCs w:val="32"/>
        </w:rPr>
        <w:t>.1为保证供应商遵守双方合同约定所有事宜和货物质量，供应商须在合同签定7日内支付采购人百分之五(5%)合同款的约保证金。</w:t>
      </w:r>
    </w:p>
    <w:p w14:paraId="7BE6DD39">
      <w:pPr>
        <w:spacing w:line="360" w:lineRule="auto"/>
        <w:ind w:firstLine="480" w:firstLineChars="200"/>
        <w:rPr>
          <w:rFonts w:ascii="宋体" w:hAnsi="宋体" w:cs="宋体"/>
          <w:sz w:val="24"/>
          <w:szCs w:val="32"/>
        </w:rPr>
      </w:pPr>
      <w:r>
        <w:rPr>
          <w:rFonts w:ascii="宋体" w:hAnsi="宋体" w:cs="宋体"/>
          <w:sz w:val="24"/>
          <w:szCs w:val="32"/>
        </w:rPr>
        <w:t>4</w:t>
      </w:r>
      <w:r>
        <w:rPr>
          <w:rFonts w:hint="eastAsia" w:ascii="宋体" w:hAnsi="宋体" w:cs="宋体"/>
          <w:sz w:val="24"/>
          <w:szCs w:val="32"/>
        </w:rPr>
        <w:t>.2自终验结束之日起至服务期满后，在无索赔争议，且供应商提供的成果文件、产品质量、服务符合合同约定的情况下，在采购人处办理百分之五(5%)合同款的履约保证金无息支付手续。</w:t>
      </w:r>
    </w:p>
    <w:p w14:paraId="4B9DF2C6">
      <w:pPr>
        <w:spacing w:line="360" w:lineRule="auto"/>
        <w:ind w:firstLine="482" w:firstLineChars="200"/>
        <w:rPr>
          <w:rFonts w:ascii="宋体" w:hAnsi="宋体" w:cs="宋体"/>
          <w:sz w:val="24"/>
          <w:szCs w:val="32"/>
        </w:rPr>
      </w:pPr>
      <w:r>
        <w:rPr>
          <w:rFonts w:hint="eastAsia" w:ascii="宋体" w:hAnsi="宋体" w:cs="宋体"/>
          <w:b/>
          <w:bCs/>
          <w:sz w:val="24"/>
          <w:szCs w:val="32"/>
        </w:rPr>
        <w:t>5、结算方式</w:t>
      </w:r>
    </w:p>
    <w:p w14:paraId="24552F98">
      <w:pPr>
        <w:spacing w:line="360" w:lineRule="auto"/>
        <w:ind w:firstLine="480" w:firstLineChars="200"/>
        <w:rPr>
          <w:rFonts w:ascii="宋体" w:hAnsi="宋体" w:cs="宋体"/>
          <w:sz w:val="24"/>
          <w:szCs w:val="32"/>
        </w:rPr>
      </w:pPr>
      <w:r>
        <w:rPr>
          <w:rFonts w:ascii="宋体" w:hAnsi="宋体" w:cs="宋体"/>
          <w:sz w:val="24"/>
          <w:szCs w:val="32"/>
        </w:rPr>
        <w:t>5</w:t>
      </w:r>
      <w:r>
        <w:rPr>
          <w:rFonts w:hint="eastAsia" w:ascii="宋体" w:hAnsi="宋体" w:cs="宋体"/>
          <w:sz w:val="24"/>
          <w:szCs w:val="32"/>
        </w:rPr>
        <w:t>.1结算单位：采购人结算，结算前成交人须开具等额发票给采购人，采购人收到发票后，按照5.2的付款方式结算，否则导致的付款延误，责任自行承担。</w:t>
      </w:r>
    </w:p>
    <w:p w14:paraId="06D0D329">
      <w:pPr>
        <w:spacing w:line="360" w:lineRule="auto"/>
        <w:ind w:firstLine="480" w:firstLineChars="200"/>
        <w:rPr>
          <w:rFonts w:ascii="宋体" w:hAnsi="宋体" w:cs="宋体"/>
          <w:sz w:val="24"/>
          <w:szCs w:val="32"/>
        </w:rPr>
      </w:pPr>
      <w:r>
        <w:rPr>
          <w:rFonts w:ascii="宋体" w:hAnsi="宋体" w:cs="宋体"/>
          <w:sz w:val="24"/>
          <w:szCs w:val="32"/>
        </w:rPr>
        <w:t>5</w:t>
      </w:r>
      <w:r>
        <w:rPr>
          <w:rFonts w:hint="eastAsia" w:ascii="宋体" w:hAnsi="宋体" w:cs="宋体"/>
          <w:sz w:val="24"/>
          <w:szCs w:val="32"/>
        </w:rPr>
        <w:t>.2付款方式：</w:t>
      </w:r>
    </w:p>
    <w:p w14:paraId="13FAC8A2">
      <w:pPr>
        <w:spacing w:line="360" w:lineRule="auto"/>
        <w:ind w:firstLine="480" w:firstLineChars="200"/>
        <w:rPr>
          <w:rFonts w:ascii="宋体" w:hAnsi="宋体" w:cs="宋体"/>
          <w:sz w:val="24"/>
          <w:szCs w:val="32"/>
        </w:rPr>
      </w:pPr>
      <w:r>
        <w:rPr>
          <w:rFonts w:ascii="宋体" w:hAnsi="宋体" w:cs="宋体"/>
          <w:sz w:val="24"/>
          <w:szCs w:val="32"/>
        </w:rPr>
        <w:t>5.2.1</w:t>
      </w:r>
      <w:r>
        <w:rPr>
          <w:rFonts w:hint="eastAsia" w:ascii="宋体" w:hAnsi="宋体" w:cs="宋体"/>
          <w:sz w:val="24"/>
          <w:szCs w:val="32"/>
        </w:rPr>
        <w:t>合同签订生效后，乙方在甲方付款前【7】个工作日内以甲方提供的开票信息向甲方开具合同总价款（包含增项）技术服务费发票，并且支付履约保证金，甲方于收到履约保证金和乙方开具的发票后【7】个工作日内，一次性付清合同总价款，合同总价包含维护费、软件升级费、专利使用费等与履行本合同有关的一切费用。本合同总价一次性包死，不受其他市场因素变动的影响。</w:t>
      </w:r>
    </w:p>
    <w:p w14:paraId="6A8AFEC5">
      <w:pPr>
        <w:widowControl w:val="0"/>
        <w:wordWrap w:val="0"/>
        <w:topLinePunct/>
        <w:spacing w:line="360" w:lineRule="auto"/>
        <w:ind w:firstLine="480" w:firstLineChars="200"/>
        <w:jc w:val="both"/>
        <w:rPr>
          <w:rFonts w:ascii="宋体" w:hAnsi="宋体" w:eastAsia="宋体" w:cs="宋体"/>
          <w:b/>
          <w:color w:val="auto"/>
          <w:kern w:val="2"/>
          <w:sz w:val="24"/>
          <w:szCs w:val="24"/>
          <w:highlight w:val="yellow"/>
          <w:lang w:val="en-US" w:eastAsia="zh-CN" w:bidi="ar-SA"/>
        </w:rPr>
      </w:pPr>
      <w:r>
        <w:rPr>
          <w:rFonts w:ascii="宋体" w:hAnsi="宋体" w:eastAsia="宋体" w:cs="宋体"/>
          <w:color w:val="auto"/>
          <w:kern w:val="2"/>
          <w:sz w:val="24"/>
          <w:szCs w:val="32"/>
          <w:lang w:val="en-US" w:eastAsia="zh-CN" w:bidi="ar-SA"/>
        </w:rPr>
        <w:t>5.2.</w:t>
      </w:r>
      <w:r>
        <w:rPr>
          <w:rFonts w:hint="eastAsia" w:ascii="宋体" w:hAnsi="宋体" w:eastAsia="宋体" w:cs="宋体"/>
          <w:color w:val="auto"/>
          <w:kern w:val="2"/>
          <w:sz w:val="24"/>
          <w:szCs w:val="32"/>
          <w:lang w:val="en-US" w:eastAsia="zh-CN" w:bidi="ar-SA"/>
        </w:rPr>
        <w:t>2若乙方在甲方付款前未能提供全额合规发票的，甲方有权拒付合同款项，且不承担任何责任，乙方亦不得以此为由拒绝履行任意合同义务。</w:t>
      </w:r>
    </w:p>
    <w:p w14:paraId="2C259D6B">
      <w:pPr>
        <w:wordWrap w:val="0"/>
        <w:topLinePunct/>
        <w:spacing w:line="360" w:lineRule="auto"/>
        <w:ind w:firstLine="482" w:firstLineChars="200"/>
        <w:rPr>
          <w:rFonts w:ascii="宋体" w:hAnsi="宋体" w:cs="宋体"/>
          <w:b/>
          <w:sz w:val="24"/>
        </w:rPr>
      </w:pPr>
      <w:r>
        <w:rPr>
          <w:rFonts w:hint="eastAsia" w:ascii="宋体" w:hAnsi="宋体" w:cs="宋体"/>
          <w:b/>
          <w:sz w:val="24"/>
        </w:rPr>
        <w:t>6、项目验收</w:t>
      </w:r>
    </w:p>
    <w:p w14:paraId="2FBA3E9F">
      <w:pPr>
        <w:wordWrap w:val="0"/>
        <w:topLinePunct/>
        <w:spacing w:line="360" w:lineRule="auto"/>
        <w:ind w:firstLine="480" w:firstLineChars="200"/>
        <w:rPr>
          <w:rFonts w:ascii="宋体" w:hAnsi="宋体" w:cs="宋体"/>
          <w:sz w:val="24"/>
        </w:rPr>
      </w:pPr>
      <w:r>
        <w:rPr>
          <w:rFonts w:hint="eastAsia" w:ascii="宋体" w:hAnsi="宋体" w:cs="宋体"/>
          <w:sz w:val="24"/>
        </w:rPr>
        <w:t>6.1项目由采购人组织相关人员或其邀请的专家进行考核评价验收，验收时成交人应无条件予以配合并提供验收所需的全部资料：</w:t>
      </w:r>
    </w:p>
    <w:p w14:paraId="5430DBAC">
      <w:pPr>
        <w:wordWrap w:val="0"/>
        <w:topLinePunct/>
        <w:spacing w:line="360" w:lineRule="auto"/>
        <w:ind w:firstLine="480" w:firstLineChars="200"/>
        <w:rPr>
          <w:rFonts w:ascii="宋体" w:hAnsi="宋体" w:cs="宋体"/>
          <w:sz w:val="24"/>
        </w:rPr>
      </w:pPr>
      <w:r>
        <w:rPr>
          <w:rFonts w:hint="eastAsia" w:ascii="宋体" w:hAnsi="宋体" w:cs="宋体"/>
          <w:sz w:val="24"/>
        </w:rPr>
        <w:t>6.2验收依据：采购文件、响应文件、合同文本、《信息系统售后运维服务质量评价标准》、国内相应的标准、规范。</w:t>
      </w:r>
    </w:p>
    <w:p w14:paraId="4F34A6B2">
      <w:pPr>
        <w:wordWrap w:val="0"/>
        <w:topLinePunct/>
        <w:spacing w:line="360" w:lineRule="auto"/>
        <w:ind w:firstLine="482" w:firstLineChars="200"/>
        <w:rPr>
          <w:rFonts w:ascii="宋体" w:hAnsi="宋体" w:cs="宋体"/>
          <w:b/>
          <w:bCs/>
          <w:sz w:val="24"/>
        </w:rPr>
      </w:pPr>
      <w:r>
        <w:rPr>
          <w:rFonts w:hint="eastAsia" w:ascii="宋体" w:hAnsi="宋体" w:cs="宋体"/>
          <w:b/>
          <w:bCs/>
          <w:sz w:val="24"/>
        </w:rPr>
        <w:t>7、知识产权</w:t>
      </w:r>
    </w:p>
    <w:p w14:paraId="5BD7A09B">
      <w:pPr>
        <w:wordWrap w:val="0"/>
        <w:topLinePunct/>
        <w:spacing w:line="360" w:lineRule="auto"/>
        <w:ind w:firstLine="480" w:firstLineChars="200"/>
        <w:rPr>
          <w:rFonts w:ascii="宋体" w:hAnsi="宋体" w:cs="宋体"/>
          <w:sz w:val="24"/>
        </w:rPr>
      </w:pPr>
      <w:r>
        <w:rPr>
          <w:rFonts w:hint="eastAsia" w:ascii="宋体" w:hAnsi="宋体" w:cs="宋体"/>
          <w:sz w:val="24"/>
        </w:rPr>
        <w:t>供应商应保证投标服务及货物不会出现因第三方提出侵犯其专利权、商标权或其它知识产权而引发法律或经济纠纷，否则由供应商承担全部责任。任何被供应商用于未经授权的商业目的行为所造成的违约或侵权责任由供应商承但。</w:t>
      </w:r>
    </w:p>
    <w:p w14:paraId="2496108A">
      <w:pPr>
        <w:wordWrap w:val="0"/>
        <w:topLinePunct/>
        <w:spacing w:line="360" w:lineRule="auto"/>
        <w:ind w:firstLine="482" w:firstLineChars="200"/>
        <w:rPr>
          <w:rFonts w:ascii="宋体" w:hAnsi="宋体" w:cs="宋体"/>
          <w:b/>
          <w:bCs/>
          <w:sz w:val="24"/>
        </w:rPr>
      </w:pPr>
      <w:r>
        <w:rPr>
          <w:rFonts w:hint="eastAsia" w:ascii="宋体" w:hAnsi="宋体" w:cs="宋体"/>
          <w:b/>
          <w:bCs/>
          <w:sz w:val="24"/>
        </w:rPr>
        <w:t>8、违约责任</w:t>
      </w:r>
    </w:p>
    <w:p w14:paraId="34607AAD">
      <w:pPr>
        <w:spacing w:line="336" w:lineRule="auto"/>
        <w:ind w:firstLine="480" w:firstLineChars="200"/>
        <w:rPr>
          <w:rFonts w:ascii="宋体" w:hAnsi="宋体" w:cs="宋体"/>
          <w:sz w:val="24"/>
        </w:rPr>
      </w:pPr>
      <w:r>
        <w:rPr>
          <w:rFonts w:hint="eastAsia" w:ascii="宋体" w:hAnsi="宋体" w:cs="宋体"/>
          <w:sz w:val="24"/>
        </w:rPr>
        <w:t>8.</w:t>
      </w:r>
      <w:r>
        <w:rPr>
          <w:rFonts w:ascii="宋体" w:hAnsi="宋体" w:cs="宋体"/>
          <w:sz w:val="24"/>
        </w:rPr>
        <w:t>1除不可抗力因素外，</w:t>
      </w:r>
      <w:r>
        <w:rPr>
          <w:rFonts w:hint="eastAsia" w:ascii="宋体" w:hAnsi="宋体" w:cs="宋体"/>
          <w:sz w:val="24"/>
        </w:rPr>
        <w:t>因乙方原因造成无法在本合同第十条第2款约定的时限内及时响应并排除故障</w:t>
      </w:r>
      <w:r>
        <w:rPr>
          <w:rFonts w:ascii="宋体" w:hAnsi="宋体" w:cs="宋体"/>
          <w:sz w:val="24"/>
        </w:rPr>
        <w:t>的</w:t>
      </w:r>
      <w:r>
        <w:rPr>
          <w:rFonts w:hint="eastAsia" w:ascii="宋体" w:hAnsi="宋体" w:cs="宋体"/>
          <w:sz w:val="24"/>
        </w:rPr>
        <w:t>，逾期责任由乙方承担，每逾期一天乙方按合同总价的</w:t>
      </w:r>
      <w:r>
        <w:rPr>
          <w:rFonts w:ascii="宋体" w:hAnsi="宋体" w:cs="宋体"/>
          <w:sz w:val="24"/>
        </w:rPr>
        <w:t>【</w:t>
      </w:r>
      <w:r>
        <w:rPr>
          <w:rFonts w:hint="eastAsia" w:ascii="宋体" w:hAnsi="宋体" w:cs="宋体"/>
          <w:sz w:val="24"/>
        </w:rPr>
        <w:t>0</w:t>
      </w:r>
      <w:r>
        <w:rPr>
          <w:rFonts w:ascii="宋体" w:hAnsi="宋体" w:cs="宋体"/>
          <w:sz w:val="24"/>
        </w:rPr>
        <w:t>.5】</w:t>
      </w:r>
      <w:r>
        <w:rPr>
          <w:rFonts w:hint="eastAsia" w:ascii="宋体" w:hAnsi="宋体" w:cs="宋体"/>
          <w:sz w:val="24"/>
        </w:rPr>
        <w:t>%向甲方支付违约金，累计逾期超过【3</w:t>
      </w:r>
      <w:r>
        <w:rPr>
          <w:rFonts w:ascii="宋体" w:hAnsi="宋体" w:cs="宋体"/>
          <w:sz w:val="24"/>
        </w:rPr>
        <w:t>0</w:t>
      </w:r>
      <w:r>
        <w:rPr>
          <w:rFonts w:hint="eastAsia" w:ascii="宋体" w:hAnsi="宋体" w:cs="宋体"/>
          <w:sz w:val="24"/>
        </w:rPr>
        <w:t>】天或合同期内逾期情形累计出现【1</w:t>
      </w:r>
      <w:r>
        <w:rPr>
          <w:rFonts w:ascii="宋体" w:hAnsi="宋体" w:cs="宋体"/>
          <w:sz w:val="24"/>
        </w:rPr>
        <w:t>0</w:t>
      </w:r>
      <w:r>
        <w:rPr>
          <w:rFonts w:hint="eastAsia" w:ascii="宋体" w:hAnsi="宋体" w:cs="宋体"/>
          <w:sz w:val="24"/>
        </w:rPr>
        <w:t>】次的，视为乙方根本违约，甲方有权单方解除本协议，</w:t>
      </w:r>
      <w:r>
        <w:rPr>
          <w:rFonts w:ascii="宋体" w:hAnsi="宋体" w:cs="宋体"/>
          <w:sz w:val="24"/>
        </w:rPr>
        <w:t>乙方应按合同总价的</w:t>
      </w:r>
      <w:r>
        <w:rPr>
          <w:rFonts w:hint="eastAsia" w:ascii="宋体" w:hAnsi="宋体" w:cs="宋体"/>
          <w:sz w:val="24"/>
        </w:rPr>
        <w:t>【3</w:t>
      </w:r>
      <w:r>
        <w:rPr>
          <w:rFonts w:ascii="宋体" w:hAnsi="宋体" w:cs="宋体"/>
          <w:sz w:val="24"/>
        </w:rPr>
        <w:t>0】%向甲方支付违约金，并承担因此造成的甲方损失。</w:t>
      </w:r>
    </w:p>
    <w:p w14:paraId="6D97A633">
      <w:pPr>
        <w:spacing w:line="336" w:lineRule="auto"/>
        <w:ind w:firstLine="480" w:firstLineChars="200"/>
        <w:rPr>
          <w:rFonts w:ascii="宋体" w:hAnsi="宋体" w:cs="宋体"/>
          <w:sz w:val="24"/>
        </w:rPr>
      </w:pPr>
      <w:r>
        <w:rPr>
          <w:rFonts w:hint="eastAsia" w:ascii="宋体" w:hAnsi="宋体" w:cs="宋体"/>
          <w:sz w:val="24"/>
        </w:rPr>
        <w:t>8.</w:t>
      </w:r>
      <w:r>
        <w:rPr>
          <w:rFonts w:ascii="宋体" w:hAnsi="宋体" w:cs="宋体"/>
          <w:sz w:val="24"/>
        </w:rPr>
        <w:t>2</w:t>
      </w:r>
      <w:r>
        <w:rPr>
          <w:rFonts w:hint="eastAsia" w:ascii="宋体" w:hAnsi="宋体" w:cs="宋体"/>
          <w:sz w:val="24"/>
        </w:rPr>
        <w:t>在合同期限内</w:t>
      </w:r>
      <w:r>
        <w:rPr>
          <w:rFonts w:ascii="宋体" w:hAnsi="宋体" w:cs="宋体"/>
          <w:sz w:val="24"/>
        </w:rPr>
        <w:t>，由于乙方服务人员工作而导致甲方数据库受损、数据错误、丢失等，视为乙方严重违约，乙方应按合同总价的</w:t>
      </w:r>
      <w:r>
        <w:rPr>
          <w:rFonts w:hint="eastAsia" w:ascii="宋体" w:hAnsi="宋体" w:cs="宋体"/>
          <w:sz w:val="24"/>
        </w:rPr>
        <w:t>【3</w:t>
      </w:r>
      <w:r>
        <w:rPr>
          <w:rFonts w:ascii="宋体" w:hAnsi="宋体" w:cs="宋体"/>
          <w:sz w:val="24"/>
        </w:rPr>
        <w:t>0】%向甲方支付违约金，并承担因此造成的甲方损失。</w:t>
      </w:r>
    </w:p>
    <w:p w14:paraId="10D54223">
      <w:pPr>
        <w:spacing w:line="336" w:lineRule="auto"/>
        <w:ind w:firstLine="480" w:firstLineChars="200"/>
        <w:rPr>
          <w:rFonts w:ascii="宋体" w:hAnsi="宋体" w:cs="宋体"/>
          <w:sz w:val="24"/>
        </w:rPr>
      </w:pPr>
      <w:r>
        <w:rPr>
          <w:rFonts w:hint="eastAsia" w:ascii="宋体" w:hAnsi="宋体" w:cs="宋体"/>
          <w:sz w:val="24"/>
        </w:rPr>
        <w:t>8.</w:t>
      </w:r>
      <w:r>
        <w:rPr>
          <w:rFonts w:ascii="宋体" w:hAnsi="宋体" w:cs="宋体"/>
          <w:sz w:val="24"/>
        </w:rPr>
        <w:t>3</w:t>
      </w:r>
      <w:r>
        <w:rPr>
          <w:rFonts w:hint="eastAsia" w:ascii="宋体" w:hAnsi="宋体" w:cs="宋体"/>
          <w:sz w:val="24"/>
        </w:rPr>
        <w:t>在合同期限内，未经甲方同意，乙方不得转包、分包本合同项下的合同义务，否则甲方有权解除本协议，乙方需按合同总价的【3</w:t>
      </w:r>
      <w:r>
        <w:rPr>
          <w:rFonts w:ascii="宋体" w:hAnsi="宋体" w:cs="宋体"/>
          <w:sz w:val="24"/>
        </w:rPr>
        <w:t>0】%</w:t>
      </w:r>
      <w:r>
        <w:rPr>
          <w:rFonts w:hint="eastAsia" w:ascii="宋体" w:hAnsi="宋体" w:cs="宋体"/>
          <w:sz w:val="24"/>
        </w:rPr>
        <w:t xml:space="preserve">向甲方支付违约金。 </w:t>
      </w:r>
    </w:p>
    <w:p w14:paraId="5EA318BE">
      <w:pPr>
        <w:spacing w:line="336" w:lineRule="auto"/>
        <w:ind w:firstLine="480" w:firstLineChars="200"/>
        <w:rPr>
          <w:rFonts w:ascii="宋体" w:hAnsi="宋体" w:cs="宋体"/>
          <w:sz w:val="24"/>
        </w:rPr>
      </w:pPr>
      <w:r>
        <w:rPr>
          <w:rFonts w:hint="eastAsia" w:ascii="宋体" w:hAnsi="宋体" w:cs="宋体"/>
          <w:sz w:val="24"/>
        </w:rPr>
        <w:t>8.</w:t>
      </w:r>
      <w:r>
        <w:rPr>
          <w:rFonts w:ascii="宋体" w:hAnsi="宋体" w:cs="宋体"/>
          <w:sz w:val="24"/>
        </w:rPr>
        <w:t>4乙方在上门维护</w:t>
      </w:r>
      <w:r>
        <w:rPr>
          <w:rFonts w:hint="eastAsia" w:ascii="宋体" w:hAnsi="宋体" w:cs="宋体"/>
          <w:sz w:val="24"/>
        </w:rPr>
        <w:t>期间发生</w:t>
      </w:r>
      <w:r>
        <w:rPr>
          <w:rFonts w:ascii="宋体" w:hAnsi="宋体" w:cs="宋体"/>
          <w:sz w:val="24"/>
        </w:rPr>
        <w:t>任何</w:t>
      </w:r>
      <w:r>
        <w:rPr>
          <w:rFonts w:hint="eastAsia" w:ascii="宋体" w:hAnsi="宋体" w:cs="宋体"/>
          <w:sz w:val="24"/>
        </w:rPr>
        <w:t>人身事故或造成甲方设备损坏的，由乙方承担</w:t>
      </w:r>
      <w:r>
        <w:rPr>
          <w:rFonts w:ascii="宋体" w:hAnsi="宋体" w:cs="宋体"/>
          <w:sz w:val="24"/>
        </w:rPr>
        <w:t>全部</w:t>
      </w:r>
      <w:r>
        <w:rPr>
          <w:rFonts w:hint="eastAsia" w:ascii="宋体" w:hAnsi="宋体" w:cs="宋体"/>
          <w:sz w:val="24"/>
        </w:rPr>
        <w:t>赔偿责任，给甲方造成</w:t>
      </w:r>
      <w:r>
        <w:rPr>
          <w:rFonts w:ascii="宋体" w:hAnsi="宋体" w:cs="宋体"/>
          <w:sz w:val="24"/>
        </w:rPr>
        <w:t>其他</w:t>
      </w:r>
      <w:r>
        <w:rPr>
          <w:rFonts w:hint="eastAsia" w:ascii="宋体" w:hAnsi="宋体" w:cs="宋体"/>
          <w:sz w:val="24"/>
        </w:rPr>
        <w:t>损失的，甲方有权向乙方追偿。</w:t>
      </w:r>
    </w:p>
    <w:p w14:paraId="2A148217">
      <w:pPr>
        <w:spacing w:line="336" w:lineRule="auto"/>
        <w:ind w:firstLine="480" w:firstLineChars="200"/>
        <w:rPr>
          <w:rFonts w:ascii="宋体" w:hAnsi="宋体" w:cs="宋体"/>
          <w:sz w:val="24"/>
        </w:rPr>
      </w:pPr>
      <w:r>
        <w:rPr>
          <w:rFonts w:hint="eastAsia" w:ascii="宋体" w:hAnsi="宋体" w:cs="宋体"/>
          <w:sz w:val="24"/>
        </w:rPr>
        <w:t>8.</w:t>
      </w:r>
      <w:r>
        <w:rPr>
          <w:rFonts w:ascii="宋体" w:hAnsi="宋体" w:cs="宋体"/>
          <w:sz w:val="24"/>
        </w:rPr>
        <w:t>5乙方对</w:t>
      </w:r>
      <w:r>
        <w:rPr>
          <w:rFonts w:hint="eastAsia" w:ascii="宋体" w:hAnsi="宋体" w:cs="宋体"/>
          <w:sz w:val="24"/>
        </w:rPr>
        <w:t>系统</w:t>
      </w:r>
      <w:r>
        <w:rPr>
          <w:rFonts w:ascii="宋体" w:hAnsi="宋体" w:cs="宋体"/>
          <w:sz w:val="24"/>
        </w:rPr>
        <w:t>维护或升级期间，应保证甲方的正常使用，因乙方原因中断服务的，最长不得超过【</w:t>
      </w:r>
      <w:r>
        <w:rPr>
          <w:rFonts w:hint="eastAsia" w:ascii="宋体" w:hAnsi="宋体" w:cs="宋体"/>
          <w:sz w:val="24"/>
        </w:rPr>
        <w:t>5</w:t>
      </w:r>
      <w:r>
        <w:rPr>
          <w:rFonts w:ascii="宋体" w:hAnsi="宋体" w:cs="宋体"/>
          <w:sz w:val="24"/>
        </w:rPr>
        <w:t>】天，否则甲方有权单方解除合同，合同自甲方书面解除通知送达乙方之日解除，乙方应按合同总价的</w:t>
      </w:r>
      <w:r>
        <w:rPr>
          <w:rFonts w:hint="eastAsia" w:ascii="宋体" w:hAnsi="宋体" w:cs="宋体"/>
          <w:sz w:val="24"/>
        </w:rPr>
        <w:t>【3</w:t>
      </w:r>
      <w:r>
        <w:rPr>
          <w:rFonts w:ascii="宋体" w:hAnsi="宋体" w:cs="宋体"/>
          <w:sz w:val="24"/>
        </w:rPr>
        <w:t>0】%支付违约金，违约金不足以弥补甲方损失的，乙方另行承担。</w:t>
      </w:r>
    </w:p>
    <w:p w14:paraId="53BD1640">
      <w:pPr>
        <w:wordWrap w:val="0"/>
        <w:topLinePunct/>
        <w:spacing w:line="360" w:lineRule="auto"/>
        <w:ind w:firstLine="480" w:firstLineChars="200"/>
        <w:rPr>
          <w:rFonts w:ascii="宋体" w:hAnsi="宋体" w:cs="宋体"/>
          <w:sz w:val="24"/>
        </w:rPr>
      </w:pPr>
      <w:r>
        <w:rPr>
          <w:rFonts w:hint="eastAsia" w:ascii="宋体" w:hAnsi="宋体" w:cs="宋体"/>
          <w:sz w:val="24"/>
          <w:szCs w:val="21"/>
        </w:rPr>
        <w:t>8.</w:t>
      </w:r>
      <w:r>
        <w:rPr>
          <w:rFonts w:ascii="宋体" w:hAnsi="宋体" w:cs="宋体"/>
          <w:sz w:val="24"/>
          <w:szCs w:val="21"/>
        </w:rPr>
        <w:t>6</w:t>
      </w:r>
      <w:r>
        <w:rPr>
          <w:rFonts w:hint="eastAsia" w:ascii="宋体" w:hAnsi="宋体" w:cs="宋体"/>
          <w:sz w:val="24"/>
          <w:szCs w:val="21"/>
        </w:rPr>
        <w:t>对于本合同中需乙方支付的违约金，甲方均有权从未付合同款中直接扣除。</w:t>
      </w:r>
    </w:p>
    <w:p w14:paraId="60E56ABD">
      <w:pPr>
        <w:wordWrap w:val="0"/>
        <w:topLinePunct/>
        <w:spacing w:line="360" w:lineRule="auto"/>
        <w:ind w:firstLine="482" w:firstLineChars="200"/>
        <w:rPr>
          <w:rFonts w:ascii="宋体" w:hAnsi="宋体" w:cs="宋体"/>
          <w:sz w:val="24"/>
        </w:rPr>
      </w:pPr>
      <w:r>
        <w:rPr>
          <w:rFonts w:hint="eastAsia" w:ascii="宋体" w:hAnsi="宋体" w:cs="宋体"/>
          <w:b/>
          <w:sz w:val="24"/>
        </w:rPr>
        <w:t>注：</w:t>
      </w:r>
      <w:r>
        <w:rPr>
          <w:rFonts w:hint="eastAsia" w:ascii="宋体" w:hAnsi="宋体" w:cs="宋体"/>
          <w:sz w:val="24"/>
        </w:rPr>
        <w:t>本项目技术要求及商务要求不允许负偏离</w:t>
      </w:r>
    </w:p>
    <w:p w14:paraId="66073294">
      <w:pPr>
        <w:widowControl w:val="0"/>
        <w:spacing w:line="360" w:lineRule="auto"/>
        <w:ind w:firstLine="482" w:firstLineChars="200"/>
        <w:jc w:val="center"/>
        <w:rPr>
          <w:rFonts w:hint="eastAsia" w:ascii="宋体" w:hAnsi="宋体" w:eastAsia="宋体" w:cs="宋体"/>
          <w:b/>
          <w:bCs/>
          <w:color w:val="auto"/>
          <w:kern w:val="2"/>
          <w:sz w:val="24"/>
          <w:szCs w:val="24"/>
          <w:lang w:val="en-US" w:eastAsia="zh-CN" w:bidi="ar-SA"/>
        </w:rPr>
      </w:pPr>
    </w:p>
    <w:p w14:paraId="34EC8952">
      <w:pPr>
        <w:widowControl w:val="0"/>
        <w:spacing w:line="360" w:lineRule="auto"/>
        <w:ind w:firstLine="482" w:firstLineChars="200"/>
        <w:jc w:val="center"/>
        <w:rPr>
          <w:rFonts w:hint="eastAsia" w:ascii="宋体" w:hAnsi="宋体" w:eastAsia="宋体" w:cs="宋体"/>
          <w:b/>
          <w:bCs/>
          <w:color w:val="auto"/>
          <w:kern w:val="2"/>
          <w:sz w:val="24"/>
          <w:szCs w:val="24"/>
          <w:lang w:val="en-US" w:eastAsia="zh-CN" w:bidi="ar-SA"/>
        </w:rPr>
      </w:pPr>
    </w:p>
    <w:p w14:paraId="25E3ED07">
      <w:pPr>
        <w:widowControl w:val="0"/>
        <w:spacing w:line="360" w:lineRule="auto"/>
        <w:ind w:firstLine="482" w:firstLineChars="200"/>
        <w:jc w:val="center"/>
        <w:rPr>
          <w:rFonts w:hint="eastAsia" w:ascii="宋体" w:hAnsi="宋体" w:eastAsia="宋体" w:cs="宋体"/>
          <w:b/>
          <w:bCs/>
          <w:color w:val="auto"/>
          <w:kern w:val="2"/>
          <w:sz w:val="24"/>
          <w:szCs w:val="24"/>
          <w:lang w:val="en-US" w:eastAsia="zh-CN" w:bidi="ar-SA"/>
        </w:rPr>
      </w:pPr>
    </w:p>
    <w:p w14:paraId="0CD23223">
      <w:pPr>
        <w:widowControl w:val="0"/>
        <w:spacing w:line="360" w:lineRule="auto"/>
        <w:ind w:firstLine="482" w:firstLineChars="200"/>
        <w:jc w:val="center"/>
        <w:rPr>
          <w:rFonts w:hint="eastAsia" w:ascii="宋体" w:hAnsi="宋体" w:eastAsia="宋体" w:cs="宋体"/>
          <w:b/>
          <w:bCs/>
          <w:color w:val="auto"/>
          <w:kern w:val="2"/>
          <w:sz w:val="24"/>
          <w:szCs w:val="24"/>
          <w:lang w:val="en-US" w:eastAsia="zh-CN" w:bidi="ar-SA"/>
        </w:rPr>
      </w:pPr>
    </w:p>
    <w:p w14:paraId="382DADF6">
      <w:pPr>
        <w:widowControl w:val="0"/>
        <w:spacing w:line="360" w:lineRule="auto"/>
        <w:ind w:firstLine="482" w:firstLineChars="200"/>
        <w:jc w:val="center"/>
        <w:rPr>
          <w:rFonts w:hint="eastAsia" w:ascii="宋体" w:hAnsi="宋体" w:eastAsia="宋体" w:cs="宋体"/>
          <w:b/>
          <w:bCs/>
          <w:color w:val="auto"/>
          <w:kern w:val="2"/>
          <w:sz w:val="24"/>
          <w:szCs w:val="24"/>
          <w:lang w:val="en-US" w:eastAsia="zh-CN" w:bidi="ar-SA"/>
        </w:rPr>
      </w:pPr>
    </w:p>
    <w:p w14:paraId="4CA2FE76">
      <w:pPr>
        <w:widowControl w:val="0"/>
        <w:spacing w:line="360" w:lineRule="auto"/>
        <w:ind w:firstLine="482" w:firstLineChars="200"/>
        <w:jc w:val="center"/>
        <w:rPr>
          <w:rFonts w:hint="eastAsia" w:ascii="宋体" w:hAnsi="宋体" w:eastAsia="宋体" w:cs="宋体"/>
          <w:b/>
          <w:bCs/>
          <w:color w:val="auto"/>
          <w:kern w:val="2"/>
          <w:sz w:val="24"/>
          <w:szCs w:val="24"/>
          <w:lang w:val="en-US" w:eastAsia="zh-CN" w:bidi="ar-SA"/>
        </w:rPr>
      </w:pPr>
    </w:p>
    <w:p w14:paraId="6DD738D9">
      <w:pPr>
        <w:widowControl w:val="0"/>
        <w:spacing w:line="360" w:lineRule="auto"/>
        <w:ind w:firstLine="482" w:firstLineChars="200"/>
        <w:jc w:val="center"/>
        <w:rPr>
          <w:rFonts w:hint="eastAsia" w:ascii="宋体" w:hAnsi="宋体" w:eastAsia="宋体" w:cs="宋体"/>
          <w:b/>
          <w:bCs/>
          <w:color w:val="auto"/>
          <w:kern w:val="2"/>
          <w:sz w:val="24"/>
          <w:szCs w:val="24"/>
          <w:lang w:val="en-US" w:eastAsia="zh-CN" w:bidi="ar-SA"/>
        </w:rPr>
      </w:pPr>
    </w:p>
    <w:p w14:paraId="3EE7769B">
      <w:pPr>
        <w:widowControl w:val="0"/>
        <w:spacing w:line="360" w:lineRule="auto"/>
        <w:ind w:firstLine="482" w:firstLineChars="200"/>
        <w:jc w:val="center"/>
        <w:rPr>
          <w:rFonts w:hint="eastAsia" w:ascii="宋体" w:hAnsi="宋体" w:eastAsia="宋体" w:cs="宋体"/>
          <w:b/>
          <w:bCs/>
          <w:color w:val="auto"/>
          <w:kern w:val="2"/>
          <w:sz w:val="24"/>
          <w:szCs w:val="24"/>
          <w:lang w:val="en-US" w:eastAsia="zh-CN" w:bidi="ar-SA"/>
        </w:rPr>
      </w:pPr>
    </w:p>
    <w:p w14:paraId="52E1AABE">
      <w:pPr>
        <w:widowControl w:val="0"/>
        <w:spacing w:line="360" w:lineRule="auto"/>
        <w:ind w:firstLine="482" w:firstLineChars="200"/>
        <w:jc w:val="center"/>
        <w:rPr>
          <w:rFonts w:hint="eastAsia" w:ascii="宋体" w:hAnsi="宋体" w:eastAsia="宋体" w:cs="宋体"/>
          <w:b/>
          <w:bCs/>
          <w:color w:val="auto"/>
          <w:kern w:val="2"/>
          <w:sz w:val="24"/>
          <w:szCs w:val="24"/>
          <w:lang w:val="en-US" w:eastAsia="zh-CN" w:bidi="ar-SA"/>
        </w:rPr>
      </w:pPr>
    </w:p>
    <w:p w14:paraId="31ABEBC9">
      <w:pPr>
        <w:widowControl w:val="0"/>
        <w:spacing w:line="360" w:lineRule="auto"/>
        <w:ind w:firstLine="482" w:firstLineChars="200"/>
        <w:jc w:val="center"/>
        <w:rPr>
          <w:rFonts w:hint="eastAsia" w:ascii="宋体" w:hAnsi="宋体" w:eastAsia="宋体" w:cs="宋体"/>
          <w:b/>
          <w:bCs/>
          <w:color w:val="auto"/>
          <w:kern w:val="2"/>
          <w:sz w:val="24"/>
          <w:szCs w:val="24"/>
          <w:lang w:val="en-US" w:eastAsia="zh-CN" w:bidi="ar-SA"/>
        </w:rPr>
      </w:pPr>
    </w:p>
    <w:p w14:paraId="06EF908A">
      <w:pPr>
        <w:widowControl w:val="0"/>
        <w:spacing w:line="360" w:lineRule="auto"/>
        <w:ind w:firstLine="482" w:firstLineChars="200"/>
        <w:jc w:val="center"/>
        <w:rPr>
          <w:rFonts w:hint="eastAsia" w:ascii="宋体" w:hAnsi="宋体" w:eastAsia="宋体" w:cs="宋体"/>
          <w:b/>
          <w:bCs/>
          <w:color w:val="auto"/>
          <w:kern w:val="2"/>
          <w:sz w:val="24"/>
          <w:szCs w:val="24"/>
          <w:lang w:val="en-US" w:eastAsia="zh-CN" w:bidi="ar-SA"/>
        </w:rPr>
      </w:pPr>
    </w:p>
    <w:p w14:paraId="7FCF73F3">
      <w:pPr>
        <w:widowControl w:val="0"/>
        <w:spacing w:line="360" w:lineRule="auto"/>
        <w:ind w:firstLine="482" w:firstLineChars="200"/>
        <w:jc w:val="center"/>
        <w:rPr>
          <w:rFonts w:hint="eastAsia" w:ascii="宋体" w:hAnsi="宋体" w:eastAsia="宋体" w:cs="宋体"/>
          <w:b/>
          <w:bCs/>
          <w:color w:val="auto"/>
          <w:kern w:val="2"/>
          <w:sz w:val="24"/>
          <w:szCs w:val="24"/>
          <w:lang w:val="en-US" w:eastAsia="zh-CN" w:bidi="ar-SA"/>
        </w:rPr>
      </w:pPr>
    </w:p>
    <w:p w14:paraId="03FEF72F">
      <w:pPr>
        <w:widowControl w:val="0"/>
        <w:spacing w:line="360" w:lineRule="auto"/>
        <w:ind w:firstLine="482" w:firstLineChars="200"/>
        <w:jc w:val="center"/>
        <w:rPr>
          <w:rFonts w:hint="eastAsia" w:ascii="宋体" w:hAnsi="宋体" w:eastAsia="宋体" w:cs="宋体"/>
          <w:b/>
          <w:bCs/>
          <w:color w:val="auto"/>
          <w:kern w:val="2"/>
          <w:sz w:val="24"/>
          <w:szCs w:val="24"/>
          <w:lang w:val="en-US" w:eastAsia="zh-CN" w:bidi="ar-SA"/>
        </w:rPr>
      </w:pPr>
    </w:p>
    <w:p w14:paraId="4DCB524E">
      <w:pPr>
        <w:widowControl w:val="0"/>
        <w:spacing w:line="360" w:lineRule="auto"/>
        <w:ind w:firstLine="482" w:firstLineChars="200"/>
        <w:jc w:val="center"/>
        <w:rPr>
          <w:rFonts w:hint="eastAsia" w:ascii="宋体" w:hAnsi="宋体" w:eastAsia="宋体" w:cs="宋体"/>
          <w:b/>
          <w:bCs/>
          <w:color w:val="auto"/>
          <w:kern w:val="2"/>
          <w:sz w:val="24"/>
          <w:szCs w:val="24"/>
          <w:lang w:val="en-US" w:eastAsia="zh-CN" w:bidi="ar-SA"/>
        </w:rPr>
      </w:pPr>
    </w:p>
    <w:p w14:paraId="62B98518">
      <w:pPr>
        <w:widowControl w:val="0"/>
        <w:spacing w:line="360" w:lineRule="auto"/>
        <w:ind w:firstLine="482" w:firstLineChars="200"/>
        <w:jc w:val="center"/>
        <w:rPr>
          <w:rFonts w:hint="eastAsia" w:ascii="宋体" w:hAnsi="宋体" w:eastAsia="宋体" w:cs="宋体"/>
          <w:b/>
          <w:bCs/>
          <w:color w:val="auto"/>
          <w:kern w:val="2"/>
          <w:sz w:val="24"/>
          <w:szCs w:val="24"/>
          <w:lang w:val="en-US" w:eastAsia="zh-CN" w:bidi="ar-SA"/>
        </w:rPr>
      </w:pPr>
    </w:p>
    <w:p w14:paraId="5B44351B">
      <w:pPr>
        <w:widowControl w:val="0"/>
        <w:spacing w:line="360" w:lineRule="auto"/>
        <w:ind w:firstLine="482" w:firstLineChars="200"/>
        <w:jc w:val="center"/>
        <w:rPr>
          <w:rFonts w:hint="eastAsia" w:ascii="宋体" w:hAnsi="宋体" w:eastAsia="宋体" w:cs="宋体"/>
          <w:b/>
          <w:bCs/>
          <w:color w:val="auto"/>
          <w:kern w:val="2"/>
          <w:sz w:val="24"/>
          <w:szCs w:val="24"/>
          <w:lang w:val="en-US" w:eastAsia="zh-CN" w:bidi="ar-SA"/>
        </w:rPr>
      </w:pPr>
    </w:p>
    <w:p w14:paraId="65C43BFD">
      <w:pPr>
        <w:widowControl w:val="0"/>
        <w:spacing w:line="360" w:lineRule="auto"/>
        <w:ind w:firstLine="482" w:firstLineChars="200"/>
        <w:jc w:val="center"/>
        <w:rPr>
          <w:rFonts w:hint="eastAsia" w:ascii="宋体" w:hAnsi="宋体" w:eastAsia="宋体" w:cs="宋体"/>
          <w:b/>
          <w:bCs/>
          <w:color w:val="auto"/>
          <w:kern w:val="2"/>
          <w:sz w:val="24"/>
          <w:szCs w:val="24"/>
          <w:lang w:val="en-US" w:eastAsia="zh-CN" w:bidi="ar-SA"/>
        </w:rPr>
      </w:pPr>
    </w:p>
    <w:p w14:paraId="48D30467">
      <w:pPr>
        <w:widowControl w:val="0"/>
        <w:spacing w:line="360" w:lineRule="auto"/>
        <w:ind w:firstLine="482" w:firstLineChars="200"/>
        <w:jc w:val="center"/>
        <w:rPr>
          <w:rFonts w:hint="eastAsia" w:ascii="宋体" w:hAnsi="宋体" w:eastAsia="宋体" w:cs="宋体"/>
          <w:b/>
          <w:bCs/>
          <w:color w:val="auto"/>
          <w:kern w:val="2"/>
          <w:sz w:val="24"/>
          <w:szCs w:val="24"/>
          <w:lang w:val="en-US" w:eastAsia="zh-CN" w:bidi="ar-SA"/>
        </w:rPr>
      </w:pPr>
    </w:p>
    <w:p w14:paraId="70988DE1">
      <w:pPr>
        <w:widowControl w:val="0"/>
        <w:spacing w:line="360" w:lineRule="auto"/>
        <w:ind w:firstLine="482" w:firstLineChars="200"/>
        <w:jc w:val="center"/>
        <w:rPr>
          <w:rFonts w:hint="eastAsia" w:ascii="宋体" w:hAnsi="宋体" w:eastAsia="宋体" w:cs="宋体"/>
          <w:b/>
          <w:bCs/>
          <w:color w:val="auto"/>
          <w:kern w:val="2"/>
          <w:sz w:val="24"/>
          <w:szCs w:val="24"/>
          <w:lang w:val="en-US" w:eastAsia="zh-CN" w:bidi="ar-SA"/>
        </w:rPr>
      </w:pPr>
    </w:p>
    <w:p w14:paraId="1A0B38ED">
      <w:pPr>
        <w:widowControl w:val="0"/>
        <w:spacing w:line="360" w:lineRule="auto"/>
        <w:ind w:firstLine="482" w:firstLineChars="200"/>
        <w:jc w:val="center"/>
        <w:rPr>
          <w:rFonts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包3（杀毒系统售后服务）</w:t>
      </w:r>
    </w:p>
    <w:p w14:paraId="59AEF947">
      <w:pPr>
        <w:widowControl w:val="0"/>
        <w:spacing w:line="360" w:lineRule="auto"/>
        <w:ind w:firstLine="482" w:firstLineChars="200"/>
        <w:jc w:val="both"/>
        <w:rPr>
          <w:rFonts w:ascii="宋体" w:hAnsi="宋体" w:eastAsia="宋体" w:cs="宋体"/>
          <w:color w:val="auto"/>
          <w:kern w:val="2"/>
          <w:sz w:val="24"/>
          <w:szCs w:val="24"/>
          <w:lang w:val="en-US" w:eastAsia="zh-CN" w:bidi="ar-SA"/>
        </w:rPr>
      </w:pPr>
      <w:r>
        <w:rPr>
          <w:rFonts w:ascii="宋体" w:hAnsi="宋体" w:eastAsia="宋体" w:cs="宋体"/>
          <w:b/>
          <w:bCs/>
          <w:color w:val="auto"/>
          <w:kern w:val="2"/>
          <w:sz w:val="24"/>
          <w:szCs w:val="24"/>
          <w:lang w:val="en-US" w:eastAsia="zh-CN" w:bidi="ar-SA"/>
        </w:rPr>
        <w:t>一</w:t>
      </w:r>
      <w:r>
        <w:rPr>
          <w:rFonts w:hint="eastAsia" w:ascii="宋体" w:hAnsi="宋体" w:eastAsia="宋体" w:cs="宋体"/>
          <w:b/>
          <w:bCs/>
          <w:color w:val="auto"/>
          <w:kern w:val="2"/>
          <w:sz w:val="24"/>
          <w:szCs w:val="24"/>
          <w:lang w:val="en-US" w:eastAsia="zh-CN" w:bidi="ar-SA"/>
        </w:rPr>
        <w:t>.项目概述</w:t>
      </w:r>
    </w:p>
    <w:p w14:paraId="59ED35E9">
      <w:pPr>
        <w:widowControl w:val="0"/>
        <w:spacing w:line="360" w:lineRule="auto"/>
        <w:ind w:firstLine="480" w:firstLineChars="200"/>
        <w:jc w:val="both"/>
        <w:rPr>
          <w:rFonts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陕西省交通医院为保障信息系统正常运行，确保网络安全，维护正常的医疗秩序，确保采购人各信息系统数据安全，充分保障患者信息安全，现委托具有火绒安全管理系统维护能力供应商，为采购人提供产品及运维服务。</w:t>
      </w:r>
    </w:p>
    <w:p w14:paraId="0A8D597D">
      <w:pPr>
        <w:widowControl w:val="0"/>
        <w:spacing w:line="360" w:lineRule="auto"/>
        <w:ind w:firstLine="482" w:firstLineChars="200"/>
        <w:jc w:val="both"/>
        <w:rPr>
          <w:rFonts w:ascii="宋体" w:hAnsi="宋体" w:eastAsia="宋体" w:cs="宋体"/>
          <w:b/>
          <w:bCs/>
          <w:color w:val="auto"/>
          <w:kern w:val="2"/>
          <w:sz w:val="24"/>
          <w:szCs w:val="24"/>
          <w:lang w:val="en-US" w:eastAsia="zh-CN" w:bidi="ar-SA"/>
        </w:rPr>
      </w:pPr>
      <w:r>
        <w:rPr>
          <w:rFonts w:ascii="宋体" w:hAnsi="宋体" w:eastAsia="宋体" w:cs="宋体"/>
          <w:b/>
          <w:bCs/>
          <w:color w:val="auto"/>
          <w:kern w:val="2"/>
          <w:sz w:val="24"/>
          <w:szCs w:val="24"/>
          <w:lang w:val="en-US" w:eastAsia="zh-CN" w:bidi="ar-SA"/>
        </w:rPr>
        <w:t>二</w:t>
      </w:r>
      <w:r>
        <w:rPr>
          <w:rFonts w:hint="eastAsia" w:ascii="宋体" w:hAnsi="宋体" w:eastAsia="宋体" w:cs="宋体"/>
          <w:b/>
          <w:bCs/>
          <w:color w:val="auto"/>
          <w:kern w:val="2"/>
          <w:sz w:val="24"/>
          <w:szCs w:val="24"/>
          <w:lang w:val="en-US" w:eastAsia="zh-CN" w:bidi="ar-SA"/>
        </w:rPr>
        <w:t>.技术要求</w:t>
      </w:r>
    </w:p>
    <w:p w14:paraId="43CA2014">
      <w:pPr>
        <w:widowControl w:val="0"/>
        <w:spacing w:line="360" w:lineRule="auto"/>
        <w:ind w:firstLine="482" w:firstLineChars="200"/>
        <w:jc w:val="both"/>
        <w:rPr>
          <w:rFonts w:ascii="宋体" w:hAnsi="宋体" w:eastAsia="宋体" w:cs="宋体"/>
          <w:b/>
          <w:bCs/>
          <w:color w:val="auto"/>
          <w:kern w:val="2"/>
          <w:sz w:val="24"/>
          <w:szCs w:val="24"/>
          <w:lang w:val="en-US" w:eastAsia="zh-CN" w:bidi="ar-SA"/>
        </w:rPr>
      </w:pPr>
      <w:r>
        <w:rPr>
          <w:rFonts w:ascii="宋体" w:hAnsi="宋体" w:eastAsia="宋体" w:cs="宋体"/>
          <w:b/>
          <w:bCs/>
          <w:color w:val="auto"/>
          <w:kern w:val="2"/>
          <w:sz w:val="24"/>
          <w:szCs w:val="24"/>
          <w:lang w:val="en-US" w:eastAsia="zh-CN" w:bidi="ar-SA"/>
        </w:rPr>
        <w:t>1．</w:t>
      </w:r>
      <w:r>
        <w:rPr>
          <w:rFonts w:hint="eastAsia" w:ascii="宋体" w:hAnsi="宋体" w:eastAsia="宋体" w:cs="宋体"/>
          <w:b/>
          <w:bCs/>
          <w:color w:val="auto"/>
          <w:kern w:val="2"/>
          <w:sz w:val="24"/>
          <w:szCs w:val="24"/>
          <w:lang w:val="en-US" w:eastAsia="zh-CN" w:bidi="ar-SA"/>
        </w:rPr>
        <w:t>名词解释：</w:t>
      </w:r>
    </w:p>
    <w:p w14:paraId="14CDBB72">
      <w:pPr>
        <w:widowControl w:val="0"/>
        <w:spacing w:line="360" w:lineRule="auto"/>
        <w:ind w:firstLine="480" w:firstLineChars="200"/>
        <w:jc w:val="both"/>
        <w:rPr>
          <w:rFonts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1.1“维护”是指服务供应商为采购人提供基于许可软件的技术指导和解决产品故障等服务工作的总称。</w:t>
      </w:r>
    </w:p>
    <w:p w14:paraId="2301CF3D">
      <w:pPr>
        <w:widowControl w:val="0"/>
        <w:spacing w:line="360" w:lineRule="auto"/>
        <w:ind w:firstLine="480" w:firstLineChars="200"/>
        <w:jc w:val="both"/>
        <w:rPr>
          <w:rFonts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1.2“现场”是指供应商根据许可合同许可采购人使用许可系统的场所。</w:t>
      </w:r>
    </w:p>
    <w:p w14:paraId="69FB48CE">
      <w:pPr>
        <w:widowControl w:val="0"/>
        <w:spacing w:line="360" w:lineRule="auto"/>
        <w:ind w:firstLine="480" w:firstLineChars="200"/>
        <w:jc w:val="both"/>
        <w:rPr>
          <w:rFonts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1.3“现场维护”是指服务供应商采购方提出 的技术问题派遣技术人员到采购方现场处解决问题的过程。</w:t>
      </w:r>
    </w:p>
    <w:p w14:paraId="4300ABE9">
      <w:pPr>
        <w:widowControl w:val="0"/>
        <w:spacing w:line="360" w:lineRule="auto"/>
        <w:ind w:firstLine="480" w:firstLineChars="200"/>
        <w:jc w:val="both"/>
        <w:rPr>
          <w:rFonts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1.4“远程维护”是指服务供应商根据采购方提出的技术问题通过电话或互联网向采购方提供问题解答、技术指导和远程操作的过程。</w:t>
      </w:r>
    </w:p>
    <w:p w14:paraId="3DA3879E">
      <w:pPr>
        <w:widowControl w:val="0"/>
        <w:spacing w:line="360" w:lineRule="auto"/>
        <w:ind w:firstLine="480" w:firstLineChars="200"/>
        <w:jc w:val="both"/>
        <w:rPr>
          <w:rFonts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1.5“软件更新”是指由于许可软件出现故障而对许可软件进行优化、换代的过程。</w:t>
      </w:r>
    </w:p>
    <w:p w14:paraId="4570C889">
      <w:pPr>
        <w:widowControl w:val="0"/>
        <w:spacing w:line="360" w:lineRule="auto"/>
        <w:ind w:firstLine="480" w:firstLineChars="200"/>
        <w:jc w:val="both"/>
        <w:rPr>
          <w:rFonts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1.6“技术支持”是指服务供应商为了保障许可软件和系统正常运行，在服务时间内通过电话、互联网等技术向采购方提供的援助或技术指导。</w:t>
      </w:r>
    </w:p>
    <w:p w14:paraId="2D597E87">
      <w:pPr>
        <w:widowControl w:val="0"/>
        <w:spacing w:line="360" w:lineRule="auto"/>
        <w:ind w:firstLine="480" w:firstLineChars="200"/>
        <w:jc w:val="both"/>
        <w:rPr>
          <w:rFonts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1.7“热线支持”是指服务供应商客户服务中心服务 人员通过电话向采购方提供技术问题解答的过程。</w:t>
      </w:r>
    </w:p>
    <w:p w14:paraId="77DF3A04">
      <w:pPr>
        <w:widowControl w:val="0"/>
        <w:spacing w:line="360" w:lineRule="auto"/>
        <w:ind w:firstLine="480" w:firstLineChars="200"/>
        <w:jc w:val="both"/>
        <w:rPr>
          <w:rFonts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1.8“网上技术支持”是指服务供应商客户服务中心通过在线支持系统接收、解答采购方问题，并在网上发面相关技术解决问答的过程。</w:t>
      </w:r>
    </w:p>
    <w:p w14:paraId="6ACEA605">
      <w:pPr>
        <w:widowControl w:val="0"/>
        <w:spacing w:line="360" w:lineRule="auto"/>
        <w:ind w:firstLine="480" w:firstLineChars="200"/>
        <w:jc w:val="both"/>
        <w:rPr>
          <w:rFonts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1.9“响应时间”是指服务供应商接到采购方服务请求之后，到与采购方进行沟通并对采购方做出服务承诺的时间。</w:t>
      </w:r>
    </w:p>
    <w:p w14:paraId="395C1674">
      <w:pPr>
        <w:widowControl w:val="0"/>
        <w:spacing w:line="360" w:lineRule="auto"/>
        <w:ind w:firstLine="482" w:firstLineChars="200"/>
        <w:jc w:val="both"/>
        <w:rPr>
          <w:rFonts w:ascii="宋体" w:hAnsi="宋体" w:eastAsia="宋体" w:cs="宋体"/>
          <w:b/>
          <w:color w:val="auto"/>
          <w:kern w:val="2"/>
          <w:sz w:val="24"/>
          <w:szCs w:val="24"/>
          <w:lang w:val="en-US" w:eastAsia="zh-CN" w:bidi="ar-SA"/>
        </w:rPr>
      </w:pPr>
      <w:r>
        <w:rPr>
          <w:rFonts w:hint="eastAsia" w:ascii="宋体" w:hAnsi="宋体" w:eastAsia="宋体" w:cs="宋体"/>
          <w:b/>
          <w:color w:val="auto"/>
          <w:kern w:val="2"/>
          <w:sz w:val="24"/>
          <w:szCs w:val="24"/>
          <w:lang w:val="en-US" w:eastAsia="zh-CN" w:bidi="ar-SA"/>
        </w:rPr>
        <w:t>2.甲方委托乙方售后运维服务的系统模块：</w:t>
      </w:r>
    </w:p>
    <w:tbl>
      <w:tblPr>
        <w:tblStyle w:val="9"/>
        <w:tblW w:w="8500" w:type="dxa"/>
        <w:jc w:val="center"/>
        <w:tblLayout w:type="fixed"/>
        <w:tblCellMar>
          <w:top w:w="0" w:type="dxa"/>
          <w:left w:w="108" w:type="dxa"/>
          <w:bottom w:w="0" w:type="dxa"/>
          <w:right w:w="108" w:type="dxa"/>
        </w:tblCellMar>
      </w:tblPr>
      <w:tblGrid>
        <w:gridCol w:w="2910"/>
        <w:gridCol w:w="5590"/>
      </w:tblGrid>
      <w:tr w14:paraId="621A5B83">
        <w:tblPrEx>
          <w:tblCellMar>
            <w:top w:w="0" w:type="dxa"/>
            <w:left w:w="108" w:type="dxa"/>
            <w:bottom w:w="0" w:type="dxa"/>
            <w:right w:w="108" w:type="dxa"/>
          </w:tblCellMar>
        </w:tblPrEx>
        <w:trPr>
          <w:trHeight w:val="383" w:hRule="atLeast"/>
          <w:jc w:val="center"/>
        </w:trPr>
        <w:tc>
          <w:tcPr>
            <w:tcW w:w="8500" w:type="dxa"/>
            <w:gridSpan w:val="2"/>
            <w:tcBorders>
              <w:top w:val="single" w:color="auto" w:sz="4" w:space="0"/>
              <w:left w:val="single" w:color="auto" w:sz="4" w:space="0"/>
              <w:bottom w:val="single" w:color="auto" w:sz="4" w:space="0"/>
              <w:right w:val="single" w:color="auto" w:sz="4" w:space="0"/>
            </w:tcBorders>
            <w:vAlign w:val="center"/>
          </w:tcPr>
          <w:p w14:paraId="154A9303">
            <w:pPr>
              <w:spacing w:line="360" w:lineRule="auto"/>
              <w:jc w:val="center"/>
              <w:rPr>
                <w:rFonts w:ascii="宋体" w:hAnsi="宋体" w:cs="宋体"/>
                <w:b/>
                <w:sz w:val="24"/>
              </w:rPr>
            </w:pPr>
            <w:r>
              <w:rPr>
                <w:rFonts w:hint="eastAsia" w:ascii="宋体" w:hAnsi="宋体" w:cs="宋体"/>
                <w:b/>
                <w:sz w:val="24"/>
              </w:rPr>
              <w:t>陕西省交通医院火绒安全管理系统汇总表</w:t>
            </w:r>
          </w:p>
        </w:tc>
      </w:tr>
      <w:tr w14:paraId="3C11EEBA">
        <w:tblPrEx>
          <w:tblCellMar>
            <w:top w:w="0" w:type="dxa"/>
            <w:left w:w="108" w:type="dxa"/>
            <w:bottom w:w="0" w:type="dxa"/>
            <w:right w:w="108" w:type="dxa"/>
          </w:tblCellMar>
        </w:tblPrEx>
        <w:trPr>
          <w:trHeight w:val="383" w:hRule="atLeast"/>
          <w:jc w:val="center"/>
        </w:trPr>
        <w:tc>
          <w:tcPr>
            <w:tcW w:w="2910" w:type="dxa"/>
            <w:tcBorders>
              <w:top w:val="single" w:color="auto" w:sz="4" w:space="0"/>
              <w:left w:val="single" w:color="auto" w:sz="4" w:space="0"/>
              <w:bottom w:val="single" w:color="auto" w:sz="4" w:space="0"/>
              <w:right w:val="single" w:color="auto" w:sz="4" w:space="0"/>
            </w:tcBorders>
            <w:vAlign w:val="center"/>
          </w:tcPr>
          <w:p w14:paraId="6937546D">
            <w:pPr>
              <w:spacing w:line="360" w:lineRule="auto"/>
              <w:jc w:val="center"/>
              <w:rPr>
                <w:rFonts w:ascii="宋体" w:hAnsi="宋体" w:cs="宋体"/>
                <w:b/>
                <w:sz w:val="24"/>
              </w:rPr>
            </w:pPr>
            <w:r>
              <w:rPr>
                <w:rFonts w:hint="eastAsia" w:ascii="宋体" w:hAnsi="宋体" w:cs="宋体"/>
                <w:b/>
                <w:sz w:val="24"/>
              </w:rPr>
              <w:t>系统名称</w:t>
            </w:r>
          </w:p>
        </w:tc>
        <w:tc>
          <w:tcPr>
            <w:tcW w:w="5590" w:type="dxa"/>
            <w:tcBorders>
              <w:top w:val="single" w:color="auto" w:sz="4" w:space="0"/>
              <w:left w:val="single" w:color="auto" w:sz="4" w:space="0"/>
              <w:bottom w:val="single" w:color="auto" w:sz="4" w:space="0"/>
              <w:right w:val="single" w:color="auto" w:sz="4" w:space="0"/>
            </w:tcBorders>
            <w:vAlign w:val="center"/>
          </w:tcPr>
          <w:p w14:paraId="2BB49681">
            <w:pPr>
              <w:spacing w:line="360" w:lineRule="auto"/>
              <w:jc w:val="center"/>
              <w:rPr>
                <w:rFonts w:ascii="宋体" w:hAnsi="宋体" w:cs="宋体"/>
                <w:b/>
                <w:sz w:val="24"/>
              </w:rPr>
            </w:pPr>
            <w:r>
              <w:rPr>
                <w:rFonts w:hint="eastAsia" w:ascii="宋体" w:hAnsi="宋体" w:cs="宋体"/>
                <w:b/>
                <w:sz w:val="24"/>
              </w:rPr>
              <w:t>子系统名称</w:t>
            </w:r>
          </w:p>
        </w:tc>
      </w:tr>
      <w:tr w14:paraId="651F4263">
        <w:tblPrEx>
          <w:tblCellMar>
            <w:top w:w="0" w:type="dxa"/>
            <w:left w:w="108" w:type="dxa"/>
            <w:bottom w:w="0" w:type="dxa"/>
            <w:right w:w="108" w:type="dxa"/>
          </w:tblCellMar>
        </w:tblPrEx>
        <w:trPr>
          <w:trHeight w:val="383" w:hRule="atLeast"/>
          <w:jc w:val="center"/>
        </w:trPr>
        <w:tc>
          <w:tcPr>
            <w:tcW w:w="2910" w:type="dxa"/>
            <w:vMerge w:val="restart"/>
            <w:tcBorders>
              <w:top w:val="nil"/>
              <w:left w:val="single" w:color="auto" w:sz="4" w:space="0"/>
              <w:bottom w:val="single" w:color="auto" w:sz="4" w:space="0"/>
              <w:right w:val="single" w:color="auto" w:sz="4" w:space="0"/>
            </w:tcBorders>
            <w:vAlign w:val="center"/>
          </w:tcPr>
          <w:p w14:paraId="50AD156A">
            <w:pPr>
              <w:spacing w:line="360" w:lineRule="auto"/>
              <w:jc w:val="center"/>
              <w:rPr>
                <w:rFonts w:ascii="宋体" w:hAnsi="宋体" w:cs="宋体"/>
                <w:sz w:val="24"/>
              </w:rPr>
            </w:pPr>
            <w:r>
              <w:rPr>
                <w:rFonts w:hint="eastAsia" w:ascii="宋体" w:hAnsi="宋体" w:cs="宋体"/>
                <w:sz w:val="24"/>
              </w:rPr>
              <w:t>火绒安全管理系统</w:t>
            </w:r>
          </w:p>
        </w:tc>
        <w:tc>
          <w:tcPr>
            <w:tcW w:w="5590" w:type="dxa"/>
            <w:tcBorders>
              <w:top w:val="nil"/>
              <w:left w:val="single" w:color="auto" w:sz="4" w:space="0"/>
              <w:bottom w:val="single" w:color="auto" w:sz="4" w:space="0"/>
              <w:right w:val="single" w:color="auto" w:sz="4" w:space="0"/>
            </w:tcBorders>
          </w:tcPr>
          <w:p w14:paraId="0DCD441B">
            <w:pPr>
              <w:spacing w:line="360" w:lineRule="auto"/>
              <w:rPr>
                <w:rFonts w:ascii="宋体" w:hAnsi="宋体" w:cs="宋体"/>
                <w:sz w:val="24"/>
                <w:highlight w:val="yellow"/>
              </w:rPr>
            </w:pPr>
            <w:r>
              <w:rPr>
                <w:rFonts w:hint="eastAsia" w:ascii="宋体" w:hAnsi="宋体" w:cs="宋体"/>
                <w:sz w:val="24"/>
              </w:rPr>
              <w:t>新一代反病毒引擎子系统</w:t>
            </w:r>
          </w:p>
        </w:tc>
      </w:tr>
      <w:tr w14:paraId="2FFAF97E">
        <w:tblPrEx>
          <w:tblCellMar>
            <w:top w:w="0" w:type="dxa"/>
            <w:left w:w="108" w:type="dxa"/>
            <w:bottom w:w="0" w:type="dxa"/>
            <w:right w:w="108" w:type="dxa"/>
          </w:tblCellMar>
        </w:tblPrEx>
        <w:trPr>
          <w:trHeight w:val="383" w:hRule="atLeast"/>
          <w:jc w:val="center"/>
        </w:trPr>
        <w:tc>
          <w:tcPr>
            <w:tcW w:w="2910" w:type="dxa"/>
            <w:vMerge w:val="continue"/>
            <w:tcBorders>
              <w:top w:val="nil"/>
              <w:left w:val="single" w:color="auto" w:sz="4" w:space="0"/>
              <w:bottom w:val="single" w:color="auto" w:sz="4" w:space="0"/>
              <w:right w:val="single" w:color="auto" w:sz="4" w:space="0"/>
            </w:tcBorders>
            <w:vAlign w:val="center"/>
          </w:tcPr>
          <w:p w14:paraId="57D127E7">
            <w:pPr>
              <w:spacing w:line="360" w:lineRule="auto"/>
              <w:jc w:val="center"/>
              <w:rPr>
                <w:rFonts w:ascii="宋体" w:hAnsi="宋体" w:cs="宋体"/>
                <w:sz w:val="24"/>
              </w:rPr>
            </w:pPr>
          </w:p>
        </w:tc>
        <w:tc>
          <w:tcPr>
            <w:tcW w:w="5590" w:type="dxa"/>
            <w:tcBorders>
              <w:top w:val="nil"/>
              <w:left w:val="single" w:color="auto" w:sz="4" w:space="0"/>
              <w:bottom w:val="single" w:color="auto" w:sz="4" w:space="0"/>
              <w:right w:val="single" w:color="auto" w:sz="4" w:space="0"/>
            </w:tcBorders>
          </w:tcPr>
          <w:p w14:paraId="1546D79F">
            <w:pPr>
              <w:spacing w:line="360" w:lineRule="auto"/>
              <w:rPr>
                <w:rFonts w:ascii="宋体" w:hAnsi="宋体" w:cs="宋体"/>
                <w:sz w:val="24"/>
                <w:highlight w:val="yellow"/>
              </w:rPr>
            </w:pPr>
            <w:r>
              <w:rPr>
                <w:rFonts w:hint="eastAsia" w:ascii="宋体" w:hAnsi="宋体" w:cs="宋体"/>
                <w:sz w:val="24"/>
              </w:rPr>
              <w:t>多层次主动防御子系统</w:t>
            </w:r>
          </w:p>
        </w:tc>
      </w:tr>
      <w:tr w14:paraId="61FE9AA1">
        <w:tblPrEx>
          <w:tblCellMar>
            <w:top w:w="0" w:type="dxa"/>
            <w:left w:w="108" w:type="dxa"/>
            <w:bottom w:w="0" w:type="dxa"/>
            <w:right w:w="108" w:type="dxa"/>
          </w:tblCellMar>
        </w:tblPrEx>
        <w:trPr>
          <w:trHeight w:val="383" w:hRule="atLeast"/>
          <w:jc w:val="center"/>
        </w:trPr>
        <w:tc>
          <w:tcPr>
            <w:tcW w:w="2910" w:type="dxa"/>
            <w:vMerge w:val="continue"/>
            <w:tcBorders>
              <w:top w:val="nil"/>
              <w:left w:val="single" w:color="auto" w:sz="4" w:space="0"/>
              <w:bottom w:val="single" w:color="auto" w:sz="4" w:space="0"/>
              <w:right w:val="single" w:color="auto" w:sz="4" w:space="0"/>
            </w:tcBorders>
            <w:vAlign w:val="center"/>
          </w:tcPr>
          <w:p w14:paraId="677B1269">
            <w:pPr>
              <w:spacing w:line="360" w:lineRule="auto"/>
              <w:jc w:val="center"/>
              <w:rPr>
                <w:rFonts w:ascii="宋体" w:hAnsi="宋体" w:cs="宋体"/>
                <w:sz w:val="24"/>
              </w:rPr>
            </w:pPr>
          </w:p>
        </w:tc>
        <w:tc>
          <w:tcPr>
            <w:tcW w:w="5590" w:type="dxa"/>
            <w:tcBorders>
              <w:top w:val="nil"/>
              <w:left w:val="single" w:color="auto" w:sz="4" w:space="0"/>
              <w:bottom w:val="single" w:color="auto" w:sz="4" w:space="0"/>
              <w:right w:val="single" w:color="auto" w:sz="4" w:space="0"/>
            </w:tcBorders>
          </w:tcPr>
          <w:p w14:paraId="1EE56421">
            <w:pPr>
              <w:spacing w:line="360" w:lineRule="auto"/>
              <w:rPr>
                <w:rFonts w:ascii="宋体" w:hAnsi="宋体" w:cs="宋体"/>
                <w:sz w:val="24"/>
                <w:highlight w:val="yellow"/>
              </w:rPr>
            </w:pPr>
            <w:r>
              <w:rPr>
                <w:rFonts w:hint="eastAsia" w:ascii="宋体" w:hAnsi="宋体" w:cs="宋体"/>
                <w:sz w:val="24"/>
              </w:rPr>
              <w:t>终端安全管理中心子系统</w:t>
            </w:r>
          </w:p>
        </w:tc>
      </w:tr>
      <w:tr w14:paraId="7F5329DB">
        <w:tblPrEx>
          <w:tblCellMar>
            <w:top w:w="0" w:type="dxa"/>
            <w:left w:w="108" w:type="dxa"/>
            <w:bottom w:w="0" w:type="dxa"/>
            <w:right w:w="108" w:type="dxa"/>
          </w:tblCellMar>
        </w:tblPrEx>
        <w:trPr>
          <w:trHeight w:val="576" w:hRule="atLeast"/>
          <w:jc w:val="center"/>
        </w:trPr>
        <w:tc>
          <w:tcPr>
            <w:tcW w:w="2910" w:type="dxa"/>
            <w:vMerge w:val="continue"/>
            <w:tcBorders>
              <w:top w:val="nil"/>
              <w:left w:val="single" w:color="auto" w:sz="4" w:space="0"/>
              <w:bottom w:val="single" w:color="auto" w:sz="4" w:space="0"/>
              <w:right w:val="single" w:color="auto" w:sz="4" w:space="0"/>
            </w:tcBorders>
            <w:vAlign w:val="center"/>
          </w:tcPr>
          <w:p w14:paraId="3B7B73F4">
            <w:pPr>
              <w:spacing w:line="360" w:lineRule="auto"/>
              <w:jc w:val="center"/>
              <w:rPr>
                <w:rFonts w:ascii="宋体" w:hAnsi="宋体" w:cs="宋体"/>
                <w:sz w:val="24"/>
              </w:rPr>
            </w:pPr>
          </w:p>
        </w:tc>
        <w:tc>
          <w:tcPr>
            <w:tcW w:w="5590" w:type="dxa"/>
            <w:tcBorders>
              <w:top w:val="nil"/>
              <w:left w:val="single" w:color="auto" w:sz="4" w:space="0"/>
              <w:bottom w:val="single" w:color="auto" w:sz="4" w:space="0"/>
              <w:right w:val="single" w:color="auto" w:sz="4" w:space="0"/>
            </w:tcBorders>
          </w:tcPr>
          <w:p w14:paraId="2C1686D8">
            <w:pPr>
              <w:spacing w:line="360" w:lineRule="auto"/>
              <w:rPr>
                <w:rFonts w:ascii="宋体" w:hAnsi="宋体" w:cs="宋体"/>
                <w:sz w:val="24"/>
                <w:highlight w:val="yellow"/>
              </w:rPr>
            </w:pPr>
            <w:r>
              <w:rPr>
                <w:rFonts w:hint="eastAsia" w:ascii="宋体" w:hAnsi="宋体" w:cs="宋体"/>
                <w:sz w:val="24"/>
              </w:rPr>
              <w:t>400个安全终端子系统</w:t>
            </w:r>
          </w:p>
        </w:tc>
      </w:tr>
    </w:tbl>
    <w:p w14:paraId="0AACEB78">
      <w:pPr>
        <w:widowControl w:val="0"/>
        <w:spacing w:line="360" w:lineRule="auto"/>
        <w:ind w:firstLine="480" w:firstLineChars="200"/>
        <w:jc w:val="both"/>
        <w:rPr>
          <w:rFonts w:ascii="宋体" w:hAnsi="宋体" w:eastAsia="宋体" w:cs="宋体"/>
          <w:color w:val="auto"/>
          <w:kern w:val="2"/>
          <w:sz w:val="24"/>
          <w:szCs w:val="24"/>
          <w:lang w:val="en-US" w:eastAsia="zh-CN" w:bidi="ar-SA"/>
        </w:rPr>
      </w:pPr>
    </w:p>
    <w:p w14:paraId="42607645">
      <w:pPr>
        <w:widowControl w:val="0"/>
        <w:spacing w:line="360" w:lineRule="auto"/>
        <w:ind w:firstLine="482" w:firstLineChars="200"/>
        <w:jc w:val="both"/>
        <w:rPr>
          <w:rFonts w:ascii="宋体" w:hAnsi="宋体" w:eastAsia="宋体" w:cs="宋体"/>
          <w:b/>
          <w:color w:val="auto"/>
          <w:kern w:val="2"/>
          <w:sz w:val="24"/>
          <w:szCs w:val="24"/>
          <w:lang w:val="en-US" w:eastAsia="zh-CN" w:bidi="ar-SA"/>
        </w:rPr>
      </w:pPr>
      <w:r>
        <w:rPr>
          <w:rFonts w:hint="eastAsia" w:ascii="宋体" w:hAnsi="宋体" w:eastAsia="宋体" w:cs="宋体"/>
          <w:b/>
          <w:color w:val="auto"/>
          <w:kern w:val="2"/>
          <w:sz w:val="24"/>
          <w:szCs w:val="24"/>
          <w:lang w:val="en-US" w:eastAsia="zh-CN" w:bidi="ar-SA"/>
        </w:rPr>
        <w:t>3.医院故障分级标准及响应时间要求</w:t>
      </w:r>
    </w:p>
    <w:tbl>
      <w:tblPr>
        <w:tblStyle w:val="10"/>
        <w:tblW w:w="96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0"/>
        <w:gridCol w:w="1276"/>
        <w:gridCol w:w="3543"/>
        <w:gridCol w:w="4111"/>
      </w:tblGrid>
      <w:tr w14:paraId="0D578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710" w:type="dxa"/>
            <w:vAlign w:val="center"/>
          </w:tcPr>
          <w:p w14:paraId="79A8DA91">
            <w:pPr>
              <w:spacing w:line="360" w:lineRule="auto"/>
              <w:jc w:val="center"/>
              <w:rPr>
                <w:rFonts w:ascii="宋体" w:hAnsi="宋体" w:eastAsia="等线" w:cs="宋体"/>
                <w:b/>
                <w:sz w:val="24"/>
              </w:rPr>
            </w:pPr>
            <w:r>
              <w:rPr>
                <w:rFonts w:hint="eastAsia" w:ascii="宋体" w:hAnsi="宋体" w:eastAsia="等线" w:cs="宋体"/>
                <w:b/>
                <w:sz w:val="24"/>
              </w:rPr>
              <w:t>序号</w:t>
            </w:r>
          </w:p>
        </w:tc>
        <w:tc>
          <w:tcPr>
            <w:tcW w:w="1276" w:type="dxa"/>
            <w:vAlign w:val="center"/>
          </w:tcPr>
          <w:p w14:paraId="5F5CFEE2">
            <w:pPr>
              <w:spacing w:line="360" w:lineRule="auto"/>
              <w:jc w:val="center"/>
              <w:rPr>
                <w:rFonts w:ascii="宋体" w:hAnsi="宋体" w:eastAsia="等线" w:cs="宋体"/>
                <w:b/>
                <w:sz w:val="24"/>
              </w:rPr>
            </w:pPr>
            <w:r>
              <w:rPr>
                <w:rFonts w:hint="eastAsia" w:ascii="宋体" w:hAnsi="宋体" w:eastAsia="等线" w:cs="宋体"/>
                <w:b/>
                <w:sz w:val="24"/>
              </w:rPr>
              <w:t>故障等级</w:t>
            </w:r>
          </w:p>
        </w:tc>
        <w:tc>
          <w:tcPr>
            <w:tcW w:w="3543" w:type="dxa"/>
            <w:vAlign w:val="center"/>
          </w:tcPr>
          <w:p w14:paraId="286CDC48">
            <w:pPr>
              <w:spacing w:line="360" w:lineRule="auto"/>
              <w:jc w:val="center"/>
              <w:rPr>
                <w:rFonts w:ascii="宋体" w:hAnsi="宋体" w:eastAsia="等线" w:cs="宋体"/>
                <w:b/>
                <w:sz w:val="24"/>
              </w:rPr>
            </w:pPr>
            <w:r>
              <w:rPr>
                <w:rFonts w:hint="eastAsia" w:ascii="宋体" w:hAnsi="宋体" w:eastAsia="等线" w:cs="宋体"/>
                <w:b/>
                <w:sz w:val="24"/>
              </w:rPr>
              <w:t>故障情况描述</w:t>
            </w:r>
          </w:p>
        </w:tc>
        <w:tc>
          <w:tcPr>
            <w:tcW w:w="4111" w:type="dxa"/>
            <w:vAlign w:val="center"/>
          </w:tcPr>
          <w:p w14:paraId="1BDDD254">
            <w:pPr>
              <w:spacing w:line="360" w:lineRule="auto"/>
              <w:jc w:val="center"/>
              <w:rPr>
                <w:rFonts w:ascii="宋体" w:hAnsi="宋体" w:eastAsia="等线" w:cs="宋体"/>
                <w:b/>
                <w:sz w:val="24"/>
              </w:rPr>
            </w:pPr>
            <w:r>
              <w:rPr>
                <w:rFonts w:hint="eastAsia" w:ascii="宋体" w:hAnsi="宋体" w:eastAsia="等线" w:cs="宋体"/>
                <w:b/>
                <w:sz w:val="24"/>
              </w:rPr>
              <w:t>响应时间要求</w:t>
            </w:r>
          </w:p>
        </w:tc>
      </w:tr>
      <w:tr w14:paraId="00F66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jc w:val="center"/>
        </w:trPr>
        <w:tc>
          <w:tcPr>
            <w:tcW w:w="710" w:type="dxa"/>
            <w:vAlign w:val="center"/>
          </w:tcPr>
          <w:p w14:paraId="0FA31249">
            <w:pPr>
              <w:spacing w:line="360" w:lineRule="auto"/>
              <w:jc w:val="center"/>
              <w:rPr>
                <w:rFonts w:ascii="宋体" w:hAnsi="宋体" w:eastAsia="等线" w:cs="宋体"/>
                <w:sz w:val="24"/>
              </w:rPr>
            </w:pPr>
            <w:r>
              <w:rPr>
                <w:rFonts w:hint="eastAsia" w:ascii="宋体" w:hAnsi="宋体" w:eastAsia="等线" w:cs="宋体"/>
                <w:sz w:val="24"/>
              </w:rPr>
              <w:t>1</w:t>
            </w:r>
          </w:p>
        </w:tc>
        <w:tc>
          <w:tcPr>
            <w:tcW w:w="1276" w:type="dxa"/>
            <w:vAlign w:val="center"/>
          </w:tcPr>
          <w:p w14:paraId="33C4C181">
            <w:pPr>
              <w:spacing w:line="360" w:lineRule="auto"/>
              <w:jc w:val="center"/>
              <w:rPr>
                <w:rFonts w:ascii="宋体" w:hAnsi="宋体" w:eastAsia="等线" w:cs="宋体"/>
                <w:sz w:val="24"/>
              </w:rPr>
            </w:pPr>
            <w:r>
              <w:rPr>
                <w:rFonts w:hint="eastAsia" w:ascii="宋体" w:hAnsi="宋体" w:eastAsia="等线" w:cs="宋体"/>
                <w:sz w:val="24"/>
              </w:rPr>
              <w:t>一级故障</w:t>
            </w:r>
          </w:p>
        </w:tc>
        <w:tc>
          <w:tcPr>
            <w:tcW w:w="3543" w:type="dxa"/>
            <w:vAlign w:val="center"/>
          </w:tcPr>
          <w:p w14:paraId="116BCD22">
            <w:pPr>
              <w:spacing w:line="360" w:lineRule="auto"/>
              <w:rPr>
                <w:rFonts w:ascii="宋体" w:hAnsi="宋体" w:eastAsia="等线" w:cs="宋体"/>
                <w:sz w:val="24"/>
              </w:rPr>
            </w:pPr>
            <w:r>
              <w:rPr>
                <w:rFonts w:hint="eastAsia" w:ascii="宋体" w:hAnsi="宋体" w:eastAsia="等线" w:cs="宋体"/>
                <w:sz w:val="24"/>
              </w:rPr>
              <w:t>系统瘫痪，或出现多部门终端用户的业务无法办理，严重影响医院业务正常运作。</w:t>
            </w:r>
          </w:p>
        </w:tc>
        <w:tc>
          <w:tcPr>
            <w:tcW w:w="4111" w:type="dxa"/>
            <w:vAlign w:val="center"/>
          </w:tcPr>
          <w:p w14:paraId="26D7E70E">
            <w:pPr>
              <w:spacing w:line="360" w:lineRule="auto"/>
              <w:rPr>
                <w:rFonts w:ascii="宋体" w:hAnsi="宋体" w:eastAsia="等线" w:cs="宋体"/>
                <w:sz w:val="24"/>
              </w:rPr>
            </w:pPr>
            <w:r>
              <w:rPr>
                <w:rFonts w:hint="eastAsia" w:ascii="宋体" w:hAnsi="宋体" w:eastAsia="等线" w:cs="宋体"/>
                <w:sz w:val="24"/>
              </w:rPr>
              <w:t>服务商应在10分钟内响应，4小时内到达现场，6小时内解决问题，或提供相应解决方案直至系统恢复正常。</w:t>
            </w:r>
          </w:p>
        </w:tc>
      </w:tr>
      <w:tr w14:paraId="2B0B4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3" w:hRule="atLeast"/>
          <w:jc w:val="center"/>
        </w:trPr>
        <w:tc>
          <w:tcPr>
            <w:tcW w:w="710" w:type="dxa"/>
            <w:vAlign w:val="center"/>
          </w:tcPr>
          <w:p w14:paraId="7314B6BD">
            <w:pPr>
              <w:spacing w:line="360" w:lineRule="auto"/>
              <w:jc w:val="center"/>
              <w:rPr>
                <w:rFonts w:ascii="宋体" w:hAnsi="宋体" w:eastAsia="等线" w:cs="宋体"/>
                <w:sz w:val="24"/>
              </w:rPr>
            </w:pPr>
            <w:r>
              <w:rPr>
                <w:rFonts w:hint="eastAsia" w:ascii="宋体" w:hAnsi="宋体" w:eastAsia="等线" w:cs="宋体"/>
                <w:sz w:val="24"/>
              </w:rPr>
              <w:t>2</w:t>
            </w:r>
          </w:p>
        </w:tc>
        <w:tc>
          <w:tcPr>
            <w:tcW w:w="1276" w:type="dxa"/>
            <w:vAlign w:val="center"/>
          </w:tcPr>
          <w:p w14:paraId="49B4FDAB">
            <w:pPr>
              <w:spacing w:line="360" w:lineRule="auto"/>
              <w:jc w:val="center"/>
              <w:rPr>
                <w:rFonts w:ascii="宋体" w:hAnsi="宋体" w:eastAsia="等线" w:cs="宋体"/>
                <w:sz w:val="24"/>
              </w:rPr>
            </w:pPr>
            <w:r>
              <w:rPr>
                <w:rFonts w:hint="eastAsia" w:ascii="宋体" w:hAnsi="宋体" w:eastAsia="等线" w:cs="宋体"/>
                <w:sz w:val="24"/>
              </w:rPr>
              <w:t>二级故障</w:t>
            </w:r>
          </w:p>
        </w:tc>
        <w:tc>
          <w:tcPr>
            <w:tcW w:w="3543" w:type="dxa"/>
            <w:vAlign w:val="center"/>
          </w:tcPr>
          <w:p w14:paraId="6B40F9FC">
            <w:pPr>
              <w:spacing w:line="360" w:lineRule="auto"/>
              <w:rPr>
                <w:rFonts w:ascii="宋体" w:hAnsi="宋体" w:eastAsia="等线" w:cs="宋体"/>
                <w:sz w:val="24"/>
              </w:rPr>
            </w:pPr>
            <w:r>
              <w:rPr>
                <w:rFonts w:hint="eastAsia" w:ascii="宋体" w:hAnsi="宋体" w:eastAsia="等线" w:cs="宋体"/>
                <w:sz w:val="24"/>
              </w:rPr>
              <w:t>系统的操作性能严重降级，或由于系统性能失常严重影响用户的业务动作。</w:t>
            </w:r>
          </w:p>
        </w:tc>
        <w:tc>
          <w:tcPr>
            <w:tcW w:w="4111" w:type="dxa"/>
            <w:vAlign w:val="center"/>
          </w:tcPr>
          <w:p w14:paraId="6CA14C10">
            <w:pPr>
              <w:spacing w:line="360" w:lineRule="auto"/>
              <w:rPr>
                <w:rFonts w:ascii="宋体" w:hAnsi="宋体" w:eastAsia="等线" w:cs="宋体"/>
                <w:sz w:val="24"/>
              </w:rPr>
            </w:pPr>
            <w:r>
              <w:rPr>
                <w:rFonts w:hint="eastAsia" w:ascii="宋体" w:hAnsi="宋体" w:eastAsia="等线" w:cs="宋体"/>
                <w:sz w:val="24"/>
              </w:rPr>
              <w:t>服务商应在30分钟内响应，6小时内到达现场或远程维护，12小时内解决问题，或提供相应解决方案直至系统恢复正常。</w:t>
            </w:r>
          </w:p>
        </w:tc>
      </w:tr>
      <w:tr w14:paraId="4810E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2" w:hRule="atLeast"/>
          <w:jc w:val="center"/>
        </w:trPr>
        <w:tc>
          <w:tcPr>
            <w:tcW w:w="710" w:type="dxa"/>
            <w:vAlign w:val="center"/>
          </w:tcPr>
          <w:p w14:paraId="4021F462">
            <w:pPr>
              <w:spacing w:line="360" w:lineRule="auto"/>
              <w:jc w:val="center"/>
              <w:rPr>
                <w:rFonts w:ascii="宋体" w:hAnsi="宋体" w:eastAsia="等线" w:cs="宋体"/>
                <w:sz w:val="24"/>
              </w:rPr>
            </w:pPr>
            <w:r>
              <w:rPr>
                <w:rFonts w:hint="eastAsia" w:ascii="宋体" w:hAnsi="宋体" w:eastAsia="等线" w:cs="宋体"/>
                <w:sz w:val="24"/>
              </w:rPr>
              <w:t>3</w:t>
            </w:r>
          </w:p>
        </w:tc>
        <w:tc>
          <w:tcPr>
            <w:tcW w:w="1276" w:type="dxa"/>
            <w:vAlign w:val="center"/>
          </w:tcPr>
          <w:p w14:paraId="1516BC41">
            <w:pPr>
              <w:spacing w:line="360" w:lineRule="auto"/>
              <w:jc w:val="center"/>
              <w:rPr>
                <w:rFonts w:ascii="宋体" w:hAnsi="宋体" w:eastAsia="等线" w:cs="宋体"/>
                <w:sz w:val="24"/>
              </w:rPr>
            </w:pPr>
            <w:r>
              <w:rPr>
                <w:rFonts w:hint="eastAsia" w:ascii="宋体" w:hAnsi="宋体" w:eastAsia="等线" w:cs="宋体"/>
                <w:sz w:val="24"/>
              </w:rPr>
              <w:t>三级故障</w:t>
            </w:r>
          </w:p>
        </w:tc>
        <w:tc>
          <w:tcPr>
            <w:tcW w:w="3543" w:type="dxa"/>
            <w:vAlign w:val="center"/>
          </w:tcPr>
          <w:p w14:paraId="58FA208B">
            <w:pPr>
              <w:spacing w:line="360" w:lineRule="auto"/>
              <w:rPr>
                <w:rFonts w:ascii="宋体" w:hAnsi="宋体" w:eastAsia="等线" w:cs="宋体"/>
                <w:sz w:val="24"/>
              </w:rPr>
            </w:pPr>
            <w:r>
              <w:rPr>
                <w:rFonts w:hint="eastAsia" w:ascii="宋体" w:hAnsi="宋体" w:eastAsia="等线" w:cs="宋体"/>
                <w:sz w:val="24"/>
              </w:rPr>
              <w:t>系统部分功能受损，影响较少患者正常就诊，医院主要业务正常工作。</w:t>
            </w:r>
          </w:p>
        </w:tc>
        <w:tc>
          <w:tcPr>
            <w:tcW w:w="4111" w:type="dxa"/>
            <w:vAlign w:val="center"/>
          </w:tcPr>
          <w:p w14:paraId="354F656C">
            <w:pPr>
              <w:spacing w:line="360" w:lineRule="auto"/>
              <w:rPr>
                <w:rFonts w:ascii="宋体" w:hAnsi="宋体" w:eastAsia="等线" w:cs="宋体"/>
                <w:sz w:val="24"/>
              </w:rPr>
            </w:pPr>
            <w:r>
              <w:rPr>
                <w:rFonts w:hint="eastAsia" w:ascii="宋体" w:hAnsi="宋体" w:eastAsia="等线" w:cs="宋体"/>
                <w:sz w:val="24"/>
              </w:rPr>
              <w:t>服务商应在30分钟内响应，12小时内到达现场或远程维护，24小时内解决问题。</w:t>
            </w:r>
          </w:p>
        </w:tc>
      </w:tr>
      <w:tr w14:paraId="358D8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2" w:hRule="atLeast"/>
          <w:jc w:val="center"/>
        </w:trPr>
        <w:tc>
          <w:tcPr>
            <w:tcW w:w="710" w:type="dxa"/>
            <w:vAlign w:val="center"/>
          </w:tcPr>
          <w:p w14:paraId="43CD5F6A">
            <w:pPr>
              <w:spacing w:line="360" w:lineRule="auto"/>
              <w:jc w:val="center"/>
              <w:rPr>
                <w:rFonts w:ascii="宋体" w:hAnsi="宋体" w:eastAsia="等线" w:cs="宋体"/>
                <w:sz w:val="24"/>
              </w:rPr>
            </w:pPr>
            <w:r>
              <w:rPr>
                <w:rFonts w:hint="eastAsia" w:ascii="宋体" w:hAnsi="宋体" w:eastAsia="等线" w:cs="宋体"/>
                <w:sz w:val="24"/>
              </w:rPr>
              <w:t>4</w:t>
            </w:r>
          </w:p>
        </w:tc>
        <w:tc>
          <w:tcPr>
            <w:tcW w:w="1276" w:type="dxa"/>
            <w:vAlign w:val="center"/>
          </w:tcPr>
          <w:p w14:paraId="0DA3A599">
            <w:pPr>
              <w:spacing w:line="360" w:lineRule="auto"/>
              <w:jc w:val="center"/>
              <w:rPr>
                <w:rFonts w:ascii="宋体" w:hAnsi="宋体" w:eastAsia="等线" w:cs="宋体"/>
                <w:sz w:val="24"/>
              </w:rPr>
            </w:pPr>
            <w:r>
              <w:rPr>
                <w:rFonts w:hint="eastAsia" w:ascii="宋体" w:hAnsi="宋体" w:eastAsia="等线" w:cs="宋体"/>
                <w:sz w:val="24"/>
              </w:rPr>
              <w:t>四级故障</w:t>
            </w:r>
          </w:p>
        </w:tc>
        <w:tc>
          <w:tcPr>
            <w:tcW w:w="3543" w:type="dxa"/>
            <w:vAlign w:val="center"/>
          </w:tcPr>
          <w:p w14:paraId="68979621">
            <w:pPr>
              <w:spacing w:line="360" w:lineRule="auto"/>
              <w:rPr>
                <w:rFonts w:ascii="宋体" w:hAnsi="宋体" w:eastAsia="等线" w:cs="宋体"/>
                <w:sz w:val="24"/>
              </w:rPr>
            </w:pPr>
            <w:r>
              <w:rPr>
                <w:rFonts w:hint="eastAsia" w:ascii="宋体" w:hAnsi="宋体" w:eastAsia="等线" w:cs="宋体"/>
                <w:sz w:val="24"/>
              </w:rPr>
              <w:t>系统出现一般性问题，对患者与系统运行几乎或无影响。</w:t>
            </w:r>
          </w:p>
        </w:tc>
        <w:tc>
          <w:tcPr>
            <w:tcW w:w="4111" w:type="dxa"/>
            <w:vAlign w:val="center"/>
          </w:tcPr>
          <w:p w14:paraId="50AB11BF">
            <w:pPr>
              <w:spacing w:line="360" w:lineRule="auto"/>
              <w:rPr>
                <w:rFonts w:ascii="宋体" w:hAnsi="宋体" w:eastAsia="等线" w:cs="宋体"/>
                <w:sz w:val="24"/>
              </w:rPr>
            </w:pPr>
            <w:r>
              <w:rPr>
                <w:rFonts w:hint="eastAsia" w:ascii="宋体" w:hAnsi="宋体" w:eastAsia="等线" w:cs="宋体"/>
                <w:sz w:val="24"/>
              </w:rPr>
              <w:t>服务商应在30分钟内响应，24小时内到达现场或远程维护，48小时内解决问题。</w:t>
            </w:r>
          </w:p>
        </w:tc>
      </w:tr>
    </w:tbl>
    <w:p w14:paraId="3FE4FB44">
      <w:pPr>
        <w:widowControl w:val="0"/>
        <w:spacing w:line="360" w:lineRule="auto"/>
        <w:ind w:firstLine="482" w:firstLineChars="200"/>
        <w:jc w:val="both"/>
        <w:rPr>
          <w:rFonts w:ascii="宋体" w:hAnsi="宋体" w:eastAsia="宋体" w:cs="宋体"/>
          <w:b/>
          <w:color w:val="auto"/>
          <w:kern w:val="2"/>
          <w:sz w:val="24"/>
          <w:szCs w:val="24"/>
          <w:lang w:val="en-US" w:eastAsia="zh-CN" w:bidi="ar-SA"/>
        </w:rPr>
      </w:pPr>
      <w:r>
        <w:rPr>
          <w:rFonts w:hint="eastAsia" w:ascii="宋体" w:hAnsi="宋体" w:eastAsia="宋体" w:cs="宋体"/>
          <w:b/>
          <w:color w:val="auto"/>
          <w:kern w:val="2"/>
          <w:sz w:val="24"/>
          <w:szCs w:val="24"/>
          <w:lang w:val="en-US" w:eastAsia="zh-CN" w:bidi="ar-SA"/>
        </w:rPr>
        <w:t>4.售后运维服务技术要求：</w:t>
      </w:r>
    </w:p>
    <w:p w14:paraId="2BC14774">
      <w:pPr>
        <w:widowControl w:val="0"/>
        <w:autoSpaceDE w:val="0"/>
        <w:autoSpaceDN w:val="0"/>
        <w:adjustRightInd w:val="0"/>
        <w:spacing w:line="360" w:lineRule="auto"/>
        <w:ind w:firstLine="480"/>
        <w:jc w:val="both"/>
        <w:rPr>
          <w:rFonts w:ascii="宋体" w:hAnsi="宋体" w:eastAsia="宋体" w:cs="宋体"/>
          <w:bCs/>
          <w:kern w:val="0"/>
          <w:sz w:val="24"/>
          <w:szCs w:val="24"/>
          <w:lang w:val="en-US" w:eastAsia="zh-CN" w:bidi="ar-SA"/>
        </w:rPr>
      </w:pPr>
      <w:r>
        <w:rPr>
          <w:rFonts w:hint="eastAsia" w:ascii="宋体" w:hAnsi="宋体" w:eastAsia="宋体" w:cs="宋体"/>
          <w:bCs/>
          <w:kern w:val="0"/>
          <w:sz w:val="24"/>
          <w:szCs w:val="24"/>
          <w:lang w:val="en-US" w:eastAsia="zh-CN" w:bidi="ar-SA"/>
        </w:rPr>
        <w:t>服务商根据以下技术要求内容提供售后运维服务，但不仅限于以下服务，可依据自身技术能力提供增项服务。</w:t>
      </w:r>
    </w:p>
    <w:tbl>
      <w:tblPr>
        <w:tblStyle w:val="9"/>
        <w:tblW w:w="9633" w:type="dxa"/>
        <w:jc w:val="center"/>
        <w:tblLayout w:type="fixed"/>
        <w:tblCellMar>
          <w:top w:w="0" w:type="dxa"/>
          <w:left w:w="108" w:type="dxa"/>
          <w:bottom w:w="0" w:type="dxa"/>
          <w:right w:w="108" w:type="dxa"/>
        </w:tblCellMar>
      </w:tblPr>
      <w:tblGrid>
        <w:gridCol w:w="739"/>
        <w:gridCol w:w="1247"/>
        <w:gridCol w:w="5103"/>
        <w:gridCol w:w="1275"/>
        <w:gridCol w:w="1269"/>
      </w:tblGrid>
      <w:tr w14:paraId="47549898">
        <w:tblPrEx>
          <w:tblCellMar>
            <w:top w:w="0" w:type="dxa"/>
            <w:left w:w="108" w:type="dxa"/>
            <w:bottom w:w="0" w:type="dxa"/>
            <w:right w:w="108" w:type="dxa"/>
          </w:tblCellMar>
        </w:tblPrEx>
        <w:trPr>
          <w:trHeight w:val="273" w:hRule="atLeast"/>
          <w:jc w:val="center"/>
        </w:trPr>
        <w:tc>
          <w:tcPr>
            <w:tcW w:w="739" w:type="dxa"/>
            <w:tcBorders>
              <w:top w:val="single" w:color="auto" w:sz="4" w:space="0"/>
              <w:left w:val="single" w:color="auto" w:sz="4" w:space="0"/>
              <w:bottom w:val="single" w:color="auto" w:sz="4" w:space="0"/>
              <w:right w:val="single" w:color="auto" w:sz="4" w:space="0"/>
            </w:tcBorders>
            <w:noWrap/>
            <w:vAlign w:val="center"/>
          </w:tcPr>
          <w:p w14:paraId="4A515A6A">
            <w:pPr>
              <w:spacing w:line="360" w:lineRule="auto"/>
              <w:jc w:val="center"/>
              <w:rPr>
                <w:rFonts w:ascii="宋体" w:hAnsi="宋体" w:cs="宋体"/>
                <w:b/>
                <w:kern w:val="0"/>
                <w:sz w:val="24"/>
              </w:rPr>
            </w:pPr>
            <w:r>
              <w:rPr>
                <w:rFonts w:hint="eastAsia" w:ascii="宋体" w:hAnsi="宋体" w:cs="宋体"/>
                <w:b/>
                <w:kern w:val="0"/>
                <w:sz w:val="24"/>
              </w:rPr>
              <w:t>序号</w:t>
            </w:r>
          </w:p>
        </w:tc>
        <w:tc>
          <w:tcPr>
            <w:tcW w:w="1247" w:type="dxa"/>
            <w:tcBorders>
              <w:top w:val="single" w:color="auto" w:sz="4" w:space="0"/>
              <w:left w:val="nil"/>
              <w:bottom w:val="single" w:color="auto" w:sz="4" w:space="0"/>
              <w:right w:val="single" w:color="auto" w:sz="4" w:space="0"/>
            </w:tcBorders>
            <w:noWrap/>
            <w:vAlign w:val="center"/>
          </w:tcPr>
          <w:p w14:paraId="70F116B7">
            <w:pPr>
              <w:spacing w:line="360" w:lineRule="auto"/>
              <w:jc w:val="center"/>
              <w:rPr>
                <w:rFonts w:ascii="宋体" w:hAnsi="宋体" w:cs="宋体"/>
                <w:b/>
                <w:kern w:val="0"/>
                <w:sz w:val="24"/>
              </w:rPr>
            </w:pPr>
            <w:r>
              <w:rPr>
                <w:rFonts w:hint="eastAsia" w:ascii="宋体" w:hAnsi="宋体" w:cs="宋体"/>
                <w:b/>
                <w:kern w:val="0"/>
                <w:sz w:val="24"/>
              </w:rPr>
              <w:t>服务项目</w:t>
            </w:r>
          </w:p>
        </w:tc>
        <w:tc>
          <w:tcPr>
            <w:tcW w:w="5103" w:type="dxa"/>
            <w:tcBorders>
              <w:top w:val="single" w:color="auto" w:sz="4" w:space="0"/>
              <w:left w:val="nil"/>
              <w:bottom w:val="single" w:color="auto" w:sz="4" w:space="0"/>
              <w:right w:val="single" w:color="auto" w:sz="4" w:space="0"/>
            </w:tcBorders>
            <w:noWrap/>
            <w:vAlign w:val="center"/>
          </w:tcPr>
          <w:p w14:paraId="3CDE2451">
            <w:pPr>
              <w:spacing w:line="360" w:lineRule="auto"/>
              <w:jc w:val="center"/>
              <w:rPr>
                <w:rFonts w:ascii="宋体" w:hAnsi="宋体" w:cs="宋体"/>
                <w:b/>
                <w:kern w:val="0"/>
                <w:sz w:val="24"/>
              </w:rPr>
            </w:pPr>
            <w:r>
              <w:rPr>
                <w:rFonts w:hint="eastAsia" w:ascii="宋体" w:hAnsi="宋体" w:cs="宋体"/>
                <w:b/>
                <w:kern w:val="0"/>
                <w:sz w:val="24"/>
              </w:rPr>
              <w:t>服务内涵</w:t>
            </w:r>
          </w:p>
        </w:tc>
        <w:tc>
          <w:tcPr>
            <w:tcW w:w="1275" w:type="dxa"/>
            <w:tcBorders>
              <w:top w:val="single" w:color="auto" w:sz="4" w:space="0"/>
              <w:left w:val="nil"/>
              <w:bottom w:val="single" w:color="auto" w:sz="4" w:space="0"/>
              <w:right w:val="single" w:color="auto" w:sz="4" w:space="0"/>
            </w:tcBorders>
            <w:noWrap/>
            <w:vAlign w:val="center"/>
          </w:tcPr>
          <w:p w14:paraId="01C2CDF2">
            <w:pPr>
              <w:spacing w:line="360" w:lineRule="auto"/>
              <w:jc w:val="center"/>
              <w:rPr>
                <w:rFonts w:ascii="宋体" w:hAnsi="宋体" w:cs="宋体"/>
                <w:b/>
                <w:kern w:val="0"/>
                <w:sz w:val="24"/>
              </w:rPr>
            </w:pPr>
            <w:r>
              <w:rPr>
                <w:rFonts w:hint="eastAsia" w:ascii="宋体" w:hAnsi="宋体" w:cs="宋体"/>
                <w:b/>
                <w:kern w:val="0"/>
                <w:sz w:val="24"/>
              </w:rPr>
              <w:t>服务方式</w:t>
            </w:r>
          </w:p>
        </w:tc>
        <w:tc>
          <w:tcPr>
            <w:tcW w:w="1269" w:type="dxa"/>
            <w:tcBorders>
              <w:top w:val="single" w:color="auto" w:sz="4" w:space="0"/>
              <w:left w:val="nil"/>
              <w:bottom w:val="single" w:color="auto" w:sz="4" w:space="0"/>
              <w:right w:val="single" w:color="auto" w:sz="4" w:space="0"/>
            </w:tcBorders>
            <w:vAlign w:val="center"/>
          </w:tcPr>
          <w:p w14:paraId="431A1268">
            <w:pPr>
              <w:spacing w:line="360" w:lineRule="auto"/>
              <w:jc w:val="center"/>
              <w:rPr>
                <w:rFonts w:ascii="宋体" w:hAnsi="宋体" w:cs="宋体"/>
                <w:b/>
                <w:kern w:val="0"/>
                <w:sz w:val="24"/>
              </w:rPr>
            </w:pPr>
            <w:r>
              <w:rPr>
                <w:rFonts w:hint="eastAsia" w:ascii="宋体" w:hAnsi="宋体" w:cs="宋体"/>
                <w:b/>
                <w:kern w:val="0"/>
                <w:sz w:val="24"/>
              </w:rPr>
              <w:t>服务次数</w:t>
            </w:r>
          </w:p>
        </w:tc>
      </w:tr>
      <w:tr w14:paraId="3C65DF16">
        <w:tblPrEx>
          <w:tblCellMar>
            <w:top w:w="0" w:type="dxa"/>
            <w:left w:w="108" w:type="dxa"/>
            <w:bottom w:w="0" w:type="dxa"/>
            <w:right w:w="108" w:type="dxa"/>
          </w:tblCellMar>
        </w:tblPrEx>
        <w:trPr>
          <w:trHeight w:val="273" w:hRule="atLeast"/>
          <w:jc w:val="center"/>
        </w:trPr>
        <w:tc>
          <w:tcPr>
            <w:tcW w:w="739" w:type="dxa"/>
            <w:tcBorders>
              <w:top w:val="single" w:color="auto" w:sz="4" w:space="0"/>
              <w:left w:val="single" w:color="auto" w:sz="4" w:space="0"/>
              <w:bottom w:val="single" w:color="auto" w:sz="4" w:space="0"/>
              <w:right w:val="single" w:color="auto" w:sz="4" w:space="0"/>
            </w:tcBorders>
            <w:noWrap/>
            <w:vAlign w:val="center"/>
          </w:tcPr>
          <w:p w14:paraId="7921E92D">
            <w:pPr>
              <w:spacing w:line="360" w:lineRule="auto"/>
              <w:jc w:val="center"/>
              <w:rPr>
                <w:rFonts w:ascii="宋体" w:hAnsi="宋体" w:cs="宋体"/>
                <w:kern w:val="0"/>
                <w:sz w:val="24"/>
              </w:rPr>
            </w:pPr>
            <w:r>
              <w:rPr>
                <w:rFonts w:hint="eastAsia" w:ascii="宋体" w:hAnsi="宋体" w:cs="宋体"/>
                <w:kern w:val="0"/>
                <w:sz w:val="24"/>
              </w:rPr>
              <w:t>1</w:t>
            </w:r>
          </w:p>
        </w:tc>
        <w:tc>
          <w:tcPr>
            <w:tcW w:w="1247" w:type="dxa"/>
            <w:tcBorders>
              <w:top w:val="single" w:color="auto" w:sz="4" w:space="0"/>
              <w:left w:val="nil"/>
              <w:bottom w:val="single" w:color="auto" w:sz="4" w:space="0"/>
              <w:right w:val="single" w:color="auto" w:sz="4" w:space="0"/>
            </w:tcBorders>
            <w:noWrap/>
            <w:vAlign w:val="center"/>
          </w:tcPr>
          <w:p w14:paraId="0E5E5738">
            <w:pPr>
              <w:spacing w:line="360" w:lineRule="auto"/>
              <w:jc w:val="center"/>
              <w:rPr>
                <w:rFonts w:ascii="宋体" w:hAnsi="宋体" w:cs="宋体"/>
                <w:kern w:val="0"/>
                <w:sz w:val="24"/>
              </w:rPr>
            </w:pPr>
            <w:r>
              <w:rPr>
                <w:rFonts w:hint="eastAsia" w:ascii="宋体" w:hAnsi="宋体" w:cs="宋体"/>
                <w:kern w:val="0"/>
                <w:sz w:val="24"/>
              </w:rPr>
              <w:t>信息系统</w:t>
            </w:r>
          </w:p>
          <w:p w14:paraId="54D26F34">
            <w:pPr>
              <w:spacing w:line="360" w:lineRule="auto"/>
              <w:jc w:val="center"/>
              <w:rPr>
                <w:rFonts w:ascii="宋体" w:hAnsi="宋体" w:cs="宋体"/>
                <w:kern w:val="0"/>
                <w:sz w:val="24"/>
              </w:rPr>
            </w:pPr>
            <w:r>
              <w:rPr>
                <w:rFonts w:hint="eastAsia" w:ascii="宋体" w:hAnsi="宋体" w:cs="宋体"/>
                <w:kern w:val="0"/>
                <w:sz w:val="24"/>
              </w:rPr>
              <w:t>运维服务</w:t>
            </w:r>
          </w:p>
        </w:tc>
        <w:tc>
          <w:tcPr>
            <w:tcW w:w="5103" w:type="dxa"/>
            <w:tcBorders>
              <w:top w:val="single" w:color="auto" w:sz="4" w:space="0"/>
              <w:left w:val="nil"/>
              <w:bottom w:val="single" w:color="auto" w:sz="4" w:space="0"/>
              <w:right w:val="single" w:color="auto" w:sz="4" w:space="0"/>
            </w:tcBorders>
            <w:noWrap/>
            <w:vAlign w:val="center"/>
          </w:tcPr>
          <w:p w14:paraId="640D2C35">
            <w:pPr>
              <w:spacing w:line="360" w:lineRule="auto"/>
              <w:rPr>
                <w:rFonts w:ascii="宋体" w:hAnsi="宋体" w:cs="宋体"/>
                <w:kern w:val="0"/>
                <w:sz w:val="24"/>
              </w:rPr>
            </w:pPr>
            <w:r>
              <w:rPr>
                <w:rFonts w:hint="eastAsia" w:ascii="宋体" w:hAnsi="宋体" w:cs="宋体"/>
                <w:kern w:val="0"/>
                <w:sz w:val="24"/>
              </w:rPr>
              <w:t>1、《陕西省交通医院安全管理系统汇总表》中安全管理系统软件操作、排错技术操作指导管理；</w:t>
            </w:r>
          </w:p>
          <w:p w14:paraId="4EC16FEA">
            <w:pPr>
              <w:spacing w:line="360" w:lineRule="auto"/>
              <w:rPr>
                <w:rFonts w:ascii="宋体" w:hAnsi="宋体" w:cs="宋体"/>
                <w:kern w:val="0"/>
                <w:sz w:val="24"/>
              </w:rPr>
            </w:pPr>
            <w:r>
              <w:rPr>
                <w:rFonts w:hint="eastAsia" w:ascii="宋体" w:hAnsi="宋体" w:cs="宋体"/>
                <w:kern w:val="0"/>
                <w:sz w:val="24"/>
              </w:rPr>
              <w:t>2、管理中心、安全终端等出现异常、错误或失败等故障进行排查与解决；</w:t>
            </w:r>
          </w:p>
          <w:p w14:paraId="1793FB69">
            <w:pPr>
              <w:spacing w:line="360" w:lineRule="auto"/>
              <w:rPr>
                <w:rFonts w:ascii="宋体" w:hAnsi="宋体" w:cs="宋体"/>
                <w:kern w:val="0"/>
                <w:sz w:val="24"/>
              </w:rPr>
            </w:pPr>
            <w:r>
              <w:rPr>
                <w:rFonts w:hint="eastAsia" w:ascii="宋体" w:hAnsi="宋体" w:cs="宋体"/>
                <w:kern w:val="0"/>
                <w:sz w:val="24"/>
              </w:rPr>
              <w:t>3、由于软件产品故障导致的病毒库错误；</w:t>
            </w:r>
          </w:p>
          <w:p w14:paraId="3BB07E6C">
            <w:pPr>
              <w:spacing w:line="360" w:lineRule="auto"/>
              <w:rPr>
                <w:rFonts w:ascii="宋体" w:hAnsi="宋体" w:cs="宋体"/>
                <w:kern w:val="0"/>
                <w:sz w:val="24"/>
              </w:rPr>
            </w:pPr>
            <w:r>
              <w:rPr>
                <w:rFonts w:hint="eastAsia" w:ascii="宋体" w:hAnsi="宋体" w:cs="宋体"/>
                <w:kern w:val="0"/>
                <w:sz w:val="24"/>
              </w:rPr>
              <w:t>4、针对具体业务应用进行软件的配置管理；</w:t>
            </w:r>
          </w:p>
          <w:p w14:paraId="6D6CAC5D">
            <w:pPr>
              <w:spacing w:line="360" w:lineRule="auto"/>
              <w:rPr>
                <w:rFonts w:ascii="宋体" w:hAnsi="宋体" w:cs="宋体"/>
                <w:kern w:val="0"/>
                <w:sz w:val="24"/>
              </w:rPr>
            </w:pPr>
            <w:r>
              <w:rPr>
                <w:rFonts w:hint="eastAsia" w:ascii="宋体" w:hAnsi="宋体" w:cs="宋体"/>
                <w:kern w:val="0"/>
                <w:sz w:val="24"/>
              </w:rPr>
              <w:t>5、由于环境原因导致的系统显示错误、不能正常使用、运行效率降低等问题；</w:t>
            </w:r>
          </w:p>
          <w:p w14:paraId="588B6D02">
            <w:pPr>
              <w:spacing w:line="360" w:lineRule="auto"/>
              <w:rPr>
                <w:rFonts w:ascii="宋体" w:hAnsi="宋体" w:cs="宋体"/>
                <w:kern w:val="0"/>
                <w:sz w:val="24"/>
              </w:rPr>
            </w:pPr>
            <w:r>
              <w:rPr>
                <w:rFonts w:hint="eastAsia" w:ascii="宋体" w:hAnsi="宋体" w:cs="宋体"/>
                <w:kern w:val="0"/>
                <w:sz w:val="24"/>
              </w:rPr>
              <w:t>6、定期提供系统的运行巡检；</w:t>
            </w:r>
          </w:p>
          <w:p w14:paraId="28B84BA9">
            <w:pPr>
              <w:spacing w:line="360" w:lineRule="auto"/>
              <w:rPr>
                <w:rFonts w:ascii="宋体" w:hAnsi="宋体" w:cs="宋体"/>
                <w:kern w:val="0"/>
                <w:sz w:val="24"/>
              </w:rPr>
            </w:pPr>
            <w:r>
              <w:rPr>
                <w:rFonts w:hint="eastAsia" w:ascii="宋体" w:hAnsi="宋体" w:cs="宋体"/>
                <w:kern w:val="0"/>
                <w:sz w:val="24"/>
              </w:rPr>
              <w:t>7、提供系统配套设备的维修、维护服务支持。</w:t>
            </w:r>
          </w:p>
        </w:tc>
        <w:tc>
          <w:tcPr>
            <w:tcW w:w="1275" w:type="dxa"/>
            <w:tcBorders>
              <w:top w:val="single" w:color="auto" w:sz="4" w:space="0"/>
              <w:left w:val="nil"/>
              <w:bottom w:val="single" w:color="auto" w:sz="4" w:space="0"/>
              <w:right w:val="single" w:color="auto" w:sz="4" w:space="0"/>
            </w:tcBorders>
            <w:noWrap/>
            <w:vAlign w:val="center"/>
          </w:tcPr>
          <w:p w14:paraId="2DD042C3">
            <w:pPr>
              <w:spacing w:line="360" w:lineRule="auto"/>
              <w:jc w:val="center"/>
              <w:rPr>
                <w:rFonts w:ascii="宋体" w:hAnsi="宋体" w:cs="宋体"/>
                <w:kern w:val="0"/>
                <w:sz w:val="24"/>
              </w:rPr>
            </w:pPr>
            <w:r>
              <w:rPr>
                <w:rFonts w:hint="eastAsia" w:ascii="宋体" w:hAnsi="宋体" w:cs="宋体"/>
                <w:kern w:val="0"/>
                <w:sz w:val="24"/>
              </w:rPr>
              <w:t>电话服务</w:t>
            </w:r>
          </w:p>
          <w:p w14:paraId="5A93DED4">
            <w:pPr>
              <w:widowControl w:val="0"/>
              <w:spacing w:line="360" w:lineRule="auto"/>
              <w:jc w:val="center"/>
              <w:rPr>
                <w:rFonts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远程服务</w:t>
            </w:r>
          </w:p>
          <w:p w14:paraId="528A04FF">
            <w:pPr>
              <w:spacing w:line="360" w:lineRule="auto"/>
              <w:jc w:val="center"/>
              <w:rPr>
                <w:rFonts w:ascii="宋体" w:hAnsi="宋体" w:cs="宋体"/>
                <w:kern w:val="0"/>
                <w:sz w:val="24"/>
              </w:rPr>
            </w:pPr>
            <w:r>
              <w:rPr>
                <w:rFonts w:hint="eastAsia" w:ascii="宋体" w:hAnsi="宋体" w:cs="宋体"/>
                <w:kern w:val="0"/>
                <w:sz w:val="24"/>
              </w:rPr>
              <w:t>现场服务</w:t>
            </w:r>
          </w:p>
        </w:tc>
        <w:tc>
          <w:tcPr>
            <w:tcW w:w="1269" w:type="dxa"/>
            <w:tcBorders>
              <w:top w:val="single" w:color="auto" w:sz="4" w:space="0"/>
              <w:left w:val="nil"/>
              <w:bottom w:val="single" w:color="auto" w:sz="4" w:space="0"/>
              <w:right w:val="single" w:color="auto" w:sz="4" w:space="0"/>
            </w:tcBorders>
            <w:vAlign w:val="center"/>
          </w:tcPr>
          <w:p w14:paraId="00C7EEAF">
            <w:pPr>
              <w:spacing w:line="360" w:lineRule="auto"/>
              <w:jc w:val="center"/>
              <w:rPr>
                <w:rFonts w:ascii="宋体" w:hAnsi="宋体" w:cs="宋体"/>
                <w:kern w:val="0"/>
                <w:sz w:val="24"/>
              </w:rPr>
            </w:pPr>
            <w:r>
              <w:rPr>
                <w:rFonts w:hint="eastAsia" w:ascii="宋体" w:hAnsi="宋体" w:cs="宋体"/>
                <w:kern w:val="0"/>
                <w:sz w:val="24"/>
              </w:rPr>
              <w:t>不限</w:t>
            </w:r>
          </w:p>
        </w:tc>
      </w:tr>
      <w:tr w14:paraId="0DFCDC2E">
        <w:tblPrEx>
          <w:tblCellMar>
            <w:top w:w="0" w:type="dxa"/>
            <w:left w:w="108" w:type="dxa"/>
            <w:bottom w:w="0" w:type="dxa"/>
            <w:right w:w="108" w:type="dxa"/>
          </w:tblCellMar>
        </w:tblPrEx>
        <w:trPr>
          <w:trHeight w:val="2308" w:hRule="atLeast"/>
          <w:jc w:val="center"/>
        </w:trPr>
        <w:tc>
          <w:tcPr>
            <w:tcW w:w="739" w:type="dxa"/>
            <w:tcBorders>
              <w:top w:val="nil"/>
              <w:left w:val="single" w:color="auto" w:sz="4" w:space="0"/>
              <w:bottom w:val="single" w:color="auto" w:sz="4" w:space="0"/>
              <w:right w:val="single" w:color="auto" w:sz="4" w:space="0"/>
            </w:tcBorders>
            <w:noWrap/>
            <w:vAlign w:val="center"/>
          </w:tcPr>
          <w:p w14:paraId="6BCD8CDC">
            <w:pPr>
              <w:spacing w:line="360" w:lineRule="auto"/>
              <w:jc w:val="center"/>
              <w:rPr>
                <w:rFonts w:ascii="宋体" w:hAnsi="宋体" w:cs="宋体"/>
                <w:kern w:val="0"/>
                <w:sz w:val="24"/>
              </w:rPr>
            </w:pPr>
            <w:r>
              <w:rPr>
                <w:rFonts w:hint="eastAsia" w:ascii="宋体" w:hAnsi="宋体" w:cs="宋体"/>
                <w:kern w:val="0"/>
                <w:sz w:val="24"/>
              </w:rPr>
              <w:t>2</w:t>
            </w:r>
          </w:p>
        </w:tc>
        <w:tc>
          <w:tcPr>
            <w:tcW w:w="1247" w:type="dxa"/>
            <w:tcBorders>
              <w:top w:val="nil"/>
              <w:left w:val="single" w:color="auto" w:sz="4" w:space="0"/>
              <w:bottom w:val="single" w:color="auto" w:sz="4" w:space="0"/>
              <w:right w:val="single" w:color="auto" w:sz="4" w:space="0"/>
            </w:tcBorders>
            <w:vAlign w:val="center"/>
          </w:tcPr>
          <w:p w14:paraId="6A5646EF">
            <w:pPr>
              <w:spacing w:line="360" w:lineRule="auto"/>
              <w:jc w:val="center"/>
              <w:rPr>
                <w:rFonts w:ascii="宋体" w:hAnsi="宋体" w:cs="宋体"/>
                <w:kern w:val="0"/>
                <w:sz w:val="24"/>
              </w:rPr>
            </w:pPr>
            <w:r>
              <w:rPr>
                <w:rFonts w:hint="eastAsia" w:ascii="宋体" w:hAnsi="宋体" w:cs="宋体"/>
                <w:kern w:val="0"/>
                <w:sz w:val="24"/>
              </w:rPr>
              <w:t>信息系统升级更新服务</w:t>
            </w:r>
          </w:p>
        </w:tc>
        <w:tc>
          <w:tcPr>
            <w:tcW w:w="5103" w:type="dxa"/>
            <w:tcBorders>
              <w:top w:val="single" w:color="auto" w:sz="4" w:space="0"/>
              <w:left w:val="single" w:color="auto" w:sz="4" w:space="0"/>
              <w:bottom w:val="single" w:color="auto" w:sz="4" w:space="0"/>
              <w:right w:val="single" w:color="auto" w:sz="4" w:space="0"/>
            </w:tcBorders>
            <w:noWrap/>
            <w:vAlign w:val="center"/>
          </w:tcPr>
          <w:p w14:paraId="70198AFE">
            <w:pPr>
              <w:spacing w:line="360" w:lineRule="auto"/>
              <w:rPr>
                <w:rFonts w:ascii="宋体" w:hAnsi="宋体" w:cs="宋体"/>
                <w:kern w:val="0"/>
                <w:sz w:val="24"/>
              </w:rPr>
            </w:pPr>
            <w:r>
              <w:rPr>
                <w:rFonts w:hint="eastAsia" w:ascii="宋体" w:hAnsi="宋体" w:cs="宋体"/>
                <w:kern w:val="0"/>
                <w:sz w:val="24"/>
              </w:rPr>
              <w:t>1、服务商应根据国家、省和市政府部门新增或变更的相关政策，及时为医院提供同版本系统更新服务；</w:t>
            </w:r>
          </w:p>
          <w:p w14:paraId="3AD93F88">
            <w:pPr>
              <w:spacing w:line="360" w:lineRule="auto"/>
              <w:rPr>
                <w:rFonts w:ascii="宋体" w:hAnsi="宋体" w:cs="宋体"/>
                <w:kern w:val="0"/>
                <w:sz w:val="24"/>
              </w:rPr>
            </w:pPr>
            <w:r>
              <w:rPr>
                <w:rFonts w:hint="eastAsia" w:ascii="宋体" w:hAnsi="宋体" w:cs="宋体"/>
                <w:kern w:val="0"/>
                <w:sz w:val="24"/>
              </w:rPr>
              <w:t>2、服务商组织专业技术人员为院方提供同版本系统软件升级服务；</w:t>
            </w:r>
          </w:p>
          <w:p w14:paraId="7E7AF0CF">
            <w:pPr>
              <w:spacing w:line="360" w:lineRule="auto"/>
              <w:rPr>
                <w:rFonts w:ascii="宋体" w:hAnsi="宋体" w:cs="宋体"/>
                <w:kern w:val="0"/>
                <w:sz w:val="24"/>
              </w:rPr>
            </w:pPr>
            <w:r>
              <w:rPr>
                <w:rFonts w:hint="eastAsia" w:ascii="宋体" w:hAnsi="宋体" w:cs="宋体"/>
                <w:kern w:val="0"/>
                <w:sz w:val="24"/>
              </w:rPr>
              <w:t>3、服务商定期为院方提供同版本系统安全补丁安装、调试服务。</w:t>
            </w:r>
          </w:p>
        </w:tc>
        <w:tc>
          <w:tcPr>
            <w:tcW w:w="1275" w:type="dxa"/>
            <w:tcBorders>
              <w:top w:val="single" w:color="auto" w:sz="4" w:space="0"/>
              <w:left w:val="nil"/>
              <w:bottom w:val="single" w:color="auto" w:sz="4" w:space="0"/>
              <w:right w:val="single" w:color="auto" w:sz="4" w:space="0"/>
            </w:tcBorders>
            <w:noWrap/>
            <w:vAlign w:val="center"/>
          </w:tcPr>
          <w:p w14:paraId="2254DF2A">
            <w:pPr>
              <w:spacing w:line="360" w:lineRule="auto"/>
              <w:jc w:val="center"/>
              <w:rPr>
                <w:rFonts w:ascii="宋体" w:hAnsi="宋体" w:cs="宋体"/>
                <w:kern w:val="0"/>
                <w:sz w:val="24"/>
              </w:rPr>
            </w:pPr>
            <w:r>
              <w:rPr>
                <w:rFonts w:hint="eastAsia" w:ascii="宋体" w:hAnsi="宋体" w:cs="宋体"/>
                <w:kern w:val="0"/>
                <w:sz w:val="24"/>
              </w:rPr>
              <w:t>远程服务</w:t>
            </w:r>
          </w:p>
          <w:p w14:paraId="13BC07C0">
            <w:pPr>
              <w:spacing w:line="360" w:lineRule="auto"/>
              <w:jc w:val="center"/>
              <w:rPr>
                <w:rFonts w:ascii="宋体" w:hAnsi="宋体" w:cs="宋体"/>
                <w:kern w:val="0"/>
                <w:sz w:val="24"/>
              </w:rPr>
            </w:pPr>
            <w:r>
              <w:rPr>
                <w:rFonts w:hint="eastAsia" w:ascii="宋体" w:hAnsi="宋体" w:cs="宋体"/>
                <w:kern w:val="0"/>
                <w:sz w:val="24"/>
              </w:rPr>
              <w:t>现场服务</w:t>
            </w:r>
          </w:p>
        </w:tc>
        <w:tc>
          <w:tcPr>
            <w:tcW w:w="1269" w:type="dxa"/>
            <w:tcBorders>
              <w:top w:val="single" w:color="auto" w:sz="4" w:space="0"/>
              <w:left w:val="nil"/>
              <w:bottom w:val="single" w:color="auto" w:sz="4" w:space="0"/>
              <w:right w:val="single" w:color="auto" w:sz="4" w:space="0"/>
            </w:tcBorders>
            <w:vAlign w:val="center"/>
          </w:tcPr>
          <w:p w14:paraId="01797709">
            <w:pPr>
              <w:spacing w:line="360" w:lineRule="auto"/>
              <w:jc w:val="center"/>
              <w:rPr>
                <w:rFonts w:ascii="宋体" w:hAnsi="宋体" w:cs="宋体"/>
                <w:kern w:val="0"/>
                <w:sz w:val="24"/>
              </w:rPr>
            </w:pPr>
            <w:r>
              <w:rPr>
                <w:rFonts w:hint="eastAsia" w:ascii="宋体" w:hAnsi="宋体" w:cs="宋体"/>
                <w:kern w:val="0"/>
                <w:sz w:val="24"/>
              </w:rPr>
              <w:t>不限</w:t>
            </w:r>
          </w:p>
        </w:tc>
      </w:tr>
      <w:tr w14:paraId="0B4C0471">
        <w:tblPrEx>
          <w:tblCellMar>
            <w:top w:w="0" w:type="dxa"/>
            <w:left w:w="108" w:type="dxa"/>
            <w:bottom w:w="0" w:type="dxa"/>
            <w:right w:w="108" w:type="dxa"/>
          </w:tblCellMar>
        </w:tblPrEx>
        <w:trPr>
          <w:trHeight w:val="1573" w:hRule="atLeast"/>
          <w:jc w:val="center"/>
        </w:trPr>
        <w:tc>
          <w:tcPr>
            <w:tcW w:w="739" w:type="dxa"/>
            <w:tcBorders>
              <w:top w:val="nil"/>
              <w:left w:val="single" w:color="auto" w:sz="4" w:space="0"/>
              <w:bottom w:val="single" w:color="auto" w:sz="4" w:space="0"/>
              <w:right w:val="single" w:color="auto" w:sz="4" w:space="0"/>
            </w:tcBorders>
            <w:noWrap/>
            <w:vAlign w:val="center"/>
          </w:tcPr>
          <w:p w14:paraId="0BF093C4">
            <w:pPr>
              <w:spacing w:line="360" w:lineRule="auto"/>
              <w:jc w:val="center"/>
              <w:rPr>
                <w:rFonts w:ascii="宋体" w:hAnsi="宋体" w:cs="宋体"/>
                <w:kern w:val="0"/>
                <w:sz w:val="24"/>
              </w:rPr>
            </w:pPr>
            <w:r>
              <w:rPr>
                <w:rFonts w:hint="eastAsia" w:ascii="宋体" w:hAnsi="宋体" w:cs="宋体"/>
                <w:kern w:val="0"/>
                <w:sz w:val="24"/>
              </w:rPr>
              <w:t>3</w:t>
            </w:r>
          </w:p>
        </w:tc>
        <w:tc>
          <w:tcPr>
            <w:tcW w:w="1247" w:type="dxa"/>
            <w:tcBorders>
              <w:top w:val="nil"/>
              <w:left w:val="single" w:color="auto" w:sz="4" w:space="0"/>
              <w:bottom w:val="single" w:color="auto" w:sz="4" w:space="0"/>
              <w:right w:val="single" w:color="auto" w:sz="4" w:space="0"/>
            </w:tcBorders>
            <w:vAlign w:val="center"/>
          </w:tcPr>
          <w:p w14:paraId="14BEDD58">
            <w:pPr>
              <w:spacing w:line="360" w:lineRule="auto"/>
              <w:jc w:val="center"/>
              <w:rPr>
                <w:rFonts w:ascii="宋体" w:hAnsi="宋体" w:cs="宋体"/>
                <w:kern w:val="0"/>
                <w:sz w:val="24"/>
              </w:rPr>
            </w:pPr>
            <w:r>
              <w:rPr>
                <w:rFonts w:hint="eastAsia" w:ascii="宋体" w:hAnsi="宋体" w:cs="宋体"/>
                <w:kern w:val="0"/>
                <w:sz w:val="24"/>
              </w:rPr>
              <w:t>人员培训</w:t>
            </w:r>
          </w:p>
          <w:p w14:paraId="48D7B396">
            <w:pPr>
              <w:spacing w:line="360" w:lineRule="auto"/>
              <w:jc w:val="center"/>
              <w:rPr>
                <w:rFonts w:ascii="宋体" w:hAnsi="宋体" w:cs="宋体"/>
                <w:kern w:val="0"/>
                <w:sz w:val="24"/>
              </w:rPr>
            </w:pPr>
            <w:r>
              <w:rPr>
                <w:rFonts w:hint="eastAsia" w:ascii="宋体" w:hAnsi="宋体" w:cs="宋体"/>
                <w:kern w:val="0"/>
                <w:sz w:val="24"/>
              </w:rPr>
              <w:t>服务</w:t>
            </w:r>
          </w:p>
        </w:tc>
        <w:tc>
          <w:tcPr>
            <w:tcW w:w="5103" w:type="dxa"/>
            <w:tcBorders>
              <w:top w:val="single" w:color="auto" w:sz="4" w:space="0"/>
              <w:left w:val="single" w:color="auto" w:sz="4" w:space="0"/>
              <w:bottom w:val="single" w:color="auto" w:sz="4" w:space="0"/>
              <w:right w:val="single" w:color="auto" w:sz="4" w:space="0"/>
            </w:tcBorders>
            <w:noWrap/>
            <w:vAlign w:val="center"/>
          </w:tcPr>
          <w:p w14:paraId="2B150808">
            <w:pPr>
              <w:spacing w:line="360" w:lineRule="auto"/>
              <w:rPr>
                <w:rFonts w:ascii="宋体" w:hAnsi="宋体" w:cs="宋体"/>
                <w:kern w:val="0"/>
                <w:sz w:val="24"/>
              </w:rPr>
            </w:pPr>
            <w:r>
              <w:rPr>
                <w:rFonts w:hint="eastAsia" w:ascii="宋体" w:hAnsi="宋体" w:cs="宋体"/>
                <w:kern w:val="0"/>
                <w:sz w:val="24"/>
              </w:rPr>
              <w:t>服务商应定期组织技术人员为院方提供信息系统相关技术培训服务。</w:t>
            </w:r>
          </w:p>
        </w:tc>
        <w:tc>
          <w:tcPr>
            <w:tcW w:w="1275" w:type="dxa"/>
            <w:tcBorders>
              <w:top w:val="single" w:color="auto" w:sz="4" w:space="0"/>
              <w:left w:val="nil"/>
              <w:bottom w:val="single" w:color="auto" w:sz="4" w:space="0"/>
              <w:right w:val="single" w:color="auto" w:sz="4" w:space="0"/>
            </w:tcBorders>
            <w:noWrap/>
            <w:vAlign w:val="center"/>
          </w:tcPr>
          <w:p w14:paraId="690A7823">
            <w:pPr>
              <w:spacing w:line="360" w:lineRule="auto"/>
              <w:jc w:val="center"/>
              <w:rPr>
                <w:rFonts w:ascii="宋体" w:hAnsi="宋体" w:cs="宋体"/>
                <w:kern w:val="0"/>
                <w:sz w:val="24"/>
              </w:rPr>
            </w:pPr>
            <w:r>
              <w:rPr>
                <w:rFonts w:hint="eastAsia" w:ascii="宋体" w:hAnsi="宋体" w:cs="宋体"/>
                <w:kern w:val="0"/>
                <w:sz w:val="24"/>
              </w:rPr>
              <w:t>远程服务</w:t>
            </w:r>
          </w:p>
          <w:p w14:paraId="26F71A57">
            <w:pPr>
              <w:spacing w:line="360" w:lineRule="auto"/>
              <w:jc w:val="center"/>
              <w:rPr>
                <w:rFonts w:ascii="宋体" w:hAnsi="宋体" w:cs="宋体"/>
                <w:kern w:val="0"/>
                <w:sz w:val="24"/>
              </w:rPr>
            </w:pPr>
            <w:r>
              <w:rPr>
                <w:rFonts w:hint="eastAsia" w:ascii="宋体" w:hAnsi="宋体" w:cs="宋体"/>
                <w:kern w:val="0"/>
                <w:sz w:val="24"/>
              </w:rPr>
              <w:t>现场服务</w:t>
            </w:r>
          </w:p>
        </w:tc>
        <w:tc>
          <w:tcPr>
            <w:tcW w:w="1269" w:type="dxa"/>
            <w:tcBorders>
              <w:top w:val="single" w:color="auto" w:sz="4" w:space="0"/>
              <w:left w:val="nil"/>
              <w:bottom w:val="single" w:color="auto" w:sz="4" w:space="0"/>
              <w:right w:val="single" w:color="auto" w:sz="4" w:space="0"/>
            </w:tcBorders>
            <w:vAlign w:val="center"/>
          </w:tcPr>
          <w:p w14:paraId="52AE8915">
            <w:pPr>
              <w:spacing w:line="360" w:lineRule="auto"/>
              <w:jc w:val="center"/>
              <w:rPr>
                <w:rFonts w:ascii="宋体" w:hAnsi="宋体" w:cs="宋体"/>
                <w:kern w:val="0"/>
                <w:sz w:val="24"/>
              </w:rPr>
            </w:pPr>
            <w:r>
              <w:rPr>
                <w:rFonts w:hint="eastAsia" w:ascii="宋体" w:hAnsi="宋体" w:cs="宋体"/>
                <w:kern w:val="0"/>
                <w:sz w:val="24"/>
              </w:rPr>
              <w:t>全年不少于20学时</w:t>
            </w:r>
          </w:p>
        </w:tc>
      </w:tr>
    </w:tbl>
    <w:p w14:paraId="59FC05AC">
      <w:pPr>
        <w:widowControl w:val="0"/>
        <w:spacing w:line="360" w:lineRule="auto"/>
        <w:ind w:firstLine="482" w:firstLineChars="200"/>
        <w:jc w:val="both"/>
        <w:rPr>
          <w:rFonts w:ascii="宋体" w:hAnsi="宋体" w:eastAsia="宋体" w:cs="宋体"/>
          <w:b/>
          <w:color w:val="auto"/>
          <w:kern w:val="2"/>
          <w:sz w:val="24"/>
          <w:szCs w:val="24"/>
          <w:lang w:val="en-US" w:eastAsia="zh-CN" w:bidi="ar-SA"/>
        </w:rPr>
      </w:pPr>
      <w:r>
        <w:rPr>
          <w:rFonts w:hint="eastAsia" w:ascii="宋体" w:hAnsi="宋体" w:eastAsia="宋体" w:cs="宋体"/>
          <w:b/>
          <w:color w:val="auto"/>
          <w:kern w:val="2"/>
          <w:sz w:val="24"/>
          <w:szCs w:val="24"/>
          <w:lang w:val="en-US" w:eastAsia="zh-CN" w:bidi="ar-SA"/>
        </w:rPr>
        <w:t>5.售后服务方案与技术能力要求：</w:t>
      </w:r>
    </w:p>
    <w:p w14:paraId="5995E4D2">
      <w:pPr>
        <w:widowControl w:val="0"/>
        <w:spacing w:line="360" w:lineRule="auto"/>
        <w:ind w:firstLine="480" w:firstLineChars="200"/>
        <w:jc w:val="both"/>
        <w:rPr>
          <w:rFonts w:ascii="宋体" w:hAnsi="宋体" w:eastAsia="宋体" w:cs="宋体"/>
          <w:bCs/>
          <w:color w:val="auto"/>
          <w:kern w:val="2"/>
          <w:sz w:val="24"/>
          <w:szCs w:val="24"/>
          <w:lang w:val="en-US" w:eastAsia="zh-CN" w:bidi="ar-SA"/>
        </w:rPr>
      </w:pPr>
      <w:r>
        <w:rPr>
          <w:rFonts w:hint="eastAsia" w:ascii="宋体" w:hAnsi="宋体" w:eastAsia="宋体" w:cs="宋体"/>
          <w:bCs/>
          <w:color w:val="auto"/>
          <w:kern w:val="2"/>
          <w:sz w:val="24"/>
          <w:szCs w:val="24"/>
          <w:lang w:val="en-US" w:eastAsia="zh-CN" w:bidi="ar-SA"/>
        </w:rPr>
        <w:t>5.1服务商应根据院方信息化建设情况与信息系统使用情况，制定详尽的售后服务方案。内容应涵盖以下几点：</w:t>
      </w:r>
    </w:p>
    <w:p w14:paraId="6C190D5E">
      <w:pPr>
        <w:widowControl w:val="0"/>
        <w:spacing w:line="360" w:lineRule="auto"/>
        <w:ind w:firstLine="480" w:firstLineChars="200"/>
        <w:jc w:val="both"/>
        <w:rPr>
          <w:rFonts w:ascii="宋体" w:hAnsi="宋体" w:eastAsia="宋体" w:cs="宋体"/>
          <w:bCs/>
          <w:color w:val="auto"/>
          <w:kern w:val="2"/>
          <w:sz w:val="24"/>
          <w:szCs w:val="24"/>
          <w:lang w:val="en-US" w:eastAsia="zh-CN" w:bidi="ar-SA"/>
        </w:rPr>
      </w:pPr>
      <w:r>
        <w:rPr>
          <w:rFonts w:hint="eastAsia" w:ascii="宋体" w:hAnsi="宋体" w:eastAsia="宋体" w:cs="宋体"/>
          <w:bCs/>
          <w:color w:val="auto"/>
          <w:kern w:val="2"/>
          <w:sz w:val="24"/>
          <w:szCs w:val="24"/>
          <w:lang w:val="en-US" w:eastAsia="zh-CN" w:bidi="ar-SA"/>
        </w:rPr>
        <w:t>5.1.1售后运维服务的承诺。</w:t>
      </w:r>
    </w:p>
    <w:p w14:paraId="525A6333">
      <w:pPr>
        <w:widowControl w:val="0"/>
        <w:spacing w:line="360" w:lineRule="auto"/>
        <w:ind w:firstLine="480" w:firstLineChars="200"/>
        <w:jc w:val="both"/>
        <w:rPr>
          <w:rFonts w:ascii="宋体" w:hAnsi="宋体" w:eastAsia="宋体" w:cs="宋体"/>
          <w:bCs/>
          <w:color w:val="auto"/>
          <w:kern w:val="2"/>
          <w:sz w:val="24"/>
          <w:szCs w:val="24"/>
          <w:lang w:val="en-US" w:eastAsia="zh-CN" w:bidi="ar-SA"/>
        </w:rPr>
      </w:pPr>
      <w:r>
        <w:rPr>
          <w:rFonts w:hint="eastAsia" w:ascii="宋体" w:hAnsi="宋体" w:eastAsia="宋体" w:cs="宋体"/>
          <w:bCs/>
          <w:color w:val="auto"/>
          <w:kern w:val="2"/>
          <w:sz w:val="24"/>
          <w:szCs w:val="24"/>
          <w:lang w:val="en-US" w:eastAsia="zh-CN" w:bidi="ar-SA"/>
        </w:rPr>
        <w:t>5.1.2提供售后运维服务的具体内容。</w:t>
      </w:r>
    </w:p>
    <w:p w14:paraId="66939FBE">
      <w:pPr>
        <w:widowControl w:val="0"/>
        <w:spacing w:line="360" w:lineRule="auto"/>
        <w:ind w:firstLine="480" w:firstLineChars="200"/>
        <w:jc w:val="both"/>
        <w:rPr>
          <w:rFonts w:ascii="宋体" w:hAnsi="宋体" w:eastAsia="宋体" w:cs="宋体"/>
          <w:bCs/>
          <w:color w:val="auto"/>
          <w:kern w:val="2"/>
          <w:sz w:val="24"/>
          <w:szCs w:val="24"/>
          <w:lang w:val="en-US" w:eastAsia="zh-CN" w:bidi="ar-SA"/>
        </w:rPr>
      </w:pPr>
      <w:r>
        <w:rPr>
          <w:rFonts w:hint="eastAsia" w:ascii="宋体" w:hAnsi="宋体" w:eastAsia="宋体" w:cs="宋体"/>
          <w:bCs/>
          <w:color w:val="auto"/>
          <w:kern w:val="2"/>
          <w:sz w:val="24"/>
          <w:szCs w:val="24"/>
          <w:lang w:val="en-US" w:eastAsia="zh-CN" w:bidi="ar-SA"/>
        </w:rPr>
        <w:t>5.1.3售后运维服务的具体措施。</w:t>
      </w:r>
    </w:p>
    <w:p w14:paraId="4A6491F2">
      <w:pPr>
        <w:widowControl w:val="0"/>
        <w:spacing w:line="360" w:lineRule="auto"/>
        <w:ind w:firstLine="480" w:firstLineChars="200"/>
        <w:jc w:val="both"/>
        <w:rPr>
          <w:rFonts w:ascii="宋体" w:hAnsi="宋体" w:eastAsia="宋体" w:cs="宋体"/>
          <w:bCs/>
          <w:color w:val="auto"/>
          <w:kern w:val="2"/>
          <w:sz w:val="24"/>
          <w:szCs w:val="24"/>
          <w:lang w:val="en-US" w:eastAsia="zh-CN" w:bidi="ar-SA"/>
        </w:rPr>
      </w:pPr>
      <w:r>
        <w:rPr>
          <w:rFonts w:hint="eastAsia" w:ascii="宋体" w:hAnsi="宋体" w:eastAsia="宋体" w:cs="宋体"/>
          <w:bCs/>
          <w:color w:val="auto"/>
          <w:kern w:val="2"/>
          <w:sz w:val="24"/>
          <w:szCs w:val="24"/>
          <w:lang w:val="en-US" w:eastAsia="zh-CN" w:bidi="ar-SA"/>
        </w:rPr>
        <w:t>5.1.4售后运维服务相关管理制度。</w:t>
      </w:r>
    </w:p>
    <w:p w14:paraId="7A6A22AB">
      <w:pPr>
        <w:widowControl w:val="0"/>
        <w:spacing w:line="360" w:lineRule="auto"/>
        <w:ind w:firstLine="480" w:firstLineChars="200"/>
        <w:jc w:val="both"/>
        <w:rPr>
          <w:rFonts w:ascii="宋体" w:hAnsi="宋体" w:eastAsia="宋体" w:cs="宋体"/>
          <w:bCs/>
          <w:color w:val="auto"/>
          <w:kern w:val="2"/>
          <w:sz w:val="24"/>
          <w:szCs w:val="24"/>
          <w:lang w:val="en-US" w:eastAsia="zh-CN" w:bidi="ar-SA"/>
        </w:rPr>
      </w:pPr>
      <w:r>
        <w:rPr>
          <w:rFonts w:hint="eastAsia" w:ascii="宋体" w:hAnsi="宋体" w:eastAsia="宋体" w:cs="宋体"/>
          <w:bCs/>
          <w:color w:val="auto"/>
          <w:kern w:val="2"/>
          <w:sz w:val="24"/>
          <w:szCs w:val="24"/>
          <w:lang w:val="en-US" w:eastAsia="zh-CN" w:bidi="ar-SA"/>
        </w:rPr>
        <w:t>5.1.5售后运维服务的应急预案。</w:t>
      </w:r>
    </w:p>
    <w:p w14:paraId="18DF8CC2">
      <w:pPr>
        <w:widowControl w:val="0"/>
        <w:spacing w:line="360" w:lineRule="auto"/>
        <w:ind w:firstLine="480" w:firstLineChars="200"/>
        <w:jc w:val="both"/>
        <w:rPr>
          <w:rFonts w:ascii="宋体" w:hAnsi="宋体" w:eastAsia="宋体" w:cs="宋体"/>
          <w:bCs/>
          <w:color w:val="auto"/>
          <w:kern w:val="2"/>
          <w:sz w:val="24"/>
          <w:szCs w:val="24"/>
          <w:lang w:val="en-US" w:eastAsia="zh-CN" w:bidi="ar-SA"/>
        </w:rPr>
      </w:pPr>
      <w:r>
        <w:rPr>
          <w:rFonts w:hint="eastAsia" w:ascii="宋体" w:hAnsi="宋体" w:eastAsia="宋体" w:cs="宋体"/>
          <w:bCs/>
          <w:color w:val="auto"/>
          <w:kern w:val="2"/>
          <w:sz w:val="24"/>
          <w:szCs w:val="24"/>
          <w:lang w:val="en-US" w:eastAsia="zh-CN" w:bidi="ar-SA"/>
        </w:rPr>
        <w:t>5.2售后服务技术能力要求：</w:t>
      </w:r>
    </w:p>
    <w:p w14:paraId="40FE2C53">
      <w:pPr>
        <w:widowControl w:val="0"/>
        <w:spacing w:line="360" w:lineRule="auto"/>
        <w:ind w:firstLine="480" w:firstLineChars="200"/>
        <w:jc w:val="both"/>
        <w:rPr>
          <w:rFonts w:ascii="宋体" w:hAnsi="宋体" w:eastAsia="宋体" w:cs="宋体"/>
          <w:bCs/>
          <w:color w:val="auto"/>
          <w:kern w:val="2"/>
          <w:sz w:val="24"/>
          <w:szCs w:val="24"/>
          <w:lang w:val="en-US" w:eastAsia="zh-CN" w:bidi="ar-SA"/>
        </w:rPr>
      </w:pPr>
      <w:r>
        <w:rPr>
          <w:rFonts w:hint="eastAsia" w:ascii="宋体" w:hAnsi="宋体" w:eastAsia="宋体" w:cs="宋体"/>
          <w:bCs/>
          <w:color w:val="auto"/>
          <w:kern w:val="2"/>
          <w:sz w:val="24"/>
          <w:szCs w:val="24"/>
          <w:lang w:val="en-US" w:eastAsia="zh-CN" w:bidi="ar-SA"/>
        </w:rPr>
        <w:t>5.2.1提供售后服务人员组织架构。</w:t>
      </w:r>
    </w:p>
    <w:p w14:paraId="36873072">
      <w:pPr>
        <w:widowControl w:val="0"/>
        <w:spacing w:line="360" w:lineRule="auto"/>
        <w:ind w:firstLine="480" w:firstLineChars="200"/>
        <w:jc w:val="both"/>
        <w:rPr>
          <w:rFonts w:ascii="宋体" w:hAnsi="宋体" w:eastAsia="宋体" w:cs="宋体"/>
          <w:bCs/>
          <w:color w:val="auto"/>
          <w:kern w:val="2"/>
          <w:sz w:val="24"/>
          <w:szCs w:val="24"/>
          <w:lang w:val="en-US" w:eastAsia="zh-CN" w:bidi="ar-SA"/>
        </w:rPr>
      </w:pPr>
      <w:r>
        <w:rPr>
          <w:rFonts w:hint="eastAsia" w:ascii="宋体" w:hAnsi="宋体" w:eastAsia="宋体" w:cs="宋体"/>
          <w:bCs/>
          <w:color w:val="auto"/>
          <w:kern w:val="2"/>
          <w:sz w:val="24"/>
          <w:szCs w:val="24"/>
          <w:lang w:val="en-US" w:eastAsia="zh-CN" w:bidi="ar-SA"/>
        </w:rPr>
        <w:t>5.2.2技术人员要求：服务商拥有专职技术人员不少于3名。</w:t>
      </w:r>
    </w:p>
    <w:p w14:paraId="2770977C">
      <w:pPr>
        <w:widowControl w:val="0"/>
        <w:spacing w:line="360" w:lineRule="auto"/>
        <w:ind w:firstLine="482" w:firstLineChars="200"/>
        <w:jc w:val="both"/>
        <w:rPr>
          <w:rFonts w:ascii="宋体" w:hAnsi="宋体" w:eastAsia="宋体" w:cs="宋体"/>
          <w:b/>
          <w:color w:val="auto"/>
          <w:kern w:val="2"/>
          <w:sz w:val="24"/>
          <w:szCs w:val="24"/>
          <w:lang w:val="en-US" w:eastAsia="zh-CN" w:bidi="ar-SA"/>
        </w:rPr>
      </w:pPr>
      <w:r>
        <w:rPr>
          <w:rFonts w:hint="eastAsia" w:ascii="宋体" w:hAnsi="宋体" w:eastAsia="宋体" w:cs="宋体"/>
          <w:b/>
          <w:color w:val="auto"/>
          <w:kern w:val="2"/>
          <w:sz w:val="24"/>
          <w:szCs w:val="24"/>
          <w:lang w:val="en-US" w:eastAsia="zh-CN" w:bidi="ar-SA"/>
        </w:rPr>
        <w:t>6.数据安全与信息保密要求：</w:t>
      </w:r>
    </w:p>
    <w:p w14:paraId="4E6CCC15">
      <w:pPr>
        <w:widowControl w:val="0"/>
        <w:spacing w:line="360" w:lineRule="auto"/>
        <w:ind w:firstLine="480" w:firstLineChars="200"/>
        <w:jc w:val="both"/>
        <w:rPr>
          <w:rFonts w:ascii="宋体" w:hAnsi="宋体" w:eastAsia="宋体" w:cs="宋体"/>
          <w:bCs/>
          <w:color w:val="auto"/>
          <w:kern w:val="2"/>
          <w:sz w:val="24"/>
          <w:szCs w:val="24"/>
          <w:lang w:val="en-US" w:eastAsia="zh-CN" w:bidi="ar-SA"/>
        </w:rPr>
      </w:pPr>
      <w:r>
        <w:rPr>
          <w:rFonts w:hint="eastAsia" w:ascii="宋体" w:hAnsi="宋体" w:eastAsia="宋体" w:cs="宋体"/>
          <w:bCs/>
          <w:color w:val="auto"/>
          <w:kern w:val="2"/>
          <w:sz w:val="24"/>
          <w:szCs w:val="24"/>
          <w:lang w:val="en-US" w:eastAsia="zh-CN" w:bidi="ar-SA"/>
        </w:rPr>
        <w:t>6.1服务商应具有数据安全相关管理制度。</w:t>
      </w:r>
    </w:p>
    <w:p w14:paraId="4453882D">
      <w:pPr>
        <w:widowControl w:val="0"/>
        <w:spacing w:line="360" w:lineRule="auto"/>
        <w:ind w:firstLine="480" w:firstLineChars="200"/>
        <w:jc w:val="both"/>
        <w:rPr>
          <w:rFonts w:ascii="宋体" w:hAnsi="宋体" w:eastAsia="宋体" w:cs="宋体"/>
          <w:bCs/>
          <w:color w:val="auto"/>
          <w:kern w:val="2"/>
          <w:sz w:val="24"/>
          <w:szCs w:val="24"/>
          <w:lang w:val="en-US" w:eastAsia="zh-CN" w:bidi="ar-SA"/>
        </w:rPr>
      </w:pPr>
      <w:r>
        <w:rPr>
          <w:rFonts w:hint="eastAsia" w:ascii="宋体" w:hAnsi="宋体" w:eastAsia="宋体" w:cs="宋体"/>
          <w:bCs/>
          <w:color w:val="auto"/>
          <w:kern w:val="2"/>
          <w:sz w:val="24"/>
          <w:szCs w:val="24"/>
          <w:lang w:val="en-US" w:eastAsia="zh-CN" w:bidi="ar-SA"/>
        </w:rPr>
        <w:t>6.2服务商拥有数据安全方面专职技术人员，提供近期缴纳社保证明材料。</w:t>
      </w:r>
    </w:p>
    <w:p w14:paraId="1BD865E4">
      <w:pPr>
        <w:widowControl w:val="0"/>
        <w:spacing w:line="360" w:lineRule="auto"/>
        <w:ind w:firstLine="482" w:firstLineChars="200"/>
        <w:jc w:val="both"/>
        <w:rPr>
          <w:rFonts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三.商务要求</w:t>
      </w:r>
    </w:p>
    <w:p w14:paraId="5F5B8A11">
      <w:pPr>
        <w:wordWrap w:val="0"/>
        <w:topLinePunct/>
        <w:spacing w:line="360" w:lineRule="auto"/>
        <w:ind w:firstLine="482" w:firstLineChars="200"/>
        <w:rPr>
          <w:rFonts w:ascii="宋体" w:hAnsi="宋体" w:cs="宋体"/>
          <w:sz w:val="24"/>
        </w:rPr>
      </w:pPr>
      <w:r>
        <w:rPr>
          <w:rFonts w:hint="eastAsia" w:ascii="宋体" w:hAnsi="宋体" w:cs="宋体"/>
          <w:b/>
          <w:sz w:val="24"/>
        </w:rPr>
        <w:t>1.合同内容及金额：</w:t>
      </w:r>
      <w:r>
        <w:rPr>
          <w:rFonts w:hint="eastAsia" w:ascii="宋体" w:hAnsi="宋体" w:cs="宋体"/>
          <w:sz w:val="24"/>
        </w:rPr>
        <w:t>即成交单位的响应内容、现场澄清确认内容（若有）及其成交总金额</w:t>
      </w:r>
    </w:p>
    <w:p w14:paraId="6D94B13F">
      <w:pPr>
        <w:wordWrap w:val="0"/>
        <w:topLinePunct/>
        <w:spacing w:line="360" w:lineRule="auto"/>
        <w:ind w:firstLine="482" w:firstLineChars="200"/>
        <w:rPr>
          <w:rFonts w:ascii="宋体" w:hAnsi="宋体" w:cs="宋体"/>
          <w:sz w:val="24"/>
        </w:rPr>
      </w:pPr>
      <w:r>
        <w:rPr>
          <w:rFonts w:hint="eastAsia" w:ascii="宋体" w:hAnsi="宋体" w:cs="宋体"/>
          <w:b/>
          <w:sz w:val="24"/>
        </w:rPr>
        <w:t>2.服务地点：陕西省交通医院</w:t>
      </w:r>
    </w:p>
    <w:p w14:paraId="2C336AD1">
      <w:pPr>
        <w:wordWrap w:val="0"/>
        <w:topLinePunct/>
        <w:spacing w:line="360" w:lineRule="auto"/>
        <w:ind w:firstLine="482" w:firstLineChars="200"/>
        <w:rPr>
          <w:rFonts w:ascii="宋体" w:hAnsi="宋体" w:cs="宋体"/>
          <w:bCs/>
          <w:sz w:val="24"/>
        </w:rPr>
      </w:pPr>
      <w:r>
        <w:rPr>
          <w:rFonts w:hint="eastAsia" w:ascii="宋体" w:hAnsi="宋体" w:cs="宋体"/>
          <w:b/>
          <w:sz w:val="24"/>
        </w:rPr>
        <w:t>3.服务期：</w:t>
      </w:r>
      <w:bookmarkStart w:id="16" w:name="OLE_LINK3"/>
      <w:r>
        <w:rPr>
          <w:rFonts w:hint="eastAsia" w:ascii="宋体" w:hAnsi="宋体" w:cs="宋体"/>
          <w:b w:val="0"/>
          <w:bCs/>
          <w:sz w:val="24"/>
          <w:lang w:val="en-US" w:eastAsia="zh-CN"/>
        </w:rPr>
        <w:t>1 年</w:t>
      </w:r>
      <w:r>
        <w:rPr>
          <w:rFonts w:hint="eastAsia" w:ascii="宋体" w:hAnsi="宋体" w:cs="宋体"/>
          <w:b w:val="0"/>
          <w:bCs/>
          <w:sz w:val="24"/>
        </w:rPr>
        <w:t>；</w:t>
      </w:r>
      <w:bookmarkEnd w:id="16"/>
    </w:p>
    <w:p w14:paraId="0A904BEE">
      <w:pPr>
        <w:wordWrap w:val="0"/>
        <w:topLinePunct/>
        <w:spacing w:line="360" w:lineRule="auto"/>
        <w:ind w:firstLine="482" w:firstLineChars="200"/>
        <w:rPr>
          <w:rFonts w:ascii="宋体" w:hAnsi="宋体" w:cs="宋体"/>
          <w:b/>
          <w:sz w:val="24"/>
        </w:rPr>
      </w:pPr>
      <w:r>
        <w:rPr>
          <w:rFonts w:hint="eastAsia" w:ascii="宋体" w:hAnsi="宋体" w:cs="宋体"/>
          <w:b/>
          <w:sz w:val="24"/>
        </w:rPr>
        <w:t>4.履约保证金</w:t>
      </w:r>
    </w:p>
    <w:p w14:paraId="43B4089E">
      <w:pPr>
        <w:wordWrap w:val="0"/>
        <w:topLinePunct/>
        <w:spacing w:line="360" w:lineRule="auto"/>
        <w:ind w:firstLine="480" w:firstLineChars="200"/>
        <w:rPr>
          <w:rFonts w:ascii="宋体" w:hAnsi="宋体" w:cs="宋体"/>
          <w:bCs/>
          <w:sz w:val="24"/>
        </w:rPr>
      </w:pPr>
      <w:r>
        <w:rPr>
          <w:rFonts w:hint="eastAsia" w:ascii="宋体" w:hAnsi="宋体" w:cs="宋体"/>
          <w:bCs/>
          <w:sz w:val="24"/>
        </w:rPr>
        <w:t>4.1为保证供应商遵守双方合同约定所有事宜和货物质量，供应商须在合同签定7日内支付采购人百分之五(5%)合同款的约保证金。</w:t>
      </w:r>
    </w:p>
    <w:p w14:paraId="47C0D452">
      <w:pPr>
        <w:wordWrap w:val="0"/>
        <w:topLinePunct/>
        <w:spacing w:line="360" w:lineRule="auto"/>
        <w:ind w:firstLine="480" w:firstLineChars="200"/>
        <w:rPr>
          <w:rFonts w:ascii="宋体" w:hAnsi="宋体" w:cs="宋体"/>
          <w:bCs/>
          <w:sz w:val="24"/>
        </w:rPr>
      </w:pPr>
      <w:r>
        <w:rPr>
          <w:rFonts w:hint="eastAsia" w:ascii="宋体" w:hAnsi="宋体" w:cs="宋体"/>
          <w:bCs/>
          <w:sz w:val="24"/>
        </w:rPr>
        <w:t>4.2自终验结束之日起至服务期满后，在无索赔争议，且供应商提供的成果文件、产品质量、服务符合合同约定的情况下，在采购人处办理百分之五(5%)合同款的履约保证金无息支付手续。</w:t>
      </w:r>
    </w:p>
    <w:p w14:paraId="106FA164">
      <w:pPr>
        <w:wordWrap w:val="0"/>
        <w:topLinePunct/>
        <w:spacing w:line="360" w:lineRule="auto"/>
        <w:ind w:firstLine="482" w:firstLineChars="200"/>
        <w:rPr>
          <w:rFonts w:ascii="宋体" w:hAnsi="宋体" w:cs="宋体"/>
          <w:bCs/>
          <w:sz w:val="24"/>
        </w:rPr>
      </w:pPr>
      <w:r>
        <w:rPr>
          <w:rFonts w:hint="eastAsia" w:ascii="宋体" w:hAnsi="宋体" w:cs="宋体"/>
          <w:b/>
          <w:sz w:val="24"/>
        </w:rPr>
        <w:t>5.结算方式</w:t>
      </w:r>
    </w:p>
    <w:p w14:paraId="68D99780">
      <w:pPr>
        <w:wordWrap w:val="0"/>
        <w:topLinePunct/>
        <w:spacing w:line="360" w:lineRule="auto"/>
        <w:ind w:firstLine="480" w:firstLineChars="200"/>
        <w:rPr>
          <w:rFonts w:ascii="宋体" w:hAnsi="宋体" w:cs="宋体"/>
          <w:bCs/>
          <w:sz w:val="24"/>
        </w:rPr>
      </w:pPr>
      <w:r>
        <w:rPr>
          <w:rFonts w:hint="eastAsia" w:ascii="宋体" w:hAnsi="宋体" w:cs="宋体"/>
          <w:bCs/>
          <w:sz w:val="24"/>
        </w:rPr>
        <w:t>5.1结算单位：采购人结算，结算前成交人须开具等额发票给采购人，采购人收到发票后，按照5.2的付款方式结算，否则导致的付款延误，责任自行承担。</w:t>
      </w:r>
    </w:p>
    <w:p w14:paraId="56C7C408">
      <w:pPr>
        <w:wordWrap w:val="0"/>
        <w:topLinePunct/>
        <w:spacing w:line="360" w:lineRule="auto"/>
        <w:ind w:firstLine="480" w:firstLineChars="200"/>
        <w:rPr>
          <w:rFonts w:ascii="宋体" w:hAnsi="宋体" w:cs="宋体"/>
          <w:bCs/>
          <w:sz w:val="24"/>
        </w:rPr>
      </w:pPr>
      <w:r>
        <w:rPr>
          <w:rFonts w:hint="eastAsia" w:ascii="宋体" w:hAnsi="宋体" w:cs="宋体"/>
          <w:bCs/>
          <w:sz w:val="24"/>
        </w:rPr>
        <w:t>5.2付款方式：</w:t>
      </w:r>
    </w:p>
    <w:p w14:paraId="12E75EB4">
      <w:pPr>
        <w:wordWrap w:val="0"/>
        <w:topLinePunct/>
        <w:spacing w:line="360" w:lineRule="auto"/>
        <w:ind w:firstLine="480" w:firstLineChars="200"/>
        <w:rPr>
          <w:rFonts w:ascii="宋体" w:hAnsi="宋体" w:cs="宋体"/>
          <w:bCs/>
          <w:sz w:val="24"/>
        </w:rPr>
      </w:pPr>
      <w:r>
        <w:rPr>
          <w:rFonts w:hint="eastAsia" w:ascii="宋体" w:hAnsi="宋体" w:cs="宋体"/>
          <w:bCs/>
          <w:sz w:val="24"/>
        </w:rPr>
        <w:t>5.2.1合同签订生效后，乙方在甲方付款前【7】个工作日内以甲方提供的开票信息向甲方开具合同总价款（包含增项）技术服务费发票，并且支付履约保证金，甲方于收到履约保证金和乙方开具的发票后【7】个工作日内，一次性付清合同总价款，合同总价包含维护费、软件升级费、专利使用费等与履行本合同有关的一切费用。本合同总价一次性包死，不受其他市场因素变动的影响。</w:t>
      </w:r>
    </w:p>
    <w:p w14:paraId="11C7716F">
      <w:pPr>
        <w:wordWrap w:val="0"/>
        <w:topLinePunct/>
        <w:spacing w:line="360" w:lineRule="auto"/>
        <w:ind w:firstLine="480" w:firstLineChars="200"/>
        <w:rPr>
          <w:rFonts w:ascii="宋体" w:hAnsi="宋体" w:cs="宋体"/>
          <w:bCs/>
          <w:sz w:val="24"/>
        </w:rPr>
      </w:pPr>
      <w:r>
        <w:rPr>
          <w:rFonts w:hint="eastAsia" w:ascii="宋体" w:hAnsi="宋体" w:cs="宋体"/>
          <w:bCs/>
          <w:sz w:val="24"/>
        </w:rPr>
        <w:t>5.2.2若乙方在甲方付款前未能提供全额合规发票的，甲方有权拒付合同款项，且不承担任何责任，乙方亦不得以此为由拒绝履行任意合同义务。</w:t>
      </w:r>
    </w:p>
    <w:p w14:paraId="32C64A0D">
      <w:pPr>
        <w:wordWrap w:val="0"/>
        <w:topLinePunct/>
        <w:spacing w:line="360" w:lineRule="auto"/>
        <w:ind w:firstLine="482" w:firstLineChars="200"/>
        <w:rPr>
          <w:rFonts w:ascii="宋体" w:hAnsi="宋体" w:cs="宋体"/>
          <w:b/>
          <w:sz w:val="24"/>
        </w:rPr>
      </w:pPr>
      <w:r>
        <w:rPr>
          <w:rFonts w:hint="eastAsia" w:ascii="宋体" w:hAnsi="宋体" w:cs="宋体"/>
          <w:b/>
          <w:sz w:val="24"/>
        </w:rPr>
        <w:t>6.项目验收</w:t>
      </w:r>
    </w:p>
    <w:p w14:paraId="61E4D021">
      <w:pPr>
        <w:wordWrap w:val="0"/>
        <w:topLinePunct/>
        <w:spacing w:line="360" w:lineRule="auto"/>
        <w:ind w:firstLine="480" w:firstLineChars="200"/>
        <w:rPr>
          <w:rFonts w:ascii="宋体" w:hAnsi="宋体" w:cs="宋体"/>
          <w:sz w:val="24"/>
        </w:rPr>
      </w:pPr>
      <w:r>
        <w:rPr>
          <w:rFonts w:hint="eastAsia" w:ascii="宋体" w:hAnsi="宋体" w:cs="宋体"/>
          <w:sz w:val="24"/>
        </w:rPr>
        <w:t>6.1项目由采购人组织相关人员或其邀请的专家进行考核评价验收，验收时成交人应无条件予以配合并提供验收所需的全部资料：</w:t>
      </w:r>
    </w:p>
    <w:p w14:paraId="1A8003EB">
      <w:pPr>
        <w:wordWrap w:val="0"/>
        <w:topLinePunct/>
        <w:spacing w:line="360" w:lineRule="auto"/>
        <w:ind w:firstLine="480" w:firstLineChars="200"/>
        <w:rPr>
          <w:rFonts w:ascii="宋体" w:hAnsi="宋体" w:cs="宋体"/>
          <w:sz w:val="24"/>
        </w:rPr>
      </w:pPr>
      <w:r>
        <w:rPr>
          <w:rFonts w:hint="eastAsia" w:ascii="宋体" w:hAnsi="宋体" w:cs="宋体"/>
          <w:sz w:val="24"/>
        </w:rPr>
        <w:t>6.2验收依据：采购文件、响应文件、合同文本、《信息系统售后运维服务质量评价标准》、国内相应的标准、规范。</w:t>
      </w:r>
    </w:p>
    <w:p w14:paraId="4F698339">
      <w:pPr>
        <w:wordWrap w:val="0"/>
        <w:topLinePunct/>
        <w:spacing w:line="360" w:lineRule="auto"/>
        <w:ind w:firstLine="482" w:firstLineChars="200"/>
        <w:rPr>
          <w:rFonts w:ascii="宋体" w:hAnsi="宋体" w:cs="宋体"/>
          <w:b/>
          <w:bCs/>
          <w:sz w:val="24"/>
        </w:rPr>
      </w:pPr>
      <w:r>
        <w:rPr>
          <w:rFonts w:hint="eastAsia" w:ascii="宋体" w:hAnsi="宋体" w:cs="宋体"/>
          <w:b/>
          <w:bCs/>
          <w:sz w:val="24"/>
        </w:rPr>
        <w:t>7.知识产权</w:t>
      </w:r>
    </w:p>
    <w:p w14:paraId="3FE7F8E4">
      <w:pPr>
        <w:wordWrap w:val="0"/>
        <w:topLinePunct/>
        <w:spacing w:line="360" w:lineRule="auto"/>
        <w:ind w:firstLine="480" w:firstLineChars="200"/>
        <w:rPr>
          <w:rFonts w:ascii="宋体" w:hAnsi="宋体" w:cs="宋体"/>
          <w:sz w:val="24"/>
        </w:rPr>
      </w:pPr>
      <w:r>
        <w:rPr>
          <w:rFonts w:hint="eastAsia" w:ascii="宋体" w:hAnsi="宋体" w:cs="宋体"/>
          <w:sz w:val="24"/>
        </w:rPr>
        <w:t>供应商应保证投标服务及货物不会出现因第三方提出侵犯其专利权、商标权或其它知识产权而引发法律或经济纠纷，否则由供应商承担全部责任。任何被供应商用于未经授权的商业目的行为所造成的违约或侵权责任由供应商承但。</w:t>
      </w:r>
    </w:p>
    <w:p w14:paraId="3FE658E4">
      <w:pPr>
        <w:wordWrap w:val="0"/>
        <w:topLinePunct/>
        <w:spacing w:line="360" w:lineRule="auto"/>
        <w:ind w:firstLine="482" w:firstLineChars="200"/>
        <w:rPr>
          <w:rFonts w:ascii="宋体" w:hAnsi="宋体" w:cs="宋体"/>
          <w:b/>
          <w:bCs/>
          <w:sz w:val="24"/>
        </w:rPr>
      </w:pPr>
      <w:r>
        <w:rPr>
          <w:rFonts w:hint="eastAsia" w:ascii="宋体" w:hAnsi="宋体" w:cs="宋体"/>
          <w:b/>
          <w:bCs/>
          <w:sz w:val="24"/>
        </w:rPr>
        <w:t>8.违约责任</w:t>
      </w:r>
    </w:p>
    <w:p w14:paraId="17DD3515">
      <w:pPr>
        <w:spacing w:line="336" w:lineRule="auto"/>
        <w:ind w:firstLine="480" w:firstLineChars="200"/>
        <w:rPr>
          <w:rFonts w:ascii="宋体" w:hAnsi="宋体" w:cs="宋体"/>
          <w:sz w:val="24"/>
        </w:rPr>
      </w:pPr>
      <w:r>
        <w:rPr>
          <w:rFonts w:hint="eastAsia" w:ascii="宋体" w:hAnsi="宋体" w:cs="宋体"/>
          <w:sz w:val="24"/>
        </w:rPr>
        <w:t>8.</w:t>
      </w:r>
      <w:r>
        <w:rPr>
          <w:rFonts w:ascii="宋体" w:hAnsi="宋体" w:cs="宋体"/>
          <w:sz w:val="24"/>
        </w:rPr>
        <w:t>1除不可抗力因素外，</w:t>
      </w:r>
      <w:r>
        <w:rPr>
          <w:rFonts w:hint="eastAsia" w:ascii="宋体" w:hAnsi="宋体" w:cs="宋体"/>
          <w:sz w:val="24"/>
        </w:rPr>
        <w:t>因乙方原因造成无法在本合同第十条第2款约定的时限内及时响应并排除故障</w:t>
      </w:r>
      <w:r>
        <w:rPr>
          <w:rFonts w:ascii="宋体" w:hAnsi="宋体" w:cs="宋体"/>
          <w:sz w:val="24"/>
        </w:rPr>
        <w:t>的</w:t>
      </w:r>
      <w:r>
        <w:rPr>
          <w:rFonts w:hint="eastAsia" w:ascii="宋体" w:hAnsi="宋体" w:cs="宋体"/>
          <w:sz w:val="24"/>
        </w:rPr>
        <w:t>，逾期责任由乙方承担，每逾期一天乙方按合同总价的</w:t>
      </w:r>
      <w:r>
        <w:rPr>
          <w:rFonts w:ascii="宋体" w:hAnsi="宋体" w:cs="宋体"/>
          <w:sz w:val="24"/>
        </w:rPr>
        <w:t>【</w:t>
      </w:r>
      <w:r>
        <w:rPr>
          <w:rFonts w:hint="eastAsia" w:ascii="宋体" w:hAnsi="宋体" w:cs="宋体"/>
          <w:sz w:val="24"/>
        </w:rPr>
        <w:t>0</w:t>
      </w:r>
      <w:r>
        <w:rPr>
          <w:rFonts w:ascii="宋体" w:hAnsi="宋体" w:cs="宋体"/>
          <w:sz w:val="24"/>
        </w:rPr>
        <w:t>.5】</w:t>
      </w:r>
      <w:r>
        <w:rPr>
          <w:rFonts w:hint="eastAsia" w:ascii="宋体" w:hAnsi="宋体" w:cs="宋体"/>
          <w:sz w:val="24"/>
        </w:rPr>
        <w:t>%向甲方支付违约金，累计逾期超过【3</w:t>
      </w:r>
      <w:r>
        <w:rPr>
          <w:rFonts w:ascii="宋体" w:hAnsi="宋体" w:cs="宋体"/>
          <w:sz w:val="24"/>
        </w:rPr>
        <w:t>0</w:t>
      </w:r>
      <w:r>
        <w:rPr>
          <w:rFonts w:hint="eastAsia" w:ascii="宋体" w:hAnsi="宋体" w:cs="宋体"/>
          <w:sz w:val="24"/>
        </w:rPr>
        <w:t>】天或合同期内逾期情形累计出现【1</w:t>
      </w:r>
      <w:r>
        <w:rPr>
          <w:rFonts w:ascii="宋体" w:hAnsi="宋体" w:cs="宋体"/>
          <w:sz w:val="24"/>
        </w:rPr>
        <w:t>0</w:t>
      </w:r>
      <w:r>
        <w:rPr>
          <w:rFonts w:hint="eastAsia" w:ascii="宋体" w:hAnsi="宋体" w:cs="宋体"/>
          <w:sz w:val="24"/>
        </w:rPr>
        <w:t>】次的，视为乙方根本违约，甲方有权单方解除本协议，</w:t>
      </w:r>
      <w:r>
        <w:rPr>
          <w:rFonts w:ascii="宋体" w:hAnsi="宋体" w:cs="宋体"/>
          <w:sz w:val="24"/>
        </w:rPr>
        <w:t>乙方应按合同总价的</w:t>
      </w:r>
      <w:r>
        <w:rPr>
          <w:rFonts w:hint="eastAsia" w:ascii="宋体" w:hAnsi="宋体" w:cs="宋体"/>
          <w:sz w:val="24"/>
        </w:rPr>
        <w:t>【3</w:t>
      </w:r>
      <w:r>
        <w:rPr>
          <w:rFonts w:ascii="宋体" w:hAnsi="宋体" w:cs="宋体"/>
          <w:sz w:val="24"/>
        </w:rPr>
        <w:t>0】%向甲方支付违约金，并承担因此造成的甲方损失。</w:t>
      </w:r>
    </w:p>
    <w:p w14:paraId="2190569A">
      <w:pPr>
        <w:spacing w:line="336" w:lineRule="auto"/>
        <w:ind w:firstLine="480" w:firstLineChars="200"/>
        <w:rPr>
          <w:rFonts w:ascii="宋体" w:hAnsi="宋体" w:cs="宋体"/>
          <w:sz w:val="24"/>
        </w:rPr>
      </w:pPr>
      <w:r>
        <w:rPr>
          <w:rFonts w:hint="eastAsia" w:ascii="宋体" w:hAnsi="宋体" w:cs="宋体"/>
          <w:sz w:val="24"/>
        </w:rPr>
        <w:t>8.</w:t>
      </w:r>
      <w:r>
        <w:rPr>
          <w:rFonts w:ascii="宋体" w:hAnsi="宋体" w:cs="宋体"/>
          <w:sz w:val="24"/>
        </w:rPr>
        <w:t>2</w:t>
      </w:r>
      <w:r>
        <w:rPr>
          <w:rFonts w:hint="eastAsia" w:ascii="宋体" w:hAnsi="宋体" w:cs="宋体"/>
          <w:sz w:val="24"/>
        </w:rPr>
        <w:t>在合同期限内</w:t>
      </w:r>
      <w:r>
        <w:rPr>
          <w:rFonts w:ascii="宋体" w:hAnsi="宋体" w:cs="宋体"/>
          <w:sz w:val="24"/>
        </w:rPr>
        <w:t>，由于乙方服务人员工作而导致甲方数据库受损、数据错误、丢失等，视为乙方严重违约，乙方应按合同总价的</w:t>
      </w:r>
      <w:r>
        <w:rPr>
          <w:rFonts w:hint="eastAsia" w:ascii="宋体" w:hAnsi="宋体" w:cs="宋体"/>
          <w:sz w:val="24"/>
        </w:rPr>
        <w:t>【3</w:t>
      </w:r>
      <w:r>
        <w:rPr>
          <w:rFonts w:ascii="宋体" w:hAnsi="宋体" w:cs="宋体"/>
          <w:sz w:val="24"/>
        </w:rPr>
        <w:t>0】%向甲方支付违约金，并承担因此造成的甲方损失。</w:t>
      </w:r>
    </w:p>
    <w:p w14:paraId="140E09C8">
      <w:pPr>
        <w:spacing w:line="336" w:lineRule="auto"/>
        <w:ind w:firstLine="480" w:firstLineChars="200"/>
        <w:rPr>
          <w:rFonts w:ascii="宋体" w:hAnsi="宋体" w:cs="宋体"/>
          <w:sz w:val="24"/>
        </w:rPr>
      </w:pPr>
      <w:r>
        <w:rPr>
          <w:rFonts w:hint="eastAsia" w:ascii="宋体" w:hAnsi="宋体" w:cs="宋体"/>
          <w:sz w:val="24"/>
        </w:rPr>
        <w:t>8.</w:t>
      </w:r>
      <w:r>
        <w:rPr>
          <w:rFonts w:ascii="宋体" w:hAnsi="宋体" w:cs="宋体"/>
          <w:sz w:val="24"/>
        </w:rPr>
        <w:t>3</w:t>
      </w:r>
      <w:r>
        <w:rPr>
          <w:rFonts w:hint="eastAsia" w:ascii="宋体" w:hAnsi="宋体" w:cs="宋体"/>
          <w:sz w:val="24"/>
        </w:rPr>
        <w:t>在合同期限内，未经甲方同意，乙方不得转包、分包本合同项下的合同义务，否则甲方有权解除本协议，乙方需按合同总价的【3</w:t>
      </w:r>
      <w:r>
        <w:rPr>
          <w:rFonts w:ascii="宋体" w:hAnsi="宋体" w:cs="宋体"/>
          <w:sz w:val="24"/>
        </w:rPr>
        <w:t>0】%</w:t>
      </w:r>
      <w:r>
        <w:rPr>
          <w:rFonts w:hint="eastAsia" w:ascii="宋体" w:hAnsi="宋体" w:cs="宋体"/>
          <w:sz w:val="24"/>
        </w:rPr>
        <w:t xml:space="preserve">向甲方支付违约金。 </w:t>
      </w:r>
    </w:p>
    <w:p w14:paraId="4CC595C9">
      <w:pPr>
        <w:spacing w:line="336" w:lineRule="auto"/>
        <w:ind w:firstLine="480" w:firstLineChars="200"/>
        <w:rPr>
          <w:rFonts w:ascii="宋体" w:hAnsi="宋体" w:cs="宋体"/>
          <w:sz w:val="24"/>
        </w:rPr>
      </w:pPr>
      <w:r>
        <w:rPr>
          <w:rFonts w:hint="eastAsia" w:ascii="宋体" w:hAnsi="宋体" w:cs="宋体"/>
          <w:sz w:val="24"/>
        </w:rPr>
        <w:t>8.</w:t>
      </w:r>
      <w:r>
        <w:rPr>
          <w:rFonts w:ascii="宋体" w:hAnsi="宋体" w:cs="宋体"/>
          <w:sz w:val="24"/>
        </w:rPr>
        <w:t>4乙方在上门维护</w:t>
      </w:r>
      <w:r>
        <w:rPr>
          <w:rFonts w:hint="eastAsia" w:ascii="宋体" w:hAnsi="宋体" w:cs="宋体"/>
          <w:sz w:val="24"/>
        </w:rPr>
        <w:t>期间发生</w:t>
      </w:r>
      <w:r>
        <w:rPr>
          <w:rFonts w:ascii="宋体" w:hAnsi="宋体" w:cs="宋体"/>
          <w:sz w:val="24"/>
        </w:rPr>
        <w:t>任何</w:t>
      </w:r>
      <w:r>
        <w:rPr>
          <w:rFonts w:hint="eastAsia" w:ascii="宋体" w:hAnsi="宋体" w:cs="宋体"/>
          <w:sz w:val="24"/>
        </w:rPr>
        <w:t>人身事故或造成甲方设备损坏的，由乙方承担</w:t>
      </w:r>
      <w:r>
        <w:rPr>
          <w:rFonts w:ascii="宋体" w:hAnsi="宋体" w:cs="宋体"/>
          <w:sz w:val="24"/>
        </w:rPr>
        <w:t>全部</w:t>
      </w:r>
      <w:r>
        <w:rPr>
          <w:rFonts w:hint="eastAsia" w:ascii="宋体" w:hAnsi="宋体" w:cs="宋体"/>
          <w:sz w:val="24"/>
        </w:rPr>
        <w:t>赔偿责任，给甲方造成</w:t>
      </w:r>
      <w:r>
        <w:rPr>
          <w:rFonts w:ascii="宋体" w:hAnsi="宋体" w:cs="宋体"/>
          <w:sz w:val="24"/>
        </w:rPr>
        <w:t>其他</w:t>
      </w:r>
      <w:r>
        <w:rPr>
          <w:rFonts w:hint="eastAsia" w:ascii="宋体" w:hAnsi="宋体" w:cs="宋体"/>
          <w:sz w:val="24"/>
        </w:rPr>
        <w:t>损失的，甲方有权向乙方追偿。</w:t>
      </w:r>
    </w:p>
    <w:p w14:paraId="0B468A7E">
      <w:pPr>
        <w:spacing w:line="336" w:lineRule="auto"/>
        <w:ind w:firstLine="480" w:firstLineChars="200"/>
        <w:rPr>
          <w:rFonts w:ascii="宋体" w:hAnsi="宋体" w:cs="宋体"/>
          <w:sz w:val="24"/>
        </w:rPr>
      </w:pPr>
      <w:r>
        <w:rPr>
          <w:rFonts w:hint="eastAsia" w:ascii="宋体" w:hAnsi="宋体" w:cs="宋体"/>
          <w:sz w:val="24"/>
        </w:rPr>
        <w:t>8.</w:t>
      </w:r>
      <w:r>
        <w:rPr>
          <w:rFonts w:ascii="宋体" w:hAnsi="宋体" w:cs="宋体"/>
          <w:sz w:val="24"/>
        </w:rPr>
        <w:t>5乙方对</w:t>
      </w:r>
      <w:r>
        <w:rPr>
          <w:rFonts w:hint="eastAsia" w:ascii="宋体" w:hAnsi="宋体" w:cs="宋体"/>
          <w:sz w:val="24"/>
        </w:rPr>
        <w:t>系统</w:t>
      </w:r>
      <w:r>
        <w:rPr>
          <w:rFonts w:ascii="宋体" w:hAnsi="宋体" w:cs="宋体"/>
          <w:sz w:val="24"/>
        </w:rPr>
        <w:t>维护或升级期间，应保证甲方的正常使用，因乙方原因中断服务的，最长不得超过【</w:t>
      </w:r>
      <w:r>
        <w:rPr>
          <w:rFonts w:hint="eastAsia" w:ascii="宋体" w:hAnsi="宋体" w:cs="宋体"/>
          <w:sz w:val="24"/>
        </w:rPr>
        <w:t>5</w:t>
      </w:r>
      <w:r>
        <w:rPr>
          <w:rFonts w:ascii="宋体" w:hAnsi="宋体" w:cs="宋体"/>
          <w:sz w:val="24"/>
        </w:rPr>
        <w:t>】天，否则甲方有权单方解除合同，合同自甲方书面解除通知送达乙方之日解除，乙方应按合同总价的</w:t>
      </w:r>
      <w:r>
        <w:rPr>
          <w:rFonts w:hint="eastAsia" w:ascii="宋体" w:hAnsi="宋体" w:cs="宋体"/>
          <w:sz w:val="24"/>
        </w:rPr>
        <w:t>【3</w:t>
      </w:r>
      <w:r>
        <w:rPr>
          <w:rFonts w:ascii="宋体" w:hAnsi="宋体" w:cs="宋体"/>
          <w:sz w:val="24"/>
        </w:rPr>
        <w:t>0】%支付违约金，违约金不足以弥补甲方损失的，乙方另行承担。</w:t>
      </w:r>
    </w:p>
    <w:p w14:paraId="0C3291DB">
      <w:pPr>
        <w:wordWrap w:val="0"/>
        <w:topLinePunct/>
        <w:spacing w:line="360" w:lineRule="auto"/>
        <w:ind w:firstLine="480" w:firstLineChars="200"/>
        <w:rPr>
          <w:rFonts w:ascii="宋体" w:hAnsi="宋体" w:cs="宋体"/>
          <w:sz w:val="24"/>
        </w:rPr>
      </w:pPr>
      <w:r>
        <w:rPr>
          <w:rFonts w:hint="eastAsia" w:ascii="宋体" w:hAnsi="宋体" w:cs="宋体"/>
          <w:sz w:val="24"/>
          <w:szCs w:val="21"/>
        </w:rPr>
        <w:t>8.</w:t>
      </w:r>
      <w:r>
        <w:rPr>
          <w:rFonts w:ascii="宋体" w:hAnsi="宋体" w:cs="宋体"/>
          <w:sz w:val="24"/>
          <w:szCs w:val="21"/>
        </w:rPr>
        <w:t>6</w:t>
      </w:r>
      <w:r>
        <w:rPr>
          <w:rFonts w:hint="eastAsia" w:ascii="宋体" w:hAnsi="宋体" w:cs="宋体"/>
          <w:sz w:val="24"/>
          <w:szCs w:val="21"/>
        </w:rPr>
        <w:t>对于本合同中需乙方支付的违约金，甲方均有权从未付合同款中直接扣除。</w:t>
      </w:r>
    </w:p>
    <w:p w14:paraId="30A59C9C">
      <w:pPr>
        <w:spacing w:line="360" w:lineRule="auto"/>
        <w:rPr>
          <w:rFonts w:ascii="宋体" w:hAnsi="宋体" w:cs="宋体"/>
          <w:sz w:val="24"/>
        </w:rPr>
      </w:pPr>
    </w:p>
    <w:p w14:paraId="6C35493C">
      <w:pPr>
        <w:wordWrap w:val="0"/>
        <w:topLinePunct/>
        <w:spacing w:line="360" w:lineRule="auto"/>
        <w:ind w:firstLine="482" w:firstLineChars="200"/>
        <w:rPr>
          <w:rFonts w:ascii="宋体" w:hAnsi="宋体" w:cs="宋体"/>
          <w:sz w:val="24"/>
        </w:rPr>
      </w:pPr>
      <w:r>
        <w:rPr>
          <w:rFonts w:hint="eastAsia" w:ascii="宋体" w:hAnsi="宋体" w:cs="宋体"/>
          <w:b/>
          <w:sz w:val="24"/>
        </w:rPr>
        <w:t>注：</w:t>
      </w:r>
      <w:r>
        <w:rPr>
          <w:rFonts w:hint="eastAsia" w:ascii="宋体" w:hAnsi="宋体" w:cs="宋体"/>
          <w:sz w:val="24"/>
        </w:rPr>
        <w:t>本项目技术要求及商务要求不允许负偏离</w:t>
      </w:r>
    </w:p>
    <w:p w14:paraId="2F860533">
      <w:pPr>
        <w:rPr>
          <w:rFonts w:ascii="宋体" w:hAnsi="宋体" w:cs="宋体"/>
          <w:sz w:val="32"/>
          <w:szCs w:val="32"/>
        </w:rPr>
      </w:pPr>
    </w:p>
    <w:p w14:paraId="331F2CDB">
      <w:pPr>
        <w:rPr>
          <w:rFonts w:ascii="宋体" w:hAnsi="宋体" w:cs="宋体"/>
          <w:sz w:val="32"/>
          <w:szCs w:val="32"/>
        </w:rPr>
      </w:pPr>
    </w:p>
    <w:p w14:paraId="0B5B4F3C">
      <w:pPr>
        <w:widowControl w:val="0"/>
        <w:wordWrap w:val="0"/>
        <w:topLinePunct/>
        <w:spacing w:line="360" w:lineRule="auto"/>
        <w:ind w:left="922" w:hanging="480"/>
        <w:contextualSpacing/>
        <w:jc w:val="center"/>
        <w:outlineLvl w:val="1"/>
        <w:rPr>
          <w:rFonts w:ascii="宋体" w:hAnsi="宋体" w:eastAsia="宋体" w:cs="宋体"/>
          <w:b/>
          <w:bCs/>
          <w:kern w:val="2"/>
          <w:sz w:val="24"/>
          <w:szCs w:val="24"/>
          <w:lang w:val="en-US" w:eastAsia="zh-CN" w:bidi="ar-SA"/>
        </w:rPr>
      </w:pPr>
      <w:bookmarkStart w:id="17" w:name="_GoBack"/>
      <w:bookmarkEnd w:id="17"/>
      <w:r>
        <w:rPr>
          <w:rFonts w:hint="eastAsia" w:ascii="宋体" w:hAnsi="宋体" w:eastAsia="宋体" w:cs="宋体"/>
          <w:b/>
          <w:bCs/>
          <w:kern w:val="2"/>
          <w:sz w:val="24"/>
          <w:szCs w:val="24"/>
          <w:lang w:val="en-US" w:eastAsia="zh-CN" w:bidi="ar-SA"/>
        </w:rPr>
        <w:t>包4（终端管理系统售后服务）</w:t>
      </w:r>
    </w:p>
    <w:p w14:paraId="5E26DBAE">
      <w:pPr>
        <w:widowControl w:val="0"/>
        <w:spacing w:line="360" w:lineRule="auto"/>
        <w:ind w:firstLine="482" w:firstLineChars="200"/>
        <w:jc w:val="both"/>
        <w:rPr>
          <w:rFonts w:ascii="宋体" w:hAnsi="宋体" w:eastAsia="宋体" w:cs="宋体"/>
          <w:color w:val="auto"/>
          <w:kern w:val="2"/>
          <w:sz w:val="24"/>
          <w:szCs w:val="24"/>
          <w:lang w:val="en-US" w:eastAsia="zh-CN" w:bidi="ar-SA"/>
        </w:rPr>
      </w:pPr>
      <w:r>
        <w:rPr>
          <w:rFonts w:ascii="宋体" w:hAnsi="宋体" w:eastAsia="宋体" w:cs="宋体"/>
          <w:b/>
          <w:bCs/>
          <w:color w:val="auto"/>
          <w:kern w:val="2"/>
          <w:sz w:val="24"/>
          <w:szCs w:val="24"/>
          <w:lang w:val="en-US" w:eastAsia="zh-CN" w:bidi="ar-SA"/>
        </w:rPr>
        <w:t>一</w:t>
      </w:r>
      <w:r>
        <w:rPr>
          <w:rFonts w:hint="eastAsia" w:ascii="宋体" w:hAnsi="宋体" w:eastAsia="宋体" w:cs="宋体"/>
          <w:b/>
          <w:bCs/>
          <w:color w:val="auto"/>
          <w:kern w:val="2"/>
          <w:sz w:val="24"/>
          <w:szCs w:val="24"/>
          <w:lang w:val="en-US" w:eastAsia="zh-CN" w:bidi="ar-SA"/>
        </w:rPr>
        <w:t>.项目概述</w:t>
      </w:r>
    </w:p>
    <w:p w14:paraId="55A0A5E5">
      <w:pPr>
        <w:widowControl w:val="0"/>
        <w:spacing w:line="360" w:lineRule="auto"/>
        <w:ind w:firstLine="480" w:firstLineChars="200"/>
        <w:jc w:val="both"/>
        <w:rPr>
          <w:rFonts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采购人自2019年7月验收并正式使用医院终端管理系统，为保障采购人信息系统正常运行，维护正常的医疗秩序，确保采购人信息系统数据安全，充分保障患者的医疗权益，现委托具有信息系统维护能力供应商，为采购人进行维护工作，进一步加强医院终端管理系统维护管理与技术支持。</w:t>
      </w:r>
    </w:p>
    <w:p w14:paraId="02D44686">
      <w:pPr>
        <w:widowControl w:val="0"/>
        <w:spacing w:line="360" w:lineRule="auto"/>
        <w:ind w:firstLine="482" w:firstLineChars="200"/>
        <w:jc w:val="both"/>
        <w:rPr>
          <w:rFonts w:ascii="宋体" w:hAnsi="宋体" w:eastAsia="宋体" w:cs="宋体"/>
          <w:b/>
          <w:bCs/>
          <w:color w:val="auto"/>
          <w:kern w:val="2"/>
          <w:sz w:val="24"/>
          <w:szCs w:val="24"/>
          <w:lang w:val="en-US" w:eastAsia="zh-CN" w:bidi="ar-SA"/>
        </w:rPr>
      </w:pPr>
      <w:r>
        <w:rPr>
          <w:rFonts w:ascii="宋体" w:hAnsi="宋体" w:eastAsia="宋体" w:cs="宋体"/>
          <w:b/>
          <w:bCs/>
          <w:color w:val="auto"/>
          <w:kern w:val="2"/>
          <w:sz w:val="24"/>
          <w:szCs w:val="24"/>
          <w:lang w:val="en-US" w:eastAsia="zh-CN" w:bidi="ar-SA"/>
        </w:rPr>
        <w:t>二</w:t>
      </w:r>
      <w:r>
        <w:rPr>
          <w:rFonts w:hint="eastAsia" w:ascii="宋体" w:hAnsi="宋体" w:eastAsia="宋体" w:cs="宋体"/>
          <w:b/>
          <w:bCs/>
          <w:color w:val="auto"/>
          <w:kern w:val="2"/>
          <w:sz w:val="24"/>
          <w:szCs w:val="24"/>
          <w:lang w:val="en-US" w:eastAsia="zh-CN" w:bidi="ar-SA"/>
        </w:rPr>
        <w:t>.技术要求</w:t>
      </w:r>
    </w:p>
    <w:p w14:paraId="1E58A866">
      <w:pPr>
        <w:widowControl w:val="0"/>
        <w:spacing w:line="360" w:lineRule="auto"/>
        <w:ind w:firstLine="482" w:firstLineChars="200"/>
        <w:jc w:val="both"/>
        <w:rPr>
          <w:rFonts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1.名词解释：</w:t>
      </w:r>
    </w:p>
    <w:p w14:paraId="3B511689">
      <w:pPr>
        <w:widowControl w:val="0"/>
        <w:spacing w:line="360" w:lineRule="auto"/>
        <w:ind w:firstLine="480" w:firstLineChars="200"/>
        <w:jc w:val="both"/>
        <w:rPr>
          <w:rFonts w:ascii="宋体" w:hAnsi="宋体" w:eastAsia="宋体" w:cs="宋体"/>
          <w:b/>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1.1“维护”是指服务供应商为采购人提供基于许可软件的技术指导和解决产品故障等服务工作的总称。</w:t>
      </w:r>
    </w:p>
    <w:p w14:paraId="5E3C741E">
      <w:pPr>
        <w:widowControl w:val="0"/>
        <w:spacing w:line="360" w:lineRule="auto"/>
        <w:ind w:firstLine="480" w:firstLineChars="200"/>
        <w:jc w:val="both"/>
        <w:rPr>
          <w:rFonts w:ascii="宋体" w:hAnsi="宋体" w:eastAsia="宋体" w:cs="宋体"/>
          <w:b/>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1.2“现场”是指供应商根据许可合同许可采购人使用许可系统的场所。</w:t>
      </w:r>
    </w:p>
    <w:p w14:paraId="63BA0A09">
      <w:pPr>
        <w:widowControl w:val="0"/>
        <w:spacing w:line="360" w:lineRule="auto"/>
        <w:ind w:firstLine="480" w:firstLineChars="200"/>
        <w:jc w:val="both"/>
        <w:rPr>
          <w:rFonts w:ascii="宋体" w:hAnsi="宋体" w:eastAsia="宋体" w:cs="宋体"/>
          <w:b/>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1.3“现场维护”是指服务供应商采购方提出 的技术问题派遣技术人员到采购方现场处解决问题的过程。</w:t>
      </w:r>
    </w:p>
    <w:p w14:paraId="72FE5014">
      <w:pPr>
        <w:widowControl w:val="0"/>
        <w:spacing w:line="360" w:lineRule="auto"/>
        <w:ind w:firstLine="480" w:firstLineChars="200"/>
        <w:jc w:val="both"/>
        <w:rPr>
          <w:rFonts w:ascii="宋体" w:hAnsi="宋体" w:eastAsia="宋体" w:cs="宋体"/>
          <w:b/>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1.4“远程维护”是指服务供应商根据采购方提出的技术问题通过电话或互联网向采购方提供问题解答、技术指导和远程操作的过程。</w:t>
      </w:r>
    </w:p>
    <w:p w14:paraId="4745CBD1">
      <w:pPr>
        <w:widowControl w:val="0"/>
        <w:spacing w:line="360" w:lineRule="auto"/>
        <w:ind w:firstLine="480" w:firstLineChars="200"/>
        <w:jc w:val="both"/>
        <w:rPr>
          <w:rFonts w:ascii="宋体" w:hAnsi="宋体" w:eastAsia="宋体" w:cs="宋体"/>
          <w:b/>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1.5“软件更新”是指由于许可软件出现故障而对许可软件进行优化、换代的过程。</w:t>
      </w:r>
    </w:p>
    <w:p w14:paraId="3A267AA0">
      <w:pPr>
        <w:widowControl w:val="0"/>
        <w:spacing w:line="360" w:lineRule="auto"/>
        <w:ind w:firstLine="480" w:firstLineChars="200"/>
        <w:jc w:val="both"/>
        <w:rPr>
          <w:rFonts w:ascii="宋体" w:hAnsi="宋体" w:eastAsia="宋体" w:cs="宋体"/>
          <w:b/>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1.6“技术支持”是指服务供应商为了保障许可软件和系统正常运行，在服务时间内通过电话、互联网等技术向采购方提供的援助或技术指导。</w:t>
      </w:r>
    </w:p>
    <w:p w14:paraId="0CCDF333">
      <w:pPr>
        <w:widowControl w:val="0"/>
        <w:spacing w:line="360" w:lineRule="auto"/>
        <w:ind w:firstLine="480" w:firstLineChars="200"/>
        <w:jc w:val="both"/>
        <w:rPr>
          <w:rFonts w:ascii="宋体" w:hAnsi="宋体" w:eastAsia="宋体" w:cs="宋体"/>
          <w:b/>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1.7“热线支持”是指服务供应商客户服务中心服务 人员通过电话向采购方提供技术问题解答的过程。</w:t>
      </w:r>
    </w:p>
    <w:p w14:paraId="74285775">
      <w:pPr>
        <w:widowControl w:val="0"/>
        <w:spacing w:line="360" w:lineRule="auto"/>
        <w:ind w:firstLine="480" w:firstLineChars="200"/>
        <w:jc w:val="both"/>
        <w:rPr>
          <w:rFonts w:ascii="宋体" w:hAnsi="宋体" w:eastAsia="宋体" w:cs="宋体"/>
          <w:b/>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1.8“网上技术支持”是指服务供应商客户服务中心通过在线支持系统接收、解答采购方问题，并在网上发面相关技术解决问答的过程。</w:t>
      </w:r>
    </w:p>
    <w:p w14:paraId="77EB6FBB">
      <w:pPr>
        <w:widowControl w:val="0"/>
        <w:spacing w:line="360" w:lineRule="auto"/>
        <w:ind w:firstLine="480" w:firstLineChars="200"/>
        <w:jc w:val="both"/>
        <w:rPr>
          <w:rFonts w:ascii="宋体" w:hAnsi="宋体" w:eastAsia="宋体" w:cs="宋体"/>
          <w:b/>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1.9“响应时间”是指服务供应商接到采购方服务请求之后，到与采购方进行沟通并对采购方做出服务承诺的时间。</w:t>
      </w:r>
    </w:p>
    <w:p w14:paraId="3A490C61">
      <w:pPr>
        <w:widowControl w:val="0"/>
        <w:spacing w:line="360" w:lineRule="auto"/>
        <w:ind w:firstLine="482" w:firstLineChars="200"/>
        <w:jc w:val="both"/>
        <w:rPr>
          <w:rFonts w:ascii="宋体" w:hAnsi="宋体" w:eastAsia="宋体" w:cs="宋体"/>
          <w:b/>
          <w:color w:val="auto"/>
          <w:kern w:val="2"/>
          <w:sz w:val="24"/>
          <w:szCs w:val="24"/>
          <w:lang w:val="en-US" w:eastAsia="zh-CN" w:bidi="ar-SA"/>
        </w:rPr>
      </w:pPr>
      <w:r>
        <w:rPr>
          <w:rFonts w:hint="eastAsia" w:ascii="宋体" w:hAnsi="宋体" w:eastAsia="宋体" w:cs="宋体"/>
          <w:b/>
          <w:color w:val="auto"/>
          <w:kern w:val="2"/>
          <w:sz w:val="24"/>
          <w:szCs w:val="24"/>
          <w:lang w:val="en-US" w:eastAsia="zh-CN" w:bidi="ar-SA"/>
        </w:rPr>
        <w:t>2.甲方委托乙方售后运维服务的信息系统模块：</w:t>
      </w:r>
    </w:p>
    <w:tbl>
      <w:tblPr>
        <w:tblStyle w:val="9"/>
        <w:tblW w:w="8500" w:type="dxa"/>
        <w:jc w:val="center"/>
        <w:tblLayout w:type="fixed"/>
        <w:tblCellMar>
          <w:top w:w="0" w:type="dxa"/>
          <w:left w:w="108" w:type="dxa"/>
          <w:bottom w:w="0" w:type="dxa"/>
          <w:right w:w="108" w:type="dxa"/>
        </w:tblCellMar>
      </w:tblPr>
      <w:tblGrid>
        <w:gridCol w:w="2910"/>
        <w:gridCol w:w="5590"/>
      </w:tblGrid>
      <w:tr w14:paraId="41AC1890">
        <w:tblPrEx>
          <w:tblCellMar>
            <w:top w:w="0" w:type="dxa"/>
            <w:left w:w="108" w:type="dxa"/>
            <w:bottom w:w="0" w:type="dxa"/>
            <w:right w:w="108" w:type="dxa"/>
          </w:tblCellMar>
        </w:tblPrEx>
        <w:trPr>
          <w:trHeight w:val="383" w:hRule="atLeast"/>
          <w:jc w:val="center"/>
        </w:trPr>
        <w:tc>
          <w:tcPr>
            <w:tcW w:w="8500" w:type="dxa"/>
            <w:gridSpan w:val="2"/>
            <w:tcBorders>
              <w:top w:val="single" w:color="auto" w:sz="4" w:space="0"/>
              <w:left w:val="single" w:color="auto" w:sz="4" w:space="0"/>
              <w:bottom w:val="single" w:color="auto" w:sz="4" w:space="0"/>
              <w:right w:val="single" w:color="auto" w:sz="4" w:space="0"/>
            </w:tcBorders>
            <w:vAlign w:val="center"/>
          </w:tcPr>
          <w:p w14:paraId="43FF6FEA">
            <w:pPr>
              <w:spacing w:line="360" w:lineRule="auto"/>
              <w:jc w:val="center"/>
              <w:rPr>
                <w:rFonts w:ascii="宋体" w:hAnsi="宋体" w:cs="宋体"/>
                <w:b/>
                <w:sz w:val="24"/>
              </w:rPr>
            </w:pPr>
            <w:r>
              <w:rPr>
                <w:rFonts w:hint="eastAsia" w:ascii="宋体" w:hAnsi="宋体" w:cs="宋体"/>
                <w:b/>
                <w:sz w:val="24"/>
              </w:rPr>
              <w:t>陕西省交通医院终端管理系统数据备份系统功能汇总表</w:t>
            </w:r>
          </w:p>
        </w:tc>
      </w:tr>
      <w:tr w14:paraId="4CABD6D3">
        <w:tblPrEx>
          <w:tblCellMar>
            <w:top w:w="0" w:type="dxa"/>
            <w:left w:w="108" w:type="dxa"/>
            <w:bottom w:w="0" w:type="dxa"/>
            <w:right w:w="108" w:type="dxa"/>
          </w:tblCellMar>
        </w:tblPrEx>
        <w:trPr>
          <w:trHeight w:val="383" w:hRule="atLeast"/>
          <w:jc w:val="center"/>
        </w:trPr>
        <w:tc>
          <w:tcPr>
            <w:tcW w:w="2910" w:type="dxa"/>
            <w:tcBorders>
              <w:top w:val="single" w:color="auto" w:sz="4" w:space="0"/>
              <w:left w:val="single" w:color="auto" w:sz="4" w:space="0"/>
              <w:bottom w:val="single" w:color="auto" w:sz="4" w:space="0"/>
              <w:right w:val="single" w:color="auto" w:sz="4" w:space="0"/>
            </w:tcBorders>
            <w:vAlign w:val="center"/>
          </w:tcPr>
          <w:p w14:paraId="31055F23">
            <w:pPr>
              <w:spacing w:line="360" w:lineRule="auto"/>
              <w:jc w:val="center"/>
              <w:rPr>
                <w:rFonts w:ascii="宋体" w:hAnsi="宋体" w:cs="宋体"/>
                <w:b/>
                <w:sz w:val="24"/>
              </w:rPr>
            </w:pPr>
            <w:r>
              <w:rPr>
                <w:rFonts w:hint="eastAsia" w:ascii="宋体" w:hAnsi="宋体" w:cs="宋体"/>
                <w:b/>
                <w:sz w:val="24"/>
              </w:rPr>
              <w:t>信息系统名称</w:t>
            </w:r>
          </w:p>
        </w:tc>
        <w:tc>
          <w:tcPr>
            <w:tcW w:w="5590" w:type="dxa"/>
            <w:tcBorders>
              <w:top w:val="single" w:color="auto" w:sz="4" w:space="0"/>
              <w:left w:val="single" w:color="auto" w:sz="4" w:space="0"/>
              <w:bottom w:val="single" w:color="auto" w:sz="4" w:space="0"/>
              <w:right w:val="single" w:color="auto" w:sz="4" w:space="0"/>
            </w:tcBorders>
            <w:vAlign w:val="center"/>
          </w:tcPr>
          <w:p w14:paraId="70DF4D75">
            <w:pPr>
              <w:spacing w:line="360" w:lineRule="auto"/>
              <w:jc w:val="center"/>
              <w:rPr>
                <w:rFonts w:ascii="宋体" w:hAnsi="宋体" w:cs="宋体"/>
                <w:b/>
                <w:sz w:val="24"/>
              </w:rPr>
            </w:pPr>
            <w:r>
              <w:rPr>
                <w:rFonts w:hint="eastAsia" w:ascii="宋体" w:hAnsi="宋体" w:cs="宋体"/>
                <w:b/>
                <w:sz w:val="24"/>
              </w:rPr>
              <w:t>子系统名称</w:t>
            </w:r>
          </w:p>
        </w:tc>
      </w:tr>
      <w:tr w14:paraId="47F5516C">
        <w:tblPrEx>
          <w:tblCellMar>
            <w:top w:w="0" w:type="dxa"/>
            <w:left w:w="108" w:type="dxa"/>
            <w:bottom w:w="0" w:type="dxa"/>
            <w:right w:w="108" w:type="dxa"/>
          </w:tblCellMar>
        </w:tblPrEx>
        <w:trPr>
          <w:trHeight w:val="383" w:hRule="atLeast"/>
          <w:jc w:val="center"/>
        </w:trPr>
        <w:tc>
          <w:tcPr>
            <w:tcW w:w="2910" w:type="dxa"/>
            <w:vMerge w:val="restart"/>
            <w:tcBorders>
              <w:top w:val="nil"/>
              <w:left w:val="single" w:color="auto" w:sz="4" w:space="0"/>
              <w:bottom w:val="single" w:color="auto" w:sz="4" w:space="0"/>
              <w:right w:val="single" w:color="auto" w:sz="4" w:space="0"/>
            </w:tcBorders>
            <w:vAlign w:val="center"/>
          </w:tcPr>
          <w:p w14:paraId="33CE2B18">
            <w:pPr>
              <w:spacing w:line="360" w:lineRule="auto"/>
              <w:jc w:val="center"/>
              <w:rPr>
                <w:rFonts w:ascii="宋体" w:hAnsi="宋体" w:cs="宋体"/>
                <w:sz w:val="24"/>
              </w:rPr>
            </w:pPr>
            <w:r>
              <w:rPr>
                <w:rFonts w:hint="eastAsia" w:ascii="宋体" w:hAnsi="宋体" w:cs="宋体"/>
                <w:sz w:val="24"/>
              </w:rPr>
              <w:t>医院终端管理系统</w:t>
            </w:r>
          </w:p>
        </w:tc>
        <w:tc>
          <w:tcPr>
            <w:tcW w:w="5590" w:type="dxa"/>
            <w:tcBorders>
              <w:top w:val="nil"/>
              <w:left w:val="single" w:color="auto" w:sz="4" w:space="0"/>
              <w:bottom w:val="single" w:color="auto" w:sz="4" w:space="0"/>
              <w:right w:val="single" w:color="auto" w:sz="4" w:space="0"/>
            </w:tcBorders>
            <w:vAlign w:val="center"/>
          </w:tcPr>
          <w:p w14:paraId="4275E92F">
            <w:pPr>
              <w:spacing w:line="360" w:lineRule="auto"/>
              <w:rPr>
                <w:rFonts w:ascii="宋体" w:hAnsi="宋体" w:cs="宋体"/>
                <w:sz w:val="24"/>
              </w:rPr>
            </w:pPr>
            <w:r>
              <w:rPr>
                <w:rFonts w:hint="eastAsia" w:ascii="宋体" w:hAnsi="宋体" w:cs="宋体"/>
                <w:sz w:val="24"/>
              </w:rPr>
              <w:t>一体机定时备份子系统</w:t>
            </w:r>
          </w:p>
        </w:tc>
      </w:tr>
      <w:tr w14:paraId="190FE6EC">
        <w:tblPrEx>
          <w:tblCellMar>
            <w:top w:w="0" w:type="dxa"/>
            <w:left w:w="108" w:type="dxa"/>
            <w:bottom w:w="0" w:type="dxa"/>
            <w:right w:w="108" w:type="dxa"/>
          </w:tblCellMar>
        </w:tblPrEx>
        <w:trPr>
          <w:trHeight w:val="383" w:hRule="atLeast"/>
          <w:jc w:val="center"/>
        </w:trPr>
        <w:tc>
          <w:tcPr>
            <w:tcW w:w="2910" w:type="dxa"/>
            <w:vMerge w:val="continue"/>
            <w:tcBorders>
              <w:top w:val="nil"/>
              <w:left w:val="single" w:color="auto" w:sz="4" w:space="0"/>
              <w:bottom w:val="single" w:color="auto" w:sz="4" w:space="0"/>
              <w:right w:val="single" w:color="auto" w:sz="4" w:space="0"/>
            </w:tcBorders>
            <w:vAlign w:val="center"/>
          </w:tcPr>
          <w:p w14:paraId="1E986693">
            <w:pPr>
              <w:spacing w:line="360" w:lineRule="auto"/>
              <w:jc w:val="center"/>
              <w:rPr>
                <w:rFonts w:ascii="宋体" w:hAnsi="宋体" w:cs="宋体"/>
                <w:sz w:val="24"/>
              </w:rPr>
            </w:pPr>
          </w:p>
        </w:tc>
        <w:tc>
          <w:tcPr>
            <w:tcW w:w="5590" w:type="dxa"/>
            <w:tcBorders>
              <w:top w:val="nil"/>
              <w:left w:val="single" w:color="auto" w:sz="4" w:space="0"/>
              <w:bottom w:val="single" w:color="auto" w:sz="4" w:space="0"/>
              <w:right w:val="single" w:color="auto" w:sz="4" w:space="0"/>
            </w:tcBorders>
            <w:vAlign w:val="center"/>
          </w:tcPr>
          <w:p w14:paraId="4DDEC1BE">
            <w:pPr>
              <w:spacing w:line="360" w:lineRule="auto"/>
              <w:rPr>
                <w:rFonts w:ascii="宋体" w:hAnsi="宋体" w:cs="宋体"/>
                <w:sz w:val="24"/>
              </w:rPr>
            </w:pPr>
            <w:r>
              <w:rPr>
                <w:rFonts w:hint="eastAsia" w:ascii="宋体" w:hAnsi="宋体" w:cs="宋体"/>
                <w:sz w:val="24"/>
              </w:rPr>
              <w:t>内置控制台子系统</w:t>
            </w:r>
          </w:p>
        </w:tc>
      </w:tr>
      <w:tr w14:paraId="2603F154">
        <w:tblPrEx>
          <w:tblCellMar>
            <w:top w:w="0" w:type="dxa"/>
            <w:left w:w="108" w:type="dxa"/>
            <w:bottom w:w="0" w:type="dxa"/>
            <w:right w:w="108" w:type="dxa"/>
          </w:tblCellMar>
        </w:tblPrEx>
        <w:trPr>
          <w:trHeight w:val="383" w:hRule="atLeast"/>
          <w:jc w:val="center"/>
        </w:trPr>
        <w:tc>
          <w:tcPr>
            <w:tcW w:w="2910" w:type="dxa"/>
            <w:vMerge w:val="continue"/>
            <w:tcBorders>
              <w:top w:val="nil"/>
              <w:left w:val="single" w:color="auto" w:sz="4" w:space="0"/>
              <w:bottom w:val="single" w:color="auto" w:sz="4" w:space="0"/>
              <w:right w:val="single" w:color="auto" w:sz="4" w:space="0"/>
            </w:tcBorders>
            <w:vAlign w:val="center"/>
          </w:tcPr>
          <w:p w14:paraId="51255A53">
            <w:pPr>
              <w:spacing w:line="360" w:lineRule="auto"/>
              <w:jc w:val="center"/>
              <w:rPr>
                <w:rFonts w:ascii="宋体" w:hAnsi="宋体" w:cs="宋体"/>
                <w:sz w:val="24"/>
              </w:rPr>
            </w:pPr>
          </w:p>
        </w:tc>
        <w:tc>
          <w:tcPr>
            <w:tcW w:w="5590" w:type="dxa"/>
            <w:tcBorders>
              <w:top w:val="nil"/>
              <w:left w:val="single" w:color="auto" w:sz="4" w:space="0"/>
              <w:bottom w:val="single" w:color="auto" w:sz="4" w:space="0"/>
              <w:right w:val="single" w:color="auto" w:sz="4" w:space="0"/>
            </w:tcBorders>
            <w:vAlign w:val="center"/>
          </w:tcPr>
          <w:p w14:paraId="0CAE4650">
            <w:pPr>
              <w:spacing w:line="360" w:lineRule="auto"/>
              <w:rPr>
                <w:rFonts w:ascii="宋体" w:hAnsi="宋体" w:cs="宋体"/>
                <w:sz w:val="24"/>
              </w:rPr>
            </w:pPr>
            <w:r>
              <w:rPr>
                <w:rFonts w:hint="eastAsia" w:ascii="宋体" w:hAnsi="宋体" w:cs="宋体"/>
                <w:sz w:val="24"/>
              </w:rPr>
              <w:t>永久增量子系统</w:t>
            </w:r>
          </w:p>
        </w:tc>
      </w:tr>
      <w:tr w14:paraId="367AB90A">
        <w:tblPrEx>
          <w:tblCellMar>
            <w:top w:w="0" w:type="dxa"/>
            <w:left w:w="108" w:type="dxa"/>
            <w:bottom w:w="0" w:type="dxa"/>
            <w:right w:w="108" w:type="dxa"/>
          </w:tblCellMar>
        </w:tblPrEx>
        <w:trPr>
          <w:trHeight w:val="576" w:hRule="atLeast"/>
          <w:jc w:val="center"/>
        </w:trPr>
        <w:tc>
          <w:tcPr>
            <w:tcW w:w="2910" w:type="dxa"/>
            <w:vMerge w:val="continue"/>
            <w:tcBorders>
              <w:top w:val="nil"/>
              <w:left w:val="single" w:color="auto" w:sz="4" w:space="0"/>
              <w:bottom w:val="single" w:color="auto" w:sz="4" w:space="0"/>
              <w:right w:val="single" w:color="auto" w:sz="4" w:space="0"/>
            </w:tcBorders>
            <w:vAlign w:val="center"/>
          </w:tcPr>
          <w:p w14:paraId="03AD8624">
            <w:pPr>
              <w:spacing w:line="360" w:lineRule="auto"/>
              <w:jc w:val="center"/>
              <w:rPr>
                <w:rFonts w:ascii="宋体" w:hAnsi="宋体" w:cs="宋体"/>
                <w:sz w:val="24"/>
              </w:rPr>
            </w:pPr>
          </w:p>
        </w:tc>
        <w:tc>
          <w:tcPr>
            <w:tcW w:w="5590" w:type="dxa"/>
            <w:tcBorders>
              <w:top w:val="nil"/>
              <w:left w:val="single" w:color="auto" w:sz="4" w:space="0"/>
              <w:bottom w:val="single" w:color="auto" w:sz="4" w:space="0"/>
              <w:right w:val="single" w:color="auto" w:sz="4" w:space="0"/>
            </w:tcBorders>
            <w:vAlign w:val="center"/>
          </w:tcPr>
          <w:p w14:paraId="537E2E30">
            <w:pPr>
              <w:spacing w:line="360" w:lineRule="auto"/>
              <w:rPr>
                <w:rFonts w:ascii="宋体" w:hAnsi="宋体" w:cs="宋体"/>
                <w:sz w:val="24"/>
              </w:rPr>
            </w:pPr>
            <w:r>
              <w:rPr>
                <w:rFonts w:hint="eastAsia" w:ascii="宋体" w:hAnsi="宋体" w:cs="宋体"/>
                <w:sz w:val="24"/>
              </w:rPr>
              <w:t>重复数据删除子系统</w:t>
            </w:r>
          </w:p>
        </w:tc>
      </w:tr>
    </w:tbl>
    <w:p w14:paraId="3991B8CC">
      <w:pPr>
        <w:spacing w:line="360" w:lineRule="auto"/>
        <w:rPr>
          <w:rFonts w:ascii="宋体" w:hAnsi="宋体" w:cs="宋体"/>
          <w:sz w:val="24"/>
        </w:rPr>
      </w:pPr>
    </w:p>
    <w:p w14:paraId="29928844">
      <w:pPr>
        <w:widowControl w:val="0"/>
        <w:spacing w:line="360" w:lineRule="auto"/>
        <w:ind w:firstLine="482" w:firstLineChars="200"/>
        <w:jc w:val="both"/>
        <w:rPr>
          <w:rFonts w:ascii="宋体" w:hAnsi="宋体" w:eastAsia="宋体" w:cs="宋体"/>
          <w:b/>
          <w:color w:val="auto"/>
          <w:kern w:val="2"/>
          <w:sz w:val="24"/>
          <w:szCs w:val="24"/>
          <w:lang w:val="en-US" w:eastAsia="zh-CN" w:bidi="ar-SA"/>
        </w:rPr>
      </w:pPr>
      <w:r>
        <w:rPr>
          <w:rFonts w:hint="eastAsia" w:ascii="宋体" w:hAnsi="宋体" w:eastAsia="宋体" w:cs="宋体"/>
          <w:b/>
          <w:color w:val="auto"/>
          <w:kern w:val="2"/>
          <w:sz w:val="24"/>
          <w:szCs w:val="24"/>
          <w:lang w:val="en-US" w:eastAsia="zh-CN" w:bidi="ar-SA"/>
        </w:rPr>
        <w:t>3.医院故障分级标准及响应时间要求</w:t>
      </w:r>
    </w:p>
    <w:tbl>
      <w:tblPr>
        <w:tblStyle w:val="10"/>
        <w:tblW w:w="96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0"/>
        <w:gridCol w:w="1134"/>
        <w:gridCol w:w="3685"/>
        <w:gridCol w:w="4111"/>
      </w:tblGrid>
      <w:tr w14:paraId="640DC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710" w:type="dxa"/>
            <w:vAlign w:val="center"/>
          </w:tcPr>
          <w:p w14:paraId="0A729CB0">
            <w:pPr>
              <w:spacing w:line="360" w:lineRule="auto"/>
              <w:jc w:val="center"/>
              <w:rPr>
                <w:rFonts w:ascii="宋体" w:hAnsi="宋体" w:eastAsia="等线" w:cs="宋体"/>
                <w:b/>
                <w:sz w:val="24"/>
              </w:rPr>
            </w:pPr>
            <w:r>
              <w:rPr>
                <w:rFonts w:hint="eastAsia" w:ascii="宋体" w:hAnsi="宋体" w:eastAsia="等线" w:cs="宋体"/>
                <w:b/>
                <w:sz w:val="24"/>
              </w:rPr>
              <w:t>序号</w:t>
            </w:r>
          </w:p>
        </w:tc>
        <w:tc>
          <w:tcPr>
            <w:tcW w:w="1134" w:type="dxa"/>
            <w:vAlign w:val="center"/>
          </w:tcPr>
          <w:p w14:paraId="344FB3A4">
            <w:pPr>
              <w:spacing w:line="360" w:lineRule="auto"/>
              <w:jc w:val="center"/>
              <w:rPr>
                <w:rFonts w:ascii="宋体" w:hAnsi="宋体" w:eastAsia="等线" w:cs="宋体"/>
                <w:b/>
                <w:sz w:val="24"/>
              </w:rPr>
            </w:pPr>
            <w:r>
              <w:rPr>
                <w:rFonts w:hint="eastAsia" w:ascii="宋体" w:hAnsi="宋体" w:eastAsia="等线" w:cs="宋体"/>
                <w:b/>
                <w:sz w:val="24"/>
              </w:rPr>
              <w:t>故障等级</w:t>
            </w:r>
          </w:p>
        </w:tc>
        <w:tc>
          <w:tcPr>
            <w:tcW w:w="3685" w:type="dxa"/>
            <w:vAlign w:val="center"/>
          </w:tcPr>
          <w:p w14:paraId="4211A5F8">
            <w:pPr>
              <w:spacing w:line="360" w:lineRule="auto"/>
              <w:jc w:val="center"/>
              <w:rPr>
                <w:rFonts w:ascii="宋体" w:hAnsi="宋体" w:eastAsia="等线" w:cs="宋体"/>
                <w:b/>
                <w:sz w:val="24"/>
              </w:rPr>
            </w:pPr>
            <w:r>
              <w:rPr>
                <w:rFonts w:hint="eastAsia" w:ascii="宋体" w:hAnsi="宋体" w:eastAsia="等线" w:cs="宋体"/>
                <w:b/>
                <w:sz w:val="24"/>
              </w:rPr>
              <w:t>故障情况描述</w:t>
            </w:r>
          </w:p>
        </w:tc>
        <w:tc>
          <w:tcPr>
            <w:tcW w:w="4111" w:type="dxa"/>
            <w:vAlign w:val="center"/>
          </w:tcPr>
          <w:p w14:paraId="345E698C">
            <w:pPr>
              <w:spacing w:line="360" w:lineRule="auto"/>
              <w:jc w:val="center"/>
              <w:rPr>
                <w:rFonts w:ascii="宋体" w:hAnsi="宋体" w:eastAsia="等线" w:cs="宋体"/>
                <w:b/>
                <w:sz w:val="24"/>
              </w:rPr>
            </w:pPr>
            <w:r>
              <w:rPr>
                <w:rFonts w:hint="eastAsia" w:ascii="宋体" w:hAnsi="宋体" w:eastAsia="等线" w:cs="宋体"/>
                <w:b/>
                <w:sz w:val="24"/>
              </w:rPr>
              <w:t>响应时间要求</w:t>
            </w:r>
          </w:p>
        </w:tc>
      </w:tr>
      <w:tr w14:paraId="0E760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jc w:val="center"/>
        </w:trPr>
        <w:tc>
          <w:tcPr>
            <w:tcW w:w="710" w:type="dxa"/>
            <w:vAlign w:val="center"/>
          </w:tcPr>
          <w:p w14:paraId="459C1D05">
            <w:pPr>
              <w:spacing w:line="360" w:lineRule="auto"/>
              <w:jc w:val="center"/>
              <w:rPr>
                <w:rFonts w:ascii="宋体" w:hAnsi="宋体" w:eastAsia="等线" w:cs="宋体"/>
                <w:sz w:val="24"/>
              </w:rPr>
            </w:pPr>
            <w:r>
              <w:rPr>
                <w:rFonts w:hint="eastAsia" w:ascii="宋体" w:hAnsi="宋体" w:eastAsia="等线" w:cs="宋体"/>
                <w:sz w:val="24"/>
              </w:rPr>
              <w:t>1</w:t>
            </w:r>
          </w:p>
        </w:tc>
        <w:tc>
          <w:tcPr>
            <w:tcW w:w="1134" w:type="dxa"/>
            <w:vAlign w:val="center"/>
          </w:tcPr>
          <w:p w14:paraId="69258785">
            <w:pPr>
              <w:spacing w:line="360" w:lineRule="auto"/>
              <w:jc w:val="center"/>
              <w:rPr>
                <w:rFonts w:ascii="宋体" w:hAnsi="宋体" w:eastAsia="等线" w:cs="宋体"/>
                <w:sz w:val="24"/>
              </w:rPr>
            </w:pPr>
            <w:r>
              <w:rPr>
                <w:rFonts w:hint="eastAsia" w:ascii="宋体" w:hAnsi="宋体" w:eastAsia="等线" w:cs="宋体"/>
                <w:sz w:val="24"/>
              </w:rPr>
              <w:t>一级故障</w:t>
            </w:r>
          </w:p>
        </w:tc>
        <w:tc>
          <w:tcPr>
            <w:tcW w:w="3685" w:type="dxa"/>
            <w:vAlign w:val="center"/>
          </w:tcPr>
          <w:p w14:paraId="76F7EA2E">
            <w:pPr>
              <w:spacing w:line="360" w:lineRule="auto"/>
              <w:rPr>
                <w:rFonts w:ascii="宋体" w:hAnsi="宋体" w:eastAsia="等线" w:cs="宋体"/>
                <w:sz w:val="24"/>
              </w:rPr>
            </w:pPr>
            <w:r>
              <w:rPr>
                <w:rFonts w:hint="eastAsia" w:ascii="宋体" w:hAnsi="宋体" w:eastAsia="等线" w:cs="宋体"/>
                <w:sz w:val="24"/>
              </w:rPr>
              <w:t>信息系统瘫痪，或出现多部门终端用户的业务无法办理，严重影响医院业务正常运作。</w:t>
            </w:r>
          </w:p>
        </w:tc>
        <w:tc>
          <w:tcPr>
            <w:tcW w:w="4111" w:type="dxa"/>
            <w:vAlign w:val="center"/>
          </w:tcPr>
          <w:p w14:paraId="38A0FEA8">
            <w:pPr>
              <w:spacing w:line="360" w:lineRule="auto"/>
              <w:rPr>
                <w:rFonts w:ascii="宋体" w:hAnsi="宋体" w:eastAsia="等线" w:cs="宋体"/>
                <w:sz w:val="24"/>
              </w:rPr>
            </w:pPr>
            <w:r>
              <w:rPr>
                <w:rFonts w:hint="eastAsia" w:ascii="宋体" w:hAnsi="宋体" w:eastAsia="等线" w:cs="宋体"/>
                <w:sz w:val="24"/>
              </w:rPr>
              <w:t>服务商应在10分钟内响应，4小时内到达现场，6小时内解决问题，或提供相应解决方案直至系统恢复正常。</w:t>
            </w:r>
          </w:p>
        </w:tc>
      </w:tr>
      <w:tr w14:paraId="0BDBF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3" w:hRule="atLeast"/>
          <w:jc w:val="center"/>
        </w:trPr>
        <w:tc>
          <w:tcPr>
            <w:tcW w:w="710" w:type="dxa"/>
            <w:vAlign w:val="center"/>
          </w:tcPr>
          <w:p w14:paraId="7DB93FB0">
            <w:pPr>
              <w:spacing w:line="360" w:lineRule="auto"/>
              <w:jc w:val="center"/>
              <w:rPr>
                <w:rFonts w:ascii="宋体" w:hAnsi="宋体" w:eastAsia="等线" w:cs="宋体"/>
                <w:sz w:val="24"/>
              </w:rPr>
            </w:pPr>
            <w:r>
              <w:rPr>
                <w:rFonts w:hint="eastAsia" w:ascii="宋体" w:hAnsi="宋体" w:eastAsia="等线" w:cs="宋体"/>
                <w:sz w:val="24"/>
              </w:rPr>
              <w:t>2</w:t>
            </w:r>
          </w:p>
        </w:tc>
        <w:tc>
          <w:tcPr>
            <w:tcW w:w="1134" w:type="dxa"/>
            <w:vAlign w:val="center"/>
          </w:tcPr>
          <w:p w14:paraId="268C4989">
            <w:pPr>
              <w:spacing w:line="360" w:lineRule="auto"/>
              <w:jc w:val="center"/>
              <w:rPr>
                <w:rFonts w:ascii="宋体" w:hAnsi="宋体" w:eastAsia="等线" w:cs="宋体"/>
                <w:sz w:val="24"/>
              </w:rPr>
            </w:pPr>
            <w:r>
              <w:rPr>
                <w:rFonts w:hint="eastAsia" w:ascii="宋体" w:hAnsi="宋体" w:eastAsia="等线" w:cs="宋体"/>
                <w:sz w:val="24"/>
              </w:rPr>
              <w:t>二级故障</w:t>
            </w:r>
          </w:p>
        </w:tc>
        <w:tc>
          <w:tcPr>
            <w:tcW w:w="3685" w:type="dxa"/>
            <w:vAlign w:val="center"/>
          </w:tcPr>
          <w:p w14:paraId="74A57F5C">
            <w:pPr>
              <w:spacing w:line="360" w:lineRule="auto"/>
              <w:rPr>
                <w:rFonts w:ascii="宋体" w:hAnsi="宋体" w:eastAsia="等线" w:cs="宋体"/>
                <w:sz w:val="24"/>
              </w:rPr>
            </w:pPr>
            <w:r>
              <w:rPr>
                <w:rFonts w:hint="eastAsia" w:ascii="宋体" w:hAnsi="宋体" w:eastAsia="等线" w:cs="宋体"/>
                <w:sz w:val="24"/>
              </w:rPr>
              <w:t>信息系统的操作性能严重降级，或由于系统性能失常严重影响用户的业务动作。</w:t>
            </w:r>
          </w:p>
        </w:tc>
        <w:tc>
          <w:tcPr>
            <w:tcW w:w="4111" w:type="dxa"/>
            <w:vAlign w:val="center"/>
          </w:tcPr>
          <w:p w14:paraId="54FAB448">
            <w:pPr>
              <w:spacing w:line="360" w:lineRule="auto"/>
              <w:rPr>
                <w:rFonts w:ascii="宋体" w:hAnsi="宋体" w:eastAsia="等线" w:cs="宋体"/>
                <w:sz w:val="24"/>
              </w:rPr>
            </w:pPr>
            <w:r>
              <w:rPr>
                <w:rFonts w:hint="eastAsia" w:ascii="宋体" w:hAnsi="宋体" w:eastAsia="等线" w:cs="宋体"/>
                <w:sz w:val="24"/>
              </w:rPr>
              <w:t>服务商应在30分钟内响应，6小时内到达现场或远程维护，12小时内解决问题，或提供相应解决方案直至系统恢复正常。</w:t>
            </w:r>
          </w:p>
        </w:tc>
      </w:tr>
      <w:tr w14:paraId="746B5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2" w:hRule="atLeast"/>
          <w:jc w:val="center"/>
        </w:trPr>
        <w:tc>
          <w:tcPr>
            <w:tcW w:w="710" w:type="dxa"/>
            <w:vAlign w:val="center"/>
          </w:tcPr>
          <w:p w14:paraId="12CB54A5">
            <w:pPr>
              <w:spacing w:line="360" w:lineRule="auto"/>
              <w:jc w:val="center"/>
              <w:rPr>
                <w:rFonts w:ascii="宋体" w:hAnsi="宋体" w:eastAsia="等线" w:cs="宋体"/>
                <w:sz w:val="24"/>
              </w:rPr>
            </w:pPr>
            <w:r>
              <w:rPr>
                <w:rFonts w:hint="eastAsia" w:ascii="宋体" w:hAnsi="宋体" w:eastAsia="等线" w:cs="宋体"/>
                <w:sz w:val="24"/>
              </w:rPr>
              <w:t>3</w:t>
            </w:r>
          </w:p>
        </w:tc>
        <w:tc>
          <w:tcPr>
            <w:tcW w:w="1134" w:type="dxa"/>
            <w:vAlign w:val="center"/>
          </w:tcPr>
          <w:p w14:paraId="20DF069D">
            <w:pPr>
              <w:spacing w:line="360" w:lineRule="auto"/>
              <w:jc w:val="center"/>
              <w:rPr>
                <w:rFonts w:ascii="宋体" w:hAnsi="宋体" w:eastAsia="等线" w:cs="宋体"/>
                <w:sz w:val="24"/>
              </w:rPr>
            </w:pPr>
            <w:r>
              <w:rPr>
                <w:rFonts w:hint="eastAsia" w:ascii="宋体" w:hAnsi="宋体" w:eastAsia="等线" w:cs="宋体"/>
                <w:sz w:val="24"/>
              </w:rPr>
              <w:t>三级故障</w:t>
            </w:r>
          </w:p>
        </w:tc>
        <w:tc>
          <w:tcPr>
            <w:tcW w:w="3685" w:type="dxa"/>
            <w:vAlign w:val="center"/>
          </w:tcPr>
          <w:p w14:paraId="3752AE4F">
            <w:pPr>
              <w:spacing w:line="360" w:lineRule="auto"/>
              <w:rPr>
                <w:rFonts w:ascii="宋体" w:hAnsi="宋体" w:eastAsia="等线" w:cs="宋体"/>
                <w:sz w:val="24"/>
              </w:rPr>
            </w:pPr>
            <w:r>
              <w:rPr>
                <w:rFonts w:hint="eastAsia" w:ascii="宋体" w:hAnsi="宋体" w:eastAsia="等线" w:cs="宋体"/>
                <w:sz w:val="24"/>
              </w:rPr>
              <w:t>信息系统部分功能受损，影响较少患者正常就诊，医院主要业务正常工作。</w:t>
            </w:r>
          </w:p>
        </w:tc>
        <w:tc>
          <w:tcPr>
            <w:tcW w:w="4111" w:type="dxa"/>
            <w:vAlign w:val="center"/>
          </w:tcPr>
          <w:p w14:paraId="7510EA2E">
            <w:pPr>
              <w:spacing w:line="360" w:lineRule="auto"/>
              <w:rPr>
                <w:rFonts w:ascii="宋体" w:hAnsi="宋体" w:eastAsia="等线" w:cs="宋体"/>
                <w:sz w:val="24"/>
              </w:rPr>
            </w:pPr>
            <w:r>
              <w:rPr>
                <w:rFonts w:hint="eastAsia" w:ascii="宋体" w:hAnsi="宋体" w:eastAsia="等线" w:cs="宋体"/>
                <w:sz w:val="24"/>
              </w:rPr>
              <w:t>服务商应在30分钟内响应，12小时内到达现场或远程维护，24小时内解决问题。</w:t>
            </w:r>
          </w:p>
        </w:tc>
      </w:tr>
      <w:tr w14:paraId="618AF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2" w:hRule="atLeast"/>
          <w:jc w:val="center"/>
        </w:trPr>
        <w:tc>
          <w:tcPr>
            <w:tcW w:w="710" w:type="dxa"/>
            <w:vAlign w:val="center"/>
          </w:tcPr>
          <w:p w14:paraId="5AB6A482">
            <w:pPr>
              <w:spacing w:line="360" w:lineRule="auto"/>
              <w:jc w:val="center"/>
              <w:rPr>
                <w:rFonts w:ascii="宋体" w:hAnsi="宋体" w:eastAsia="等线" w:cs="宋体"/>
                <w:sz w:val="24"/>
              </w:rPr>
            </w:pPr>
            <w:r>
              <w:rPr>
                <w:rFonts w:hint="eastAsia" w:ascii="宋体" w:hAnsi="宋体" w:eastAsia="等线" w:cs="宋体"/>
                <w:sz w:val="24"/>
              </w:rPr>
              <w:t>4</w:t>
            </w:r>
          </w:p>
        </w:tc>
        <w:tc>
          <w:tcPr>
            <w:tcW w:w="1134" w:type="dxa"/>
            <w:vAlign w:val="center"/>
          </w:tcPr>
          <w:p w14:paraId="55E63D74">
            <w:pPr>
              <w:spacing w:line="360" w:lineRule="auto"/>
              <w:jc w:val="center"/>
              <w:rPr>
                <w:rFonts w:ascii="宋体" w:hAnsi="宋体" w:eastAsia="等线" w:cs="宋体"/>
                <w:sz w:val="24"/>
              </w:rPr>
            </w:pPr>
            <w:r>
              <w:rPr>
                <w:rFonts w:hint="eastAsia" w:ascii="宋体" w:hAnsi="宋体" w:eastAsia="等线" w:cs="宋体"/>
                <w:sz w:val="24"/>
              </w:rPr>
              <w:t>四级故障</w:t>
            </w:r>
          </w:p>
        </w:tc>
        <w:tc>
          <w:tcPr>
            <w:tcW w:w="3685" w:type="dxa"/>
            <w:vAlign w:val="center"/>
          </w:tcPr>
          <w:p w14:paraId="04EE0475">
            <w:pPr>
              <w:spacing w:line="360" w:lineRule="auto"/>
              <w:rPr>
                <w:rFonts w:ascii="宋体" w:hAnsi="宋体" w:eastAsia="等线" w:cs="宋体"/>
                <w:sz w:val="24"/>
              </w:rPr>
            </w:pPr>
            <w:r>
              <w:rPr>
                <w:rFonts w:hint="eastAsia" w:ascii="宋体" w:hAnsi="宋体" w:eastAsia="等线" w:cs="宋体"/>
                <w:sz w:val="24"/>
              </w:rPr>
              <w:t>信息系统出现一般性问题，对患者与系统运行几乎或无影响。</w:t>
            </w:r>
          </w:p>
        </w:tc>
        <w:tc>
          <w:tcPr>
            <w:tcW w:w="4111" w:type="dxa"/>
            <w:vAlign w:val="center"/>
          </w:tcPr>
          <w:p w14:paraId="471D9945">
            <w:pPr>
              <w:spacing w:line="360" w:lineRule="auto"/>
              <w:rPr>
                <w:rFonts w:ascii="宋体" w:hAnsi="宋体" w:eastAsia="等线" w:cs="宋体"/>
                <w:sz w:val="24"/>
              </w:rPr>
            </w:pPr>
            <w:r>
              <w:rPr>
                <w:rFonts w:hint="eastAsia" w:ascii="宋体" w:hAnsi="宋体" w:eastAsia="等线" w:cs="宋体"/>
                <w:sz w:val="24"/>
              </w:rPr>
              <w:t>服务商应在30分钟内响应，24小时内到达现场或远程维护，48小时内解决问题。</w:t>
            </w:r>
          </w:p>
        </w:tc>
      </w:tr>
    </w:tbl>
    <w:p w14:paraId="19AD13EF">
      <w:pPr>
        <w:widowControl w:val="0"/>
        <w:spacing w:line="360" w:lineRule="auto"/>
        <w:ind w:firstLine="482" w:firstLineChars="200"/>
        <w:jc w:val="both"/>
        <w:rPr>
          <w:rFonts w:ascii="宋体" w:hAnsi="宋体" w:eastAsia="宋体" w:cs="宋体"/>
          <w:b/>
          <w:color w:val="auto"/>
          <w:kern w:val="2"/>
          <w:sz w:val="24"/>
          <w:szCs w:val="24"/>
          <w:lang w:val="en-US" w:eastAsia="zh-CN" w:bidi="ar-SA"/>
        </w:rPr>
      </w:pPr>
      <w:r>
        <w:rPr>
          <w:rFonts w:hint="eastAsia" w:ascii="宋体" w:hAnsi="宋体" w:eastAsia="宋体" w:cs="宋体"/>
          <w:b/>
          <w:color w:val="auto"/>
          <w:kern w:val="2"/>
          <w:sz w:val="24"/>
          <w:szCs w:val="24"/>
          <w:lang w:val="en-US" w:eastAsia="zh-CN" w:bidi="ar-SA"/>
        </w:rPr>
        <w:t>4.售后运维服务要求：</w:t>
      </w:r>
    </w:p>
    <w:p w14:paraId="045A03DF">
      <w:pPr>
        <w:widowControl w:val="0"/>
        <w:autoSpaceDE w:val="0"/>
        <w:autoSpaceDN w:val="0"/>
        <w:adjustRightInd w:val="0"/>
        <w:spacing w:line="360" w:lineRule="auto"/>
        <w:ind w:firstLine="440"/>
        <w:jc w:val="both"/>
        <w:rPr>
          <w:rFonts w:ascii="宋体" w:hAnsi="宋体" w:eastAsia="宋体" w:cs="宋体"/>
          <w:bCs/>
          <w:kern w:val="0"/>
          <w:sz w:val="24"/>
          <w:szCs w:val="24"/>
          <w:lang w:val="en-US" w:eastAsia="zh-CN" w:bidi="ar-SA"/>
        </w:rPr>
      </w:pPr>
      <w:r>
        <w:rPr>
          <w:rFonts w:hint="eastAsia" w:ascii="宋体" w:hAnsi="宋体" w:eastAsia="宋体" w:cs="宋体"/>
          <w:bCs/>
          <w:kern w:val="0"/>
          <w:sz w:val="24"/>
          <w:szCs w:val="24"/>
          <w:lang w:val="en-US" w:eastAsia="zh-CN" w:bidi="ar-SA"/>
        </w:rPr>
        <w:t>服务商根据以下要求内容提供售后运维服务，但不仅限于以下服务，可依据自身技术能力提供增项服务。</w:t>
      </w:r>
    </w:p>
    <w:tbl>
      <w:tblPr>
        <w:tblStyle w:val="9"/>
        <w:tblW w:w="9633" w:type="dxa"/>
        <w:jc w:val="center"/>
        <w:tblLayout w:type="fixed"/>
        <w:tblCellMar>
          <w:top w:w="0" w:type="dxa"/>
          <w:left w:w="108" w:type="dxa"/>
          <w:bottom w:w="0" w:type="dxa"/>
          <w:right w:w="108" w:type="dxa"/>
        </w:tblCellMar>
      </w:tblPr>
      <w:tblGrid>
        <w:gridCol w:w="739"/>
        <w:gridCol w:w="1247"/>
        <w:gridCol w:w="5244"/>
        <w:gridCol w:w="1134"/>
        <w:gridCol w:w="1269"/>
      </w:tblGrid>
      <w:tr w14:paraId="6BEB0BC2">
        <w:tblPrEx>
          <w:tblCellMar>
            <w:top w:w="0" w:type="dxa"/>
            <w:left w:w="108" w:type="dxa"/>
            <w:bottom w:w="0" w:type="dxa"/>
            <w:right w:w="108" w:type="dxa"/>
          </w:tblCellMar>
        </w:tblPrEx>
        <w:trPr>
          <w:trHeight w:val="273" w:hRule="atLeast"/>
          <w:jc w:val="center"/>
        </w:trPr>
        <w:tc>
          <w:tcPr>
            <w:tcW w:w="739" w:type="dxa"/>
            <w:tcBorders>
              <w:top w:val="single" w:color="auto" w:sz="4" w:space="0"/>
              <w:left w:val="single" w:color="auto" w:sz="4" w:space="0"/>
              <w:bottom w:val="single" w:color="auto" w:sz="4" w:space="0"/>
              <w:right w:val="single" w:color="auto" w:sz="4" w:space="0"/>
            </w:tcBorders>
            <w:noWrap/>
            <w:vAlign w:val="center"/>
          </w:tcPr>
          <w:p w14:paraId="052B03C0">
            <w:pPr>
              <w:spacing w:line="360" w:lineRule="auto"/>
              <w:jc w:val="center"/>
              <w:rPr>
                <w:rFonts w:ascii="宋体" w:hAnsi="宋体" w:cs="宋体"/>
                <w:b/>
                <w:kern w:val="0"/>
                <w:sz w:val="24"/>
              </w:rPr>
            </w:pPr>
            <w:r>
              <w:rPr>
                <w:rFonts w:hint="eastAsia" w:ascii="宋体" w:hAnsi="宋体" w:cs="宋体"/>
                <w:b/>
                <w:kern w:val="0"/>
                <w:sz w:val="24"/>
              </w:rPr>
              <w:t>序号</w:t>
            </w:r>
          </w:p>
        </w:tc>
        <w:tc>
          <w:tcPr>
            <w:tcW w:w="1247" w:type="dxa"/>
            <w:tcBorders>
              <w:top w:val="single" w:color="auto" w:sz="4" w:space="0"/>
              <w:left w:val="nil"/>
              <w:bottom w:val="single" w:color="auto" w:sz="4" w:space="0"/>
              <w:right w:val="single" w:color="auto" w:sz="4" w:space="0"/>
            </w:tcBorders>
            <w:noWrap/>
            <w:vAlign w:val="center"/>
          </w:tcPr>
          <w:p w14:paraId="537F01D1">
            <w:pPr>
              <w:spacing w:line="360" w:lineRule="auto"/>
              <w:jc w:val="center"/>
              <w:rPr>
                <w:rFonts w:ascii="宋体" w:hAnsi="宋体" w:cs="宋体"/>
                <w:b/>
                <w:kern w:val="0"/>
                <w:sz w:val="24"/>
              </w:rPr>
            </w:pPr>
            <w:r>
              <w:rPr>
                <w:rFonts w:hint="eastAsia" w:ascii="宋体" w:hAnsi="宋体" w:cs="宋体"/>
                <w:b/>
                <w:kern w:val="0"/>
                <w:sz w:val="24"/>
              </w:rPr>
              <w:t>服务项目</w:t>
            </w:r>
          </w:p>
        </w:tc>
        <w:tc>
          <w:tcPr>
            <w:tcW w:w="5244" w:type="dxa"/>
            <w:tcBorders>
              <w:top w:val="single" w:color="auto" w:sz="4" w:space="0"/>
              <w:left w:val="nil"/>
              <w:bottom w:val="single" w:color="auto" w:sz="4" w:space="0"/>
              <w:right w:val="single" w:color="auto" w:sz="4" w:space="0"/>
            </w:tcBorders>
            <w:noWrap/>
            <w:vAlign w:val="center"/>
          </w:tcPr>
          <w:p w14:paraId="064147B3">
            <w:pPr>
              <w:spacing w:line="360" w:lineRule="auto"/>
              <w:jc w:val="center"/>
              <w:rPr>
                <w:rFonts w:ascii="宋体" w:hAnsi="宋体" w:cs="宋体"/>
                <w:b/>
                <w:kern w:val="0"/>
                <w:sz w:val="24"/>
              </w:rPr>
            </w:pPr>
            <w:r>
              <w:rPr>
                <w:rFonts w:hint="eastAsia" w:ascii="宋体" w:hAnsi="宋体" w:cs="宋体"/>
                <w:b/>
                <w:kern w:val="0"/>
                <w:sz w:val="24"/>
              </w:rPr>
              <w:t>服务内涵</w:t>
            </w:r>
          </w:p>
        </w:tc>
        <w:tc>
          <w:tcPr>
            <w:tcW w:w="1134" w:type="dxa"/>
            <w:tcBorders>
              <w:top w:val="single" w:color="auto" w:sz="4" w:space="0"/>
              <w:left w:val="nil"/>
              <w:bottom w:val="single" w:color="auto" w:sz="4" w:space="0"/>
              <w:right w:val="single" w:color="auto" w:sz="4" w:space="0"/>
            </w:tcBorders>
            <w:noWrap/>
            <w:vAlign w:val="center"/>
          </w:tcPr>
          <w:p w14:paraId="64F81F8C">
            <w:pPr>
              <w:spacing w:line="360" w:lineRule="auto"/>
              <w:jc w:val="center"/>
              <w:rPr>
                <w:rFonts w:ascii="宋体" w:hAnsi="宋体" w:cs="宋体"/>
                <w:b/>
                <w:kern w:val="0"/>
                <w:sz w:val="24"/>
              </w:rPr>
            </w:pPr>
            <w:r>
              <w:rPr>
                <w:rFonts w:hint="eastAsia" w:ascii="宋体" w:hAnsi="宋体" w:cs="宋体"/>
                <w:b/>
                <w:kern w:val="0"/>
                <w:sz w:val="24"/>
              </w:rPr>
              <w:t>服务方式</w:t>
            </w:r>
          </w:p>
        </w:tc>
        <w:tc>
          <w:tcPr>
            <w:tcW w:w="1269" w:type="dxa"/>
            <w:tcBorders>
              <w:top w:val="single" w:color="auto" w:sz="4" w:space="0"/>
              <w:left w:val="nil"/>
              <w:bottom w:val="single" w:color="auto" w:sz="4" w:space="0"/>
              <w:right w:val="single" w:color="auto" w:sz="4" w:space="0"/>
            </w:tcBorders>
            <w:vAlign w:val="center"/>
          </w:tcPr>
          <w:p w14:paraId="6C84C46A">
            <w:pPr>
              <w:spacing w:line="360" w:lineRule="auto"/>
              <w:jc w:val="center"/>
              <w:rPr>
                <w:rFonts w:ascii="宋体" w:hAnsi="宋体" w:cs="宋体"/>
                <w:b/>
                <w:kern w:val="0"/>
                <w:sz w:val="24"/>
              </w:rPr>
            </w:pPr>
            <w:r>
              <w:rPr>
                <w:rFonts w:hint="eastAsia" w:ascii="宋体" w:hAnsi="宋体" w:cs="宋体"/>
                <w:b/>
                <w:kern w:val="0"/>
                <w:sz w:val="24"/>
              </w:rPr>
              <w:t>服务次数</w:t>
            </w:r>
          </w:p>
        </w:tc>
      </w:tr>
      <w:tr w14:paraId="7AC2F489">
        <w:tblPrEx>
          <w:tblCellMar>
            <w:top w:w="0" w:type="dxa"/>
            <w:left w:w="108" w:type="dxa"/>
            <w:bottom w:w="0" w:type="dxa"/>
            <w:right w:w="108" w:type="dxa"/>
          </w:tblCellMar>
        </w:tblPrEx>
        <w:trPr>
          <w:trHeight w:val="273" w:hRule="atLeast"/>
          <w:jc w:val="center"/>
        </w:trPr>
        <w:tc>
          <w:tcPr>
            <w:tcW w:w="739" w:type="dxa"/>
            <w:tcBorders>
              <w:top w:val="single" w:color="auto" w:sz="4" w:space="0"/>
              <w:left w:val="single" w:color="auto" w:sz="4" w:space="0"/>
              <w:bottom w:val="single" w:color="auto" w:sz="4" w:space="0"/>
              <w:right w:val="single" w:color="auto" w:sz="4" w:space="0"/>
            </w:tcBorders>
            <w:noWrap/>
            <w:vAlign w:val="center"/>
          </w:tcPr>
          <w:p w14:paraId="41F0D7A9">
            <w:pPr>
              <w:spacing w:line="360" w:lineRule="auto"/>
              <w:jc w:val="center"/>
              <w:rPr>
                <w:rFonts w:ascii="宋体" w:hAnsi="宋体" w:cs="宋体"/>
                <w:kern w:val="0"/>
                <w:sz w:val="24"/>
              </w:rPr>
            </w:pPr>
            <w:r>
              <w:rPr>
                <w:rFonts w:hint="eastAsia" w:ascii="宋体" w:hAnsi="宋体" w:cs="宋体"/>
                <w:kern w:val="0"/>
                <w:sz w:val="24"/>
              </w:rPr>
              <w:t>1</w:t>
            </w:r>
          </w:p>
        </w:tc>
        <w:tc>
          <w:tcPr>
            <w:tcW w:w="1247" w:type="dxa"/>
            <w:tcBorders>
              <w:top w:val="single" w:color="auto" w:sz="4" w:space="0"/>
              <w:left w:val="nil"/>
              <w:bottom w:val="single" w:color="auto" w:sz="4" w:space="0"/>
              <w:right w:val="single" w:color="auto" w:sz="4" w:space="0"/>
            </w:tcBorders>
            <w:noWrap/>
            <w:vAlign w:val="center"/>
          </w:tcPr>
          <w:p w14:paraId="6AC553FB">
            <w:pPr>
              <w:spacing w:line="360" w:lineRule="auto"/>
              <w:jc w:val="center"/>
              <w:rPr>
                <w:rFonts w:ascii="宋体" w:hAnsi="宋体" w:cs="宋体"/>
                <w:kern w:val="0"/>
                <w:sz w:val="24"/>
              </w:rPr>
            </w:pPr>
            <w:r>
              <w:rPr>
                <w:rFonts w:hint="eastAsia" w:ascii="宋体" w:hAnsi="宋体" w:cs="宋体"/>
                <w:kern w:val="0"/>
                <w:sz w:val="24"/>
              </w:rPr>
              <w:t>信息系统</w:t>
            </w:r>
          </w:p>
          <w:p w14:paraId="61C42CC4">
            <w:pPr>
              <w:spacing w:line="360" w:lineRule="auto"/>
              <w:jc w:val="center"/>
              <w:rPr>
                <w:rFonts w:ascii="宋体" w:hAnsi="宋体" w:cs="宋体"/>
                <w:kern w:val="0"/>
                <w:sz w:val="24"/>
              </w:rPr>
            </w:pPr>
            <w:r>
              <w:rPr>
                <w:rFonts w:hint="eastAsia" w:ascii="宋体" w:hAnsi="宋体" w:cs="宋体"/>
                <w:kern w:val="0"/>
                <w:sz w:val="24"/>
              </w:rPr>
              <w:t>运维服务</w:t>
            </w:r>
          </w:p>
        </w:tc>
        <w:tc>
          <w:tcPr>
            <w:tcW w:w="5244" w:type="dxa"/>
            <w:tcBorders>
              <w:top w:val="single" w:color="auto" w:sz="4" w:space="0"/>
              <w:left w:val="nil"/>
              <w:bottom w:val="single" w:color="auto" w:sz="4" w:space="0"/>
              <w:right w:val="single" w:color="auto" w:sz="4" w:space="0"/>
            </w:tcBorders>
            <w:noWrap/>
            <w:vAlign w:val="center"/>
          </w:tcPr>
          <w:p w14:paraId="611FC465">
            <w:pPr>
              <w:spacing w:line="360" w:lineRule="auto"/>
              <w:rPr>
                <w:rFonts w:ascii="宋体" w:hAnsi="宋体" w:cs="宋体"/>
                <w:kern w:val="0"/>
                <w:sz w:val="24"/>
              </w:rPr>
            </w:pPr>
            <w:r>
              <w:rPr>
                <w:rFonts w:hint="eastAsia" w:ascii="宋体" w:hAnsi="宋体" w:cs="宋体"/>
                <w:kern w:val="0"/>
                <w:sz w:val="24"/>
              </w:rPr>
              <w:t>1、《陕西省交通医院终端管理系统功能汇总表》中信息系统的软件操作、排错技术操作指导管理；</w:t>
            </w:r>
          </w:p>
          <w:p w14:paraId="7316E5E0">
            <w:pPr>
              <w:spacing w:line="360" w:lineRule="auto"/>
              <w:rPr>
                <w:rFonts w:ascii="宋体" w:hAnsi="宋体" w:cs="宋体"/>
                <w:kern w:val="0"/>
                <w:sz w:val="24"/>
              </w:rPr>
            </w:pPr>
            <w:r>
              <w:rPr>
                <w:rFonts w:hint="eastAsia" w:ascii="宋体" w:hAnsi="宋体" w:cs="宋体"/>
                <w:kern w:val="0"/>
                <w:sz w:val="24"/>
              </w:rPr>
              <w:t>2、数据备份异常、错误或失败等故障进行排查与解决；</w:t>
            </w:r>
          </w:p>
          <w:p w14:paraId="67729F7E">
            <w:pPr>
              <w:spacing w:line="360" w:lineRule="auto"/>
              <w:rPr>
                <w:rFonts w:ascii="宋体" w:hAnsi="宋体" w:cs="宋体"/>
                <w:kern w:val="0"/>
                <w:sz w:val="24"/>
              </w:rPr>
            </w:pPr>
            <w:r>
              <w:rPr>
                <w:rFonts w:hint="eastAsia" w:ascii="宋体" w:hAnsi="宋体" w:cs="宋体"/>
                <w:kern w:val="0"/>
                <w:sz w:val="24"/>
              </w:rPr>
              <w:t>3、由于软件产品故障导致的死机、数据错误；</w:t>
            </w:r>
          </w:p>
          <w:p w14:paraId="3DA2120E">
            <w:pPr>
              <w:spacing w:line="360" w:lineRule="auto"/>
              <w:rPr>
                <w:rFonts w:ascii="宋体" w:hAnsi="宋体" w:cs="宋体"/>
                <w:kern w:val="0"/>
                <w:sz w:val="24"/>
              </w:rPr>
            </w:pPr>
            <w:r>
              <w:rPr>
                <w:rFonts w:hint="eastAsia" w:ascii="宋体" w:hAnsi="宋体" w:cs="宋体"/>
                <w:kern w:val="0"/>
                <w:sz w:val="24"/>
              </w:rPr>
              <w:t>4、针对具体业务应用进行软件的配置管理；</w:t>
            </w:r>
          </w:p>
          <w:p w14:paraId="570DF213">
            <w:pPr>
              <w:spacing w:line="360" w:lineRule="auto"/>
              <w:rPr>
                <w:rFonts w:ascii="宋体" w:hAnsi="宋体" w:cs="宋体"/>
                <w:kern w:val="0"/>
                <w:sz w:val="24"/>
              </w:rPr>
            </w:pPr>
            <w:r>
              <w:rPr>
                <w:rFonts w:hint="eastAsia" w:ascii="宋体" w:hAnsi="宋体" w:cs="宋体"/>
                <w:kern w:val="0"/>
                <w:sz w:val="24"/>
              </w:rPr>
              <w:t>5、由于环境原因导致的系统显示错误、数据错误、运行效率降低等问题；</w:t>
            </w:r>
          </w:p>
          <w:p w14:paraId="41C53460">
            <w:pPr>
              <w:spacing w:line="360" w:lineRule="auto"/>
              <w:rPr>
                <w:rFonts w:ascii="宋体" w:hAnsi="宋体" w:cs="宋体"/>
                <w:kern w:val="0"/>
                <w:sz w:val="24"/>
              </w:rPr>
            </w:pPr>
            <w:r>
              <w:rPr>
                <w:rFonts w:hint="eastAsia" w:ascii="宋体" w:hAnsi="宋体" w:cs="宋体"/>
                <w:kern w:val="0"/>
                <w:sz w:val="24"/>
              </w:rPr>
              <w:t>6、定期提供系统的运行环境巡检；</w:t>
            </w:r>
          </w:p>
          <w:p w14:paraId="35140403">
            <w:pPr>
              <w:spacing w:line="360" w:lineRule="auto"/>
              <w:rPr>
                <w:rFonts w:ascii="宋体" w:hAnsi="宋体" w:cs="宋体"/>
                <w:kern w:val="0"/>
                <w:sz w:val="24"/>
              </w:rPr>
            </w:pPr>
            <w:r>
              <w:rPr>
                <w:rFonts w:hint="eastAsia" w:ascii="宋体" w:hAnsi="宋体" w:cs="宋体"/>
                <w:kern w:val="0"/>
                <w:sz w:val="24"/>
              </w:rPr>
              <w:t xml:space="preserve">7、提供系统配套设备的维修、维护服务。 </w:t>
            </w:r>
          </w:p>
        </w:tc>
        <w:tc>
          <w:tcPr>
            <w:tcW w:w="1134" w:type="dxa"/>
            <w:tcBorders>
              <w:top w:val="single" w:color="auto" w:sz="4" w:space="0"/>
              <w:left w:val="nil"/>
              <w:bottom w:val="single" w:color="auto" w:sz="4" w:space="0"/>
              <w:right w:val="single" w:color="auto" w:sz="4" w:space="0"/>
            </w:tcBorders>
            <w:noWrap/>
            <w:vAlign w:val="center"/>
          </w:tcPr>
          <w:p w14:paraId="4F8F175B">
            <w:pPr>
              <w:spacing w:line="360" w:lineRule="auto"/>
              <w:jc w:val="center"/>
              <w:rPr>
                <w:rFonts w:ascii="宋体" w:hAnsi="宋体" w:cs="宋体"/>
                <w:kern w:val="0"/>
                <w:sz w:val="24"/>
              </w:rPr>
            </w:pPr>
            <w:r>
              <w:rPr>
                <w:rFonts w:hint="eastAsia" w:ascii="宋体" w:hAnsi="宋体" w:cs="宋体"/>
                <w:kern w:val="0"/>
                <w:sz w:val="24"/>
              </w:rPr>
              <w:t>电话服务</w:t>
            </w:r>
          </w:p>
          <w:p w14:paraId="648ECC0A">
            <w:pPr>
              <w:widowControl w:val="0"/>
              <w:spacing w:line="360" w:lineRule="auto"/>
              <w:jc w:val="center"/>
              <w:rPr>
                <w:rFonts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远程服务</w:t>
            </w:r>
          </w:p>
          <w:p w14:paraId="6CE530AF">
            <w:pPr>
              <w:spacing w:line="360" w:lineRule="auto"/>
              <w:jc w:val="center"/>
              <w:rPr>
                <w:rFonts w:ascii="宋体" w:hAnsi="宋体" w:cs="宋体"/>
                <w:kern w:val="0"/>
                <w:sz w:val="24"/>
              </w:rPr>
            </w:pPr>
            <w:r>
              <w:rPr>
                <w:rFonts w:hint="eastAsia" w:ascii="宋体" w:hAnsi="宋体" w:cs="宋体"/>
                <w:kern w:val="0"/>
                <w:sz w:val="24"/>
              </w:rPr>
              <w:t>现场服务</w:t>
            </w:r>
          </w:p>
        </w:tc>
        <w:tc>
          <w:tcPr>
            <w:tcW w:w="1269" w:type="dxa"/>
            <w:tcBorders>
              <w:top w:val="single" w:color="auto" w:sz="4" w:space="0"/>
              <w:left w:val="nil"/>
              <w:bottom w:val="single" w:color="auto" w:sz="4" w:space="0"/>
              <w:right w:val="single" w:color="auto" w:sz="4" w:space="0"/>
            </w:tcBorders>
            <w:vAlign w:val="center"/>
          </w:tcPr>
          <w:p w14:paraId="4DEF5FAE">
            <w:pPr>
              <w:spacing w:line="360" w:lineRule="auto"/>
              <w:jc w:val="center"/>
              <w:rPr>
                <w:rFonts w:ascii="宋体" w:hAnsi="宋体" w:cs="宋体"/>
                <w:kern w:val="0"/>
                <w:sz w:val="24"/>
              </w:rPr>
            </w:pPr>
            <w:r>
              <w:rPr>
                <w:rFonts w:hint="eastAsia" w:ascii="宋体" w:hAnsi="宋体" w:cs="宋体"/>
                <w:kern w:val="0"/>
                <w:sz w:val="24"/>
              </w:rPr>
              <w:t>不限</w:t>
            </w:r>
          </w:p>
        </w:tc>
      </w:tr>
      <w:tr w14:paraId="344B9698">
        <w:tblPrEx>
          <w:tblCellMar>
            <w:top w:w="0" w:type="dxa"/>
            <w:left w:w="108" w:type="dxa"/>
            <w:bottom w:w="0" w:type="dxa"/>
            <w:right w:w="108" w:type="dxa"/>
          </w:tblCellMar>
        </w:tblPrEx>
        <w:trPr>
          <w:trHeight w:val="2308" w:hRule="atLeast"/>
          <w:jc w:val="center"/>
        </w:trPr>
        <w:tc>
          <w:tcPr>
            <w:tcW w:w="739" w:type="dxa"/>
            <w:tcBorders>
              <w:top w:val="nil"/>
              <w:left w:val="single" w:color="auto" w:sz="4" w:space="0"/>
              <w:bottom w:val="single" w:color="auto" w:sz="4" w:space="0"/>
              <w:right w:val="single" w:color="auto" w:sz="4" w:space="0"/>
            </w:tcBorders>
            <w:noWrap/>
            <w:vAlign w:val="center"/>
          </w:tcPr>
          <w:p w14:paraId="0E71BC35">
            <w:pPr>
              <w:spacing w:line="360" w:lineRule="auto"/>
              <w:jc w:val="center"/>
              <w:rPr>
                <w:rFonts w:ascii="宋体" w:hAnsi="宋体" w:cs="宋体"/>
                <w:kern w:val="0"/>
                <w:sz w:val="24"/>
              </w:rPr>
            </w:pPr>
            <w:r>
              <w:rPr>
                <w:rFonts w:hint="eastAsia" w:ascii="宋体" w:hAnsi="宋体" w:cs="宋体"/>
                <w:kern w:val="0"/>
                <w:sz w:val="24"/>
              </w:rPr>
              <w:t>2</w:t>
            </w:r>
          </w:p>
        </w:tc>
        <w:tc>
          <w:tcPr>
            <w:tcW w:w="1247" w:type="dxa"/>
            <w:tcBorders>
              <w:top w:val="nil"/>
              <w:left w:val="single" w:color="auto" w:sz="4" w:space="0"/>
              <w:bottom w:val="single" w:color="auto" w:sz="4" w:space="0"/>
              <w:right w:val="single" w:color="auto" w:sz="4" w:space="0"/>
            </w:tcBorders>
            <w:vAlign w:val="center"/>
          </w:tcPr>
          <w:p w14:paraId="40AEE8DD">
            <w:pPr>
              <w:spacing w:line="360" w:lineRule="auto"/>
              <w:jc w:val="center"/>
              <w:rPr>
                <w:rFonts w:ascii="宋体" w:hAnsi="宋体" w:cs="宋体"/>
                <w:kern w:val="0"/>
                <w:sz w:val="24"/>
              </w:rPr>
            </w:pPr>
            <w:r>
              <w:rPr>
                <w:rFonts w:hint="eastAsia" w:ascii="宋体" w:hAnsi="宋体" w:cs="宋体"/>
                <w:kern w:val="0"/>
                <w:sz w:val="24"/>
              </w:rPr>
              <w:t>信息系统升级更新服务</w:t>
            </w:r>
          </w:p>
        </w:tc>
        <w:tc>
          <w:tcPr>
            <w:tcW w:w="5244" w:type="dxa"/>
            <w:tcBorders>
              <w:top w:val="single" w:color="auto" w:sz="4" w:space="0"/>
              <w:left w:val="single" w:color="auto" w:sz="4" w:space="0"/>
              <w:bottom w:val="single" w:color="auto" w:sz="4" w:space="0"/>
              <w:right w:val="single" w:color="auto" w:sz="4" w:space="0"/>
            </w:tcBorders>
            <w:noWrap/>
            <w:vAlign w:val="center"/>
          </w:tcPr>
          <w:p w14:paraId="6A9CDFCB">
            <w:pPr>
              <w:spacing w:line="360" w:lineRule="auto"/>
              <w:rPr>
                <w:rFonts w:ascii="宋体" w:hAnsi="宋体" w:cs="宋体"/>
                <w:kern w:val="0"/>
                <w:sz w:val="24"/>
              </w:rPr>
            </w:pPr>
            <w:r>
              <w:rPr>
                <w:rFonts w:hint="eastAsia" w:ascii="宋体" w:hAnsi="宋体" w:cs="宋体"/>
                <w:kern w:val="0"/>
                <w:sz w:val="24"/>
              </w:rPr>
              <w:t>1、服务商应根据国家、省和市政府部门新增或变更的相关政策，及时为医院提供同版本系统更新服务；</w:t>
            </w:r>
          </w:p>
          <w:p w14:paraId="54770007">
            <w:pPr>
              <w:spacing w:line="360" w:lineRule="auto"/>
              <w:rPr>
                <w:rFonts w:ascii="宋体" w:hAnsi="宋体" w:cs="宋体"/>
                <w:kern w:val="0"/>
                <w:sz w:val="24"/>
              </w:rPr>
            </w:pPr>
            <w:r>
              <w:rPr>
                <w:rFonts w:hint="eastAsia" w:ascii="宋体" w:hAnsi="宋体" w:cs="宋体"/>
                <w:kern w:val="0"/>
                <w:sz w:val="24"/>
              </w:rPr>
              <w:t>2、服务商组织专业技术人员为院方提供同版本系统软件升级服务；</w:t>
            </w:r>
          </w:p>
          <w:p w14:paraId="3DEFD21F">
            <w:pPr>
              <w:spacing w:line="360" w:lineRule="auto"/>
              <w:rPr>
                <w:rFonts w:ascii="宋体" w:hAnsi="宋体" w:cs="宋体"/>
                <w:kern w:val="0"/>
                <w:sz w:val="24"/>
              </w:rPr>
            </w:pPr>
            <w:r>
              <w:rPr>
                <w:rFonts w:hint="eastAsia" w:ascii="宋体" w:hAnsi="宋体" w:cs="宋体"/>
                <w:kern w:val="0"/>
                <w:sz w:val="24"/>
              </w:rPr>
              <w:t>3、服务商定期为院方提供同版本系统安全补丁安装、调试服务。</w:t>
            </w:r>
          </w:p>
        </w:tc>
        <w:tc>
          <w:tcPr>
            <w:tcW w:w="1134" w:type="dxa"/>
            <w:tcBorders>
              <w:top w:val="single" w:color="auto" w:sz="4" w:space="0"/>
              <w:left w:val="nil"/>
              <w:bottom w:val="single" w:color="auto" w:sz="4" w:space="0"/>
              <w:right w:val="single" w:color="auto" w:sz="4" w:space="0"/>
            </w:tcBorders>
            <w:noWrap/>
            <w:vAlign w:val="center"/>
          </w:tcPr>
          <w:p w14:paraId="2040EC58">
            <w:pPr>
              <w:spacing w:line="360" w:lineRule="auto"/>
              <w:jc w:val="center"/>
              <w:rPr>
                <w:rFonts w:ascii="宋体" w:hAnsi="宋体" w:cs="宋体"/>
                <w:kern w:val="0"/>
                <w:sz w:val="24"/>
              </w:rPr>
            </w:pPr>
            <w:r>
              <w:rPr>
                <w:rFonts w:hint="eastAsia" w:ascii="宋体" w:hAnsi="宋体" w:cs="宋体"/>
                <w:kern w:val="0"/>
                <w:sz w:val="24"/>
              </w:rPr>
              <w:t>远程服务</w:t>
            </w:r>
          </w:p>
          <w:p w14:paraId="540414D6">
            <w:pPr>
              <w:spacing w:line="360" w:lineRule="auto"/>
              <w:jc w:val="center"/>
              <w:rPr>
                <w:rFonts w:ascii="宋体" w:hAnsi="宋体" w:cs="宋体"/>
                <w:kern w:val="0"/>
                <w:sz w:val="24"/>
              </w:rPr>
            </w:pPr>
            <w:r>
              <w:rPr>
                <w:rFonts w:hint="eastAsia" w:ascii="宋体" w:hAnsi="宋体" w:cs="宋体"/>
                <w:kern w:val="0"/>
                <w:sz w:val="24"/>
              </w:rPr>
              <w:t>现场服务</w:t>
            </w:r>
          </w:p>
        </w:tc>
        <w:tc>
          <w:tcPr>
            <w:tcW w:w="1269" w:type="dxa"/>
            <w:tcBorders>
              <w:top w:val="single" w:color="auto" w:sz="4" w:space="0"/>
              <w:left w:val="nil"/>
              <w:bottom w:val="single" w:color="auto" w:sz="4" w:space="0"/>
              <w:right w:val="single" w:color="auto" w:sz="4" w:space="0"/>
            </w:tcBorders>
            <w:vAlign w:val="center"/>
          </w:tcPr>
          <w:p w14:paraId="3858DAE3">
            <w:pPr>
              <w:spacing w:line="360" w:lineRule="auto"/>
              <w:jc w:val="center"/>
              <w:rPr>
                <w:rFonts w:ascii="宋体" w:hAnsi="宋体" w:cs="宋体"/>
                <w:kern w:val="0"/>
                <w:sz w:val="24"/>
              </w:rPr>
            </w:pPr>
            <w:r>
              <w:rPr>
                <w:rFonts w:hint="eastAsia" w:ascii="宋体" w:hAnsi="宋体" w:cs="宋体"/>
                <w:kern w:val="0"/>
                <w:sz w:val="24"/>
              </w:rPr>
              <w:t>不限</w:t>
            </w:r>
          </w:p>
        </w:tc>
      </w:tr>
      <w:tr w14:paraId="24C6719F">
        <w:tblPrEx>
          <w:tblCellMar>
            <w:top w:w="0" w:type="dxa"/>
            <w:left w:w="108" w:type="dxa"/>
            <w:bottom w:w="0" w:type="dxa"/>
            <w:right w:w="108" w:type="dxa"/>
          </w:tblCellMar>
        </w:tblPrEx>
        <w:trPr>
          <w:trHeight w:val="2308" w:hRule="atLeast"/>
          <w:jc w:val="center"/>
        </w:trPr>
        <w:tc>
          <w:tcPr>
            <w:tcW w:w="739" w:type="dxa"/>
            <w:tcBorders>
              <w:top w:val="nil"/>
              <w:left w:val="single" w:color="auto" w:sz="4" w:space="0"/>
              <w:bottom w:val="single" w:color="auto" w:sz="4" w:space="0"/>
              <w:right w:val="single" w:color="auto" w:sz="4" w:space="0"/>
            </w:tcBorders>
            <w:noWrap/>
            <w:vAlign w:val="center"/>
          </w:tcPr>
          <w:p w14:paraId="58A9EAB7">
            <w:pPr>
              <w:spacing w:line="360" w:lineRule="auto"/>
              <w:jc w:val="center"/>
              <w:rPr>
                <w:rFonts w:ascii="宋体" w:hAnsi="宋体" w:cs="宋体"/>
                <w:kern w:val="0"/>
                <w:sz w:val="24"/>
              </w:rPr>
            </w:pPr>
            <w:r>
              <w:rPr>
                <w:rFonts w:hint="eastAsia" w:ascii="宋体" w:hAnsi="宋体" w:cs="宋体"/>
                <w:kern w:val="0"/>
                <w:sz w:val="24"/>
              </w:rPr>
              <w:t>3</w:t>
            </w:r>
          </w:p>
        </w:tc>
        <w:tc>
          <w:tcPr>
            <w:tcW w:w="1247" w:type="dxa"/>
            <w:tcBorders>
              <w:top w:val="nil"/>
              <w:left w:val="single" w:color="auto" w:sz="4" w:space="0"/>
              <w:bottom w:val="single" w:color="auto" w:sz="4" w:space="0"/>
              <w:right w:val="single" w:color="auto" w:sz="4" w:space="0"/>
            </w:tcBorders>
            <w:vAlign w:val="center"/>
          </w:tcPr>
          <w:p w14:paraId="7E9DBD7F">
            <w:pPr>
              <w:spacing w:line="360" w:lineRule="auto"/>
              <w:rPr>
                <w:rFonts w:ascii="宋体" w:hAnsi="宋体" w:cs="宋体"/>
                <w:kern w:val="0"/>
                <w:sz w:val="24"/>
              </w:rPr>
            </w:pPr>
            <w:r>
              <w:rPr>
                <w:rFonts w:hint="eastAsia" w:ascii="宋体" w:hAnsi="宋体" w:cs="宋体"/>
                <w:kern w:val="0"/>
                <w:sz w:val="24"/>
              </w:rPr>
              <w:t>网络安全与数据安全服务</w:t>
            </w:r>
          </w:p>
        </w:tc>
        <w:tc>
          <w:tcPr>
            <w:tcW w:w="5244" w:type="dxa"/>
            <w:tcBorders>
              <w:top w:val="single" w:color="auto" w:sz="4" w:space="0"/>
              <w:left w:val="single" w:color="auto" w:sz="4" w:space="0"/>
              <w:bottom w:val="single" w:color="auto" w:sz="4" w:space="0"/>
              <w:right w:val="single" w:color="auto" w:sz="4" w:space="0"/>
            </w:tcBorders>
            <w:noWrap/>
            <w:vAlign w:val="center"/>
          </w:tcPr>
          <w:p w14:paraId="7F016E9B">
            <w:pPr>
              <w:spacing w:line="360" w:lineRule="auto"/>
              <w:rPr>
                <w:rFonts w:ascii="宋体" w:hAnsi="宋体" w:cs="宋体"/>
                <w:kern w:val="0"/>
                <w:sz w:val="24"/>
              </w:rPr>
            </w:pPr>
            <w:r>
              <w:rPr>
                <w:rFonts w:hint="eastAsia" w:ascii="宋体" w:hAnsi="宋体" w:cs="宋体"/>
                <w:kern w:val="0"/>
                <w:sz w:val="24"/>
              </w:rPr>
              <w:t>1、服务商应根据《国家网络安全法》、《个人信息保护法》及相关法律法规，为医院提供网络安全服务与数据安全服务。</w:t>
            </w:r>
          </w:p>
          <w:p w14:paraId="7E2F6A18">
            <w:pPr>
              <w:spacing w:line="360" w:lineRule="auto"/>
              <w:rPr>
                <w:rFonts w:ascii="宋体" w:hAnsi="宋体" w:cs="宋体"/>
                <w:kern w:val="0"/>
                <w:sz w:val="24"/>
              </w:rPr>
            </w:pPr>
            <w:r>
              <w:rPr>
                <w:rFonts w:hint="eastAsia" w:ascii="宋体" w:hAnsi="宋体" w:cs="宋体"/>
                <w:kern w:val="0"/>
                <w:sz w:val="24"/>
              </w:rPr>
              <w:t>2、网络安全服务包含且不限以下服务：漏洞修复、安全问题整改、安全风险排查等服务等服务。</w:t>
            </w:r>
          </w:p>
          <w:p w14:paraId="482A53A8">
            <w:pPr>
              <w:spacing w:line="360" w:lineRule="auto"/>
              <w:rPr>
                <w:rFonts w:ascii="宋体" w:hAnsi="宋体" w:cs="宋体"/>
                <w:kern w:val="0"/>
                <w:sz w:val="24"/>
              </w:rPr>
            </w:pPr>
            <w:r>
              <w:rPr>
                <w:rFonts w:hint="eastAsia" w:ascii="宋体" w:hAnsi="宋体" w:cs="宋体"/>
                <w:kern w:val="0"/>
                <w:sz w:val="24"/>
              </w:rPr>
              <w:t>3、数据安全服务包含且不限以下服务：数据加密、数据备份与恢复与数据库安全审计等服务</w:t>
            </w:r>
          </w:p>
        </w:tc>
        <w:tc>
          <w:tcPr>
            <w:tcW w:w="1134" w:type="dxa"/>
            <w:tcBorders>
              <w:top w:val="single" w:color="auto" w:sz="4" w:space="0"/>
              <w:left w:val="nil"/>
              <w:bottom w:val="single" w:color="auto" w:sz="4" w:space="0"/>
              <w:right w:val="single" w:color="auto" w:sz="4" w:space="0"/>
            </w:tcBorders>
            <w:noWrap/>
            <w:vAlign w:val="center"/>
          </w:tcPr>
          <w:p w14:paraId="1FC1D4F2">
            <w:pPr>
              <w:spacing w:line="360" w:lineRule="auto"/>
              <w:rPr>
                <w:rFonts w:ascii="宋体" w:hAnsi="宋体" w:cs="宋体"/>
                <w:kern w:val="0"/>
                <w:sz w:val="24"/>
              </w:rPr>
            </w:pPr>
            <w:r>
              <w:rPr>
                <w:rFonts w:hint="eastAsia" w:ascii="宋体" w:hAnsi="宋体" w:cs="宋体"/>
                <w:kern w:val="0"/>
                <w:sz w:val="24"/>
              </w:rPr>
              <w:t>远程服务</w:t>
            </w:r>
          </w:p>
          <w:p w14:paraId="3E2EB472">
            <w:pPr>
              <w:spacing w:line="360" w:lineRule="auto"/>
              <w:rPr>
                <w:rFonts w:ascii="宋体" w:hAnsi="宋体" w:cs="宋体"/>
                <w:kern w:val="0"/>
                <w:sz w:val="24"/>
              </w:rPr>
            </w:pPr>
            <w:r>
              <w:rPr>
                <w:rFonts w:hint="eastAsia" w:ascii="宋体" w:hAnsi="宋体" w:cs="宋体"/>
                <w:kern w:val="0"/>
                <w:sz w:val="24"/>
              </w:rPr>
              <w:t>现场服务</w:t>
            </w:r>
          </w:p>
        </w:tc>
        <w:tc>
          <w:tcPr>
            <w:tcW w:w="1269" w:type="dxa"/>
            <w:tcBorders>
              <w:top w:val="single" w:color="auto" w:sz="4" w:space="0"/>
              <w:left w:val="nil"/>
              <w:bottom w:val="single" w:color="auto" w:sz="4" w:space="0"/>
              <w:right w:val="single" w:color="auto" w:sz="4" w:space="0"/>
            </w:tcBorders>
            <w:vAlign w:val="center"/>
          </w:tcPr>
          <w:p w14:paraId="6D9779A4">
            <w:pPr>
              <w:spacing w:line="360" w:lineRule="auto"/>
              <w:rPr>
                <w:rFonts w:ascii="宋体" w:hAnsi="宋体" w:cs="宋体"/>
                <w:kern w:val="0"/>
                <w:sz w:val="24"/>
              </w:rPr>
            </w:pPr>
            <w:r>
              <w:rPr>
                <w:rFonts w:hint="eastAsia" w:ascii="宋体" w:hAnsi="宋体" w:cs="宋体"/>
                <w:kern w:val="0"/>
                <w:sz w:val="24"/>
              </w:rPr>
              <w:t>不限</w:t>
            </w:r>
          </w:p>
        </w:tc>
      </w:tr>
      <w:tr w14:paraId="0EEAF76D">
        <w:tblPrEx>
          <w:tblCellMar>
            <w:top w:w="0" w:type="dxa"/>
            <w:left w:w="108" w:type="dxa"/>
            <w:bottom w:w="0" w:type="dxa"/>
            <w:right w:w="108" w:type="dxa"/>
          </w:tblCellMar>
        </w:tblPrEx>
        <w:trPr>
          <w:trHeight w:val="1573" w:hRule="atLeast"/>
          <w:jc w:val="center"/>
        </w:trPr>
        <w:tc>
          <w:tcPr>
            <w:tcW w:w="739" w:type="dxa"/>
            <w:tcBorders>
              <w:top w:val="single" w:color="auto" w:sz="4" w:space="0"/>
              <w:left w:val="single" w:color="auto" w:sz="4" w:space="0"/>
              <w:bottom w:val="single" w:color="auto" w:sz="4" w:space="0"/>
              <w:right w:val="single" w:color="auto" w:sz="4" w:space="0"/>
            </w:tcBorders>
            <w:noWrap/>
            <w:vAlign w:val="center"/>
          </w:tcPr>
          <w:p w14:paraId="0FE5C1A3">
            <w:pPr>
              <w:spacing w:line="360" w:lineRule="auto"/>
              <w:jc w:val="center"/>
              <w:rPr>
                <w:rFonts w:ascii="宋体" w:hAnsi="宋体" w:cs="宋体"/>
                <w:kern w:val="0"/>
                <w:sz w:val="24"/>
              </w:rPr>
            </w:pPr>
            <w:r>
              <w:rPr>
                <w:rFonts w:hint="eastAsia" w:ascii="宋体" w:hAnsi="宋体" w:cs="宋体"/>
                <w:kern w:val="0"/>
                <w:sz w:val="24"/>
              </w:rPr>
              <w:t>4</w:t>
            </w:r>
          </w:p>
        </w:tc>
        <w:tc>
          <w:tcPr>
            <w:tcW w:w="1247" w:type="dxa"/>
            <w:tcBorders>
              <w:top w:val="single" w:color="auto" w:sz="4" w:space="0"/>
              <w:left w:val="single" w:color="auto" w:sz="4" w:space="0"/>
              <w:bottom w:val="single" w:color="auto" w:sz="4" w:space="0"/>
              <w:right w:val="single" w:color="auto" w:sz="4" w:space="0"/>
            </w:tcBorders>
            <w:vAlign w:val="center"/>
          </w:tcPr>
          <w:p w14:paraId="145B77FE">
            <w:pPr>
              <w:spacing w:line="360" w:lineRule="auto"/>
              <w:jc w:val="center"/>
              <w:rPr>
                <w:rFonts w:ascii="宋体" w:hAnsi="宋体" w:cs="宋体"/>
                <w:kern w:val="0"/>
                <w:sz w:val="24"/>
              </w:rPr>
            </w:pPr>
            <w:r>
              <w:rPr>
                <w:rFonts w:hint="eastAsia" w:ascii="宋体" w:hAnsi="宋体" w:cs="宋体"/>
                <w:kern w:val="0"/>
                <w:sz w:val="24"/>
              </w:rPr>
              <w:t>人员培训</w:t>
            </w:r>
          </w:p>
          <w:p w14:paraId="7E5E85B6">
            <w:pPr>
              <w:spacing w:line="360" w:lineRule="auto"/>
              <w:jc w:val="center"/>
              <w:rPr>
                <w:rFonts w:ascii="宋体" w:hAnsi="宋体" w:cs="宋体"/>
                <w:kern w:val="0"/>
                <w:sz w:val="24"/>
              </w:rPr>
            </w:pPr>
            <w:r>
              <w:rPr>
                <w:rFonts w:hint="eastAsia" w:ascii="宋体" w:hAnsi="宋体" w:cs="宋体"/>
                <w:kern w:val="0"/>
                <w:sz w:val="24"/>
              </w:rPr>
              <w:t>服务</w:t>
            </w:r>
          </w:p>
        </w:tc>
        <w:tc>
          <w:tcPr>
            <w:tcW w:w="5244" w:type="dxa"/>
            <w:tcBorders>
              <w:top w:val="single" w:color="auto" w:sz="4" w:space="0"/>
              <w:left w:val="single" w:color="auto" w:sz="4" w:space="0"/>
              <w:bottom w:val="single" w:color="auto" w:sz="4" w:space="0"/>
              <w:right w:val="single" w:color="auto" w:sz="4" w:space="0"/>
            </w:tcBorders>
            <w:noWrap/>
            <w:vAlign w:val="center"/>
          </w:tcPr>
          <w:p w14:paraId="29927F86">
            <w:pPr>
              <w:spacing w:line="360" w:lineRule="auto"/>
              <w:rPr>
                <w:rFonts w:ascii="宋体" w:hAnsi="宋体" w:cs="宋体"/>
                <w:kern w:val="0"/>
                <w:sz w:val="24"/>
              </w:rPr>
            </w:pPr>
            <w:r>
              <w:rPr>
                <w:rFonts w:hint="eastAsia" w:ascii="宋体" w:hAnsi="宋体" w:cs="宋体"/>
                <w:kern w:val="0"/>
                <w:sz w:val="24"/>
              </w:rPr>
              <w:t>服务商应定期组织技术人员为院方提供信息系统相关技术培训服务。</w:t>
            </w:r>
          </w:p>
        </w:tc>
        <w:tc>
          <w:tcPr>
            <w:tcW w:w="1134" w:type="dxa"/>
            <w:tcBorders>
              <w:top w:val="single" w:color="auto" w:sz="4" w:space="0"/>
              <w:left w:val="nil"/>
              <w:bottom w:val="single" w:color="auto" w:sz="4" w:space="0"/>
              <w:right w:val="single" w:color="auto" w:sz="4" w:space="0"/>
            </w:tcBorders>
            <w:noWrap/>
            <w:vAlign w:val="center"/>
          </w:tcPr>
          <w:p w14:paraId="2DBA296E">
            <w:pPr>
              <w:spacing w:line="360" w:lineRule="auto"/>
              <w:jc w:val="center"/>
              <w:rPr>
                <w:rFonts w:ascii="宋体" w:hAnsi="宋体" w:cs="宋体"/>
                <w:kern w:val="0"/>
                <w:sz w:val="24"/>
              </w:rPr>
            </w:pPr>
            <w:r>
              <w:rPr>
                <w:rFonts w:hint="eastAsia" w:ascii="宋体" w:hAnsi="宋体" w:cs="宋体"/>
                <w:kern w:val="0"/>
                <w:sz w:val="24"/>
              </w:rPr>
              <w:t>远程服务</w:t>
            </w:r>
          </w:p>
          <w:p w14:paraId="02FA3927">
            <w:pPr>
              <w:spacing w:line="360" w:lineRule="auto"/>
              <w:jc w:val="center"/>
              <w:rPr>
                <w:rFonts w:ascii="宋体" w:hAnsi="宋体" w:cs="宋体"/>
                <w:kern w:val="0"/>
                <w:sz w:val="24"/>
              </w:rPr>
            </w:pPr>
            <w:r>
              <w:rPr>
                <w:rFonts w:hint="eastAsia" w:ascii="宋体" w:hAnsi="宋体" w:cs="宋体"/>
                <w:kern w:val="0"/>
                <w:sz w:val="24"/>
              </w:rPr>
              <w:t>现场服务</w:t>
            </w:r>
          </w:p>
        </w:tc>
        <w:tc>
          <w:tcPr>
            <w:tcW w:w="1269" w:type="dxa"/>
            <w:tcBorders>
              <w:top w:val="single" w:color="auto" w:sz="4" w:space="0"/>
              <w:left w:val="nil"/>
              <w:bottom w:val="single" w:color="auto" w:sz="4" w:space="0"/>
              <w:right w:val="single" w:color="auto" w:sz="4" w:space="0"/>
            </w:tcBorders>
            <w:vAlign w:val="center"/>
          </w:tcPr>
          <w:p w14:paraId="22F637D1">
            <w:pPr>
              <w:spacing w:line="360" w:lineRule="auto"/>
              <w:jc w:val="center"/>
              <w:rPr>
                <w:rFonts w:ascii="宋体" w:hAnsi="宋体" w:cs="宋体"/>
                <w:kern w:val="0"/>
                <w:sz w:val="24"/>
              </w:rPr>
            </w:pPr>
            <w:r>
              <w:rPr>
                <w:rFonts w:hint="eastAsia" w:ascii="宋体" w:hAnsi="宋体" w:cs="宋体"/>
                <w:kern w:val="0"/>
                <w:sz w:val="24"/>
              </w:rPr>
              <w:t>全年不少于20学时</w:t>
            </w:r>
          </w:p>
        </w:tc>
      </w:tr>
    </w:tbl>
    <w:p w14:paraId="42413F9C">
      <w:pPr>
        <w:widowControl w:val="0"/>
        <w:spacing w:line="360" w:lineRule="auto"/>
        <w:ind w:firstLine="482" w:firstLineChars="200"/>
        <w:jc w:val="both"/>
        <w:rPr>
          <w:rFonts w:ascii="宋体" w:hAnsi="宋体" w:eastAsia="宋体" w:cs="宋体"/>
          <w:b/>
          <w:color w:val="auto"/>
          <w:kern w:val="2"/>
          <w:sz w:val="24"/>
          <w:szCs w:val="24"/>
          <w:lang w:val="en-US" w:eastAsia="zh-CN" w:bidi="ar-SA"/>
        </w:rPr>
      </w:pPr>
      <w:r>
        <w:rPr>
          <w:rFonts w:hint="eastAsia" w:ascii="宋体" w:hAnsi="宋体" w:eastAsia="宋体" w:cs="宋体"/>
          <w:b/>
          <w:color w:val="auto"/>
          <w:kern w:val="2"/>
          <w:sz w:val="24"/>
          <w:szCs w:val="24"/>
          <w:lang w:val="en-US" w:eastAsia="zh-CN" w:bidi="ar-SA"/>
        </w:rPr>
        <w:t>5.售后服务方案与技术能力要求：</w:t>
      </w:r>
    </w:p>
    <w:p w14:paraId="6C4A0CB7">
      <w:pPr>
        <w:widowControl w:val="0"/>
        <w:spacing w:line="360" w:lineRule="auto"/>
        <w:ind w:firstLine="480" w:firstLineChars="200"/>
        <w:jc w:val="both"/>
        <w:rPr>
          <w:rFonts w:ascii="宋体" w:hAnsi="宋体" w:eastAsia="宋体" w:cs="宋体"/>
          <w:bCs/>
          <w:color w:val="auto"/>
          <w:kern w:val="2"/>
          <w:sz w:val="24"/>
          <w:szCs w:val="24"/>
          <w:lang w:val="en-US" w:eastAsia="zh-CN" w:bidi="ar-SA"/>
        </w:rPr>
      </w:pPr>
      <w:r>
        <w:rPr>
          <w:rFonts w:hint="eastAsia" w:ascii="宋体" w:hAnsi="宋体" w:eastAsia="宋体" w:cs="宋体"/>
          <w:bCs/>
          <w:color w:val="auto"/>
          <w:kern w:val="2"/>
          <w:sz w:val="24"/>
          <w:szCs w:val="24"/>
          <w:lang w:val="en-US" w:eastAsia="zh-CN" w:bidi="ar-SA"/>
        </w:rPr>
        <w:t>5.1服务商应根据院方信息化建设情况与信息系统使用情况，制定详尽的售后服务方案。内容应涵盖以下几点：</w:t>
      </w:r>
    </w:p>
    <w:p w14:paraId="0095A92C">
      <w:pPr>
        <w:widowControl w:val="0"/>
        <w:spacing w:line="360" w:lineRule="auto"/>
        <w:ind w:firstLine="480" w:firstLineChars="200"/>
        <w:jc w:val="both"/>
        <w:rPr>
          <w:rFonts w:ascii="宋体" w:hAnsi="宋体" w:eastAsia="宋体" w:cs="宋体"/>
          <w:bCs/>
          <w:color w:val="auto"/>
          <w:kern w:val="2"/>
          <w:sz w:val="24"/>
          <w:szCs w:val="24"/>
          <w:lang w:val="en-US" w:eastAsia="zh-CN" w:bidi="ar-SA"/>
        </w:rPr>
      </w:pPr>
      <w:r>
        <w:rPr>
          <w:rFonts w:hint="eastAsia" w:ascii="宋体" w:hAnsi="宋体" w:eastAsia="宋体" w:cs="宋体"/>
          <w:bCs/>
          <w:color w:val="auto"/>
          <w:kern w:val="2"/>
          <w:sz w:val="24"/>
          <w:szCs w:val="24"/>
          <w:lang w:val="en-US" w:eastAsia="zh-CN" w:bidi="ar-SA"/>
        </w:rPr>
        <w:t>5.1.1售后运维服务的承诺。</w:t>
      </w:r>
    </w:p>
    <w:p w14:paraId="6A56B0E9">
      <w:pPr>
        <w:widowControl w:val="0"/>
        <w:spacing w:line="360" w:lineRule="auto"/>
        <w:ind w:firstLine="480" w:firstLineChars="200"/>
        <w:jc w:val="both"/>
        <w:rPr>
          <w:rFonts w:ascii="宋体" w:hAnsi="宋体" w:eastAsia="宋体" w:cs="宋体"/>
          <w:bCs/>
          <w:color w:val="auto"/>
          <w:kern w:val="2"/>
          <w:sz w:val="24"/>
          <w:szCs w:val="24"/>
          <w:lang w:val="en-US" w:eastAsia="zh-CN" w:bidi="ar-SA"/>
        </w:rPr>
      </w:pPr>
      <w:r>
        <w:rPr>
          <w:rFonts w:hint="eastAsia" w:ascii="宋体" w:hAnsi="宋体" w:eastAsia="宋体" w:cs="宋体"/>
          <w:bCs/>
          <w:color w:val="auto"/>
          <w:kern w:val="2"/>
          <w:sz w:val="24"/>
          <w:szCs w:val="24"/>
          <w:lang w:val="en-US" w:eastAsia="zh-CN" w:bidi="ar-SA"/>
        </w:rPr>
        <w:t>5.1.2提供售后运维服务的具体内容。</w:t>
      </w:r>
    </w:p>
    <w:p w14:paraId="15E0D5FF">
      <w:pPr>
        <w:widowControl w:val="0"/>
        <w:spacing w:line="360" w:lineRule="auto"/>
        <w:ind w:firstLine="480" w:firstLineChars="200"/>
        <w:jc w:val="both"/>
        <w:rPr>
          <w:rFonts w:ascii="宋体" w:hAnsi="宋体" w:eastAsia="宋体" w:cs="宋体"/>
          <w:bCs/>
          <w:color w:val="auto"/>
          <w:kern w:val="2"/>
          <w:sz w:val="24"/>
          <w:szCs w:val="24"/>
          <w:lang w:val="en-US" w:eastAsia="zh-CN" w:bidi="ar-SA"/>
        </w:rPr>
      </w:pPr>
      <w:r>
        <w:rPr>
          <w:rFonts w:hint="eastAsia" w:ascii="宋体" w:hAnsi="宋体" w:eastAsia="宋体" w:cs="宋体"/>
          <w:bCs/>
          <w:color w:val="auto"/>
          <w:kern w:val="2"/>
          <w:sz w:val="24"/>
          <w:szCs w:val="24"/>
          <w:lang w:val="en-US" w:eastAsia="zh-CN" w:bidi="ar-SA"/>
        </w:rPr>
        <w:t>5.1.3售后运维服务的具体措施。</w:t>
      </w:r>
    </w:p>
    <w:p w14:paraId="2CF9473A">
      <w:pPr>
        <w:widowControl w:val="0"/>
        <w:spacing w:line="360" w:lineRule="auto"/>
        <w:ind w:firstLine="480" w:firstLineChars="200"/>
        <w:jc w:val="both"/>
        <w:rPr>
          <w:rFonts w:ascii="宋体" w:hAnsi="宋体" w:eastAsia="宋体" w:cs="宋体"/>
          <w:bCs/>
          <w:color w:val="auto"/>
          <w:kern w:val="2"/>
          <w:sz w:val="24"/>
          <w:szCs w:val="24"/>
          <w:lang w:val="en-US" w:eastAsia="zh-CN" w:bidi="ar-SA"/>
        </w:rPr>
      </w:pPr>
      <w:r>
        <w:rPr>
          <w:rFonts w:hint="eastAsia" w:ascii="宋体" w:hAnsi="宋体" w:eastAsia="宋体" w:cs="宋体"/>
          <w:bCs/>
          <w:color w:val="auto"/>
          <w:kern w:val="2"/>
          <w:sz w:val="24"/>
          <w:szCs w:val="24"/>
          <w:lang w:val="en-US" w:eastAsia="zh-CN" w:bidi="ar-SA"/>
        </w:rPr>
        <w:t>5.1.4售后运维服务相关管理制度。</w:t>
      </w:r>
    </w:p>
    <w:p w14:paraId="789A7FB6">
      <w:pPr>
        <w:widowControl w:val="0"/>
        <w:spacing w:line="360" w:lineRule="auto"/>
        <w:ind w:firstLine="480" w:firstLineChars="200"/>
        <w:jc w:val="both"/>
        <w:rPr>
          <w:rFonts w:ascii="宋体" w:hAnsi="宋体" w:eastAsia="宋体" w:cs="宋体"/>
          <w:bCs/>
          <w:color w:val="auto"/>
          <w:kern w:val="2"/>
          <w:sz w:val="24"/>
          <w:szCs w:val="24"/>
          <w:lang w:val="en-US" w:eastAsia="zh-CN" w:bidi="ar-SA"/>
        </w:rPr>
      </w:pPr>
      <w:r>
        <w:rPr>
          <w:rFonts w:hint="eastAsia" w:ascii="宋体" w:hAnsi="宋体" w:eastAsia="宋体" w:cs="宋体"/>
          <w:bCs/>
          <w:color w:val="auto"/>
          <w:kern w:val="2"/>
          <w:sz w:val="24"/>
          <w:szCs w:val="24"/>
          <w:lang w:val="en-US" w:eastAsia="zh-CN" w:bidi="ar-SA"/>
        </w:rPr>
        <w:t>5.1.5售后运维服务的应急预案。</w:t>
      </w:r>
    </w:p>
    <w:p w14:paraId="22F484C1">
      <w:pPr>
        <w:widowControl w:val="0"/>
        <w:spacing w:line="360" w:lineRule="auto"/>
        <w:ind w:firstLine="480" w:firstLineChars="200"/>
        <w:jc w:val="both"/>
        <w:rPr>
          <w:rFonts w:ascii="宋体" w:hAnsi="宋体" w:eastAsia="宋体" w:cs="宋体"/>
          <w:bCs/>
          <w:color w:val="auto"/>
          <w:kern w:val="2"/>
          <w:sz w:val="24"/>
          <w:szCs w:val="24"/>
          <w:lang w:val="en-US" w:eastAsia="zh-CN" w:bidi="ar-SA"/>
        </w:rPr>
      </w:pPr>
      <w:r>
        <w:rPr>
          <w:rFonts w:hint="eastAsia" w:ascii="宋体" w:hAnsi="宋体" w:eastAsia="宋体" w:cs="宋体"/>
          <w:bCs/>
          <w:color w:val="auto"/>
          <w:kern w:val="2"/>
          <w:sz w:val="24"/>
          <w:szCs w:val="24"/>
          <w:lang w:val="en-US" w:eastAsia="zh-CN" w:bidi="ar-SA"/>
        </w:rPr>
        <w:t>5.2售后服务技术能力要求：</w:t>
      </w:r>
    </w:p>
    <w:p w14:paraId="18B07CDB">
      <w:pPr>
        <w:widowControl w:val="0"/>
        <w:spacing w:line="360" w:lineRule="auto"/>
        <w:ind w:firstLine="480" w:firstLineChars="200"/>
        <w:jc w:val="both"/>
        <w:rPr>
          <w:rFonts w:ascii="宋体" w:hAnsi="宋体" w:eastAsia="宋体" w:cs="宋体"/>
          <w:bCs/>
          <w:color w:val="auto"/>
          <w:kern w:val="2"/>
          <w:sz w:val="24"/>
          <w:szCs w:val="24"/>
          <w:lang w:val="en-US" w:eastAsia="zh-CN" w:bidi="ar-SA"/>
        </w:rPr>
      </w:pPr>
      <w:r>
        <w:rPr>
          <w:rFonts w:hint="eastAsia" w:ascii="宋体" w:hAnsi="宋体" w:eastAsia="宋体" w:cs="宋体"/>
          <w:bCs/>
          <w:color w:val="auto"/>
          <w:kern w:val="2"/>
          <w:sz w:val="24"/>
          <w:szCs w:val="24"/>
          <w:lang w:val="en-US" w:eastAsia="zh-CN" w:bidi="ar-SA"/>
        </w:rPr>
        <w:t>5.2.1提供售后服务人员组织架构。</w:t>
      </w:r>
    </w:p>
    <w:p w14:paraId="37E6A5E9">
      <w:pPr>
        <w:widowControl w:val="0"/>
        <w:spacing w:line="360" w:lineRule="auto"/>
        <w:ind w:firstLine="480" w:firstLineChars="200"/>
        <w:jc w:val="both"/>
        <w:rPr>
          <w:rFonts w:ascii="宋体" w:hAnsi="宋体" w:eastAsia="宋体" w:cs="宋体"/>
          <w:bCs/>
          <w:color w:val="auto"/>
          <w:kern w:val="2"/>
          <w:sz w:val="24"/>
          <w:szCs w:val="24"/>
          <w:lang w:val="en-US" w:eastAsia="zh-CN" w:bidi="ar-SA"/>
        </w:rPr>
      </w:pPr>
      <w:r>
        <w:rPr>
          <w:rFonts w:hint="eastAsia" w:ascii="宋体" w:hAnsi="宋体" w:eastAsia="宋体" w:cs="宋体"/>
          <w:bCs/>
          <w:color w:val="auto"/>
          <w:kern w:val="2"/>
          <w:sz w:val="24"/>
          <w:szCs w:val="24"/>
          <w:lang w:val="en-US" w:eastAsia="zh-CN" w:bidi="ar-SA"/>
        </w:rPr>
        <w:t>5.2.2技术人员要求：服务商拥有专职技术人员不少于5名。</w:t>
      </w:r>
    </w:p>
    <w:p w14:paraId="3AD1EDB9">
      <w:pPr>
        <w:widowControl w:val="0"/>
        <w:spacing w:line="360" w:lineRule="auto"/>
        <w:ind w:firstLine="482" w:firstLineChars="200"/>
        <w:jc w:val="both"/>
        <w:rPr>
          <w:rFonts w:ascii="宋体" w:hAnsi="宋体" w:eastAsia="宋体" w:cs="宋体"/>
          <w:b/>
          <w:color w:val="auto"/>
          <w:kern w:val="2"/>
          <w:sz w:val="24"/>
          <w:szCs w:val="24"/>
          <w:lang w:val="en-US" w:eastAsia="zh-CN" w:bidi="ar-SA"/>
        </w:rPr>
      </w:pPr>
      <w:r>
        <w:rPr>
          <w:rFonts w:hint="eastAsia" w:ascii="宋体" w:hAnsi="宋体" w:eastAsia="宋体" w:cs="宋体"/>
          <w:b/>
          <w:color w:val="auto"/>
          <w:kern w:val="2"/>
          <w:sz w:val="24"/>
          <w:szCs w:val="24"/>
          <w:lang w:val="en-US" w:eastAsia="zh-CN" w:bidi="ar-SA"/>
        </w:rPr>
        <w:t>6.数据安全与信息保密要求：</w:t>
      </w:r>
    </w:p>
    <w:p w14:paraId="481B8DEE">
      <w:pPr>
        <w:widowControl w:val="0"/>
        <w:spacing w:line="360" w:lineRule="auto"/>
        <w:ind w:firstLine="480" w:firstLineChars="200"/>
        <w:jc w:val="both"/>
        <w:rPr>
          <w:rFonts w:ascii="宋体" w:hAnsi="宋体" w:eastAsia="宋体" w:cs="宋体"/>
          <w:bCs/>
          <w:color w:val="auto"/>
          <w:kern w:val="2"/>
          <w:sz w:val="24"/>
          <w:szCs w:val="24"/>
          <w:lang w:val="en-US" w:eastAsia="zh-CN" w:bidi="ar-SA"/>
        </w:rPr>
      </w:pPr>
      <w:r>
        <w:rPr>
          <w:rFonts w:hint="eastAsia" w:ascii="宋体" w:hAnsi="宋体" w:eastAsia="宋体" w:cs="宋体"/>
          <w:bCs/>
          <w:color w:val="auto"/>
          <w:kern w:val="2"/>
          <w:sz w:val="24"/>
          <w:szCs w:val="24"/>
          <w:lang w:val="en-US" w:eastAsia="zh-CN" w:bidi="ar-SA"/>
        </w:rPr>
        <w:t>6.1服务商应具有数据安全相关管理制度。</w:t>
      </w:r>
    </w:p>
    <w:p w14:paraId="4FF99DF1">
      <w:pPr>
        <w:widowControl w:val="0"/>
        <w:spacing w:line="360" w:lineRule="auto"/>
        <w:ind w:firstLine="480" w:firstLineChars="200"/>
        <w:jc w:val="both"/>
        <w:rPr>
          <w:rFonts w:ascii="宋体" w:hAnsi="宋体" w:eastAsia="宋体" w:cs="宋体"/>
          <w:bCs/>
          <w:color w:val="auto"/>
          <w:kern w:val="2"/>
          <w:sz w:val="24"/>
          <w:szCs w:val="24"/>
          <w:lang w:val="en-US" w:eastAsia="zh-CN" w:bidi="ar-SA"/>
        </w:rPr>
      </w:pPr>
      <w:r>
        <w:rPr>
          <w:rFonts w:hint="eastAsia" w:ascii="宋体" w:hAnsi="宋体" w:eastAsia="宋体" w:cs="宋体"/>
          <w:bCs/>
          <w:color w:val="auto"/>
          <w:kern w:val="2"/>
          <w:sz w:val="24"/>
          <w:szCs w:val="24"/>
          <w:lang w:val="en-US" w:eastAsia="zh-CN" w:bidi="ar-SA"/>
        </w:rPr>
        <w:t>6.2服务商拥有数据安全方面专职技术人员，提供近期缴纳社保证明材料。</w:t>
      </w:r>
    </w:p>
    <w:p w14:paraId="0224C05C">
      <w:pPr>
        <w:wordWrap w:val="0"/>
        <w:topLinePunct/>
        <w:spacing w:line="360" w:lineRule="auto"/>
        <w:ind w:firstLine="482" w:firstLineChars="200"/>
        <w:outlineLvl w:val="1"/>
        <w:rPr>
          <w:rFonts w:ascii="宋体" w:hAnsi="宋体" w:cs="宋体"/>
          <w:b/>
          <w:sz w:val="24"/>
        </w:rPr>
      </w:pPr>
      <w:r>
        <w:rPr>
          <w:rFonts w:hint="eastAsia" w:ascii="宋体" w:hAnsi="宋体" w:cs="宋体"/>
          <w:b/>
          <w:sz w:val="24"/>
        </w:rPr>
        <w:t>三.商务要求</w:t>
      </w:r>
    </w:p>
    <w:p w14:paraId="095F1696">
      <w:pPr>
        <w:wordWrap w:val="0"/>
        <w:topLinePunct/>
        <w:spacing w:line="360" w:lineRule="auto"/>
        <w:ind w:firstLine="482" w:firstLineChars="200"/>
        <w:rPr>
          <w:rFonts w:ascii="宋体" w:hAnsi="宋体" w:cs="宋体"/>
          <w:sz w:val="24"/>
        </w:rPr>
      </w:pPr>
      <w:r>
        <w:rPr>
          <w:rFonts w:hint="eastAsia" w:ascii="宋体" w:hAnsi="宋体" w:cs="宋体"/>
          <w:b/>
          <w:sz w:val="24"/>
        </w:rPr>
        <w:t>1.合同内容及金额：</w:t>
      </w:r>
      <w:r>
        <w:rPr>
          <w:rFonts w:hint="eastAsia" w:ascii="宋体" w:hAnsi="宋体" w:cs="宋体"/>
          <w:sz w:val="24"/>
        </w:rPr>
        <w:t>即成交单位的响应内容、现场澄清确认内容（若有）及其成交总金额</w:t>
      </w:r>
    </w:p>
    <w:p w14:paraId="6BF9F7AD">
      <w:pPr>
        <w:wordWrap w:val="0"/>
        <w:topLinePunct/>
        <w:spacing w:line="360" w:lineRule="auto"/>
        <w:ind w:firstLine="482" w:firstLineChars="200"/>
        <w:rPr>
          <w:rFonts w:ascii="宋体" w:hAnsi="宋体" w:cs="宋体"/>
          <w:sz w:val="24"/>
        </w:rPr>
      </w:pPr>
      <w:r>
        <w:rPr>
          <w:rFonts w:hint="eastAsia" w:ascii="宋体" w:hAnsi="宋体" w:cs="宋体"/>
          <w:b/>
          <w:sz w:val="24"/>
        </w:rPr>
        <w:t>2.服务地点：陕西省交通医院</w:t>
      </w:r>
    </w:p>
    <w:p w14:paraId="3741678D">
      <w:pPr>
        <w:wordWrap w:val="0"/>
        <w:topLinePunct/>
        <w:spacing w:line="360" w:lineRule="auto"/>
        <w:ind w:firstLine="482" w:firstLineChars="200"/>
        <w:rPr>
          <w:rFonts w:ascii="宋体" w:hAnsi="宋体" w:cs="宋体"/>
          <w:bCs/>
          <w:sz w:val="24"/>
        </w:rPr>
      </w:pPr>
      <w:r>
        <w:rPr>
          <w:rFonts w:hint="eastAsia" w:ascii="宋体" w:hAnsi="宋体" w:cs="宋体"/>
          <w:b/>
          <w:sz w:val="24"/>
        </w:rPr>
        <w:t>3.服务期：</w:t>
      </w:r>
      <w:r>
        <w:rPr>
          <w:rFonts w:hint="eastAsia" w:ascii="宋体" w:hAnsi="宋体" w:cs="宋体"/>
          <w:kern w:val="0"/>
          <w:sz w:val="24"/>
        </w:rPr>
        <w:t xml:space="preserve"> 1 年</w:t>
      </w:r>
    </w:p>
    <w:p w14:paraId="179F9AE9">
      <w:pPr>
        <w:wordWrap w:val="0"/>
        <w:topLinePunct/>
        <w:spacing w:line="360" w:lineRule="auto"/>
        <w:ind w:firstLine="482" w:firstLineChars="200"/>
        <w:rPr>
          <w:rFonts w:ascii="宋体" w:hAnsi="宋体" w:cs="宋体"/>
          <w:b/>
          <w:sz w:val="24"/>
        </w:rPr>
      </w:pPr>
      <w:r>
        <w:rPr>
          <w:rFonts w:hint="eastAsia" w:ascii="宋体" w:hAnsi="宋体" w:cs="宋体"/>
          <w:b/>
          <w:sz w:val="24"/>
        </w:rPr>
        <w:t>4.履约保证金</w:t>
      </w:r>
    </w:p>
    <w:p w14:paraId="3985A6F2">
      <w:pPr>
        <w:wordWrap w:val="0"/>
        <w:topLinePunct/>
        <w:spacing w:line="360" w:lineRule="auto"/>
        <w:ind w:firstLine="480" w:firstLineChars="200"/>
        <w:rPr>
          <w:rFonts w:ascii="宋体" w:hAnsi="宋体" w:cs="宋体"/>
          <w:bCs/>
          <w:sz w:val="24"/>
        </w:rPr>
      </w:pPr>
      <w:r>
        <w:rPr>
          <w:rFonts w:hint="eastAsia" w:ascii="宋体" w:hAnsi="宋体" w:cs="宋体"/>
          <w:bCs/>
          <w:sz w:val="24"/>
        </w:rPr>
        <w:t>4.1为保证供应商遵守双方合同约定所有事宜和货物质量，供应商须在合同签定7日内支付采购人百分之五(5%)合同款的约保证金。</w:t>
      </w:r>
    </w:p>
    <w:p w14:paraId="1DBEE8A7">
      <w:pPr>
        <w:wordWrap w:val="0"/>
        <w:topLinePunct/>
        <w:spacing w:line="360" w:lineRule="auto"/>
        <w:ind w:firstLine="480" w:firstLineChars="200"/>
        <w:rPr>
          <w:rFonts w:ascii="宋体" w:hAnsi="宋体" w:cs="宋体"/>
          <w:bCs/>
          <w:sz w:val="24"/>
        </w:rPr>
      </w:pPr>
      <w:r>
        <w:rPr>
          <w:rFonts w:hint="eastAsia" w:ascii="宋体" w:hAnsi="宋体" w:cs="宋体"/>
          <w:bCs/>
          <w:sz w:val="24"/>
        </w:rPr>
        <w:t>4.2自终验结束之日起至服务期满后，在无索赔争议，且供应商提供的成果文件、产品质量、服务符合合同约定的情况下，在采购人处办理百分之五(5%)合同款的履约保证金无息支付手续。</w:t>
      </w:r>
    </w:p>
    <w:p w14:paraId="5209EDE8">
      <w:pPr>
        <w:wordWrap w:val="0"/>
        <w:topLinePunct/>
        <w:spacing w:line="360" w:lineRule="auto"/>
        <w:ind w:firstLine="482" w:firstLineChars="200"/>
        <w:rPr>
          <w:rFonts w:ascii="宋体" w:hAnsi="宋体" w:cs="宋体"/>
          <w:bCs/>
          <w:sz w:val="24"/>
        </w:rPr>
      </w:pPr>
      <w:r>
        <w:rPr>
          <w:rFonts w:hint="eastAsia" w:ascii="宋体" w:hAnsi="宋体" w:cs="宋体"/>
          <w:b/>
          <w:sz w:val="24"/>
        </w:rPr>
        <w:t>5.结算方式</w:t>
      </w:r>
    </w:p>
    <w:p w14:paraId="516E3B4F">
      <w:pPr>
        <w:wordWrap w:val="0"/>
        <w:topLinePunct/>
        <w:spacing w:line="360" w:lineRule="auto"/>
        <w:ind w:firstLine="480" w:firstLineChars="200"/>
        <w:rPr>
          <w:rFonts w:ascii="宋体" w:hAnsi="宋体" w:cs="宋体"/>
          <w:bCs/>
          <w:sz w:val="24"/>
        </w:rPr>
      </w:pPr>
      <w:r>
        <w:rPr>
          <w:rFonts w:hint="eastAsia" w:ascii="宋体" w:hAnsi="宋体" w:cs="宋体"/>
          <w:bCs/>
          <w:sz w:val="24"/>
        </w:rPr>
        <w:t>5.1结算单位：采购人结算，结算前成交人须开具等额发票给采购人，采购人收到发票后，按照5.2的付款方式结算，否则导致的付款延误，责任自行承担。</w:t>
      </w:r>
    </w:p>
    <w:p w14:paraId="5E78DBBF">
      <w:pPr>
        <w:wordWrap w:val="0"/>
        <w:topLinePunct/>
        <w:spacing w:line="360" w:lineRule="auto"/>
        <w:ind w:firstLine="480" w:firstLineChars="200"/>
        <w:rPr>
          <w:rFonts w:ascii="宋体" w:hAnsi="宋体" w:cs="宋体"/>
          <w:bCs/>
          <w:sz w:val="24"/>
        </w:rPr>
      </w:pPr>
      <w:r>
        <w:rPr>
          <w:rFonts w:hint="eastAsia" w:ascii="宋体" w:hAnsi="宋体" w:cs="宋体"/>
          <w:bCs/>
          <w:sz w:val="24"/>
        </w:rPr>
        <w:t>5.2付款方式：</w:t>
      </w:r>
    </w:p>
    <w:p w14:paraId="5D42D401">
      <w:pPr>
        <w:wordWrap w:val="0"/>
        <w:topLinePunct/>
        <w:spacing w:line="360" w:lineRule="auto"/>
        <w:ind w:firstLine="480" w:firstLineChars="200"/>
        <w:rPr>
          <w:rFonts w:ascii="宋体" w:hAnsi="宋体" w:cs="宋体"/>
          <w:bCs/>
          <w:sz w:val="24"/>
        </w:rPr>
      </w:pPr>
      <w:r>
        <w:rPr>
          <w:rFonts w:hint="eastAsia" w:ascii="宋体" w:hAnsi="宋体" w:cs="宋体"/>
          <w:bCs/>
          <w:sz w:val="24"/>
        </w:rPr>
        <w:t>5.2.1合同签订生效后，乙方在甲方付款前【7】个工作日内以甲方提供的开票信息向甲方开具合同总价款（包含增项）技术服务费发票，并且支付履约保证金，甲方于收到履约保证金和乙方开具的发票后【7】个工作日内，一次性付清合同总价款，合同总价包含维护费、软件升级费、专利使用费等与履行本合同有关的一切费用。本合同总价一次性包死，不受其他市场因素变动的影响。</w:t>
      </w:r>
    </w:p>
    <w:p w14:paraId="7B76904D">
      <w:pPr>
        <w:widowControl w:val="0"/>
        <w:wordWrap w:val="0"/>
        <w:topLinePunct/>
        <w:spacing w:line="360" w:lineRule="auto"/>
        <w:ind w:firstLine="480" w:firstLineChars="200"/>
        <w:jc w:val="both"/>
        <w:rPr>
          <w:rFonts w:ascii="宋体" w:hAnsi="宋体" w:eastAsia="宋体" w:cs="宋体"/>
          <w:b/>
          <w:color w:val="auto"/>
          <w:kern w:val="2"/>
          <w:sz w:val="24"/>
          <w:szCs w:val="24"/>
          <w:highlight w:val="yellow"/>
          <w:lang w:val="en-US" w:eastAsia="zh-CN" w:bidi="ar-SA"/>
        </w:rPr>
      </w:pPr>
      <w:r>
        <w:rPr>
          <w:rFonts w:hint="eastAsia" w:ascii="宋体" w:hAnsi="宋体" w:eastAsia="宋体" w:cs="宋体"/>
          <w:bCs/>
          <w:color w:val="auto"/>
          <w:kern w:val="2"/>
          <w:sz w:val="24"/>
          <w:szCs w:val="24"/>
          <w:lang w:val="en-US" w:eastAsia="zh-CN" w:bidi="ar-SA"/>
        </w:rPr>
        <w:t>5.2.2若乙方在甲方付款前未能提供全额合规发票的，甲方有权拒付合同款项，且不承担任何责任，乙方亦不得以此为由拒绝履行任意合同义务。</w:t>
      </w:r>
    </w:p>
    <w:p w14:paraId="075CDAF3">
      <w:pPr>
        <w:wordWrap w:val="0"/>
        <w:topLinePunct/>
        <w:spacing w:line="360" w:lineRule="auto"/>
        <w:ind w:firstLine="482" w:firstLineChars="200"/>
        <w:rPr>
          <w:rFonts w:ascii="宋体" w:hAnsi="宋体" w:cs="宋体"/>
          <w:b/>
          <w:sz w:val="24"/>
        </w:rPr>
      </w:pPr>
      <w:r>
        <w:rPr>
          <w:rFonts w:hint="eastAsia" w:ascii="宋体" w:hAnsi="宋体" w:cs="宋体"/>
          <w:b/>
          <w:sz w:val="24"/>
        </w:rPr>
        <w:t>6.项目验收</w:t>
      </w:r>
    </w:p>
    <w:p w14:paraId="414B2E51">
      <w:pPr>
        <w:wordWrap w:val="0"/>
        <w:topLinePunct/>
        <w:spacing w:line="360" w:lineRule="auto"/>
        <w:ind w:firstLine="480" w:firstLineChars="200"/>
        <w:rPr>
          <w:rFonts w:ascii="宋体" w:hAnsi="宋体" w:cs="宋体"/>
          <w:sz w:val="24"/>
        </w:rPr>
      </w:pPr>
      <w:r>
        <w:rPr>
          <w:rFonts w:hint="eastAsia" w:ascii="宋体" w:hAnsi="宋体" w:cs="宋体"/>
          <w:sz w:val="24"/>
        </w:rPr>
        <w:t>6.1项目由采购人组织相关人员或其邀请的专家进行考核评价验收，验收时成交人应无条件予以配合并提供验收所需的全部资料：</w:t>
      </w:r>
    </w:p>
    <w:p w14:paraId="2861E9E3">
      <w:pPr>
        <w:wordWrap w:val="0"/>
        <w:topLinePunct/>
        <w:spacing w:line="360" w:lineRule="auto"/>
        <w:ind w:firstLine="480" w:firstLineChars="200"/>
        <w:rPr>
          <w:rFonts w:ascii="宋体" w:hAnsi="宋体" w:cs="宋体"/>
          <w:sz w:val="24"/>
        </w:rPr>
      </w:pPr>
      <w:r>
        <w:rPr>
          <w:rFonts w:hint="eastAsia" w:ascii="宋体" w:hAnsi="宋体" w:cs="宋体"/>
          <w:sz w:val="24"/>
        </w:rPr>
        <w:t>6.2验收依据：采购文件、响应文件、合同文本、《信息系统售后运维服务质量评价标准》、国内相应的标准、规范。</w:t>
      </w:r>
    </w:p>
    <w:p w14:paraId="2A48FB0F">
      <w:pPr>
        <w:wordWrap w:val="0"/>
        <w:topLinePunct/>
        <w:spacing w:line="360" w:lineRule="auto"/>
        <w:ind w:firstLine="482" w:firstLineChars="200"/>
        <w:rPr>
          <w:rFonts w:ascii="宋体" w:hAnsi="宋体" w:cs="宋体"/>
          <w:b/>
          <w:bCs/>
          <w:sz w:val="24"/>
        </w:rPr>
      </w:pPr>
      <w:r>
        <w:rPr>
          <w:rFonts w:hint="eastAsia" w:ascii="宋体" w:hAnsi="宋体" w:cs="宋体"/>
          <w:b/>
          <w:bCs/>
          <w:sz w:val="24"/>
        </w:rPr>
        <w:t>7.知识产权</w:t>
      </w:r>
    </w:p>
    <w:p w14:paraId="2EF2D9FA">
      <w:pPr>
        <w:wordWrap w:val="0"/>
        <w:topLinePunct/>
        <w:spacing w:line="360" w:lineRule="auto"/>
        <w:ind w:firstLine="480" w:firstLineChars="200"/>
        <w:rPr>
          <w:rFonts w:ascii="宋体" w:hAnsi="宋体" w:cs="宋体"/>
          <w:sz w:val="24"/>
        </w:rPr>
      </w:pPr>
      <w:r>
        <w:rPr>
          <w:rFonts w:hint="eastAsia" w:ascii="宋体" w:hAnsi="宋体" w:cs="宋体"/>
          <w:sz w:val="24"/>
        </w:rPr>
        <w:t>供应商应保证投标服务及货物不会出现因第三方提出侵犯其专利权、商标权或其它知识产权而引发法律或经济纠纷，否则由供应商承担全部责任。任何被供应商用于未经授权的商业目的行为所造成的违约或侵权责任由供应商承但。</w:t>
      </w:r>
    </w:p>
    <w:p w14:paraId="26BDF4F2">
      <w:pPr>
        <w:wordWrap w:val="0"/>
        <w:topLinePunct/>
        <w:spacing w:line="360" w:lineRule="auto"/>
        <w:ind w:firstLine="482" w:firstLineChars="200"/>
        <w:rPr>
          <w:rFonts w:ascii="宋体" w:hAnsi="宋体" w:cs="宋体"/>
          <w:b/>
          <w:bCs/>
          <w:sz w:val="24"/>
        </w:rPr>
      </w:pPr>
      <w:r>
        <w:rPr>
          <w:rFonts w:hint="eastAsia" w:ascii="宋体" w:hAnsi="宋体" w:cs="宋体"/>
          <w:b/>
          <w:bCs/>
          <w:sz w:val="24"/>
        </w:rPr>
        <w:t>8.违约责任</w:t>
      </w:r>
    </w:p>
    <w:p w14:paraId="681A44D7">
      <w:pPr>
        <w:spacing w:line="336" w:lineRule="auto"/>
        <w:ind w:firstLine="480" w:firstLineChars="200"/>
        <w:rPr>
          <w:rFonts w:ascii="宋体" w:hAnsi="宋体" w:cs="宋体"/>
          <w:sz w:val="24"/>
        </w:rPr>
      </w:pPr>
      <w:r>
        <w:rPr>
          <w:rFonts w:hint="eastAsia" w:ascii="宋体" w:hAnsi="宋体" w:cs="宋体"/>
          <w:sz w:val="24"/>
        </w:rPr>
        <w:t>8.</w:t>
      </w:r>
      <w:r>
        <w:rPr>
          <w:rFonts w:ascii="宋体" w:hAnsi="宋体" w:cs="宋体"/>
          <w:sz w:val="24"/>
        </w:rPr>
        <w:t>1除不可抗力因素外，</w:t>
      </w:r>
      <w:r>
        <w:rPr>
          <w:rFonts w:hint="eastAsia" w:ascii="宋体" w:hAnsi="宋体" w:cs="宋体"/>
          <w:sz w:val="24"/>
        </w:rPr>
        <w:t>因乙方原因造成无法在本合同第十条第2款约定的时限内及时响应并排除故障</w:t>
      </w:r>
      <w:r>
        <w:rPr>
          <w:rFonts w:ascii="宋体" w:hAnsi="宋体" w:cs="宋体"/>
          <w:sz w:val="24"/>
        </w:rPr>
        <w:t>的</w:t>
      </w:r>
      <w:r>
        <w:rPr>
          <w:rFonts w:hint="eastAsia" w:ascii="宋体" w:hAnsi="宋体" w:cs="宋体"/>
          <w:sz w:val="24"/>
        </w:rPr>
        <w:t>，逾期责任由乙方承担，每逾期一天乙方按合同总价的</w:t>
      </w:r>
      <w:r>
        <w:rPr>
          <w:rFonts w:ascii="宋体" w:hAnsi="宋体" w:cs="宋体"/>
          <w:sz w:val="24"/>
        </w:rPr>
        <w:t>【</w:t>
      </w:r>
      <w:r>
        <w:rPr>
          <w:rFonts w:hint="eastAsia" w:ascii="宋体" w:hAnsi="宋体" w:cs="宋体"/>
          <w:sz w:val="24"/>
        </w:rPr>
        <w:t>0</w:t>
      </w:r>
      <w:r>
        <w:rPr>
          <w:rFonts w:ascii="宋体" w:hAnsi="宋体" w:cs="宋体"/>
          <w:sz w:val="24"/>
        </w:rPr>
        <w:t>.5】</w:t>
      </w:r>
      <w:r>
        <w:rPr>
          <w:rFonts w:hint="eastAsia" w:ascii="宋体" w:hAnsi="宋体" w:cs="宋体"/>
          <w:sz w:val="24"/>
        </w:rPr>
        <w:t>%向甲方支付违约金，累计逾期超过【3</w:t>
      </w:r>
      <w:r>
        <w:rPr>
          <w:rFonts w:ascii="宋体" w:hAnsi="宋体" w:cs="宋体"/>
          <w:sz w:val="24"/>
        </w:rPr>
        <w:t>0</w:t>
      </w:r>
      <w:r>
        <w:rPr>
          <w:rFonts w:hint="eastAsia" w:ascii="宋体" w:hAnsi="宋体" w:cs="宋体"/>
          <w:sz w:val="24"/>
        </w:rPr>
        <w:t>】天或合同期内逾期情形累计出现【1</w:t>
      </w:r>
      <w:r>
        <w:rPr>
          <w:rFonts w:ascii="宋体" w:hAnsi="宋体" w:cs="宋体"/>
          <w:sz w:val="24"/>
        </w:rPr>
        <w:t>0</w:t>
      </w:r>
      <w:r>
        <w:rPr>
          <w:rFonts w:hint="eastAsia" w:ascii="宋体" w:hAnsi="宋体" w:cs="宋体"/>
          <w:sz w:val="24"/>
        </w:rPr>
        <w:t>】次的，视为乙方根本违约，甲方有权单方解除本协议，</w:t>
      </w:r>
      <w:r>
        <w:rPr>
          <w:rFonts w:ascii="宋体" w:hAnsi="宋体" w:cs="宋体"/>
          <w:sz w:val="24"/>
        </w:rPr>
        <w:t>乙方应按合同总价的</w:t>
      </w:r>
      <w:r>
        <w:rPr>
          <w:rFonts w:hint="eastAsia" w:ascii="宋体" w:hAnsi="宋体" w:cs="宋体"/>
          <w:sz w:val="24"/>
        </w:rPr>
        <w:t>【3</w:t>
      </w:r>
      <w:r>
        <w:rPr>
          <w:rFonts w:ascii="宋体" w:hAnsi="宋体" w:cs="宋体"/>
          <w:sz w:val="24"/>
        </w:rPr>
        <w:t>0】%向甲方支付违约金，并承担因此造成的甲方损失。</w:t>
      </w:r>
    </w:p>
    <w:p w14:paraId="1C962510">
      <w:pPr>
        <w:spacing w:line="336" w:lineRule="auto"/>
        <w:ind w:firstLine="480" w:firstLineChars="200"/>
        <w:rPr>
          <w:rFonts w:ascii="宋体" w:hAnsi="宋体" w:cs="宋体"/>
          <w:sz w:val="24"/>
        </w:rPr>
      </w:pPr>
      <w:r>
        <w:rPr>
          <w:rFonts w:hint="eastAsia" w:ascii="宋体" w:hAnsi="宋体" w:cs="宋体"/>
          <w:sz w:val="24"/>
        </w:rPr>
        <w:t>8.</w:t>
      </w:r>
      <w:r>
        <w:rPr>
          <w:rFonts w:ascii="宋体" w:hAnsi="宋体" w:cs="宋体"/>
          <w:sz w:val="24"/>
        </w:rPr>
        <w:t>2</w:t>
      </w:r>
      <w:r>
        <w:rPr>
          <w:rFonts w:hint="eastAsia" w:ascii="宋体" w:hAnsi="宋体" w:cs="宋体"/>
          <w:sz w:val="24"/>
        </w:rPr>
        <w:t>在合同期限内</w:t>
      </w:r>
      <w:r>
        <w:rPr>
          <w:rFonts w:ascii="宋体" w:hAnsi="宋体" w:cs="宋体"/>
          <w:sz w:val="24"/>
        </w:rPr>
        <w:t>，由于乙方服务人员工作而导致甲方数据库受损、数据错误、丢失等，视为乙方严重违约，乙方应按合同总价的</w:t>
      </w:r>
      <w:r>
        <w:rPr>
          <w:rFonts w:hint="eastAsia" w:ascii="宋体" w:hAnsi="宋体" w:cs="宋体"/>
          <w:sz w:val="24"/>
        </w:rPr>
        <w:t>【3</w:t>
      </w:r>
      <w:r>
        <w:rPr>
          <w:rFonts w:ascii="宋体" w:hAnsi="宋体" w:cs="宋体"/>
          <w:sz w:val="24"/>
        </w:rPr>
        <w:t>0】%向甲方支付违约金，并承担因此造成的甲方损失。</w:t>
      </w:r>
    </w:p>
    <w:p w14:paraId="58C624AB">
      <w:pPr>
        <w:spacing w:line="336" w:lineRule="auto"/>
        <w:ind w:firstLine="480" w:firstLineChars="200"/>
        <w:rPr>
          <w:rFonts w:ascii="宋体" w:hAnsi="宋体" w:cs="宋体"/>
          <w:sz w:val="24"/>
        </w:rPr>
      </w:pPr>
      <w:r>
        <w:rPr>
          <w:rFonts w:hint="eastAsia" w:ascii="宋体" w:hAnsi="宋体" w:cs="宋体"/>
          <w:sz w:val="24"/>
        </w:rPr>
        <w:t>8.</w:t>
      </w:r>
      <w:r>
        <w:rPr>
          <w:rFonts w:ascii="宋体" w:hAnsi="宋体" w:cs="宋体"/>
          <w:sz w:val="24"/>
        </w:rPr>
        <w:t>3</w:t>
      </w:r>
      <w:r>
        <w:rPr>
          <w:rFonts w:hint="eastAsia" w:ascii="宋体" w:hAnsi="宋体" w:cs="宋体"/>
          <w:sz w:val="24"/>
        </w:rPr>
        <w:t>在合同期限内，未经甲方同意，乙方不得转包、分包本合同项下的合同义务，否则甲方有权解除本协议，乙方需按合同总价的【3</w:t>
      </w:r>
      <w:r>
        <w:rPr>
          <w:rFonts w:ascii="宋体" w:hAnsi="宋体" w:cs="宋体"/>
          <w:sz w:val="24"/>
        </w:rPr>
        <w:t>0】%</w:t>
      </w:r>
      <w:r>
        <w:rPr>
          <w:rFonts w:hint="eastAsia" w:ascii="宋体" w:hAnsi="宋体" w:cs="宋体"/>
          <w:sz w:val="24"/>
        </w:rPr>
        <w:t xml:space="preserve">向甲方支付违约金。 </w:t>
      </w:r>
    </w:p>
    <w:p w14:paraId="091AE786">
      <w:pPr>
        <w:spacing w:line="336" w:lineRule="auto"/>
        <w:ind w:firstLine="480" w:firstLineChars="200"/>
        <w:rPr>
          <w:rFonts w:ascii="宋体" w:hAnsi="宋体" w:cs="宋体"/>
          <w:sz w:val="24"/>
        </w:rPr>
      </w:pPr>
      <w:r>
        <w:rPr>
          <w:rFonts w:hint="eastAsia" w:ascii="宋体" w:hAnsi="宋体" w:cs="宋体"/>
          <w:sz w:val="24"/>
        </w:rPr>
        <w:t>8.</w:t>
      </w:r>
      <w:r>
        <w:rPr>
          <w:rFonts w:ascii="宋体" w:hAnsi="宋体" w:cs="宋体"/>
          <w:sz w:val="24"/>
        </w:rPr>
        <w:t>4乙方在上门维护</w:t>
      </w:r>
      <w:r>
        <w:rPr>
          <w:rFonts w:hint="eastAsia" w:ascii="宋体" w:hAnsi="宋体" w:cs="宋体"/>
          <w:sz w:val="24"/>
        </w:rPr>
        <w:t>期间发生</w:t>
      </w:r>
      <w:r>
        <w:rPr>
          <w:rFonts w:ascii="宋体" w:hAnsi="宋体" w:cs="宋体"/>
          <w:sz w:val="24"/>
        </w:rPr>
        <w:t>任何</w:t>
      </w:r>
      <w:r>
        <w:rPr>
          <w:rFonts w:hint="eastAsia" w:ascii="宋体" w:hAnsi="宋体" w:cs="宋体"/>
          <w:sz w:val="24"/>
        </w:rPr>
        <w:t>人身事故或造成甲方设备损坏的，由乙方承担</w:t>
      </w:r>
      <w:r>
        <w:rPr>
          <w:rFonts w:ascii="宋体" w:hAnsi="宋体" w:cs="宋体"/>
          <w:sz w:val="24"/>
        </w:rPr>
        <w:t>全部</w:t>
      </w:r>
      <w:r>
        <w:rPr>
          <w:rFonts w:hint="eastAsia" w:ascii="宋体" w:hAnsi="宋体" w:cs="宋体"/>
          <w:sz w:val="24"/>
        </w:rPr>
        <w:t>赔偿责任，给甲方造成</w:t>
      </w:r>
      <w:r>
        <w:rPr>
          <w:rFonts w:ascii="宋体" w:hAnsi="宋体" w:cs="宋体"/>
          <w:sz w:val="24"/>
        </w:rPr>
        <w:t>其他</w:t>
      </w:r>
      <w:r>
        <w:rPr>
          <w:rFonts w:hint="eastAsia" w:ascii="宋体" w:hAnsi="宋体" w:cs="宋体"/>
          <w:sz w:val="24"/>
        </w:rPr>
        <w:t>损失的，甲方有权向乙方追偿。</w:t>
      </w:r>
    </w:p>
    <w:p w14:paraId="18F1B172">
      <w:pPr>
        <w:spacing w:line="336" w:lineRule="auto"/>
        <w:ind w:firstLine="480" w:firstLineChars="200"/>
        <w:rPr>
          <w:rFonts w:ascii="宋体" w:hAnsi="宋体" w:cs="宋体"/>
          <w:sz w:val="24"/>
        </w:rPr>
      </w:pPr>
      <w:r>
        <w:rPr>
          <w:rFonts w:hint="eastAsia" w:ascii="宋体" w:hAnsi="宋体" w:cs="宋体"/>
          <w:sz w:val="24"/>
        </w:rPr>
        <w:t>8.</w:t>
      </w:r>
      <w:r>
        <w:rPr>
          <w:rFonts w:ascii="宋体" w:hAnsi="宋体" w:cs="宋体"/>
          <w:sz w:val="24"/>
        </w:rPr>
        <w:t>5乙方对</w:t>
      </w:r>
      <w:r>
        <w:rPr>
          <w:rFonts w:hint="eastAsia" w:ascii="宋体" w:hAnsi="宋体" w:cs="宋体"/>
          <w:sz w:val="24"/>
        </w:rPr>
        <w:t>系统</w:t>
      </w:r>
      <w:r>
        <w:rPr>
          <w:rFonts w:ascii="宋体" w:hAnsi="宋体" w:cs="宋体"/>
          <w:sz w:val="24"/>
        </w:rPr>
        <w:t>维护或升级期间，应保证甲方的正常使用，因乙方原因中断服务的，最长不得超过【</w:t>
      </w:r>
      <w:r>
        <w:rPr>
          <w:rFonts w:hint="eastAsia" w:ascii="宋体" w:hAnsi="宋体" w:cs="宋体"/>
          <w:sz w:val="24"/>
        </w:rPr>
        <w:t>5</w:t>
      </w:r>
      <w:r>
        <w:rPr>
          <w:rFonts w:ascii="宋体" w:hAnsi="宋体" w:cs="宋体"/>
          <w:sz w:val="24"/>
        </w:rPr>
        <w:t>】天，否则甲方有权单方解除合同，合同自甲方书面解除通知送达乙方之日解除，乙方应按合同总价的</w:t>
      </w:r>
      <w:r>
        <w:rPr>
          <w:rFonts w:hint="eastAsia" w:ascii="宋体" w:hAnsi="宋体" w:cs="宋体"/>
          <w:sz w:val="24"/>
        </w:rPr>
        <w:t>【3</w:t>
      </w:r>
      <w:r>
        <w:rPr>
          <w:rFonts w:ascii="宋体" w:hAnsi="宋体" w:cs="宋体"/>
          <w:sz w:val="24"/>
        </w:rPr>
        <w:t>0】%支付违约金，违约金不足以弥补甲方损失的，乙方另行承担。</w:t>
      </w:r>
    </w:p>
    <w:p w14:paraId="4B2B8190">
      <w:pPr>
        <w:wordWrap w:val="0"/>
        <w:topLinePunct/>
        <w:spacing w:line="360" w:lineRule="auto"/>
        <w:ind w:firstLine="480" w:firstLineChars="200"/>
        <w:rPr>
          <w:rFonts w:ascii="宋体" w:hAnsi="宋体" w:cs="宋体"/>
          <w:sz w:val="24"/>
        </w:rPr>
      </w:pPr>
      <w:r>
        <w:rPr>
          <w:rFonts w:hint="eastAsia" w:ascii="宋体" w:hAnsi="宋体" w:cs="宋体"/>
          <w:sz w:val="24"/>
          <w:szCs w:val="21"/>
        </w:rPr>
        <w:t>8.</w:t>
      </w:r>
      <w:r>
        <w:rPr>
          <w:rFonts w:ascii="宋体" w:hAnsi="宋体" w:cs="宋体"/>
          <w:sz w:val="24"/>
          <w:szCs w:val="21"/>
        </w:rPr>
        <w:t>6</w:t>
      </w:r>
      <w:r>
        <w:rPr>
          <w:rFonts w:hint="eastAsia" w:ascii="宋体" w:hAnsi="宋体" w:cs="宋体"/>
          <w:sz w:val="24"/>
          <w:szCs w:val="21"/>
        </w:rPr>
        <w:t>对于本合同中需乙方支付的违约金，甲方均有权从未付合同款中直接扣除。</w:t>
      </w:r>
    </w:p>
    <w:p w14:paraId="2C66F0D5">
      <w:pPr>
        <w:spacing w:line="360" w:lineRule="auto"/>
        <w:rPr>
          <w:rFonts w:ascii="宋体" w:hAnsi="宋体" w:cs="宋体"/>
          <w:sz w:val="24"/>
        </w:rPr>
      </w:pPr>
    </w:p>
    <w:p w14:paraId="2A349356">
      <w:pPr>
        <w:wordWrap w:val="0"/>
        <w:topLinePunct/>
        <w:spacing w:line="360" w:lineRule="auto"/>
        <w:ind w:firstLine="482" w:firstLineChars="200"/>
        <w:rPr>
          <w:rFonts w:ascii="宋体" w:hAnsi="宋体" w:cs="宋体"/>
          <w:sz w:val="24"/>
        </w:rPr>
      </w:pPr>
      <w:r>
        <w:rPr>
          <w:rFonts w:hint="eastAsia" w:ascii="宋体" w:hAnsi="宋体" w:cs="宋体"/>
          <w:b/>
          <w:sz w:val="24"/>
        </w:rPr>
        <w:t>注：</w:t>
      </w:r>
      <w:r>
        <w:rPr>
          <w:rFonts w:hint="eastAsia" w:ascii="宋体" w:hAnsi="宋体" w:cs="宋体"/>
          <w:sz w:val="24"/>
        </w:rPr>
        <w:t>本项目技术要求及商务要求不允许负偏离</w:t>
      </w:r>
    </w:p>
    <w:p w14:paraId="62D09CF8"/>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楷体_GB2312">
    <w:altName w:val="楷体"/>
    <w:panose1 w:val="00000000000000000000"/>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24" w:lineRule="auto"/>
      </w:pPr>
      <w:r>
        <w:separator/>
      </w:r>
    </w:p>
  </w:footnote>
  <w:footnote w:type="continuationSeparator" w:id="1">
    <w:p>
      <w:pPr>
        <w:spacing w:line="324"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06E3"/>
    <w:rsid w:val="00A106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iPriority="39"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24" w:lineRule="auto"/>
      <w:jc w:val="both"/>
    </w:pPr>
    <w:rPr>
      <w:rFonts w:ascii="Times New Roman" w:hAnsi="Times New Roman" w:eastAsia="宋体" w:cs="Times New Roman"/>
      <w:kern w:val="2"/>
      <w:sz w:val="21"/>
      <w:szCs w:val="24"/>
      <w:lang w:val="en-US" w:eastAsia="zh-CN" w:bidi="ar-SA"/>
    </w:rPr>
  </w:style>
  <w:style w:type="paragraph" w:styleId="6">
    <w:name w:val="heading 1"/>
    <w:basedOn w:val="1"/>
    <w:next w:val="1"/>
    <w:qFormat/>
    <w:uiPriority w:val="9"/>
    <w:pPr>
      <w:keepNext/>
      <w:keepLines/>
      <w:spacing w:before="120" w:after="120" w:line="360" w:lineRule="auto"/>
      <w:jc w:val="center"/>
      <w:outlineLvl w:val="0"/>
    </w:pPr>
    <w:rPr>
      <w:b/>
      <w:bCs/>
      <w:kern w:val="44"/>
      <w:sz w:val="30"/>
      <w:szCs w:val="44"/>
    </w:rPr>
  </w:style>
  <w:style w:type="character" w:default="1" w:styleId="11">
    <w:name w:val="Default Paragraph Font"/>
    <w:semiHidden/>
    <w:uiPriority w:val="0"/>
  </w:style>
  <w:style w:type="table" w:default="1" w:styleId="9">
    <w:name w:val="Normal Table"/>
    <w:semiHidden/>
    <w:uiPriority w:val="0"/>
    <w:tblPr>
      <w:tblCellMar>
        <w:top w:w="0" w:type="dxa"/>
        <w:left w:w="108" w:type="dxa"/>
        <w:bottom w:w="0" w:type="dxa"/>
        <w:right w:w="108" w:type="dxa"/>
      </w:tblCellMar>
    </w:tblPr>
  </w:style>
  <w:style w:type="paragraph" w:styleId="2">
    <w:name w:val="Body Text First Indent"/>
    <w:basedOn w:val="3"/>
    <w:next w:val="4"/>
    <w:unhideWhenUsed/>
    <w:qFormat/>
    <w:uiPriority w:val="99"/>
    <w:pPr>
      <w:ind w:firstLine="420" w:firstLineChars="100"/>
    </w:pPr>
  </w:style>
  <w:style w:type="paragraph" w:styleId="3">
    <w:name w:val="Body Text"/>
    <w:basedOn w:val="1"/>
    <w:next w:val="1"/>
    <w:qFormat/>
    <w:uiPriority w:val="0"/>
    <w:rPr>
      <w:color w:val="993300"/>
      <w:sz w:val="24"/>
    </w:rPr>
  </w:style>
  <w:style w:type="paragraph" w:styleId="4">
    <w:name w:val="Body Text First Indent 2"/>
    <w:basedOn w:val="5"/>
    <w:qFormat/>
    <w:uiPriority w:val="99"/>
    <w:pPr>
      <w:spacing w:after="120"/>
      <w:ind w:left="420" w:leftChars="200" w:firstLine="420" w:firstLineChars="200"/>
    </w:pPr>
    <w:rPr>
      <w:rFonts w:ascii="Times New Roman" w:hAnsi="Times New Roman"/>
    </w:rPr>
  </w:style>
  <w:style w:type="paragraph" w:styleId="5">
    <w:name w:val="Body Text Indent"/>
    <w:basedOn w:val="1"/>
    <w:next w:val="4"/>
    <w:qFormat/>
    <w:uiPriority w:val="0"/>
    <w:pPr>
      <w:ind w:firstLine="480"/>
    </w:pPr>
    <w:rPr>
      <w:rFonts w:ascii="宋体" w:hAnsi="宋体"/>
    </w:rPr>
  </w:style>
  <w:style w:type="paragraph" w:styleId="7">
    <w:name w:val="Normal Indent"/>
    <w:basedOn w:val="1"/>
    <w:next w:val="8"/>
    <w:qFormat/>
    <w:uiPriority w:val="0"/>
    <w:pPr>
      <w:autoSpaceDE w:val="0"/>
      <w:autoSpaceDN w:val="0"/>
      <w:adjustRightInd w:val="0"/>
      <w:spacing w:line="640" w:lineRule="exact"/>
      <w:ind w:firstLine="585"/>
    </w:pPr>
    <w:rPr>
      <w:rFonts w:ascii="楷体_GB2312" w:eastAsia="楷体_GB2312"/>
      <w:kern w:val="0"/>
      <w:sz w:val="32"/>
      <w:szCs w:val="32"/>
    </w:rPr>
  </w:style>
  <w:style w:type="paragraph" w:styleId="8">
    <w:name w:val="toc 4"/>
    <w:basedOn w:val="1"/>
    <w:next w:val="1"/>
    <w:unhideWhenUsed/>
    <w:qFormat/>
    <w:uiPriority w:val="39"/>
    <w:pPr>
      <w:ind w:left="1260" w:leftChars="600"/>
    </w:pPr>
    <w:rPr>
      <w:szCs w:val="22"/>
    </w:rPr>
  </w:style>
  <w:style w:type="table" w:styleId="10">
    <w:name w:val="Table Grid"/>
    <w:basedOn w:val="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2">
    <w:name w:val="List Paragraph"/>
    <w:basedOn w:val="1"/>
    <w:qFormat/>
    <w:uiPriority w:val="34"/>
    <w:pPr>
      <w:widowControl/>
      <w:spacing w:line="240" w:lineRule="auto"/>
      <w:ind w:left="720"/>
      <w:contextualSpacing/>
      <w:jc w:val="left"/>
    </w:pPr>
    <w:rPr>
      <w:rFonts w:ascii="Calibri" w:hAnsi="Calibri"/>
      <w:kern w:val="0"/>
      <w:sz w:val="24"/>
      <w:lang w:eastAsia="en-US" w:bidi="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23</Pages>
  <Words>0</Words>
  <Characters>0</Characters>
  <Lines>0</Lines>
  <Paragraphs>0</Paragraphs>
  <TotalTime>1</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2025-07-28T06:28:00Z</dcterms:created>
  <dc:creator>困</dc:creator>
  <cp:lastModifiedBy>困</cp:lastModifiedBy>
  <dcterms:modified xsi:type="dcterms:W3CDTF">2025-07-28T06:29:53Z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CECA034DDEB542D4BEB86CF2FCCDE087_11</vt:lpwstr>
  </property>
  <property fmtid="{D5CDD505-2E9C-101B-9397-08002B2CF9AE}" pid="4" name="KSOTemplateDocerSaveRecord">
    <vt:lpwstr>eyJoZGlkIjoiMTc2OTVjMjgxZDc0MWJkOWM4NTcyZjk2ZGYxZGJjNjUiLCJ1c2VySWQiOiI1NTI0MjI4NjgifQ==</vt:lpwstr>
  </property>
</Properties>
</file>