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4877" w14:textId="77777777" w:rsidR="00AE14EA" w:rsidRPr="00AE14EA" w:rsidRDefault="00AE14EA" w:rsidP="00AE14EA">
      <w:pPr>
        <w:keepNext/>
        <w:keepLines/>
        <w:snapToGrid w:val="0"/>
        <w:spacing w:beforeLines="50" w:before="156" w:afterLines="50" w:after="156" w:line="480" w:lineRule="exact"/>
        <w:jc w:val="left"/>
        <w:outlineLvl w:val="1"/>
        <w:rPr>
          <w:rFonts w:ascii="宋体" w:eastAsia="宋体" w:hAnsi="宋体" w:cs="Times New Roman" w:hint="eastAsia"/>
          <w:b/>
          <w:sz w:val="24"/>
          <w:szCs w:val="24"/>
        </w:rPr>
      </w:pPr>
      <w:bookmarkStart w:id="0" w:name="_Toc204767040"/>
      <w:r w:rsidRPr="00AE14EA">
        <w:rPr>
          <w:rFonts w:ascii="宋体" w:eastAsia="宋体" w:hAnsi="宋体" w:cs="Times New Roman" w:hint="eastAsia"/>
          <w:b/>
          <w:sz w:val="24"/>
          <w:szCs w:val="24"/>
        </w:rPr>
        <w:t>一、服务内容与要求</w:t>
      </w:r>
      <w:bookmarkEnd w:id="0"/>
    </w:p>
    <w:p w14:paraId="38B7D4BF" w14:textId="77777777" w:rsidR="00AE14EA" w:rsidRPr="00AE14EA" w:rsidRDefault="00AE14EA" w:rsidP="00AE14EA">
      <w:pPr>
        <w:snapToGrid w:val="0"/>
        <w:spacing w:line="480" w:lineRule="exact"/>
        <w:rPr>
          <w:rFonts w:ascii="Times New Roman" w:eastAsia="宋体" w:hAnsi="Times New Roman" w:cs="Times New Roman" w:hint="eastAsia"/>
          <w:color w:val="FF0000"/>
          <w:szCs w:val="24"/>
        </w:rPr>
      </w:pPr>
      <w:r w:rsidRPr="00AE14EA">
        <w:rPr>
          <w:rFonts w:ascii="宋体" w:eastAsia="宋体" w:hAnsi="宋体" w:cs="仿宋_GB2312" w:hint="eastAsia"/>
          <w:color w:val="FF0000"/>
          <w:sz w:val="24"/>
          <w:szCs w:val="24"/>
        </w:rPr>
        <w:t>（</w:t>
      </w:r>
      <w:r w:rsidRPr="00AE14EA">
        <w:rPr>
          <w:rFonts w:ascii="宋体" w:eastAsia="宋体" w:hAnsi="宋体" w:cs="仿宋_GB2312"/>
          <w:color w:val="FF0000"/>
          <w:sz w:val="24"/>
          <w:szCs w:val="24"/>
        </w:rPr>
        <w:t>带“★”的参数需求为实质性要求，</w:t>
      </w:r>
      <w:r w:rsidRPr="00AE14EA">
        <w:rPr>
          <w:rFonts w:ascii="宋体" w:eastAsia="宋体" w:hAnsi="宋体" w:cs="仿宋_GB2312" w:hint="eastAsia"/>
          <w:color w:val="FF0000"/>
          <w:sz w:val="24"/>
          <w:szCs w:val="24"/>
        </w:rPr>
        <w:t>投标人</w:t>
      </w:r>
      <w:r w:rsidRPr="00AE14EA">
        <w:rPr>
          <w:rFonts w:ascii="宋体" w:eastAsia="宋体" w:hAnsi="宋体" w:cs="仿宋_GB2312"/>
          <w:color w:val="FF0000"/>
          <w:sz w:val="24"/>
          <w:szCs w:val="24"/>
        </w:rPr>
        <w:t>必须响应并满足</w:t>
      </w:r>
      <w:r w:rsidRPr="00AE14EA">
        <w:rPr>
          <w:rFonts w:ascii="宋体" w:eastAsia="宋体" w:hAnsi="宋体" w:cs="仿宋_GB2312" w:hint="eastAsia"/>
          <w:color w:val="FF0000"/>
          <w:sz w:val="24"/>
          <w:szCs w:val="24"/>
        </w:rPr>
        <w:t>，否则其投标文件将被否决。）</w:t>
      </w:r>
    </w:p>
    <w:p w14:paraId="7F698337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（一）实验室的资质：</w:t>
      </w:r>
    </w:p>
    <w:p w14:paraId="0DDBE166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在西安本地有医学检验实验室，本地实验室资质齐全，通过ISO15189认可并在有效期内。</w:t>
      </w:r>
    </w:p>
    <w:p w14:paraId="4762C8D1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（二）检测项目的齐全性：</w:t>
      </w:r>
    </w:p>
    <w:p w14:paraId="33BECDB2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★1.开展的项目能满足采购人临床检测的需求，能对附表1«外送检验项目的基本需求和报告时限» 中所列的所有项目进行检测。</w:t>
      </w:r>
      <w:r w:rsidRPr="00AE14EA">
        <w:rPr>
          <w:rFonts w:ascii="宋体" w:eastAsia="宋体" w:hAnsi="宋体" w:cs="Times New Roman" w:hint="eastAsia"/>
          <w:b/>
          <w:bCs/>
          <w:sz w:val="24"/>
          <w:szCs w:val="32"/>
        </w:rPr>
        <w:t>（提供承诺函）</w:t>
      </w:r>
    </w:p>
    <w:p w14:paraId="39E6025A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2.病理学检查：除常规组织细胞病理检测外，能进行常见病毒（HBV/HCV/HPV）感染相关以及肿瘤相关分子的组织细胞病理、免疫组化等检测。</w:t>
      </w:r>
    </w:p>
    <w:p w14:paraId="47F5049F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3.其他检测项目及技术支撑具有高通量测序技术、质谱、色谱检测技术以及超微病理技术的支撑平台</w:t>
      </w:r>
      <w:r w:rsidRPr="00AE14EA">
        <w:rPr>
          <w:rFonts w:ascii="宋体" w:eastAsia="宋体" w:hAnsi="宋体" w:cs="Times New Roman" w:hint="eastAsia"/>
          <w:b/>
          <w:bCs/>
          <w:sz w:val="24"/>
          <w:szCs w:val="32"/>
        </w:rPr>
        <w:t>（提供相关证明材料）</w:t>
      </w:r>
      <w:r w:rsidRPr="00AE14EA">
        <w:rPr>
          <w:rFonts w:ascii="宋体" w:eastAsia="宋体" w:hAnsi="宋体" w:cs="Times New Roman" w:hint="eastAsia"/>
          <w:sz w:val="24"/>
          <w:szCs w:val="32"/>
        </w:rPr>
        <w:t xml:space="preserve">；能进行如特种蛋白检测、毒品检测、药物浓度监测、肿瘤个体化以及遗传病基因检测等。 </w:t>
      </w:r>
    </w:p>
    <w:p w14:paraId="1DBF1E02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（三）实验室的信息化管理：</w:t>
      </w:r>
    </w:p>
    <w:p w14:paraId="47EEE8D3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1.第三方检验机构对于院方的外送检验标本可实现信息化、自动化以及流程标准化的管理，符合ISO/IEC17025、ISO15189的标准。实验室信息系统按照国际标准设计，检验电子报告采用国家认可的数字签名方式，互认项目报告单符合相关规定。</w:t>
      </w:r>
    </w:p>
    <w:p w14:paraId="3366C60A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2.信息系统可与医院HIS系统对接，做到数据共享，临床医生可在医院HIS系统阅读和打印检验报告单；第三方检验机构实验室具备IS027001信息安全管理体系认证证书，保证信息安全。</w:t>
      </w:r>
    </w:p>
    <w:p w14:paraId="08C829E1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3.可实现检验结果的网络查询以及24小时电话咨询服务。</w:t>
      </w:r>
    </w:p>
    <w:p w14:paraId="01FB51B7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4.可提供数字化扫描病理切片,可以让医生自己网上查询、下载及阅片。</w:t>
      </w:r>
    </w:p>
    <w:p w14:paraId="217A9D11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（四）外送检验报告的时效性：</w:t>
      </w:r>
    </w:p>
    <w:p w14:paraId="77E868DF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外送检验结果回报及时：常规报告24小时内完成，特殊检测能达到附表1中要求的时效性，报告单及时送达，未及时送达应承担相应违约责任。</w:t>
      </w:r>
    </w:p>
    <w:p w14:paraId="2A0C1FBC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（五）检测设备和试剂：</w:t>
      </w:r>
    </w:p>
    <w:p w14:paraId="2E2A385A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lastRenderedPageBreak/>
        <w:t>1.用于临床标本检测的设备需符合国家规定。</w:t>
      </w:r>
    </w:p>
    <w:p w14:paraId="24C0B25C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2.所用试剂须有批准文号，不得使用科研试剂。</w:t>
      </w:r>
    </w:p>
    <w:p w14:paraId="0F8728D9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3.检测方法达到或优于附表1«外送检验项目的基本需求和报告时限» 中对检测方法的要求。</w:t>
      </w:r>
    </w:p>
    <w:p w14:paraId="4F36D3DD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（六）标本运输要求：</w:t>
      </w:r>
    </w:p>
    <w:p w14:paraId="056AA69F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1.能实现物流信息化管理，为《医学检验生物样本冷链物流运作规范》达标企业。具备卫星定位系统和温控系统，在标本的运输中可以实现实时路径监控、实时温度监控，保证标本运输过程中保持在所需的温度区间内。</w:t>
      </w:r>
    </w:p>
    <w:p w14:paraId="6786D35D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2.高致病性病原微生物样本需按照国家规范要求办理转运证。</w:t>
      </w:r>
    </w:p>
    <w:p w14:paraId="3A677A11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（七）实验室的质量管理：</w:t>
      </w:r>
    </w:p>
    <w:p w14:paraId="2EC2AB81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1.具备完善的实验室质量管理体系。</w:t>
      </w:r>
    </w:p>
    <w:p w14:paraId="7D3A38B8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2.室内质控开展率≥90%；2024年度室间质评参加率≥95%，合格率≥98%。</w:t>
      </w:r>
    </w:p>
    <w:p w14:paraId="3D9EE846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3、本地实验室纳入2025年度陕西省检验结果互认名单，且附表1中带“▲”纳入陕西省互认的项目均通过互认。</w:t>
      </w:r>
    </w:p>
    <w:p w14:paraId="1441A1F8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4、附表1带“*”项目需为经过ISO15189认可的项目和检测方法。（提供相关证明材料）</w:t>
      </w:r>
    </w:p>
    <w:p w14:paraId="34EF6715" w14:textId="77777777" w:rsidR="00AE14EA" w:rsidRPr="00AE14EA" w:rsidRDefault="00AE14EA" w:rsidP="00AE14EA">
      <w:pPr>
        <w:snapToGrid w:val="0"/>
        <w:spacing w:line="480" w:lineRule="exact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（八）其他服务要求：</w:t>
      </w:r>
    </w:p>
    <w:p w14:paraId="5F526F1D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1、能够提供全面、优质的检验服务，保证服务质量、满足医院诊疗需求，及时提供新增特殊检测业务；</w:t>
      </w:r>
    </w:p>
    <w:p w14:paraId="787D873F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 w:hint="eastAsia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2、可通过人工智能应用提升医院医疗服务能力，实现AI智能体智慧报告解读、疾病问答、项目推荐、用药助手等智能场景应用，辅助临床医生的决策诊断。</w:t>
      </w:r>
    </w:p>
    <w:p w14:paraId="02BA6251" w14:textId="77777777" w:rsidR="00AE14EA" w:rsidRPr="00AE14EA" w:rsidRDefault="00AE14EA" w:rsidP="00AE14EA">
      <w:pPr>
        <w:snapToGrid w:val="0"/>
        <w:spacing w:line="480" w:lineRule="exact"/>
        <w:ind w:firstLineChars="177" w:firstLine="425"/>
        <w:rPr>
          <w:rFonts w:ascii="宋体" w:eastAsia="宋体" w:hAnsi="宋体" w:cs="Times New Roman"/>
          <w:sz w:val="24"/>
          <w:szCs w:val="32"/>
        </w:rPr>
      </w:pPr>
      <w:r w:rsidRPr="00AE14EA">
        <w:rPr>
          <w:rFonts w:ascii="宋体" w:eastAsia="宋体" w:hAnsi="宋体" w:cs="Times New Roman" w:hint="eastAsia"/>
          <w:sz w:val="24"/>
          <w:szCs w:val="32"/>
        </w:rPr>
        <w:t>3、可以配合医院的发展提供专家上门学术交流、开展临床科研检测、实验室共建思路等一系列增值服务，提供实验室相互交流学习机会，达到共同发展。</w:t>
      </w:r>
    </w:p>
    <w:p w14:paraId="435A7C97" w14:textId="77777777" w:rsidR="00AE14EA" w:rsidRPr="00AE14EA" w:rsidRDefault="00AE14EA" w:rsidP="00AE14EA">
      <w:pPr>
        <w:snapToGrid w:val="0"/>
        <w:spacing w:line="480" w:lineRule="exact"/>
        <w:ind w:firstLine="420"/>
        <w:rPr>
          <w:rFonts w:ascii="宋体" w:eastAsia="宋体" w:hAnsi="Courier New" w:cs="Times New Roman" w:hint="eastAsia"/>
          <w:szCs w:val="20"/>
        </w:rPr>
      </w:pPr>
    </w:p>
    <w:p w14:paraId="016A8B6C" w14:textId="77777777" w:rsidR="00AE14EA" w:rsidRPr="00AE14EA" w:rsidRDefault="00AE14EA" w:rsidP="00AE14EA">
      <w:pPr>
        <w:snapToGrid w:val="0"/>
        <w:spacing w:line="480" w:lineRule="exact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bookmarkStart w:id="1" w:name="_Toc204767041"/>
      <w:r w:rsidRPr="00AE14EA">
        <w:rPr>
          <w:rFonts w:ascii="宋体" w:eastAsia="宋体" w:hAnsi="宋体" w:cs="Times New Roman" w:hint="eastAsia"/>
          <w:color w:val="000000"/>
          <w:sz w:val="24"/>
          <w:szCs w:val="24"/>
        </w:rPr>
        <w:t>附表1：</w:t>
      </w:r>
      <w:r w:rsidRPr="00AE14E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外送检验项目的基本需求和报告时限</w:t>
      </w:r>
      <w:bookmarkEnd w:id="1"/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720"/>
        <w:gridCol w:w="4132"/>
        <w:gridCol w:w="2962"/>
        <w:gridCol w:w="1825"/>
      </w:tblGrid>
      <w:tr w:rsidR="00AE14EA" w:rsidRPr="00AE14EA" w14:paraId="2F903A3D" w14:textId="77777777" w:rsidTr="009D5A3B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5B3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400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B1E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要求检测方法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9E7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报告时限</w:t>
            </w:r>
          </w:p>
        </w:tc>
      </w:tr>
      <w:tr w:rsidR="00AE14EA" w:rsidRPr="00AE14EA" w14:paraId="102AA85A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6F09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C7E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乙肝病毒核苷类药物耐药检测（测序）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97C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测序法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8E7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3-4个工作日</w:t>
            </w:r>
          </w:p>
        </w:tc>
      </w:tr>
      <w:tr w:rsidR="00AE14EA" w:rsidRPr="00AE14EA" w14:paraId="1CBB69B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949D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232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丙型肝炎病毒 (HCV)基因分型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C19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实时荧光PCR法、测序法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A44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3-4个工作日</w:t>
            </w:r>
          </w:p>
        </w:tc>
      </w:tr>
      <w:tr w:rsidR="00AE14EA" w:rsidRPr="00AE14EA" w14:paraId="699E39B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2F3B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48D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HIV-1耐药基因检测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30C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Sanger测序法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609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7个工作日</w:t>
            </w:r>
          </w:p>
        </w:tc>
      </w:tr>
      <w:tr w:rsidR="00AE14EA" w:rsidRPr="00AE14EA" w14:paraId="45100EDA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9693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2CB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▲人乳头瘤病毒(HPV)基因分型检测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37F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AD8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012C262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68FD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2D3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结核分枝杆菌及利福平耐药检测 (XpertMTB/RTF）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4A3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9C9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3个工作日</w:t>
            </w:r>
          </w:p>
        </w:tc>
      </w:tr>
      <w:tr w:rsidR="00AE14EA" w:rsidRPr="00AE14EA" w14:paraId="6309355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0072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0F0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单纯疱疹病毒I型 (HSVII-DNA)定性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624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30B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6F077DA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F7E6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19A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单纯疱疹病毒II型（hsv II-DNA)定性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6D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03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D3C84D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2E24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8FD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梅毒螺旋体DNA定性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00F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478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365A5E8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12FE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9E2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肺炎支原体DNA定性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84A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DAE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29B361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A89A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936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肺炎衣原体DNA定性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9D3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606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E2AFB48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24B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26B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百日咳杆菌核酸检测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175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806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E71494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6BE2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364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风疹病毒RNA定性测定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7C7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7A3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D906E7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5F28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F46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戊肝病毒RNA定量检测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ADF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020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33E0F48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B377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388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EB病毒早期抗原IgG抗体测定（EBV-EA-IgG）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B05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B13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0BD179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D17B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C50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EB病毒早期抗原IgA测定（EBV-EA-IgA）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010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089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F84F40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E202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F8B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EB病毒壳抗原IgA测定（EBV-CA-IgA）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828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5CC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1DE4B9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2205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3A4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EB病毒壳抗原IgM抗体测定（EBV-CA-IgM）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428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309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3A4E1D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6391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114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EB病毒壳抗原IgG抗体测定（EBV-CA-IgG）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74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502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ABE7AA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81B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C19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EB病毒核心抗原IgG抗体测定（EBV-NA-IgG）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370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402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4E72E3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51C8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830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柯萨奇病毒IgM抗体测定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F77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316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E4D9ED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4642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B95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柯萨奇病毒IgG抗体测定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F6E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92C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5F54DE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436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67F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腮腺炎病毒IgM抗体测定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700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B68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6B6FDA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9D14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A75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腮腺炎病毒IgG抗体测定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180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0FA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0FC399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D481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11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麻疹病毒IgM抗体测定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64C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ACF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96C801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99EE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0B3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麻疹病毒IgG抗体测定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44E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F25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DD4FF77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BE5A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061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风疹病毒IgM抗体测定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677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022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7D3C2BB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95BE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DD4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风疹病毒IgG抗体测定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76B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F08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538999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2646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003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*单纯疱疹病毒I型IgM抗体测定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F3C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295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3F3E60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9FFE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92B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单纯疱疹病毒I型IgG抗体测定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671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042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4856AC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C1AD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9FD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*单纯疱疹病毒II型IgM抗体测定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FC7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F3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8A222B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D718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858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单纯疱疹病毒II型IgG抗体测定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C0C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23E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4A55168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9CF1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A48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水痘—带状疱疹病毒IgM抗体测定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188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B71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B273D5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0E62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A10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水痘—带状疱疹病毒IgG抗体测定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B0D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8C7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06436E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A295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177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*弓形体IgM抗体测定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008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16A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6EAC5A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AB43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ED8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弓形体IgG抗体测定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4E8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506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4BCF12A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D496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7F1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*巨细胞病毒IgM抗体测定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5A7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66D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31B1F1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C833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BB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巨细胞病毒IgG抗体测定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E7F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1F2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319214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596B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BF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呼吸道合胞病毒IgM抗体测定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A69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F0B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27E240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E6C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836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新型隐球菌荚膜抗原测定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E4E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ELISA或胶体金法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73E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DF6507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9F21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67B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马尔尼菲青霉菌抗原检测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F85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ELISA或胶体金法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6DE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525D12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A2C7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AA6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恙虫病立克次体抗体检测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C46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ELISA或胶体金法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EF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2D3769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4A41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328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军团菌抗体IgM测定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9B9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AF9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643E33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85C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29E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日本血吸虫IgG抗体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7AE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DC2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A7440CB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18CE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496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肝吸虫IgG抗体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5CF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754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6926F5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68C5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518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包虫抗体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67C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ELISA或化学发光法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39C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53681C7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74E7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81C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卡氏肺胞子虫鉴别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37C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219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B92B9DB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DA1C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647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抗组织细胞抗体测定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89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8BF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6664E31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0DDB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FF6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血清抗谷氨酸脱羧酶抗体测定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26E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64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A9CAB6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26EF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4AD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胰岛素抗体测定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65B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化学发光法或放免法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920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4826EB1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86E7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131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血管炎五项（ACA、cANCA、pANCA、MPO-ANCA、PR3-ANCA）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375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A98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00030C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D31F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133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抗肾小球基底膜抗体 (GBA)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FA0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983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B86119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B38B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FE8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抗中性粒细胞胞浆抗体 (ANCA)二项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5B7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60B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3CD4D2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DD36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FDF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抗环瓜氨酸肽抗体（抗CCP抗体）检测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C7E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384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A226FA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54B4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A2A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人类白细胞抗原B27测定(HLA-B27)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AB2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流式细胞术或实时荧光PCR法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BF9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5E1ABF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1257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25F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a1抗胰蛋白酶测定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9F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免疫比浊法或化学发光法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B25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9C2E12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F319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32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糖类抗原CA50测定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801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0A0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2F2EAFE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40A0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9FB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▲糖类抗原CA125测定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9AD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A54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7347DF2A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FE40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8F1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▲糖类抗原CA153测定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C41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8D6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1B00B88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94F4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54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*鳞癌细胞抗原(SCC)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920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39E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1C3D491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2CEF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594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*细胞角蛋白19片段 (CYFRA21-1)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F58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E64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63577F2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AFE4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F53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*神经元特异性烯醇化酶(NSE)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B3D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04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09348F4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766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02B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▲总前列腺特异性抗原测定(TPSA)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D98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448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3732F67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A015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6EC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▲游离前列腺特异性抗原测定(FPSA)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50F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F64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19DFDDC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6DF5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125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L-岩藻糖甘酶 (AFU)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C33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A5E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1E8F7BD7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CA23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004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恶性肿瘤特异生长因子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9E0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49A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3FC614B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E975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7D5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甲胎蛋白异质体测定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239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3B4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1个工作日</w:t>
            </w:r>
          </w:p>
        </w:tc>
      </w:tr>
      <w:tr w:rsidR="00AE14EA" w:rsidRPr="00AE14EA" w14:paraId="672AC6B1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4893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D92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总IgE测定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826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178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CA4C862" w14:textId="77777777" w:rsidTr="009D5A3B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566C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423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特殊变应原(m×l《产黄青霉素、多主枝孢，烟曲霉、链格孢》）筛查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91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D4E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062B7C7" w14:textId="77777777" w:rsidTr="009D5A3B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145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3FE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特殊变应原（f×5e《食物混合物（鸡蛋白、牛奶、鳕鱼、小麦、花生、大豆）》）筛查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4E0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EC2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0B10889" w14:textId="77777777" w:rsidTr="009D5A3B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14EE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707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特殊变应原（e×1《猫皮屑、马皮屑、牛皮屑、狗毛皮屑》）筛查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C44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BED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8695CD4" w14:textId="77777777" w:rsidTr="009D5A3B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1715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32E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特殊变应原（h×2《屋尘、户尘螨、粉尘螨、蟑螂》）筛查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9E4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化学发光法或免疫荧光法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010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AB4FF7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B063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0D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▲*孕酮(P)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1C9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1D6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D46E44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A0B7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CE4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雌酮E1测定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9C8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FB9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462FF0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0BE4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A0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▲雌二醇测定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048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A9C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261D3F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D765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010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游离雌三醇测定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504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421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0E82D98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D492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444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▲睾酮测定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B4A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3D3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940BB1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9F15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722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▲血清促黄体生成素测定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FA7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3E1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54E8E8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587E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145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▲血清促卵泡刺激素测定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1CC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BE5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64CD4B7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E262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B6C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▲血清泌乳素测定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5F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4AE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BE13B0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944E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06C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血管紧张素Ⅱ测定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A94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F05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368AC2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189C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61A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促肾上腺皮质激素 (ACTH)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17E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3F9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58F0CC7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0E01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5AF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醛固酮 (AID)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D80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48A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627330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A0D8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C8B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血浆肾素活性测定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D1B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82D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EFFFF81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D45B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7EB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血浆皮质醇测定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F8A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334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3FFB63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9EF3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452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▲糖化血红蛋白测定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EFF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CDE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49A21B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F192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E0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C-肽（C-P）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9D3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292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B33FDA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BAA0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3B1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血清胰岛素测定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A5F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9D5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16DAF0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7C5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7F3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*维生素B12测定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F87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B4A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3B7DC33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062E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1D2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*叶酸测定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FD7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979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44B10B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6BC2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76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促红细胞生成素（EPO）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7BA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2CA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15BAFD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C98A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92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尿17-羟皮质类固醇 （17-OHCS)测定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F29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572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C3C7064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58CF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D30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尿17-酮皮质类固醇(17-KS)测定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3BB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AD5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602DC8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0965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55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铜蓝蛋白测定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FC0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1E3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427BDBB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232A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13A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环孢霉素A浓度（CSA）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C53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色谱法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A20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60BD6B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67FB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15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肿瘤坏死因子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119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AEE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2FC307D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85CA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70E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免疫球蛋白亚类IgG4定量测定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C3F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3B6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6442B7A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0444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48F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036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亚铁嗪法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277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ED3ED6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D519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333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转铁蛋白测定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C10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免疫比浊法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2EC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D6D6D9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70D9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21C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血清骨型碱性磷酸酶质量测定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04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B1C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3个工作日</w:t>
            </w:r>
          </w:p>
        </w:tc>
      </w:tr>
      <w:tr w:rsidR="00AE14EA" w:rsidRPr="00AE14EA" w14:paraId="4512C50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30FE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F20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总Ⅰ型胶原氨基端延长肽(Total-P1NP)测定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B99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389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7F1294B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E9FD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C8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血清骨钙素测定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644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B2B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539911A6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FEFB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4B5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血清N-端骨钙素测定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5A1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73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6DD81F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6F32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336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血清β-胶原降解产物测定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886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化学发光或电化学发光法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C7C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4B1F5C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EEF4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39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24小时尿铜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A22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串联质谱法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FA5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158DAAB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FD92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3D3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全血铅测定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C8E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串联质谱法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8E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47DAF18F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A4B4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A9C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微量元素硒测定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053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串联质谱法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E57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2个工作日</w:t>
            </w:r>
          </w:p>
        </w:tc>
      </w:tr>
      <w:tr w:rsidR="00AE14EA" w:rsidRPr="00AE14EA" w14:paraId="098065B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CC3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69C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骨髓涂片细胞学检查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99F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67C6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2C24A2ED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A406C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322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特殊染色1项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72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各种特殊染色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9614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3247133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B2D4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963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手术标本超过两个蜡块加收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EBD7" w14:textId="77777777" w:rsidR="00AE14EA" w:rsidRPr="00AE14EA" w:rsidRDefault="00AE14EA" w:rsidP="00AE14EA">
            <w:pPr>
              <w:snapToGrid w:val="0"/>
              <w:spacing w:line="48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4568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658E7B54" w14:textId="77777777" w:rsidTr="009D5A3B">
        <w:trPr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9ECF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24E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免疫组织化学染色诊断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675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各种免疫组化染色，全自动机器染色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A620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1A6339C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E43D9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98B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超薄液基细胞学检测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CB1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TCT技术，染色镜检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0831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305095B1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BF7A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DD1D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妇科脱落细胞学检查与诊断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84A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0538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1026AEC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B7D9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F9D3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内镜组织活检检查与诊断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154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427C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431B38E9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AAABB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9D8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手术标本检查与诊断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21F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32B9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3-5个工作日</w:t>
            </w:r>
          </w:p>
        </w:tc>
      </w:tr>
      <w:tr w:rsidR="00AE14EA" w:rsidRPr="00AE14EA" w14:paraId="5BDA678C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3175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3BA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穿刺组织活检检查与诊断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EBC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00C08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75E90353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3B2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2F9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体液细胞学检查与诊断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7C1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35B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  <w:tr w:rsidR="00AE14EA" w:rsidRPr="00AE14EA" w14:paraId="3265FD05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1709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A72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肝脏活检检查与诊断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236E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染色镜检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C24A2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5-7个工作日</w:t>
            </w:r>
          </w:p>
        </w:tc>
      </w:tr>
      <w:tr w:rsidR="00AE14EA" w:rsidRPr="00AE14EA" w14:paraId="352E8962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87C1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441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肝脏穿刺免疫电镜检查与诊断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C467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免疫电镜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7770A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5-7个工作日</w:t>
            </w:r>
          </w:p>
        </w:tc>
      </w:tr>
      <w:tr w:rsidR="00AE14EA" w:rsidRPr="00AE14EA" w14:paraId="16A396E0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94AC5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3D0F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疑难病理会诊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4BF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高级职称病理医师主持的专家组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BB1E0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5-7个工作日</w:t>
            </w:r>
          </w:p>
        </w:tc>
      </w:tr>
      <w:tr w:rsidR="00AE14EA" w:rsidRPr="00AE14EA" w14:paraId="60D5968E" w14:textId="77777777" w:rsidTr="009D5A3B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FC134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B9B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透析液内毒素检测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6271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鲎试剂法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57566" w14:textId="77777777" w:rsidR="00AE14EA" w:rsidRPr="00AE14EA" w:rsidRDefault="00AE14EA" w:rsidP="00AE14EA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AE14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2-3个工作日</w:t>
            </w:r>
          </w:p>
        </w:tc>
      </w:tr>
    </w:tbl>
    <w:p w14:paraId="7CFDB0E1" w14:textId="77777777" w:rsidR="00AE14EA" w:rsidRPr="00AE14EA" w:rsidRDefault="00AE14EA" w:rsidP="00AE14EA">
      <w:pPr>
        <w:snapToGrid w:val="0"/>
        <w:spacing w:line="480" w:lineRule="exact"/>
        <w:rPr>
          <w:rFonts w:ascii="Times New Roman" w:eastAsia="宋体" w:hAnsi="Times New Roman" w:cs="Times New Roman" w:hint="eastAsia"/>
          <w:szCs w:val="24"/>
        </w:rPr>
      </w:pPr>
    </w:p>
    <w:p w14:paraId="2B77AC23" w14:textId="77777777" w:rsidR="00AE14EA" w:rsidRPr="00AE14EA" w:rsidRDefault="00AE14EA" w:rsidP="00AE14EA">
      <w:pPr>
        <w:snapToGrid w:val="0"/>
        <w:spacing w:beforeLines="50" w:before="156" w:afterLines="50" w:after="156" w:line="480" w:lineRule="exact"/>
        <w:ind w:firstLine="420"/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  <w:r w:rsidRPr="00AE14E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备注：1、带“▲”为2025年陕西省检验结果互认项目。“人乳头瘤病毒(HPV)</w:t>
      </w:r>
      <w:r w:rsidRPr="00AE14EA">
        <w:rPr>
          <w:rFonts w:ascii="宋体" w:eastAsia="宋体" w:hAnsi="宋体" w:cs="Times New Roman" w:hint="eastAsia"/>
          <w:bCs/>
          <w:color w:val="000000"/>
          <w:sz w:val="24"/>
          <w:szCs w:val="24"/>
        </w:rPr>
        <w:lastRenderedPageBreak/>
        <w:t>基因分型检测”互认项目名称为“人乳头瘤病毒核酸检测”。</w:t>
      </w:r>
    </w:p>
    <w:p w14:paraId="5B2C73A8" w14:textId="2913930F" w:rsidR="00B0247E" w:rsidRDefault="00AE14EA" w:rsidP="00AE14EA">
      <w:pPr>
        <w:rPr>
          <w:rFonts w:hint="eastAsia"/>
        </w:rPr>
      </w:pP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2</w:t>
      </w: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、带“</w:t>
      </w: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*</w:t>
      </w: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”项目为采购人标本量相对较大或有重要临床意义，每个检测项目第三方实验室应通过</w:t>
      </w: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ISO15189</w:t>
      </w:r>
      <w:r w:rsidRPr="00AE14EA">
        <w:rPr>
          <w:rFonts w:ascii="Times New Roman" w:eastAsia="宋体" w:hAnsi="宋体" w:cs="Times New Roman" w:hint="eastAsia"/>
          <w:bCs/>
          <w:color w:val="000000"/>
          <w:sz w:val="24"/>
          <w:szCs w:val="24"/>
        </w:rPr>
        <w:t>认可。</w:t>
      </w:r>
    </w:p>
    <w:sectPr w:rsidR="00B0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EA"/>
    <w:rsid w:val="005764C1"/>
    <w:rsid w:val="006A75C8"/>
    <w:rsid w:val="009F4E89"/>
    <w:rsid w:val="00AE14EA"/>
    <w:rsid w:val="00B0247E"/>
    <w:rsid w:val="00DA2D30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9566"/>
  <w15:chartTrackingRefBased/>
  <w15:docId w15:val="{EA99FFC6-3CDF-47D5-A20A-683EB1B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E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E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E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E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14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2798</Words>
  <Characters>2882</Characters>
  <Application>Microsoft Office Word</Application>
  <DocSecurity>0</DocSecurity>
  <Lines>180</Lines>
  <Paragraphs>157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2025-08-05T06:27:00Z</dcterms:created>
  <dcterms:modified xsi:type="dcterms:W3CDTF">2025-08-05T06:29:00Z</dcterms:modified>
</cp:coreProperties>
</file>