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13" w:name="_GoBack"/>
      <w:bookmarkEnd w:id="13"/>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hint="eastAsia" w:cstheme="minorHAnsi"/>
        </w:rPr>
        <w:t>竞争性磋商</w:t>
      </w:r>
      <w:r>
        <w:rPr>
          <w:rFonts w:cstheme="minorHAnsi"/>
        </w:rPr>
        <w:t>文件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长安师范学校附属小学校园监控设备购置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XCZX2025-0097</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2025年8月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磋商内容及要求</w:t>
      </w:r>
      <w:r>
        <w:tab/>
      </w:r>
      <w:r>
        <w:fldChar w:fldCharType="begin"/>
      </w:r>
      <w:r>
        <w:instrText xml:space="preserve"> PAGEREF _Toc100219614 \h </w:instrText>
      </w:r>
      <w:r>
        <w:fldChar w:fldCharType="separate"/>
      </w:r>
      <w:r>
        <w:t>34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合同草案条款</w:t>
      </w:r>
      <w:r>
        <w:tab/>
      </w:r>
      <w:r>
        <w:fldChar w:fldCharType="end"/>
      </w:r>
      <w:r>
        <w:t>32</w:t>
      </w:r>
    </w:p>
    <w:p>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响应文件构成及格式</w:t>
      </w:r>
      <w:r>
        <w:tab/>
      </w:r>
      <w:r>
        <w:fldChar w:fldCharType="begin"/>
      </w:r>
      <w:r>
        <w:instrText xml:space="preserve"> PAGEREF _Toc100219616 \h </w:instrText>
      </w:r>
      <w:r>
        <w:fldChar w:fldCharType="separate"/>
      </w:r>
      <w:r>
        <w:t>51</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磋商邀请函</w:t>
      </w:r>
      <w:bookmarkEnd w:id="0"/>
    </w:p>
    <w:p>
      <w:pPr>
        <w:widowControl w:val="0"/>
        <w:topLinePunct/>
        <w:ind w:firstLine="480" w:firstLineChars="200"/>
        <w:jc w:val="both"/>
      </w:pPr>
      <w:r>
        <w:rPr>
          <w:rFonts w:hint="eastAsia"/>
        </w:rPr>
        <w:t>西安市市级单位政府采购中心受</w:t>
      </w:r>
      <w:r>
        <w:rPr>
          <w:rFonts w:hint="eastAsia"/>
          <w:color w:val="C00000"/>
        </w:rPr>
        <w:t>长安师范学校附属小学</w:t>
      </w:r>
      <w:r>
        <w:rPr>
          <w:rFonts w:hint="eastAsia"/>
        </w:rPr>
        <w:t>的委托，经政府采购监管部门批准，按照政府采购程序，对</w:t>
      </w:r>
      <w:r>
        <w:rPr>
          <w:rFonts w:hint="eastAsia"/>
          <w:color w:val="C00000"/>
        </w:rPr>
        <w:t>长安师范学校附属小学校园监控设备购置</w:t>
      </w:r>
      <w:r>
        <w:rPr>
          <w:rFonts w:hint="eastAsia"/>
        </w:rPr>
        <w:t>项目进行竞争性磋商，欢迎符合资格条件的、有能力提供本项目所需货物和服务的供应商参加磋商。</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长安师范学校附属小学校园监控设备购置</w:t>
      </w:r>
    </w:p>
    <w:p>
      <w:pPr>
        <w:widowControl w:val="0"/>
        <w:topLinePunct/>
        <w:ind w:firstLine="480" w:firstLineChars="200"/>
        <w:jc w:val="both"/>
      </w:pPr>
      <w:r>
        <w:rPr>
          <w:rFonts w:hint="eastAsia"/>
        </w:rPr>
        <w:t>项目编号：</w:t>
      </w:r>
      <w:r>
        <w:rPr>
          <w:rFonts w:hint="eastAsia"/>
          <w:color w:val="C00000"/>
        </w:rPr>
        <w:t>XCZX2025-0097</w:t>
      </w:r>
    </w:p>
    <w:p>
      <w:pPr>
        <w:widowControl w:val="0"/>
        <w:topLinePunct/>
        <w:ind w:firstLine="480" w:firstLineChars="200"/>
        <w:jc w:val="both"/>
      </w:pPr>
      <w:r>
        <w:t>核准编号：</w:t>
      </w:r>
      <w:r>
        <w:rPr>
          <w:color w:val="C00000"/>
        </w:rPr>
        <w:t>ZCSP-西安市-2025-00467</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1</w:t>
      </w:r>
      <w:r>
        <w:rPr>
          <w:color w:val="C00000"/>
        </w:rPr>
        <w:t>000000.00元</w:t>
      </w:r>
      <w:r>
        <w:rPr>
          <w:rFonts w:hint="eastAsia"/>
          <w:color w:val="C00000"/>
        </w:rPr>
        <w:t>（最高限价1</w:t>
      </w:r>
      <w:r>
        <w:rPr>
          <w:color w:val="C00000"/>
        </w:rPr>
        <w:t>000000.00元</w:t>
      </w:r>
      <w:r>
        <w:rPr>
          <w:rFonts w:hint="eastAsia"/>
          <w:color w:val="C00000"/>
        </w:rPr>
        <w:t>）</w:t>
      </w:r>
    </w:p>
    <w:p>
      <w:pPr>
        <w:widowControl w:val="0"/>
        <w:topLinePunct/>
        <w:ind w:firstLine="480" w:firstLineChars="200"/>
        <w:jc w:val="both"/>
        <w:rPr>
          <w:b/>
        </w:rPr>
      </w:pPr>
      <w:r>
        <w:rPr>
          <w:b/>
        </w:rPr>
        <w:t>四、采购</w:t>
      </w:r>
      <w:r>
        <w:rPr>
          <w:rFonts w:hint="eastAsia"/>
          <w:b/>
        </w:rPr>
        <w:t>内容和要求：</w:t>
      </w:r>
    </w:p>
    <w:p>
      <w:pPr>
        <w:widowControl w:val="0"/>
        <w:topLinePunct/>
        <w:ind w:firstLine="480" w:firstLineChars="200"/>
        <w:jc w:val="both"/>
        <w:rPr>
          <w:color w:val="C00000"/>
        </w:rPr>
      </w:pPr>
      <w:r>
        <w:rPr>
          <w:rFonts w:hint="eastAsia"/>
          <w:color w:val="C00000"/>
        </w:rPr>
        <w:t>采购包一</w:t>
      </w:r>
      <w:r>
        <w:rPr>
          <w:color w:val="C00000"/>
        </w:rPr>
        <w:t>：680800.00</w:t>
      </w:r>
      <w:r>
        <w:rPr>
          <w:rFonts w:hint="eastAsia"/>
          <w:color w:val="C00000"/>
        </w:rPr>
        <w:t>元</w:t>
      </w:r>
      <w:r>
        <w:rPr>
          <w:color w:val="C00000"/>
        </w:rPr>
        <w:t>（</w:t>
      </w:r>
      <w:r>
        <w:rPr>
          <w:rFonts w:hint="eastAsia"/>
          <w:color w:val="C00000"/>
        </w:rPr>
        <w:t>最高限价</w:t>
      </w:r>
      <w:r>
        <w:rPr>
          <w:color w:val="C00000"/>
        </w:rPr>
        <w:t>680800.00</w:t>
      </w:r>
      <w:r>
        <w:rPr>
          <w:rFonts w:hint="eastAsia"/>
          <w:color w:val="C00000"/>
        </w:rPr>
        <w:t>元</w:t>
      </w:r>
      <w:r>
        <w:rPr>
          <w:color w:val="C00000"/>
        </w:rPr>
        <w:t>），视频监控设备。</w:t>
      </w:r>
    </w:p>
    <w:p>
      <w:pPr>
        <w:widowControl w:val="0"/>
        <w:topLinePunct/>
        <w:ind w:firstLine="480" w:firstLineChars="200"/>
        <w:jc w:val="both"/>
        <w:rPr>
          <w:color w:val="C00000"/>
        </w:rPr>
      </w:pPr>
      <w:r>
        <w:rPr>
          <w:rFonts w:hint="eastAsia"/>
          <w:color w:val="C00000"/>
        </w:rPr>
        <w:t>采购包二</w:t>
      </w:r>
      <w:r>
        <w:rPr>
          <w:color w:val="C00000"/>
        </w:rPr>
        <w:t>：319200.00</w:t>
      </w:r>
      <w:r>
        <w:rPr>
          <w:rFonts w:hint="eastAsia"/>
          <w:color w:val="C00000"/>
        </w:rPr>
        <w:t>元</w:t>
      </w:r>
      <w:r>
        <w:rPr>
          <w:color w:val="C00000"/>
        </w:rPr>
        <w:t>（</w:t>
      </w:r>
      <w:r>
        <w:rPr>
          <w:rFonts w:hint="eastAsia"/>
          <w:color w:val="C00000"/>
        </w:rPr>
        <w:t>最高限价</w:t>
      </w:r>
      <w:r>
        <w:rPr>
          <w:color w:val="C00000"/>
        </w:rPr>
        <w:t>319200.00</w:t>
      </w:r>
      <w:r>
        <w:rPr>
          <w:rFonts w:hint="eastAsia"/>
          <w:color w:val="C00000"/>
        </w:rPr>
        <w:t>元</w:t>
      </w:r>
      <w:r>
        <w:rPr>
          <w:color w:val="C00000"/>
        </w:rPr>
        <w:t>），架线、管道预制构件组装和装配。</w:t>
      </w:r>
    </w:p>
    <w:p>
      <w:pPr>
        <w:widowControl w:val="0"/>
        <w:topLinePunct/>
        <w:ind w:firstLine="480" w:firstLineChars="200"/>
        <w:jc w:val="both"/>
      </w:pPr>
      <w:r>
        <w:rPr>
          <w:rFonts w:hint="eastAsia"/>
        </w:rPr>
        <w:t>详见第三章「磋商内容及要求」。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七、获取磋商文件的时间及方式：</w:t>
      </w:r>
    </w:p>
    <w:p>
      <w:pPr>
        <w:widowControl w:val="0"/>
        <w:topLinePunct/>
        <w:ind w:firstLine="480" w:firstLineChars="200"/>
        <w:jc w:val="both"/>
      </w:pPr>
      <w:r>
        <w:rPr>
          <w:rFonts w:hint="eastAsia"/>
        </w:rPr>
        <w:t>1．获取时间：自磋商公告发布之日起5个工作日内。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rPr>
          <w:u w:val="single"/>
        </w:rPr>
        <w:t>8</w:t>
      </w:r>
      <w:r>
        <w:rPr>
          <w:rFonts w:hint="eastAsia"/>
        </w:rPr>
        <w:t>月</w:t>
      </w:r>
      <w:r>
        <w:rPr>
          <w:u w:val="single"/>
        </w:rPr>
        <w:t>1</w:t>
      </w:r>
      <w:r>
        <w:rPr>
          <w:rFonts w:hint="eastAsia"/>
        </w:rPr>
        <w:t>日10:30，逾期提交的，系统将拒绝接收。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九、开启时间、地点及开标形式：</w:t>
      </w:r>
    </w:p>
    <w:p>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8</w:t>
      </w:r>
      <w:r>
        <w:rPr>
          <w:rFonts w:hint="eastAsia"/>
        </w:rPr>
        <w:t>月</w:t>
      </w:r>
      <w:r>
        <w:rPr>
          <w:u w:val="single"/>
        </w:rPr>
        <w:t>1</w:t>
      </w:r>
      <w:r>
        <w:rPr>
          <w:rFonts w:hint="eastAsia"/>
        </w:rPr>
        <w:t>日10:30</w:t>
      </w:r>
    </w:p>
    <w:p>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5</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1．采购人：长安师范学校附属小学</w:t>
      </w:r>
    </w:p>
    <w:p>
      <w:pPr>
        <w:widowControl w:val="0"/>
        <w:topLinePunct/>
        <w:ind w:firstLine="480" w:firstLineChars="200"/>
        <w:jc w:val="both"/>
      </w:pPr>
      <w:r>
        <w:rPr>
          <w:rFonts w:hint="eastAsia"/>
        </w:rPr>
        <w:t>地址：西安市长安区韦曲街道办局连村甲字三号</w:t>
      </w:r>
    </w:p>
    <w:p>
      <w:pPr>
        <w:widowControl w:val="0"/>
        <w:topLinePunct/>
        <w:ind w:firstLine="480" w:firstLineChars="200"/>
        <w:jc w:val="both"/>
      </w:pPr>
      <w:r>
        <w:rPr>
          <w:rFonts w:hint="eastAsia"/>
        </w:rPr>
        <w:t>联系人：邓老师</w:t>
      </w:r>
    </w:p>
    <w:p>
      <w:pPr>
        <w:widowControl w:val="0"/>
        <w:topLinePunct/>
        <w:ind w:firstLine="480" w:firstLineChars="200"/>
        <w:jc w:val="both"/>
      </w:pPr>
      <w:r>
        <w:rPr>
          <w:rFonts w:hint="eastAsia"/>
        </w:rPr>
        <w:t>联系电话：1</w:t>
      </w:r>
      <w:r>
        <w:t>5129095320</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标书联系人及分机号：王老师（</w:t>
      </w:r>
      <w:r>
        <w:t>80848</w:t>
      </w:r>
      <w:r>
        <w:rPr>
          <w:rFonts w:hint="eastAsia"/>
        </w:rPr>
        <w:t>）</w:t>
      </w:r>
    </w:p>
    <w:p>
      <w:pPr>
        <w:widowControl w:val="0"/>
        <w:topLinePunct/>
        <w:ind w:firstLine="480" w:firstLineChars="200"/>
        <w:jc w:val="both"/>
      </w:pPr>
      <w:r>
        <w:rPr>
          <w:rFonts w:hint="eastAsia"/>
        </w:rPr>
        <w:t>开标联系人及分机号：王老师（</w:t>
      </w:r>
      <w:r>
        <w:t>80807</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1" w:name="_Toc534656414"/>
      <w:bookmarkStart w:id="2" w:name="_Toc97563329"/>
      <w:bookmarkStart w:id="3" w:name="_Toc534656409"/>
      <w:bookmarkStart w:id="4" w:name="_Toc100219613"/>
      <w:bookmarkStart w:id="5" w:name="_Toc533363262"/>
      <w:bookmarkStart w:id="6" w:name="_Toc533363235"/>
      <w:bookmarkStart w:id="7" w:name="_Toc498349068"/>
      <w:bookmarkStart w:id="8" w:name="_Toc445407251"/>
      <w:r>
        <w:t>第二章</w:t>
      </w:r>
      <w:r>
        <w:rPr>
          <w:rFonts w:hint="eastAsia"/>
        </w:rPr>
        <w:t>　</w:t>
      </w:r>
      <w:r>
        <w:t>供应商须知</w:t>
      </w:r>
      <w:bookmarkEnd w:id="1"/>
      <w:bookmarkEnd w:id="2"/>
      <w:bookmarkEnd w:id="3"/>
      <w:bookmarkEnd w:id="4"/>
      <w:bookmarkEnd w:id="5"/>
      <w:bookmarkEnd w:id="6"/>
      <w:bookmarkEnd w:id="7"/>
      <w:bookmarkEnd w:id="8"/>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长安师范学校附属小学校园监控设备购置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XCZX2025-0097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1</w:t>
            </w:r>
            <w:r>
              <w:rPr>
                <w:rFonts w:ascii="Calibri" w:hAnsi="宋体" w:eastAsia="宋体" w:cstheme="minorHAnsi"/>
                <w:sz w:val="21"/>
              </w:rPr>
              <w:t>000000.00元</w:t>
            </w:r>
            <w:r>
              <w:rPr>
                <w:rFonts w:hint="eastAsia" w:ascii="Calibri" w:hAnsi="宋体" w:eastAsia="宋体" w:cstheme="minorHAnsi"/>
                <w:sz w:val="21"/>
              </w:rPr>
              <w:t>（最高限价1</w:t>
            </w:r>
            <w:r>
              <w:rPr>
                <w:rFonts w:ascii="Calibri" w:hAnsi="宋体" w:eastAsia="宋体" w:cstheme="minorHAnsi"/>
                <w:sz w:val="21"/>
              </w:rPr>
              <w:t>000000.00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采购包一预算</w:t>
            </w:r>
          </w:p>
        </w:tc>
        <w:tc>
          <w:tcPr>
            <w:tcW w:w="5766" w:type="dxa"/>
            <w:shd w:val="clear" w:color="auto" w:fill="auto"/>
            <w:vAlign w:val="center"/>
          </w:tcPr>
          <w:p>
            <w:pPr>
              <w:spacing w:line="320" w:lineRule="exact"/>
              <w:jc w:val="both"/>
              <w:rPr>
                <w:color w:val="C00000"/>
                <w:sz w:val="21"/>
                <w:szCs w:val="21"/>
              </w:rPr>
            </w:pPr>
            <w:r>
              <w:rPr>
                <w:rFonts w:ascii="Calibri" w:hAnsi="宋体" w:eastAsia="宋体" w:cstheme="minorHAnsi"/>
                <w:color w:val="C00000"/>
                <w:sz w:val="21"/>
                <w:u w:val="single"/>
              </w:rPr>
              <w:t>680800.00</w:t>
            </w:r>
            <w:r>
              <w:rPr>
                <w:rFonts w:ascii="Calibri" w:hAnsi="宋体" w:eastAsia="宋体" w:cstheme="minorHAnsi"/>
                <w:color w:val="C00000"/>
                <w:sz w:val="21"/>
              </w:rPr>
              <w:t>元</w:t>
            </w:r>
            <w:r>
              <w:rPr>
                <w:rFonts w:hint="eastAsia" w:ascii="Calibri" w:hAnsi="宋体" w:eastAsia="宋体" w:cstheme="minorHAnsi"/>
                <w:color w:val="C00000"/>
                <w:sz w:val="21"/>
              </w:rPr>
              <w:t>；</w:t>
            </w:r>
            <w:r>
              <w:rPr>
                <w:rFonts w:hint="eastAsia" w:ascii="Calibri" w:hAnsi="宋体" w:eastAsia="宋体" w:cstheme="minorHAnsi"/>
                <w:sz w:val="21"/>
              </w:rPr>
              <w:t>（最高限价</w:t>
            </w:r>
            <w:r>
              <w:rPr>
                <w:rFonts w:ascii="Calibri" w:hAnsi="宋体" w:eastAsia="宋体" w:cstheme="minorHAnsi"/>
                <w:color w:val="C00000"/>
                <w:sz w:val="21"/>
                <w:u w:val="single"/>
              </w:rPr>
              <w:t>680800.00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采购包二预算</w:t>
            </w:r>
          </w:p>
        </w:tc>
        <w:tc>
          <w:tcPr>
            <w:tcW w:w="5766" w:type="dxa"/>
            <w:shd w:val="clear" w:color="auto" w:fill="auto"/>
            <w:vAlign w:val="center"/>
          </w:tcPr>
          <w:p>
            <w:pPr>
              <w:spacing w:line="320" w:lineRule="exact"/>
              <w:jc w:val="both"/>
              <w:rPr>
                <w:color w:val="C00000"/>
                <w:sz w:val="21"/>
                <w:szCs w:val="21"/>
              </w:rPr>
            </w:pPr>
            <w:r>
              <w:rPr>
                <w:rFonts w:ascii="Calibri" w:hAnsi="宋体" w:eastAsia="宋体" w:cstheme="minorHAnsi"/>
                <w:color w:val="C00000"/>
                <w:sz w:val="21"/>
                <w:u w:val="single"/>
              </w:rPr>
              <w:t>319200.00</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color w:val="C00000"/>
                <w:sz w:val="21"/>
                <w:u w:val="single"/>
              </w:rPr>
              <w:t>319200.00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color w:val="7030A0"/>
                <w:sz w:val="21"/>
                <w:szCs w:val="21"/>
                <w:u w:val="single"/>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依据工业和信息化部、国家统计局、国家发展和改革委员会、财政部《关于印发中小企业划型标准规定的通知》（工信部联企业〔2011〕300号），本项目采购标的对应的中小企业划分标准所属行业为采购包一：</w:t>
            </w:r>
            <w:r>
              <w:rPr>
                <w:color w:val="7030A0"/>
                <w:sz w:val="21"/>
                <w:szCs w:val="21"/>
                <w:u w:val="single"/>
              </w:rPr>
              <w:t>工业（包括采矿业，制造业，电力、热力、燃气及水生产和供应业）；</w:t>
            </w:r>
          </w:p>
          <w:p>
            <w:pPr>
              <w:spacing w:line="320" w:lineRule="exact"/>
              <w:jc w:val="both"/>
              <w:rPr>
                <w:rFonts w:ascii="Calibri" w:hAnsi="宋体" w:eastAsia="宋体" w:cstheme="minorHAnsi"/>
                <w:sz w:val="21"/>
              </w:rPr>
            </w:pPr>
            <w:r>
              <w:rPr>
                <w:color w:val="7030A0"/>
                <w:sz w:val="21"/>
                <w:szCs w:val="21"/>
                <w:u w:val="single"/>
              </w:rPr>
              <w:t>采购包二：工业（包括采矿业，制造业，电力、热力、燃气及水生产和供应业）。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采购人组织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2025年7月29日10：30</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西安市长安区韦曲街道办局连村甲字三号</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邓东恒</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联系电话：15129095320</w:t>
            </w:r>
          </w:p>
        </w:tc>
      </w:tr>
    </w:tbl>
    <w:p>
      <w:pPr>
        <w:pStyle w:val="3"/>
        <w:numPr>
          <w:ilvl w:val="0"/>
          <w:numId w:val="0"/>
        </w:numPr>
        <w:jc w:val="both"/>
      </w:pPr>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 xml:space="preserve">（2）进行资格预审的项目，资格预审后联合体增减、更换成员的； </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三、磋商文件</w:t>
      </w:r>
    </w:p>
    <w:p>
      <w:pPr>
        <w:pStyle w:val="4"/>
        <w:ind w:firstLine="482"/>
      </w:pPr>
      <w:r>
        <w:t>（一）磋商</w:t>
      </w:r>
      <w:r>
        <w:rPr>
          <w:rFonts w:hint="eastAsia"/>
        </w:rPr>
        <w:t>文件的解释权</w:t>
      </w:r>
    </w:p>
    <w:p>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pPr>
        <w:pStyle w:val="4"/>
        <w:ind w:firstLine="482"/>
      </w:pPr>
      <w:r>
        <w:t>（二）磋商文件主要内容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（三）磋商文件的检查及阅读</w:t>
      </w:r>
    </w:p>
    <w:p>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pPr>
        <w:pStyle w:val="4"/>
        <w:ind w:firstLine="482"/>
      </w:pPr>
      <w:r>
        <w:t>（四）磋商文件的修改、澄清</w:t>
      </w:r>
    </w:p>
    <w:p>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磋商活动的所有文件、资料、函电文字均使用简体中文，确需提交用其他语言形成的资料，必须翻译成简体中文，如有差异，以简体中文为准。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响应文件的计量单位应使用中华人民共和国法定计量单位，但磋商文件另有规定的除外。</w:t>
      </w:r>
    </w:p>
    <w:p>
      <w:pPr>
        <w:pStyle w:val="4"/>
        <w:ind w:firstLine="482"/>
      </w:pPr>
      <w:r>
        <w:rPr>
          <w:rFonts w:hint="eastAsia"/>
        </w:rPr>
        <w:t>（二）响应文件</w:t>
      </w:r>
      <w:r>
        <w:t>的有效期</w:t>
      </w:r>
    </w:p>
    <w:p>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pPr>
        <w:pStyle w:val="4"/>
        <w:ind w:firstLine="482"/>
      </w:pPr>
      <w:r>
        <w:rPr>
          <w:rFonts w:hint="eastAsia"/>
        </w:rPr>
        <w:t>（三）磋商</w:t>
      </w:r>
      <w:r>
        <w:t>报价</w:t>
      </w:r>
    </w:p>
    <w:p>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pPr>
        <w:pStyle w:val="4"/>
        <w:ind w:firstLine="482"/>
      </w:pPr>
      <w:r>
        <w:rPr>
          <w:rFonts w:hint="eastAsia"/>
        </w:rPr>
        <w:t>（五）电子响应文件</w:t>
      </w:r>
      <w:r>
        <w:t>的提交</w:t>
      </w:r>
    </w:p>
    <w:p>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1"/>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．使用旧版电子磋商文件制作电子响应文件的。</w:t>
      </w:r>
    </w:p>
    <w:p>
      <w:pPr>
        <w:pStyle w:val="4"/>
        <w:ind w:firstLine="482"/>
      </w:pPr>
      <w:r>
        <w:t>（</w:t>
      </w:r>
      <w:r>
        <w:rPr>
          <w:rFonts w:hint="eastAsia"/>
        </w:rPr>
        <w:t>六</w:t>
      </w:r>
      <w:r>
        <w:t>）电子响应文件的撤回、补充及修改</w:t>
      </w:r>
    </w:p>
    <w:p>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1"/>
        <w:ind w:firstLine="480"/>
      </w:pPr>
      <w:r>
        <w:rPr>
          <w:rFonts w:hint="eastAsia"/>
        </w:rPr>
        <w:t>1．不同供应商的响应文件由同一单位或者个人编制的；</w:t>
      </w:r>
    </w:p>
    <w:p>
      <w:pPr>
        <w:pStyle w:val="81"/>
        <w:ind w:firstLine="480"/>
      </w:pPr>
      <w:r>
        <w:rPr>
          <w:rFonts w:hint="eastAsia"/>
        </w:rPr>
        <w:t>2．不同供应商委托同一单位或者个人办理磋商事宜的；</w:t>
      </w:r>
    </w:p>
    <w:p>
      <w:pPr>
        <w:pStyle w:val="81"/>
        <w:ind w:firstLine="480"/>
      </w:pPr>
      <w:r>
        <w:rPr>
          <w:rFonts w:hint="eastAsia"/>
        </w:rPr>
        <w:t>3．不同供应商的响应文件载明的项目管理成员或者联系人员为同一人的；</w:t>
      </w:r>
    </w:p>
    <w:p>
      <w:pPr>
        <w:pStyle w:val="81"/>
        <w:ind w:firstLine="480"/>
      </w:pPr>
      <w:r>
        <w:rPr>
          <w:rFonts w:hint="eastAsia"/>
        </w:rPr>
        <w:t>4．不同供应商的响应文件异常一致或者报价呈规律性差异的；</w:t>
      </w:r>
    </w:p>
    <w:p>
      <w:pPr>
        <w:pStyle w:val="81"/>
        <w:ind w:firstLine="480"/>
      </w:pPr>
      <w:r>
        <w:rPr>
          <w:rFonts w:hint="eastAsia"/>
        </w:rPr>
        <w:t>5．不同供应商的响应文件相互混编或混装的。</w:t>
      </w:r>
    </w:p>
    <w:p>
      <w:pPr>
        <w:pStyle w:val="3"/>
      </w:pPr>
      <w:r>
        <w:rPr>
          <w:rFonts w:hint="eastAsia"/>
        </w:rPr>
        <w:t>五</w:t>
      </w:r>
      <w:r>
        <w:t>、开启</w:t>
      </w:r>
    </w:p>
    <w:p>
      <w:pPr>
        <w:pStyle w:val="81"/>
        <w:ind w:firstLine="480"/>
      </w:pPr>
      <w:r>
        <w:rPr>
          <w:rFonts w:hint="eastAsia"/>
        </w:rPr>
        <w:t>开启工作由采购代理机构组织实施，整个过程受同级政府采购监管部门的监督、管理。</w:t>
      </w:r>
    </w:p>
    <w:p>
      <w:pPr>
        <w:pStyle w:val="81"/>
        <w:ind w:firstLine="480"/>
        <w:rPr>
          <w:color w:val="auto"/>
        </w:rPr>
      </w:pPr>
      <w:r>
        <w:rPr>
          <w:rFonts w:hint="eastAsia"/>
        </w:rPr>
        <w:t>1</w:t>
      </w:r>
      <w:r>
        <w:rPr>
          <w:rFonts w:hint="eastAsia"/>
          <w:color w:val="auto"/>
        </w:rPr>
        <w:t>．提交首次响应文件截止时间前，请各供应商务必确认已正常提交了响应文件。</w:t>
      </w:r>
    </w:p>
    <w:p>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pPr>
        <w:pStyle w:val="81"/>
        <w:ind w:firstLine="480"/>
        <w:rPr>
          <w:color w:val="auto"/>
        </w:rPr>
      </w:pPr>
      <w:r>
        <w:rPr>
          <w:rFonts w:hint="eastAsia"/>
          <w:color w:val="auto"/>
        </w:rPr>
        <w:t>（3）上传</w:t>
      </w:r>
      <w:r>
        <w:rPr>
          <w:color w:val="auto"/>
        </w:rPr>
        <w:t>的电子响应文件无法正常打开的；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pPr>
        <w:pStyle w:val="3"/>
      </w:pPr>
      <w:r>
        <w:t>六、磋商方法和程序</w:t>
      </w:r>
    </w:p>
    <w:p>
      <w:pPr>
        <w:pStyle w:val="4"/>
        <w:ind w:firstLine="482"/>
      </w:pPr>
      <w:r>
        <w:rPr>
          <w:rFonts w:hint="eastAsia"/>
        </w:rPr>
        <w:t>（一）组建磋商小组</w:t>
      </w:r>
    </w:p>
    <w:p>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ind w:firstLine="480" w:firstLineChars="200"/>
        <w:jc w:val="both"/>
      </w:pPr>
      <w:r>
        <w:rPr>
          <w:rFonts w:hint="eastAsia"/>
        </w:rPr>
        <w:t>由采购代理机构组织磋商小组推选评审组长，采购人代表不得担任组长。</w:t>
      </w:r>
    </w:p>
    <w:p>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t>（二）资格性审查</w:t>
      </w:r>
    </w:p>
    <w:p>
      <w:pPr>
        <w:pStyle w:val="81"/>
        <w:ind w:firstLine="480"/>
      </w:pPr>
      <w:r>
        <w:rPr>
          <w:rFonts w:hint="eastAsia"/>
        </w:rPr>
        <w:t>磋商文件经确认后，磋商小组对响应文件中的供应商资格证明文件进行审查（其中供应商信用记录审查由采购人进行）。</w:t>
      </w:r>
    </w:p>
    <w:p>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pPr>
        <w:pStyle w:val="81"/>
        <w:ind w:firstLine="480"/>
      </w:pPr>
      <w:r>
        <w:rPr>
          <w:rFonts w:hint="eastAsia"/>
        </w:rPr>
        <w:t>（1）不具备磋商文件中规定的资格要求的；</w:t>
      </w:r>
    </w:p>
    <w:p>
      <w:pPr>
        <w:pStyle w:val="81"/>
        <w:ind w:firstLine="480"/>
      </w:pPr>
      <w:r>
        <w:rPr>
          <w:rFonts w:hint="eastAsia"/>
        </w:rPr>
        <w:t>（2）未按磋商文件要求提供资格证明文件，或资格证明文件未按磋商文件要求签字、盖章的；</w:t>
      </w:r>
    </w:p>
    <w:p>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pPr>
        <w:pStyle w:val="81"/>
        <w:ind w:firstLine="480"/>
      </w:pPr>
      <w:r>
        <w:rPr>
          <w:rFonts w:hint="eastAsia"/>
        </w:rPr>
        <w:t>（4）法律法规规定的其他无效情形。</w:t>
      </w:r>
    </w:p>
    <w:p>
      <w:pPr>
        <w:pStyle w:val="81"/>
        <w:ind w:firstLine="480"/>
      </w:pPr>
      <w:r>
        <w:rPr>
          <w:rFonts w:hint="eastAsia"/>
        </w:rPr>
        <w:t>资格审查结束后，磋商小组成员应当对审查结果进行签字确认，并告知无效响应供应商资格审查未通过的原因。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8389" w:type="dxa"/>
            <w:gridSpan w:val="2"/>
            <w:vAlign w:val="center"/>
          </w:tcPr>
          <w:p>
            <w:pPr>
              <w:spacing w:line="400" w:lineRule="exact"/>
              <w:jc w:val="both"/>
              <w:rPr>
                <w:rFonts w:ascii="Calibri" w:hAnsi="宋体" w:eastAsia="宋体" w:cstheme="minorHAnsi"/>
                <w:bCs/>
                <w:color w:val="FF0000"/>
                <w:sz w:val="21"/>
              </w:rPr>
            </w:pPr>
            <w:r>
              <w:rPr>
                <w:rFonts w:ascii="Calibri" w:hAnsi="宋体" w:eastAsia="宋体" w:cstheme="minorHAnsi"/>
                <w:bCs/>
                <w:color w:val="FF0000"/>
                <w:sz w:val="21"/>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3" w:hRule="atLeast"/>
          <w:jc w:val="center"/>
        </w:trPr>
        <w:tc>
          <w:tcPr>
            <w:tcW w:w="703" w:type="dxa"/>
            <w:vMerge w:val="restart"/>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8389" w:type="dxa"/>
            <w:gridSpan w:val="2"/>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采购包一：无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 w:hRule="atLeast"/>
          <w:jc w:val="center"/>
        </w:trPr>
        <w:tc>
          <w:tcPr>
            <w:tcW w:w="703" w:type="dxa"/>
            <w:vMerge w:val="continue"/>
            <w:vAlign w:val="center"/>
          </w:tcPr>
          <w:p>
            <w:pPr>
              <w:spacing w:line="400" w:lineRule="exact"/>
              <w:jc w:val="center"/>
              <w:rPr>
                <w:rFonts w:ascii="Calibri" w:hAnsi="宋体" w:eastAsia="宋体" w:cstheme="minorHAnsi"/>
                <w:bCs/>
                <w:sz w:val="21"/>
              </w:rPr>
            </w:pPr>
          </w:p>
        </w:tc>
        <w:tc>
          <w:tcPr>
            <w:tcW w:w="8389" w:type="dxa"/>
            <w:gridSpan w:val="2"/>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采购包二：</w:t>
            </w:r>
            <w:r>
              <w:rPr>
                <w:rFonts w:hint="eastAsia" w:ascii="Calibri" w:hAnsi="宋体" w:eastAsia="宋体" w:cstheme="minorHAnsi"/>
                <w:bCs/>
                <w:color w:val="C00000"/>
                <w:sz w:val="21"/>
              </w:rPr>
              <w:t>1、供应商需</w:t>
            </w:r>
            <w:r>
              <w:rPr>
                <w:rFonts w:ascii="Calibri" w:hAnsi="宋体" w:eastAsia="宋体" w:cstheme="minorHAnsi"/>
                <w:bCs/>
                <w:color w:val="C00000"/>
                <w:sz w:val="21"/>
              </w:rPr>
              <w:t>具备有效的《</w:t>
            </w:r>
            <w:r>
              <w:rPr>
                <w:rFonts w:hint="eastAsia" w:ascii="Calibri" w:hAnsi="宋体" w:eastAsia="宋体" w:cstheme="minorHAnsi"/>
                <w:bCs/>
                <w:color w:val="C00000"/>
                <w:sz w:val="21"/>
              </w:rPr>
              <w:t>电子与智能化工程专业承包</w:t>
            </w:r>
            <w:r>
              <w:rPr>
                <w:rFonts w:ascii="Calibri" w:hAnsi="宋体" w:eastAsia="宋体" w:cstheme="minorHAnsi"/>
                <w:bCs/>
                <w:color w:val="C00000"/>
                <w:sz w:val="21"/>
              </w:rPr>
              <w:t>》</w:t>
            </w:r>
            <w:r>
              <w:rPr>
                <w:rFonts w:hint="eastAsia" w:ascii="Calibri" w:hAnsi="宋体" w:eastAsia="宋体" w:cstheme="minorHAnsi"/>
                <w:bCs/>
                <w:color w:val="C00000"/>
                <w:sz w:val="21"/>
              </w:rPr>
              <w:t>二级及以上资质同时具备有效的《安全生产许可证》，</w:t>
            </w:r>
            <w:r>
              <w:rPr>
                <w:rFonts w:ascii="Calibri" w:hAnsi="宋体" w:eastAsia="宋体" w:cstheme="minorHAnsi"/>
                <w:bCs/>
                <w:color w:val="C00000"/>
                <w:sz w:val="21"/>
              </w:rPr>
              <w:t>提供扫描件并加盖公章。</w:t>
            </w:r>
          </w:p>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2、</w:t>
            </w:r>
            <w:r>
              <w:rPr>
                <w:rFonts w:hint="eastAsia" w:ascii="Calibri" w:hAnsi="宋体" w:eastAsia="宋体" w:cstheme="minorHAnsi"/>
                <w:bCs/>
                <w:color w:val="C00000"/>
                <w:sz w:val="21"/>
              </w:rPr>
              <w:t>拟派项目经理具有二级及以上建造师注册证书和有效的B类安全生产考核合格证书，提供本单位缴纳的202</w:t>
            </w:r>
            <w:r>
              <w:rPr>
                <w:rFonts w:ascii="Calibri" w:hAnsi="宋体" w:eastAsia="宋体" w:cstheme="minorHAnsi"/>
                <w:bCs/>
                <w:color w:val="C00000"/>
                <w:sz w:val="21"/>
              </w:rPr>
              <w:t>4</w:t>
            </w:r>
            <w:r>
              <w:rPr>
                <w:rFonts w:hint="eastAsia" w:ascii="Calibri" w:hAnsi="宋体" w:eastAsia="宋体" w:cstheme="minorHAnsi"/>
                <w:bCs/>
                <w:color w:val="C00000"/>
                <w:sz w:val="21"/>
              </w:rPr>
              <w:t>年6月至今不少于6个月的社保证明及有效证书扫描件并加盖公章。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4"/>
        <w:ind w:firstLine="482"/>
      </w:pPr>
      <w:r>
        <w:t>（三）符合性审查</w:t>
      </w:r>
    </w:p>
    <w:p>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pPr>
      <w:r>
        <w:t>（四）磋商</w:t>
      </w:r>
    </w:p>
    <w:p>
      <w:pPr>
        <w:ind w:firstLine="480" w:firstLineChars="200"/>
        <w:jc w:val="both"/>
      </w:pPr>
      <w:r>
        <w:rPr>
          <w:rFonts w:hint="eastAsia"/>
        </w:rPr>
        <w:t>磋商小组所有成员将集中与单一供应商分别进行磋商，并给予所有参加磋商的供应商平等的磋商机会。</w:t>
      </w:r>
    </w:p>
    <w:p>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（五）提交最后报价</w:t>
      </w:r>
    </w:p>
    <w:p>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pPr>
        <w:ind w:firstLine="480" w:firstLineChars="200"/>
        <w:jc w:val="both"/>
      </w:pPr>
      <w:r>
        <w:rPr>
          <w:rFonts w:hint="eastAsia"/>
        </w:rPr>
        <w:t>提交最后报价的供应商不得少于3家，但以下情形除外：</w:t>
      </w:r>
    </w:p>
    <w:p>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pStyle w:val="4"/>
        <w:ind w:firstLine="482"/>
        <w:jc w:val="both"/>
      </w:pPr>
      <w:r>
        <w:t>（六）综合比较与评分</w:t>
      </w:r>
    </w:p>
    <w:p>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『评审要素及分值一览表』（采购包一）</w:t>
      </w:r>
    </w:p>
    <w:tbl>
      <w:tblPr>
        <w:tblStyle w:val="24"/>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ind w:firstLine="422"/>
              <w:jc w:val="center"/>
              <w:rPr>
                <w:rFonts w:cstheme="minorHAnsi"/>
                <w:b/>
                <w:bCs/>
                <w:sz w:val="21"/>
                <w:szCs w:val="21"/>
              </w:rPr>
            </w:pPr>
            <w:r>
              <w:rPr>
                <w:rFonts w:cstheme="minorHAnsi"/>
                <w:b/>
                <w:bCs/>
                <w:sz w:val="21"/>
                <w:szCs w:val="21"/>
              </w:rPr>
              <w:t>评审要素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ind w:firstLine="420"/>
              <w:jc w:val="center"/>
              <w:rPr>
                <w:rFonts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tcBorders>
              <w:top w:val="single" w:color="auto" w:sz="2" w:space="0"/>
            </w:tcBorders>
            <w:shd w:val="clear" w:color="auto" w:fill="auto"/>
            <w:vAlign w:val="center"/>
          </w:tcPr>
          <w:p>
            <w:pPr>
              <w:spacing w:line="320" w:lineRule="exact"/>
              <w:jc w:val="center"/>
              <w:rPr>
                <w:rFonts w:cs="宋体"/>
                <w:bCs/>
                <w:sz w:val="21"/>
                <w:szCs w:val="21"/>
              </w:rPr>
            </w:pPr>
            <w:r>
              <w:rPr>
                <w:rFonts w:cs="宋体"/>
                <w:b/>
                <w:sz w:val="21"/>
                <w:szCs w:val="21"/>
              </w:rPr>
              <w:t>价格</w:t>
            </w:r>
          </w:p>
        </w:tc>
        <w:tc>
          <w:tcPr>
            <w:tcW w:w="640" w:type="dxa"/>
            <w:tcBorders>
              <w:top w:val="single" w:color="auto" w:sz="2" w:space="0"/>
            </w:tcBorders>
            <w:shd w:val="clear" w:color="auto" w:fill="auto"/>
            <w:vAlign w:val="center"/>
          </w:tcPr>
          <w:p>
            <w:pPr>
              <w:spacing w:line="320" w:lineRule="exact"/>
              <w:jc w:val="center"/>
              <w:rPr>
                <w:rFonts w:cs="宋体"/>
                <w:bCs/>
                <w:sz w:val="21"/>
                <w:szCs w:val="21"/>
              </w:rPr>
            </w:pPr>
            <w:r>
              <w:rPr>
                <w:rFonts w:cs="宋体"/>
                <w:bCs/>
                <w:sz w:val="21"/>
                <w:szCs w:val="21"/>
              </w:rPr>
              <w:t>30</w:t>
            </w: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30</w:t>
            </w:r>
          </w:p>
        </w:tc>
        <w:tc>
          <w:tcPr>
            <w:tcW w:w="5809" w:type="dxa"/>
            <w:tcBorders>
              <w:top w:val="single" w:color="auto" w:sz="2" w:space="0"/>
            </w:tcBorders>
            <w:shd w:val="clear" w:color="auto" w:fill="auto"/>
            <w:vAlign w:val="center"/>
          </w:tcPr>
          <w:p>
            <w:pPr>
              <w:tabs>
                <w:tab w:val="left" w:pos="547"/>
              </w:tabs>
              <w:spacing w:line="320" w:lineRule="exact"/>
              <w:ind w:firstLine="420"/>
              <w:jc w:val="both"/>
              <w:rPr>
                <w:rFonts w:cs="宋体"/>
                <w:sz w:val="21"/>
                <w:szCs w:val="21"/>
              </w:rPr>
            </w:pPr>
            <w:r>
              <w:rPr>
                <w:rFonts w:cs="宋体"/>
                <w:sz w:val="21"/>
                <w:szCs w:val="21"/>
              </w:rPr>
              <w:t>有效供应商最低报价为基准价得30分，各供应商的报价得分按下列公式计算：（基准价/投标报价）×30%×100分</w:t>
            </w:r>
          </w:p>
        </w:tc>
        <w:tc>
          <w:tcPr>
            <w:tcW w:w="1418" w:type="dxa"/>
            <w:tcBorders>
              <w:top w:val="single" w:color="auto" w:sz="2" w:space="0"/>
            </w:tcBorders>
            <w:shd w:val="clear" w:color="auto" w:fill="auto"/>
            <w:vAlign w:val="center"/>
          </w:tcPr>
          <w:p>
            <w:pPr>
              <w:spacing w:line="320" w:lineRule="exact"/>
              <w:rPr>
                <w:rFonts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pPr>
              <w:spacing w:line="320" w:lineRule="exact"/>
              <w:jc w:val="center"/>
              <w:rPr>
                <w:rFonts w:cs="宋体"/>
                <w:bCs/>
                <w:sz w:val="21"/>
                <w:szCs w:val="21"/>
              </w:rPr>
            </w:pPr>
            <w:r>
              <w:rPr>
                <w:rFonts w:cs="宋体"/>
                <w:bCs/>
                <w:sz w:val="21"/>
                <w:szCs w:val="21"/>
              </w:rPr>
              <w:t>技术</w:t>
            </w:r>
          </w:p>
          <w:p>
            <w:pPr>
              <w:spacing w:line="320" w:lineRule="exact"/>
              <w:jc w:val="center"/>
              <w:rPr>
                <w:rFonts w:cs="宋体"/>
                <w:b/>
                <w:sz w:val="21"/>
                <w:szCs w:val="21"/>
              </w:rPr>
            </w:pPr>
            <w:r>
              <w:rPr>
                <w:rFonts w:cs="宋体"/>
                <w:bCs/>
                <w:sz w:val="21"/>
                <w:szCs w:val="21"/>
              </w:rPr>
              <w:t>部分</w:t>
            </w:r>
          </w:p>
        </w:tc>
        <w:tc>
          <w:tcPr>
            <w:tcW w:w="640" w:type="dxa"/>
            <w:vMerge w:val="restart"/>
            <w:shd w:val="clear" w:color="auto" w:fill="auto"/>
            <w:vAlign w:val="center"/>
          </w:tcPr>
          <w:p>
            <w:pPr>
              <w:spacing w:line="320" w:lineRule="exact"/>
              <w:jc w:val="center"/>
              <w:rPr>
                <w:rFonts w:cs="宋体"/>
                <w:bCs/>
                <w:sz w:val="21"/>
                <w:szCs w:val="21"/>
              </w:rPr>
            </w:pPr>
            <w:r>
              <w:rPr>
                <w:rFonts w:cs="宋体"/>
                <w:bCs/>
                <w:sz w:val="21"/>
                <w:szCs w:val="21"/>
              </w:rPr>
              <w:t>55</w:t>
            </w: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15</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ascii="宋体" w:hAnsi="宋体" w:eastAsia="宋体" w:cs="宋体"/>
                <w:b/>
                <w:bCs/>
                <w:color w:val="C00000"/>
                <w:sz w:val="21"/>
                <w:szCs w:val="21"/>
                <w:lang w:bidi="ar"/>
              </w:rPr>
              <w:t>供货验收方案</w:t>
            </w:r>
            <w:r>
              <w:rPr>
                <w:rFonts w:cs="Calibri"/>
                <w:b/>
                <w:color w:val="C00000"/>
                <w:kern w:val="2"/>
                <w:sz w:val="21"/>
                <w:szCs w:val="21"/>
              </w:rPr>
              <w:t>：</w:t>
            </w:r>
          </w:p>
          <w:p>
            <w:pPr>
              <w:tabs>
                <w:tab w:val="left" w:pos="547"/>
              </w:tabs>
              <w:autoSpaceDE w:val="0"/>
              <w:autoSpaceDN w:val="0"/>
              <w:adjustRightInd w:val="0"/>
              <w:spacing w:line="380" w:lineRule="exact"/>
              <w:rPr>
                <w:rFonts w:ascii="仿宋" w:hAnsi="仿宋" w:eastAsia="仿宋" w:cs="仿宋"/>
                <w:b/>
              </w:rPr>
            </w:pPr>
            <w:r>
              <w:rPr>
                <w:rFonts w:ascii="仿宋" w:hAnsi="仿宋" w:eastAsia="仿宋" w:cs="仿宋"/>
                <w:b/>
              </w:rPr>
              <w:t>一、</w:t>
            </w:r>
            <w:r>
              <w:rPr>
                <w:rFonts w:hint="eastAsia" w:ascii="仿宋" w:hAnsi="仿宋" w:eastAsia="仿宋" w:cs="仿宋"/>
                <w:b/>
              </w:rPr>
              <w:t>评审内容</w:t>
            </w:r>
          </w:p>
          <w:p>
            <w:pPr>
              <w:tabs>
                <w:tab w:val="left" w:pos="547"/>
              </w:tabs>
              <w:autoSpaceDE w:val="0"/>
              <w:autoSpaceDN w:val="0"/>
              <w:adjustRightInd w:val="0"/>
              <w:spacing w:line="380" w:lineRule="exact"/>
              <w:rPr>
                <w:rFonts w:ascii="宋体" w:hAnsi="宋体" w:eastAsia="宋体" w:cs="宋体"/>
                <w:color w:val="000000"/>
                <w:sz w:val="21"/>
                <w:szCs w:val="21"/>
                <w:lang w:bidi="ar"/>
              </w:rPr>
            </w:pPr>
            <w:r>
              <w:rPr>
                <w:rFonts w:hint="eastAsia" w:ascii="宋体" w:hAnsi="宋体" w:eastAsia="宋体" w:cs="宋体"/>
                <w:color w:val="000000"/>
                <w:sz w:val="21"/>
                <w:szCs w:val="21"/>
                <w:lang w:bidi="ar"/>
              </w:rPr>
              <w:t>提出针对本项目提出具体的供货、验收实施方案，方案内容包含：①供货方案②验收方案。</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pPr>
              <w:tabs>
                <w:tab w:val="left" w:pos="547"/>
              </w:tabs>
              <w:autoSpaceDE w:val="0"/>
              <w:autoSpaceDN w:val="0"/>
              <w:adjustRightInd w:val="0"/>
              <w:spacing w:line="380" w:lineRule="exact"/>
              <w:rPr>
                <w:rFonts w:cs="宋体"/>
                <w:sz w:val="21"/>
                <w:szCs w:val="21"/>
              </w:rPr>
            </w:pPr>
            <w:r>
              <w:rPr>
                <w:rFonts w:hint="eastAsia" w:cs="宋体"/>
                <w:sz w:val="21"/>
                <w:szCs w:val="21"/>
              </w:rPr>
              <w:t>1、完整性：方案须全面，对评审内容中的要求有详细描述及说明；</w:t>
            </w:r>
          </w:p>
          <w:p>
            <w:pPr>
              <w:tabs>
                <w:tab w:val="left" w:pos="547"/>
              </w:tabs>
              <w:autoSpaceDE w:val="0"/>
              <w:autoSpaceDN w:val="0"/>
              <w:adjustRightInd w:val="0"/>
              <w:spacing w:line="380" w:lineRule="exact"/>
              <w:rPr>
                <w:rFonts w:cs="宋体"/>
                <w:sz w:val="21"/>
                <w:szCs w:val="21"/>
              </w:rPr>
            </w:pPr>
            <w:r>
              <w:rPr>
                <w:rFonts w:hint="eastAsia" w:cs="宋体"/>
                <w:sz w:val="21"/>
                <w:szCs w:val="21"/>
              </w:rPr>
              <w:t>2、可实施性：切合本项目实际情况，实施步骤清晰、合理；</w:t>
            </w:r>
          </w:p>
          <w:p>
            <w:pPr>
              <w:tabs>
                <w:tab w:val="left" w:pos="547"/>
              </w:tabs>
              <w:autoSpaceDE w:val="0"/>
              <w:autoSpaceDN w:val="0"/>
              <w:adjustRightInd w:val="0"/>
              <w:spacing w:line="380" w:lineRule="exact"/>
              <w:rPr>
                <w:rFonts w:cs="宋体"/>
                <w:sz w:val="21"/>
                <w:szCs w:val="21"/>
              </w:rPr>
            </w:pPr>
            <w:r>
              <w:rPr>
                <w:rFonts w:hint="eastAsia" w:cs="宋体"/>
                <w:sz w:val="21"/>
                <w:szCs w:val="21"/>
              </w:rPr>
              <w:t>3、针对性：方案能够紧扣项目实际情况，内容科学合理。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15</w:t>
            </w:r>
            <w:r>
              <w:rPr>
                <w:rFonts w:hint="eastAsia" w:ascii="仿宋" w:hAnsi="仿宋" w:eastAsia="仿宋" w:cs="仿宋"/>
                <w:b/>
              </w:rPr>
              <w:t>分）</w:t>
            </w:r>
          </w:p>
          <w:p>
            <w:pPr>
              <w:tabs>
                <w:tab w:val="left" w:pos="547"/>
              </w:tabs>
              <w:autoSpaceDE w:val="0"/>
              <w:autoSpaceDN w:val="0"/>
              <w:adjustRightInd w:val="0"/>
              <w:spacing w:line="380" w:lineRule="exact"/>
              <w:rPr>
                <w:rFonts w:cs="宋体"/>
                <w:sz w:val="21"/>
                <w:szCs w:val="21"/>
              </w:rPr>
            </w:pPr>
            <w:r>
              <w:rPr>
                <w:rFonts w:hint="eastAsia" w:ascii="宋体" w:hAnsi="宋体" w:eastAsia="宋体" w:cs="宋体"/>
                <w:color w:val="000000"/>
                <w:sz w:val="21"/>
                <w:szCs w:val="21"/>
                <w:lang w:bidi="ar"/>
              </w:rPr>
              <w:t>①供货方案</w:t>
            </w:r>
            <w:r>
              <w:rPr>
                <w:rFonts w:hint="eastAsia" w:cs="宋体"/>
                <w:sz w:val="21"/>
                <w:szCs w:val="21"/>
              </w:rPr>
              <w:t>：每完全满足一项评审标准得</w:t>
            </w:r>
            <w:r>
              <w:rPr>
                <w:rFonts w:cs="宋体"/>
                <w:sz w:val="21"/>
                <w:szCs w:val="21"/>
              </w:rPr>
              <w:t>2.5</w:t>
            </w:r>
            <w:r>
              <w:rPr>
                <w:rFonts w:hint="eastAsia" w:cs="宋体"/>
                <w:sz w:val="21"/>
                <w:szCs w:val="21"/>
              </w:rPr>
              <w:t>分，满分</w:t>
            </w:r>
            <w:r>
              <w:rPr>
                <w:rFonts w:cs="宋体"/>
                <w:sz w:val="21"/>
                <w:szCs w:val="21"/>
              </w:rPr>
              <w:t>7.5</w:t>
            </w:r>
            <w:r>
              <w:rPr>
                <w:rFonts w:hint="eastAsia" w:cs="宋体"/>
                <w:sz w:val="21"/>
                <w:szCs w:val="21"/>
              </w:rPr>
              <w:t>分。</w:t>
            </w:r>
            <w:r>
              <w:rPr>
                <w:rFonts w:cs="宋体"/>
                <w:sz w:val="21"/>
                <w:szCs w:val="21"/>
              </w:rPr>
              <w:t xml:space="preserve"> </w:t>
            </w:r>
          </w:p>
          <w:p>
            <w:pPr>
              <w:tabs>
                <w:tab w:val="left" w:pos="547"/>
              </w:tabs>
              <w:autoSpaceDE w:val="0"/>
              <w:autoSpaceDN w:val="0"/>
              <w:adjustRightInd w:val="0"/>
              <w:spacing w:line="380" w:lineRule="exact"/>
              <w:rPr>
                <w:rFonts w:cs="宋体"/>
                <w:sz w:val="21"/>
                <w:szCs w:val="21"/>
              </w:rPr>
            </w:pPr>
            <w:r>
              <w:rPr>
                <w:rFonts w:hint="eastAsia" w:ascii="宋体" w:hAnsi="宋体" w:eastAsia="宋体" w:cs="宋体"/>
                <w:color w:val="000000"/>
                <w:sz w:val="21"/>
                <w:szCs w:val="21"/>
                <w:lang w:bidi="ar"/>
              </w:rPr>
              <w:t>②验收方案</w:t>
            </w:r>
            <w:r>
              <w:rPr>
                <w:rFonts w:hint="eastAsia" w:cs="宋体"/>
                <w:sz w:val="21"/>
                <w:szCs w:val="21"/>
              </w:rPr>
              <w:t>: 每完全满足一项评审标准得</w:t>
            </w:r>
            <w:r>
              <w:rPr>
                <w:rFonts w:cs="宋体"/>
                <w:sz w:val="21"/>
                <w:szCs w:val="21"/>
              </w:rPr>
              <w:t>2.5</w:t>
            </w:r>
            <w:r>
              <w:rPr>
                <w:rFonts w:hint="eastAsia" w:cs="宋体"/>
                <w:sz w:val="21"/>
                <w:szCs w:val="21"/>
              </w:rPr>
              <w:t>分，满分</w:t>
            </w:r>
            <w:r>
              <w:rPr>
                <w:rFonts w:cs="宋体"/>
                <w:sz w:val="21"/>
                <w:szCs w:val="21"/>
              </w:rPr>
              <w:t>7.5</w:t>
            </w:r>
            <w:r>
              <w:rPr>
                <w:rFonts w:hint="eastAsia" w:cs="宋体"/>
                <w:sz w:val="21"/>
                <w:szCs w:val="21"/>
              </w:rPr>
              <w:t>分</w:t>
            </w:r>
          </w:p>
          <w:p>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备注：每有1处内容缺陷，该项不得分，内容缺陷是指存在不适用项目实际情况的情形（本项目采购实际需求不匹配、不适应）、内容不完整不明确、逻辑错误、科学原理错误以及夸大的情形。</w:t>
            </w:r>
          </w:p>
        </w:tc>
        <w:tc>
          <w:tcPr>
            <w:tcW w:w="1418" w:type="dxa"/>
            <w:vMerge w:val="restart"/>
            <w:shd w:val="clear" w:color="auto" w:fill="auto"/>
            <w:vAlign w:val="center"/>
          </w:tcPr>
          <w:p>
            <w:pPr>
              <w:spacing w:line="320" w:lineRule="exact"/>
              <w:rPr>
                <w:rFonts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4</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培训方案：</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pPr>
              <w:tabs>
                <w:tab w:val="left" w:pos="547"/>
              </w:tabs>
              <w:spacing w:line="320" w:lineRule="exact"/>
              <w:ind w:firstLine="420"/>
              <w:rPr>
                <w:rFonts w:cs="宋体"/>
                <w:sz w:val="21"/>
                <w:szCs w:val="21"/>
              </w:rPr>
            </w:pPr>
            <w:r>
              <w:rPr>
                <w:rFonts w:hint="eastAsia" w:ascii="宋体" w:hAnsi="宋体" w:eastAsia="宋体" w:cs="宋体"/>
                <w:color w:val="000000"/>
                <w:sz w:val="21"/>
                <w:szCs w:val="21"/>
                <w:lang w:bidi="ar"/>
              </w:rPr>
              <w:t>提出针对于本项目的培训方案，包括但不限于①产品的使用与维护培训方案②培训时间、内容、人数与方式等内容。</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pPr>
              <w:tabs>
                <w:tab w:val="left" w:pos="547"/>
              </w:tabs>
              <w:spacing w:line="320" w:lineRule="exact"/>
              <w:ind w:firstLine="420"/>
              <w:rPr>
                <w:rFonts w:cs="宋体"/>
                <w:sz w:val="21"/>
                <w:szCs w:val="21"/>
              </w:rPr>
            </w:pPr>
            <w:r>
              <w:rPr>
                <w:rFonts w:hint="eastAsia" w:cs="宋体"/>
                <w:sz w:val="21"/>
                <w:szCs w:val="21"/>
              </w:rPr>
              <w:t>1.完整性：方案须全面，对评审内容中的各项要求有详细描述及说明；</w:t>
            </w:r>
          </w:p>
          <w:p>
            <w:pPr>
              <w:tabs>
                <w:tab w:val="left" w:pos="547"/>
              </w:tabs>
              <w:spacing w:line="320" w:lineRule="exact"/>
              <w:ind w:firstLine="420"/>
              <w:rPr>
                <w:rFonts w:cs="宋体"/>
                <w:sz w:val="21"/>
                <w:szCs w:val="21"/>
              </w:rPr>
            </w:pPr>
            <w:r>
              <w:rPr>
                <w:rFonts w:hint="eastAsia" w:cs="宋体"/>
                <w:sz w:val="21"/>
                <w:szCs w:val="21"/>
              </w:rPr>
              <w:t>2.可实施性：切合本项目实际情况，实施步骤清晰、合理；</w:t>
            </w:r>
          </w:p>
          <w:p>
            <w:pPr>
              <w:tabs>
                <w:tab w:val="left" w:pos="547"/>
              </w:tabs>
              <w:spacing w:line="320" w:lineRule="exact"/>
              <w:ind w:firstLine="420"/>
              <w:rPr>
                <w:rFonts w:cs="宋体"/>
                <w:sz w:val="21"/>
                <w:szCs w:val="21"/>
              </w:rPr>
            </w:pPr>
            <w:r>
              <w:rPr>
                <w:rFonts w:hint="eastAsia" w:cs="宋体"/>
                <w:sz w:val="21"/>
                <w:szCs w:val="21"/>
              </w:rPr>
              <w:t>3.针对性：方案能够紧扣项目实际情况，内容科学合理；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4</w:t>
            </w:r>
            <w:r>
              <w:rPr>
                <w:rFonts w:hint="eastAsia" w:ascii="仿宋" w:hAnsi="仿宋" w:eastAsia="仿宋" w:cs="仿宋"/>
                <w:b/>
              </w:rPr>
              <w:t>分）</w:t>
            </w:r>
          </w:p>
          <w:p>
            <w:pPr>
              <w:tabs>
                <w:tab w:val="left" w:pos="547"/>
              </w:tabs>
              <w:autoSpaceDE w:val="0"/>
              <w:autoSpaceDN w:val="0"/>
              <w:adjustRightInd w:val="0"/>
              <w:spacing w:line="380" w:lineRule="exact"/>
              <w:rPr>
                <w:rFonts w:cs="宋体"/>
                <w:sz w:val="21"/>
                <w:szCs w:val="21"/>
              </w:rPr>
            </w:pPr>
            <w:r>
              <w:rPr>
                <w:rFonts w:hint="eastAsia" w:ascii="宋体" w:hAnsi="宋体" w:eastAsia="宋体" w:cs="宋体"/>
                <w:color w:val="000000"/>
                <w:sz w:val="21"/>
                <w:szCs w:val="21"/>
                <w:lang w:bidi="ar"/>
              </w:rPr>
              <w:t>①产品的使用与维护培训方案：完全满足评审标准得</w:t>
            </w:r>
            <w:r>
              <w:rPr>
                <w:rFonts w:ascii="Calibri" w:hAnsi="Calibri" w:eastAsia="宋体" w:cs="Calibri"/>
                <w:color w:val="000000"/>
                <w:sz w:val="21"/>
                <w:szCs w:val="21"/>
                <w:lang w:bidi="ar"/>
              </w:rPr>
              <w:t>2</w:t>
            </w:r>
            <w:r>
              <w:rPr>
                <w:rFonts w:hint="eastAsia" w:ascii="宋体" w:hAnsi="宋体" w:eastAsia="宋体" w:cs="宋体"/>
                <w:color w:val="000000"/>
                <w:sz w:val="21"/>
                <w:szCs w:val="21"/>
                <w:lang w:bidi="ar"/>
              </w:rPr>
              <w:t>分，每有一项不满足扣</w:t>
            </w:r>
            <w:r>
              <w:rPr>
                <w:rFonts w:ascii="Calibri" w:hAnsi="Calibri" w:eastAsia="宋体" w:cs="Calibri"/>
                <w:color w:val="000000"/>
                <w:sz w:val="21"/>
                <w:szCs w:val="21"/>
                <w:lang w:bidi="ar"/>
              </w:rPr>
              <w:t>1</w:t>
            </w:r>
            <w:r>
              <w:rPr>
                <w:rFonts w:hint="eastAsia" w:ascii="宋体" w:hAnsi="宋体" w:eastAsia="宋体" w:cs="宋体"/>
                <w:color w:val="000000"/>
                <w:sz w:val="21"/>
                <w:szCs w:val="21"/>
                <w:lang w:bidi="ar"/>
              </w:rPr>
              <w:t>分，扣完为止</w:t>
            </w:r>
            <w:r>
              <w:rPr>
                <w:rFonts w:hint="eastAsia" w:cs="宋体"/>
                <w:sz w:val="21"/>
                <w:szCs w:val="21"/>
              </w:rPr>
              <w:t>；</w:t>
            </w:r>
          </w:p>
          <w:p>
            <w:pPr>
              <w:tabs>
                <w:tab w:val="left" w:pos="547"/>
              </w:tabs>
              <w:autoSpaceDE w:val="0"/>
              <w:autoSpaceDN w:val="0"/>
              <w:adjustRightInd w:val="0"/>
              <w:spacing w:line="380" w:lineRule="exact"/>
              <w:rPr>
                <w:rFonts w:cs="宋体"/>
                <w:sz w:val="21"/>
                <w:szCs w:val="21"/>
              </w:rPr>
            </w:pPr>
            <w:r>
              <w:rPr>
                <w:rFonts w:hint="eastAsia" w:cs="宋体"/>
                <w:sz w:val="21"/>
                <w:szCs w:val="21"/>
              </w:rPr>
              <w:t>②</w:t>
            </w:r>
            <w:r>
              <w:rPr>
                <w:rFonts w:hint="eastAsia" w:ascii="宋体" w:hAnsi="宋体" w:eastAsia="宋体" w:cs="宋体"/>
                <w:color w:val="000000"/>
                <w:sz w:val="21"/>
                <w:szCs w:val="21"/>
                <w:lang w:bidi="ar"/>
              </w:rPr>
              <w:t>培训时间、内容、人数与方式等内容</w:t>
            </w:r>
            <w:r>
              <w:rPr>
                <w:rFonts w:hint="eastAsia" w:cs="宋体"/>
                <w:sz w:val="21"/>
                <w:szCs w:val="21"/>
              </w:rPr>
              <w:t>：</w:t>
            </w:r>
            <w:r>
              <w:rPr>
                <w:rFonts w:hint="eastAsia" w:ascii="宋体" w:hAnsi="宋体" w:eastAsia="宋体" w:cs="宋体"/>
                <w:color w:val="000000"/>
                <w:sz w:val="21"/>
                <w:szCs w:val="21"/>
                <w:lang w:bidi="ar"/>
              </w:rPr>
              <w:t>完全满足评审标准得</w:t>
            </w:r>
            <w:r>
              <w:rPr>
                <w:rFonts w:ascii="Calibri" w:hAnsi="Calibri" w:eastAsia="宋体" w:cs="Calibri"/>
                <w:color w:val="000000"/>
                <w:sz w:val="21"/>
                <w:szCs w:val="21"/>
                <w:lang w:bidi="ar"/>
              </w:rPr>
              <w:t>2</w:t>
            </w:r>
            <w:r>
              <w:rPr>
                <w:rFonts w:hint="eastAsia" w:ascii="宋体" w:hAnsi="宋体" w:eastAsia="宋体" w:cs="宋体"/>
                <w:color w:val="000000"/>
                <w:sz w:val="21"/>
                <w:szCs w:val="21"/>
                <w:lang w:bidi="ar"/>
              </w:rPr>
              <w:t>分，每有一项不满足扣</w:t>
            </w:r>
            <w:r>
              <w:rPr>
                <w:rFonts w:ascii="Calibri" w:hAnsi="Calibri" w:eastAsia="宋体" w:cs="Calibri"/>
                <w:color w:val="000000"/>
                <w:sz w:val="21"/>
                <w:szCs w:val="21"/>
                <w:lang w:bidi="ar"/>
              </w:rPr>
              <w:t>1</w:t>
            </w:r>
            <w:r>
              <w:rPr>
                <w:rFonts w:hint="eastAsia" w:ascii="宋体" w:hAnsi="宋体" w:eastAsia="宋体" w:cs="宋体"/>
                <w:color w:val="000000"/>
                <w:sz w:val="21"/>
                <w:szCs w:val="21"/>
                <w:lang w:bidi="ar"/>
              </w:rPr>
              <w:t>分，扣完为止</w:t>
            </w:r>
            <w:r>
              <w:rPr>
                <w:rFonts w:hint="eastAsia" w:cs="宋体"/>
                <w:sz w:val="21"/>
                <w:szCs w:val="21"/>
              </w:rPr>
              <w:t>。</w:t>
            </w:r>
          </w:p>
          <w:p>
            <w:pPr>
              <w:tabs>
                <w:tab w:val="left" w:pos="547"/>
              </w:tabs>
              <w:autoSpaceDE w:val="0"/>
              <w:autoSpaceDN w:val="0"/>
              <w:adjustRightInd w:val="0"/>
              <w:spacing w:line="380" w:lineRule="exact"/>
              <w:ind w:firstLine="420" w:firstLineChars="200"/>
              <w:rPr>
                <w:rFonts w:cs="Calibri"/>
                <w:b/>
                <w:color w:val="C00000"/>
                <w:kern w:val="2"/>
                <w:sz w:val="21"/>
                <w:szCs w:val="21"/>
              </w:rPr>
            </w:pPr>
            <w:r>
              <w:rPr>
                <w:rFonts w:hint="eastAsia" w:cs="宋体"/>
                <w:sz w:val="21"/>
                <w:szCs w:val="21"/>
              </w:rPr>
              <w:t>备注：每有1处内容缺陷，该项不得分，内容缺陷是指存在不适用项目实际情况的情形（本项目采购实际需求不匹配、不适应）、内容不完整不明确、逻辑错误、科学原理错误以及夸大的情形。</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hint="eastAsia" w:cs="宋体"/>
                <w:bCs/>
                <w:sz w:val="21"/>
                <w:szCs w:val="21"/>
              </w:rPr>
              <w:t>6</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售后方案（6分）：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pPr>
              <w:spacing w:line="320" w:lineRule="exact"/>
              <w:ind w:firstLine="420" w:firstLineChars="200"/>
              <w:rPr>
                <w:rFonts w:cs="宋体"/>
                <w:sz w:val="21"/>
                <w:szCs w:val="21"/>
              </w:rPr>
            </w:pPr>
            <w:r>
              <w:rPr>
                <w:rFonts w:hint="eastAsia" w:cs="宋体"/>
                <w:sz w:val="21"/>
                <w:szCs w:val="21"/>
              </w:rPr>
              <w:t>提出针对于本项目的售后服务，包括</w:t>
            </w:r>
            <w:r>
              <w:rPr>
                <w:rFonts w:cs="宋体"/>
                <w:sz w:val="21"/>
                <w:szCs w:val="21"/>
              </w:rPr>
              <w:t>但不限于</w:t>
            </w:r>
            <w:r>
              <w:rPr>
                <w:rFonts w:hint="eastAsia" w:cs="宋体"/>
                <w:sz w:val="21"/>
                <w:szCs w:val="21"/>
              </w:rPr>
              <w:t>①应急服务、②设备巡检、③及时性技术服务和售后服务人员配置等内容</w:t>
            </w:r>
            <w:r>
              <w:rPr>
                <w:rFonts w:cs="宋体"/>
                <w:sz w:val="21"/>
                <w:szCs w:val="21"/>
              </w:rPr>
              <w:t>。</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6</w:t>
            </w:r>
            <w:r>
              <w:rPr>
                <w:rFonts w:hint="eastAsia" w:ascii="仿宋" w:hAnsi="仿宋" w:eastAsia="仿宋" w:cs="仿宋"/>
                <w:b/>
              </w:rPr>
              <w:t>分）</w:t>
            </w:r>
          </w:p>
          <w:p>
            <w:pPr>
              <w:spacing w:line="320" w:lineRule="exact"/>
              <w:ind w:firstLine="420" w:firstLineChars="200"/>
              <w:rPr>
                <w:rFonts w:cs="宋体"/>
                <w:sz w:val="21"/>
                <w:szCs w:val="21"/>
              </w:rPr>
            </w:pPr>
            <w:r>
              <w:rPr>
                <w:rFonts w:hint="eastAsia" w:cs="宋体"/>
                <w:sz w:val="21"/>
                <w:szCs w:val="21"/>
              </w:rPr>
              <w:t>①应急服务：完全满足评审标准得</w:t>
            </w:r>
            <w:r>
              <w:rPr>
                <w:rFonts w:cs="宋体"/>
                <w:sz w:val="21"/>
                <w:szCs w:val="21"/>
              </w:rPr>
              <w:t>2</w:t>
            </w:r>
            <w:r>
              <w:rPr>
                <w:rFonts w:hint="eastAsia" w:cs="宋体"/>
                <w:sz w:val="21"/>
                <w:szCs w:val="21"/>
              </w:rPr>
              <w:t>分，</w:t>
            </w:r>
            <w:r>
              <w:rPr>
                <w:rFonts w:cs="宋体"/>
                <w:sz w:val="21"/>
                <w:szCs w:val="21"/>
              </w:rPr>
              <w:t>每</w:t>
            </w:r>
            <w:r>
              <w:rPr>
                <w:rFonts w:hint="eastAsia" w:cs="宋体"/>
                <w:sz w:val="21"/>
                <w:szCs w:val="21"/>
              </w:rPr>
              <w:t>有</w:t>
            </w:r>
            <w:r>
              <w:rPr>
                <w:rFonts w:cs="宋体"/>
                <w:sz w:val="21"/>
                <w:szCs w:val="21"/>
              </w:rPr>
              <w:t>一项不满足扣</w:t>
            </w:r>
            <w:r>
              <w:rPr>
                <w:rFonts w:hint="eastAsia" w:cs="宋体"/>
                <w:sz w:val="21"/>
                <w:szCs w:val="21"/>
              </w:rPr>
              <w:t>1分</w:t>
            </w:r>
            <w:r>
              <w:rPr>
                <w:rFonts w:cs="宋体"/>
                <w:sz w:val="21"/>
                <w:szCs w:val="21"/>
              </w:rPr>
              <w:t>，扣完</w:t>
            </w:r>
            <w:r>
              <w:rPr>
                <w:rFonts w:hint="eastAsia" w:cs="宋体"/>
                <w:sz w:val="21"/>
                <w:szCs w:val="21"/>
              </w:rPr>
              <w:t>为止；</w:t>
            </w:r>
          </w:p>
          <w:p>
            <w:pPr>
              <w:spacing w:line="320" w:lineRule="exact"/>
              <w:ind w:firstLine="420" w:firstLineChars="200"/>
              <w:rPr>
                <w:rFonts w:cs="宋体"/>
                <w:sz w:val="21"/>
                <w:szCs w:val="21"/>
              </w:rPr>
            </w:pPr>
            <w:r>
              <w:rPr>
                <w:rFonts w:hint="eastAsia" w:cs="宋体"/>
                <w:sz w:val="21"/>
                <w:szCs w:val="21"/>
              </w:rPr>
              <w:t>②设备巡检：完全满足评审标准得</w:t>
            </w:r>
            <w:r>
              <w:rPr>
                <w:rFonts w:cs="宋体"/>
                <w:sz w:val="21"/>
                <w:szCs w:val="21"/>
              </w:rPr>
              <w:t>2</w:t>
            </w:r>
            <w:r>
              <w:rPr>
                <w:rFonts w:hint="eastAsia" w:cs="宋体"/>
                <w:sz w:val="21"/>
                <w:szCs w:val="21"/>
              </w:rPr>
              <w:t>分，</w:t>
            </w:r>
            <w:r>
              <w:rPr>
                <w:rFonts w:cs="宋体"/>
                <w:sz w:val="21"/>
                <w:szCs w:val="21"/>
              </w:rPr>
              <w:t>每</w:t>
            </w:r>
            <w:r>
              <w:rPr>
                <w:rFonts w:hint="eastAsia" w:cs="宋体"/>
                <w:sz w:val="21"/>
                <w:szCs w:val="21"/>
              </w:rPr>
              <w:t>有</w:t>
            </w:r>
            <w:r>
              <w:rPr>
                <w:rFonts w:cs="宋体"/>
                <w:sz w:val="21"/>
                <w:szCs w:val="21"/>
              </w:rPr>
              <w:t>一项不满足扣</w:t>
            </w:r>
            <w:r>
              <w:rPr>
                <w:rFonts w:hint="eastAsia" w:cs="宋体"/>
                <w:sz w:val="21"/>
                <w:szCs w:val="21"/>
              </w:rPr>
              <w:t>1分</w:t>
            </w:r>
            <w:r>
              <w:rPr>
                <w:rFonts w:cs="宋体"/>
                <w:sz w:val="21"/>
                <w:szCs w:val="21"/>
              </w:rPr>
              <w:t>，扣完</w:t>
            </w:r>
            <w:r>
              <w:rPr>
                <w:rFonts w:hint="eastAsia" w:cs="宋体"/>
                <w:sz w:val="21"/>
                <w:szCs w:val="21"/>
              </w:rPr>
              <w:t>为止；</w:t>
            </w:r>
          </w:p>
          <w:p>
            <w:pPr>
              <w:spacing w:line="320" w:lineRule="exact"/>
              <w:ind w:firstLine="420" w:firstLineChars="200"/>
              <w:rPr>
                <w:rFonts w:cs="宋体"/>
                <w:sz w:val="21"/>
                <w:szCs w:val="21"/>
              </w:rPr>
            </w:pPr>
            <w:r>
              <w:rPr>
                <w:rFonts w:hint="eastAsia" w:cs="宋体"/>
                <w:sz w:val="21"/>
                <w:szCs w:val="21"/>
              </w:rPr>
              <w:t>③及时性技术服务和售后服务人员配置：完全满足评审标准得</w:t>
            </w:r>
            <w:r>
              <w:rPr>
                <w:rFonts w:cs="宋体"/>
                <w:sz w:val="21"/>
                <w:szCs w:val="21"/>
              </w:rPr>
              <w:t>2</w:t>
            </w:r>
            <w:r>
              <w:rPr>
                <w:rFonts w:hint="eastAsia" w:cs="宋体"/>
                <w:sz w:val="21"/>
                <w:szCs w:val="21"/>
              </w:rPr>
              <w:t>分，</w:t>
            </w:r>
            <w:r>
              <w:rPr>
                <w:rFonts w:cs="宋体"/>
                <w:sz w:val="21"/>
                <w:szCs w:val="21"/>
              </w:rPr>
              <w:t>每</w:t>
            </w:r>
            <w:r>
              <w:rPr>
                <w:rFonts w:hint="eastAsia" w:cs="宋体"/>
                <w:sz w:val="21"/>
                <w:szCs w:val="21"/>
              </w:rPr>
              <w:t>有</w:t>
            </w:r>
            <w:r>
              <w:rPr>
                <w:rFonts w:cs="宋体"/>
                <w:sz w:val="21"/>
                <w:szCs w:val="21"/>
              </w:rPr>
              <w:t>一项不满足扣</w:t>
            </w:r>
            <w:r>
              <w:rPr>
                <w:rFonts w:hint="eastAsia" w:cs="宋体"/>
                <w:sz w:val="21"/>
                <w:szCs w:val="21"/>
              </w:rPr>
              <w:t>1分</w:t>
            </w:r>
            <w:r>
              <w:rPr>
                <w:rFonts w:cs="宋体"/>
                <w:sz w:val="21"/>
                <w:szCs w:val="21"/>
              </w:rPr>
              <w:t>，扣完</w:t>
            </w:r>
            <w:r>
              <w:rPr>
                <w:rFonts w:hint="eastAsia" w:cs="宋体"/>
                <w:sz w:val="21"/>
                <w:szCs w:val="21"/>
              </w:rPr>
              <w:t>为止</w:t>
            </w:r>
            <w:r>
              <w:rPr>
                <w:rFonts w:cs="宋体"/>
                <w:sz w:val="21"/>
                <w:szCs w:val="21"/>
              </w:rPr>
              <w:t>。</w:t>
            </w:r>
          </w:p>
          <w:p>
            <w:pPr>
              <w:spacing w:line="320" w:lineRule="exact"/>
              <w:ind w:firstLine="420" w:firstLineChars="200"/>
              <w:rPr>
                <w:rFonts w:cs="Calibri"/>
                <w:b/>
                <w:color w:val="C00000"/>
                <w:kern w:val="2"/>
                <w:sz w:val="21"/>
                <w:szCs w:val="21"/>
              </w:rPr>
            </w:pPr>
            <w:r>
              <w:rPr>
                <w:rFonts w:hint="eastAsia" w:cs="宋体"/>
                <w:sz w:val="21"/>
                <w:szCs w:val="21"/>
              </w:rPr>
              <w:t>备注：每有1处内容缺陷，该项不得分，内容缺陷是指存在不适用项目实际情况的情形（本项目采购实际需求不匹配、不适应）、内容不完整不明确、逻辑错误、科学原理错误以及夸大的情形。</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hint="eastAsia" w:cs="宋体"/>
                <w:bCs/>
                <w:sz w:val="21"/>
                <w:szCs w:val="21"/>
              </w:rPr>
              <w:t>30</w:t>
            </w:r>
          </w:p>
        </w:tc>
        <w:tc>
          <w:tcPr>
            <w:tcW w:w="5809" w:type="dxa"/>
            <w:tcBorders>
              <w:top w:val="single" w:color="auto" w:sz="2" w:space="0"/>
            </w:tcBorders>
            <w:shd w:val="clear" w:color="auto" w:fill="auto"/>
            <w:vAlign w:val="center"/>
          </w:tcPr>
          <w:p>
            <w:pPr>
              <w:spacing w:line="320" w:lineRule="exact"/>
              <w:ind w:firstLine="420" w:firstLineChars="200"/>
              <w:rPr>
                <w:rFonts w:ascii="宋体" w:hAnsi="宋体" w:eastAsia="宋体" w:cs="宋体"/>
                <w:color w:val="000000"/>
                <w:sz w:val="21"/>
                <w:szCs w:val="21"/>
                <w:lang w:bidi="ar"/>
              </w:rPr>
            </w:pPr>
            <w:r>
              <w:rPr>
                <w:rFonts w:hint="eastAsia" w:ascii="宋体" w:hAnsi="宋体" w:eastAsia="宋体" w:cs="宋体"/>
                <w:b/>
                <w:bCs/>
                <w:color w:val="C00000"/>
                <w:sz w:val="21"/>
                <w:szCs w:val="21"/>
                <w:lang w:bidi="ar"/>
              </w:rPr>
              <w:t>技术参数：</w:t>
            </w:r>
          </w:p>
          <w:p>
            <w:pPr>
              <w:spacing w:line="320" w:lineRule="exact"/>
              <w:ind w:firstLine="420" w:firstLineChars="200"/>
              <w:rPr>
                <w:rFonts w:cs="Calibri"/>
                <w:b/>
                <w:color w:val="C00000"/>
                <w:kern w:val="2"/>
                <w:sz w:val="21"/>
                <w:szCs w:val="21"/>
              </w:rPr>
            </w:pPr>
            <w:r>
              <w:rPr>
                <w:rFonts w:hint="eastAsia" w:ascii="宋体" w:hAnsi="宋体" w:eastAsia="宋体" w:cs="宋体"/>
                <w:color w:val="000000"/>
                <w:sz w:val="21"/>
                <w:szCs w:val="21"/>
                <w:lang w:bidi="ar"/>
              </w:rPr>
              <w:t>完全符合、响应招标文件要求，完全响应计</w:t>
            </w:r>
            <w:r>
              <w:rPr>
                <w:rFonts w:ascii="Calibri" w:hAnsi="Calibri" w:eastAsia="宋体" w:cs="Calibri"/>
                <w:color w:val="000000"/>
                <w:sz w:val="21"/>
                <w:szCs w:val="21"/>
                <w:lang w:bidi="ar"/>
              </w:rPr>
              <w:t>30</w:t>
            </w:r>
            <w:r>
              <w:rPr>
                <w:rFonts w:hint="eastAsia" w:ascii="宋体" w:hAnsi="宋体" w:eastAsia="宋体" w:cs="宋体"/>
                <w:color w:val="000000"/>
                <w:sz w:val="21"/>
                <w:szCs w:val="21"/>
                <w:lang w:bidi="ar"/>
              </w:rPr>
              <w:t>分；“▲” 号参数为重要技术指标，每负偏离一项扣</w:t>
            </w:r>
            <w:r>
              <w:rPr>
                <w:rFonts w:ascii="Calibri" w:hAnsi="Calibri" w:eastAsia="宋体" w:cs="Calibri"/>
                <w:color w:val="000000"/>
                <w:sz w:val="21"/>
                <w:szCs w:val="21"/>
                <w:lang w:bidi="ar"/>
              </w:rPr>
              <w:t>2</w:t>
            </w:r>
            <w:r>
              <w:rPr>
                <w:rFonts w:hint="eastAsia" w:ascii="宋体" w:hAnsi="宋体" w:eastAsia="宋体" w:cs="宋体"/>
                <w:color w:val="000000"/>
                <w:sz w:val="21"/>
                <w:szCs w:val="21"/>
                <w:lang w:bidi="ar"/>
              </w:rPr>
              <w:t>分，最多扣</w:t>
            </w:r>
            <w:r>
              <w:rPr>
                <w:rFonts w:ascii="Calibri" w:hAnsi="Calibri" w:eastAsia="宋体" w:cs="Calibri"/>
                <w:color w:val="000000"/>
                <w:sz w:val="21"/>
                <w:szCs w:val="21"/>
                <w:lang w:bidi="ar"/>
              </w:rPr>
              <w:t>20</w:t>
            </w:r>
            <w:r>
              <w:rPr>
                <w:rFonts w:hint="eastAsia" w:ascii="宋体" w:hAnsi="宋体" w:eastAsia="宋体" w:cs="宋体"/>
                <w:color w:val="000000"/>
                <w:sz w:val="21"/>
                <w:szCs w:val="21"/>
                <w:lang w:bidi="ar"/>
              </w:rPr>
              <w:t>分；非“▲”号参数每负偏离一项扣</w:t>
            </w:r>
            <w:r>
              <w:rPr>
                <w:rFonts w:ascii="Calibri" w:hAnsi="Calibri" w:eastAsia="宋体" w:cs="Calibri"/>
                <w:color w:val="000000"/>
                <w:sz w:val="21"/>
                <w:szCs w:val="21"/>
                <w:lang w:bidi="ar"/>
              </w:rPr>
              <w:t>1</w:t>
            </w:r>
            <w:r>
              <w:rPr>
                <w:rFonts w:hint="eastAsia" w:ascii="宋体" w:hAnsi="宋体" w:eastAsia="宋体" w:cs="宋体"/>
                <w:color w:val="000000"/>
                <w:sz w:val="21"/>
                <w:szCs w:val="21"/>
                <w:lang w:bidi="ar"/>
              </w:rPr>
              <w:t>分，最多扣</w:t>
            </w:r>
            <w:r>
              <w:rPr>
                <w:rFonts w:ascii="Calibri" w:hAnsi="Calibri" w:eastAsia="宋体" w:cs="Calibri"/>
                <w:color w:val="000000"/>
                <w:sz w:val="21"/>
                <w:szCs w:val="21"/>
                <w:lang w:bidi="ar"/>
              </w:rPr>
              <w:t>10</w:t>
            </w:r>
            <w:r>
              <w:rPr>
                <w:rFonts w:hint="eastAsia" w:ascii="宋体" w:hAnsi="宋体" w:eastAsia="宋体" w:cs="宋体"/>
                <w:color w:val="000000"/>
                <w:sz w:val="21"/>
                <w:szCs w:val="21"/>
                <w:lang w:bidi="ar"/>
              </w:rPr>
              <w:t>分；总分扣至</w:t>
            </w:r>
            <w:r>
              <w:rPr>
                <w:rFonts w:ascii="Calibri" w:hAnsi="Calibri" w:eastAsia="宋体" w:cs="Calibri"/>
                <w:color w:val="000000"/>
                <w:sz w:val="21"/>
                <w:szCs w:val="21"/>
                <w:lang w:bidi="ar"/>
              </w:rPr>
              <w:t>0</w:t>
            </w:r>
            <w:r>
              <w:rPr>
                <w:rFonts w:hint="eastAsia" w:ascii="宋体" w:hAnsi="宋体" w:eastAsia="宋体" w:cs="宋体"/>
                <w:color w:val="000000"/>
                <w:sz w:val="21"/>
                <w:szCs w:val="21"/>
                <w:lang w:bidi="ar"/>
              </w:rPr>
              <w:t>分为止。（“▲”技术参数指标必须提供包括但不限于产品功能证明材料、第三方检测报告、功能截图、白皮书并加盖公章，否则视为负偏离）。</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pPr>
              <w:spacing w:line="320" w:lineRule="exact"/>
              <w:jc w:val="center"/>
              <w:rPr>
                <w:rFonts w:cs="宋体"/>
                <w:bCs/>
                <w:sz w:val="21"/>
                <w:szCs w:val="21"/>
              </w:rPr>
            </w:pPr>
            <w:r>
              <w:rPr>
                <w:rFonts w:cs="宋体"/>
                <w:bCs/>
                <w:sz w:val="21"/>
                <w:szCs w:val="21"/>
              </w:rPr>
              <w:t>商务</w:t>
            </w:r>
          </w:p>
          <w:p>
            <w:pPr>
              <w:spacing w:line="320" w:lineRule="exact"/>
              <w:jc w:val="center"/>
              <w:rPr>
                <w:rFonts w:cs="宋体"/>
                <w:bCs/>
                <w:sz w:val="21"/>
                <w:szCs w:val="21"/>
              </w:rPr>
            </w:pPr>
            <w:r>
              <w:rPr>
                <w:rFonts w:cs="宋体"/>
                <w:bCs/>
                <w:sz w:val="21"/>
                <w:szCs w:val="21"/>
              </w:rPr>
              <w:t>部分</w:t>
            </w:r>
          </w:p>
        </w:tc>
        <w:tc>
          <w:tcPr>
            <w:tcW w:w="640" w:type="dxa"/>
            <w:vMerge w:val="restart"/>
            <w:shd w:val="clear" w:color="auto" w:fill="auto"/>
            <w:vAlign w:val="center"/>
          </w:tcPr>
          <w:p>
            <w:pPr>
              <w:spacing w:line="320" w:lineRule="exact"/>
              <w:jc w:val="center"/>
              <w:rPr>
                <w:rFonts w:cs="宋体"/>
                <w:bCs/>
                <w:sz w:val="21"/>
                <w:szCs w:val="21"/>
              </w:rPr>
            </w:pPr>
            <w:r>
              <w:rPr>
                <w:rFonts w:cs="宋体"/>
                <w:bCs/>
                <w:sz w:val="21"/>
                <w:szCs w:val="21"/>
              </w:rPr>
              <w:t>15</w:t>
            </w: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4</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货物质量：</w:t>
            </w:r>
          </w:p>
          <w:p>
            <w:pPr>
              <w:spacing w:line="320" w:lineRule="exact"/>
              <w:ind w:firstLine="420" w:firstLineChars="200"/>
              <w:rPr>
                <w:rFonts w:ascii="宋体" w:hAnsi="宋体" w:eastAsia="宋体" w:cs="宋体"/>
                <w:color w:val="000000"/>
                <w:sz w:val="21"/>
                <w:szCs w:val="21"/>
                <w:lang w:bidi="ar"/>
              </w:rPr>
            </w:pPr>
            <w:r>
              <w:rPr>
                <w:rFonts w:hint="eastAsia" w:ascii="宋体" w:hAnsi="宋体" w:eastAsia="宋体" w:cs="宋体"/>
                <w:color w:val="000000"/>
                <w:sz w:val="21"/>
                <w:szCs w:val="21"/>
                <w:lang w:bidi="ar"/>
              </w:rPr>
              <w:t>每有一件产品为节能或环保产品（以处于有效期内的节能产品、环境标志产品认证证书为准）得1分，最高得4分。</w:t>
            </w:r>
          </w:p>
          <w:p>
            <w:pPr>
              <w:spacing w:line="320" w:lineRule="exact"/>
              <w:ind w:firstLine="420" w:firstLineChars="200"/>
              <w:rPr>
                <w:rFonts w:cs="Calibri"/>
                <w:b/>
                <w:color w:val="C00000"/>
                <w:kern w:val="2"/>
                <w:sz w:val="21"/>
                <w:szCs w:val="21"/>
              </w:rPr>
            </w:pPr>
            <w:r>
              <w:rPr>
                <w:rFonts w:cs="宋体"/>
                <w:bCs/>
                <w:sz w:val="21"/>
                <w:szCs w:val="21"/>
              </w:rPr>
              <w:t>注：</w:t>
            </w:r>
            <w:r>
              <w:rPr>
                <w:rFonts w:hint="eastAsia" w:cs="宋体"/>
                <w:bCs/>
                <w:sz w:val="21"/>
                <w:szCs w:val="21"/>
              </w:rPr>
              <w:t>《节能产品政府采购品目清单》内强制采购的品目除外。</w:t>
            </w:r>
          </w:p>
        </w:tc>
        <w:tc>
          <w:tcPr>
            <w:tcW w:w="1418" w:type="dxa"/>
            <w:vMerge w:val="restart"/>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8</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产品来源渠道：</w:t>
            </w:r>
          </w:p>
          <w:p>
            <w:pPr>
              <w:spacing w:line="320" w:lineRule="exact"/>
              <w:ind w:firstLine="420" w:firstLineChars="200"/>
              <w:rPr>
                <w:rFonts w:ascii="宋体" w:hAnsi="宋体" w:cs="宋体"/>
                <w:b/>
                <w:sz w:val="18"/>
                <w:szCs w:val="18"/>
              </w:rPr>
            </w:pPr>
            <w:r>
              <w:rPr>
                <w:rFonts w:hint="eastAsia" w:ascii="宋体" w:hAnsi="宋体" w:eastAsia="宋体" w:cs="宋体"/>
                <w:color w:val="000000"/>
                <w:sz w:val="21"/>
                <w:szCs w:val="21"/>
                <w:lang w:bidi="ar"/>
              </w:rPr>
              <w:t>设备（包括摄像头、磁盘阵列、智能分析服务器、解码器、管理平台一体机等系统设备）均为同一品牌，提供货物的合法来源渠道证明文件（例如：产品制造商授权、销售协议、代理协议等证明文件）全部为同一品牌得8分，每有一个系统不同一品牌扣</w:t>
            </w:r>
            <w:r>
              <w:rPr>
                <w:rFonts w:ascii="Calibri" w:hAnsi="Calibri" w:eastAsia="宋体" w:cs="Calibri"/>
                <w:color w:val="000000"/>
                <w:sz w:val="21"/>
                <w:szCs w:val="21"/>
                <w:lang w:bidi="ar"/>
              </w:rPr>
              <w:t>2</w:t>
            </w:r>
            <w:r>
              <w:rPr>
                <w:rFonts w:hint="eastAsia" w:ascii="宋体" w:hAnsi="宋体" w:eastAsia="宋体" w:cs="宋体"/>
                <w:color w:val="000000"/>
                <w:sz w:val="21"/>
                <w:szCs w:val="21"/>
                <w:lang w:bidi="ar"/>
              </w:rPr>
              <w:t>分，扣完为止。不提供有效证明不得分。</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3</w:t>
            </w:r>
          </w:p>
        </w:tc>
        <w:tc>
          <w:tcPr>
            <w:tcW w:w="5809" w:type="dxa"/>
            <w:shd w:val="clear" w:color="auto" w:fill="auto"/>
            <w:vAlign w:val="center"/>
          </w:tcPr>
          <w:p>
            <w:pPr>
              <w:spacing w:line="320" w:lineRule="exact"/>
              <w:ind w:firstLine="420" w:firstLineChars="200"/>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pPr>
              <w:spacing w:line="320" w:lineRule="exact"/>
              <w:ind w:firstLine="420" w:firstLineChars="200"/>
              <w:jc w:val="both"/>
              <w:rPr>
                <w:rFonts w:cs="宋体"/>
                <w:sz w:val="21"/>
                <w:szCs w:val="21"/>
              </w:rPr>
            </w:pPr>
            <w:r>
              <w:rPr>
                <w:rFonts w:hint="eastAsia" w:cs="宋体"/>
                <w:sz w:val="21"/>
                <w:szCs w:val="21"/>
              </w:rPr>
              <w:t>提供自</w:t>
            </w:r>
            <w:r>
              <w:rPr>
                <w:rFonts w:cs="宋体"/>
                <w:sz w:val="21"/>
                <w:szCs w:val="21"/>
              </w:rPr>
              <w:t>20</w:t>
            </w:r>
            <w:r>
              <w:rPr>
                <w:rFonts w:hint="eastAsia" w:cs="宋体"/>
                <w:sz w:val="21"/>
                <w:szCs w:val="21"/>
              </w:rPr>
              <w:t>2</w:t>
            </w:r>
            <w:r>
              <w:rPr>
                <w:rFonts w:cs="宋体"/>
                <w:sz w:val="21"/>
                <w:szCs w:val="21"/>
              </w:rPr>
              <w:t>2年1月1日至投标文件递交截止时间前</w:t>
            </w:r>
            <w:r>
              <w:rPr>
                <w:rFonts w:hint="eastAsia" w:cs="宋体"/>
                <w:sz w:val="21"/>
                <w:szCs w:val="21"/>
              </w:rPr>
              <w:t>类似</w:t>
            </w:r>
            <w:r>
              <w:rPr>
                <w:rFonts w:cs="宋体"/>
                <w:sz w:val="21"/>
                <w:szCs w:val="21"/>
              </w:rPr>
              <w:t>项目业绩（</w:t>
            </w:r>
            <w:r>
              <w:rPr>
                <w:rFonts w:hint="eastAsia" w:cs="宋体"/>
                <w:sz w:val="21"/>
                <w:szCs w:val="21"/>
              </w:rPr>
              <w:t>即提供完整合同扫描件并加盖公章</w:t>
            </w:r>
            <w:r>
              <w:rPr>
                <w:rFonts w:cs="宋体"/>
                <w:sz w:val="21"/>
                <w:szCs w:val="21"/>
              </w:rPr>
              <w:t>），评审时以业绩证明文件扫描件为计分依据，每份业绩得</w:t>
            </w:r>
            <w:r>
              <w:rPr>
                <w:rFonts w:hint="eastAsia" w:cs="宋体"/>
                <w:sz w:val="21"/>
                <w:szCs w:val="21"/>
              </w:rPr>
              <w:t>1</w:t>
            </w:r>
            <w:r>
              <w:rPr>
                <w:rFonts w:cs="宋体"/>
                <w:sz w:val="21"/>
                <w:szCs w:val="21"/>
              </w:rPr>
              <w:t>分，最多得3分。</w:t>
            </w:r>
          </w:p>
        </w:tc>
        <w:tc>
          <w:tcPr>
            <w:tcW w:w="1418" w:type="dxa"/>
            <w:vMerge w:val="continue"/>
            <w:shd w:val="clear" w:color="auto" w:fill="auto"/>
            <w:vAlign w:val="center"/>
          </w:tcPr>
          <w:p>
            <w:pPr>
              <w:spacing w:line="320" w:lineRule="exact"/>
              <w:rPr>
                <w:rFonts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shd w:val="clear" w:color="auto" w:fill="auto"/>
            <w:vAlign w:val="center"/>
          </w:tcPr>
          <w:p>
            <w:pPr>
              <w:spacing w:line="320" w:lineRule="exact"/>
              <w:jc w:val="center"/>
              <w:rPr>
                <w:rFonts w:cs="宋体"/>
                <w:bCs/>
                <w:sz w:val="21"/>
                <w:szCs w:val="21"/>
              </w:rPr>
            </w:pPr>
            <w:r>
              <w:rPr>
                <w:rFonts w:cs="宋体"/>
                <w:bCs/>
                <w:sz w:val="21"/>
                <w:szCs w:val="21"/>
              </w:rPr>
              <w:t>说明</w:t>
            </w:r>
          </w:p>
        </w:tc>
        <w:tc>
          <w:tcPr>
            <w:tcW w:w="8727" w:type="dxa"/>
            <w:gridSpan w:val="4"/>
            <w:shd w:val="clear" w:color="auto" w:fill="auto"/>
            <w:vAlign w:val="center"/>
          </w:tcPr>
          <w:p>
            <w:pPr>
              <w:spacing w:line="320" w:lineRule="exact"/>
              <w:ind w:firstLine="420" w:firstLineChars="200"/>
              <w:rPr>
                <w:rFonts w:cs="宋体"/>
                <w:bCs/>
                <w:sz w:val="21"/>
                <w:szCs w:val="21"/>
              </w:rPr>
            </w:pPr>
            <w:r>
              <w:rPr>
                <w:rFonts w:cs="宋体"/>
                <w:bCs/>
                <w:sz w:val="21"/>
                <w:szCs w:val="21"/>
              </w:rPr>
              <w:t>1、评标委员会成员必须按照本评审要素据实打分，各类数字计算均按“四舍五入”保留小数点后两位；</w:t>
            </w:r>
          </w:p>
          <w:p>
            <w:pPr>
              <w:spacing w:line="280" w:lineRule="exact"/>
              <w:ind w:firstLine="420" w:firstLineChars="200"/>
              <w:rPr>
                <w:sz w:val="21"/>
                <w:szCs w:val="21"/>
              </w:rPr>
            </w:pPr>
            <w:r>
              <w:rPr>
                <w:sz w:val="21"/>
                <w:szCs w:val="21"/>
              </w:rPr>
              <w:t>2、</w:t>
            </w:r>
            <w:r>
              <w:rPr>
                <w:rFonts w:hint="eastAsia" w:ascii="Calibri" w:hAnsi="宋体" w:eastAsia="宋体"/>
                <w:kern w:val="2"/>
                <w:sz w:val="21"/>
              </w:rPr>
              <w:t>对小型和微型企业产品的报价给予10%的扣除，用扣除后的价格参加评审。未提供中小企业声明函的不享受价格扣除优惠政策；供应商所供货物并非全部由小型或微型企业生产的，不享受价格扣除优惠政策；</w:t>
            </w:r>
          </w:p>
        </w:tc>
      </w:tr>
    </w:tbl>
    <w:p>
      <w:pPr>
        <w:pStyle w:val="81"/>
        <w:ind w:firstLine="482"/>
        <w:rPr>
          <w:b/>
        </w:rPr>
      </w:pPr>
    </w:p>
    <w:p>
      <w:pPr>
        <w:rPr>
          <w:rFonts w:ascii="Calibri" w:hAnsi="Calibri" w:eastAsia="宋体" w:cstheme="minorHAnsi"/>
          <w:b/>
          <w:color w:val="000000"/>
          <w:kern w:val="24"/>
        </w:rPr>
      </w:pPr>
      <w:r>
        <w:rPr>
          <w:b/>
        </w:rPr>
        <w:br w:type="page"/>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（采购包</w:t>
      </w:r>
      <w:r>
        <w:rPr>
          <w:rFonts w:ascii="黑体" w:hAnsi="黑体" w:eastAsia="黑体" w:cstheme="minorHAnsi"/>
          <w:color w:val="1F4E79"/>
          <w:sz w:val="32"/>
          <w:szCs w:val="32"/>
        </w:rPr>
        <w:t>二</w:t>
      </w:r>
      <w:r>
        <w:rPr>
          <w:rFonts w:hint="eastAsia" w:ascii="黑体" w:hAnsi="黑体" w:eastAsia="黑体" w:cstheme="minorHAnsi"/>
          <w:color w:val="1F4E79"/>
          <w:sz w:val="32"/>
          <w:szCs w:val="32"/>
        </w:rPr>
        <w:t>）</w:t>
      </w:r>
    </w:p>
    <w:tbl>
      <w:tblPr>
        <w:tblStyle w:val="24"/>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ind w:firstLine="422"/>
              <w:jc w:val="center"/>
              <w:rPr>
                <w:rFonts w:cstheme="minorHAnsi"/>
                <w:b/>
                <w:bCs/>
                <w:sz w:val="21"/>
                <w:szCs w:val="21"/>
              </w:rPr>
            </w:pPr>
            <w:r>
              <w:rPr>
                <w:rFonts w:cstheme="minorHAnsi"/>
                <w:b/>
                <w:bCs/>
                <w:sz w:val="21"/>
                <w:szCs w:val="21"/>
              </w:rPr>
              <w:t>评审要素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
                <w:bCs/>
                <w:sz w:val="21"/>
                <w:szCs w:val="21"/>
              </w:rPr>
            </w:pPr>
            <w:r>
              <w:rPr>
                <w:rFonts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ind w:firstLine="420"/>
              <w:jc w:val="center"/>
              <w:rPr>
                <w:rFonts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tcBorders>
              <w:top w:val="single" w:color="auto" w:sz="2" w:space="0"/>
            </w:tcBorders>
            <w:shd w:val="clear" w:color="auto" w:fill="auto"/>
            <w:vAlign w:val="center"/>
          </w:tcPr>
          <w:p>
            <w:pPr>
              <w:spacing w:line="320" w:lineRule="exact"/>
              <w:jc w:val="center"/>
              <w:rPr>
                <w:rFonts w:cs="宋体"/>
                <w:bCs/>
                <w:sz w:val="21"/>
                <w:szCs w:val="21"/>
              </w:rPr>
            </w:pPr>
            <w:r>
              <w:rPr>
                <w:rFonts w:cs="宋体"/>
                <w:b/>
                <w:sz w:val="21"/>
                <w:szCs w:val="21"/>
              </w:rPr>
              <w:t>价格</w:t>
            </w:r>
          </w:p>
        </w:tc>
        <w:tc>
          <w:tcPr>
            <w:tcW w:w="640" w:type="dxa"/>
            <w:tcBorders>
              <w:top w:val="single" w:color="auto" w:sz="2" w:space="0"/>
            </w:tcBorders>
            <w:shd w:val="clear" w:color="auto" w:fill="auto"/>
            <w:vAlign w:val="center"/>
          </w:tcPr>
          <w:p>
            <w:pPr>
              <w:spacing w:line="320" w:lineRule="exact"/>
              <w:jc w:val="center"/>
              <w:rPr>
                <w:rFonts w:cs="宋体"/>
                <w:bCs/>
                <w:sz w:val="21"/>
                <w:szCs w:val="21"/>
              </w:rPr>
            </w:pPr>
            <w:r>
              <w:rPr>
                <w:rFonts w:cs="宋体"/>
                <w:bCs/>
                <w:sz w:val="21"/>
                <w:szCs w:val="21"/>
              </w:rPr>
              <w:t>30</w:t>
            </w: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30</w:t>
            </w:r>
          </w:p>
        </w:tc>
        <w:tc>
          <w:tcPr>
            <w:tcW w:w="5809" w:type="dxa"/>
            <w:tcBorders>
              <w:top w:val="single" w:color="auto" w:sz="2" w:space="0"/>
            </w:tcBorders>
            <w:shd w:val="clear" w:color="auto" w:fill="auto"/>
            <w:vAlign w:val="center"/>
          </w:tcPr>
          <w:p>
            <w:pPr>
              <w:tabs>
                <w:tab w:val="left" w:pos="547"/>
              </w:tabs>
              <w:spacing w:line="320" w:lineRule="exact"/>
              <w:ind w:firstLine="420"/>
              <w:jc w:val="both"/>
              <w:rPr>
                <w:rFonts w:cs="宋体"/>
                <w:sz w:val="21"/>
                <w:szCs w:val="21"/>
              </w:rPr>
            </w:pPr>
            <w:r>
              <w:rPr>
                <w:rFonts w:cs="宋体"/>
                <w:sz w:val="21"/>
                <w:szCs w:val="21"/>
              </w:rPr>
              <w:t>有效供应商最低报价为基准价得30分，各供应商的报价得分按下列公式计算：（基准价/投标报价）×30%×100分</w:t>
            </w:r>
          </w:p>
        </w:tc>
        <w:tc>
          <w:tcPr>
            <w:tcW w:w="1418" w:type="dxa"/>
            <w:tcBorders>
              <w:top w:val="single" w:color="auto" w:sz="2" w:space="0"/>
            </w:tcBorders>
            <w:shd w:val="clear" w:color="auto" w:fill="auto"/>
            <w:vAlign w:val="center"/>
          </w:tcPr>
          <w:p>
            <w:pPr>
              <w:spacing w:line="320" w:lineRule="exact"/>
              <w:rPr>
                <w:rFonts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pPr>
              <w:spacing w:line="320" w:lineRule="exact"/>
              <w:jc w:val="center"/>
              <w:rPr>
                <w:rFonts w:cs="宋体"/>
                <w:bCs/>
                <w:sz w:val="21"/>
                <w:szCs w:val="21"/>
              </w:rPr>
            </w:pPr>
            <w:r>
              <w:rPr>
                <w:rFonts w:cs="宋体"/>
                <w:bCs/>
                <w:sz w:val="21"/>
                <w:szCs w:val="21"/>
              </w:rPr>
              <w:t>技术</w:t>
            </w:r>
          </w:p>
          <w:p>
            <w:pPr>
              <w:spacing w:line="320" w:lineRule="exact"/>
              <w:jc w:val="center"/>
              <w:rPr>
                <w:rFonts w:cs="宋体"/>
                <w:b/>
                <w:sz w:val="21"/>
                <w:szCs w:val="21"/>
              </w:rPr>
            </w:pPr>
            <w:r>
              <w:rPr>
                <w:rFonts w:cs="宋体"/>
                <w:bCs/>
                <w:sz w:val="21"/>
                <w:szCs w:val="21"/>
              </w:rPr>
              <w:t>部分</w:t>
            </w:r>
          </w:p>
        </w:tc>
        <w:tc>
          <w:tcPr>
            <w:tcW w:w="640" w:type="dxa"/>
            <w:vMerge w:val="restart"/>
            <w:shd w:val="clear" w:color="auto" w:fill="auto"/>
            <w:vAlign w:val="center"/>
          </w:tcPr>
          <w:p>
            <w:pPr>
              <w:spacing w:line="320" w:lineRule="exact"/>
              <w:jc w:val="center"/>
              <w:rPr>
                <w:rFonts w:cs="宋体"/>
                <w:bCs/>
                <w:sz w:val="21"/>
                <w:szCs w:val="21"/>
              </w:rPr>
            </w:pPr>
            <w:r>
              <w:rPr>
                <w:rFonts w:cs="宋体"/>
                <w:bCs/>
                <w:sz w:val="21"/>
                <w:szCs w:val="21"/>
              </w:rPr>
              <w:t>38</w:t>
            </w: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12</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ascii="宋体" w:hAnsi="宋体" w:eastAsia="宋体" w:cs="宋体"/>
                <w:b/>
                <w:bCs/>
                <w:color w:val="C00000"/>
                <w:sz w:val="21"/>
                <w:szCs w:val="21"/>
                <w:lang w:bidi="ar"/>
              </w:rPr>
              <w:t>实施方案</w:t>
            </w:r>
            <w:r>
              <w:rPr>
                <w:rFonts w:cs="Calibri"/>
                <w:b/>
                <w:color w:val="C00000"/>
                <w:kern w:val="2"/>
                <w:sz w:val="21"/>
                <w:szCs w:val="21"/>
              </w:rPr>
              <w:t>：</w:t>
            </w:r>
          </w:p>
          <w:p>
            <w:pPr>
              <w:tabs>
                <w:tab w:val="left" w:pos="547"/>
              </w:tabs>
              <w:autoSpaceDE w:val="0"/>
              <w:autoSpaceDN w:val="0"/>
              <w:adjustRightInd w:val="0"/>
              <w:spacing w:line="380" w:lineRule="exact"/>
              <w:rPr>
                <w:rFonts w:ascii="仿宋" w:hAnsi="仿宋" w:eastAsia="仿宋" w:cs="仿宋"/>
                <w:b/>
              </w:rPr>
            </w:pPr>
            <w:r>
              <w:rPr>
                <w:rFonts w:ascii="仿宋" w:hAnsi="仿宋" w:eastAsia="仿宋" w:cs="仿宋"/>
                <w:b/>
              </w:rPr>
              <w:t>一、</w:t>
            </w:r>
            <w:r>
              <w:rPr>
                <w:rFonts w:hint="eastAsia" w:ascii="仿宋" w:hAnsi="仿宋" w:eastAsia="仿宋" w:cs="仿宋"/>
                <w:b/>
              </w:rPr>
              <w:t>评审内容</w:t>
            </w:r>
          </w:p>
          <w:p>
            <w:pPr>
              <w:tabs>
                <w:tab w:val="left" w:pos="547"/>
              </w:tabs>
              <w:autoSpaceDE w:val="0"/>
              <w:autoSpaceDN w:val="0"/>
              <w:adjustRightInd w:val="0"/>
              <w:spacing w:line="380" w:lineRule="exact"/>
              <w:rPr>
                <w:rFonts w:ascii="宋体" w:hAnsi="宋体" w:eastAsia="宋体" w:cs="宋体"/>
                <w:color w:val="000000"/>
                <w:sz w:val="21"/>
                <w:szCs w:val="21"/>
                <w:lang w:bidi="ar"/>
              </w:rPr>
            </w:pPr>
            <w:r>
              <w:rPr>
                <w:rFonts w:hint="eastAsia" w:ascii="宋体" w:hAnsi="宋体" w:eastAsia="宋体" w:cs="宋体"/>
                <w:color w:val="000000"/>
                <w:sz w:val="21"/>
                <w:szCs w:val="21"/>
                <w:lang w:bidi="ar"/>
              </w:rPr>
              <w:t>提出针对于本项目的总体实施方案，方案内容包含</w:t>
            </w:r>
            <w:r>
              <w:rPr>
                <w:rFonts w:ascii="宋体" w:hAnsi="宋体" w:eastAsia="宋体" w:cs="宋体"/>
                <w:color w:val="000000"/>
                <w:sz w:val="21"/>
                <w:szCs w:val="21"/>
                <w:lang w:bidi="ar"/>
              </w:rPr>
              <w:t>①</w:t>
            </w:r>
            <w:r>
              <w:rPr>
                <w:rFonts w:hint="eastAsia" w:ascii="宋体" w:hAnsi="宋体" w:eastAsia="宋体" w:cs="宋体"/>
                <w:color w:val="000000"/>
                <w:sz w:val="21"/>
                <w:szCs w:val="21"/>
                <w:lang w:bidi="ar"/>
              </w:rPr>
              <w:t>供货组织安排</w:t>
            </w:r>
            <w:r>
              <w:rPr>
                <w:rFonts w:ascii="宋体" w:hAnsi="宋体" w:eastAsia="宋体" w:cs="宋体"/>
                <w:color w:val="000000"/>
                <w:sz w:val="21"/>
                <w:szCs w:val="21"/>
                <w:lang w:bidi="ar"/>
              </w:rPr>
              <w:t>②</w:t>
            </w:r>
            <w:r>
              <w:rPr>
                <w:rFonts w:hint="eastAsia" w:ascii="宋体" w:hAnsi="宋体" w:eastAsia="宋体" w:cs="宋体"/>
                <w:color w:val="000000"/>
                <w:sz w:val="21"/>
                <w:szCs w:val="21"/>
                <w:lang w:bidi="ar"/>
              </w:rPr>
              <w:t>进度保障计划</w:t>
            </w:r>
            <w:r>
              <w:rPr>
                <w:rFonts w:ascii="宋体" w:hAnsi="宋体" w:eastAsia="宋体" w:cs="宋体"/>
                <w:color w:val="000000"/>
                <w:sz w:val="21"/>
                <w:szCs w:val="21"/>
                <w:lang w:bidi="ar"/>
              </w:rPr>
              <w:t>③</w:t>
            </w:r>
            <w:r>
              <w:rPr>
                <w:rFonts w:hint="eastAsia" w:ascii="宋体" w:hAnsi="宋体" w:eastAsia="宋体" w:cs="宋体"/>
                <w:color w:val="000000"/>
                <w:sz w:val="21"/>
                <w:szCs w:val="21"/>
                <w:lang w:bidi="ar"/>
              </w:rPr>
              <w:t>设备安装调试及验收方案</w:t>
            </w:r>
            <w:r>
              <w:rPr>
                <w:rFonts w:ascii="宋体" w:hAnsi="宋体" w:eastAsia="宋体" w:cs="宋体"/>
                <w:color w:val="000000"/>
                <w:sz w:val="21"/>
                <w:szCs w:val="21"/>
                <w:lang w:bidi="ar"/>
              </w:rPr>
              <w:t>④</w:t>
            </w:r>
            <w:r>
              <w:rPr>
                <w:rFonts w:hint="eastAsia" w:ascii="宋体" w:hAnsi="宋体" w:eastAsia="宋体" w:cs="宋体"/>
                <w:color w:val="000000"/>
                <w:sz w:val="21"/>
                <w:szCs w:val="21"/>
                <w:lang w:bidi="ar"/>
              </w:rPr>
              <w:t>物力调配及保障措施（含施工安全）。</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pPr>
              <w:tabs>
                <w:tab w:val="left" w:pos="547"/>
              </w:tabs>
              <w:autoSpaceDE w:val="0"/>
              <w:autoSpaceDN w:val="0"/>
              <w:adjustRightInd w:val="0"/>
              <w:spacing w:line="380" w:lineRule="exact"/>
              <w:rPr>
                <w:rFonts w:cs="宋体"/>
                <w:sz w:val="21"/>
                <w:szCs w:val="21"/>
              </w:rPr>
            </w:pPr>
            <w:r>
              <w:rPr>
                <w:rFonts w:hint="eastAsia" w:cs="宋体"/>
                <w:sz w:val="21"/>
                <w:szCs w:val="21"/>
              </w:rPr>
              <w:t>1、完整性：方案须全面，对评审内容中的要求有详细描述及说明；</w:t>
            </w:r>
          </w:p>
          <w:p>
            <w:pPr>
              <w:tabs>
                <w:tab w:val="left" w:pos="547"/>
              </w:tabs>
              <w:autoSpaceDE w:val="0"/>
              <w:autoSpaceDN w:val="0"/>
              <w:adjustRightInd w:val="0"/>
              <w:spacing w:line="380" w:lineRule="exact"/>
              <w:rPr>
                <w:rFonts w:cs="宋体"/>
                <w:sz w:val="21"/>
                <w:szCs w:val="21"/>
              </w:rPr>
            </w:pPr>
            <w:r>
              <w:rPr>
                <w:rFonts w:hint="eastAsia" w:cs="宋体"/>
                <w:sz w:val="21"/>
                <w:szCs w:val="21"/>
              </w:rPr>
              <w:t>2、可实施性：切合本项目实际情况，实施步骤清晰、合理；</w:t>
            </w:r>
          </w:p>
          <w:p>
            <w:pPr>
              <w:tabs>
                <w:tab w:val="left" w:pos="547"/>
              </w:tabs>
              <w:autoSpaceDE w:val="0"/>
              <w:autoSpaceDN w:val="0"/>
              <w:adjustRightInd w:val="0"/>
              <w:spacing w:line="380" w:lineRule="exact"/>
              <w:rPr>
                <w:rFonts w:cs="宋体"/>
                <w:sz w:val="21"/>
                <w:szCs w:val="21"/>
              </w:rPr>
            </w:pPr>
            <w:r>
              <w:rPr>
                <w:rFonts w:hint="eastAsia" w:cs="宋体"/>
                <w:sz w:val="21"/>
                <w:szCs w:val="21"/>
              </w:rPr>
              <w:t>3、针对性：方案能够紧扣项目实际情况，内容科学合理。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12</w:t>
            </w:r>
            <w:r>
              <w:rPr>
                <w:rFonts w:hint="eastAsia" w:ascii="仿宋" w:hAnsi="仿宋" w:eastAsia="仿宋" w:cs="仿宋"/>
                <w:b/>
              </w:rPr>
              <w:t>分）</w:t>
            </w:r>
          </w:p>
          <w:p>
            <w:pPr>
              <w:tabs>
                <w:tab w:val="left" w:pos="547"/>
              </w:tabs>
              <w:autoSpaceDE w:val="0"/>
              <w:autoSpaceDN w:val="0"/>
              <w:adjustRightInd w:val="0"/>
              <w:spacing w:line="380" w:lineRule="exact"/>
              <w:rPr>
                <w:rFonts w:cs="宋体"/>
                <w:sz w:val="21"/>
                <w:szCs w:val="21"/>
              </w:rPr>
            </w:pPr>
            <w:r>
              <w:rPr>
                <w:rFonts w:ascii="宋体" w:hAnsi="宋体" w:eastAsia="宋体" w:cs="宋体"/>
                <w:color w:val="000000"/>
                <w:sz w:val="21"/>
                <w:szCs w:val="21"/>
                <w:lang w:bidi="ar"/>
              </w:rPr>
              <w:t>①</w:t>
            </w:r>
            <w:r>
              <w:rPr>
                <w:rFonts w:hint="eastAsia" w:ascii="宋体" w:hAnsi="宋体" w:eastAsia="宋体" w:cs="宋体"/>
                <w:color w:val="000000"/>
                <w:sz w:val="21"/>
                <w:szCs w:val="21"/>
                <w:lang w:bidi="ar"/>
              </w:rPr>
              <w:t>供货组织安排</w:t>
            </w:r>
            <w:r>
              <w:rPr>
                <w:rFonts w:hint="eastAsia" w:cs="宋体"/>
                <w:sz w:val="21"/>
                <w:szCs w:val="21"/>
              </w:rPr>
              <w:t>：每完全满足一项评审标准得</w:t>
            </w:r>
            <w:r>
              <w:rPr>
                <w:rFonts w:cs="宋体"/>
                <w:sz w:val="21"/>
                <w:szCs w:val="21"/>
              </w:rPr>
              <w:t>1</w:t>
            </w:r>
            <w:r>
              <w:rPr>
                <w:rFonts w:hint="eastAsia" w:cs="宋体"/>
                <w:sz w:val="21"/>
                <w:szCs w:val="21"/>
              </w:rPr>
              <w:t>分，满分</w:t>
            </w:r>
            <w:r>
              <w:rPr>
                <w:rFonts w:cs="宋体"/>
                <w:sz w:val="21"/>
                <w:szCs w:val="21"/>
              </w:rPr>
              <w:t>3</w:t>
            </w:r>
            <w:r>
              <w:rPr>
                <w:rFonts w:hint="eastAsia" w:cs="宋体"/>
                <w:sz w:val="21"/>
                <w:szCs w:val="21"/>
              </w:rPr>
              <w:t>分。</w:t>
            </w:r>
            <w:r>
              <w:rPr>
                <w:rFonts w:cs="宋体"/>
                <w:sz w:val="21"/>
                <w:szCs w:val="21"/>
              </w:rPr>
              <w:t xml:space="preserve"> </w:t>
            </w:r>
          </w:p>
          <w:p>
            <w:pPr>
              <w:tabs>
                <w:tab w:val="left" w:pos="547"/>
              </w:tabs>
              <w:autoSpaceDE w:val="0"/>
              <w:autoSpaceDN w:val="0"/>
              <w:adjustRightInd w:val="0"/>
              <w:spacing w:line="380" w:lineRule="exact"/>
              <w:rPr>
                <w:rFonts w:cs="宋体"/>
                <w:sz w:val="21"/>
                <w:szCs w:val="21"/>
              </w:rPr>
            </w:pPr>
            <w:r>
              <w:rPr>
                <w:rFonts w:ascii="宋体" w:hAnsi="宋体" w:eastAsia="宋体" w:cs="宋体"/>
                <w:color w:val="000000"/>
                <w:sz w:val="21"/>
                <w:szCs w:val="21"/>
                <w:lang w:bidi="ar"/>
              </w:rPr>
              <w:t>②</w:t>
            </w:r>
            <w:r>
              <w:rPr>
                <w:rFonts w:hint="eastAsia" w:ascii="宋体" w:hAnsi="宋体" w:eastAsia="宋体" w:cs="宋体"/>
                <w:color w:val="000000"/>
                <w:sz w:val="21"/>
                <w:szCs w:val="21"/>
                <w:lang w:bidi="ar"/>
              </w:rPr>
              <w:t>进度保障计划</w:t>
            </w:r>
            <w:r>
              <w:rPr>
                <w:rFonts w:hint="eastAsia" w:cs="宋体"/>
                <w:sz w:val="21"/>
                <w:szCs w:val="21"/>
              </w:rPr>
              <w:t>: 每完全满足一项评审标准得</w:t>
            </w:r>
            <w:r>
              <w:rPr>
                <w:rFonts w:cs="宋体"/>
                <w:sz w:val="21"/>
                <w:szCs w:val="21"/>
              </w:rPr>
              <w:t>1</w:t>
            </w:r>
            <w:r>
              <w:rPr>
                <w:rFonts w:hint="eastAsia" w:cs="宋体"/>
                <w:sz w:val="21"/>
                <w:szCs w:val="21"/>
              </w:rPr>
              <w:t>分，满分</w:t>
            </w:r>
            <w:r>
              <w:rPr>
                <w:rFonts w:cs="宋体"/>
                <w:sz w:val="21"/>
                <w:szCs w:val="21"/>
              </w:rPr>
              <w:t>3</w:t>
            </w:r>
            <w:r>
              <w:rPr>
                <w:rFonts w:hint="eastAsia" w:cs="宋体"/>
                <w:sz w:val="21"/>
                <w:szCs w:val="21"/>
              </w:rPr>
              <w:t>分</w:t>
            </w:r>
          </w:p>
          <w:p>
            <w:pPr>
              <w:tabs>
                <w:tab w:val="left" w:pos="547"/>
              </w:tabs>
              <w:autoSpaceDE w:val="0"/>
              <w:autoSpaceDN w:val="0"/>
              <w:adjustRightInd w:val="0"/>
              <w:spacing w:line="380" w:lineRule="exact"/>
              <w:rPr>
                <w:rFonts w:ascii="宋体" w:hAnsi="宋体" w:eastAsia="宋体" w:cs="宋体"/>
                <w:color w:val="000000"/>
                <w:sz w:val="21"/>
                <w:szCs w:val="21"/>
                <w:lang w:bidi="ar"/>
              </w:rPr>
            </w:pPr>
            <w:r>
              <w:rPr>
                <w:rFonts w:ascii="宋体" w:hAnsi="宋体" w:eastAsia="宋体" w:cs="宋体"/>
                <w:color w:val="000000"/>
                <w:sz w:val="21"/>
                <w:szCs w:val="21"/>
                <w:lang w:bidi="ar"/>
              </w:rPr>
              <w:t>③</w:t>
            </w:r>
            <w:r>
              <w:rPr>
                <w:rFonts w:hint="eastAsia" w:ascii="宋体" w:hAnsi="宋体" w:eastAsia="宋体" w:cs="宋体"/>
                <w:color w:val="000000"/>
                <w:sz w:val="21"/>
                <w:szCs w:val="21"/>
                <w:lang w:bidi="ar"/>
              </w:rPr>
              <w:t>设备安装调试及验收方案</w:t>
            </w:r>
            <w:r>
              <w:rPr>
                <w:rFonts w:hint="eastAsia" w:cs="宋体"/>
                <w:sz w:val="21"/>
                <w:szCs w:val="21"/>
              </w:rPr>
              <w:t>：每完全满足一项评审标准得</w:t>
            </w:r>
            <w:r>
              <w:rPr>
                <w:rFonts w:cs="宋体"/>
                <w:sz w:val="21"/>
                <w:szCs w:val="21"/>
              </w:rPr>
              <w:t>1</w:t>
            </w:r>
            <w:r>
              <w:rPr>
                <w:rFonts w:hint="eastAsia" w:cs="宋体"/>
                <w:sz w:val="21"/>
                <w:szCs w:val="21"/>
              </w:rPr>
              <w:t>分，满分</w:t>
            </w:r>
            <w:r>
              <w:rPr>
                <w:rFonts w:cs="宋体"/>
                <w:sz w:val="21"/>
                <w:szCs w:val="21"/>
              </w:rPr>
              <w:t>3</w:t>
            </w:r>
            <w:r>
              <w:rPr>
                <w:rFonts w:hint="eastAsia" w:cs="宋体"/>
                <w:sz w:val="21"/>
                <w:szCs w:val="21"/>
              </w:rPr>
              <w:t>分。</w:t>
            </w:r>
          </w:p>
          <w:p>
            <w:pPr>
              <w:tabs>
                <w:tab w:val="left" w:pos="547"/>
              </w:tabs>
              <w:autoSpaceDE w:val="0"/>
              <w:autoSpaceDN w:val="0"/>
              <w:adjustRightInd w:val="0"/>
              <w:spacing w:line="380" w:lineRule="exact"/>
              <w:rPr>
                <w:rFonts w:cs="宋体"/>
                <w:sz w:val="21"/>
                <w:szCs w:val="21"/>
              </w:rPr>
            </w:pPr>
            <w:r>
              <w:rPr>
                <w:rFonts w:ascii="宋体" w:hAnsi="宋体" w:eastAsia="宋体" w:cs="宋体"/>
                <w:color w:val="000000"/>
                <w:sz w:val="21"/>
                <w:szCs w:val="21"/>
                <w:lang w:bidi="ar"/>
              </w:rPr>
              <w:t>④</w:t>
            </w:r>
            <w:r>
              <w:rPr>
                <w:rFonts w:hint="eastAsia" w:ascii="宋体" w:hAnsi="宋体" w:eastAsia="宋体" w:cs="宋体"/>
                <w:color w:val="000000"/>
                <w:sz w:val="21"/>
                <w:szCs w:val="21"/>
                <w:lang w:bidi="ar"/>
              </w:rPr>
              <w:t>物力调配及保障措施（含施工安全）</w:t>
            </w:r>
            <w:r>
              <w:rPr>
                <w:rFonts w:hint="eastAsia" w:cs="宋体"/>
                <w:sz w:val="21"/>
                <w:szCs w:val="21"/>
              </w:rPr>
              <w:t>：每完全满足一项评审标准得</w:t>
            </w:r>
            <w:r>
              <w:rPr>
                <w:rFonts w:cs="宋体"/>
                <w:sz w:val="21"/>
                <w:szCs w:val="21"/>
              </w:rPr>
              <w:t>1</w:t>
            </w:r>
            <w:r>
              <w:rPr>
                <w:rFonts w:hint="eastAsia" w:cs="宋体"/>
                <w:sz w:val="21"/>
                <w:szCs w:val="21"/>
              </w:rPr>
              <w:t>分，满分</w:t>
            </w:r>
            <w:r>
              <w:rPr>
                <w:rFonts w:cs="宋体"/>
                <w:sz w:val="21"/>
                <w:szCs w:val="21"/>
              </w:rPr>
              <w:t>3</w:t>
            </w:r>
            <w:r>
              <w:rPr>
                <w:rFonts w:hint="eastAsia" w:cs="宋体"/>
                <w:sz w:val="21"/>
                <w:szCs w:val="21"/>
              </w:rPr>
              <w:t>分。</w:t>
            </w:r>
          </w:p>
        </w:tc>
        <w:tc>
          <w:tcPr>
            <w:tcW w:w="1418" w:type="dxa"/>
            <w:vMerge w:val="restart"/>
            <w:shd w:val="clear" w:color="auto" w:fill="auto"/>
            <w:vAlign w:val="center"/>
          </w:tcPr>
          <w:p>
            <w:pPr>
              <w:spacing w:line="320" w:lineRule="exact"/>
              <w:rPr>
                <w:rFonts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9</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售后服务方案：</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pPr>
              <w:tabs>
                <w:tab w:val="left" w:pos="547"/>
              </w:tabs>
              <w:spacing w:line="320" w:lineRule="exact"/>
              <w:ind w:firstLine="420"/>
              <w:rPr>
                <w:rFonts w:cs="宋体"/>
                <w:sz w:val="21"/>
                <w:szCs w:val="21"/>
              </w:rPr>
            </w:pPr>
            <w:r>
              <w:rPr>
                <w:rFonts w:hint="eastAsia" w:ascii="宋体" w:hAnsi="宋体" w:eastAsia="宋体" w:cs="宋体"/>
                <w:color w:val="000000"/>
                <w:sz w:val="21"/>
                <w:szCs w:val="21"/>
                <w:lang w:bidi="ar"/>
              </w:rPr>
              <w:t>提出针对于本项目的售后服务方案，方案内容包含①故障响应方案②出现质量问题时的补救措施③备品备件及系统巡检方案。</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pPr>
              <w:tabs>
                <w:tab w:val="left" w:pos="547"/>
              </w:tabs>
              <w:spacing w:line="320" w:lineRule="exact"/>
              <w:ind w:firstLine="420"/>
              <w:rPr>
                <w:rFonts w:cs="宋体"/>
                <w:sz w:val="21"/>
                <w:szCs w:val="21"/>
              </w:rPr>
            </w:pPr>
            <w:r>
              <w:rPr>
                <w:rFonts w:hint="eastAsia" w:cs="宋体"/>
                <w:sz w:val="21"/>
                <w:szCs w:val="21"/>
              </w:rPr>
              <w:t>1.完整性：方案须全面，对评审内容中的各项要求有详细描述及说明；</w:t>
            </w:r>
          </w:p>
          <w:p>
            <w:pPr>
              <w:tabs>
                <w:tab w:val="left" w:pos="547"/>
              </w:tabs>
              <w:spacing w:line="320" w:lineRule="exact"/>
              <w:ind w:firstLine="420"/>
              <w:rPr>
                <w:rFonts w:cs="宋体"/>
                <w:sz w:val="21"/>
                <w:szCs w:val="21"/>
              </w:rPr>
            </w:pPr>
            <w:r>
              <w:rPr>
                <w:rFonts w:hint="eastAsia" w:cs="宋体"/>
                <w:sz w:val="21"/>
                <w:szCs w:val="21"/>
              </w:rPr>
              <w:t>2.可实施性：切合本项目实际情况，实施步骤清晰、合理；</w:t>
            </w:r>
          </w:p>
          <w:p>
            <w:pPr>
              <w:tabs>
                <w:tab w:val="left" w:pos="547"/>
              </w:tabs>
              <w:spacing w:line="320" w:lineRule="exact"/>
              <w:ind w:firstLine="420"/>
              <w:rPr>
                <w:rFonts w:cs="宋体"/>
                <w:sz w:val="21"/>
                <w:szCs w:val="21"/>
              </w:rPr>
            </w:pPr>
            <w:r>
              <w:rPr>
                <w:rFonts w:hint="eastAsia" w:cs="宋体"/>
                <w:sz w:val="21"/>
                <w:szCs w:val="21"/>
              </w:rPr>
              <w:t>3.针对性：方案能够紧扣项目实际情况，内容科学合理；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9</w:t>
            </w:r>
            <w:r>
              <w:rPr>
                <w:rFonts w:hint="eastAsia" w:ascii="仿宋" w:hAnsi="仿宋" w:eastAsia="仿宋" w:cs="仿宋"/>
                <w:b/>
              </w:rPr>
              <w:t>分）</w:t>
            </w:r>
          </w:p>
          <w:p>
            <w:pPr>
              <w:tabs>
                <w:tab w:val="left" w:pos="547"/>
              </w:tabs>
              <w:autoSpaceDE w:val="0"/>
              <w:autoSpaceDN w:val="0"/>
              <w:adjustRightInd w:val="0"/>
              <w:spacing w:line="380" w:lineRule="exact"/>
              <w:ind w:firstLine="420" w:firstLineChars="200"/>
              <w:rPr>
                <w:rFonts w:ascii="宋体" w:hAnsi="宋体" w:eastAsia="宋体" w:cs="宋体"/>
                <w:color w:val="000000"/>
                <w:sz w:val="21"/>
                <w:szCs w:val="21"/>
                <w:lang w:bidi="ar"/>
              </w:rPr>
            </w:pPr>
            <w:r>
              <w:rPr>
                <w:rFonts w:hint="eastAsia" w:ascii="宋体" w:hAnsi="宋体" w:eastAsia="宋体" w:cs="宋体"/>
                <w:color w:val="000000"/>
                <w:sz w:val="21"/>
                <w:szCs w:val="21"/>
                <w:lang w:bidi="ar"/>
              </w:rPr>
              <w:t>①故障响应方案：每完全满足一项评审标准得</w:t>
            </w:r>
            <w:r>
              <w:rPr>
                <w:rFonts w:ascii="宋体" w:hAnsi="宋体" w:eastAsia="宋体" w:cs="宋体"/>
                <w:color w:val="000000"/>
                <w:sz w:val="21"/>
                <w:szCs w:val="21"/>
                <w:lang w:bidi="ar"/>
              </w:rPr>
              <w:t>1</w:t>
            </w:r>
            <w:r>
              <w:rPr>
                <w:rFonts w:hint="eastAsia" w:ascii="宋体" w:hAnsi="宋体" w:eastAsia="宋体" w:cs="宋体"/>
                <w:color w:val="000000"/>
                <w:sz w:val="21"/>
                <w:szCs w:val="21"/>
                <w:lang w:bidi="ar"/>
              </w:rPr>
              <w:t>分，满分</w:t>
            </w:r>
            <w:r>
              <w:rPr>
                <w:rFonts w:ascii="宋体" w:hAnsi="宋体" w:eastAsia="宋体" w:cs="宋体"/>
                <w:color w:val="000000"/>
                <w:sz w:val="21"/>
                <w:szCs w:val="21"/>
                <w:lang w:bidi="ar"/>
              </w:rPr>
              <w:t>3分</w:t>
            </w:r>
            <w:r>
              <w:rPr>
                <w:rFonts w:hint="eastAsia" w:ascii="宋体" w:hAnsi="宋体" w:eastAsia="宋体" w:cs="宋体"/>
                <w:color w:val="000000"/>
                <w:sz w:val="21"/>
                <w:szCs w:val="21"/>
                <w:lang w:bidi="ar"/>
              </w:rPr>
              <w:t>。</w:t>
            </w:r>
          </w:p>
          <w:p>
            <w:pPr>
              <w:tabs>
                <w:tab w:val="left" w:pos="547"/>
              </w:tabs>
              <w:autoSpaceDE w:val="0"/>
              <w:autoSpaceDN w:val="0"/>
              <w:adjustRightInd w:val="0"/>
              <w:spacing w:line="380" w:lineRule="exact"/>
              <w:ind w:firstLine="420" w:firstLineChars="200"/>
              <w:rPr>
                <w:rFonts w:cs="宋体"/>
                <w:sz w:val="21"/>
                <w:szCs w:val="21"/>
              </w:rPr>
            </w:pPr>
            <w:r>
              <w:rPr>
                <w:rFonts w:hint="eastAsia" w:ascii="宋体" w:hAnsi="宋体" w:eastAsia="宋体" w:cs="宋体"/>
                <w:color w:val="000000"/>
                <w:sz w:val="21"/>
                <w:szCs w:val="21"/>
                <w:lang w:bidi="ar"/>
              </w:rPr>
              <w:t>②出现质量问题时的补救措施</w:t>
            </w:r>
            <w:r>
              <w:rPr>
                <w:rFonts w:hint="eastAsia" w:cs="宋体"/>
                <w:sz w:val="21"/>
                <w:szCs w:val="21"/>
              </w:rPr>
              <w:t>：</w:t>
            </w:r>
            <w:r>
              <w:rPr>
                <w:rFonts w:hint="eastAsia" w:ascii="宋体" w:hAnsi="宋体" w:eastAsia="宋体" w:cs="宋体"/>
                <w:color w:val="000000"/>
                <w:sz w:val="21"/>
                <w:szCs w:val="21"/>
                <w:lang w:bidi="ar"/>
              </w:rPr>
              <w:t>每完全满足一项评审标准得</w:t>
            </w:r>
            <w:r>
              <w:rPr>
                <w:rFonts w:ascii="宋体" w:hAnsi="宋体" w:eastAsia="宋体" w:cs="宋体"/>
                <w:color w:val="000000"/>
                <w:sz w:val="21"/>
                <w:szCs w:val="21"/>
                <w:lang w:bidi="ar"/>
              </w:rPr>
              <w:t>1</w:t>
            </w:r>
            <w:r>
              <w:rPr>
                <w:rFonts w:hint="eastAsia" w:ascii="宋体" w:hAnsi="宋体" w:eastAsia="宋体" w:cs="宋体"/>
                <w:color w:val="000000"/>
                <w:sz w:val="21"/>
                <w:szCs w:val="21"/>
                <w:lang w:bidi="ar"/>
              </w:rPr>
              <w:t>分，满分</w:t>
            </w:r>
            <w:r>
              <w:rPr>
                <w:rFonts w:ascii="宋体" w:hAnsi="宋体" w:eastAsia="宋体" w:cs="宋体"/>
                <w:color w:val="000000"/>
                <w:sz w:val="21"/>
                <w:szCs w:val="21"/>
                <w:lang w:bidi="ar"/>
              </w:rPr>
              <w:t>3分</w:t>
            </w:r>
            <w:r>
              <w:rPr>
                <w:rFonts w:hint="eastAsia" w:ascii="宋体" w:hAnsi="宋体" w:eastAsia="宋体" w:cs="宋体"/>
                <w:color w:val="000000"/>
                <w:sz w:val="21"/>
                <w:szCs w:val="21"/>
                <w:lang w:bidi="ar"/>
              </w:rPr>
              <w:t>。</w:t>
            </w:r>
          </w:p>
          <w:p>
            <w:pPr>
              <w:tabs>
                <w:tab w:val="left" w:pos="547"/>
              </w:tabs>
              <w:autoSpaceDE w:val="0"/>
              <w:autoSpaceDN w:val="0"/>
              <w:adjustRightInd w:val="0"/>
              <w:spacing w:line="380" w:lineRule="exact"/>
              <w:ind w:firstLine="420" w:firstLineChars="200"/>
              <w:rPr>
                <w:rFonts w:cs="Calibri"/>
                <w:b/>
                <w:color w:val="C00000"/>
                <w:kern w:val="2"/>
                <w:sz w:val="21"/>
                <w:szCs w:val="21"/>
              </w:rPr>
            </w:pPr>
            <w:r>
              <w:rPr>
                <w:rFonts w:hint="eastAsia" w:ascii="宋体" w:hAnsi="宋体" w:eastAsia="宋体" w:cs="宋体"/>
                <w:color w:val="000000"/>
                <w:sz w:val="21"/>
                <w:szCs w:val="21"/>
                <w:lang w:bidi="ar"/>
              </w:rPr>
              <w:t>③备品备件及系统巡检方案</w:t>
            </w:r>
            <w:r>
              <w:rPr>
                <w:rFonts w:hint="eastAsia" w:cs="宋体"/>
                <w:sz w:val="21"/>
                <w:szCs w:val="21"/>
              </w:rPr>
              <w:t>：</w:t>
            </w:r>
            <w:r>
              <w:rPr>
                <w:rFonts w:hint="eastAsia" w:ascii="宋体" w:hAnsi="宋体" w:eastAsia="宋体" w:cs="宋体"/>
                <w:color w:val="000000"/>
                <w:sz w:val="21"/>
                <w:szCs w:val="21"/>
                <w:lang w:bidi="ar"/>
              </w:rPr>
              <w:t>每完全满足一项评审标准得</w:t>
            </w:r>
            <w:r>
              <w:rPr>
                <w:rFonts w:ascii="宋体" w:hAnsi="宋体" w:eastAsia="宋体" w:cs="宋体"/>
                <w:color w:val="000000"/>
                <w:sz w:val="21"/>
                <w:szCs w:val="21"/>
                <w:lang w:bidi="ar"/>
              </w:rPr>
              <w:t>1</w:t>
            </w:r>
            <w:r>
              <w:rPr>
                <w:rFonts w:hint="eastAsia" w:ascii="宋体" w:hAnsi="宋体" w:eastAsia="宋体" w:cs="宋体"/>
                <w:color w:val="000000"/>
                <w:sz w:val="21"/>
                <w:szCs w:val="21"/>
                <w:lang w:bidi="ar"/>
              </w:rPr>
              <w:t>分，满分</w:t>
            </w:r>
            <w:r>
              <w:rPr>
                <w:rFonts w:ascii="宋体" w:hAnsi="宋体" w:eastAsia="宋体" w:cs="宋体"/>
                <w:color w:val="000000"/>
                <w:sz w:val="21"/>
                <w:szCs w:val="21"/>
                <w:lang w:bidi="ar"/>
              </w:rPr>
              <w:t>3分</w:t>
            </w:r>
            <w:r>
              <w:rPr>
                <w:rFonts w:hint="eastAsia" w:ascii="宋体" w:hAnsi="宋体" w:eastAsia="宋体" w:cs="宋体"/>
                <w:color w:val="000000"/>
                <w:sz w:val="21"/>
                <w:szCs w:val="21"/>
                <w:lang w:bidi="ar"/>
              </w:rPr>
              <w:t>。</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hint="eastAsia" w:cs="宋体"/>
                <w:bCs/>
                <w:sz w:val="21"/>
                <w:szCs w:val="21"/>
              </w:rPr>
              <w:t>6</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产品</w:t>
            </w:r>
            <w:r>
              <w:rPr>
                <w:rFonts w:cs="Calibri"/>
                <w:b/>
                <w:color w:val="C00000"/>
                <w:kern w:val="2"/>
                <w:sz w:val="21"/>
                <w:szCs w:val="21"/>
              </w:rPr>
              <w:t>选型方案</w:t>
            </w:r>
            <w:r>
              <w:rPr>
                <w:rFonts w:hint="eastAsia" w:cs="Calibri"/>
                <w:b/>
                <w:color w:val="C00000"/>
                <w:kern w:val="2"/>
                <w:sz w:val="21"/>
                <w:szCs w:val="21"/>
              </w:rPr>
              <w:t>（6分）：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pPr>
              <w:spacing w:line="320" w:lineRule="exact"/>
              <w:ind w:firstLine="420" w:firstLineChars="200"/>
              <w:rPr>
                <w:rFonts w:cs="宋体"/>
                <w:sz w:val="21"/>
                <w:szCs w:val="21"/>
              </w:rPr>
            </w:pPr>
            <w:r>
              <w:rPr>
                <w:rFonts w:hint="eastAsia" w:cs="宋体"/>
                <w:sz w:val="21"/>
                <w:szCs w:val="21"/>
              </w:rPr>
              <w:t>提出针对于本项目的技术方案，方案内容包含</w:t>
            </w:r>
            <w:r>
              <w:rPr>
                <w:rFonts w:cs="宋体"/>
                <w:sz w:val="21"/>
                <w:szCs w:val="21"/>
              </w:rPr>
              <w:t>①</w:t>
            </w:r>
            <w:r>
              <w:rPr>
                <w:rFonts w:hint="eastAsia" w:cs="宋体"/>
                <w:sz w:val="21"/>
                <w:szCs w:val="21"/>
              </w:rPr>
              <w:t>产品选型方案</w:t>
            </w:r>
            <w:r>
              <w:rPr>
                <w:rFonts w:cs="宋体"/>
                <w:sz w:val="21"/>
                <w:szCs w:val="21"/>
              </w:rPr>
              <w:t>②</w:t>
            </w:r>
            <w:r>
              <w:rPr>
                <w:rFonts w:hint="eastAsia" w:cs="宋体"/>
                <w:sz w:val="21"/>
                <w:szCs w:val="21"/>
              </w:rPr>
              <w:t>功能描述。</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6</w:t>
            </w:r>
            <w:r>
              <w:rPr>
                <w:rFonts w:hint="eastAsia" w:ascii="仿宋" w:hAnsi="仿宋" w:eastAsia="仿宋" w:cs="仿宋"/>
                <w:b/>
              </w:rPr>
              <w:t>分）</w:t>
            </w:r>
          </w:p>
          <w:p>
            <w:pPr>
              <w:spacing w:line="320" w:lineRule="exact"/>
              <w:ind w:firstLine="420" w:firstLineChars="200"/>
              <w:rPr>
                <w:rFonts w:cs="宋体"/>
                <w:sz w:val="21"/>
                <w:szCs w:val="21"/>
              </w:rPr>
            </w:pPr>
            <w:r>
              <w:rPr>
                <w:rFonts w:cs="宋体"/>
                <w:sz w:val="21"/>
                <w:szCs w:val="21"/>
              </w:rPr>
              <w:t>①</w:t>
            </w:r>
            <w:r>
              <w:rPr>
                <w:rFonts w:hint="eastAsia" w:cs="宋体"/>
                <w:sz w:val="21"/>
                <w:szCs w:val="21"/>
              </w:rPr>
              <w:t>产品选型方案：每完全满足一项评审标准得</w:t>
            </w:r>
            <w:r>
              <w:rPr>
                <w:rFonts w:cs="宋体"/>
                <w:sz w:val="21"/>
                <w:szCs w:val="21"/>
              </w:rPr>
              <w:t>1</w:t>
            </w:r>
            <w:r>
              <w:rPr>
                <w:rFonts w:hint="eastAsia" w:cs="宋体"/>
                <w:sz w:val="21"/>
                <w:szCs w:val="21"/>
              </w:rPr>
              <w:t>分，满分</w:t>
            </w:r>
            <w:r>
              <w:rPr>
                <w:rFonts w:cs="宋体"/>
                <w:sz w:val="21"/>
                <w:szCs w:val="21"/>
              </w:rPr>
              <w:t>3</w:t>
            </w:r>
            <w:r>
              <w:rPr>
                <w:rFonts w:hint="eastAsia" w:cs="宋体"/>
                <w:sz w:val="21"/>
                <w:szCs w:val="21"/>
              </w:rPr>
              <w:t>分；</w:t>
            </w:r>
          </w:p>
          <w:p>
            <w:pPr>
              <w:spacing w:line="320" w:lineRule="exact"/>
              <w:ind w:firstLine="420" w:firstLineChars="200"/>
              <w:rPr>
                <w:rFonts w:cs="宋体"/>
                <w:sz w:val="21"/>
                <w:szCs w:val="21"/>
              </w:rPr>
            </w:pPr>
            <w:r>
              <w:rPr>
                <w:rFonts w:cs="宋体"/>
                <w:sz w:val="21"/>
                <w:szCs w:val="21"/>
              </w:rPr>
              <w:t>②</w:t>
            </w:r>
            <w:r>
              <w:rPr>
                <w:rFonts w:hint="eastAsia" w:cs="宋体"/>
                <w:sz w:val="21"/>
                <w:szCs w:val="21"/>
              </w:rPr>
              <w:t>功能描述：每完全满足一项评审标准得</w:t>
            </w:r>
            <w:r>
              <w:rPr>
                <w:rFonts w:cs="宋体"/>
                <w:sz w:val="21"/>
                <w:szCs w:val="21"/>
              </w:rPr>
              <w:t>1</w:t>
            </w:r>
            <w:r>
              <w:rPr>
                <w:rFonts w:hint="eastAsia" w:cs="宋体"/>
                <w:sz w:val="21"/>
                <w:szCs w:val="21"/>
              </w:rPr>
              <w:t>分，满分</w:t>
            </w:r>
            <w:r>
              <w:rPr>
                <w:rFonts w:cs="宋体"/>
                <w:sz w:val="21"/>
                <w:szCs w:val="21"/>
              </w:rPr>
              <w:t>3</w:t>
            </w:r>
            <w:r>
              <w:rPr>
                <w:rFonts w:hint="eastAsia" w:cs="宋体"/>
                <w:sz w:val="21"/>
                <w:szCs w:val="21"/>
              </w:rPr>
              <w:t>分。</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11</w:t>
            </w:r>
          </w:p>
        </w:tc>
        <w:tc>
          <w:tcPr>
            <w:tcW w:w="5809" w:type="dxa"/>
            <w:tcBorders>
              <w:top w:val="single" w:color="auto" w:sz="2" w:space="0"/>
            </w:tcBorders>
            <w:shd w:val="clear" w:color="auto" w:fill="auto"/>
            <w:vAlign w:val="center"/>
          </w:tcPr>
          <w:p>
            <w:pPr>
              <w:spacing w:line="320" w:lineRule="exact"/>
              <w:ind w:firstLine="420" w:firstLineChars="200"/>
              <w:rPr>
                <w:rFonts w:ascii="宋体" w:hAnsi="宋体" w:eastAsia="宋体" w:cs="宋体"/>
                <w:color w:val="000000"/>
                <w:sz w:val="21"/>
                <w:szCs w:val="21"/>
                <w:lang w:bidi="ar"/>
              </w:rPr>
            </w:pPr>
            <w:r>
              <w:rPr>
                <w:rFonts w:hint="eastAsia" w:ascii="宋体" w:hAnsi="宋体" w:eastAsia="宋体" w:cs="宋体"/>
                <w:b/>
                <w:bCs/>
                <w:color w:val="C00000"/>
                <w:sz w:val="21"/>
                <w:szCs w:val="21"/>
                <w:lang w:bidi="ar"/>
              </w:rPr>
              <w:t>技术参数：</w:t>
            </w:r>
          </w:p>
          <w:p>
            <w:pPr>
              <w:spacing w:line="320" w:lineRule="exact"/>
              <w:ind w:firstLine="420" w:firstLineChars="200"/>
              <w:rPr>
                <w:rFonts w:cs="Calibri"/>
                <w:b/>
                <w:color w:val="C00000"/>
                <w:kern w:val="2"/>
                <w:sz w:val="21"/>
                <w:szCs w:val="21"/>
              </w:rPr>
            </w:pPr>
            <w:r>
              <w:rPr>
                <w:rFonts w:hint="eastAsia" w:ascii="宋体" w:hAnsi="宋体" w:eastAsia="宋体" w:cs="宋体"/>
                <w:color w:val="000000"/>
                <w:sz w:val="21"/>
                <w:szCs w:val="21"/>
                <w:lang w:bidi="ar"/>
              </w:rPr>
              <w:t>投标产品技术参数应清晰、明确，并提供技术支持资料或文件。技术参数全部满足招标要求得</w:t>
            </w:r>
            <w:r>
              <w:rPr>
                <w:rFonts w:ascii="宋体" w:hAnsi="宋体" w:eastAsia="宋体" w:cs="宋体"/>
                <w:color w:val="000000"/>
                <w:sz w:val="21"/>
                <w:szCs w:val="21"/>
                <w:lang w:bidi="ar"/>
              </w:rPr>
              <w:t>11</w:t>
            </w:r>
            <w:r>
              <w:rPr>
                <w:rFonts w:hint="eastAsia" w:ascii="宋体" w:hAnsi="宋体" w:eastAsia="宋体" w:cs="宋体"/>
                <w:color w:val="000000"/>
                <w:sz w:val="21"/>
                <w:szCs w:val="21"/>
                <w:lang w:bidi="ar"/>
              </w:rPr>
              <w:t>分，每偏离一项扣</w:t>
            </w:r>
            <w:r>
              <w:rPr>
                <w:rFonts w:ascii="宋体" w:hAnsi="宋体" w:eastAsia="宋体" w:cs="宋体"/>
                <w:color w:val="000000"/>
                <w:sz w:val="21"/>
                <w:szCs w:val="21"/>
                <w:lang w:bidi="ar"/>
              </w:rPr>
              <w:t>1</w:t>
            </w:r>
            <w:r>
              <w:rPr>
                <w:rFonts w:hint="eastAsia" w:ascii="宋体" w:hAnsi="宋体" w:eastAsia="宋体" w:cs="宋体"/>
                <w:color w:val="000000"/>
                <w:sz w:val="21"/>
                <w:szCs w:val="21"/>
                <w:lang w:bidi="ar"/>
              </w:rPr>
              <w:t>分，扣完为止。</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pPr>
              <w:spacing w:line="320" w:lineRule="exact"/>
              <w:jc w:val="center"/>
              <w:rPr>
                <w:rFonts w:cs="宋体"/>
                <w:bCs/>
                <w:sz w:val="21"/>
                <w:szCs w:val="21"/>
              </w:rPr>
            </w:pPr>
            <w:r>
              <w:rPr>
                <w:rFonts w:cs="宋体"/>
                <w:bCs/>
                <w:sz w:val="21"/>
                <w:szCs w:val="21"/>
              </w:rPr>
              <w:t>商务</w:t>
            </w:r>
          </w:p>
          <w:p>
            <w:pPr>
              <w:spacing w:line="320" w:lineRule="exact"/>
              <w:jc w:val="center"/>
              <w:rPr>
                <w:rFonts w:cs="宋体"/>
                <w:bCs/>
                <w:sz w:val="21"/>
                <w:szCs w:val="21"/>
              </w:rPr>
            </w:pPr>
            <w:r>
              <w:rPr>
                <w:rFonts w:cs="宋体"/>
                <w:bCs/>
                <w:sz w:val="21"/>
                <w:szCs w:val="21"/>
              </w:rPr>
              <w:t>部分</w:t>
            </w:r>
          </w:p>
        </w:tc>
        <w:tc>
          <w:tcPr>
            <w:tcW w:w="640" w:type="dxa"/>
            <w:vMerge w:val="restart"/>
            <w:shd w:val="clear" w:color="auto" w:fill="auto"/>
            <w:vAlign w:val="center"/>
          </w:tcPr>
          <w:p>
            <w:pPr>
              <w:spacing w:line="320" w:lineRule="exact"/>
              <w:jc w:val="center"/>
              <w:rPr>
                <w:rFonts w:cs="宋体"/>
                <w:bCs/>
                <w:sz w:val="21"/>
                <w:szCs w:val="21"/>
              </w:rPr>
            </w:pPr>
            <w:r>
              <w:rPr>
                <w:rFonts w:cs="宋体"/>
                <w:bCs/>
                <w:sz w:val="21"/>
                <w:szCs w:val="21"/>
              </w:rPr>
              <w:t>32</w:t>
            </w: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5</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供货渠道：</w:t>
            </w:r>
          </w:p>
          <w:p>
            <w:pPr>
              <w:spacing w:line="320" w:lineRule="exact"/>
              <w:ind w:firstLine="420" w:firstLineChars="200"/>
              <w:rPr>
                <w:rFonts w:cs="Calibri"/>
                <w:b/>
                <w:color w:val="C00000"/>
                <w:kern w:val="2"/>
                <w:sz w:val="21"/>
                <w:szCs w:val="21"/>
              </w:rPr>
            </w:pPr>
            <w:r>
              <w:rPr>
                <w:rFonts w:hint="eastAsia" w:ascii="宋体" w:hAnsi="宋体" w:eastAsia="宋体" w:cs="宋体"/>
                <w:color w:val="000000"/>
                <w:sz w:val="21"/>
                <w:szCs w:val="21"/>
                <w:lang w:bidi="ar"/>
              </w:rPr>
              <w:t>投标供应商提供核心产品货源渠道、产地及制造商的相关证明材料（提供销售协议或代理协议或原厂授权），得</w:t>
            </w:r>
            <w:r>
              <w:rPr>
                <w:rFonts w:ascii="宋体" w:hAnsi="宋体" w:eastAsia="宋体" w:cs="宋体"/>
                <w:color w:val="000000"/>
                <w:sz w:val="21"/>
                <w:szCs w:val="21"/>
                <w:lang w:bidi="ar"/>
              </w:rPr>
              <w:t>5</w:t>
            </w:r>
            <w:r>
              <w:rPr>
                <w:rFonts w:hint="eastAsia" w:ascii="宋体" w:hAnsi="宋体" w:eastAsia="宋体" w:cs="宋体"/>
                <w:color w:val="000000"/>
                <w:sz w:val="21"/>
                <w:szCs w:val="21"/>
                <w:lang w:bidi="ar"/>
              </w:rPr>
              <w:t>分。未提供来源渠道证明文件的不计分。</w:t>
            </w:r>
          </w:p>
        </w:tc>
        <w:tc>
          <w:tcPr>
            <w:tcW w:w="1418" w:type="dxa"/>
            <w:vMerge w:val="restart"/>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12</w:t>
            </w:r>
          </w:p>
        </w:tc>
        <w:tc>
          <w:tcPr>
            <w:tcW w:w="5809" w:type="dxa"/>
            <w:tcBorders>
              <w:top w:val="single" w:color="auto" w:sz="2" w:space="0"/>
            </w:tcBorders>
            <w:shd w:val="clear" w:color="auto" w:fill="auto"/>
            <w:vAlign w:val="center"/>
          </w:tcPr>
          <w:p>
            <w:pPr>
              <w:spacing w:line="320" w:lineRule="exact"/>
              <w:ind w:firstLine="420" w:firstLineChars="200"/>
              <w:rPr>
                <w:rFonts w:cs="Calibri"/>
                <w:b/>
                <w:color w:val="C00000"/>
                <w:kern w:val="2"/>
                <w:sz w:val="21"/>
                <w:szCs w:val="21"/>
              </w:rPr>
            </w:pPr>
            <w:r>
              <w:rPr>
                <w:rFonts w:hint="eastAsia" w:cs="Calibri"/>
                <w:b/>
                <w:color w:val="C00000"/>
                <w:kern w:val="2"/>
                <w:sz w:val="21"/>
                <w:szCs w:val="21"/>
              </w:rPr>
              <w:t>技术服务</w:t>
            </w:r>
            <w:r>
              <w:rPr>
                <w:rFonts w:cs="Calibri"/>
                <w:b/>
                <w:color w:val="C00000"/>
                <w:kern w:val="2"/>
                <w:sz w:val="21"/>
                <w:szCs w:val="21"/>
              </w:rPr>
              <w:t>团队</w:t>
            </w:r>
            <w:r>
              <w:rPr>
                <w:rFonts w:hint="eastAsia" w:cs="Calibri"/>
                <w:b/>
                <w:color w:val="C00000"/>
                <w:kern w:val="2"/>
                <w:sz w:val="21"/>
                <w:szCs w:val="21"/>
              </w:rPr>
              <w:t>：</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一、评审内容</w:t>
            </w:r>
          </w:p>
          <w:p>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提出针对于本项目的技术服务团队方案，方案内容包含①技术服务团队人员架构②技术服务团队人员配置及职能分工。</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二、评审标准</w:t>
            </w:r>
          </w:p>
          <w:p>
            <w:pPr>
              <w:spacing w:line="320" w:lineRule="exact"/>
              <w:ind w:firstLine="420" w:firstLineChars="200"/>
              <w:rPr>
                <w:rFonts w:cs="宋体"/>
                <w:sz w:val="21"/>
                <w:szCs w:val="21"/>
              </w:rPr>
            </w:pPr>
            <w:r>
              <w:rPr>
                <w:rFonts w:hint="eastAsia" w:cs="宋体"/>
                <w:sz w:val="21"/>
                <w:szCs w:val="21"/>
              </w:rPr>
              <w:t>1.完整性：方案须全面，对评审内容中的各项要求有详细描述及说明；</w:t>
            </w:r>
          </w:p>
          <w:p>
            <w:pPr>
              <w:spacing w:line="320" w:lineRule="exact"/>
              <w:ind w:firstLine="420" w:firstLineChars="200"/>
              <w:rPr>
                <w:rFonts w:cs="宋体"/>
                <w:sz w:val="21"/>
                <w:szCs w:val="21"/>
              </w:rPr>
            </w:pPr>
            <w:r>
              <w:rPr>
                <w:rFonts w:hint="eastAsia" w:cs="宋体"/>
                <w:sz w:val="21"/>
                <w:szCs w:val="21"/>
              </w:rPr>
              <w:t>2.可实施性：切合本项目实际情况，实施步骤清晰、合理；</w:t>
            </w:r>
          </w:p>
          <w:p>
            <w:pPr>
              <w:spacing w:line="320" w:lineRule="exact"/>
              <w:ind w:firstLine="420" w:firstLineChars="200"/>
              <w:rPr>
                <w:rFonts w:ascii="宋体" w:hAnsi="宋体" w:cs="仿宋_GB2312"/>
                <w:color w:val="000000"/>
                <w:sz w:val="18"/>
                <w:szCs w:val="18"/>
              </w:rPr>
            </w:pPr>
            <w:r>
              <w:rPr>
                <w:rFonts w:hint="eastAsia" w:cs="宋体"/>
                <w:sz w:val="21"/>
                <w:szCs w:val="21"/>
              </w:rPr>
              <w:t>3.针对性：方案能够紧扣项目实际情况，内容科学合理。</w:t>
            </w:r>
          </w:p>
          <w:p>
            <w:pPr>
              <w:tabs>
                <w:tab w:val="left" w:pos="547"/>
              </w:tabs>
              <w:autoSpaceDE w:val="0"/>
              <w:autoSpaceDN w:val="0"/>
              <w:adjustRightInd w:val="0"/>
              <w:spacing w:line="380" w:lineRule="exact"/>
              <w:rPr>
                <w:rFonts w:ascii="仿宋" w:hAnsi="仿宋" w:eastAsia="仿宋" w:cs="仿宋"/>
                <w:b/>
              </w:rPr>
            </w:pPr>
            <w:r>
              <w:rPr>
                <w:rFonts w:hint="eastAsia" w:ascii="仿宋" w:hAnsi="仿宋" w:eastAsia="仿宋" w:cs="仿宋"/>
                <w:b/>
              </w:rPr>
              <w:t>三、赋分标准（满分</w:t>
            </w:r>
            <w:r>
              <w:rPr>
                <w:rFonts w:ascii="仿宋" w:hAnsi="仿宋" w:eastAsia="仿宋" w:cs="仿宋"/>
                <w:b/>
              </w:rPr>
              <w:t>12</w:t>
            </w:r>
            <w:r>
              <w:rPr>
                <w:rFonts w:hint="eastAsia" w:ascii="仿宋" w:hAnsi="仿宋" w:eastAsia="仿宋" w:cs="仿宋"/>
                <w:b/>
              </w:rPr>
              <w:t>分）</w:t>
            </w:r>
          </w:p>
          <w:p>
            <w:pPr>
              <w:spacing w:line="320" w:lineRule="exact"/>
              <w:ind w:firstLine="420" w:firstLineChars="200"/>
              <w:rPr>
                <w:rFonts w:cs="宋体"/>
                <w:sz w:val="21"/>
                <w:szCs w:val="21"/>
              </w:rPr>
            </w:pPr>
            <w:r>
              <w:rPr>
                <w:rFonts w:hint="eastAsia" w:cs="宋体"/>
                <w:sz w:val="21"/>
                <w:szCs w:val="21"/>
              </w:rPr>
              <w:t>①技术服务团队人员架构：每完全满足一项评审标准得</w:t>
            </w:r>
            <w:r>
              <w:rPr>
                <w:rFonts w:cs="宋体"/>
                <w:sz w:val="21"/>
                <w:szCs w:val="21"/>
              </w:rPr>
              <w:t>2</w:t>
            </w:r>
            <w:r>
              <w:rPr>
                <w:rFonts w:hint="eastAsia" w:cs="宋体"/>
                <w:sz w:val="21"/>
                <w:szCs w:val="21"/>
              </w:rPr>
              <w:t>分，满分</w:t>
            </w:r>
            <w:r>
              <w:rPr>
                <w:rFonts w:cs="宋体"/>
                <w:sz w:val="21"/>
                <w:szCs w:val="21"/>
              </w:rPr>
              <w:t>6</w:t>
            </w:r>
            <w:r>
              <w:rPr>
                <w:rFonts w:hint="eastAsia" w:cs="宋体"/>
                <w:sz w:val="21"/>
                <w:szCs w:val="21"/>
              </w:rPr>
              <w:t>分。</w:t>
            </w:r>
          </w:p>
          <w:p>
            <w:pPr>
              <w:spacing w:line="320" w:lineRule="exact"/>
              <w:ind w:firstLine="420" w:firstLineChars="200"/>
              <w:rPr>
                <w:rFonts w:ascii="宋体" w:hAnsi="宋体" w:cs="宋体"/>
                <w:b/>
                <w:sz w:val="18"/>
                <w:szCs w:val="18"/>
              </w:rPr>
            </w:pPr>
            <w:r>
              <w:rPr>
                <w:rFonts w:hint="eastAsia" w:cs="宋体"/>
                <w:sz w:val="21"/>
                <w:szCs w:val="21"/>
              </w:rPr>
              <w:t>②技术服务团队人员配置及职能分工：每完全满足一项评审标准得</w:t>
            </w:r>
            <w:r>
              <w:rPr>
                <w:rFonts w:cs="宋体"/>
                <w:sz w:val="21"/>
                <w:szCs w:val="21"/>
              </w:rPr>
              <w:t>2</w:t>
            </w:r>
            <w:r>
              <w:rPr>
                <w:rFonts w:hint="eastAsia" w:cs="宋体"/>
                <w:sz w:val="21"/>
                <w:szCs w:val="21"/>
              </w:rPr>
              <w:t>分，满分</w:t>
            </w:r>
            <w:r>
              <w:rPr>
                <w:rFonts w:cs="宋体"/>
                <w:sz w:val="21"/>
                <w:szCs w:val="21"/>
              </w:rPr>
              <w:t>6</w:t>
            </w:r>
            <w:r>
              <w:rPr>
                <w:rFonts w:hint="eastAsia" w:cs="宋体"/>
                <w:sz w:val="21"/>
                <w:szCs w:val="21"/>
              </w:rPr>
              <w:t>分。</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5</w:t>
            </w:r>
          </w:p>
        </w:tc>
        <w:tc>
          <w:tcPr>
            <w:tcW w:w="5809" w:type="dxa"/>
            <w:tcBorders>
              <w:top w:val="single" w:color="auto" w:sz="2" w:space="0"/>
            </w:tcBorders>
            <w:shd w:val="clear" w:color="auto" w:fill="auto"/>
            <w:vAlign w:val="center"/>
          </w:tcPr>
          <w:p>
            <w:pPr>
              <w:spacing w:line="320" w:lineRule="exact"/>
              <w:ind w:firstLine="420" w:firstLineChars="200"/>
              <w:rPr>
                <w:rFonts w:cs="宋体"/>
                <w:b/>
                <w:bCs/>
                <w:color w:val="C00000"/>
                <w:sz w:val="21"/>
                <w:szCs w:val="21"/>
                <w:lang w:bidi="ar"/>
              </w:rPr>
            </w:pPr>
            <w:r>
              <w:rPr>
                <w:rFonts w:hint="eastAsia" w:cs="宋体"/>
                <w:b/>
                <w:bCs/>
                <w:color w:val="C00000"/>
                <w:sz w:val="21"/>
                <w:szCs w:val="21"/>
                <w:lang w:bidi="ar"/>
              </w:rPr>
              <w:t>人员资质：</w:t>
            </w:r>
          </w:p>
          <w:p>
            <w:pPr>
              <w:spacing w:line="320" w:lineRule="exact"/>
              <w:ind w:firstLine="420" w:firstLineChars="200"/>
              <w:rPr>
                <w:rFonts w:cs="宋体"/>
                <w:sz w:val="21"/>
                <w:szCs w:val="21"/>
              </w:rPr>
            </w:pPr>
            <w:r>
              <w:rPr>
                <w:rFonts w:hint="eastAsia" w:cs="宋体"/>
                <w:sz w:val="21"/>
                <w:szCs w:val="21"/>
              </w:rPr>
              <w:t>拟派项目安全员具有有效的</w:t>
            </w:r>
            <w:r>
              <w:rPr>
                <w:rFonts w:cs="宋体"/>
                <w:sz w:val="21"/>
                <w:szCs w:val="21"/>
              </w:rPr>
              <w:t>C</w:t>
            </w:r>
            <w:r>
              <w:rPr>
                <w:rFonts w:hint="eastAsia" w:cs="宋体"/>
                <w:sz w:val="21"/>
                <w:szCs w:val="21"/>
              </w:rPr>
              <w:t>类及以上安全生产考核合格证书得</w:t>
            </w:r>
            <w:r>
              <w:rPr>
                <w:rFonts w:cs="宋体"/>
                <w:sz w:val="21"/>
                <w:szCs w:val="21"/>
              </w:rPr>
              <w:t>5</w:t>
            </w:r>
            <w:r>
              <w:rPr>
                <w:rFonts w:hint="eastAsia" w:cs="宋体"/>
                <w:sz w:val="21"/>
                <w:szCs w:val="21"/>
              </w:rPr>
              <w:t>分。</w:t>
            </w:r>
          </w:p>
        </w:tc>
        <w:tc>
          <w:tcPr>
            <w:tcW w:w="1418" w:type="dxa"/>
            <w:vMerge w:val="continue"/>
            <w:shd w:val="clear" w:color="auto" w:fill="auto"/>
            <w:vAlign w:val="center"/>
          </w:tcPr>
          <w:p>
            <w:pPr>
              <w:spacing w:line="320" w:lineRule="exact"/>
              <w:rPr>
                <w:rFonts w:cs="宋体"/>
                <w:bCs/>
                <w:color w:val="C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pPr>
              <w:spacing w:line="320" w:lineRule="exact"/>
              <w:jc w:val="center"/>
              <w:rPr>
                <w:rFonts w:cs="宋体"/>
                <w:bCs/>
                <w:sz w:val="21"/>
                <w:szCs w:val="21"/>
              </w:rPr>
            </w:pPr>
          </w:p>
        </w:tc>
        <w:tc>
          <w:tcPr>
            <w:tcW w:w="640" w:type="dxa"/>
            <w:vMerge w:val="continue"/>
            <w:shd w:val="clear" w:color="auto" w:fill="auto"/>
            <w:vAlign w:val="center"/>
          </w:tcPr>
          <w:p>
            <w:pPr>
              <w:spacing w:line="320" w:lineRule="exact"/>
              <w:jc w:val="center"/>
              <w:rPr>
                <w:rFonts w:cs="宋体"/>
                <w:bCs/>
                <w:sz w:val="21"/>
                <w:szCs w:val="21"/>
              </w:rPr>
            </w:pPr>
          </w:p>
        </w:tc>
        <w:tc>
          <w:tcPr>
            <w:tcW w:w="860" w:type="dxa"/>
            <w:shd w:val="clear" w:color="auto" w:fill="auto"/>
            <w:vAlign w:val="center"/>
          </w:tcPr>
          <w:p>
            <w:pPr>
              <w:spacing w:line="320" w:lineRule="exact"/>
              <w:jc w:val="center"/>
              <w:rPr>
                <w:rFonts w:cs="宋体"/>
                <w:bCs/>
                <w:sz w:val="21"/>
                <w:szCs w:val="21"/>
              </w:rPr>
            </w:pPr>
            <w:r>
              <w:rPr>
                <w:rFonts w:cs="宋体"/>
                <w:bCs/>
                <w:sz w:val="21"/>
                <w:szCs w:val="21"/>
              </w:rPr>
              <w:t>10</w:t>
            </w:r>
          </w:p>
        </w:tc>
        <w:tc>
          <w:tcPr>
            <w:tcW w:w="5809" w:type="dxa"/>
            <w:shd w:val="clear" w:color="auto" w:fill="auto"/>
            <w:vAlign w:val="center"/>
          </w:tcPr>
          <w:p>
            <w:pPr>
              <w:spacing w:line="320" w:lineRule="exact"/>
              <w:ind w:firstLine="420" w:firstLineChars="200"/>
              <w:jc w:val="both"/>
              <w:rPr>
                <w:rFonts w:cs="宋体"/>
                <w:b/>
                <w:color w:val="C00000"/>
                <w:sz w:val="21"/>
                <w:szCs w:val="21"/>
              </w:rPr>
            </w:pPr>
            <w:r>
              <w:rPr>
                <w:rFonts w:cs="宋体"/>
                <w:b/>
                <w:bCs/>
                <w:color w:val="C00000"/>
                <w:sz w:val="21"/>
                <w:szCs w:val="21"/>
                <w:lang w:bidi="ar"/>
              </w:rPr>
              <w:t>业绩</w:t>
            </w:r>
            <w:r>
              <w:rPr>
                <w:rFonts w:cs="宋体"/>
                <w:b/>
                <w:color w:val="C00000"/>
                <w:sz w:val="21"/>
                <w:szCs w:val="21"/>
              </w:rPr>
              <w:t>：</w:t>
            </w:r>
          </w:p>
          <w:p>
            <w:pPr>
              <w:spacing w:line="320" w:lineRule="exact"/>
              <w:ind w:firstLine="420" w:firstLineChars="200"/>
              <w:jc w:val="both"/>
              <w:rPr>
                <w:rFonts w:cs="宋体"/>
                <w:sz w:val="21"/>
                <w:szCs w:val="21"/>
              </w:rPr>
            </w:pPr>
            <w:r>
              <w:rPr>
                <w:rFonts w:hint="eastAsia" w:cs="宋体"/>
                <w:sz w:val="21"/>
                <w:szCs w:val="21"/>
              </w:rPr>
              <w:t>提供自</w:t>
            </w:r>
            <w:r>
              <w:rPr>
                <w:rFonts w:cs="宋体"/>
                <w:sz w:val="21"/>
                <w:szCs w:val="21"/>
              </w:rPr>
              <w:t>20</w:t>
            </w:r>
            <w:r>
              <w:rPr>
                <w:rFonts w:hint="eastAsia" w:cs="宋体"/>
                <w:sz w:val="21"/>
                <w:szCs w:val="21"/>
              </w:rPr>
              <w:t>2</w:t>
            </w:r>
            <w:r>
              <w:rPr>
                <w:rFonts w:cs="宋体"/>
                <w:sz w:val="21"/>
                <w:szCs w:val="21"/>
              </w:rPr>
              <w:t>2年1月1日至投标文件递交截止时间前</w:t>
            </w:r>
            <w:r>
              <w:rPr>
                <w:rFonts w:hint="eastAsia" w:cs="宋体"/>
                <w:sz w:val="21"/>
                <w:szCs w:val="21"/>
              </w:rPr>
              <w:t>类似</w:t>
            </w:r>
            <w:r>
              <w:rPr>
                <w:rFonts w:cs="宋体"/>
                <w:sz w:val="21"/>
                <w:szCs w:val="21"/>
              </w:rPr>
              <w:t>项目业绩证明文件（</w:t>
            </w:r>
            <w:r>
              <w:rPr>
                <w:rFonts w:hint="eastAsia" w:ascii="宋体" w:hAnsi="宋体"/>
                <w:color w:val="000000"/>
                <w:szCs w:val="21"/>
              </w:rPr>
              <w:t>即中标通知书、完整合同及相应的验收文件，同时出具方为有效</w:t>
            </w:r>
            <w:r>
              <w:rPr>
                <w:rFonts w:cs="宋体"/>
                <w:sz w:val="21"/>
                <w:szCs w:val="21"/>
              </w:rPr>
              <w:t>），评审时以业绩证明文件扫描件为计分依据，每份业绩得2分，最多得10分。</w:t>
            </w:r>
          </w:p>
          <w:p>
            <w:pPr>
              <w:spacing w:line="320" w:lineRule="exact"/>
              <w:ind w:firstLine="420" w:firstLineChars="200"/>
              <w:jc w:val="both"/>
              <w:rPr>
                <w:rFonts w:cs="宋体"/>
                <w:sz w:val="21"/>
                <w:szCs w:val="21"/>
              </w:rPr>
            </w:pPr>
            <w:r>
              <w:rPr>
                <w:rFonts w:hint="eastAsia" w:cs="宋体"/>
                <w:sz w:val="21"/>
                <w:szCs w:val="21"/>
              </w:rPr>
              <w:t>注</w:t>
            </w:r>
            <w:r>
              <w:rPr>
                <w:rFonts w:cs="宋体"/>
                <w:sz w:val="21"/>
                <w:szCs w:val="21"/>
              </w:rPr>
              <w:t>：</w:t>
            </w:r>
            <w:r>
              <w:rPr>
                <w:rFonts w:hint="eastAsia" w:cs="宋体"/>
                <w:sz w:val="21"/>
                <w:szCs w:val="21"/>
              </w:rPr>
              <w:t>合同扫描件必须是完整合同，否则不予认可。</w:t>
            </w:r>
          </w:p>
        </w:tc>
        <w:tc>
          <w:tcPr>
            <w:tcW w:w="1418" w:type="dxa"/>
            <w:vMerge w:val="continue"/>
            <w:shd w:val="clear" w:color="auto" w:fill="auto"/>
            <w:vAlign w:val="center"/>
          </w:tcPr>
          <w:p>
            <w:pPr>
              <w:spacing w:line="320" w:lineRule="exact"/>
              <w:rPr>
                <w:rFonts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shd w:val="clear" w:color="auto" w:fill="auto"/>
            <w:vAlign w:val="center"/>
          </w:tcPr>
          <w:p>
            <w:pPr>
              <w:spacing w:line="320" w:lineRule="exact"/>
              <w:jc w:val="center"/>
              <w:rPr>
                <w:rFonts w:cs="宋体"/>
                <w:bCs/>
                <w:sz w:val="21"/>
                <w:szCs w:val="21"/>
              </w:rPr>
            </w:pPr>
            <w:r>
              <w:rPr>
                <w:rFonts w:cs="宋体"/>
                <w:bCs/>
                <w:sz w:val="21"/>
                <w:szCs w:val="21"/>
              </w:rPr>
              <w:t>说明</w:t>
            </w:r>
          </w:p>
        </w:tc>
        <w:tc>
          <w:tcPr>
            <w:tcW w:w="8727" w:type="dxa"/>
            <w:gridSpan w:val="4"/>
            <w:shd w:val="clear" w:color="auto" w:fill="auto"/>
            <w:vAlign w:val="center"/>
          </w:tcPr>
          <w:p>
            <w:pPr>
              <w:spacing w:line="320" w:lineRule="exact"/>
              <w:ind w:firstLine="420" w:firstLineChars="200"/>
              <w:rPr>
                <w:rFonts w:cs="宋体"/>
                <w:bCs/>
                <w:sz w:val="21"/>
                <w:szCs w:val="21"/>
              </w:rPr>
            </w:pPr>
            <w:r>
              <w:rPr>
                <w:rFonts w:cs="宋体"/>
                <w:bCs/>
                <w:sz w:val="21"/>
                <w:szCs w:val="21"/>
              </w:rPr>
              <w:t>1、评标委员会成员必须按照本评审要素据实打分，各类数字计算均按“四舍五入”保留小数点后两位；</w:t>
            </w:r>
          </w:p>
          <w:p>
            <w:pPr>
              <w:spacing w:line="280" w:lineRule="exact"/>
              <w:ind w:firstLine="420" w:firstLineChars="200"/>
              <w:rPr>
                <w:sz w:val="21"/>
                <w:szCs w:val="21"/>
              </w:rPr>
            </w:pPr>
            <w:r>
              <w:rPr>
                <w:sz w:val="21"/>
                <w:szCs w:val="21"/>
              </w:rPr>
              <w:t>2、</w:t>
            </w:r>
            <w:r>
              <w:rPr>
                <w:rFonts w:hint="eastAsia" w:ascii="Calibri" w:hAnsi="宋体" w:eastAsia="宋体"/>
                <w:kern w:val="2"/>
                <w:sz w:val="21"/>
              </w:rPr>
              <w:t>对小型和微型企业产品的报价给予10%的扣除，用扣除后的价格参加评审。未提供中小企业声明函的不享受价格扣除优惠政策；供应商所供货物并非全部由小型或微型企业生产的，不享受价格扣除优惠政策；</w:t>
            </w:r>
          </w:p>
        </w:tc>
      </w:tr>
    </w:tbl>
    <w:p>
      <w:pPr>
        <w:pStyle w:val="81"/>
        <w:ind w:firstLine="482"/>
        <w:rPr>
          <w:b/>
        </w:rPr>
      </w:pPr>
      <w:r>
        <w:rPr>
          <w:b/>
        </w:rPr>
        <w:t>（七）推荐成交候选人并编写评审报告</w:t>
      </w:r>
    </w:p>
    <w:p>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pPr>
      <w:r>
        <w:t>七、成交</w:t>
      </w:r>
    </w:p>
    <w:p>
      <w:pPr>
        <w:pStyle w:val="81"/>
        <w:ind w:firstLine="480"/>
      </w:pPr>
      <w:r>
        <w:rPr>
          <w:rFonts w:hint="eastAsia"/>
        </w:rPr>
        <w:t>1</w:t>
      </w:r>
      <w:r>
        <w:rPr>
          <w:rFonts w:hint="eastAsia"/>
          <w:color w:val="auto"/>
        </w:rPr>
        <w:t>．</w:t>
      </w:r>
      <w:r>
        <w:t>采购代理机构在评审工作结束后2个工作日内，将评审报告送采购人确认。</w:t>
      </w:r>
    </w:p>
    <w:p>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1"/>
        <w:ind w:firstLine="480"/>
      </w:pPr>
      <w:r>
        <w:t>磋商文件、响应文件、澄清、补充合同等为政府采购合同的组成部分，具有同等法律效力。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rPr>
          <w:color w:val="auto"/>
        </w:rPr>
      </w:pPr>
      <w:r>
        <w:rPr>
          <w:rFonts w:hint="eastAsia"/>
        </w:rPr>
        <w:t>1</w:t>
      </w:r>
      <w:r>
        <w:rPr>
          <w:rFonts w:hint="eastAsia"/>
          <w:color w:val="auto"/>
        </w:rPr>
        <w:t>．采购人与成交供应商应当根据合同的约定依法履行合同义务。</w:t>
      </w:r>
    </w:p>
    <w:p>
      <w:pPr>
        <w:pStyle w:val="81"/>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pPr>
        <w:pStyle w:val="81"/>
        <w:ind w:firstLine="480"/>
      </w:pPr>
      <w:r>
        <w:t>3</w:t>
      </w:r>
      <w:r>
        <w:rPr>
          <w:rFonts w:hint="eastAsia"/>
        </w:rPr>
        <w:t>．出现下列情形之一的，采购人或者采购代理机构应当终止竞争性磋商采购活动，发布项目终止公告并说明原因，重新开展采购活动：</w:t>
      </w:r>
    </w:p>
    <w:p>
      <w:pPr>
        <w:pStyle w:val="81"/>
        <w:ind w:firstLine="480"/>
      </w:pPr>
      <w:r>
        <w:rPr>
          <w:rFonts w:hint="eastAsia"/>
        </w:rPr>
        <w:t>（1）因情况变化，不再符合规定的竞争性磋商采购方式适用情形的；</w:t>
      </w:r>
    </w:p>
    <w:p>
      <w:pPr>
        <w:pStyle w:val="81"/>
        <w:ind w:firstLine="480"/>
      </w:pPr>
      <w:r>
        <w:rPr>
          <w:rFonts w:hint="eastAsia"/>
        </w:rPr>
        <w:t>（2）出现影响采购公正的违法、违规行为的；</w:t>
      </w:r>
    </w:p>
    <w:p>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pPr>
        <w:pStyle w:val="81"/>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1" w:name="_Toc100219614"/>
      <w:r>
        <w:rPr>
          <w:rFonts w:hint="eastAsia"/>
        </w:rPr>
        <w:t>第三章　磋商内容及要求</w:t>
      </w:r>
      <w:bookmarkEnd w:id="11"/>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center"/>
      </w:pPr>
      <w:r>
        <w:t>采购包一</w:t>
      </w:r>
    </w:p>
    <w:p>
      <w:pPr>
        <w:pStyle w:val="3"/>
        <w:jc w:val="both"/>
      </w:pPr>
      <w:r>
        <w:rPr>
          <w:rFonts w:hint="eastAsia"/>
        </w:rPr>
        <w:t>一、项目概况</w:t>
      </w:r>
    </w:p>
    <w:p>
      <w:pPr>
        <w:ind w:firstLine="480" w:firstLineChars="200"/>
        <w:jc w:val="both"/>
      </w:pPr>
      <w:r>
        <w:t>本项目旨在通过升级校园监控系统，全面提升小学安全防护与教学管理水平。现面向优质供应商采购智能化监控设备及配套服务</w:t>
      </w:r>
      <w:r>
        <w:rPr>
          <w:rFonts w:hint="eastAsia"/>
        </w:rPr>
        <w:t>，实现校园重点区域（校门、走廊、操场等）24小时高清监控覆盖。</w:t>
      </w:r>
    </w:p>
    <w:p>
      <w:pPr>
        <w:pStyle w:val="3"/>
        <w:jc w:val="both"/>
      </w:pPr>
      <w:r>
        <w:rPr>
          <w:rFonts w:hint="eastAsia"/>
        </w:rPr>
        <w:t>二、磋商采购内容</w:t>
      </w:r>
    </w:p>
    <w:tbl>
      <w:tblPr>
        <w:tblStyle w:val="24"/>
        <w:tblW w:w="4861"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38"/>
        <w:gridCol w:w="4720"/>
        <w:gridCol w:w="827"/>
        <w:gridCol w:w="827"/>
        <w:gridCol w:w="19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序号</w:t>
            </w:r>
          </w:p>
        </w:tc>
        <w:tc>
          <w:tcPr>
            <w:tcW w:w="2614"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产品类别</w:t>
            </w:r>
          </w:p>
        </w:tc>
        <w:tc>
          <w:tcPr>
            <w:tcW w:w="458"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单位</w:t>
            </w:r>
          </w:p>
        </w:tc>
        <w:tc>
          <w:tcPr>
            <w:tcW w:w="458"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数量</w:t>
            </w:r>
          </w:p>
        </w:tc>
        <w:tc>
          <w:tcPr>
            <w:tcW w:w="1061"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ascii="Calibri" w:hAnsi="微软雅黑" w:eastAsia="微软雅黑"/>
                <w:b/>
                <w:bCs/>
                <w:color w:val="000000"/>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2614" w:type="pct"/>
            <w:tcBorders>
              <w:top w:val="single" w:color="auto" w:sz="2" w:space="0"/>
            </w:tcBorders>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网络枪机</w:t>
            </w:r>
          </w:p>
        </w:tc>
        <w:tc>
          <w:tcPr>
            <w:tcW w:w="458"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199</w:t>
            </w:r>
          </w:p>
        </w:tc>
        <w:tc>
          <w:tcPr>
            <w:tcW w:w="1061"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核心产品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防火检测枪机</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个</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3</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人脸抓拍枪机</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个</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12</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4</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室内半球</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26</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5</w:t>
            </w:r>
          </w:p>
        </w:tc>
        <w:tc>
          <w:tcPr>
            <w:tcW w:w="2614" w:type="pct"/>
            <w:shd w:val="clear" w:color="auto" w:fill="auto"/>
            <w:vAlign w:val="center"/>
          </w:tcPr>
          <w:p>
            <w:pPr>
              <w:spacing w:line="320" w:lineRule="exact"/>
              <w:jc w:val="center"/>
              <w:rPr>
                <w:rFonts w:ascii="Calibri" w:hAnsi="微软雅黑" w:eastAsia="微软雅黑"/>
                <w:color w:val="000000"/>
                <w:sz w:val="21"/>
                <w:szCs w:val="20"/>
              </w:rPr>
            </w:pPr>
            <w:r>
              <w:rPr>
                <w:rFonts w:hint="eastAsia" w:ascii="Calibri" w:hAnsi="微软雅黑" w:eastAsia="微软雅黑"/>
                <w:color w:val="000000"/>
                <w:sz w:val="21"/>
                <w:szCs w:val="20"/>
              </w:rPr>
              <w:t>全彩枪球一体机</w:t>
            </w:r>
          </w:p>
        </w:tc>
        <w:tc>
          <w:tcPr>
            <w:tcW w:w="458" w:type="pct"/>
            <w:shd w:val="clear" w:color="auto" w:fill="auto"/>
            <w:vAlign w:val="center"/>
          </w:tcPr>
          <w:p>
            <w:pPr>
              <w:spacing w:line="320" w:lineRule="exact"/>
              <w:jc w:val="center"/>
              <w:rPr>
                <w:rFonts w:ascii="Calibri" w:hAnsi="微软雅黑" w:eastAsia="微软雅黑"/>
                <w:color w:val="000000"/>
                <w:sz w:val="21"/>
                <w:szCs w:val="20"/>
              </w:rPr>
            </w:pPr>
            <w:r>
              <w:rPr>
                <w:rFonts w:hint="eastAsia" w:ascii="Calibri" w:hAnsi="微软雅黑" w:eastAsia="微软雅黑"/>
                <w:color w:val="000000"/>
                <w:sz w:val="21"/>
                <w:szCs w:val="20"/>
              </w:rPr>
              <w:t>台</w:t>
            </w:r>
          </w:p>
        </w:tc>
        <w:tc>
          <w:tcPr>
            <w:tcW w:w="458" w:type="pct"/>
            <w:shd w:val="clear" w:color="auto" w:fill="auto"/>
            <w:vAlign w:val="center"/>
          </w:tcPr>
          <w:p>
            <w:pPr>
              <w:spacing w:line="320" w:lineRule="exact"/>
              <w:jc w:val="center"/>
              <w:rPr>
                <w:rFonts w:ascii="Calibri" w:hAnsi="微软雅黑" w:eastAsia="微软雅黑"/>
                <w:color w:val="000000"/>
                <w:sz w:val="21"/>
                <w:szCs w:val="20"/>
              </w:rPr>
            </w:pPr>
            <w:r>
              <w:rPr>
                <w:rFonts w:hint="eastAsia" w:ascii="Calibri" w:hAnsi="微软雅黑" w:eastAsia="微软雅黑"/>
                <w:color w:val="000000"/>
                <w:sz w:val="21"/>
                <w:szCs w:val="20"/>
              </w:rPr>
              <w:t>10</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6</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室外路口全景球机</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个</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7</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摄像机支架</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个</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219</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8</w:t>
            </w:r>
          </w:p>
        </w:tc>
        <w:tc>
          <w:tcPr>
            <w:tcW w:w="2614"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磁盘阵列（视频存储）</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9</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智能分析服务器（多算法融合）</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10</w:t>
            </w:r>
          </w:p>
        </w:tc>
        <w:tc>
          <w:tcPr>
            <w:tcW w:w="2614"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8T硬盘-智能分析服务器配套</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块</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11</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解码器</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12</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46寸拼接屏</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9</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13</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46寸拼接屏-支架</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9</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14</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管理PC</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15</w:t>
            </w:r>
          </w:p>
        </w:tc>
        <w:tc>
          <w:tcPr>
            <w:tcW w:w="2614"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管理平台一体机</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核心产品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16</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交换机-24口POE</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18</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17</w:t>
            </w:r>
          </w:p>
        </w:tc>
        <w:tc>
          <w:tcPr>
            <w:tcW w:w="2614"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核心交换机</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45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1" w:type="pct"/>
            <w:shd w:val="clear" w:color="auto" w:fill="auto"/>
            <w:vAlign w:val="center"/>
          </w:tcPr>
          <w:p>
            <w:pPr>
              <w:spacing w:line="320" w:lineRule="exact"/>
              <w:jc w:val="center"/>
              <w:rPr>
                <w:rFonts w:ascii="Calibri" w:hAnsi="微软雅黑" w:eastAsia="微软雅黑"/>
                <w:color w:val="000000"/>
                <w:sz w:val="21"/>
                <w:szCs w:val="16"/>
              </w:rPr>
            </w:pPr>
          </w:p>
        </w:tc>
      </w:tr>
    </w:tbl>
    <w:p>
      <w:pPr>
        <w:pStyle w:val="3"/>
        <w:numPr>
          <w:ilvl w:val="0"/>
          <w:numId w:val="0"/>
        </w:numPr>
        <w:jc w:val="both"/>
      </w:pPr>
      <w:r>
        <w:t>三、</w:t>
      </w:r>
      <w:r>
        <w:rPr>
          <w:rFonts w:hint="eastAsia"/>
        </w:rPr>
        <w:t>技术参数要求</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69"/>
        <w:gridCol w:w="6095"/>
        <w:gridCol w:w="13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产品类别</w:t>
            </w:r>
          </w:p>
        </w:tc>
        <w:tc>
          <w:tcPr>
            <w:tcW w:w="6095"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参数要求</w:t>
            </w:r>
          </w:p>
        </w:tc>
        <w:tc>
          <w:tcPr>
            <w:tcW w:w="13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ascii="Calibri" w:hAnsi="微软雅黑" w:eastAsia="微软雅黑"/>
                <w:b/>
                <w:bCs/>
                <w:color w:val="000000"/>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tcBorders>
              <w:top w:val="single" w:color="auto" w:sz="2" w:space="0"/>
            </w:tcBorders>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网络枪机</w:t>
            </w:r>
          </w:p>
        </w:tc>
        <w:tc>
          <w:tcPr>
            <w:tcW w:w="6095" w:type="dxa"/>
            <w:tcBorders>
              <w:top w:val="single" w:color="auto" w:sz="2" w:space="0"/>
            </w:tcBorders>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传感器类型：≥1/3英寸CMOS；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像素≥400万；</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最大分辨率：≥2560×1440；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最低照度：≥0.01lux（彩色模式）；≥0.001lux（黑白模式）；≥0lux（补光灯开启）；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最大补光距离：≥50m（红外）；</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补光灯：≥1颗（红外灯）；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镜头类型：定焦；</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镜头光圈：F2.0；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视场角：水平：≥76°；垂直：≥40°；对角：≥92°；</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智能编码：H.264:支持;H.265:支持;；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宽动态：支持；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内置MIC：支持；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报警事件：网络断开;IP冲突;非法访问;动态检测;视频遮挡;音频异常侦测;安全异常；</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接入标准：ONVIF（Profile S &amp; Profile T）；CGI；GB/T28181-2022</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供电方式：DC12V/PoE；</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防护等级：IP67</w:t>
            </w:r>
          </w:p>
        </w:tc>
        <w:tc>
          <w:tcPr>
            <w:tcW w:w="1376" w:type="dxa"/>
            <w:tcBorders>
              <w:top w:val="single" w:color="auto" w:sz="2" w:space="0"/>
            </w:tcBorders>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核心产品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防火检测枪机</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传感器类型：≥1/2.7英寸CMOS；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像素：≥400万；</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最大分辨率：≥2688×1520；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最低照度：≥0.002lux（彩色模式）；≥0.0002lux（黑白模式）；≥0lux（补光灯开启）；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最大补光距离：≥60m（红外视频监控距离）≥30m（暖光视频监控距离）；</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补光灯：≥2颗（红外灯）；≥2颗（混光（红外+暖光）灯）；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镜头类型：电动变焦；</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镜头焦距：2.7mm～13.5mm；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视场角：水平：28°～99°；垂直：16°～53°；对角：32°～117.5°；</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智能编码：H.264：支持；H.265：支持；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AI编码：H.264：支持（压缩率≥25%）；H.265：支持（压缩率≥25%）；</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宽动态：≥120dB；</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音频接口：支持；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内置MIC：内置，≥1个MIC；</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内置扬声器：内置，≥1个扬声器；</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报警事件：网络断开；IP冲突；非法访问；动态检测；视频遮挡；；烟雾检测；火焰检测；通道占用；目标出现；目标消失；变化检测；目标状态；；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接入标准：ONVIF（Profile S &amp; Profile G &amp; Profile T）；CGI；GB/T28181-2022（双国标）；RTMP；GA/T1400；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音频输入：≥1路；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音频输出：≥1路；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报警输入：≥2路；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报警输出：≥2路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电源返送：支持DC12V电源返送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供电方式：DC12V/PoE；</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防护等级：IP67；</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防腐蚀等级：普通防护</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▲可对设定区域内是否占用进行检测,当检测到机动车或非机动车占用时,可触发报警并给出报警提示,联动抓图、录像、报警输出、音频、警戒灯等（提供公安部有效检测报告复印件加盖原厂公章或投标专用章）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▲可对设定区域内目标是否出现进行检测,当检测到目标出现时,可触发报警并给出报警提示,联动抓图、录像、报警输出、音频、警戒灯等（提供公安部有效检测报告复印件加盖原厂公章或投标专用章）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▲可对设定区域内目标是否消失进行检测,当检测到目标消失时,可触发报警并给出报警提示,联动抓图、录像、报警输出、音频、警戒灯等（提供公安部有效检测报告复印件加盖原厂公章或投标专用章）</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人脸抓拍枪机</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传感器类型：≥1/2.7英寸CMOS；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像素：≥200万；</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最大分辨率：≥1920×1080；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最低照度：≥0.002lux（彩色模式）；≥0.0002lux（黑白模式）；≥0lux（补光灯开启）；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最大补光距离：≥50m（红外）；</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补光灯：≥2颗（红外灯）；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镜头类型：电动变焦；</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镜头焦距：2.7mm～13.5mm；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视场角：水平：92.6°～30°；垂直：51.2°～17°；对角：112.8°～36.5°；</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通用行为分析：物品遗留；物品搬移；</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周界防范：绊线入侵；区域入侵；徘徊检测；人员聚集；</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人脸检测：支持人脸检测；支持跟踪；支持优选；支持抓拍；支持上报最优的人脸抓图；支持人脸曝光；支持人脸属性提取，支持不低于6种属性8种表情：性别，年龄，眼镜，</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智能编码：H.264：支持；H.265：支持；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AI编码：H.264：支持（压缩率≥25%）；H.265：支持（压缩率≥25%）；</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宽动态：≥120dB；</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内置MIC：支持，内置1个MIC；</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报警事件：网络断开；IP冲突；动态检测；视频遮挡；绊线入侵；区域入侵；徘徊检测；人员聚集；人脸检测；物品遗留；物品搬移；</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接入标准：ONVIF（Profile S &amp; Profile G &amp; Profile T）；CGI；GB/T28181-2022（双国标）；GA/T1400；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供电方式：DC12V/PoE；</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防护等级：IP67；</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防腐蚀等级：普通防护</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快速配置功能检验：在IE浏览器下，可在预览画面开启或关闭快捷配置界面，可对曝光参数、OSD、智能资源分配模式等参数进行设置，并可一键恢复为默认配置（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配置文件安全功能检验：可通过Web界面选择配置文件安全图标，查看当前设备的配置安全功能项目，项目包括配置安全、配置加密存储和配置加密导出，其中配置加密存储支持对后台配置数据进行加密存储，配置加密导出支持对配置文件进行加密导出（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▲固件加密检验：可对flash中存储的固件信息进行加密，并通过安全模块扫描显示固件加密状态（提供公安部有效检测报告复印件加盖原厂公章或投标专用章）</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室内半球</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传感器类型：≥1/2.8英寸CMOS；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像素：≥200万；</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最大分辨率：≥1920×1080；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最低照度：≥0.01lux（彩色模式）；≥0.001lux（黑白模式）；≥0lux（补光灯开启）；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最大补光距离：≥50m（红外）；</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补光灯：≥2颗（红外灯）；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镜头类型：电动变焦；</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镜头焦距：2.8mm～12mm；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视场角：水平：102°～34°；垂直：53°～19°；对角：125°～39°；</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智能编码：H.264：支持H.265：支持；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宽动态：支持；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报警事件：网络断开；IP冲突；非法访问；动态检测；视频遮挡；</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接入标准：ONVIF（Profile S &amp; Profile T）；CGI；GB/T28181；</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供电方式：DC12V；</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防护等级：IP67</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登录安全性检查:当用户通过WEB方式或客户端软件访问样机时,对于首次登录应能提示用户修改默认密码,如果用户使用的是默认密码,则每次成功登录后均提示修改密码。（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▲用户管理功能检查:可通过IE浏览器添加、删除用户,并为不同用户添加不同的访问权限。（提供公安部有效检测报告复印件加盖原厂公章或投标专用章）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▲音频输入设置检查:在IE浏览器下,具有LineIn音频输入模式设置选项,输入/输出音量可调。（提供公安部有效检测报告复印件加盖原厂公章或投标专用章）</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全彩枪球一体机</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传感器类型：全景：≥1/2.8英寸CMOS；细节：≥1/2.8英寸CMOS；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像素：全景：≥200万；细节：≥400万；</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最大分辨率：全景1920×1080&amp;nbsp;细节2560*1440；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最大补光距离：全景：≥30m（白光）；细节：≥100m（红外）；</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补光类型：红外+白光；</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镜头焦距：全景：4mm细节：4.8-110mm；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光学变倍：细节：≥23倍；</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周界防范：支持绊线入侵；支持区域入侵；支持穿越围栏；支持徘徊检测；支持物品遗留；支持物品搬移；支持快速移动；支持停车检测；支持人员聚集；支持人车分类报警；</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人脸检测：支持人脸检测；支持人脸轨迹框；支持优选；支持抓拍；支持上报最优的人脸抓图；支持人脸增强；支持人脸属性提取</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网络接口：≥1个（内置RJ-45网口，支持10M/100M网络数据）；</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音频输入：≥1路；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音频输出：≥1路；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语音对讲：支持；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报警输入：≥2路；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报警输出：≥1路；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供电方式：DC12V/3A±10% PoE+ (802.3at)</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防护等级：≥IP66；</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球机尺寸：SDT-4C；</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接口类型：RJ45接口</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▲周界联动跟踪功能检验:全景摄像机可联动细节摄像机自动跟踪目标人员、目标车辆（提供公安部有效检测报告复印件加盖原厂公章或投标专用章）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旋转范围检验:全景摄像机镜头垂直方向支持手动调节,垂直旋转范围:13°~23°;细节摄像机镜头水平方向和垂直方向均支持电动调节,垂直旋转范围:-15°-90°,细节摄像机镜头在垂直方向从-15°运行至90°并水平翻转180°后,细节摄像机镜头在垂直方向可从90°运行至-15°（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人脸检测功能检验:可对出现在监控场景内的两眼瞳距不小于20像素的人脸进行检测;采用5人依次循环通行进行试验,试验人员通过速度不少于1m/s,人员通过时间间隔不少于1s,重复20次,人脸检测人次不少于99次（提供公安部有效检测报告复印件加盖原厂公章或投标专用章）</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室外路口全景球机</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传感器类型：全景：≥1/2.8英寸CMOS；细节：≥1/2.8英寸CMOS；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像素：全景：≥200万；细节：≥400万；</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最大分辨率：全景1920×1080&amp;nbsp;细节2560*1440；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最大补光距离：全景：≥30m（白光）；细节：≥100m（红外）；</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补光类型：红外+白光；</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镜头焦距：全景：4mm细节：4.8-110mm；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光学变倍：细节：≥23倍；</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周界防范：支持绊线入侵；支持区域入侵；支持穿越围栏；支持徘徊检测；支持物品遗留；支持物品搬移；支持快速移动；支持停车检测；支持人员聚集；支持人车分类报警；</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人脸检测：支持人脸检测；支持人脸轨迹框；支持优选；支持抓拍；支持上报最优的人脸抓图；支持人脸增强；支持人脸属性提取，支持不低于6种属性4种表情：性别，年龄，眼镜</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网络接口：≥1个（内置RJ-45网口，支持10M/100M网络数据）；</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音频输入：≥1路；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音频输出：≥1路；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语音对讲：支持；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报警输入：≥2路；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报警输出：≥1路；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供电方式：DC12V/3A±10% PoE+ (802.3at)</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防护等级：≥IP66；</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接口类型：RJ45接口</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人脸检测功能检验:可对出现在监控场景内的两眼瞳距不小于20像素的人脸进行检测;采用5人依次循环通行进行试验,试验人员通过速度不少于1m/s,人员通过时间间隔不少于1s,重复20次,人脸检测人次不少于99次（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▲周界联动跟踪功能检验:全景摄像机可联动细节摄像机自动跟踪目标人员、目标车辆（提供公安部有效检测报告复印件加盖原厂公章或投标专用章）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旋转范围检验:全景摄像机镜头垂直方向支持手动调节,垂直旋转范围:13°~23°;细节摄像机镜头水平方向和垂直方向均支持电动调节,垂直旋转范围:-15°-90°,细节摄像机镜头在垂直方向从-15°运行至90°并水平翻转180°后,细节摄像机镜头在垂直方向可从90°运行至-15°（提供公安部有效检测报告复印件加盖原厂公章或投标专用章）</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摄像机支架</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摄像机专用支架</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磁盘阵列 （视频存储）</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主处理器：64位高性能多核处理器；</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操作系统：国产操作系统；</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控制器：单控制器；</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高速缓存：标配≥8GB，可扩展至≥128GB；</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视频直存（私有协议）：最大支持512路（1024Mbps）前端接入、存储、转发，32路（64Mbps）网络回放；</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硬盘接口：≥36个；SATA；CMR单盘最大支持24TB硬盘，SMR单盘最大支持25TB；支持热插拔；支持CMR，SMR；</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▲可在设备前面板自带的液晶屏上，显示时间、设备信息、网卡状态、远程设备状态、录像状态、Raid状态、硬盘状态、环控信息、报警信息（提供公安部有效检测报告复印件加盖原厂公章或投标专用章）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▲具有液晶屏提示、报警指示灯提示、SNMP Trap、声音提示、Email报警等报警方式，可对IP冲突、网口降速、电源故障、风扇故障、无硬盘、存储错误、存储空间满、RAID异常、录像丢帧、Mac冲突、登陆锁定、网络安全异常、SSD健康异常、无热备盘等情况进行报警（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▲支持任意 N 台设备（N≥2） 通过 SAS数据线组成环状结构集群， 设备集群之间数据能够通过环状结构进行传递和通信， 其中任意 1 台设备都可以访问其下游设备中的数据（提供公安部有效检测报告复印件加盖原厂公章或投标专用章）</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智能分析服务器（多算法融合）</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主处理器：64位高性能多核处理器；</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操作系统：国产操作系统；</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前智能分析：支持人脸检测、人脸识别、视频结构化（人、车、非机动车）、通用行为分析、车牌比对、绊线人数统计、区域人数统计、排队人数异常报警、吸烟、打电话、人像检测；</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GPU：设备内置≥4颗高性能GPU，单颗GPU算力22TOPS（int8），每颗GPU最多可虚拟成4个智能引擎，每个智能引擎支持最多单独运行一类算法（以具体算法的加载要求为准）；</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后智能分析：1.支持最大选配8类算法；2.后智能分析支持实时模式和分时轮巡模式切换，在分时轮巡模式下，依据算法能力不同，可配置分时视频分析和轮巡视频分析；3.支持展示所有安装的算法及版本，展示算法状态，可对已安装的算法进行手动更新；；</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接入路数：≥128路；</w:t>
            </w:r>
          </w:p>
          <w:p>
            <w:pPr>
              <w:wordWrap w:val="0"/>
              <w:spacing w:line="320" w:lineRule="exact"/>
              <w:jc w:val="both"/>
              <w:rPr>
                <w:rFonts w:ascii="Calibri" w:hAnsi="微软雅黑" w:eastAsia="微软雅黑"/>
                <w:sz w:val="21"/>
                <w:szCs w:val="16"/>
              </w:rPr>
            </w:pPr>
            <w:r>
              <w:rPr>
                <w:rFonts w:hint="eastAsia" w:ascii="Calibri" w:hAnsi="微软雅黑" w:eastAsia="微软雅黑"/>
                <w:sz w:val="21"/>
                <w:szCs w:val="16"/>
              </w:rPr>
              <w:t>网络带宽：400Mbps接入、320Mbps存储、320Mbps转发；</w:t>
            </w:r>
          </w:p>
          <w:p>
            <w:pPr>
              <w:wordWrap w:val="0"/>
              <w:spacing w:line="320" w:lineRule="exact"/>
              <w:jc w:val="both"/>
              <w:rPr>
                <w:rFonts w:ascii="Calibri" w:hAnsi="微软雅黑" w:eastAsia="微软雅黑"/>
                <w:sz w:val="21"/>
                <w:szCs w:val="16"/>
              </w:rPr>
            </w:pPr>
            <w:r>
              <w:rPr>
                <w:rFonts w:hint="eastAsia" w:ascii="Calibri" w:hAnsi="微软雅黑" w:eastAsia="微软雅黑"/>
                <w:sz w:val="21"/>
                <w:szCs w:val="16"/>
              </w:rPr>
              <w:t>分辨率：32MP;24MP;16MP;12MP;8MP;6MP;5MP;4MP;3MP;1080p;720p；</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报警输入：16路；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报警输出：8路；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硬盘接口：≥2个；SATA 3.0；单盘最大16TB；</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电源接口：单电源；</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外观形态：1U机架；</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供电方式：100-240VAC，50-60Hz；</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工作温度：0℃～+45℃；</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工作湿度：10%～90%RH（无凝结）；</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认证：CCC：GB17625.1, GB4943.1, GB/T9254.1 委托检测：GB 20815 型式检测：GB/T 28181 节能：CQC3135</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8T硬盘-智能分析服务器配套</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单盘容量：8TB；</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缓存：256MB；</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转速：7200RPM；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硬盘接口：SATA</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解码器</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画面分割：单屏支持1/4/6/8/9/16/25/36固定分割支持M×N自定义分割，M×N≤36；</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视频压缩标准：H.265；H.264；MJPEG；MPEG4；SVAC；MPEG2；</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解码能力：整机解码H.265支持3路32MP@25fps；9路12MP@25fps；14路8MP@25fps；18路6MP@25fps；24路5MP@25fps；29路4MP@25fps；37路3MP@25fps；57路1080p@25fps；192路D1@25fps（H.264支持47路1080p@25fps解码能力）；</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视频输入：≥4路HDMI输入口；</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视频输出路数：≥9路HDMI</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应能自动识别屏幕的行列号信息，并能根据行列号信息自动生成对应的电视墙规模和绑定输出口关系，无需手动一对一设置输出口和LCD屏幕的对应关系。（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▲具有智能节能功能，当传感器检测到当前环境无人时，可自动控制电视墙熄屏。应能设置从检测到无人到进行熄屏的时间间隔。（提供公安部有效检测报告复印件加盖原厂公章或投标专用章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▲具有显示范围裁剪功能，应能通过调整指定通道的画面显示范围设置指定电脑允许的接管范围，不显示范围外画面。（提供公安部有效检测报告复印件加盖原厂公章或投标专用章）</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46寸拼接屏</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双边拼缝：≤2.5mm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分辨率：≥1920*1080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亮度：≥500cd/m2</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对比度：≥4000:1</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色彩范围：≥8bit</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刷新率：≥60Hz</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功耗：≤133W</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视角：≥178°(水平)/ 178°</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供电方式：100–240VAC，50/60Hz</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工作温度：0℃～+50℃</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工作湿度：20%～90%RH（无凝结）</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输入接口：VGA(D-Sub)≥1、CVBS(BNC)≥2、DVI-D≥1、HDMI≥1、RS232(RJ45)≥1、USB（升级和多媒体）≥1</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输出接口：CVBS(BNC)≥2、RS232(RJ45)≥1</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46寸拼接屏-支架</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双层前维护支架1、尺寸：46英寸</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2、材质：方钢（黑漆）</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color w:val="FF0000"/>
                <w:sz w:val="21"/>
                <w:szCs w:val="16"/>
              </w:rPr>
            </w:pPr>
            <w:r>
              <w:rPr>
                <w:rFonts w:hint="eastAsia" w:ascii="Calibri" w:hAnsi="微软雅黑" w:eastAsia="微软雅黑"/>
                <w:color w:val="FF0000"/>
                <w:sz w:val="21"/>
                <w:szCs w:val="16"/>
              </w:rPr>
              <w:t>管理PC</w:t>
            </w:r>
          </w:p>
        </w:tc>
        <w:tc>
          <w:tcPr>
            <w:tcW w:w="6095" w:type="dxa"/>
            <w:shd w:val="clear" w:color="auto" w:fill="auto"/>
            <w:vAlign w:val="center"/>
          </w:tcPr>
          <w:p>
            <w:pPr>
              <w:spacing w:line="320" w:lineRule="exact"/>
              <w:jc w:val="both"/>
              <w:rPr>
                <w:rFonts w:ascii="Calibri" w:hAnsi="微软雅黑" w:eastAsia="微软雅黑"/>
                <w:color w:val="FF0000"/>
                <w:sz w:val="21"/>
                <w:szCs w:val="16"/>
              </w:rPr>
            </w:pPr>
            <w:r>
              <w:rPr>
                <w:rFonts w:hint="eastAsia" w:ascii="Calibri" w:hAnsi="微软雅黑" w:eastAsia="微软雅黑"/>
                <w:color w:val="FF0000"/>
                <w:sz w:val="21"/>
                <w:szCs w:val="16"/>
              </w:rPr>
              <w:t>CPU≥i5-12400，</w:t>
            </w:r>
            <w:r>
              <w:rPr>
                <w:rFonts w:hint="eastAsia" w:ascii="Calibri" w:hAnsi="微软雅黑" w:eastAsia="微软雅黑"/>
                <w:sz w:val="21"/>
                <w:szCs w:val="16"/>
              </w:rPr>
              <w:t>≥</w:t>
            </w:r>
            <w:r>
              <w:rPr>
                <w:rFonts w:hint="eastAsia" w:ascii="Calibri" w:hAnsi="微软雅黑" w:eastAsia="微软雅黑"/>
                <w:color w:val="FF0000"/>
                <w:sz w:val="21"/>
                <w:szCs w:val="16"/>
              </w:rPr>
              <w:t>6核12线程，最大4.4GHz，基本频率</w:t>
            </w:r>
            <w:r>
              <w:rPr>
                <w:rFonts w:hint="eastAsia" w:ascii="Calibri" w:hAnsi="微软雅黑" w:eastAsia="微软雅黑"/>
                <w:sz w:val="21"/>
                <w:szCs w:val="16"/>
              </w:rPr>
              <w:t>≥</w:t>
            </w:r>
            <w:r>
              <w:rPr>
                <w:rFonts w:hint="eastAsia" w:ascii="Calibri" w:hAnsi="微软雅黑" w:eastAsia="微软雅黑"/>
                <w:color w:val="FF0000"/>
                <w:sz w:val="21"/>
                <w:szCs w:val="16"/>
              </w:rPr>
              <w:t>2.5GHz处理器平台</w:t>
            </w:r>
            <w:r>
              <w:rPr>
                <w:rFonts w:hint="eastAsia" w:ascii="Calibri" w:hAnsi="微软雅黑" w:eastAsia="微软雅黑"/>
                <w:color w:val="FF0000"/>
                <w:sz w:val="21"/>
                <w:szCs w:val="16"/>
              </w:rPr>
              <w:br w:type="textWrapping"/>
            </w:r>
            <w:r>
              <w:rPr>
                <w:rFonts w:hint="eastAsia" w:ascii="Calibri" w:hAnsi="微软雅黑" w:eastAsia="微软雅黑"/>
                <w:color w:val="FF0000"/>
                <w:sz w:val="21"/>
                <w:szCs w:val="16"/>
              </w:rPr>
              <w:t>主板：Intel B760以上</w:t>
            </w:r>
            <w:r>
              <w:rPr>
                <w:rFonts w:hint="eastAsia" w:ascii="Calibri" w:hAnsi="微软雅黑" w:eastAsia="微软雅黑"/>
                <w:color w:val="FF0000"/>
                <w:sz w:val="21"/>
                <w:szCs w:val="16"/>
              </w:rPr>
              <w:br w:type="textWrapping"/>
            </w:r>
            <w:r>
              <w:rPr>
                <w:rFonts w:hint="eastAsia" w:ascii="Calibri" w:hAnsi="微软雅黑" w:eastAsia="微软雅黑"/>
                <w:color w:val="FF0000"/>
                <w:sz w:val="21"/>
                <w:szCs w:val="16"/>
              </w:rPr>
              <w:t>内存：</w:t>
            </w:r>
            <w:r>
              <w:rPr>
                <w:rFonts w:hint="eastAsia" w:ascii="Calibri" w:hAnsi="微软雅黑" w:eastAsia="微软雅黑"/>
                <w:sz w:val="21"/>
                <w:szCs w:val="16"/>
              </w:rPr>
              <w:t>≥</w:t>
            </w:r>
            <w:r>
              <w:rPr>
                <w:rFonts w:hint="eastAsia" w:ascii="Calibri" w:hAnsi="微软雅黑" w:eastAsia="微软雅黑"/>
                <w:color w:val="FF0000"/>
                <w:sz w:val="21"/>
                <w:szCs w:val="16"/>
              </w:rPr>
              <w:t>8GB DDR4内存，支持扩展至</w:t>
            </w:r>
            <w:r>
              <w:rPr>
                <w:rFonts w:hint="eastAsia" w:ascii="Calibri" w:hAnsi="微软雅黑" w:eastAsia="微软雅黑"/>
                <w:sz w:val="21"/>
                <w:szCs w:val="16"/>
              </w:rPr>
              <w:t>≥</w:t>
            </w:r>
            <w:r>
              <w:rPr>
                <w:rFonts w:hint="eastAsia" w:ascii="Calibri" w:hAnsi="微软雅黑" w:eastAsia="微软雅黑"/>
                <w:color w:val="FF0000"/>
                <w:sz w:val="21"/>
                <w:szCs w:val="16"/>
              </w:rPr>
              <w:t>128GB</w:t>
            </w:r>
            <w:r>
              <w:rPr>
                <w:rFonts w:hint="eastAsia" w:ascii="Calibri" w:hAnsi="微软雅黑" w:eastAsia="微软雅黑"/>
                <w:color w:val="FF0000"/>
                <w:sz w:val="21"/>
                <w:szCs w:val="16"/>
              </w:rPr>
              <w:br w:type="textWrapping"/>
            </w:r>
            <w:r>
              <w:rPr>
                <w:rFonts w:hint="eastAsia" w:ascii="Calibri" w:hAnsi="微软雅黑" w:eastAsia="微软雅黑"/>
                <w:color w:val="FF0000"/>
                <w:sz w:val="21"/>
                <w:szCs w:val="16"/>
              </w:rPr>
              <w:t>硬盘：1个512GB 固态硬盘，可支持双硬盘</w:t>
            </w:r>
            <w:r>
              <w:rPr>
                <w:rFonts w:hint="eastAsia" w:ascii="Calibri" w:hAnsi="微软雅黑" w:eastAsia="微软雅黑"/>
                <w:color w:val="FF0000"/>
                <w:sz w:val="21"/>
                <w:szCs w:val="16"/>
              </w:rPr>
              <w:br w:type="textWrapping"/>
            </w:r>
            <w:r>
              <w:rPr>
                <w:rFonts w:hint="eastAsia" w:ascii="Calibri" w:hAnsi="微软雅黑" w:eastAsia="微软雅黑"/>
                <w:color w:val="FF0000"/>
                <w:sz w:val="21"/>
                <w:szCs w:val="16"/>
              </w:rPr>
              <w:t>操作系统：正版操作系统可选装国产Linux系统</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管理平台一体机</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集成基础管理、视频、门禁、停车场，访客，人机非目标抓拍等系统，平台开放兼容，可按需扩展业务模块满足不同场景需求。系统采用开放架构，易部署、易使用、易维护、易扩展、灵活开放。</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一、软件参数</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1、性能规格，单台视频监控≥300路、门禁≥50路、停车3进3出、访客机2台，可通过分布式部署扩展设备接入能力；</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2、业务扩展性，可通过购买模块扩容：可视对讲、梯控、巡更、客流等业务系统；</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3、开放兼容性：平台开放兼容，提供对外接口满足各类三方系统对接需求；</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4、视频监控</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（1）支持视频实时预览、录像回放、上墙、热成像、雷球联动、资源重组等；</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（2）支持1/4/6/8/9/13/16/20/25/36/64多分屏画面显示，支持自定义分屏；</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5、门禁管理</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（1）支持门禁权限下发状态统计，可实时展示未完成、等待下发、下发中、下发失败的授权记录数，可感知权限下发的预计完成时间，同时可按照人、卡、生物特征等授权类型统计权限下发记录；</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（2）支持门禁设备能力集管理，可依据设备的能力集操作相应的业务，如：卡片鉴权、人脸鉴权、指纹鉴权、一人多脸、快速核验等；</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6、访客管理</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（1）访客基础配置，支持设置被访对象是否必填、固定审核对象、随访人员信息是否必填、每日访问人数上限；</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（2）访客类型配置，支持高、中、低、自定义四种审核标准切换，自定义审核标准支持配置审核对象，支持批量设置审核对象；</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7、目标抓拍</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（1）特征检测，支持打开多路视频通道，视频画面中出现人、非机动车、机动车时，会实时显示目标框叠加；</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（2）支持实时展示人员抓拍、陌生人检测、人脸识别记录；</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8、停车管理</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（1）停车支持配置按次、日租、时长、时段、组合、节假日收费规则；</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（2）支持场区信息统计，包括总车场数、总车位数、总余位数；</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9、移动端</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（1）移动端APP 支持实时预览，录像回放、音频对讲、云台控制等；</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（2）支持查看报警事件详情，处理通用报警、智能报警事件；</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二、硬件参数</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1、处理器：intel i3-1115G4 CPU；</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2、硬盘：1块128G SSD固态硬盘、1块4T 机械硬盘，机械硬盘最大支持7块3.5寸SATA硬盘扩展；</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3、内存：32G内存（2根16GB DDR4 SODIMM 内存条）；</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4、接口：前置≥2个USB2.0接口，后置≥2个USB3.0接口、≥1个RS-232接口、≥4个HDMI接口；</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核心产品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交换机-24口POE</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交换容量：128Gbps；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包转发率：30Mpps；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业务端口：具备24个10/100BASE-T电口(PoE)、2个10/100/1000BASE-T电口(Combo)、2个1000BASE-X SFP端口；</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环网协议：STP、RSTP；</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VLAN功能：支持；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链路聚合：支持；</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设备管理：WEB管理、APP管理；</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供电方式：100～240VAC,47～63Hz,Max 7A；</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空载功耗：≤6W；</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满载功耗：≤400W；</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PoE：Port 1-2≤90W，Port 3-24≤30W，总功率≤375W；</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散热方式：内置风扇散热；</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安装方式：桌面式、机架式安装；</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工作湿度：5%～95%RH(无凝结)；</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工作温度：-10℃～55℃；</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69" w:type="dxa"/>
            <w:shd w:val="clear" w:color="auto" w:fill="auto"/>
            <w:vAlign w:val="center"/>
          </w:tcPr>
          <w:p>
            <w:pPr>
              <w:spacing w:line="320" w:lineRule="exact"/>
              <w:jc w:val="center"/>
              <w:rPr>
                <w:rFonts w:ascii="Calibri" w:hAnsi="微软雅黑" w:eastAsia="微软雅黑"/>
                <w:sz w:val="21"/>
                <w:szCs w:val="16"/>
              </w:rPr>
            </w:pPr>
            <w:r>
              <w:rPr>
                <w:rFonts w:hint="eastAsia" w:ascii="Calibri" w:hAnsi="微软雅黑" w:eastAsia="微软雅黑"/>
                <w:sz w:val="21"/>
                <w:szCs w:val="16"/>
              </w:rPr>
              <w:t>核心交换机</w:t>
            </w:r>
          </w:p>
        </w:tc>
        <w:tc>
          <w:tcPr>
            <w:tcW w:w="6095"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框式核心交换机</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4U一体化主机套装，已标配：2×电源、1×风扇盘（包含2个风扇）；</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主机提供≥3个业务插槽（1槽位任意业务板卡即可激活主控，无需额外配置主控板卡），单板支持热插拔；</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设备提供1个Default恢复出厂按键、1个Console管理口；</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交换容量≥15.36Tbps、包转发率≥2880Mpps；</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支持802.1D(STP)、802.1W(RSTP)、802.1S(MSTP)，支持BPDU保护、根保护、环路保护；</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支持GVRP；支持1:1和N:1 VLAN Mapping；支持基本QinQ和灵活QinQ功能；支持Private VLAN；</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支持静态、动态链路聚合；</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支持IGMP v1/v2/v3；支持IGMP Snooping；支持IGMP Fast Leave；支持组播组策略及组播组数量限制；支持组播流量跨VLAN复制；支持PIM-SM、PIM-DM；</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支持VRRP；</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支持ARP、RARP、免费ARP；支持Dynamic ARP Inspection；支持ARP anti-attack；支持ARP源抑制；</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支持基于L2/L3/L4的ACL流识别与过滤安全机制；支持对组播、广播、未知单播报文的抑制功能；支持端口隔离支持端口安全、IP+MAC+端口绑定；支持DHCP Snooping、DHCP Option 82；支持IEEE 802.1x认证；支持Radius认证；支持uRPF；支持命令行分级保护；</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支持基于L2/L3/L4协议头各字段的流量分类；支持CAR流量限制支持802.1P/DSCP优先级重新标记；支持SP、WRR、SP+WRR等队列调度方式；支持Tail-Drop、WRED等拥塞避免机制；支持流量监管与流量整形；支持Ingress和Egress ACL；支持匹配L2、L3、L4和IP五元组进行复制、转发、丢弃；</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支持ICMPv6、DHCPv6、ACLv6、IPv6 Telnet；支持IPv6邻居发现；支持Path MTU发现；支持MLD 、MLD Snooping；支持IPv6静态路由、RIPng、OSPFv3、BGP4+；支持手工隧道、ISATAP隧道、6to4隧道；</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支持Console、Telnet、SSH；支持SNMP v1/v2/v3；支持TFTP方式的文件上传、下载管理；支持RMON；支持sFLOW、Netflow流量统计分析；</w:t>
            </w:r>
          </w:p>
          <w:p>
            <w:pPr>
              <w:spacing w:line="320" w:lineRule="exact"/>
              <w:jc w:val="both"/>
              <w:rPr>
                <w:rFonts w:ascii="Calibri" w:hAnsi="微软雅黑" w:eastAsia="微软雅黑"/>
                <w:sz w:val="21"/>
                <w:szCs w:val="16"/>
              </w:rPr>
            </w:pPr>
            <w:r>
              <w:rPr>
                <w:rFonts w:hint="eastAsia" w:ascii="Calibri" w:hAnsi="微软雅黑" w:eastAsia="微软雅黑"/>
                <w:sz w:val="21"/>
                <w:szCs w:val="16"/>
              </w:rPr>
              <w:t>工作温度：0℃～+40℃；</w:t>
            </w:r>
          </w:p>
        </w:tc>
        <w:tc>
          <w:tcPr>
            <w:tcW w:w="1376" w:type="dxa"/>
            <w:shd w:val="clear" w:color="auto" w:fill="auto"/>
            <w:vAlign w:val="center"/>
          </w:tcPr>
          <w:p>
            <w:pPr>
              <w:spacing w:line="320" w:lineRule="exact"/>
              <w:jc w:val="both"/>
              <w:rPr>
                <w:rFonts w:ascii="Calibri" w:hAnsi="微软雅黑" w:eastAsia="微软雅黑"/>
                <w:sz w:val="21"/>
                <w:szCs w:val="16"/>
              </w:rPr>
            </w:pPr>
            <w:r>
              <w:rPr>
                <w:rFonts w:hint="eastAsia" w:ascii="Calibri" w:hAnsi="微软雅黑" w:eastAsia="微软雅黑"/>
                <w:sz w:val="21"/>
                <w:szCs w:val="16"/>
              </w:rPr>
              <w:t> </w:t>
            </w:r>
          </w:p>
        </w:tc>
      </w:tr>
    </w:tbl>
    <w:p>
      <w:pPr>
        <w:pStyle w:val="3"/>
        <w:numPr>
          <w:ilvl w:val="0"/>
          <w:numId w:val="0"/>
        </w:numPr>
        <w:jc w:val="both"/>
      </w:pPr>
      <w:r>
        <w:rPr>
          <w:rFonts w:hint="eastAsia"/>
        </w:rPr>
        <w:t>四、商务要求</w:t>
      </w:r>
    </w:p>
    <w:p>
      <w:pPr>
        <w:ind w:firstLine="480" w:firstLineChars="200"/>
        <w:jc w:val="both"/>
      </w:pPr>
      <w:r>
        <w:t>（一）交付期：合同签订后五个工作日完成所有货物交付并验收合格。</w:t>
      </w:r>
    </w:p>
    <w:p>
      <w:pPr>
        <w:ind w:firstLine="480" w:firstLineChars="200"/>
        <w:jc w:val="both"/>
      </w:pPr>
      <w:r>
        <w:t>（二）质保期：货物验收合格之日起三年。</w:t>
      </w:r>
    </w:p>
    <w:p>
      <w:pPr>
        <w:ind w:firstLine="420" w:firstLineChars="200"/>
        <w:jc w:val="both"/>
      </w:pPr>
      <w:r>
        <w:rPr>
          <w:rFonts w:ascii="Calibri" w:hAnsi="宋体" w:eastAsia="宋体" w:cstheme="minorHAnsi"/>
          <w:bCs/>
          <w:sz w:val="21"/>
          <w:szCs w:val="21"/>
        </w:rPr>
        <w:t>★</w:t>
      </w:r>
      <w:r>
        <w:rPr>
          <w:rFonts w:ascii="Calibri" w:hAnsi="Calibri" w:eastAsia="宋体" w:cstheme="minorHAnsi"/>
          <w:color w:val="000000"/>
          <w:kern w:val="24"/>
        </w:rPr>
        <w:t>（三）</w:t>
      </w:r>
      <w:r>
        <w:rPr>
          <w:rFonts w:hint="eastAsia" w:ascii="Calibri" w:hAnsi="Calibri" w:eastAsia="宋体" w:cstheme="minorHAnsi"/>
          <w:color w:val="000000"/>
          <w:kern w:val="24"/>
        </w:rPr>
        <w:t>采购清单内管理PC属于《节能产品政府采购品目清单》内强制采购的品目，供应商须提供上述所投产品的有效期内的节能产品认证证书。</w:t>
      </w:r>
    </w:p>
    <w:p>
      <w:pPr>
        <w:pStyle w:val="81"/>
        <w:ind w:firstLine="0" w:firstLineChars="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3"/>
        <w:jc w:val="center"/>
      </w:pPr>
      <w:r>
        <w:t>采购包二</w:t>
      </w:r>
    </w:p>
    <w:p>
      <w:pPr>
        <w:pStyle w:val="3"/>
        <w:jc w:val="both"/>
      </w:pPr>
      <w:r>
        <w:rPr>
          <w:rFonts w:hint="eastAsia"/>
        </w:rPr>
        <w:t>一、项目概况</w:t>
      </w:r>
    </w:p>
    <w:p>
      <w:pPr>
        <w:ind w:firstLine="480" w:firstLineChars="200"/>
        <w:jc w:val="both"/>
      </w:pPr>
      <w:r>
        <w:t>本项目旨在通过升级校园监控系统，全面提升小学安全防护与教学管理水平。现面向优质供应商采购智能化监控设备及配套服务</w:t>
      </w:r>
      <w:r>
        <w:rPr>
          <w:rFonts w:hint="eastAsia"/>
        </w:rPr>
        <w:t>，实现校园重点区域（校门、走廊、操场等）24小时高清监控覆盖。</w:t>
      </w:r>
    </w:p>
    <w:p>
      <w:pPr>
        <w:pStyle w:val="3"/>
        <w:jc w:val="both"/>
      </w:pPr>
      <w:r>
        <w:rPr>
          <w:rFonts w:hint="eastAsia"/>
        </w:rPr>
        <w:t>二、磋商采购内容</w:t>
      </w:r>
    </w:p>
    <w:tbl>
      <w:tblPr>
        <w:tblStyle w:val="24"/>
        <w:tblW w:w="470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13"/>
        <w:gridCol w:w="4285"/>
        <w:gridCol w:w="835"/>
        <w:gridCol w:w="1036"/>
        <w:gridCol w:w="186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序号</w:t>
            </w:r>
          </w:p>
        </w:tc>
        <w:tc>
          <w:tcPr>
            <w:tcW w:w="2452"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产品类别</w:t>
            </w:r>
          </w:p>
        </w:tc>
        <w:tc>
          <w:tcPr>
            <w:tcW w:w="478"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单位</w:t>
            </w:r>
          </w:p>
        </w:tc>
        <w:tc>
          <w:tcPr>
            <w:tcW w:w="593"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数量</w:t>
            </w:r>
          </w:p>
        </w:tc>
        <w:tc>
          <w:tcPr>
            <w:tcW w:w="1069"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规格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2452" w:type="pct"/>
            <w:tcBorders>
              <w:top w:val="single" w:color="auto" w:sz="2" w:space="0"/>
            </w:tcBorders>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光模块</w:t>
            </w:r>
          </w:p>
        </w:tc>
        <w:tc>
          <w:tcPr>
            <w:tcW w:w="478"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台</w:t>
            </w:r>
          </w:p>
        </w:tc>
        <w:tc>
          <w:tcPr>
            <w:tcW w:w="593"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36</w:t>
            </w:r>
          </w:p>
        </w:tc>
        <w:tc>
          <w:tcPr>
            <w:tcW w:w="1069" w:type="pct"/>
            <w:tcBorders>
              <w:top w:val="single" w:color="auto" w:sz="2" w:space="0"/>
            </w:tcBorders>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综合布线施工</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米</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27000</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3</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开沟及地面恢复施工</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米</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50</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4</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辅材</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项</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5</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网线</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米</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25000</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核心产品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6</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电源线</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米</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2000</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7</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光缆</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米</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2000</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8</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机房改造</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项</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9</w:t>
            </w:r>
          </w:p>
        </w:tc>
        <w:tc>
          <w:tcPr>
            <w:tcW w:w="2452"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监控室改造</w:t>
            </w:r>
          </w:p>
        </w:tc>
        <w:tc>
          <w:tcPr>
            <w:tcW w:w="478"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项</w:t>
            </w:r>
          </w:p>
        </w:tc>
        <w:tc>
          <w:tcPr>
            <w:tcW w:w="593" w:type="pct"/>
            <w:shd w:val="clear" w:color="auto" w:fill="auto"/>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1</w:t>
            </w:r>
          </w:p>
        </w:tc>
        <w:tc>
          <w:tcPr>
            <w:tcW w:w="1069" w:type="pct"/>
            <w:shd w:val="clear" w:color="auto" w:fill="auto"/>
            <w:vAlign w:val="center"/>
          </w:tcPr>
          <w:p>
            <w:pPr>
              <w:spacing w:line="320" w:lineRule="exact"/>
              <w:jc w:val="center"/>
              <w:rPr>
                <w:rFonts w:ascii="Calibri" w:hAnsi="微软雅黑" w:eastAsia="微软雅黑"/>
                <w:color w:val="000000"/>
                <w:sz w:val="21"/>
                <w:szCs w:val="16"/>
              </w:rPr>
            </w:pPr>
          </w:p>
        </w:tc>
      </w:tr>
    </w:tbl>
    <w:p>
      <w:pPr>
        <w:pStyle w:val="3"/>
        <w:numPr>
          <w:ilvl w:val="0"/>
          <w:numId w:val="0"/>
        </w:numPr>
        <w:jc w:val="both"/>
      </w:pPr>
      <w:r>
        <w:t>三、</w:t>
      </w:r>
      <w:r>
        <w:rPr>
          <w:rFonts w:hint="eastAsia"/>
        </w:rPr>
        <w:t>技术参数要求</w:t>
      </w:r>
    </w:p>
    <w:tbl>
      <w:tblPr>
        <w:tblStyle w:val="24"/>
        <w:tblW w:w="477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89"/>
        <w:gridCol w:w="5385"/>
        <w:gridCol w:w="18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产品类别</w:t>
            </w:r>
          </w:p>
        </w:tc>
        <w:tc>
          <w:tcPr>
            <w:tcW w:w="3037"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参数要求</w:t>
            </w:r>
          </w:p>
        </w:tc>
        <w:tc>
          <w:tcPr>
            <w:tcW w:w="1068" w:type="pc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color w:val="000000"/>
                <w:sz w:val="21"/>
              </w:rPr>
            </w:pPr>
            <w:r>
              <w:rPr>
                <w:rFonts w:hint="eastAsia" w:ascii="Calibri" w:hAnsi="微软雅黑" w:eastAsia="微软雅黑"/>
                <w:b/>
                <w:bCs/>
                <w:color w:val="000000"/>
                <w:sz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tcBorders>
              <w:top w:val="single" w:color="auto" w:sz="2" w:space="0"/>
            </w:tcBorders>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光模块</w:t>
            </w:r>
          </w:p>
        </w:tc>
        <w:tc>
          <w:tcPr>
            <w:tcW w:w="3037" w:type="pct"/>
            <w:tcBorders>
              <w:top w:val="single" w:color="auto" w:sz="2" w:space="0"/>
            </w:tcBorders>
            <w:shd w:val="clear" w:color="000000" w:fill="FFFFFF"/>
            <w:vAlign w:val="center"/>
          </w:tcPr>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传输速率：≥GE</w:t>
            </w:r>
            <w:r>
              <w:rPr>
                <w:rFonts w:ascii="Calibri" w:hAnsi="微软雅黑" w:eastAsia="微软雅黑"/>
                <w:color w:val="000000"/>
                <w:sz w:val="21"/>
                <w:szCs w:val="16"/>
              </w:rPr>
              <w:br w:type="textWrapping"/>
            </w:r>
            <w:r>
              <w:rPr>
                <w:rFonts w:hint="eastAsia" w:ascii="Calibri" w:hAnsi="微软雅黑" w:eastAsia="微软雅黑"/>
                <w:color w:val="000000"/>
                <w:sz w:val="21"/>
                <w:szCs w:val="16"/>
              </w:rPr>
              <w:t>中心波长1310nm</w:t>
            </w:r>
          </w:p>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接头类型：LC</w:t>
            </w:r>
          </w:p>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发送光功率：-9.5-2.5</w:t>
            </w:r>
          </w:p>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接收灵敏度MAX值：≤-17</w:t>
            </w:r>
          </w:p>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工作温度：0℃-70℃</w:t>
            </w:r>
          </w:p>
        </w:tc>
        <w:tc>
          <w:tcPr>
            <w:tcW w:w="1068" w:type="pct"/>
            <w:tcBorders>
              <w:top w:val="single" w:color="auto" w:sz="2" w:space="0"/>
            </w:tcBorders>
            <w:shd w:val="clear" w:color="000000" w:fill="FFFFFF"/>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综合布线施工</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施工全程需符合《综合布线系统工程验收规范》（GB/T 50312-2016）及ISO/IEC 11801标准</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开沟及地面恢复施工</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光（电）线缆沟挖深≥70cm，敷设完毕后分层夯实，恢复原路面</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辅材</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水晶头、线管、钢管，电源线、线卡等符合工程要求</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网线</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超五类网线以上，国产一线品牌</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核心产品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电源线</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ascii="Calibri" w:hAnsi="微软雅黑" w:eastAsia="微软雅黑"/>
                <w:color w:val="000000"/>
                <w:sz w:val="21"/>
                <w:szCs w:val="16"/>
              </w:rPr>
              <w:t>RVV2*1.0</w:t>
            </w:r>
            <w:r>
              <w:rPr>
                <w:rFonts w:hint="eastAsia" w:ascii="Calibri" w:hAnsi="微软雅黑" w:eastAsia="微软雅黑"/>
                <w:color w:val="000000"/>
                <w:sz w:val="21"/>
                <w:szCs w:val="16"/>
              </w:rPr>
              <w:t>，国产一线品牌</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光缆</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12芯光纤，国产一线品牌</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机房改造</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ascii="Calibri" w:hAnsi="微软雅黑" w:eastAsia="微软雅黑"/>
                <w:color w:val="000000"/>
                <w:sz w:val="21"/>
                <w:szCs w:val="16"/>
              </w:rPr>
              <w:t>1、</w:t>
            </w:r>
            <w:r>
              <w:rPr>
                <w:rFonts w:hint="eastAsia" w:ascii="Calibri" w:hAnsi="微软雅黑" w:eastAsia="微软雅黑"/>
                <w:color w:val="000000"/>
                <w:sz w:val="21"/>
                <w:szCs w:val="16"/>
              </w:rPr>
              <w:t>机房隔断</w:t>
            </w:r>
          </w:p>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2、铺设静电地板</w:t>
            </w:r>
          </w:p>
          <w:p>
            <w:pPr>
              <w:spacing w:line="320" w:lineRule="exact"/>
              <w:jc w:val="both"/>
              <w:rPr>
                <w:rFonts w:ascii="Calibri" w:hAnsi="微软雅黑" w:eastAsia="微软雅黑"/>
                <w:color w:val="000000"/>
                <w:sz w:val="21"/>
                <w:szCs w:val="16"/>
              </w:rPr>
            </w:pPr>
            <w:r>
              <w:rPr>
                <w:rFonts w:ascii="Calibri" w:hAnsi="微软雅黑" w:eastAsia="微软雅黑"/>
                <w:color w:val="000000"/>
                <w:sz w:val="21"/>
                <w:szCs w:val="16"/>
              </w:rPr>
              <w:t>3、机房接地需采用联合接地方式，确保直流工作接地≤1Ω、交流工作接地≤4Ω、安全保护接地≤4Ω、防雷接地≤10Ω（共用接地系统需≤1Ω），并遵循《电子计算机机房设计规范》等国家标准。</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6" w:type="pct"/>
            <w:shd w:val="clear" w:color="000000" w:fill="FFFFFF"/>
            <w:vAlign w:val="center"/>
          </w:tcPr>
          <w:p>
            <w:pPr>
              <w:spacing w:line="320" w:lineRule="exact"/>
              <w:jc w:val="center"/>
              <w:rPr>
                <w:rFonts w:ascii="Calibri" w:hAnsi="微软雅黑" w:eastAsia="微软雅黑"/>
                <w:color w:val="000000"/>
                <w:sz w:val="21"/>
                <w:szCs w:val="16"/>
              </w:rPr>
            </w:pPr>
            <w:r>
              <w:rPr>
                <w:rFonts w:hint="eastAsia" w:ascii="Calibri" w:hAnsi="微软雅黑" w:eastAsia="微软雅黑"/>
                <w:color w:val="000000"/>
                <w:sz w:val="21"/>
                <w:szCs w:val="16"/>
              </w:rPr>
              <w:t>监控室改造</w:t>
            </w:r>
          </w:p>
        </w:tc>
        <w:tc>
          <w:tcPr>
            <w:tcW w:w="3037" w:type="pct"/>
            <w:shd w:val="clear" w:color="000000" w:fill="FFFFFF"/>
            <w:vAlign w:val="center"/>
          </w:tcPr>
          <w:p>
            <w:pPr>
              <w:spacing w:line="320" w:lineRule="exact"/>
              <w:jc w:val="both"/>
              <w:rPr>
                <w:rFonts w:ascii="Calibri" w:hAnsi="微软雅黑" w:eastAsia="微软雅黑"/>
                <w:color w:val="000000"/>
                <w:sz w:val="21"/>
                <w:szCs w:val="16"/>
              </w:rPr>
            </w:pPr>
            <w:r>
              <w:rPr>
                <w:rFonts w:hint="eastAsia" w:ascii="Calibri" w:hAnsi="微软雅黑" w:eastAsia="微软雅黑"/>
                <w:color w:val="000000"/>
                <w:sz w:val="21"/>
                <w:szCs w:val="16"/>
              </w:rPr>
              <w:t>1、拆除原有电视墙</w:t>
            </w:r>
          </w:p>
          <w:p>
            <w:pPr>
              <w:spacing w:line="320" w:lineRule="exact"/>
              <w:jc w:val="both"/>
              <w:rPr>
                <w:rFonts w:ascii="Calibri" w:hAnsi="微软雅黑" w:eastAsia="微软雅黑"/>
                <w:color w:val="000000"/>
                <w:sz w:val="21"/>
                <w:szCs w:val="16"/>
              </w:rPr>
            </w:pPr>
            <w:r>
              <w:rPr>
                <w:rFonts w:ascii="Calibri" w:hAnsi="微软雅黑" w:eastAsia="微软雅黑"/>
                <w:color w:val="000000"/>
                <w:sz w:val="21"/>
                <w:szCs w:val="16"/>
              </w:rPr>
              <w:t>2、</w:t>
            </w:r>
            <w:r>
              <w:rPr>
                <w:rFonts w:hint="eastAsia" w:ascii="Calibri" w:hAnsi="微软雅黑" w:eastAsia="微软雅黑"/>
                <w:color w:val="000000"/>
                <w:sz w:val="21"/>
                <w:szCs w:val="16"/>
              </w:rPr>
              <w:t>预埋管线并恢复墙面</w:t>
            </w:r>
          </w:p>
        </w:tc>
        <w:tc>
          <w:tcPr>
            <w:tcW w:w="1068" w:type="pct"/>
            <w:shd w:val="clear" w:color="000000" w:fill="FFFFFF"/>
            <w:vAlign w:val="center"/>
          </w:tcPr>
          <w:p>
            <w:pPr>
              <w:spacing w:line="320" w:lineRule="exact"/>
              <w:jc w:val="center"/>
              <w:rPr>
                <w:rFonts w:ascii="Calibri" w:hAnsi="微软雅黑" w:eastAsia="微软雅黑"/>
                <w:color w:val="000000"/>
                <w:sz w:val="21"/>
                <w:szCs w:val="16"/>
              </w:rPr>
            </w:pPr>
          </w:p>
        </w:tc>
      </w:tr>
    </w:tbl>
    <w:p>
      <w:pPr>
        <w:pStyle w:val="3"/>
        <w:numPr>
          <w:ilvl w:val="0"/>
          <w:numId w:val="0"/>
        </w:numPr>
        <w:jc w:val="both"/>
      </w:pPr>
      <w:r>
        <w:t>四、服务要求</w:t>
      </w:r>
    </w:p>
    <w:p>
      <w:pPr>
        <w:ind w:firstLine="480" w:firstLineChars="200"/>
      </w:pPr>
      <w:r>
        <w:rPr>
          <w:rFonts w:hint="eastAsia"/>
        </w:rPr>
        <w:t>（一）接受采购人的安全、质量、进度的管理。</w:t>
      </w:r>
    </w:p>
    <w:p>
      <w:pPr>
        <w:ind w:firstLine="480" w:firstLineChars="200"/>
      </w:pPr>
      <w:r>
        <w:rPr>
          <w:rFonts w:hint="eastAsia"/>
        </w:rPr>
        <w:t xml:space="preserve">（二）执行采购人的相关安全、质量和文明生产等管理制度。 </w:t>
      </w:r>
    </w:p>
    <w:p>
      <w:pPr>
        <w:ind w:firstLine="480" w:firstLineChars="200"/>
      </w:pPr>
      <w:r>
        <w:rPr>
          <w:rFonts w:hint="eastAsia"/>
        </w:rPr>
        <w:t xml:space="preserve">（三）对服务器具和现场采取必要的安全防卫措施。 </w:t>
      </w:r>
    </w:p>
    <w:p>
      <w:pPr>
        <w:ind w:firstLine="480" w:firstLineChars="200"/>
      </w:pPr>
      <w:r>
        <w:rPr>
          <w:rFonts w:hint="eastAsia"/>
        </w:rPr>
        <w:t xml:space="preserve">（四）保证服务现场清洁，每天做到工完料尽场地清，达到采购人文明服务要求。 </w:t>
      </w:r>
    </w:p>
    <w:p>
      <w:pPr>
        <w:ind w:firstLine="480" w:firstLineChars="200"/>
      </w:pPr>
      <w:r>
        <w:rPr>
          <w:rFonts w:hint="eastAsia"/>
        </w:rPr>
        <w:t>（五）向采购人提供质量、安全和进度的保证措施。</w:t>
      </w:r>
    </w:p>
    <w:p>
      <w:pPr>
        <w:ind w:firstLine="480" w:firstLineChars="200"/>
      </w:pPr>
      <w:r>
        <w:rPr>
          <w:rFonts w:hint="eastAsia"/>
        </w:rPr>
        <w:t>（六）及时联系采购人进行验收，并保存好验收记录。</w:t>
      </w:r>
    </w:p>
    <w:p>
      <w:pPr>
        <w:ind w:firstLine="480" w:firstLineChars="200"/>
      </w:pPr>
      <w:r>
        <w:rPr>
          <w:rFonts w:hint="eastAsia"/>
        </w:rPr>
        <w:t>（七）做好服务人员的安全劳动保护工作。</w:t>
      </w:r>
    </w:p>
    <w:p>
      <w:pPr>
        <w:ind w:firstLine="480" w:firstLineChars="200"/>
      </w:pPr>
      <w:r>
        <w:rPr>
          <w:rFonts w:hint="eastAsia"/>
        </w:rPr>
        <w:t>（八）供应商应提供完善的售后服务，包括设备安装、调试、培训等，确保系统的稳定性和安全性。</w:t>
      </w:r>
    </w:p>
    <w:p>
      <w:pPr>
        <w:ind w:firstLine="480" w:firstLineChars="200"/>
      </w:pPr>
      <w:r>
        <w:t>（九）</w:t>
      </w:r>
      <w:r>
        <w:rPr>
          <w:rFonts w:hint="eastAsia"/>
        </w:rPr>
        <w:t>针对本项目提供具体可行的维修服务具体时限与优惠措施承诺。</w:t>
      </w:r>
    </w:p>
    <w:p>
      <w:pPr>
        <w:pStyle w:val="3"/>
        <w:numPr>
          <w:ilvl w:val="0"/>
          <w:numId w:val="0"/>
        </w:numPr>
        <w:jc w:val="both"/>
      </w:pPr>
      <w:r>
        <w:rPr>
          <w:rFonts w:hint="eastAsia"/>
        </w:rPr>
        <w:t>五、商务要求</w:t>
      </w:r>
    </w:p>
    <w:p>
      <w:pPr>
        <w:ind w:firstLine="480" w:firstLineChars="200"/>
      </w:pPr>
      <w:r>
        <w:t>（一）交付期：自合同</w:t>
      </w:r>
      <w:r>
        <w:rPr>
          <w:rFonts w:hint="eastAsia"/>
          <w:color w:val="FF0000"/>
        </w:rPr>
        <w:t>签订之日起</w:t>
      </w:r>
      <w:r>
        <w:rPr>
          <w:color w:val="FF0000"/>
        </w:rPr>
        <w:t>30</w:t>
      </w:r>
      <w:r>
        <w:rPr>
          <w:rFonts w:hint="eastAsia"/>
          <w:color w:val="FF0000"/>
        </w:rPr>
        <w:t>个日历日完成全部项目内容，并交付采购人验收。</w:t>
      </w:r>
    </w:p>
    <w:p>
      <w:pPr>
        <w:ind w:firstLine="480" w:firstLineChars="200"/>
        <w:jc w:val="both"/>
      </w:pPr>
      <w:r>
        <w:t>（二）质保期：验收合格之日起三年。</w:t>
      </w:r>
    </w:p>
    <w:p>
      <w:pPr>
        <w:rPr>
          <w:rFonts w:ascii="Calibri" w:hAnsi="Calibri" w:eastAsia="宋体" w:cstheme="minorHAnsi"/>
          <w:color w:val="000000"/>
          <w:kern w:val="24"/>
        </w:rPr>
      </w:pPr>
      <w:r>
        <w:br w:type="page"/>
      </w:r>
    </w:p>
    <w:p>
      <w:pPr>
        <w:pStyle w:val="2"/>
        <w:spacing w:before="230" w:after="230"/>
      </w:pPr>
      <w:r>
        <w:rPr>
          <w:rFonts w:hint="eastAsia"/>
        </w:rPr>
        <w:t>第四章　合同草案条款</w:t>
      </w:r>
    </w:p>
    <w:p>
      <w:pPr>
        <w:jc w:val="center"/>
        <w:rPr>
          <w:b/>
          <w:sz w:val="28"/>
          <w:szCs w:val="28"/>
        </w:rPr>
      </w:pPr>
      <w:r>
        <w:rPr>
          <w:b/>
          <w:sz w:val="28"/>
          <w:szCs w:val="28"/>
        </w:rPr>
        <w:t>采购包一</w:t>
      </w:r>
    </w:p>
    <w:p>
      <w:pPr>
        <w:spacing w:before="230" w:beforeLines="50"/>
        <w:ind w:firstLine="480" w:firstLineChars="200"/>
        <w:jc w:val="both"/>
        <w:rPr>
          <w:b/>
        </w:rPr>
      </w:pPr>
      <w:r>
        <w:rPr>
          <w:b/>
        </w:rPr>
        <w:t>甲方（采购人）：</w:t>
      </w:r>
      <w:r>
        <w:rPr>
          <w:b/>
          <w:color w:val="C00000"/>
          <w:u w:val="single"/>
        </w:rPr>
        <w:t>长安师范学校附属小学</w:t>
      </w:r>
    </w:p>
    <w:p>
      <w:pPr>
        <w:ind w:firstLine="480" w:firstLineChars="200"/>
        <w:jc w:val="both"/>
        <w:rPr>
          <w:b/>
        </w:rPr>
      </w:pPr>
      <w:r>
        <w:rPr>
          <w:b/>
        </w:rPr>
        <w:t>乙方（成交供应商）：</w:t>
      </w:r>
      <w:r>
        <w:rPr>
          <w:color w:val="C00000"/>
        </w:rPr>
        <w:t>_________________</w:t>
      </w:r>
    </w:p>
    <w:p>
      <w:pPr>
        <w:spacing w:before="230" w:beforeLines="50"/>
        <w:jc w:val="both"/>
        <w:rPr>
          <w:rFonts w:cs="Calibri Light"/>
          <w:b/>
        </w:rPr>
      </w:pPr>
      <w:r>
        <w:rPr>
          <w:rFonts w:cs="Calibri Light"/>
          <w:b/>
        </w:rPr>
        <w:t>一、供货条件：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（一）供货地点：甲方指定地点。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（二）交付</w:t>
      </w:r>
      <w:r>
        <w:rPr>
          <w:rFonts w:hint="eastAsia" w:asciiTheme="minorHAnsi" w:hAnsiTheme="minorHAnsi" w:eastAsiaTheme="minorEastAsia"/>
          <w:sz w:val="24"/>
          <w:szCs w:val="24"/>
        </w:rPr>
        <w:t>期：合同签订后五个工作日完成所有货物交付并验收合格。</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（三）质保期：货物验收合格之日起三年。</w:t>
      </w:r>
    </w:p>
    <w:p>
      <w:pPr>
        <w:spacing w:before="230" w:beforeLines="50"/>
        <w:jc w:val="both"/>
        <w:rPr>
          <w:rFonts w:cs="Calibri Light"/>
          <w:b/>
        </w:rPr>
      </w:pPr>
      <w:r>
        <w:rPr>
          <w:rFonts w:cs="Calibri Light"/>
          <w:b/>
        </w:rPr>
        <w:t>二、合同价款</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（二）总报价包括完成本项目所需的原材料成本、设计费、运杂费（含保险费用）、安装调试费、售后服务费、备品备件费、税金及合理利润等全部费用。采购人不再额外承担其他任何费用。</w:t>
      </w:r>
    </w:p>
    <w:p>
      <w:pPr>
        <w:ind w:firstLine="480" w:firstLineChars="200"/>
        <w:jc w:val="both"/>
      </w:pPr>
      <w:r>
        <w:t>（三）伴随服务（费用包含在总报价内）：全部设备的技术设计、运输、安装调试、摆放位置或地点变更、人员培训、售后服务、含税等费用。</w:t>
      </w:r>
    </w:p>
    <w:p>
      <w:pPr>
        <w:spacing w:before="230" w:beforeLines="50"/>
        <w:jc w:val="both"/>
        <w:rPr>
          <w:rFonts w:cs="Calibri Light"/>
          <w:b/>
        </w:rPr>
      </w:pPr>
      <w:r>
        <w:rPr>
          <w:rFonts w:cs="Calibri Light"/>
          <w:b/>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1．预付款：合同签订后10日内按合同总价的50%支付预付款。</w:t>
      </w:r>
    </w:p>
    <w:p>
      <w:pPr>
        <w:pStyle w:val="40"/>
        <w:spacing w:line="240" w:lineRule="auto"/>
        <w:ind w:firstLine="480" w:firstLineChars="200"/>
        <w:jc w:val="both"/>
        <w:rPr>
          <w:rFonts w:asciiTheme="minorHAnsi" w:hAnsiTheme="minorHAnsi" w:eastAsiaTheme="minorEastAsia"/>
        </w:rPr>
      </w:pPr>
      <w:r>
        <w:rPr>
          <w:rFonts w:asciiTheme="minorHAnsi" w:hAnsiTheme="minorHAnsi" w:eastAsiaTheme="minorEastAsia"/>
          <w:sz w:val="24"/>
          <w:szCs w:val="24"/>
        </w:rPr>
        <w:t>2．尾款：全部货物安装完成并验收合格后，乙方向甲方递交正规合法发票、相关证明文件后，甲方在收到上述文件10</w:t>
      </w:r>
      <w:r>
        <w:rPr>
          <w:rFonts w:hint="eastAsia" w:asciiTheme="minorHAnsi" w:hAnsiTheme="minorHAnsi" w:eastAsiaTheme="minorEastAsia"/>
          <w:sz w:val="24"/>
          <w:szCs w:val="24"/>
        </w:rPr>
        <w:t>个工作</w:t>
      </w:r>
      <w:r>
        <w:rPr>
          <w:rFonts w:asciiTheme="minorHAnsi" w:hAnsiTheme="minorHAnsi" w:eastAsiaTheme="minorEastAsia"/>
          <w:sz w:val="24"/>
          <w:szCs w:val="24"/>
        </w:rPr>
        <w:t>日内支付剩余合同价款。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（三）结算方式：交付期满后填写政府采购项目验收单（一式伍份），发票（按合同总价直开甲方），乙方持成交通知书、政府采购合同、发票、政府采购项目验收单，与甲方结算。</w:t>
      </w:r>
    </w:p>
    <w:p>
      <w:pPr>
        <w:spacing w:before="230" w:beforeLines="50"/>
        <w:jc w:val="both"/>
        <w:rPr>
          <w:rFonts w:cs="Calibri Light"/>
          <w:b/>
        </w:rPr>
      </w:pPr>
      <w:r>
        <w:rPr>
          <w:rFonts w:cs="Calibri Light"/>
          <w:b/>
        </w:rPr>
        <w:t>四、双方的权利和义务</w:t>
      </w:r>
    </w:p>
    <w:p>
      <w:pPr>
        <w:pStyle w:val="40"/>
        <w:spacing w:line="240" w:lineRule="auto"/>
        <w:ind w:firstLine="480" w:firstLineChars="200"/>
        <w:jc w:val="both"/>
        <w:rPr>
          <w:rFonts w:asciiTheme="minorHAnsi" w:hAnsiTheme="minorHAnsi" w:eastAsiaTheme="minorEastAsia"/>
          <w:b/>
          <w:vanish/>
          <w:sz w:val="24"/>
          <w:szCs w:val="24"/>
        </w:rPr>
      </w:pPr>
      <w:r>
        <w:rPr>
          <w:rFonts w:asciiTheme="minorHAnsi" w:hAnsiTheme="minorHAnsi" w:eastAsiaTheme="minorEastAsia"/>
          <w:b/>
          <w:sz w:val="24"/>
          <w:szCs w:val="24"/>
        </w:rPr>
        <w:t>（一）甲方的权利和义务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1．甲方有义务保证按合同所规定的内容及时间支付乙方相关费用。</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2．因乙方原因供货延误，给甲方造成损失或被第三方要求索赔的，乙方应全额承担。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3．国家法律、法规所规定由甲方承担的其它责任。</w:t>
      </w:r>
    </w:p>
    <w:p>
      <w:pPr>
        <w:pStyle w:val="40"/>
        <w:widowControl w:val="0"/>
        <w:spacing w:before="230" w:beforeLines="50"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（二）乙方的权利和义务</w:t>
      </w:r>
    </w:p>
    <w:p>
      <w:pPr>
        <w:pStyle w:val="40"/>
        <w:widowControl w:val="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1、国家法律、法规所规定由乙方承担的其它责任。</w:t>
      </w:r>
    </w:p>
    <w:p>
      <w:pPr>
        <w:spacing w:before="230" w:beforeLines="50"/>
        <w:jc w:val="both"/>
        <w:rPr>
          <w:rFonts w:cs="Calibri Light"/>
          <w:b/>
        </w:rPr>
      </w:pPr>
      <w:r>
        <w:rPr>
          <w:rFonts w:cs="Calibri Light"/>
          <w:b/>
        </w:rPr>
        <w:t>五、知识产权及承诺</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（一）乙方保证所提供的货物或其任何一部分均不会侵犯任何第三方的专利权、商标权、著作权或其他合法权益，否则视为乙方违约，由此产生的一切损失由乙方承担。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pPr>
        <w:spacing w:before="230" w:beforeLines="50"/>
        <w:jc w:val="both"/>
        <w:rPr>
          <w:rFonts w:cs="Calibri Light"/>
          <w:b/>
        </w:rPr>
      </w:pPr>
      <w:r>
        <w:rPr>
          <w:rFonts w:hint="eastAsia" w:cs="Calibri Light"/>
          <w:b/>
        </w:rPr>
        <w:t>六</w:t>
      </w:r>
      <w:r>
        <w:rPr>
          <w:rFonts w:cs="Calibri Light"/>
          <w:b/>
        </w:rPr>
        <w:t>、包装</w:t>
      </w:r>
      <w:r>
        <w:rPr>
          <w:rFonts w:hint="eastAsia" w:cs="Calibri Light"/>
          <w:b/>
        </w:rPr>
        <w:t>和</w:t>
      </w:r>
      <w:r>
        <w:rPr>
          <w:rFonts w:cs="Calibri Light"/>
          <w:b/>
        </w:rPr>
        <w:t>运输</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（一）产品及其备附件的包装应为出厂时的原包装，包装内应附有详细的装箱清单、出厂合格证明及其他相关资料。</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（二）运输由乙方负责，运杂费已包含在合同价款内，包括从产品供应地点运送至交付地点所含的运输费、装卸费、仓储费、保险费等。</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（三）运输方式由乙方自行选择，但必须保证按期交付。</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（四）乙方提供的产品及相关快递服务的包装要求，应该</w:t>
      </w:r>
      <w:r>
        <w:rPr>
          <w:rFonts w:asciiTheme="minorHAnsi" w:hAnsiTheme="minorHAnsi" w:eastAsiaTheme="minorEastAsia"/>
          <w:sz w:val="24"/>
          <w:szCs w:val="24"/>
        </w:rPr>
        <w:t>严格</w:t>
      </w:r>
      <w:r>
        <w:rPr>
          <w:rFonts w:hint="eastAsia" w:asciiTheme="minorHAnsi" w:hAnsiTheme="minorHAnsi" w:eastAsiaTheme="minorEastAsia"/>
          <w:sz w:val="24"/>
          <w:szCs w:val="24"/>
        </w:rPr>
        <w:t>按照《商品包装政府采购需求标准（试行）》、《快递包装政府采购需求标准（试行）》（财库办〔2020﹞123号）文件执行。</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（五）产品及其备附件到达甲方指定地点后，乙方应按有关技术规程和甲方要求进行存放和保管。</w:t>
      </w:r>
    </w:p>
    <w:p>
      <w:pPr>
        <w:spacing w:before="230" w:beforeLines="50"/>
        <w:jc w:val="both"/>
        <w:rPr>
          <w:rFonts w:cs="Calibri Light"/>
          <w:b/>
        </w:rPr>
      </w:pPr>
      <w:r>
        <w:rPr>
          <w:rFonts w:hint="eastAsia" w:cs="Calibri Light"/>
          <w:b/>
        </w:rPr>
        <w:t>七</w:t>
      </w:r>
      <w:r>
        <w:rPr>
          <w:rFonts w:cs="Calibri Light"/>
          <w:b/>
        </w:rPr>
        <w:t>、验收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（一）全部货物送达指定地点后，甲方有权委托相关质检单位对其进行抽样检测，抽样检测费用由乙方承担。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（二）项目完工后，乙方向甲方发出验收申请。甲方组织乙方（必要时请有关专家）进行验收，验收合格后，填写政府采购项目验收单（一式伍份）作为对项目的最终认可。</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（三）乙方向甲方提供实施过程中的所有资料，以便甲方日后管理和维护。</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（四）验收要求：</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2．乙方须为验收提供必需的一切条件及相关费用。其标准不能低于响应文件中所承诺的质量要求。</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（五）验收依据：</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2．本合同及其附件；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pPr>
        <w:spacing w:before="230" w:beforeLines="50"/>
        <w:jc w:val="both"/>
        <w:rPr>
          <w:rFonts w:cs="Calibri Light"/>
          <w:b/>
        </w:rPr>
      </w:pPr>
      <w:r>
        <w:rPr>
          <w:rFonts w:hint="eastAsia" w:cs="Calibri Light"/>
          <w:b/>
        </w:rPr>
        <w:t>八</w:t>
      </w:r>
      <w:r>
        <w:rPr>
          <w:rFonts w:cs="Calibri Light"/>
          <w:b/>
        </w:rPr>
        <w:t>、违约责任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1．乙方交付的货物、提供的服务不符合本合同规定的，甲方有权拒收，并且乙方须向甲方支付本合同总价10%的违约金。</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（二）其他违约责任由双方平等协商后补充。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before="230" w:beforeLines="50"/>
        <w:jc w:val="both"/>
        <w:rPr>
          <w:rFonts w:cs="Calibri Light"/>
          <w:b/>
        </w:rPr>
      </w:pPr>
      <w:r>
        <w:rPr>
          <w:rFonts w:hint="eastAsia" w:cs="Calibri Light"/>
          <w:b/>
        </w:rPr>
        <w:t>九</w:t>
      </w:r>
      <w:r>
        <w:rPr>
          <w:rFonts w:cs="Calibri Light"/>
          <w:b/>
        </w:rPr>
        <w:t>、合同的变更和修改、中止和终止</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（二）甲方因乙方不履约或乙方其他原因而解除合同的，乙方须返还甲方全部费用、赔偿甲方由此产生的损失并承担其他相关责任，相应责任承担方式按照本合同第8条约定执行。</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pPr>
        <w:spacing w:before="230" w:beforeLines="50"/>
        <w:jc w:val="both"/>
        <w:rPr>
          <w:rFonts w:cs="Calibri Light"/>
          <w:b/>
        </w:rPr>
      </w:pPr>
      <w:r>
        <w:rPr>
          <w:rFonts w:hint="eastAsia" w:cs="Calibri Light"/>
          <w:b/>
        </w:rPr>
        <w:t>十</w:t>
      </w:r>
      <w:r>
        <w:rPr>
          <w:rFonts w:cs="Calibri Light"/>
          <w:b/>
        </w:rPr>
        <w:t>、保密条款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pPr>
        <w:spacing w:before="230" w:beforeLines="50"/>
        <w:jc w:val="both"/>
        <w:rPr>
          <w:rFonts w:cs="Calibri Light"/>
          <w:b/>
        </w:rPr>
      </w:pPr>
      <w:r>
        <w:rPr>
          <w:rFonts w:cs="Calibri Light"/>
          <w:b/>
        </w:rPr>
        <w:t>十</w:t>
      </w:r>
      <w:r>
        <w:rPr>
          <w:rFonts w:hint="eastAsia" w:cs="Calibri Light"/>
          <w:b/>
        </w:rPr>
        <w:t>一</w:t>
      </w:r>
      <w:r>
        <w:rPr>
          <w:rFonts w:cs="Calibri Light"/>
          <w:b/>
        </w:rPr>
        <w:t>、争议解决</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（二）凡与本合同有关的一切争议，双方应通过友好协商解决。如协商后仍不能达成协议时，按下列第___种方式解决。</w:t>
      </w:r>
    </w:p>
    <w:p>
      <w:pPr>
        <w:wordWrap w:val="0"/>
        <w:ind w:firstLine="480" w:firstLineChars="200"/>
        <w:jc w:val="both"/>
      </w:pPr>
      <w:r>
        <w:t>1．提交西安仲裁委员会。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cs="Calibri Light"/>
          <w:b/>
        </w:rPr>
        <w:t>十</w:t>
      </w:r>
      <w:r>
        <w:rPr>
          <w:rFonts w:hint="eastAsia" w:cs="Calibri Light"/>
          <w:b/>
        </w:rPr>
        <w:t>二</w:t>
      </w:r>
      <w:r>
        <w:rPr>
          <w:rFonts w:cs="Calibri Light"/>
          <w:b/>
        </w:rPr>
        <w:t>、不可抗力</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w:t>
      </w:r>
      <w:r>
        <w:rPr>
          <w:rFonts w:hint="eastAsia" w:cs="Calibri Light"/>
          <w:b/>
        </w:rPr>
        <w:t>三</w:t>
      </w:r>
      <w:r>
        <w:rPr>
          <w:rFonts w:cs="Calibri Light"/>
          <w:b/>
        </w:rPr>
        <w:t>、合同生效及其他</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（二）合同一式4份，甲方、乙方各执2份。</w:t>
      </w:r>
    </w:p>
    <w:p>
      <w:pPr>
        <w:pStyle w:val="40"/>
        <w:spacing w:line="240" w:lineRule="auto"/>
        <w:ind w:firstLine="480" w:firstLineChars="200"/>
        <w:jc w:val="both"/>
        <w:rPr>
          <w:rFonts w:asciiTheme="minorHAnsi" w:hAnsiTheme="minorHAnsi" w:eastAsiaTheme="minorEastAsia"/>
          <w:color w:val="7030A0"/>
          <w:sz w:val="24"/>
          <w:szCs w:val="24"/>
        </w:rPr>
      </w:pPr>
      <w:r>
        <w:rPr>
          <w:rFonts w:asciiTheme="minorHAnsi" w:hAnsiTheme="minorHAnsi" w:eastAsiaTheme="minorEastAsia"/>
          <w:sz w:val="24"/>
          <w:szCs w:val="24"/>
        </w:rPr>
        <w:t>（三）未尽事宜由双方在签订合同时具体明确或签订补充合同。</w:t>
      </w:r>
    </w:p>
    <w:p>
      <w:pPr>
        <w:pStyle w:val="40"/>
        <w:spacing w:line="240" w:lineRule="auto"/>
        <w:ind w:firstLine="560" w:firstLineChars="200"/>
        <w:jc w:val="both"/>
        <w:rPr>
          <w:rFonts w:asciiTheme="minorHAnsi" w:hAnsiTheme="minorHAnsi" w:eastAsiaTheme="minorEastAsia"/>
          <w:color w:val="7030A0"/>
          <w:sz w:val="24"/>
          <w:szCs w:val="24"/>
        </w:rPr>
      </w:pPr>
      <w:r>
        <w:br w:type="page"/>
      </w:r>
    </w:p>
    <w:p>
      <w:pPr>
        <w:pStyle w:val="2"/>
        <w:spacing w:before="230" w:after="230"/>
      </w:pPr>
      <w:bookmarkStart w:id="12" w:name="_Toc100219616"/>
      <w:r>
        <w:rPr>
          <w:rFonts w:hint="eastAsia"/>
        </w:rPr>
        <w:t>合同草案条款</w:t>
      </w:r>
    </w:p>
    <w:p>
      <w:pPr>
        <w:jc w:val="center"/>
        <w:rPr>
          <w:b/>
          <w:sz w:val="28"/>
          <w:szCs w:val="28"/>
        </w:rPr>
      </w:pPr>
      <w:r>
        <w:rPr>
          <w:b/>
          <w:sz w:val="28"/>
          <w:szCs w:val="28"/>
        </w:rPr>
        <w:t>采购包二</w:t>
      </w:r>
    </w:p>
    <w:p>
      <w:pPr>
        <w:spacing w:before="230" w:beforeLines="50"/>
        <w:ind w:firstLine="480" w:firstLineChars="200"/>
        <w:jc w:val="both"/>
        <w:rPr>
          <w:b/>
        </w:rPr>
      </w:pPr>
      <w:r>
        <w:rPr>
          <w:b/>
        </w:rPr>
        <w:t>甲方（采购人）：</w:t>
      </w:r>
      <w:r>
        <w:rPr>
          <w:b/>
          <w:color w:val="C00000"/>
          <w:u w:val="single"/>
        </w:rPr>
        <w:t>长安师范学校附属小学</w:t>
      </w:r>
    </w:p>
    <w:p>
      <w:pPr>
        <w:ind w:firstLine="480" w:firstLineChars="200"/>
        <w:jc w:val="both"/>
        <w:rPr>
          <w:b/>
        </w:rPr>
      </w:pPr>
      <w:r>
        <w:rPr>
          <w:b/>
        </w:rPr>
        <w:t>乙方（成交供应商）：</w:t>
      </w:r>
      <w:r>
        <w:rPr>
          <w:color w:val="C00000"/>
        </w:rPr>
        <w:t>_________________</w:t>
      </w:r>
    </w:p>
    <w:p>
      <w:pPr>
        <w:spacing w:before="230" w:beforeLines="50"/>
        <w:jc w:val="both"/>
        <w:rPr>
          <w:rFonts w:cs="Calibri Light"/>
          <w:b/>
        </w:rPr>
      </w:pPr>
      <w:r>
        <w:rPr>
          <w:rFonts w:cs="Calibri Light"/>
          <w:b/>
        </w:rPr>
        <w:t>一、供货条件：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（一）供货地点：甲方指定地点。</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交付期：自合同签订之日起30个日历日完成全部项目内容，并交付采购人验收。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（三）质保期：</w:t>
      </w:r>
      <w:r>
        <w:rPr>
          <w:rFonts w:hint="eastAsia" w:asciiTheme="minorHAnsi" w:hAnsiTheme="minorHAnsi" w:eastAsiaTheme="minorEastAsia"/>
          <w:sz w:val="24"/>
          <w:szCs w:val="24"/>
        </w:rPr>
        <w:t>验收合格之日起三年。</w:t>
      </w:r>
    </w:p>
    <w:p>
      <w:pPr>
        <w:spacing w:before="230" w:beforeLines="50"/>
        <w:jc w:val="both"/>
        <w:rPr>
          <w:rFonts w:cs="Calibri Light"/>
          <w:b/>
        </w:rPr>
      </w:pPr>
      <w:r>
        <w:rPr>
          <w:rFonts w:cs="Calibri Light"/>
          <w:b/>
        </w:rPr>
        <w:t>二、合同价款</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（二）总报价包括完成本项目所需的原材料成本、设计费、运杂费（含保险费用）、安装调试费、售后服务费、备品备件费、税金及合理利润等全部费用。采购人不再额外承担其他任何费用。</w:t>
      </w:r>
    </w:p>
    <w:p>
      <w:pPr>
        <w:ind w:firstLine="480" w:firstLineChars="200"/>
        <w:jc w:val="both"/>
      </w:pPr>
      <w:r>
        <w:t>（三）伴随服务（费用包含在总报价内）：全部设备的技术设计、运输、安装调试、摆放位置或地点变更、人员培训、售后服务、含税等费用。</w:t>
      </w:r>
    </w:p>
    <w:p>
      <w:pPr>
        <w:spacing w:before="230" w:beforeLines="50"/>
        <w:jc w:val="both"/>
        <w:rPr>
          <w:rFonts w:cs="Calibri Light"/>
          <w:b/>
        </w:rPr>
      </w:pPr>
      <w:r>
        <w:rPr>
          <w:rFonts w:cs="Calibri Light"/>
          <w:b/>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1．预付款：合同签订后10日内按合同总价的50%支付预付款。</w:t>
      </w:r>
    </w:p>
    <w:p>
      <w:pPr>
        <w:pStyle w:val="40"/>
        <w:spacing w:line="240" w:lineRule="auto"/>
        <w:ind w:firstLine="480" w:firstLineChars="200"/>
        <w:jc w:val="both"/>
        <w:rPr>
          <w:rFonts w:asciiTheme="minorHAnsi" w:hAnsiTheme="minorHAnsi" w:eastAsiaTheme="minorEastAsia"/>
        </w:rPr>
      </w:pPr>
      <w:r>
        <w:rPr>
          <w:rFonts w:asciiTheme="minorHAnsi" w:hAnsiTheme="minorHAnsi" w:eastAsiaTheme="minorEastAsia"/>
          <w:sz w:val="24"/>
          <w:szCs w:val="24"/>
        </w:rPr>
        <w:t>2．尾款：全部货物安装完成并验收合格后，乙方向甲方递交正规合法发票、相关证明文件后，甲方在收到上述文件10</w:t>
      </w:r>
      <w:r>
        <w:rPr>
          <w:rFonts w:hint="eastAsia" w:asciiTheme="minorHAnsi" w:hAnsiTheme="minorHAnsi" w:eastAsiaTheme="minorEastAsia"/>
          <w:sz w:val="24"/>
          <w:szCs w:val="24"/>
        </w:rPr>
        <w:t>个工作</w:t>
      </w:r>
      <w:r>
        <w:rPr>
          <w:rFonts w:asciiTheme="minorHAnsi" w:hAnsiTheme="minorHAnsi" w:eastAsiaTheme="minorEastAsia"/>
          <w:sz w:val="24"/>
          <w:szCs w:val="24"/>
        </w:rPr>
        <w:t>日内支付剩余合同价款。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（三）结算方式：交付期满后填写政府采购项目验收单（一式伍份），发票（按合同总价直开甲方），乙方持成交通知书、政府采购合同、发票、政府采购项目验收单，与甲方结算。</w:t>
      </w:r>
    </w:p>
    <w:p>
      <w:pPr>
        <w:spacing w:before="230" w:beforeLines="50"/>
        <w:jc w:val="both"/>
        <w:rPr>
          <w:rFonts w:cs="Calibri Light"/>
          <w:b/>
        </w:rPr>
      </w:pPr>
      <w:r>
        <w:rPr>
          <w:rFonts w:cs="Calibri Light"/>
          <w:b/>
        </w:rPr>
        <w:t>四、双方的权利和义务</w:t>
      </w:r>
    </w:p>
    <w:p>
      <w:pPr>
        <w:pStyle w:val="40"/>
        <w:spacing w:line="240" w:lineRule="auto"/>
        <w:ind w:firstLine="480" w:firstLineChars="200"/>
        <w:jc w:val="both"/>
        <w:rPr>
          <w:rFonts w:asciiTheme="minorHAnsi" w:hAnsiTheme="minorHAnsi" w:eastAsiaTheme="minorEastAsia"/>
          <w:b/>
          <w:vanish/>
          <w:sz w:val="24"/>
          <w:szCs w:val="24"/>
        </w:rPr>
      </w:pPr>
      <w:r>
        <w:rPr>
          <w:rFonts w:asciiTheme="minorHAnsi" w:hAnsiTheme="minorHAnsi" w:eastAsiaTheme="minorEastAsia"/>
          <w:b/>
          <w:sz w:val="24"/>
          <w:szCs w:val="24"/>
        </w:rPr>
        <w:t>（一）甲方的权利和义务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1．甲方有义务保证按合同所规定的内容及时间支付乙方相关费用。</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2．因乙方原因供货延误，给甲方造成损失或被第三方要求索赔的，乙方应全额承担。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3．国家法律、法规所规定由甲方承担的其它责任。</w:t>
      </w:r>
    </w:p>
    <w:p>
      <w:pPr>
        <w:pStyle w:val="40"/>
        <w:widowControl w:val="0"/>
        <w:spacing w:before="230" w:beforeLines="50"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（二）乙方的权利和义务</w:t>
      </w:r>
    </w:p>
    <w:p>
      <w:pPr>
        <w:pStyle w:val="40"/>
        <w:ind w:firstLine="480" w:firstLineChars="200"/>
        <w:rPr>
          <w:rFonts w:asciiTheme="minorHAnsi" w:hAnsiTheme="minorHAnsi" w:eastAsiaTheme="minorEastAsia"/>
          <w:sz w:val="24"/>
          <w:szCs w:val="24"/>
        </w:rPr>
      </w:pPr>
      <w:r>
        <w:rPr>
          <w:rFonts w:hint="eastAsia" w:asciiTheme="minorHAnsi" w:hAnsiTheme="minorHAnsi" w:eastAsiaTheme="minorEastAsia"/>
          <w:sz w:val="24"/>
          <w:szCs w:val="24"/>
        </w:rPr>
        <w:t>1、接受甲方的安全、质量、进度的管理。</w:t>
      </w:r>
    </w:p>
    <w:p>
      <w:pPr>
        <w:pStyle w:val="40"/>
        <w:ind w:firstLine="480" w:firstLineChars="200"/>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 xml:space="preserve">执行甲方的相关安全、质量和文明生产等管理制度。 </w:t>
      </w:r>
    </w:p>
    <w:p>
      <w:pPr>
        <w:pStyle w:val="40"/>
        <w:ind w:firstLine="480" w:firstLineChars="200"/>
        <w:rPr>
          <w:rFonts w:asciiTheme="minorHAnsi" w:hAnsiTheme="minorHAnsi" w:eastAsiaTheme="minorEastAsia"/>
          <w:sz w:val="24"/>
          <w:szCs w:val="24"/>
        </w:rPr>
      </w:pPr>
      <w:r>
        <w:rPr>
          <w:rFonts w:asciiTheme="minorHAnsi" w:hAnsiTheme="minorHAnsi" w:eastAsiaTheme="minorEastAsia"/>
          <w:sz w:val="24"/>
          <w:szCs w:val="24"/>
        </w:rPr>
        <w:t>3、</w:t>
      </w:r>
      <w:r>
        <w:rPr>
          <w:rFonts w:hint="eastAsia" w:asciiTheme="minorHAnsi" w:hAnsiTheme="minorHAnsi" w:eastAsiaTheme="minorEastAsia"/>
          <w:sz w:val="24"/>
          <w:szCs w:val="24"/>
        </w:rPr>
        <w:t xml:space="preserve">对服务器具和现场采取必要的安全防卫措施。 </w:t>
      </w:r>
    </w:p>
    <w:p>
      <w:pPr>
        <w:pStyle w:val="40"/>
        <w:ind w:firstLine="480" w:firstLineChars="200"/>
        <w:rPr>
          <w:rFonts w:asciiTheme="minorHAnsi" w:hAnsiTheme="minorHAnsi" w:eastAsiaTheme="minorEastAsia"/>
          <w:sz w:val="24"/>
          <w:szCs w:val="24"/>
        </w:rPr>
      </w:pPr>
      <w:r>
        <w:rPr>
          <w:rFonts w:asciiTheme="minorHAnsi" w:hAnsiTheme="minorHAnsi" w:eastAsiaTheme="minorEastAsia"/>
          <w:sz w:val="24"/>
          <w:szCs w:val="24"/>
        </w:rPr>
        <w:t>4、</w:t>
      </w:r>
      <w:r>
        <w:rPr>
          <w:rFonts w:hint="eastAsia" w:asciiTheme="minorHAnsi" w:hAnsiTheme="minorHAnsi" w:eastAsiaTheme="minorEastAsia"/>
          <w:sz w:val="24"/>
          <w:szCs w:val="24"/>
        </w:rPr>
        <w:t xml:space="preserve">保证服务现场清洁，每天做到工完料尽场地清，达到甲方文明服务要求。 </w:t>
      </w:r>
    </w:p>
    <w:p>
      <w:pPr>
        <w:pStyle w:val="40"/>
        <w:ind w:firstLine="480" w:firstLineChars="200"/>
        <w:rPr>
          <w:rFonts w:asciiTheme="minorHAnsi" w:hAnsiTheme="minorHAnsi" w:eastAsiaTheme="minorEastAsia"/>
          <w:sz w:val="24"/>
          <w:szCs w:val="24"/>
        </w:rPr>
      </w:pPr>
      <w:r>
        <w:rPr>
          <w:rFonts w:asciiTheme="minorHAnsi" w:hAnsiTheme="minorHAnsi" w:eastAsiaTheme="minorEastAsia"/>
          <w:sz w:val="24"/>
          <w:szCs w:val="24"/>
        </w:rPr>
        <w:t>5、</w:t>
      </w:r>
      <w:r>
        <w:rPr>
          <w:rFonts w:hint="eastAsia" w:asciiTheme="minorHAnsi" w:hAnsiTheme="minorHAnsi" w:eastAsiaTheme="minorEastAsia"/>
          <w:sz w:val="24"/>
          <w:szCs w:val="24"/>
        </w:rPr>
        <w:t>向甲方提供质量、安全和进度的保证措施。</w:t>
      </w:r>
    </w:p>
    <w:p>
      <w:pPr>
        <w:pStyle w:val="40"/>
        <w:ind w:firstLine="480" w:firstLineChars="200"/>
        <w:rPr>
          <w:rFonts w:asciiTheme="minorHAnsi" w:hAnsiTheme="minorHAnsi" w:eastAsiaTheme="minorEastAsia"/>
          <w:sz w:val="24"/>
          <w:szCs w:val="24"/>
        </w:rPr>
      </w:pPr>
      <w:r>
        <w:rPr>
          <w:rFonts w:asciiTheme="minorHAnsi" w:hAnsiTheme="minorHAnsi" w:eastAsiaTheme="minorEastAsia"/>
          <w:sz w:val="24"/>
          <w:szCs w:val="24"/>
        </w:rPr>
        <w:t>6、</w:t>
      </w:r>
      <w:r>
        <w:rPr>
          <w:rFonts w:hint="eastAsia" w:asciiTheme="minorHAnsi" w:hAnsiTheme="minorHAnsi" w:eastAsiaTheme="minorEastAsia"/>
          <w:sz w:val="24"/>
          <w:szCs w:val="24"/>
        </w:rPr>
        <w:t>及时联系甲方人员进行验收，并保存好验收记录。</w:t>
      </w:r>
    </w:p>
    <w:p>
      <w:pPr>
        <w:pStyle w:val="40"/>
        <w:widowControl w:val="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7、</w:t>
      </w:r>
      <w:r>
        <w:rPr>
          <w:rFonts w:hint="eastAsia" w:asciiTheme="minorHAnsi" w:hAnsiTheme="minorHAnsi" w:eastAsiaTheme="minorEastAsia"/>
          <w:sz w:val="24"/>
          <w:szCs w:val="24"/>
        </w:rPr>
        <w:t>做好服务人员的安全劳动保护工作。</w:t>
      </w:r>
    </w:p>
    <w:p>
      <w:pPr>
        <w:pStyle w:val="40"/>
        <w:widowControl w:val="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8、国家法律、法规所规定由乙方承担的其它责任。</w:t>
      </w:r>
    </w:p>
    <w:p>
      <w:pPr>
        <w:spacing w:before="230" w:beforeLines="50"/>
        <w:jc w:val="both"/>
        <w:rPr>
          <w:rFonts w:cs="Calibri Light"/>
          <w:b/>
        </w:rPr>
      </w:pPr>
      <w:r>
        <w:rPr>
          <w:rFonts w:cs="Calibri Light"/>
          <w:b/>
        </w:rPr>
        <w:t>五、知识产权及承诺</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（一）乙方保证所提供的货物或其任何一部分均不会侵犯任何第三方的专利权、商标权、著作权或其他合法权益，否则视为乙方违约，由此产生的一切损失由乙方承担。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pPr>
        <w:spacing w:before="230" w:beforeLines="50"/>
        <w:jc w:val="both"/>
        <w:rPr>
          <w:rFonts w:cs="Calibri Light"/>
          <w:b/>
        </w:rPr>
      </w:pPr>
      <w:r>
        <w:rPr>
          <w:rFonts w:hint="eastAsia" w:cs="Calibri Light"/>
          <w:b/>
        </w:rPr>
        <w:t>六</w:t>
      </w:r>
      <w:r>
        <w:rPr>
          <w:rFonts w:cs="Calibri Light"/>
          <w:b/>
        </w:rPr>
        <w:t>、包装</w:t>
      </w:r>
      <w:r>
        <w:rPr>
          <w:rFonts w:hint="eastAsia" w:cs="Calibri Light"/>
          <w:b/>
        </w:rPr>
        <w:t>和</w:t>
      </w:r>
      <w:r>
        <w:rPr>
          <w:rFonts w:cs="Calibri Light"/>
          <w:b/>
        </w:rPr>
        <w:t>运输</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（一）产品及其备附件的包装应为出厂时的原包装，包装内应附有详细的装箱清单、出厂合格证明及其他相关资料。</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（二）运输由乙方负责，运杂费已包含在合同价款内，包括从产品供应地点运送至交付地点所含的运输费、装卸费、仓储费、保险费等。</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（三）运输方式由乙方自行选择，但必须保证按期交付。</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（四）乙方提供的产品及相关快递服务的包装要求，应该</w:t>
      </w:r>
      <w:r>
        <w:rPr>
          <w:rFonts w:asciiTheme="minorHAnsi" w:hAnsiTheme="minorHAnsi" w:eastAsiaTheme="minorEastAsia"/>
          <w:sz w:val="24"/>
          <w:szCs w:val="24"/>
        </w:rPr>
        <w:t>严格</w:t>
      </w:r>
      <w:r>
        <w:rPr>
          <w:rFonts w:hint="eastAsia" w:asciiTheme="minorHAnsi" w:hAnsiTheme="minorHAnsi" w:eastAsiaTheme="minorEastAsia"/>
          <w:sz w:val="24"/>
          <w:szCs w:val="24"/>
        </w:rPr>
        <w:t>按照《商品包装政府采购需求标准（试行）》、《快递包装政府采购需求标准（试行）》（财库办〔2020﹞123号）文件执行。</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（五）产品及其备附件到达甲方指定地点后，乙方应按有关技术规程和甲方要求进行存放和保管。</w:t>
      </w:r>
    </w:p>
    <w:p>
      <w:pPr>
        <w:spacing w:before="230" w:beforeLines="50"/>
        <w:jc w:val="both"/>
        <w:rPr>
          <w:rFonts w:cs="Calibri Light"/>
          <w:b/>
        </w:rPr>
      </w:pPr>
      <w:r>
        <w:rPr>
          <w:rFonts w:hint="eastAsia" w:cs="Calibri Light"/>
          <w:b/>
        </w:rPr>
        <w:t>七</w:t>
      </w:r>
      <w:r>
        <w:rPr>
          <w:rFonts w:cs="Calibri Light"/>
          <w:b/>
        </w:rPr>
        <w:t>、验收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（一）全部货物送达指定地点后，甲方有权委托相关质检单位对其进行抽样检测，抽样检测费用由乙方承担。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（二）项目完工后，乙方向甲方发出验收申请。甲方组织乙方（必要时请有关专家）进行验收，验收合格后，填写政府采购项目验收单（一式伍份）作为对项目的最终认可。</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（三）乙方向甲方提供实施过程中的所有资料，以便甲方日后管理和维护。</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（四）验收要求：</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1．甲方组建验收小组，按国家有关规定规范进行验收，若无国家标准按行业标准验收，</w:t>
      </w:r>
      <w:r>
        <w:rPr>
          <w:rFonts w:hint="eastAsia" w:asciiTheme="minorHAnsi" w:hAnsiTheme="minorHAnsi" w:eastAsiaTheme="minorEastAsia"/>
          <w:sz w:val="24"/>
          <w:szCs w:val="24"/>
        </w:rPr>
        <w:t>质量验收标准参考《GB/T 29315-2022 中小学、幼儿园安全防范要求》，</w:t>
      </w:r>
      <w:r>
        <w:rPr>
          <w:rFonts w:asciiTheme="minorHAnsi" w:hAnsiTheme="minorHAnsi" w:eastAsiaTheme="minorEastAsia"/>
          <w:sz w:val="24"/>
          <w:szCs w:val="24"/>
        </w:rPr>
        <w:t>必要时邀请相关专业人员或机构参与验收。因货物质量问题发生争议时，由甲方当地质量技术监督部门鉴定。货物符合质量技术标准的，鉴定费由甲方承担；否则鉴定费由乙方承担。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2．乙方须为验收提供必需的一切条件及相关费用。其标准不能低于响应文件中所承诺的质量要求。</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（五）验收依据：</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2．本合同及其附件；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pPr>
        <w:spacing w:before="230" w:beforeLines="50"/>
        <w:jc w:val="both"/>
        <w:rPr>
          <w:rFonts w:cs="Calibri Light"/>
          <w:b/>
        </w:rPr>
      </w:pPr>
      <w:r>
        <w:rPr>
          <w:rFonts w:hint="eastAsia" w:cs="Calibri Light"/>
          <w:b/>
        </w:rPr>
        <w:t>八</w:t>
      </w:r>
      <w:r>
        <w:rPr>
          <w:rFonts w:cs="Calibri Light"/>
          <w:b/>
        </w:rPr>
        <w:t>、违约责任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1．乙方交付的货物、提供的服务不符合本合同规定的，甲方有权拒收，并且乙方须向甲方支付本合同总价10%的违约金。</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.在服务期间若发生安全事故，按照事故责任的划分对乙方责任的事故，从合同费支付中扣除事故所造成的损失或违约金。</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w:t>
      </w:r>
      <w:r>
        <w:rPr>
          <w:rFonts w:hint="eastAsia" w:asciiTheme="minorHAnsi" w:hAnsiTheme="minorHAnsi" w:eastAsiaTheme="minorEastAsia"/>
          <w:sz w:val="24"/>
          <w:szCs w:val="24"/>
        </w:rPr>
        <w:t>合同签订后因乙方原因不能履约或单方面终止履约的，甲方有权解除合同并要求乙方向甲方支付合同总价10%的违约金，由此造成的一切后果由乙方承担。</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w:t>
      </w:r>
      <w:r>
        <w:rPr>
          <w:rFonts w:hint="eastAsia" w:asciiTheme="minorHAnsi" w:hAnsiTheme="minorHAnsi" w:eastAsiaTheme="minorEastAsia"/>
          <w:sz w:val="24"/>
          <w:szCs w:val="24"/>
        </w:rPr>
        <w:t>.对乙方不履行义务，将按照甲方的相关管理制度对乙方进行考核。</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5.</w:t>
      </w:r>
      <w:r>
        <w:rPr>
          <w:rFonts w:hint="eastAsia" w:asciiTheme="minorHAnsi" w:hAnsiTheme="minorHAnsi" w:eastAsiaTheme="minorEastAsia"/>
          <w:sz w:val="24"/>
          <w:szCs w:val="24"/>
        </w:rPr>
        <w:t>无法满足甲方服务进度的要求，造成甲方工期延误，因乙方原因造成延误，每延误一天考核10000元。乙方延误超过10日的，甲方有权解除合同并要求乙方承担由此造成的一切损失。</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6.</w:t>
      </w:r>
      <w:r>
        <w:rPr>
          <w:rFonts w:hint="eastAsia" w:asciiTheme="minorHAnsi" w:hAnsiTheme="minorHAnsi" w:eastAsiaTheme="minorEastAsia"/>
          <w:sz w:val="24"/>
          <w:szCs w:val="24"/>
        </w:rPr>
        <w:t>对服务过程中出现的违章现象，甲方根据相关管理规定进行考核和停工处理，对考核金额从合同费支付中扣除。</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7.</w:t>
      </w:r>
      <w:r>
        <w:rPr>
          <w:rFonts w:hint="eastAsia" w:asciiTheme="minorHAnsi" w:hAnsiTheme="minorHAnsi" w:eastAsiaTheme="minorEastAsia"/>
          <w:sz w:val="24"/>
          <w:szCs w:val="24"/>
        </w:rPr>
        <w:t>乙方私自分包或转包施工的，甲方有权立即解除合同并要求乙方按照合同总价的 20%承担违约责任，违约金无法涵盖甲方损失的，乙方应足额赔偿。</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8.</w:t>
      </w:r>
      <w:r>
        <w:rPr>
          <w:rFonts w:hint="eastAsia" w:asciiTheme="minorHAnsi" w:hAnsiTheme="minorHAnsi" w:eastAsiaTheme="minorEastAsia"/>
          <w:sz w:val="24"/>
          <w:szCs w:val="24"/>
        </w:rPr>
        <w:t>乙方在质量保修期内，按照有关法律法规、规章的管理规定和双方约定，承担设备改造施工范围内的保修责任。如发生维修事项，乙方应先行组织维修，不得推诿，否则甲方有权委托第三人维修，甲方委托第三人维修的费用及乙方拖延维修给甲方造成的损失由乙方承担，甲方可从质保金中抵扣，质保金不足抵扣的，甲方有权向乙方追偿。</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9.</w:t>
      </w:r>
      <w:r>
        <w:rPr>
          <w:rFonts w:hint="eastAsia" w:asciiTheme="minorHAnsi" w:hAnsiTheme="minorHAnsi" w:eastAsiaTheme="minorEastAsia"/>
          <w:sz w:val="24"/>
          <w:szCs w:val="24"/>
        </w:rPr>
        <w:t>若因乙方采用不合格材料或施工存在重大失误而引起的质量问题，则不论是否已过保修期，乙方都应承担保修、照价赔偿等由此造成的一切后果且甲方有权保留进一步索赔的权利。</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10.</w:t>
      </w:r>
      <w:r>
        <w:rPr>
          <w:rFonts w:hint="eastAsia" w:asciiTheme="minorHAnsi" w:hAnsiTheme="minorHAnsi" w:eastAsiaTheme="minorEastAsia"/>
          <w:sz w:val="24"/>
          <w:szCs w:val="24"/>
        </w:rPr>
        <w:t>若乙方因故终止合同，甲方有权拒绝支付合同价款或要求乙方退还甲方已付的全部合同款并要求乙方承担由此造成的一切损失。</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11.</w:t>
      </w:r>
      <w:r>
        <w:rPr>
          <w:rFonts w:hint="eastAsia" w:asciiTheme="minorHAnsi" w:hAnsiTheme="minorHAnsi" w:eastAsiaTheme="minorEastAsia"/>
          <w:sz w:val="24"/>
          <w:szCs w:val="24"/>
        </w:rPr>
        <w:t>乙方未按质按量完成工作的，应当无条件按照甲方的要求负责返工和改进。乙方未按照要求返工或返工后仍不符合合同约定质量标准的，甲方有权解除合同并要求乙方按照合同总价的 20%承担违约责任，违约金无法涵盖甲方所有损失的，乙方应足额赔偿。</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（二）其他违约责任由双方平等协商后补充。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before="230" w:beforeLines="50"/>
        <w:jc w:val="both"/>
        <w:rPr>
          <w:rFonts w:cs="Calibri Light"/>
          <w:b/>
        </w:rPr>
      </w:pPr>
      <w:r>
        <w:rPr>
          <w:rFonts w:hint="eastAsia" w:cs="Calibri Light"/>
          <w:b/>
        </w:rPr>
        <w:t>九</w:t>
      </w:r>
      <w:r>
        <w:rPr>
          <w:rFonts w:cs="Calibri Light"/>
          <w:b/>
        </w:rPr>
        <w:t>、合同的变更和修改、中止和终止</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（二）甲方因乙方不履约或乙方其他原因而解除合同的，乙方须返还甲方全部费用、赔偿甲方由此产生的损失并承担其他相关责任，相应责任承担方式按照本合同第8条约定执行。</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pPr>
        <w:spacing w:before="230" w:beforeLines="50"/>
        <w:jc w:val="both"/>
        <w:rPr>
          <w:rFonts w:cs="Calibri Light"/>
          <w:b/>
        </w:rPr>
      </w:pPr>
      <w:r>
        <w:rPr>
          <w:rFonts w:hint="eastAsia" w:cs="Calibri Light"/>
          <w:b/>
        </w:rPr>
        <w:t>十</w:t>
      </w:r>
      <w:r>
        <w:rPr>
          <w:rFonts w:cs="Calibri Light"/>
          <w:b/>
        </w:rPr>
        <w:t>、保密条款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pPr>
        <w:spacing w:before="230" w:beforeLines="50"/>
        <w:jc w:val="both"/>
        <w:rPr>
          <w:rFonts w:cs="Calibri Light"/>
          <w:b/>
        </w:rPr>
      </w:pPr>
      <w:r>
        <w:rPr>
          <w:rFonts w:cs="Calibri Light"/>
          <w:b/>
        </w:rPr>
        <w:t>十</w:t>
      </w:r>
      <w:r>
        <w:rPr>
          <w:rFonts w:hint="eastAsia" w:cs="Calibri Light"/>
          <w:b/>
        </w:rPr>
        <w:t>一</w:t>
      </w:r>
      <w:r>
        <w:rPr>
          <w:rFonts w:cs="Calibri Light"/>
          <w:b/>
        </w:rPr>
        <w:t>、争议解决</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（二）凡与本合同有关的一切争议，双方应通过友好协商解决。如协商后仍不能达成协议时，按下列第___种方式解决。</w:t>
      </w:r>
    </w:p>
    <w:p>
      <w:pPr>
        <w:wordWrap w:val="0"/>
        <w:ind w:firstLine="480" w:firstLineChars="200"/>
        <w:jc w:val="both"/>
      </w:pPr>
      <w:r>
        <w:t>1．提交西安仲裁委员会。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cs="Calibri Light"/>
          <w:b/>
        </w:rPr>
        <w:t>十</w:t>
      </w:r>
      <w:r>
        <w:rPr>
          <w:rFonts w:hint="eastAsia" w:cs="Calibri Light"/>
          <w:b/>
        </w:rPr>
        <w:t>二</w:t>
      </w:r>
      <w:r>
        <w:rPr>
          <w:rFonts w:cs="Calibri Light"/>
          <w:b/>
        </w:rPr>
        <w:t>、不可抗力</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w:t>
      </w:r>
      <w:r>
        <w:rPr>
          <w:rFonts w:hint="eastAsia" w:cs="Calibri Light"/>
          <w:b/>
        </w:rPr>
        <w:t>三</w:t>
      </w:r>
      <w:r>
        <w:rPr>
          <w:rFonts w:cs="Calibri Light"/>
          <w:b/>
        </w:rPr>
        <w:t>、合同生效及其他</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（二）合同一式4份，甲方、乙方各执2份。</w:t>
      </w:r>
    </w:p>
    <w:p>
      <w:pPr>
        <w:pStyle w:val="40"/>
        <w:spacing w:line="240" w:lineRule="auto"/>
        <w:ind w:firstLine="480" w:firstLineChars="200"/>
        <w:jc w:val="both"/>
        <w:rPr>
          <w:rFonts w:asciiTheme="minorHAnsi" w:hAnsiTheme="minorHAnsi" w:eastAsiaTheme="minorEastAsia"/>
          <w:color w:val="7030A0"/>
          <w:sz w:val="24"/>
          <w:szCs w:val="24"/>
        </w:rPr>
      </w:pPr>
      <w:r>
        <w:rPr>
          <w:rFonts w:asciiTheme="minorHAnsi" w:hAnsiTheme="minorHAnsi" w:eastAsiaTheme="minorEastAsia"/>
          <w:sz w:val="24"/>
          <w:szCs w:val="24"/>
        </w:rPr>
        <w:t>（三）未尽事宜由双方在签订合同时具体明确或签订补充合同。</w:t>
      </w:r>
    </w:p>
    <w:p>
      <w:pPr>
        <w:pStyle w:val="40"/>
        <w:spacing w:line="240" w:lineRule="auto"/>
        <w:ind w:firstLine="560" w:firstLineChars="200"/>
        <w:jc w:val="both"/>
        <w:rPr>
          <w:rFonts w:asciiTheme="minorHAnsi" w:hAnsiTheme="minorHAnsi" w:eastAsiaTheme="minorEastAsia"/>
          <w:color w:val="7030A0"/>
          <w:sz w:val="24"/>
          <w:szCs w:val="24"/>
        </w:rPr>
      </w:pPr>
      <w:r>
        <w:br w:type="page"/>
      </w:r>
    </w:p>
    <w:p>
      <w:pPr>
        <w:pStyle w:val="2"/>
        <w:spacing w:before="230" w:after="230"/>
      </w:pPr>
      <w:r>
        <w:rPr>
          <w:rFonts w:hint="eastAsia"/>
        </w:rPr>
        <w:t>第五章　响应文件构成及格式</w:t>
      </w:r>
      <w:bookmarkEnd w:id="12"/>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36"/>
          <w:szCs w:val="36"/>
        </w:rPr>
      </w:pPr>
      <w:r>
        <w:rPr>
          <w:rFonts w:hint="eastAsia" w:cstheme="minorHAnsi"/>
          <w:b/>
          <w:color w:val="C00000"/>
          <w:sz w:val="36"/>
          <w:szCs w:val="36"/>
        </w:rPr>
        <w:t>长安师范学校附属小学校园监控设备购置</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cstheme="minorHAnsi"/>
          <w:color w:val="C00000"/>
          <w:sz w:val="36"/>
          <w:szCs w:val="36"/>
        </w:rPr>
        <w:t>XCZX2025-0097</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1．我方已详细阅读了磋商文件，完全理解并同意磋商文件的所有事项及内容。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4．我方理解最低价不是成交的唯一条件，并尊重磋商小组的评审结果。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（3）遵照磋商文件中的要求，完成本项目的合同责任和义务。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w:t>
            </w:r>
            <w:r>
              <w:rPr>
                <w:rFonts w:hint="eastAsia" w:cstheme="minorHAnsi"/>
                <w:color w:val="C00000"/>
                <w:sz w:val="21"/>
                <w:szCs w:val="21"/>
              </w:rPr>
              <w:t xml:space="preserve"> </w:t>
            </w:r>
            <w:r>
              <w:rPr>
                <w:rFonts w:cstheme="minorHAnsi"/>
                <w:color w:val="C00000"/>
                <w:sz w:val="21"/>
                <w:szCs w:val="21"/>
              </w:rPr>
              <w:t>］</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〖注〗以下情况按无效响应处理：</w:t>
      </w:r>
    </w:p>
    <w:p>
      <w:pPr>
        <w:ind w:firstLine="480" w:firstLineChars="200"/>
        <w:jc w:val="both"/>
        <w:rPr>
          <w:kern w:val="24"/>
        </w:rPr>
      </w:pPr>
      <w:r>
        <w:rPr>
          <w:kern w:val="24"/>
        </w:rPr>
        <w:t>1．A栏未按阿拉伯小写金额样式填写，B栏未填写交付期。</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采购包</w:t>
      </w:r>
      <w:r>
        <w:rPr>
          <w:kern w:val="24"/>
        </w:rPr>
        <w:t>预算的。</w:t>
      </w:r>
    </w:p>
    <w:p>
      <w:pPr>
        <w:pStyle w:val="40"/>
        <w:jc w:val="both"/>
        <w:rPr>
          <w:rFonts w:hAnsi="华文仿宋"/>
        </w:rPr>
      </w:pPr>
    </w:p>
    <w:p>
      <w:pPr>
        <w:pStyle w:val="40"/>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pStyle w:val="49"/>
      </w:pPr>
      <w:r>
        <w:rPr>
          <w:rFonts w:hint="eastAsia"/>
        </w:rPr>
        <w:t>分项报价</w:t>
      </w:r>
      <w:r>
        <w:t>表</w:t>
      </w:r>
    </w:p>
    <w:p>
      <w:pPr>
        <w:pStyle w:val="40"/>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4"/>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18"/>
        <w:gridCol w:w="3842"/>
        <w:gridCol w:w="2409"/>
        <w:gridCol w:w="993"/>
        <w:gridCol w:w="1364"/>
        <w:gridCol w:w="17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一</w:t>
            </w:r>
          </w:p>
        </w:tc>
        <w:tc>
          <w:tcPr>
            <w:tcW w:w="13338" w:type="dxa"/>
            <w:gridSpan w:val="7"/>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产品购置费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标的名称</w:t>
            </w:r>
          </w:p>
        </w:tc>
        <w:tc>
          <w:tcPr>
            <w:tcW w:w="141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品牌和型号</w:t>
            </w:r>
          </w:p>
        </w:tc>
        <w:tc>
          <w:tcPr>
            <w:tcW w:w="3842" w:type="dxa"/>
            <w:shd w:val="clear" w:color="auto" w:fill="F1F1F1" w:themeFill="background1" w:themeFillShade="F2"/>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制造商</w:t>
            </w:r>
          </w:p>
        </w:tc>
        <w:tc>
          <w:tcPr>
            <w:tcW w:w="2409"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规格</w:t>
            </w:r>
          </w:p>
        </w:tc>
        <w:tc>
          <w:tcPr>
            <w:tcW w:w="993"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数量</w:t>
            </w:r>
          </w:p>
        </w:tc>
        <w:tc>
          <w:tcPr>
            <w:tcW w:w="1364" w:type="dxa"/>
            <w:shd w:val="clear" w:color="auto" w:fill="F1F1F1" w:themeFill="background1" w:themeFillShade="F2"/>
            <w:vAlign w:val="center"/>
          </w:tcPr>
          <w:p>
            <w:pPr>
              <w:spacing w:line="320" w:lineRule="exact"/>
              <w:jc w:val="center"/>
              <w:rPr>
                <w:rFonts w:cs="Calibri Light"/>
                <w:b/>
                <w:sz w:val="21"/>
                <w:szCs w:val="21"/>
              </w:rPr>
            </w:pPr>
            <w:r>
              <w:rPr>
                <w:rFonts w:cs="Calibri Light"/>
                <w:b/>
                <w:sz w:val="21"/>
                <w:szCs w:val="21"/>
              </w:rPr>
              <w:t>单价</w:t>
            </w:r>
          </w:p>
        </w:tc>
        <w:tc>
          <w:tcPr>
            <w:tcW w:w="1754" w:type="dxa"/>
            <w:shd w:val="clear" w:color="auto" w:fill="F1F1F1" w:themeFill="background1" w:themeFillShade="F2"/>
            <w:vAlign w:val="center"/>
          </w:tcPr>
          <w:p>
            <w:pPr>
              <w:spacing w:line="320" w:lineRule="exact"/>
              <w:jc w:val="center"/>
              <w:rPr>
                <w:rFonts w:cs="Calibri Light"/>
                <w:b/>
                <w:sz w:val="21"/>
                <w:szCs w:val="21"/>
              </w:rPr>
            </w:pPr>
            <w:r>
              <w:rPr>
                <w:rFonts w:cs="Calibri Light"/>
                <w:b/>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二</w:t>
            </w:r>
          </w:p>
        </w:tc>
        <w:tc>
          <w:tcPr>
            <w:tcW w:w="13338" w:type="dxa"/>
            <w:gridSpan w:val="7"/>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其他费用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费用名称</w:t>
            </w:r>
          </w:p>
        </w:tc>
        <w:tc>
          <w:tcPr>
            <w:tcW w:w="7669" w:type="dxa"/>
            <w:gridSpan w:val="3"/>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数量</w:t>
            </w:r>
          </w:p>
        </w:tc>
        <w:tc>
          <w:tcPr>
            <w:tcW w:w="1364" w:type="dxa"/>
            <w:shd w:val="clear" w:color="auto" w:fill="F1F1F1" w:themeFill="background1" w:themeFillShade="F2"/>
            <w:vAlign w:val="center"/>
          </w:tcPr>
          <w:p>
            <w:pPr>
              <w:spacing w:line="320" w:lineRule="exact"/>
              <w:jc w:val="center"/>
              <w:rPr>
                <w:rFonts w:cs="Calibri Light"/>
                <w:b/>
                <w:bCs/>
                <w:sz w:val="21"/>
                <w:szCs w:val="21"/>
              </w:rPr>
            </w:pPr>
            <w:r>
              <w:rPr>
                <w:rFonts w:cs="Calibri Light"/>
                <w:b/>
                <w:bCs/>
                <w:sz w:val="21"/>
                <w:szCs w:val="21"/>
              </w:rPr>
              <w:t>单价</w:t>
            </w:r>
          </w:p>
        </w:tc>
        <w:tc>
          <w:tcPr>
            <w:tcW w:w="1754" w:type="dxa"/>
            <w:shd w:val="clear" w:color="auto" w:fill="F1F1F1" w:themeFill="background1" w:themeFillShade="F2"/>
            <w:vAlign w:val="center"/>
          </w:tcPr>
          <w:p>
            <w:pPr>
              <w:spacing w:line="320" w:lineRule="exact"/>
              <w:jc w:val="center"/>
              <w:rPr>
                <w:rFonts w:cs="Calibri Light"/>
                <w:b/>
                <w:bCs/>
                <w:sz w:val="21"/>
                <w:szCs w:val="21"/>
              </w:rPr>
            </w:pPr>
            <w:r>
              <w:rPr>
                <w:rFonts w:cs="Calibri Light"/>
                <w:b/>
                <w:bCs/>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2289" w:type="dxa"/>
            <w:gridSpan w:val="7"/>
            <w:shd w:val="clear" w:color="auto" w:fill="auto"/>
            <w:vAlign w:val="center"/>
          </w:tcPr>
          <w:p>
            <w:pPr>
              <w:spacing w:line="320" w:lineRule="exact"/>
              <w:jc w:val="center"/>
              <w:rPr>
                <w:rFonts w:cs="Calibri Light"/>
                <w:b/>
                <w:bCs/>
                <w:sz w:val="21"/>
                <w:szCs w:val="21"/>
              </w:rPr>
            </w:pPr>
            <w:r>
              <w:rPr>
                <w:rFonts w:cs="Calibri Light"/>
                <w:b/>
                <w:bCs/>
                <w:sz w:val="21"/>
                <w:szCs w:val="21"/>
              </w:rPr>
              <w:t>合计</w:t>
            </w:r>
          </w:p>
        </w:tc>
        <w:tc>
          <w:tcPr>
            <w:tcW w:w="1754" w:type="dxa"/>
            <w:shd w:val="clear" w:color="auto" w:fill="auto"/>
            <w:vAlign w:val="center"/>
          </w:tcPr>
          <w:p>
            <w:pPr>
              <w:spacing w:line="320" w:lineRule="exact"/>
              <w:jc w:val="center"/>
              <w:rPr>
                <w:rFonts w:cs="Calibri Light"/>
                <w:b/>
                <w:bCs/>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tabs>
          <w:tab w:val="right" w:pos="9070"/>
        </w:tabs>
        <w:spacing w:line="440" w:lineRule="exact"/>
        <w:jc w:val="both"/>
        <w:rPr>
          <w:rFonts w:cs="Calibri Light"/>
          <w:bCs/>
        </w:rPr>
      </w:pPr>
      <w:r>
        <w:rPr>
          <w:rFonts w:cs="Calibri Light"/>
        </w:rPr>
        <w:t>说明</w:t>
      </w:r>
      <w:r>
        <w:rPr>
          <w:rFonts w:cs="Calibri Light"/>
          <w:bCs/>
        </w:rPr>
        <w:t>：1．品名、规格（如有）、单位、单价限价（如有）应依据第三章「磋商内容」逐项填写。</w:t>
      </w:r>
    </w:p>
    <w:p>
      <w:pPr>
        <w:tabs>
          <w:tab w:val="right" w:pos="9070"/>
        </w:tabs>
        <w:spacing w:line="440" w:lineRule="exact"/>
        <w:ind w:firstLine="720" w:firstLineChars="300"/>
        <w:jc w:val="both"/>
        <w:rPr>
          <w:rFonts w:cs="Calibri Light"/>
          <w:bCs/>
        </w:rPr>
      </w:pPr>
      <w:r>
        <w:rPr>
          <w:rFonts w:cs="Calibri Light"/>
          <w:bCs/>
        </w:rPr>
        <w:t>2．总价</w:t>
      </w:r>
      <w:r>
        <w:rPr>
          <w:rFonts w:hint="eastAsia" w:cs="Calibri Light"/>
          <w:bCs/>
        </w:rPr>
        <w:t>＝</w:t>
      </w:r>
      <w:r>
        <w:rPr>
          <w:rFonts w:cs="Calibri Light"/>
          <w:bCs/>
        </w:rPr>
        <w:t>单价</w:t>
      </w:r>
      <w:r>
        <w:rPr>
          <w:rFonts w:hint="eastAsia" w:cs="Calibri Light"/>
          <w:bCs/>
        </w:rPr>
        <w:t>×</w:t>
      </w:r>
      <w:r>
        <w:rPr>
          <w:rFonts w:cs="Calibri Light"/>
          <w:bCs/>
        </w:rPr>
        <w:t>数量；合计</w:t>
      </w:r>
      <w:r>
        <w:rPr>
          <w:rFonts w:hint="eastAsia" w:cs="Calibri Light"/>
          <w:bCs/>
        </w:rPr>
        <w:t>＝</w:t>
      </w:r>
      <w:r>
        <w:rPr>
          <w:rFonts w:cs="Calibri Light"/>
          <w:bCs/>
        </w:rPr>
        <w:t>总价的算术和。</w:t>
      </w:r>
    </w:p>
    <w:p>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pPr>
        <w:tabs>
          <w:tab w:val="right" w:pos="9070"/>
        </w:tabs>
        <w:spacing w:line="440" w:lineRule="exact"/>
        <w:jc w:val="both"/>
        <w:rPr>
          <w:rFonts w:cs="Calibri Light"/>
        </w:rPr>
      </w:pPr>
    </w:p>
    <w:p>
      <w:pPr>
        <w:jc w:val="both"/>
        <w:sectPr>
          <w:footerReference r:id="rId21" w:type="default"/>
          <w:footerReference r:id="rId22" w:type="even"/>
          <w:pgSz w:w="16838" w:h="11906" w:orient="landscape"/>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widowControl w:val="0"/>
        <w:spacing w:before="120" w:after="60"/>
      </w:pPr>
      <w: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（二）特定资格条件（如有）</w:t>
      </w:r>
    </w:p>
    <w:p>
      <w:pPr>
        <w:jc w:val="both"/>
        <w:rPr>
          <w:rFonts w:ascii="Calibri" w:hAnsi="Calibri" w:eastAsia="黑体"/>
          <w:kern w:val="28"/>
          <w:sz w:val="28"/>
        </w:rPr>
      </w:pPr>
    </w:p>
    <w:p>
      <w:pPr>
        <w:jc w:val="both"/>
        <w:rPr>
          <w:rFonts w:ascii="Calibri" w:hAnsi="Calibri" w:eastAsia="黑体"/>
          <w:kern w:val="28"/>
          <w:sz w:val="28"/>
        </w:rPr>
      </w:pPr>
    </w:p>
    <w:p>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w:t>
      </w:r>
    </w:p>
    <w:p>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pPr>
              <w:rPr>
                <w:rFonts w:asciiTheme="minorEastAsia" w:hAnsiTheme="minorEastAsia"/>
                <w:sz w:val="21"/>
                <w:szCs w:val="21"/>
              </w:rPr>
            </w:pPr>
            <w:r>
              <w:rPr>
                <w:rFonts w:asciiTheme="minorEastAsia" w:hAnsiTheme="minorEastAsia"/>
                <w:sz w:val="21"/>
                <w:szCs w:val="21"/>
              </w:rPr>
              <w:t>1、黑色，打印量1500页……</w:t>
            </w:r>
          </w:p>
          <w:p>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jc w:val="both"/>
              <w:rPr>
                <w:rFonts w:asciiTheme="minorEastAsia" w:hAnsiTheme="minorEastAsia"/>
                <w:sz w:val="21"/>
                <w:szCs w:val="21"/>
              </w:rPr>
            </w:pPr>
            <w:r>
              <w:rPr>
                <w:rFonts w:asciiTheme="minorEastAsia" w:hAnsiTheme="minorEastAsia"/>
                <w:sz w:val="21"/>
                <w:szCs w:val="21"/>
              </w:rPr>
              <w:t>① 只需对技术（服务）要求中的非实质性条款（未标注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pPr>
        <w:rPr>
          <w:rFonts w:asciiTheme="minorEastAsia" w:hAnsiTheme="minorEastAsia"/>
        </w:rPr>
      </w:pPr>
    </w:p>
    <w:p>
      <w:pPr>
        <w:jc w:val="center"/>
        <w:rPr>
          <w:rFonts w:cstheme="minorHAnsi"/>
          <w:b/>
        </w:rPr>
      </w:pPr>
      <w:r>
        <w:rPr>
          <w:rFonts w:cstheme="minorHAnsi"/>
          <w:b/>
        </w:rPr>
        <w:t>2</w:t>
      </w:r>
      <w:r>
        <w:rPr>
          <w:rFonts w:hint="eastAsia" w:cstheme="minorHAnsi"/>
          <w:b/>
        </w:rPr>
        <w:t>.</w:t>
      </w:r>
      <w:r>
        <w:rPr>
          <w:rFonts w:hint="eastAsia" w:cstheme="minorHAnsi"/>
          <w:b/>
          <w:i/>
        </w:rPr>
        <w:t>技术（服务）部分响应方案</w:t>
      </w:r>
    </w:p>
    <w:p>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pPr>
        <w:rPr>
          <w:rFonts w:asciiTheme="minorEastAsia" w:hAnsiTheme="minorEastAsia"/>
        </w:rPr>
      </w:pPr>
      <w:r>
        <w:rPr>
          <w:rFonts w:hint="eastAsia" w:asciiTheme="minorEastAsia" w:hAnsiTheme="minorEastAsia"/>
        </w:rPr>
        <w:t>1．供货验收方案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．培训方案</w:t>
      </w:r>
    </w:p>
    <w:p>
      <w:pPr>
        <w:rPr>
          <w:rFonts w:asciiTheme="minorEastAsia" w:hAnsiTheme="minorEastAsia"/>
        </w:rPr>
      </w:pPr>
    </w:p>
    <w:p>
      <w:pPr>
        <w:rPr>
          <w:rFonts w:asciiTheme="minorEastAsia" w:hAnsiTheme="minorEastAsia"/>
        </w:rPr>
      </w:pPr>
      <w:r>
        <w:rPr>
          <w:rFonts w:hint="eastAsia" w:asciiTheme="minorEastAsia" w:hAnsiTheme="minorEastAsia"/>
        </w:rPr>
        <w:t>3、</w:t>
      </w:r>
      <w:r>
        <w:rPr>
          <w:rFonts w:asciiTheme="minorEastAsia" w:hAnsiTheme="minorEastAsia"/>
        </w:rPr>
        <w:t>售后方案</w:t>
      </w: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r>
        <w:rPr>
          <w:rFonts w:hint="eastAsia" w:asciiTheme="minorEastAsia" w:hAnsiTheme="minorEastAsia"/>
        </w:rPr>
        <w:t>4、产品选型</w:t>
      </w:r>
      <w:r>
        <w:rPr>
          <w:rFonts w:asciiTheme="minorEastAsia" w:hAnsiTheme="minorEastAsia"/>
        </w:rPr>
        <w:t>方案</w:t>
      </w:r>
    </w:p>
    <w:p>
      <w:pPr>
        <w:rPr>
          <w:rFonts w:asciiTheme="minorEastAsia" w:hAnsiTheme="minorEastAsia"/>
        </w:rPr>
      </w:pPr>
    </w:p>
    <w:p>
      <w:pPr>
        <w:rPr>
          <w:rFonts w:asciiTheme="minorEastAsia" w:hAnsiTheme="minorEastAsia"/>
        </w:rPr>
      </w:pPr>
    </w:p>
    <w:p>
      <w:pPr>
        <w:rPr>
          <w:rFonts w:asciiTheme="minorEastAsia" w:hAnsiTheme="minorEastAsia"/>
        </w:rPr>
      </w:pPr>
      <w:r>
        <w:rPr>
          <w:rFonts w:hint="eastAsia" w:asciiTheme="minorEastAsia" w:hAnsiTheme="minorEastAsia"/>
        </w:rPr>
        <w:t>5、</w:t>
      </w:r>
      <w:r>
        <w:rPr>
          <w:rFonts w:asciiTheme="minorEastAsia" w:hAnsiTheme="minorEastAsia"/>
        </w:rPr>
        <w:t>技术</w:t>
      </w:r>
      <w:r>
        <w:rPr>
          <w:rFonts w:hint="eastAsia" w:asciiTheme="minorEastAsia" w:hAnsiTheme="minorEastAsia"/>
        </w:rPr>
        <w:t>参数</w:t>
      </w:r>
    </w:p>
    <w:p>
      <w:pPr>
        <w:rPr>
          <w:rFonts w:asciiTheme="minorEastAsia" w:hAnsiTheme="minorEastAsia"/>
        </w:rPr>
      </w:pPr>
    </w:p>
    <w:p>
      <w:pPr>
        <w:rPr>
          <w:rFonts w:asciiTheme="minorEastAsia" w:hAnsiTheme="minorEastAsia"/>
        </w:rPr>
      </w:pP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sz w:val="21"/>
                <w:szCs w:val="21"/>
              </w:rPr>
              <w:t>磋商文件</w:t>
            </w:r>
          </w:p>
        </w:tc>
        <w:tc>
          <w:tcPr>
            <w:tcW w:w="3432" w:type="dxa"/>
            <w:shd w:val="clear" w:color="auto" w:fill="F1F1F1" w:themeFill="background1" w:themeFillShade="F2"/>
            <w:vAlign w:val="center"/>
          </w:tcPr>
          <w:p>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i/>
          <w:color w:val="C00000"/>
        </w:rPr>
      </w:pPr>
    </w:p>
    <w:p>
      <w:pPr>
        <w:jc w:val="center"/>
        <w:rPr>
          <w:rFonts w:cstheme="minorHAnsi"/>
          <w:b/>
        </w:rPr>
      </w:pPr>
      <w:r>
        <w:rPr>
          <w:rFonts w:cstheme="minorHAnsi"/>
          <w:b/>
        </w:rPr>
        <w:t>2</w:t>
      </w:r>
      <w:r>
        <w:rPr>
          <w:rFonts w:hint="eastAsia" w:cstheme="minorHAnsi"/>
          <w:b/>
        </w:rPr>
        <w:t>.商务评审部分方案</w:t>
      </w:r>
    </w:p>
    <w:p>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．货物质量</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．产品来源渠道</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3</w:t>
      </w:r>
      <w:r>
        <w:rPr>
          <w:rFonts w:hint="eastAsia" w:asciiTheme="minorEastAsia" w:hAnsiTheme="minorEastAsia" w:cstheme="minorHAnsi"/>
          <w:b/>
          <w:color w:val="000000"/>
          <w:kern w:val="24"/>
        </w:rPr>
        <w:t>．技术服务</w:t>
      </w:r>
      <w:r>
        <w:rPr>
          <w:rFonts w:asciiTheme="minorEastAsia" w:hAnsiTheme="minorEastAsia" w:cstheme="minorHAnsi"/>
          <w:b/>
          <w:color w:val="000000"/>
          <w:kern w:val="24"/>
        </w:rPr>
        <w:t>团队</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安全员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施工人员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其他</w:t>
            </w:r>
            <w:r>
              <w:rPr>
                <w:rFonts w:asciiTheme="minorEastAsia" w:hAnsiTheme="minorEastAsia" w:cstheme="minorHAnsi"/>
                <w:color w:val="000000"/>
                <w:sz w:val="21"/>
                <w:szCs w:val="21"/>
              </w:rPr>
              <w:t>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4．业绩</w:t>
      </w:r>
    </w:p>
    <w:p>
      <w:pPr>
        <w:rPr>
          <w:rFonts w:asciiTheme="minorEastAsia" w:hAnsiTheme="minorEastAsia" w:cstheme="minorHAnsi"/>
          <w:b/>
          <w:color w:val="000000"/>
          <w:kern w:val="24"/>
        </w:rPr>
      </w:pPr>
    </w:p>
    <w:p>
      <w:pPr>
        <w:rPr>
          <w:rFonts w:cstheme="minorHAnsi"/>
          <w:b/>
        </w:rPr>
      </w:pPr>
    </w:p>
    <w:p>
      <w:pPr>
        <w:rPr>
          <w:rFonts w:cstheme="minorHAnsi"/>
          <w:b/>
        </w:rPr>
      </w:pPr>
    </w:p>
    <w:p>
      <w:pPr>
        <w:rPr>
          <w:rFonts w:cstheme="minorHAnsi"/>
          <w:b/>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Calibri" w:hAnsi="华文仿宋"/>
          <w:b/>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（三）享受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未按要求提供的，将不享受磋商文件</w:t>
      </w:r>
      <w:r>
        <w:rPr>
          <w:color w:val="C00000"/>
        </w:rPr>
        <w:t>规定的</w:t>
      </w:r>
      <w:r>
        <w:rPr>
          <w:rFonts w:hint="eastAsia"/>
          <w:color w:val="C00000"/>
        </w:rPr>
        <w:t>价格扣除，但不影响响应文件的有效性。</w:t>
      </w:r>
    </w:p>
    <w:p>
      <w:pPr>
        <w:ind w:firstLine="480" w:firstLineChars="200"/>
        <w:jc w:val="both"/>
      </w:pPr>
      <w:r>
        <w:rPr>
          <w:rFonts w:hint="eastAsia"/>
          <w:color w:val="00B050"/>
        </w:rPr>
        <w:t>联合体各方均为中小企业的，联合体视同中小企业。其中，联合体各方均为小微企业的，联合体视同小微企业。</w:t>
      </w:r>
    </w:p>
    <w:p>
      <w:pPr>
        <w:ind w:firstLine="480" w:firstLineChars="200"/>
        <w:jc w:val="both"/>
      </w:pPr>
      <w:r>
        <w:rPr>
          <w:rFonts w:hint="eastAsia"/>
        </w:rPr>
        <w:t>成交供应商享受了政府采购优惠政策的，将随成交结果公开其声明函\证明函，接受社会监督。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spacing w:before="230" w:beforeLines="50"/>
        <w:jc w:val="center"/>
        <w:rPr>
          <w:rFonts w:cs="Calibri Light"/>
          <w:b/>
          <w:color w:val="1F4E79"/>
          <w:sz w:val="28"/>
          <w:szCs w:val="36"/>
        </w:rPr>
      </w:pPr>
      <w:r>
        <w:rPr>
          <w:rFonts w:cs="Calibri Light"/>
          <w:b/>
          <w:color w:val="1F4E79"/>
          <w:sz w:val="28"/>
          <w:szCs w:val="36"/>
        </w:rPr>
        <w:t>『中小企业声明函』</w:t>
      </w:r>
    </w:p>
    <w:p>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rPr>
      </w:pPr>
      <w:r>
        <w:rPr>
          <w:rFonts w:cstheme="minorHAnsi"/>
          <w:color w:val="000000"/>
          <w:kern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pPr>
        <w:ind w:firstLine="480" w:firstLineChars="200"/>
        <w:jc w:val="both"/>
        <w:rPr>
          <w:color w:val="000000"/>
        </w:rPr>
      </w:pPr>
      <w:r>
        <w:rPr>
          <w:color w:val="000000"/>
        </w:rPr>
        <w:t>日　期：　　年　月　日</w:t>
      </w:r>
    </w:p>
    <w:p>
      <w:pPr>
        <w:tabs>
          <w:tab w:val="left" w:pos="5670"/>
        </w:tabs>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长安师范学校附属小学校园监控设备购置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长安师范学校附属小学校园监控设备购置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长安师范学校附属小学校园监控设备购置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4AAB"/>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803"/>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2DAF"/>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3887"/>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1E3"/>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6620"/>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681E"/>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51A3"/>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29C"/>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423D"/>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920"/>
    <w:rsid w:val="00465C3A"/>
    <w:rsid w:val="0046612E"/>
    <w:rsid w:val="0046690A"/>
    <w:rsid w:val="0046782F"/>
    <w:rsid w:val="00471C60"/>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97D2D"/>
    <w:rsid w:val="004A00FD"/>
    <w:rsid w:val="004A0307"/>
    <w:rsid w:val="004A2179"/>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1C"/>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90F"/>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47E6"/>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4ED0"/>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442"/>
    <w:rsid w:val="005C3D94"/>
    <w:rsid w:val="005C50A4"/>
    <w:rsid w:val="005C50D1"/>
    <w:rsid w:val="005C6C4F"/>
    <w:rsid w:val="005D000E"/>
    <w:rsid w:val="005D035F"/>
    <w:rsid w:val="005D2A79"/>
    <w:rsid w:val="005D2A7E"/>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109D"/>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67D94"/>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29FF"/>
    <w:rsid w:val="00713CF4"/>
    <w:rsid w:val="00713D33"/>
    <w:rsid w:val="00714A7B"/>
    <w:rsid w:val="00716375"/>
    <w:rsid w:val="007170E9"/>
    <w:rsid w:val="00717B21"/>
    <w:rsid w:val="00721876"/>
    <w:rsid w:val="00723928"/>
    <w:rsid w:val="007240F9"/>
    <w:rsid w:val="00724763"/>
    <w:rsid w:val="00725918"/>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4C9B"/>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585A"/>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4DAC"/>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170"/>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2C00"/>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0A8A"/>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261F"/>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4DB3"/>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A6FBE"/>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184"/>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74B"/>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11BC"/>
    <w:rsid w:val="00E637C3"/>
    <w:rsid w:val="00E63BD1"/>
    <w:rsid w:val="00E6435C"/>
    <w:rsid w:val="00E6467D"/>
    <w:rsid w:val="00E6495A"/>
    <w:rsid w:val="00E65AC4"/>
    <w:rsid w:val="00E66B9D"/>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415"/>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8B7"/>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3BDE"/>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B766D"/>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 w:val="314A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34"/>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82A19"/>
    <w:rsid w:val="000D27B6"/>
    <w:rsid w:val="000D2840"/>
    <w:rsid w:val="000F0D9C"/>
    <w:rsid w:val="001039B1"/>
    <w:rsid w:val="00113420"/>
    <w:rsid w:val="00176C3B"/>
    <w:rsid w:val="001E1C14"/>
    <w:rsid w:val="001E6971"/>
    <w:rsid w:val="0025478B"/>
    <w:rsid w:val="002E3790"/>
    <w:rsid w:val="003326D5"/>
    <w:rsid w:val="003362FC"/>
    <w:rsid w:val="0035531E"/>
    <w:rsid w:val="00375459"/>
    <w:rsid w:val="003C7E4A"/>
    <w:rsid w:val="003E20A5"/>
    <w:rsid w:val="005774E0"/>
    <w:rsid w:val="00580B99"/>
    <w:rsid w:val="005B3059"/>
    <w:rsid w:val="005D4A80"/>
    <w:rsid w:val="005E51DE"/>
    <w:rsid w:val="005F723A"/>
    <w:rsid w:val="00626103"/>
    <w:rsid w:val="006D613E"/>
    <w:rsid w:val="006D7445"/>
    <w:rsid w:val="0072520E"/>
    <w:rsid w:val="0076050E"/>
    <w:rsid w:val="007970D2"/>
    <w:rsid w:val="007C0CC8"/>
    <w:rsid w:val="007D2B0D"/>
    <w:rsid w:val="007D7A8C"/>
    <w:rsid w:val="007E7C2D"/>
    <w:rsid w:val="00810788"/>
    <w:rsid w:val="00823F53"/>
    <w:rsid w:val="009014DE"/>
    <w:rsid w:val="0091562D"/>
    <w:rsid w:val="0093199E"/>
    <w:rsid w:val="00946FAF"/>
    <w:rsid w:val="009A1BF6"/>
    <w:rsid w:val="009B20F6"/>
    <w:rsid w:val="009B2432"/>
    <w:rsid w:val="009F2A1D"/>
    <w:rsid w:val="00A3218D"/>
    <w:rsid w:val="00A84B89"/>
    <w:rsid w:val="00AD148E"/>
    <w:rsid w:val="00B171B7"/>
    <w:rsid w:val="00BA36F6"/>
    <w:rsid w:val="00C34BE0"/>
    <w:rsid w:val="00C47AA5"/>
    <w:rsid w:val="00C47C35"/>
    <w:rsid w:val="00CD5949"/>
    <w:rsid w:val="00CF08BA"/>
    <w:rsid w:val="00D83E68"/>
    <w:rsid w:val="00D938D8"/>
    <w:rsid w:val="00DD1067"/>
    <w:rsid w:val="00DF3362"/>
    <w:rsid w:val="00E279B5"/>
    <w:rsid w:val="00E66484"/>
    <w:rsid w:val="00F23E54"/>
    <w:rsid w:val="00F4086C"/>
    <w:rsid w:val="00F516FE"/>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2F9F-7C12-48CC-A70A-BF648880B79B}">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83</Pages>
  <Words>23762</Words>
  <Characters>28990</Characters>
  <Lines>1317</Lines>
  <Paragraphs>1425</Paragraphs>
  <TotalTime>9</TotalTime>
  <ScaleCrop>false</ScaleCrop>
  <LinksUpToDate>false</LinksUpToDate>
  <CharactersWithSpaces>51327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货物</cp:category>
  <dcterms:created xsi:type="dcterms:W3CDTF">2025-07-21T02:21:00Z</dcterms:created>
  <dc:creator>admin</dc:creator>
  <cp:lastModifiedBy>趋之若鹜</cp:lastModifiedBy>
  <cp:lastPrinted>2025-07-18T03:43:00Z</cp:lastPrinted>
  <dcterms:modified xsi:type="dcterms:W3CDTF">2025-08-05T09:24:53Z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FA1A87AAB3774B4B92133829B480EBF9</vt:lpwstr>
  </property>
</Properties>
</file>