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C12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36"/>
          <w:szCs w:val="36"/>
        </w:rPr>
      </w:pPr>
      <w:r>
        <w:rPr>
          <w:rFonts w:hint="eastAsia" w:ascii="宋体" w:hAnsi="宋体" w:eastAsia="宋体" w:cs="宋体"/>
          <w:b/>
          <w:bCs/>
          <w:i w:val="0"/>
          <w:iCs w:val="0"/>
          <w:caps w:val="0"/>
          <w:color w:val="0A82E5"/>
          <w:spacing w:val="0"/>
          <w:kern w:val="0"/>
          <w:sz w:val="36"/>
          <w:szCs w:val="36"/>
          <w:bdr w:val="none" w:color="auto" w:sz="0" w:space="0"/>
          <w:shd w:val="clear" w:fill="FFFFFF"/>
          <w:lang w:val="en-US" w:eastAsia="zh-CN" w:bidi="ar"/>
        </w:rPr>
        <w:t>西安市雁塔区城市管理和综合执法局2025年机关灶劳务外包服务项目(二次)竞争性磋商公告</w:t>
      </w:r>
    </w:p>
    <w:p w14:paraId="086E88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bookmarkStart w:id="0" w:name="_GoBack"/>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14:paraId="63B2FC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西安市雁塔区城市管理和综合执法局2025年机关灶劳务外包服务项目(二次)的潜在供应商应在陕西省政府采购综合管理平台项目电子化交易系统（以下简称“项目电子化交易系统”）获取采购文件，并于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2025年08月18日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2ECE0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59DBA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项目编号：SXLX25-01-062Z(F)(二次)</w:t>
      </w:r>
    </w:p>
    <w:p w14:paraId="3C451D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项目名称：西安市雁塔区城市管理和综合执法局2025年机关灶劳务外包服务项目(二次)</w:t>
      </w:r>
    </w:p>
    <w:p w14:paraId="42268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7B2BB3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预算金额：336,000.00元</w:t>
      </w:r>
    </w:p>
    <w:p w14:paraId="5EA2C8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483664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547210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采购包1：1年</w:t>
      </w:r>
    </w:p>
    <w:p w14:paraId="0B8685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5811B8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025E0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39D60D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146CD8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4EADE8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合同包1(2025年机关灶劳务外包服务项目)落实政府采购政策需满足的资格要求如下:</w:t>
      </w:r>
    </w:p>
    <w:p w14:paraId="466F48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专门面向中小企业采购，承接服务的供应商应为符合政策要求的中小企业或残疾人福利性单位或监狱企业。</w:t>
      </w:r>
    </w:p>
    <w:p w14:paraId="59A8A5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073DA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4C58A1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2025年08月06日至2025年08月12日，每天上午00:00:00至12:00:00，下午12:00:00至23:59:59（北京时间）</w:t>
      </w:r>
    </w:p>
    <w:p w14:paraId="55694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37F8EF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5E1F38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341D45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68B96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2025年08月18日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157C7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6F955F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14:paraId="0DB18F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2025年08月18日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3384D5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42DBBC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0F6E40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4ECB6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3D1862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55A04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12F6E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8365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D86E1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5C19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05E21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4EA36B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54AC8F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6B2A4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0BE550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7B2CF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（六）限定资格条件说明：</w:t>
      </w:r>
    </w:p>
    <w:p w14:paraId="706492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4D797C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（2）单位负责人为同一人或者存在直接控股、管理关系的不同供应商，不得参加同一合同项下的采购活动；供应商未向本项目提供整体设计、规范编制或者项目管理、监理、检测、咨询服务。</w:t>
      </w:r>
    </w:p>
    <w:p w14:paraId="6853D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（七）本项目需要落实的政府采购政策：</w:t>
      </w:r>
    </w:p>
    <w:p w14:paraId="2B3384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1B8573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2CA81A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0C3C7C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2"/>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（4）支持创新等政府采购政策。</w:t>
      </w:r>
    </w:p>
    <w:p w14:paraId="2D196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2C916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346F0A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西安市雁塔区城市管理和综合执法局</w:t>
      </w:r>
    </w:p>
    <w:p w14:paraId="30AC5C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西安市雁塔区东仪路3号东仪厂院</w:t>
      </w:r>
    </w:p>
    <w:p w14:paraId="3CBD0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杨斯晗 029-85255392</w:t>
      </w:r>
    </w:p>
    <w:p w14:paraId="1A0D44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7F5FC0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79ACD5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00D03E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4BDD6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506829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任甜、郑婧婧、杜航、李亚男、袁歆雨、刘晶</w:t>
      </w:r>
    </w:p>
    <w:p w14:paraId="3499C7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bookmarkEnd w:id="0"/>
    <w:p w14:paraId="05EE84EA">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33C4A"/>
    <w:rsid w:val="7293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2025-08-05T06:39:00Z</dcterms:created>
  <dc:creator>杜航</dc:creator>
  <cp:lastModifiedBy>杜航</cp:lastModifiedBy>
  <dcterms:modified xsi:type="dcterms:W3CDTF">2025-08-05T06:43:03Z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E3FBA01283574BB898C5E66453E7DE6F_11</vt:lpwstr>
  </property>
  <property fmtid="{D5CDD505-2E9C-101B-9397-08002B2CF9AE}" pid="4" name="KSOTemplateDocerSaveRecord">
    <vt:lpwstr>eyJoZGlkIjoiNGVjNGI1ZWQxMDUyODY5ZDAxOTAyNjljNjE1NWUwNGQiLCJ1c2VySWQiOiIzMDgwODY2MDYifQ==</vt:lpwstr>
  </property>
</Properties>
</file>