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8760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b/>
          <w:bCs/>
          <w:color w:val="auto"/>
          <w:highlight w:val="none"/>
        </w:rPr>
      </w:pPr>
      <w:r>
        <w:rPr>
          <w:rFonts w:hint="eastAsia" w:ascii="宋体" w:hAnsi="宋体" w:eastAsia="宋体" w:cs="宋体"/>
          <w:color w:val="auto"/>
          <w:highlight w:val="none"/>
        </w:rPr>
        <w:t>标的名称：</w:t>
      </w:r>
      <w:r>
        <w:rPr>
          <w:rFonts w:hint="eastAsia" w:ascii="宋体" w:hAnsi="宋体" w:eastAsia="宋体" w:cs="宋体"/>
          <w:color w:val="auto"/>
          <w:highlight w:val="none"/>
          <w:lang w:eastAsia="zh-CN"/>
        </w:rPr>
        <w:t>西北大学长安校区家属院北侧土方治理及绿化EPC项目（二次）</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966"/>
        <w:gridCol w:w="8697"/>
      </w:tblGrid>
      <w:tr w14:paraId="46B5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35" w:type="dxa"/>
            <w:vAlign w:val="center"/>
          </w:tcPr>
          <w:p w14:paraId="4C2A6B6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rPr>
            </w:pPr>
            <w:r>
              <w:rPr>
                <w:rFonts w:hint="eastAsia" w:ascii="宋体" w:hAnsi="宋体" w:eastAsia="宋体" w:cs="宋体"/>
                <w:b w:val="0"/>
                <w:bCs w:val="0"/>
                <w:color w:val="auto"/>
                <w:sz w:val="21"/>
                <w:szCs w:val="21"/>
                <w:highlight w:val="none"/>
                <w:vertAlign w:val="baseline"/>
                <w:lang w:val="en-US" w:eastAsia="zh-CN"/>
              </w:rPr>
              <w:t>序号</w:t>
            </w:r>
          </w:p>
        </w:tc>
        <w:tc>
          <w:tcPr>
            <w:tcW w:w="966" w:type="dxa"/>
            <w:vAlign w:val="center"/>
          </w:tcPr>
          <w:p w14:paraId="528F61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lang w:val="en-US" w:eastAsia="zh-CN"/>
              </w:rPr>
            </w:pPr>
            <w:r>
              <w:rPr>
                <w:rFonts w:hint="eastAsia"/>
                <w:b w:val="0"/>
                <w:bCs w:val="0"/>
                <w:color w:val="auto"/>
                <w:sz w:val="21"/>
                <w:szCs w:val="21"/>
                <w:highlight w:val="none"/>
                <w:lang w:val="en-US" w:eastAsia="zh-CN"/>
              </w:rPr>
              <w:t>参数性质</w:t>
            </w:r>
          </w:p>
        </w:tc>
        <w:tc>
          <w:tcPr>
            <w:tcW w:w="8697" w:type="dxa"/>
            <w:vAlign w:val="center"/>
          </w:tcPr>
          <w:p w14:paraId="60DA6F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rPr>
            </w:pPr>
            <w:r>
              <w:rPr>
                <w:rFonts w:hint="eastAsia"/>
                <w:b w:val="0"/>
                <w:bCs w:val="0"/>
                <w:color w:val="auto"/>
                <w:sz w:val="21"/>
                <w:szCs w:val="21"/>
                <w:highlight w:val="none"/>
              </w:rPr>
              <w:t>技术参数与性能指标</w:t>
            </w:r>
          </w:p>
        </w:tc>
      </w:tr>
      <w:tr w14:paraId="24A8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835" w:type="dxa"/>
            <w:vAlign w:val="center"/>
          </w:tcPr>
          <w:p w14:paraId="0EA6F1A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966" w:type="dxa"/>
            <w:vAlign w:val="center"/>
          </w:tcPr>
          <w:p w14:paraId="77E932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06EA74F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工期：</w:t>
            </w:r>
            <w:r>
              <w:rPr>
                <w:rFonts w:hint="eastAsia" w:ascii="宋体" w:hAnsi="宋体" w:eastAsia="宋体" w:cs="宋体"/>
                <w:color w:val="auto"/>
                <w:sz w:val="21"/>
                <w:szCs w:val="21"/>
                <w:highlight w:val="none"/>
                <w:lang w:val="en-US" w:eastAsia="zh-CN"/>
              </w:rPr>
              <w:t>自合同签订之日起计算100日（承包人应在合同签订后10天完成并提交施工图设计成果文件，配合发包人在5天内完成施工图审查，根据审查合格的施工图设计成果文件在20天内完成施工图预算编制并报发包人审核，确保所报施工图预算不超过中标工程费，否则不予接收，工期不予顺延。发包人在30天内完成对施工图预算的审核。审定的施工图中出现错、漏、碰、缺及二次设计深化的内容均由承包人自行完善并承担费用，但设计变更须经过发包人同意后方可实施）</w:t>
            </w:r>
          </w:p>
        </w:tc>
      </w:tr>
      <w:tr w14:paraId="6FBF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5" w:type="dxa"/>
            <w:vAlign w:val="center"/>
          </w:tcPr>
          <w:p w14:paraId="58F474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2</w:t>
            </w:r>
          </w:p>
        </w:tc>
        <w:tc>
          <w:tcPr>
            <w:tcW w:w="966" w:type="dxa"/>
            <w:vAlign w:val="center"/>
          </w:tcPr>
          <w:p w14:paraId="15BC9E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23D442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质量保修期和缺陷责任期：</w:t>
            </w:r>
            <w:r>
              <w:rPr>
                <w:rFonts w:hint="eastAsia" w:ascii="宋体" w:hAnsi="宋体" w:eastAsia="宋体" w:cs="宋体"/>
                <w:b w:val="0"/>
                <w:bCs w:val="0"/>
                <w:color w:val="auto"/>
                <w:sz w:val="21"/>
                <w:szCs w:val="21"/>
                <w:highlight w:val="none"/>
                <w:vertAlign w:val="baseline"/>
                <w:lang w:val="en-US" w:eastAsia="zh-CN"/>
              </w:rPr>
              <w:t>2年。</w:t>
            </w:r>
          </w:p>
        </w:tc>
      </w:tr>
      <w:tr w14:paraId="1B0A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5" w:type="dxa"/>
            <w:vAlign w:val="center"/>
          </w:tcPr>
          <w:p w14:paraId="5D7D3C4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3</w:t>
            </w:r>
          </w:p>
        </w:tc>
        <w:tc>
          <w:tcPr>
            <w:tcW w:w="966" w:type="dxa"/>
            <w:vAlign w:val="center"/>
          </w:tcPr>
          <w:p w14:paraId="444B948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090ED7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施工范围及工作内容：</w:t>
            </w:r>
            <w:r>
              <w:rPr>
                <w:rFonts w:hint="eastAsia" w:ascii="宋体" w:hAnsi="宋体" w:eastAsia="宋体" w:cs="宋体"/>
                <w:b w:val="0"/>
                <w:bCs w:val="0"/>
                <w:color w:val="auto"/>
                <w:sz w:val="21"/>
                <w:szCs w:val="21"/>
                <w:highlight w:val="none"/>
                <w:vertAlign w:val="baseline"/>
                <w:lang w:val="en-US" w:eastAsia="zh-CN"/>
              </w:rPr>
              <w:t>详见附件（初步设计文件）。</w:t>
            </w:r>
          </w:p>
        </w:tc>
      </w:tr>
      <w:tr w14:paraId="48ED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trPr>
        <w:tc>
          <w:tcPr>
            <w:tcW w:w="835" w:type="dxa"/>
            <w:vAlign w:val="center"/>
          </w:tcPr>
          <w:p w14:paraId="42FC75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4</w:t>
            </w:r>
          </w:p>
        </w:tc>
        <w:tc>
          <w:tcPr>
            <w:tcW w:w="966" w:type="dxa"/>
            <w:vAlign w:val="center"/>
          </w:tcPr>
          <w:p w14:paraId="026E03C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shd w:val="clear" w:color="auto" w:fill="auto"/>
            <w:vAlign w:val="top"/>
          </w:tcPr>
          <w:p w14:paraId="0E786870">
            <w:pPr>
              <w:widowControl w:val="0"/>
              <w:adjustRightInd w:val="0"/>
              <w:snapToGrid w:val="0"/>
              <w:spacing w:line="360" w:lineRule="auto"/>
              <w:contextualSpacing/>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实施要求：</w:t>
            </w:r>
          </w:p>
          <w:p w14:paraId="6CA045F3">
            <w:pPr>
              <w:widowControl w:val="0"/>
              <w:adjustRightInd w:val="0"/>
              <w:snapToGrid w:val="0"/>
              <w:spacing w:line="360" w:lineRule="auto"/>
              <w:contextualSpacing/>
              <w:rPr>
                <w:rFonts w:hint="eastAsia" w:ascii="仿宋_GB2312" w:hAnsi="仿宋_GB2312" w:eastAsia="仿宋_GB2312" w:cs="仿宋_GB2312"/>
                <w:snapToGrid w:val="0"/>
                <w:color w:val="auto"/>
                <w:kern w:val="0"/>
                <w:sz w:val="21"/>
                <w:szCs w:val="21"/>
                <w:highlight w:val="none"/>
                <w:lang w:val="en-US" w:eastAsia="zh-CN" w:bidi="ar-SA"/>
              </w:rPr>
            </w:pPr>
            <w:r>
              <w:rPr>
                <w:rFonts w:hint="eastAsia" w:ascii="宋体" w:hAnsi="宋体" w:eastAsia="宋体" w:cs="宋体"/>
                <w:b w:val="0"/>
                <w:bCs w:val="0"/>
                <w:color w:val="auto"/>
                <w:sz w:val="21"/>
                <w:szCs w:val="21"/>
                <w:highlight w:val="none"/>
                <w:vertAlign w:val="baseline"/>
                <w:lang w:val="en-US" w:eastAsia="zh-CN"/>
              </w:rPr>
              <w:t>适用于本合同的标准、规范（名称）包括：国家现行标准规范、行业标准规范及工程所在地方的标准规范。本工程以现行上述验收技术规范，建筑工程质量检验评定标准和设计图纸、施工组织设计、图纸会审纪要等技术文件为依据进行设计施工，设计施工技术必须满足涉及的规范标准条款；除本合同另有规定外，所有材料和工程的质量均应符合招标时已颁布的现行国家和地方相关标准与规范的相应规定和要求；在合同履行期间，本工程采用的标准或规范若有修改或新颁布，应按新修改或新颁布的标准或规范执行。</w:t>
            </w:r>
          </w:p>
        </w:tc>
      </w:tr>
      <w:tr w14:paraId="32E0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35" w:type="dxa"/>
            <w:vAlign w:val="center"/>
          </w:tcPr>
          <w:p w14:paraId="4CC881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5</w:t>
            </w:r>
          </w:p>
        </w:tc>
        <w:tc>
          <w:tcPr>
            <w:tcW w:w="966" w:type="dxa"/>
            <w:vAlign w:val="center"/>
          </w:tcPr>
          <w:p w14:paraId="254C2EB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2B444F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color w:val="auto"/>
                <w:sz w:val="21"/>
                <w:szCs w:val="21"/>
                <w:highlight w:val="none"/>
                <w:vertAlign w:val="baseline"/>
              </w:rPr>
            </w:pPr>
            <w:r>
              <w:rPr>
                <w:rFonts w:hint="eastAsia" w:ascii="宋体" w:hAnsi="宋体" w:eastAsia="宋体" w:cs="宋体"/>
                <w:b/>
                <w:bCs/>
                <w:color w:val="auto"/>
                <w:sz w:val="21"/>
                <w:szCs w:val="21"/>
                <w:highlight w:val="none"/>
                <w:vertAlign w:val="baseline"/>
                <w:lang w:val="en-US" w:eastAsia="zh-CN"/>
              </w:rPr>
              <w:t>合同价款形式：</w:t>
            </w:r>
            <w:r>
              <w:rPr>
                <w:rFonts w:hint="eastAsia" w:ascii="宋体" w:hAnsi="宋体" w:eastAsia="宋体" w:cs="宋体"/>
                <w:b w:val="0"/>
                <w:bCs w:val="0"/>
                <w:color w:val="auto"/>
                <w:sz w:val="21"/>
                <w:szCs w:val="21"/>
                <w:highlight w:val="none"/>
                <w:vertAlign w:val="baseline"/>
                <w:lang w:val="en-US" w:eastAsia="zh-CN"/>
              </w:rPr>
              <w:t>固定总价</w:t>
            </w:r>
          </w:p>
        </w:tc>
      </w:tr>
      <w:tr w14:paraId="4452D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1" w:hRule="atLeast"/>
        </w:trPr>
        <w:tc>
          <w:tcPr>
            <w:tcW w:w="835" w:type="dxa"/>
            <w:vAlign w:val="center"/>
          </w:tcPr>
          <w:p w14:paraId="54A0D54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6</w:t>
            </w:r>
          </w:p>
        </w:tc>
        <w:tc>
          <w:tcPr>
            <w:tcW w:w="966" w:type="dxa"/>
            <w:vAlign w:val="center"/>
          </w:tcPr>
          <w:p w14:paraId="63245E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130A997A">
            <w:pPr>
              <w:widowControl w:val="0"/>
              <w:adjustRightInd w:val="0"/>
              <w:snapToGrid w:val="0"/>
              <w:spacing w:line="360" w:lineRule="auto"/>
              <w:contextualSpacing/>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付款方式：</w:t>
            </w:r>
          </w:p>
          <w:p w14:paraId="2F49FADA">
            <w:pPr>
              <w:widowControl w:val="0"/>
              <w:adjustRightInd w:val="0"/>
              <w:snapToGrid w:val="0"/>
              <w:spacing w:line="360" w:lineRule="auto"/>
              <w:contextualSpacing/>
              <w:rPr>
                <w:rFonts w:hint="eastAsia"/>
                <w:b/>
                <w:bCs/>
                <w:color w:val="auto"/>
                <w:sz w:val="21"/>
                <w:szCs w:val="21"/>
                <w:highlight w:val="none"/>
                <w:lang w:val="en-US" w:eastAsia="zh-CN"/>
              </w:rPr>
            </w:pPr>
            <w:r>
              <w:rPr>
                <w:rFonts w:hint="eastAsia"/>
                <w:b/>
                <w:bCs/>
                <w:color w:val="auto"/>
                <w:sz w:val="21"/>
                <w:szCs w:val="21"/>
                <w:highlight w:val="none"/>
                <w:lang w:val="en-US" w:eastAsia="zh-CN"/>
              </w:rPr>
              <w:t>一、工程款支付：</w:t>
            </w:r>
          </w:p>
          <w:p w14:paraId="4070649B">
            <w:pPr>
              <w:widowControl w:val="0"/>
              <w:adjustRightInd w:val="0"/>
              <w:snapToGrid w:val="0"/>
              <w:spacing w:line="360" w:lineRule="auto"/>
              <w:contextualSpacing/>
              <w:rPr>
                <w:rFonts w:hint="eastAsia"/>
                <w:color w:val="auto"/>
                <w:sz w:val="21"/>
                <w:szCs w:val="21"/>
                <w:highlight w:val="none"/>
                <w:lang w:val="en-US" w:eastAsia="zh-CN"/>
              </w:rPr>
            </w:pPr>
            <w:r>
              <w:rPr>
                <w:rFonts w:hint="eastAsia"/>
                <w:color w:val="auto"/>
                <w:sz w:val="21"/>
                <w:szCs w:val="21"/>
                <w:highlight w:val="none"/>
                <w:lang w:val="en-US" w:eastAsia="zh-CN"/>
              </w:rPr>
              <w:t>1.预付款：工程合同承包总价10%（扣除暂列金）；</w:t>
            </w:r>
          </w:p>
          <w:p w14:paraId="017C05A0">
            <w:pPr>
              <w:widowControl w:val="0"/>
              <w:adjustRightInd w:val="0"/>
              <w:snapToGrid w:val="0"/>
              <w:spacing w:line="360" w:lineRule="auto"/>
              <w:contextualSpacing/>
              <w:rPr>
                <w:rFonts w:hint="eastAsia"/>
                <w:color w:val="auto"/>
                <w:sz w:val="21"/>
                <w:szCs w:val="21"/>
                <w:highlight w:val="none"/>
              </w:rPr>
            </w:pPr>
            <w:r>
              <w:rPr>
                <w:rFonts w:hint="eastAsia"/>
                <w:color w:val="auto"/>
                <w:sz w:val="21"/>
                <w:szCs w:val="21"/>
                <w:highlight w:val="none"/>
                <w:lang w:val="en-US" w:eastAsia="zh-CN"/>
              </w:rPr>
              <w:t>2.进度款：</w:t>
            </w:r>
            <w:r>
              <w:rPr>
                <w:rFonts w:hint="eastAsia"/>
                <w:color w:val="auto"/>
                <w:sz w:val="21"/>
                <w:szCs w:val="21"/>
                <w:highlight w:val="none"/>
              </w:rPr>
              <w:t>按照进度节点进行付款，土方外运完成后支付</w:t>
            </w:r>
            <w:r>
              <w:rPr>
                <w:rFonts w:hint="eastAsia"/>
                <w:color w:val="auto"/>
                <w:sz w:val="21"/>
                <w:szCs w:val="21"/>
                <w:highlight w:val="none"/>
                <w:lang w:val="en-US" w:eastAsia="zh-CN"/>
              </w:rPr>
              <w:t>至工程</w:t>
            </w:r>
            <w:r>
              <w:rPr>
                <w:rFonts w:hint="eastAsia"/>
                <w:color w:val="auto"/>
                <w:sz w:val="21"/>
                <w:szCs w:val="21"/>
                <w:highlight w:val="none"/>
              </w:rPr>
              <w:t>合同额的</w:t>
            </w:r>
            <w:r>
              <w:rPr>
                <w:rFonts w:hint="eastAsia"/>
                <w:color w:val="auto"/>
                <w:sz w:val="21"/>
                <w:szCs w:val="21"/>
                <w:highlight w:val="none"/>
                <w:lang w:val="en-US" w:eastAsia="zh-CN"/>
              </w:rPr>
              <w:t>5</w:t>
            </w:r>
            <w:r>
              <w:rPr>
                <w:rFonts w:hint="eastAsia"/>
                <w:color w:val="auto"/>
                <w:sz w:val="21"/>
                <w:szCs w:val="21"/>
                <w:highlight w:val="none"/>
              </w:rPr>
              <w:t>0%</w:t>
            </w:r>
            <w:r>
              <w:rPr>
                <w:rFonts w:hint="eastAsia"/>
                <w:color w:val="auto"/>
                <w:sz w:val="21"/>
                <w:szCs w:val="21"/>
                <w:highlight w:val="none"/>
                <w:lang w:eastAsia="zh-CN"/>
              </w:rPr>
              <w:t>（</w:t>
            </w:r>
            <w:r>
              <w:rPr>
                <w:rFonts w:hint="eastAsia"/>
                <w:color w:val="auto"/>
                <w:sz w:val="21"/>
                <w:szCs w:val="21"/>
                <w:highlight w:val="none"/>
                <w:lang w:val="en-US" w:eastAsia="zh-CN"/>
              </w:rPr>
              <w:t>不含暂列金）</w:t>
            </w:r>
            <w:r>
              <w:rPr>
                <w:rFonts w:hint="eastAsia"/>
                <w:color w:val="auto"/>
                <w:sz w:val="21"/>
                <w:szCs w:val="21"/>
                <w:highlight w:val="none"/>
              </w:rPr>
              <w:t>；</w:t>
            </w:r>
          </w:p>
          <w:p w14:paraId="723567D1">
            <w:pPr>
              <w:widowControl w:val="0"/>
              <w:adjustRightInd w:val="0"/>
              <w:snapToGrid w:val="0"/>
              <w:spacing w:line="360" w:lineRule="auto"/>
              <w:contextualSpacing/>
              <w:rPr>
                <w:rFonts w:hint="eastAsia"/>
                <w:color w:val="auto"/>
                <w:sz w:val="21"/>
                <w:szCs w:val="21"/>
                <w:highlight w:val="none"/>
              </w:rPr>
            </w:pPr>
            <w:r>
              <w:rPr>
                <w:rFonts w:hint="eastAsia"/>
                <w:color w:val="auto"/>
                <w:sz w:val="21"/>
                <w:szCs w:val="21"/>
                <w:highlight w:val="none"/>
                <w:lang w:val="en-US" w:eastAsia="zh-CN"/>
              </w:rPr>
              <w:t>3.验收款：</w:t>
            </w:r>
            <w:r>
              <w:rPr>
                <w:rFonts w:hint="eastAsia"/>
                <w:color w:val="auto"/>
                <w:sz w:val="21"/>
                <w:szCs w:val="21"/>
                <w:highlight w:val="none"/>
              </w:rPr>
              <w:t>待工程竣工验收合格后付至</w:t>
            </w:r>
            <w:r>
              <w:rPr>
                <w:rFonts w:hint="eastAsia"/>
                <w:color w:val="auto"/>
                <w:sz w:val="21"/>
                <w:szCs w:val="21"/>
                <w:highlight w:val="none"/>
                <w:lang w:val="en-US" w:eastAsia="zh-CN"/>
              </w:rPr>
              <w:t>工程</w:t>
            </w:r>
            <w:r>
              <w:rPr>
                <w:rFonts w:hint="eastAsia"/>
                <w:color w:val="auto"/>
                <w:sz w:val="21"/>
                <w:szCs w:val="21"/>
                <w:highlight w:val="none"/>
              </w:rPr>
              <w:t>合同金额的90%；</w:t>
            </w:r>
          </w:p>
          <w:p w14:paraId="2E39DE73">
            <w:pPr>
              <w:widowControl w:val="0"/>
              <w:adjustRightInd w:val="0"/>
              <w:snapToGrid w:val="0"/>
              <w:spacing w:line="360" w:lineRule="auto"/>
              <w:contextualSpacing/>
              <w:rPr>
                <w:rFonts w:hint="eastAsia"/>
                <w:color w:val="auto"/>
                <w:sz w:val="21"/>
                <w:szCs w:val="21"/>
                <w:highlight w:val="none"/>
              </w:rPr>
            </w:pPr>
            <w:r>
              <w:rPr>
                <w:rFonts w:hint="eastAsia"/>
                <w:color w:val="auto"/>
                <w:sz w:val="21"/>
                <w:szCs w:val="21"/>
                <w:highlight w:val="none"/>
                <w:lang w:val="en-US" w:eastAsia="zh-CN"/>
              </w:rPr>
              <w:t>4.结算款：</w:t>
            </w:r>
            <w:r>
              <w:rPr>
                <w:rFonts w:hint="eastAsia"/>
                <w:color w:val="auto"/>
                <w:sz w:val="21"/>
                <w:szCs w:val="21"/>
                <w:highlight w:val="none"/>
              </w:rPr>
              <w:t>经学校审计后付至</w:t>
            </w:r>
            <w:r>
              <w:rPr>
                <w:rFonts w:hint="eastAsia"/>
                <w:color w:val="auto"/>
                <w:sz w:val="21"/>
                <w:szCs w:val="21"/>
                <w:highlight w:val="none"/>
                <w:lang w:val="en-US" w:eastAsia="zh-CN"/>
              </w:rPr>
              <w:t>工程结算</w:t>
            </w:r>
            <w:r>
              <w:rPr>
                <w:rFonts w:hint="eastAsia"/>
                <w:color w:val="auto"/>
                <w:sz w:val="21"/>
                <w:szCs w:val="21"/>
                <w:highlight w:val="none"/>
              </w:rPr>
              <w:t>审定金额的97%；</w:t>
            </w:r>
          </w:p>
          <w:p w14:paraId="2AD96998">
            <w:pPr>
              <w:widowControl w:val="0"/>
              <w:adjustRightInd w:val="0"/>
              <w:snapToGrid w:val="0"/>
              <w:spacing w:line="360" w:lineRule="auto"/>
              <w:contextualSpacing/>
              <w:rPr>
                <w:rFonts w:hint="eastAsia"/>
                <w:color w:val="auto"/>
                <w:sz w:val="21"/>
                <w:szCs w:val="21"/>
                <w:highlight w:val="none"/>
              </w:rPr>
            </w:pPr>
            <w:r>
              <w:rPr>
                <w:rFonts w:hint="eastAsia"/>
                <w:color w:val="auto"/>
                <w:sz w:val="21"/>
                <w:szCs w:val="21"/>
                <w:highlight w:val="none"/>
                <w:lang w:val="en-US" w:eastAsia="zh-CN"/>
              </w:rPr>
              <w:t>5.质保金：</w:t>
            </w:r>
            <w:r>
              <w:rPr>
                <w:rFonts w:hint="eastAsia"/>
                <w:color w:val="auto"/>
                <w:sz w:val="21"/>
                <w:szCs w:val="21"/>
                <w:highlight w:val="none"/>
              </w:rPr>
              <w:t>剩余审定金额的3%作为质保金，本项目质保期为2年，质保期满后无质量问题一次性付清（不计利息）。</w:t>
            </w:r>
          </w:p>
          <w:p w14:paraId="3D560FB2">
            <w:pPr>
              <w:widowControl w:val="0"/>
              <w:adjustRightInd w:val="0"/>
              <w:snapToGrid w:val="0"/>
              <w:spacing w:line="360" w:lineRule="auto"/>
              <w:contextualSpacing/>
              <w:rPr>
                <w:rFonts w:hint="eastAsia"/>
                <w:b/>
                <w:bCs/>
                <w:color w:val="auto"/>
                <w:sz w:val="21"/>
                <w:szCs w:val="21"/>
                <w:highlight w:val="none"/>
                <w:lang w:val="en-US" w:eastAsia="zh-CN"/>
              </w:rPr>
            </w:pPr>
            <w:r>
              <w:rPr>
                <w:rFonts w:hint="eastAsia"/>
                <w:b/>
                <w:bCs/>
                <w:color w:val="auto"/>
                <w:sz w:val="21"/>
                <w:szCs w:val="21"/>
                <w:highlight w:val="none"/>
                <w:lang w:val="en-US" w:eastAsia="zh-CN"/>
              </w:rPr>
              <w:t>二、设计款支付</w:t>
            </w:r>
          </w:p>
          <w:p w14:paraId="0F86C067">
            <w:pPr>
              <w:widowControl w:val="0"/>
              <w:adjustRightInd w:val="0"/>
              <w:snapToGrid w:val="0"/>
              <w:spacing w:line="360" w:lineRule="auto"/>
              <w:contextualSpacing/>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本合同签订后</w:t>
            </w:r>
            <w:r>
              <w:rPr>
                <w:rFonts w:hint="eastAsia"/>
                <w:color w:val="auto"/>
                <w:sz w:val="21"/>
                <w:szCs w:val="21"/>
                <w:highlight w:val="none"/>
                <w:lang w:val="en-US" w:eastAsia="zh-CN"/>
              </w:rPr>
              <w:t>预付</w:t>
            </w:r>
            <w:r>
              <w:rPr>
                <w:rFonts w:hint="eastAsia"/>
                <w:color w:val="auto"/>
                <w:sz w:val="21"/>
                <w:szCs w:val="21"/>
                <w:highlight w:val="none"/>
              </w:rPr>
              <w:t>合同设计费用总额的10%；</w:t>
            </w:r>
          </w:p>
          <w:p w14:paraId="25B52C32">
            <w:pPr>
              <w:widowControl w:val="0"/>
              <w:adjustRightInd w:val="0"/>
              <w:snapToGrid w:val="0"/>
              <w:spacing w:line="360" w:lineRule="auto"/>
              <w:contextualSpacing/>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施工图综合审查合格后</w:t>
            </w:r>
            <w:r>
              <w:rPr>
                <w:rFonts w:hint="eastAsia"/>
                <w:color w:val="auto"/>
                <w:sz w:val="21"/>
                <w:szCs w:val="21"/>
                <w:highlight w:val="none"/>
                <w:lang w:eastAsia="zh-CN"/>
              </w:rPr>
              <w:t>，</w:t>
            </w:r>
            <w:r>
              <w:rPr>
                <w:rFonts w:hint="eastAsia"/>
                <w:color w:val="auto"/>
                <w:sz w:val="21"/>
                <w:szCs w:val="21"/>
                <w:highlight w:val="none"/>
              </w:rPr>
              <w:t>支付至设计总费用90%；</w:t>
            </w:r>
          </w:p>
          <w:p w14:paraId="04B1300E">
            <w:pPr>
              <w:widowControl w:val="0"/>
              <w:adjustRightInd w:val="0"/>
              <w:snapToGrid w:val="0"/>
              <w:spacing w:line="360" w:lineRule="auto"/>
              <w:contextualSpacing/>
              <w:rPr>
                <w:rFonts w:hint="eastAsia"/>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竣工验收合格后</w:t>
            </w:r>
            <w:r>
              <w:rPr>
                <w:rFonts w:hint="eastAsia"/>
                <w:color w:val="auto"/>
                <w:sz w:val="21"/>
                <w:szCs w:val="21"/>
                <w:highlight w:val="none"/>
                <w:lang w:eastAsia="zh-CN"/>
              </w:rPr>
              <w:t>，</w:t>
            </w:r>
            <w:r>
              <w:rPr>
                <w:rFonts w:hint="eastAsia"/>
                <w:color w:val="auto"/>
                <w:sz w:val="21"/>
                <w:szCs w:val="21"/>
                <w:highlight w:val="none"/>
                <w:lang w:val="en-US" w:eastAsia="zh-CN"/>
              </w:rPr>
              <w:t>支付</w:t>
            </w:r>
            <w:r>
              <w:rPr>
                <w:rFonts w:hint="eastAsia"/>
                <w:color w:val="auto"/>
                <w:sz w:val="21"/>
                <w:szCs w:val="21"/>
                <w:highlight w:val="none"/>
              </w:rPr>
              <w:t>至结算价的100%</w:t>
            </w:r>
          </w:p>
        </w:tc>
      </w:tr>
      <w:tr w14:paraId="68AF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835" w:type="dxa"/>
            <w:vAlign w:val="center"/>
          </w:tcPr>
          <w:p w14:paraId="47211B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7</w:t>
            </w:r>
          </w:p>
        </w:tc>
        <w:tc>
          <w:tcPr>
            <w:tcW w:w="966" w:type="dxa"/>
            <w:vAlign w:val="center"/>
          </w:tcPr>
          <w:p w14:paraId="676C7E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0F86BF5D">
            <w:pPr>
              <w:widowControl w:val="0"/>
              <w:adjustRightInd w:val="0"/>
              <w:snapToGrid w:val="0"/>
              <w:spacing w:line="360" w:lineRule="auto"/>
              <w:contextualSpacing/>
              <w:rPr>
                <w:rFonts w:hint="default"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质量保证金：有</w:t>
            </w:r>
          </w:p>
          <w:p w14:paraId="1A6EA332">
            <w:pPr>
              <w:widowControl w:val="0"/>
              <w:adjustRightInd w:val="0"/>
              <w:snapToGrid w:val="0"/>
              <w:spacing w:line="360" w:lineRule="auto"/>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预留工程价款审定金额的3%作为质保金；缴纳方式：预留；退还方式：待缺陷责任期满，一次性付清，不计利息。</w:t>
            </w:r>
          </w:p>
        </w:tc>
      </w:tr>
      <w:tr w14:paraId="4146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35" w:type="dxa"/>
            <w:vAlign w:val="center"/>
          </w:tcPr>
          <w:p w14:paraId="09E209C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8</w:t>
            </w:r>
          </w:p>
        </w:tc>
        <w:tc>
          <w:tcPr>
            <w:tcW w:w="966" w:type="dxa"/>
            <w:vAlign w:val="center"/>
          </w:tcPr>
          <w:p w14:paraId="51A8C2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7F096A48">
            <w:pPr>
              <w:widowControl w:val="0"/>
              <w:adjustRightInd w:val="0"/>
              <w:snapToGrid w:val="0"/>
              <w:spacing w:line="360" w:lineRule="auto"/>
              <w:contextualSpacing/>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质量保证及验收标准：</w:t>
            </w:r>
          </w:p>
          <w:p w14:paraId="6B79B73F">
            <w:pPr>
              <w:widowControl w:val="0"/>
              <w:adjustRightInd w:val="0"/>
              <w:snapToGrid w:val="0"/>
              <w:spacing w:line="360" w:lineRule="auto"/>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满足国家现行法律法规和规范。</w:t>
            </w:r>
          </w:p>
        </w:tc>
      </w:tr>
      <w:tr w14:paraId="3275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835" w:type="dxa"/>
            <w:vAlign w:val="center"/>
          </w:tcPr>
          <w:p w14:paraId="011B7A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9</w:t>
            </w:r>
          </w:p>
        </w:tc>
        <w:tc>
          <w:tcPr>
            <w:tcW w:w="966" w:type="dxa"/>
            <w:vAlign w:val="center"/>
          </w:tcPr>
          <w:p w14:paraId="36C11AC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7FDB8659">
            <w:pPr>
              <w:widowControl w:val="0"/>
              <w:adjustRightInd w:val="0"/>
              <w:snapToGrid w:val="0"/>
              <w:spacing w:line="360" w:lineRule="auto"/>
              <w:contextualSpacing/>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违约责任：</w:t>
            </w:r>
          </w:p>
          <w:p w14:paraId="6AE49E6E">
            <w:pPr>
              <w:widowControl w:val="0"/>
              <w:adjustRightInd w:val="0"/>
              <w:snapToGrid w:val="0"/>
              <w:spacing w:line="360" w:lineRule="auto"/>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中标/成交供应商所交付工程不符合其投标承诺，存在偷工减料、以次充好情形的，采购人要求更换一次后仍不符合约定的，采购人有权解除采购合同，没收履约保证金，并将有关情况上报政府采购监管部门处理。</w:t>
            </w:r>
          </w:p>
        </w:tc>
      </w:tr>
      <w:tr w14:paraId="0656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835" w:type="dxa"/>
            <w:vAlign w:val="center"/>
          </w:tcPr>
          <w:p w14:paraId="5880CCE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10</w:t>
            </w:r>
          </w:p>
        </w:tc>
        <w:tc>
          <w:tcPr>
            <w:tcW w:w="966" w:type="dxa"/>
            <w:vAlign w:val="center"/>
          </w:tcPr>
          <w:p w14:paraId="370B16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7E28AAB4">
            <w:pPr>
              <w:widowControl w:val="0"/>
              <w:adjustRightInd w:val="0"/>
              <w:snapToGrid w:val="0"/>
              <w:spacing w:line="360" w:lineRule="auto"/>
              <w:contextualSpacing/>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采购标的需实现的功能或者目标：</w:t>
            </w:r>
          </w:p>
          <w:p w14:paraId="3DCB5A24">
            <w:pPr>
              <w:widowControl w:val="0"/>
              <w:numPr>
                <w:ilvl w:val="0"/>
                <w:numId w:val="0"/>
              </w:numPr>
              <w:adjustRightInd w:val="0"/>
              <w:snapToGrid w:val="0"/>
              <w:spacing w:line="360" w:lineRule="auto"/>
              <w:ind w:left="0" w:leftChars="0" w:firstLine="0" w:firstLineChars="0"/>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snapToGrid w:val="0"/>
                <w:color w:val="auto"/>
                <w:kern w:val="0"/>
                <w:sz w:val="21"/>
                <w:szCs w:val="21"/>
                <w:highlight w:val="none"/>
                <w:vertAlign w:val="baseline"/>
                <w:lang w:val="en-US" w:eastAsia="zh-CN" w:bidi="ar-SA"/>
              </w:rPr>
              <w:t>1、</w:t>
            </w:r>
            <w:r>
              <w:rPr>
                <w:rFonts w:hint="eastAsia" w:ascii="宋体" w:hAnsi="宋体" w:eastAsia="宋体" w:cs="宋体"/>
                <w:b w:val="0"/>
                <w:bCs w:val="0"/>
                <w:color w:val="auto"/>
                <w:sz w:val="21"/>
                <w:szCs w:val="21"/>
                <w:highlight w:val="none"/>
                <w:vertAlign w:val="baseline"/>
                <w:lang w:val="en-US" w:eastAsia="zh-CN"/>
              </w:rPr>
              <w:t>承包人需自行施工，满足招标文件要求，不得违规分包、转包；</w:t>
            </w:r>
          </w:p>
          <w:p w14:paraId="3AB8E4C5">
            <w:pPr>
              <w:widowControl w:val="0"/>
              <w:numPr>
                <w:ilvl w:val="0"/>
                <w:numId w:val="0"/>
              </w:numPr>
              <w:adjustRightInd w:val="0"/>
              <w:snapToGrid w:val="0"/>
              <w:spacing w:line="360" w:lineRule="auto"/>
              <w:ind w:left="0" w:leftChars="0" w:firstLine="0" w:firstLineChars="0"/>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snapToGrid w:val="0"/>
                <w:color w:val="auto"/>
                <w:kern w:val="0"/>
                <w:sz w:val="21"/>
                <w:szCs w:val="21"/>
                <w:highlight w:val="none"/>
                <w:vertAlign w:val="baseline"/>
                <w:lang w:val="en-US" w:eastAsia="zh-CN" w:bidi="ar-SA"/>
              </w:rPr>
              <w:t>2、</w:t>
            </w:r>
            <w:r>
              <w:rPr>
                <w:rFonts w:hint="eastAsia" w:ascii="宋体" w:hAnsi="宋体" w:eastAsia="宋体" w:cs="宋体"/>
                <w:b w:val="0"/>
                <w:bCs w:val="0"/>
                <w:color w:val="auto"/>
                <w:sz w:val="21"/>
                <w:szCs w:val="21"/>
                <w:highlight w:val="none"/>
                <w:vertAlign w:val="baseline"/>
                <w:lang w:val="en-US" w:eastAsia="zh-CN"/>
              </w:rPr>
              <w:t>承包人对施工过程中的所有人员、设备、物资及第三方安全等承担全部责任，施工过程必须遵守安全生产管理及规定；</w:t>
            </w:r>
          </w:p>
          <w:p w14:paraId="552F7ABA">
            <w:pPr>
              <w:widowControl w:val="0"/>
              <w:numPr>
                <w:ilvl w:val="0"/>
                <w:numId w:val="0"/>
              </w:numPr>
              <w:adjustRightInd w:val="0"/>
              <w:snapToGrid w:val="0"/>
              <w:spacing w:line="360" w:lineRule="auto"/>
              <w:ind w:left="0" w:leftChars="0" w:firstLine="0" w:firstLineChars="0"/>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snapToGrid w:val="0"/>
                <w:color w:val="auto"/>
                <w:kern w:val="0"/>
                <w:sz w:val="21"/>
                <w:szCs w:val="21"/>
                <w:highlight w:val="none"/>
                <w:vertAlign w:val="baseline"/>
                <w:lang w:val="en-US" w:eastAsia="zh-CN" w:bidi="ar-SA"/>
              </w:rPr>
              <w:t>3、</w:t>
            </w:r>
            <w:r>
              <w:rPr>
                <w:rFonts w:hint="eastAsia" w:ascii="宋体" w:hAnsi="宋体" w:eastAsia="宋体" w:cs="宋体"/>
                <w:b w:val="0"/>
                <w:bCs w:val="0"/>
                <w:color w:val="auto"/>
                <w:sz w:val="21"/>
                <w:szCs w:val="21"/>
                <w:highlight w:val="none"/>
                <w:vertAlign w:val="baseline"/>
                <w:lang w:val="en-US" w:eastAsia="zh-CN"/>
              </w:rPr>
              <w:t>承包人需提供详细可行的外运土方实施方案。</w:t>
            </w:r>
          </w:p>
          <w:p w14:paraId="6A0717FE">
            <w:pPr>
              <w:widowControl w:val="0"/>
              <w:numPr>
                <w:ilvl w:val="0"/>
                <w:numId w:val="0"/>
              </w:numPr>
              <w:adjustRightInd w:val="0"/>
              <w:snapToGrid w:val="0"/>
              <w:spacing w:line="360" w:lineRule="auto"/>
              <w:ind w:left="0" w:leftChars="0" w:firstLine="0" w:firstLineChars="0"/>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snapToGrid w:val="0"/>
                <w:color w:val="auto"/>
                <w:kern w:val="0"/>
                <w:sz w:val="21"/>
                <w:szCs w:val="21"/>
                <w:highlight w:val="none"/>
                <w:vertAlign w:val="baseline"/>
                <w:lang w:val="en-US" w:eastAsia="zh-CN" w:bidi="ar-SA"/>
              </w:rPr>
              <w:t>4、</w:t>
            </w:r>
            <w:r>
              <w:rPr>
                <w:rFonts w:hint="eastAsia" w:ascii="宋体" w:hAnsi="宋体" w:eastAsia="宋体" w:cs="宋体"/>
                <w:b w:val="0"/>
                <w:bCs w:val="0"/>
                <w:color w:val="auto"/>
                <w:sz w:val="21"/>
                <w:szCs w:val="21"/>
                <w:highlight w:val="none"/>
                <w:vertAlign w:val="baseline"/>
                <w:lang w:val="en-US" w:eastAsia="zh-CN"/>
              </w:rPr>
              <w:t>质量标准：符合国家验收规范合格标准。</w:t>
            </w:r>
          </w:p>
          <w:p w14:paraId="0459770D">
            <w:pPr>
              <w:widowControl w:val="0"/>
              <w:numPr>
                <w:ilvl w:val="0"/>
                <w:numId w:val="0"/>
              </w:numPr>
              <w:adjustRightInd w:val="0"/>
              <w:snapToGrid w:val="0"/>
              <w:spacing w:line="360" w:lineRule="auto"/>
              <w:ind w:left="0" w:leftChars="0" w:firstLine="0" w:firstLineChars="0"/>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snapToGrid w:val="0"/>
                <w:color w:val="auto"/>
                <w:kern w:val="0"/>
                <w:sz w:val="21"/>
                <w:szCs w:val="21"/>
                <w:highlight w:val="none"/>
                <w:vertAlign w:val="baseline"/>
                <w:lang w:val="en-US" w:eastAsia="zh-CN" w:bidi="ar-SA"/>
              </w:rPr>
              <w:t>5、</w:t>
            </w:r>
            <w:r>
              <w:rPr>
                <w:rFonts w:hint="eastAsia" w:ascii="宋体" w:hAnsi="宋体" w:eastAsia="宋体" w:cs="宋体"/>
                <w:b w:val="0"/>
                <w:bCs w:val="0"/>
                <w:color w:val="auto"/>
                <w:sz w:val="21"/>
                <w:szCs w:val="21"/>
                <w:highlight w:val="none"/>
                <w:vertAlign w:val="baseline"/>
                <w:lang w:val="en-US" w:eastAsia="zh-CN"/>
              </w:rPr>
              <w:t>验收标准：需满足国家标准，并通过学校正式验收。</w:t>
            </w:r>
          </w:p>
        </w:tc>
      </w:tr>
      <w:tr w14:paraId="26EEF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35" w:type="dxa"/>
            <w:vAlign w:val="center"/>
          </w:tcPr>
          <w:p w14:paraId="53F87F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11</w:t>
            </w:r>
          </w:p>
        </w:tc>
        <w:tc>
          <w:tcPr>
            <w:tcW w:w="966" w:type="dxa"/>
            <w:vAlign w:val="center"/>
          </w:tcPr>
          <w:p w14:paraId="2948B3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69ECE6FC">
            <w:pPr>
              <w:widowControl w:val="0"/>
              <w:adjustRightInd w:val="0"/>
              <w:snapToGrid w:val="0"/>
              <w:spacing w:line="360" w:lineRule="auto"/>
              <w:contextualSpacing/>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采购标的需执行的标准：</w:t>
            </w:r>
          </w:p>
          <w:p w14:paraId="70228926">
            <w:pPr>
              <w:widowControl w:val="0"/>
              <w:adjustRightInd w:val="0"/>
              <w:snapToGrid w:val="0"/>
              <w:spacing w:line="360" w:lineRule="auto"/>
              <w:contextualSpacing/>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国家现行标准规范、行业标准规范及工程所在地方的标准规范。</w:t>
            </w:r>
          </w:p>
        </w:tc>
      </w:tr>
      <w:tr w14:paraId="3280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1" w:hRule="atLeast"/>
        </w:trPr>
        <w:tc>
          <w:tcPr>
            <w:tcW w:w="835" w:type="dxa"/>
            <w:vAlign w:val="center"/>
          </w:tcPr>
          <w:p w14:paraId="7DAF81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default"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12</w:t>
            </w:r>
          </w:p>
        </w:tc>
        <w:tc>
          <w:tcPr>
            <w:tcW w:w="966" w:type="dxa"/>
            <w:vAlign w:val="center"/>
          </w:tcPr>
          <w:p w14:paraId="13C5E38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bCs/>
                <w:color w:val="auto"/>
                <w:sz w:val="21"/>
                <w:szCs w:val="21"/>
                <w:highlight w:val="none"/>
                <w:vertAlign w:val="baseline"/>
              </w:rPr>
            </w:pPr>
          </w:p>
        </w:tc>
        <w:tc>
          <w:tcPr>
            <w:tcW w:w="8697" w:type="dxa"/>
            <w:vAlign w:val="center"/>
          </w:tcPr>
          <w:p w14:paraId="2CCFE21C">
            <w:pPr>
              <w:widowControl w:val="0"/>
              <w:adjustRightInd w:val="0"/>
              <w:snapToGrid w:val="0"/>
              <w:spacing w:line="360" w:lineRule="auto"/>
              <w:contextualSpacing/>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其他要求：</w:t>
            </w:r>
          </w:p>
          <w:p w14:paraId="5248C179">
            <w:pPr>
              <w:widowControl w:val="0"/>
              <w:numPr>
                <w:ilvl w:val="0"/>
                <w:numId w:val="0"/>
              </w:numPr>
              <w:adjustRightInd w:val="0"/>
              <w:snapToGrid w:val="0"/>
              <w:spacing w:line="360" w:lineRule="auto"/>
              <w:ind w:left="0" w:leftChars="0" w:firstLine="0" w:firstLineChars="0"/>
              <w:contextualSpacing/>
              <w:rPr>
                <w:rFonts w:hint="eastAsia" w:ascii="宋体" w:hAnsi="宋体" w:eastAsia="宋体" w:cs="宋体"/>
                <w:b w:val="0"/>
                <w:bCs w:val="0"/>
                <w:snapToGrid w:val="0"/>
                <w:color w:val="auto"/>
                <w:kern w:val="0"/>
                <w:sz w:val="21"/>
                <w:szCs w:val="21"/>
                <w:highlight w:val="none"/>
                <w:vertAlign w:val="baseline"/>
                <w:lang w:val="en-US" w:eastAsia="zh-CN" w:bidi="ar-SA"/>
              </w:rPr>
            </w:pPr>
            <w:r>
              <w:rPr>
                <w:rFonts w:hint="eastAsia" w:ascii="宋体" w:hAnsi="宋体" w:eastAsia="宋体" w:cs="宋体"/>
                <w:b w:val="0"/>
                <w:bCs w:val="0"/>
                <w:snapToGrid w:val="0"/>
                <w:color w:val="auto"/>
                <w:kern w:val="0"/>
                <w:sz w:val="21"/>
                <w:szCs w:val="21"/>
                <w:highlight w:val="none"/>
                <w:vertAlign w:val="baseline"/>
                <w:lang w:val="en-US" w:eastAsia="zh-CN" w:bidi="ar-SA"/>
              </w:rPr>
              <w:t>1.本项目施工地点为学校代征市政绿化带范围，中标单位负责施工过程中的校外所有关系的协调，产生相应费用在投标中自行充分考虑，不在结算时记取。</w:t>
            </w:r>
          </w:p>
          <w:p w14:paraId="326A93CE">
            <w:pPr>
              <w:widowControl w:val="0"/>
              <w:numPr>
                <w:ilvl w:val="0"/>
                <w:numId w:val="0"/>
              </w:numPr>
              <w:adjustRightInd w:val="0"/>
              <w:snapToGrid w:val="0"/>
              <w:spacing w:line="360" w:lineRule="auto"/>
              <w:ind w:left="0" w:leftChars="0" w:firstLine="0" w:firstLineChars="0"/>
              <w:contextualSpacing/>
              <w:rPr>
                <w:rFonts w:hint="eastAsia" w:ascii="宋体" w:hAnsi="宋体" w:eastAsia="宋体" w:cs="宋体"/>
                <w:b w:val="0"/>
                <w:bCs w:val="0"/>
                <w:snapToGrid w:val="0"/>
                <w:color w:val="auto"/>
                <w:kern w:val="0"/>
                <w:sz w:val="21"/>
                <w:szCs w:val="21"/>
                <w:highlight w:val="none"/>
                <w:vertAlign w:val="baseline"/>
                <w:lang w:val="en-US" w:eastAsia="zh-CN" w:bidi="ar-SA"/>
              </w:rPr>
            </w:pPr>
            <w:r>
              <w:rPr>
                <w:rFonts w:hint="eastAsia" w:ascii="宋体" w:hAnsi="宋体" w:eastAsia="宋体" w:cs="宋体"/>
                <w:b w:val="0"/>
                <w:bCs w:val="0"/>
                <w:snapToGrid w:val="0"/>
                <w:color w:val="auto"/>
                <w:kern w:val="0"/>
                <w:sz w:val="21"/>
                <w:szCs w:val="21"/>
                <w:highlight w:val="none"/>
                <w:vertAlign w:val="baseline"/>
                <w:lang w:val="en-US" w:eastAsia="zh-CN" w:bidi="ar-SA"/>
              </w:rPr>
              <w:t>2.绿化工程质量要求</w:t>
            </w:r>
          </w:p>
          <w:p w14:paraId="73AB7F57">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1)特殊质量标准和要求</w:t>
            </w:r>
          </w:p>
          <w:p w14:paraId="4E03C4F0">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①乔木树冠形状按设计要求，达到全冠栽植效果成活率达到100%,未成活部分应及时补栽补种。树于无开裂现象，无病虫害；</w:t>
            </w:r>
          </w:p>
          <w:p w14:paraId="26DF4D3D">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②灌木成活率达到100%,未成活部分应及时补栽补种，验收时修剪成型的树冠应大于图纸设计要求，无病虫害：</w:t>
            </w:r>
          </w:p>
          <w:p w14:paraId="24A163A9">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③色带植物、花卉成活率达到100%,无杂草，无明显缺苗漏空现象，修剪整齐一致，无病虫害：</w:t>
            </w:r>
          </w:p>
          <w:p w14:paraId="39456CFC">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④草坪采用成品草坪卷铺设或播种草籽，覆盖率达到100%,且无杂草，无枯黄，无斑秃、分布均匀，达到黄土不露天，达到有关绿化标准：</w:t>
            </w:r>
          </w:p>
          <w:p w14:paraId="4612210C">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⑤水生植物成活率达到100%,无病虫害；</w:t>
            </w:r>
          </w:p>
          <w:p w14:paraId="32979CEA">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⑥绿地整洁，表面平整：</w:t>
            </w:r>
          </w:p>
          <w:p w14:paraId="1BEC6E88">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⑦植物材料的整形修剪应符合设计要求；</w:t>
            </w:r>
          </w:p>
          <w:p w14:paraId="3CCF0E09">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⑧观赏植物的当季开花率、结果率在95%以上。</w:t>
            </w:r>
          </w:p>
          <w:p w14:paraId="6855E8B2">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2)苗木规格满足发包人要求。</w:t>
            </w:r>
          </w:p>
          <w:p w14:paraId="7AEEB6B4">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3)视觉效果</w:t>
            </w:r>
          </w:p>
          <w:tbl>
            <w:tblPr>
              <w:tblStyle w:val="3"/>
              <w:tblW w:w="6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20"/>
              <w:gridCol w:w="5119"/>
            </w:tblGrid>
            <w:tr w14:paraId="15013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520" w:type="dxa"/>
                  <w:vMerge w:val="restart"/>
                  <w:vAlign w:val="center"/>
                </w:tcPr>
                <w:p w14:paraId="0532B910">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铺装工艺要点</w:t>
                  </w:r>
                </w:p>
              </w:tc>
              <w:tc>
                <w:tcPr>
                  <w:tcW w:w="5119" w:type="dxa"/>
                  <w:vAlign w:val="center"/>
                </w:tcPr>
                <w:p w14:paraId="1E57D7A7">
                  <w:pPr>
                    <w:pStyle w:val="2"/>
                    <w:adjustRightInd w:val="0"/>
                    <w:spacing w:line="360" w:lineRule="auto"/>
                    <w:jc w:val="center"/>
                    <w:rPr>
                      <w:rFonts w:hint="eastAsia" w:ascii="宋体" w:hAnsi="宋体" w:cs="宋体"/>
                      <w:color w:val="auto"/>
                      <w:spacing w:val="-1"/>
                      <w:sz w:val="21"/>
                      <w:szCs w:val="21"/>
                      <w:highlight w:val="none"/>
                    </w:rPr>
                  </w:pPr>
                  <w:r>
                    <w:rPr>
                      <w:rFonts w:hint="eastAsia" w:ascii="宋体" w:hAnsi="宋体" w:cs="宋体"/>
                      <w:color w:val="auto"/>
                      <w:sz w:val="21"/>
                      <w:szCs w:val="21"/>
                      <w:highlight w:val="none"/>
                    </w:rPr>
                    <w:t>车行道铺装平整、缝隙均匀</w:t>
                  </w:r>
                </w:p>
              </w:tc>
            </w:tr>
            <w:tr w14:paraId="453BE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1520" w:type="dxa"/>
                  <w:vMerge w:val="continue"/>
                  <w:vAlign w:val="center"/>
                </w:tcPr>
                <w:p w14:paraId="0F3F3A4A">
                  <w:pPr>
                    <w:adjustRightInd w:val="0"/>
                    <w:snapToGrid w:val="0"/>
                    <w:spacing w:line="360" w:lineRule="auto"/>
                    <w:ind w:firstLine="420" w:firstLineChars="200"/>
                    <w:jc w:val="center"/>
                    <w:rPr>
                      <w:rFonts w:hint="eastAsia" w:ascii="宋体" w:hAnsi="宋体" w:cs="宋体"/>
                      <w:color w:val="auto"/>
                      <w:sz w:val="21"/>
                      <w:szCs w:val="21"/>
                      <w:highlight w:val="none"/>
                    </w:rPr>
                  </w:pPr>
                </w:p>
              </w:tc>
              <w:tc>
                <w:tcPr>
                  <w:tcW w:w="5119" w:type="dxa"/>
                  <w:vAlign w:val="center"/>
                </w:tcPr>
                <w:p w14:paraId="67A6C09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人行道铺装整齐、分布合理</w:t>
                  </w:r>
                </w:p>
              </w:tc>
            </w:tr>
            <w:tr w14:paraId="0D21B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520" w:type="dxa"/>
                  <w:vMerge w:val="continue"/>
                  <w:vAlign w:val="center"/>
                </w:tcPr>
                <w:p w14:paraId="322EFE3C">
                  <w:pPr>
                    <w:adjustRightInd w:val="0"/>
                    <w:snapToGrid w:val="0"/>
                    <w:spacing w:line="360" w:lineRule="auto"/>
                    <w:ind w:firstLine="420" w:firstLineChars="200"/>
                    <w:jc w:val="center"/>
                    <w:rPr>
                      <w:rFonts w:hint="eastAsia" w:ascii="宋体" w:hAnsi="宋体" w:cs="宋体"/>
                      <w:color w:val="auto"/>
                      <w:sz w:val="21"/>
                      <w:szCs w:val="21"/>
                      <w:highlight w:val="none"/>
                    </w:rPr>
                  </w:pPr>
                </w:p>
              </w:tc>
              <w:tc>
                <w:tcPr>
                  <w:tcW w:w="5119" w:type="dxa"/>
                  <w:vAlign w:val="center"/>
                </w:tcPr>
                <w:p w14:paraId="0BA1A56C">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不同类型铺装交接面过渡整齐、井盖隐蔽</w:t>
                  </w:r>
                </w:p>
              </w:tc>
            </w:tr>
            <w:tr w14:paraId="40C86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520" w:type="dxa"/>
                  <w:vMerge w:val="continue"/>
                  <w:vAlign w:val="center"/>
                </w:tcPr>
                <w:p w14:paraId="099E0488">
                  <w:pPr>
                    <w:adjustRightInd w:val="0"/>
                    <w:snapToGrid w:val="0"/>
                    <w:spacing w:line="360" w:lineRule="auto"/>
                    <w:ind w:firstLine="420" w:firstLineChars="200"/>
                    <w:jc w:val="center"/>
                    <w:rPr>
                      <w:rFonts w:hint="eastAsia" w:ascii="宋体" w:hAnsi="宋体" w:cs="宋体"/>
                      <w:color w:val="auto"/>
                      <w:sz w:val="21"/>
                      <w:szCs w:val="21"/>
                      <w:highlight w:val="none"/>
                    </w:rPr>
                  </w:pPr>
                </w:p>
              </w:tc>
              <w:tc>
                <w:tcPr>
                  <w:tcW w:w="5119" w:type="dxa"/>
                  <w:vAlign w:val="center"/>
                </w:tcPr>
                <w:p w14:paraId="3C0DB151">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铺装与绿化交接收边整齐</w:t>
                  </w:r>
                </w:p>
              </w:tc>
            </w:tr>
            <w:tr w14:paraId="6B0CE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520" w:type="dxa"/>
                  <w:vMerge w:val="restart"/>
                  <w:tcBorders>
                    <w:bottom w:val="nil"/>
                  </w:tcBorders>
                  <w:vAlign w:val="center"/>
                </w:tcPr>
                <w:p w14:paraId="5A43AC75">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2"/>
                      <w:sz w:val="21"/>
                      <w:szCs w:val="21"/>
                      <w:highlight w:val="none"/>
                    </w:rPr>
                    <w:t>绿化工艺要求</w:t>
                  </w:r>
                </w:p>
              </w:tc>
              <w:tc>
                <w:tcPr>
                  <w:tcW w:w="5119" w:type="dxa"/>
                  <w:vAlign w:val="center"/>
                </w:tcPr>
                <w:p w14:paraId="07F76B1A">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乔木形态完整、匀称、修剪适当</w:t>
                  </w:r>
                </w:p>
              </w:tc>
            </w:tr>
            <w:tr w14:paraId="09C91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520" w:type="dxa"/>
                  <w:vMerge w:val="continue"/>
                  <w:tcBorders>
                    <w:top w:val="nil"/>
                    <w:bottom w:val="nil"/>
                  </w:tcBorders>
                  <w:vAlign w:val="center"/>
                </w:tcPr>
                <w:p w14:paraId="4F613B22">
                  <w:pPr>
                    <w:adjustRightInd w:val="0"/>
                    <w:snapToGrid w:val="0"/>
                    <w:spacing w:line="360" w:lineRule="auto"/>
                    <w:ind w:firstLine="420" w:firstLineChars="200"/>
                    <w:jc w:val="center"/>
                    <w:rPr>
                      <w:rFonts w:hint="eastAsia" w:ascii="宋体" w:hAnsi="宋体" w:cs="宋体"/>
                      <w:color w:val="auto"/>
                      <w:sz w:val="21"/>
                      <w:szCs w:val="21"/>
                      <w:highlight w:val="none"/>
                    </w:rPr>
                  </w:pPr>
                </w:p>
              </w:tc>
              <w:tc>
                <w:tcPr>
                  <w:tcW w:w="5119" w:type="dxa"/>
                  <w:vAlign w:val="center"/>
                </w:tcPr>
                <w:p w14:paraId="79B9FDED">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灌木形态饱满、整齐、修剪适当</w:t>
                  </w:r>
                </w:p>
              </w:tc>
            </w:tr>
            <w:tr w14:paraId="764DD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1520" w:type="dxa"/>
                  <w:vMerge w:val="continue"/>
                  <w:tcBorders>
                    <w:top w:val="nil"/>
                    <w:bottom w:val="nil"/>
                  </w:tcBorders>
                  <w:vAlign w:val="center"/>
                </w:tcPr>
                <w:p w14:paraId="49C10957">
                  <w:pPr>
                    <w:adjustRightInd w:val="0"/>
                    <w:snapToGrid w:val="0"/>
                    <w:spacing w:line="360" w:lineRule="auto"/>
                    <w:ind w:firstLine="420" w:firstLineChars="200"/>
                    <w:jc w:val="center"/>
                    <w:rPr>
                      <w:rFonts w:hint="eastAsia" w:ascii="宋体" w:hAnsi="宋体" w:cs="宋体"/>
                      <w:color w:val="auto"/>
                      <w:sz w:val="21"/>
                      <w:szCs w:val="21"/>
                      <w:highlight w:val="none"/>
                    </w:rPr>
                  </w:pPr>
                </w:p>
              </w:tc>
              <w:tc>
                <w:tcPr>
                  <w:tcW w:w="5119" w:type="dxa"/>
                  <w:vAlign w:val="center"/>
                </w:tcPr>
                <w:p w14:paraId="3A7E5A0B">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灌木种植密度适中、分布均匀</w:t>
                  </w:r>
                </w:p>
              </w:tc>
            </w:tr>
            <w:tr w14:paraId="104D4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jc w:val="center"/>
              </w:trPr>
              <w:tc>
                <w:tcPr>
                  <w:tcW w:w="1520" w:type="dxa"/>
                  <w:vMerge w:val="continue"/>
                  <w:tcBorders>
                    <w:top w:val="nil"/>
                  </w:tcBorders>
                  <w:vAlign w:val="center"/>
                </w:tcPr>
                <w:p w14:paraId="22546001">
                  <w:pPr>
                    <w:adjustRightInd w:val="0"/>
                    <w:snapToGrid w:val="0"/>
                    <w:spacing w:line="360" w:lineRule="auto"/>
                    <w:ind w:firstLine="420" w:firstLineChars="200"/>
                    <w:jc w:val="center"/>
                    <w:rPr>
                      <w:rFonts w:hint="eastAsia" w:ascii="宋体" w:hAnsi="宋体" w:cs="宋体"/>
                      <w:color w:val="auto"/>
                      <w:sz w:val="21"/>
                      <w:szCs w:val="21"/>
                      <w:highlight w:val="none"/>
                    </w:rPr>
                  </w:pPr>
                </w:p>
              </w:tc>
              <w:tc>
                <w:tcPr>
                  <w:tcW w:w="5119" w:type="dxa"/>
                  <w:vAlign w:val="center"/>
                </w:tcPr>
                <w:p w14:paraId="4CB3F1BD">
                  <w:pPr>
                    <w:adjustRightInd w:val="0"/>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pacing w:val="-1"/>
                      <w:sz w:val="21"/>
                      <w:szCs w:val="21"/>
                      <w:highlight w:val="none"/>
                    </w:rPr>
                    <w:t>乔木种植支撑竖直、树穴整齐</w:t>
                  </w:r>
                </w:p>
              </w:tc>
            </w:tr>
          </w:tbl>
          <w:p w14:paraId="568E0B32">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4)苗木养护</w:t>
            </w:r>
          </w:p>
          <w:p w14:paraId="22B1DF33">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①若合同期内任何1株植物死亡、枯亡1/2以上，承包人必须无条件及时换植。</w:t>
            </w:r>
          </w:p>
          <w:p w14:paraId="7FEEA027">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②合同期内任何1株苗木侧枝枯萎超过总枝叶体积的1/3(苗木并未死亡)视为失去观赏性，承包人应在接到通知后无条件更换，经发包人同意保留的除外。承包人还需加强苗期管理，对树木进行标识标注。</w:t>
            </w:r>
          </w:p>
          <w:p w14:paraId="087F389B">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③大树及时支撑，支柱与树干相接部分应垫上防护物，以免磨伤树皮。</w:t>
            </w:r>
          </w:p>
          <w:p w14:paraId="2EA02576">
            <w:pPr>
              <w:pStyle w:val="2"/>
              <w:widowControl w:val="0"/>
              <w:adjustRightInd w:val="0"/>
              <w:spacing w:line="360" w:lineRule="auto"/>
              <w:ind w:firstLine="420" w:firstLineChars="200"/>
              <w:rPr>
                <w:rFonts w:hint="eastAsia" w:ascii="宋体" w:hAnsi="宋体" w:cs="宋体"/>
                <w:color w:val="auto"/>
                <w:sz w:val="21"/>
                <w:szCs w:val="21"/>
                <w:highlight w:val="none"/>
                <w:u w:val="none"/>
              </w:rPr>
            </w:pPr>
            <w:r>
              <w:rPr>
                <w:rFonts w:hint="eastAsia" w:ascii="宋体" w:hAnsi="宋体" w:cs="宋体"/>
                <w:color w:val="auto"/>
                <w:sz w:val="21"/>
                <w:szCs w:val="21"/>
                <w:highlight w:val="none"/>
                <w:u w:val="none"/>
              </w:rPr>
              <w:t>④栽植后及时封堰浇透水；及时中耕除草、施肥、修剪，确保苗木正常生长苗木要及时防治病虫害。</w:t>
            </w:r>
          </w:p>
          <w:p w14:paraId="5999AB5A">
            <w:pPr>
              <w:pStyle w:val="2"/>
              <w:widowControl w:val="0"/>
              <w:adjustRightInd w:val="0"/>
              <w:spacing w:line="360" w:lineRule="auto"/>
              <w:ind w:firstLine="420" w:firstLineChars="200"/>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cs="宋体"/>
                <w:color w:val="auto"/>
                <w:sz w:val="21"/>
                <w:szCs w:val="21"/>
                <w:highlight w:val="none"/>
                <w:u w:val="none"/>
              </w:rPr>
              <w:t>⑤需防冻植物用四柱支撑外套塑料薄膜；灌木成品保护冬季需做防冻植物搭架，外套塑料薄膜。除以上要求外，还应满足国家标准及质量标准化图集示范要求。</w:t>
            </w:r>
          </w:p>
        </w:tc>
      </w:tr>
    </w:tbl>
    <w:p w14:paraId="6F3BB582">
      <w:bookmarkStart w:id="0" w:name="_GoBack"/>
      <w:bookmarkEnd w:id="0"/>
    </w:p>
    <w:sectPr>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80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2025-08-06T05:55:22Z</dcterms:created>
  <dc:creator>PC</dc:creator>
  <cp:lastModifiedBy>hh</cp:lastModifiedBy>
  <dcterms:modified xsi:type="dcterms:W3CDTF">2025-08-06T05:56:07Z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eyJoZGlkIjoiNjA5YTgxNTM1NTk1ZDU5NTBiYzBlYmI0MmZkNDYwOGYiLCJ1c2VySWQiOiI1NTQxNTg5NzAifQ==</vt:lpwstr>
  </property>
  <property fmtid="{D5CDD505-2E9C-101B-9397-08002B2CF9AE}" pid="4" name="ICV">
    <vt:lpwstr>F683782473ED42C29B6332224B9BB727_12</vt:lpwstr>
  </property>
</Properties>
</file>