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6AA4D">
      <w:pPr>
        <w:spacing w:line="420" w:lineRule="auto"/>
        <w:jc w:val="left"/>
        <w:outlineLvl w:val="9"/>
        <w:rPr>
          <w:rFonts w:hint="default" w:ascii="宋体" w:hAnsi="宋体" w:cs="宋体"/>
          <w:b/>
          <w:color w:val="auto"/>
          <w:sz w:val="28"/>
          <w:szCs w:val="28"/>
          <w:lang w:val="en-US" w:eastAsia="zh-CN"/>
        </w:rPr>
      </w:pPr>
      <w:bookmarkStart w:id="0" w:name="_Toc15601"/>
      <w:bookmarkStart w:id="1" w:name="_Toc29787"/>
      <w:r>
        <w:rPr>
          <w:rFonts w:hint="eastAsia" w:ascii="宋体" w:hAnsi="宋体" w:cs="宋体"/>
          <w:b/>
          <w:color w:val="auto"/>
          <w:sz w:val="28"/>
          <w:szCs w:val="28"/>
        </w:rPr>
        <w:t>采购项目编号：</w:t>
      </w:r>
      <w:bookmarkEnd w:id="0"/>
      <w:bookmarkEnd w:id="1"/>
      <w:r>
        <w:rPr>
          <w:rFonts w:hint="eastAsia" w:ascii="宋体" w:hAnsi="宋体" w:cs="宋体"/>
          <w:b/>
          <w:color w:val="auto"/>
          <w:sz w:val="28"/>
          <w:szCs w:val="28"/>
          <w:lang w:eastAsia="zh-CN"/>
        </w:rPr>
        <w:t>SA2025004</w:t>
      </w:r>
    </w:p>
    <w:p w14:paraId="4A90D21E">
      <w:pPr>
        <w:pStyle w:val="10"/>
        <w:outlineLvl w:val="9"/>
        <w:rPr>
          <w:color w:val="auto"/>
          <w:sz w:val="8"/>
          <w:szCs w:val="11"/>
        </w:rPr>
      </w:pPr>
    </w:p>
    <w:p w14:paraId="2040AAA2">
      <w:pPr>
        <w:outlineLvl w:val="9"/>
        <w:rPr>
          <w:color w:val="auto"/>
        </w:rPr>
      </w:pPr>
    </w:p>
    <w:p w14:paraId="29CB6B4A">
      <w:pPr>
        <w:spacing w:line="360" w:lineRule="auto"/>
        <w:jc w:val="center"/>
        <w:outlineLvl w:val="9"/>
        <w:rPr>
          <w:rFonts w:ascii="宋体" w:hAnsi="宋体" w:cs="宋体"/>
          <w:b/>
          <w:color w:val="auto"/>
          <w:spacing w:val="26"/>
          <w:sz w:val="44"/>
          <w:szCs w:val="44"/>
        </w:rPr>
      </w:pPr>
      <w:r>
        <w:rPr>
          <w:rFonts w:hint="eastAsia" w:ascii="宋体"/>
          <w:b/>
          <w:bCs/>
          <w:color w:val="auto"/>
          <w:sz w:val="44"/>
          <w:szCs w:val="44"/>
          <w:lang w:eastAsia="zh-CN"/>
        </w:rPr>
        <w:t>子洲县2024年森林防火道路建设工程（苗家坪镇田山渠村）</w:t>
      </w:r>
    </w:p>
    <w:p w14:paraId="50D80473">
      <w:pPr>
        <w:pStyle w:val="10"/>
        <w:outlineLvl w:val="9"/>
        <w:rPr>
          <w:rFonts w:ascii="宋体" w:hAnsi="宋体" w:cs="宋体"/>
          <w:b/>
          <w:color w:val="auto"/>
          <w:spacing w:val="26"/>
          <w:sz w:val="40"/>
          <w:szCs w:val="40"/>
        </w:rPr>
      </w:pPr>
    </w:p>
    <w:p w14:paraId="145F8C13">
      <w:pPr>
        <w:outlineLvl w:val="9"/>
        <w:rPr>
          <w:rFonts w:ascii="宋体" w:hAnsi="宋体" w:cs="宋体"/>
          <w:b/>
          <w:color w:val="auto"/>
          <w:spacing w:val="26"/>
          <w:sz w:val="44"/>
          <w:szCs w:val="44"/>
        </w:rPr>
      </w:pPr>
    </w:p>
    <w:p w14:paraId="76654300">
      <w:pPr>
        <w:pStyle w:val="10"/>
        <w:outlineLvl w:val="9"/>
        <w:rPr>
          <w:color w:val="auto"/>
        </w:rPr>
      </w:pPr>
    </w:p>
    <w:p w14:paraId="78045121">
      <w:pPr>
        <w:pStyle w:val="10"/>
        <w:outlineLvl w:val="9"/>
        <w:rPr>
          <w:color w:val="auto"/>
        </w:rPr>
      </w:pPr>
    </w:p>
    <w:p w14:paraId="7EC1DC16">
      <w:pPr>
        <w:outlineLvl w:val="9"/>
        <w:rPr>
          <w:color w:val="auto"/>
        </w:rPr>
      </w:pPr>
    </w:p>
    <w:p w14:paraId="199709B1">
      <w:pPr>
        <w:spacing w:line="360" w:lineRule="auto"/>
        <w:jc w:val="center"/>
        <w:outlineLvl w:val="9"/>
        <w:rPr>
          <w:rFonts w:ascii="宋体" w:hAnsi="宋体" w:cs="宋体"/>
          <w:b/>
          <w:color w:val="auto"/>
          <w:spacing w:val="26"/>
          <w:sz w:val="84"/>
          <w:szCs w:val="84"/>
        </w:rPr>
      </w:pPr>
      <w:r>
        <w:rPr>
          <w:rFonts w:hint="eastAsia" w:ascii="宋体" w:hAnsi="宋体" w:cs="宋体"/>
          <w:b/>
          <w:color w:val="auto"/>
          <w:spacing w:val="26"/>
          <w:sz w:val="84"/>
          <w:szCs w:val="84"/>
        </w:rPr>
        <w:t>竞争性磋商文件</w:t>
      </w:r>
    </w:p>
    <w:p w14:paraId="129EAD46">
      <w:pPr>
        <w:spacing w:line="360" w:lineRule="auto"/>
        <w:outlineLvl w:val="9"/>
        <w:rPr>
          <w:rFonts w:ascii="宋体" w:hAnsi="宋体" w:cs="宋体"/>
          <w:b/>
          <w:bCs/>
          <w:color w:val="auto"/>
          <w:spacing w:val="26"/>
          <w:sz w:val="36"/>
          <w:szCs w:val="36"/>
        </w:rPr>
      </w:pPr>
    </w:p>
    <w:p w14:paraId="5DC1AE02">
      <w:pPr>
        <w:pStyle w:val="10"/>
        <w:outlineLvl w:val="9"/>
        <w:rPr>
          <w:color w:val="auto"/>
        </w:rPr>
      </w:pPr>
    </w:p>
    <w:p w14:paraId="246C9376">
      <w:pPr>
        <w:pStyle w:val="10"/>
        <w:outlineLvl w:val="9"/>
        <w:rPr>
          <w:color w:val="auto"/>
        </w:rPr>
      </w:pPr>
    </w:p>
    <w:p w14:paraId="76E0E8E1">
      <w:pPr>
        <w:pStyle w:val="10"/>
        <w:outlineLvl w:val="9"/>
        <w:rPr>
          <w:color w:val="auto"/>
        </w:rPr>
      </w:pPr>
    </w:p>
    <w:p w14:paraId="30D9A5DA">
      <w:pPr>
        <w:outlineLvl w:val="9"/>
        <w:rPr>
          <w:color w:val="auto"/>
        </w:rPr>
      </w:pPr>
    </w:p>
    <w:p w14:paraId="643D7734">
      <w:pPr>
        <w:pStyle w:val="10"/>
        <w:outlineLvl w:val="9"/>
        <w:rPr>
          <w:color w:val="auto"/>
        </w:rPr>
      </w:pPr>
    </w:p>
    <w:p w14:paraId="1A5570C9">
      <w:pPr>
        <w:pStyle w:val="10"/>
        <w:outlineLvl w:val="9"/>
        <w:rPr>
          <w:color w:val="auto"/>
        </w:rPr>
      </w:pPr>
    </w:p>
    <w:p w14:paraId="2873BCC1">
      <w:pPr>
        <w:pStyle w:val="10"/>
        <w:outlineLvl w:val="9"/>
        <w:rPr>
          <w:color w:val="auto"/>
          <w:sz w:val="4"/>
          <w:szCs w:val="8"/>
        </w:rPr>
      </w:pPr>
    </w:p>
    <w:p w14:paraId="4D6D860A">
      <w:pPr>
        <w:snapToGrid w:val="0"/>
        <w:spacing w:line="600" w:lineRule="auto"/>
        <w:jc w:val="both"/>
        <w:outlineLvl w:val="9"/>
        <w:rPr>
          <w:rFonts w:hint="eastAsia" w:ascii="宋体" w:hAnsi="宋体" w:cs="宋体"/>
          <w:b/>
          <w:color w:val="auto"/>
          <w:sz w:val="32"/>
          <w:szCs w:val="32"/>
          <w:lang w:eastAsia="zh-CN"/>
        </w:rPr>
      </w:pPr>
      <w:bookmarkStart w:id="2" w:name="_Toc23994"/>
      <w:bookmarkStart w:id="3" w:name="_Toc20748"/>
      <w:r>
        <w:rPr>
          <w:rFonts w:hint="eastAsia" w:ascii="宋体" w:hAnsi="宋体" w:cs="宋体"/>
          <w:b/>
          <w:color w:val="auto"/>
          <w:spacing w:val="26"/>
          <w:sz w:val="32"/>
          <w:szCs w:val="32"/>
          <w:lang w:val="en-US" w:eastAsia="zh-CN"/>
        </w:rPr>
        <w:t>采购人</w:t>
      </w:r>
      <w:r>
        <w:rPr>
          <w:rFonts w:hint="eastAsia" w:ascii="宋体" w:hAnsi="宋体" w:cs="宋体"/>
          <w:b/>
          <w:color w:val="auto"/>
          <w:spacing w:val="26"/>
          <w:sz w:val="32"/>
          <w:szCs w:val="32"/>
        </w:rPr>
        <w:t>：</w:t>
      </w:r>
      <w:bookmarkEnd w:id="2"/>
      <w:bookmarkEnd w:id="3"/>
      <w:bookmarkStart w:id="4" w:name="_Toc19248"/>
      <w:bookmarkStart w:id="5" w:name="_Toc6114"/>
      <w:r>
        <w:rPr>
          <w:rFonts w:hint="eastAsia" w:ascii="宋体" w:hAnsi="宋体" w:cs="宋体"/>
          <w:b/>
          <w:color w:val="auto"/>
          <w:sz w:val="32"/>
          <w:szCs w:val="32"/>
          <w:lang w:eastAsia="zh-CN"/>
        </w:rPr>
        <w:t>子洲县林业局</w:t>
      </w:r>
    </w:p>
    <w:p w14:paraId="272E30AE">
      <w:pPr>
        <w:snapToGrid w:val="0"/>
        <w:spacing w:line="600" w:lineRule="auto"/>
        <w:jc w:val="both"/>
        <w:outlineLvl w:val="9"/>
        <w:rPr>
          <w:rFonts w:hint="eastAsia" w:ascii="宋体" w:hAnsi="宋体" w:eastAsia="宋体" w:cs="宋体"/>
          <w:b/>
          <w:color w:val="auto"/>
          <w:sz w:val="32"/>
          <w:szCs w:val="32"/>
          <w:lang w:eastAsia="zh-CN"/>
        </w:rPr>
      </w:pPr>
      <w:r>
        <w:rPr>
          <w:rFonts w:hint="eastAsia" w:ascii="宋体" w:hAnsi="宋体" w:cs="宋体"/>
          <w:b/>
          <w:color w:val="auto"/>
          <w:sz w:val="32"/>
          <w:szCs w:val="32"/>
          <w:lang w:eastAsia="zh-CN"/>
        </w:rPr>
        <w:t>采购代理机构</w:t>
      </w:r>
      <w:r>
        <w:rPr>
          <w:rFonts w:hint="eastAsia" w:ascii="宋体" w:hAnsi="宋体" w:cs="宋体"/>
          <w:b/>
          <w:color w:val="auto"/>
          <w:sz w:val="32"/>
          <w:szCs w:val="32"/>
        </w:rPr>
        <w:t>：</w:t>
      </w:r>
      <w:bookmarkEnd w:id="4"/>
      <w:bookmarkEnd w:id="5"/>
      <w:r>
        <w:rPr>
          <w:rFonts w:hint="eastAsia" w:ascii="宋体" w:hAnsi="宋体" w:cs="宋体"/>
          <w:b/>
          <w:color w:val="auto"/>
          <w:sz w:val="32"/>
          <w:szCs w:val="32"/>
          <w:lang w:eastAsia="zh-CN"/>
        </w:rPr>
        <w:t>陕安项目管理有限公司</w:t>
      </w:r>
    </w:p>
    <w:p w14:paraId="3D6DC43E">
      <w:pPr>
        <w:spacing w:line="720" w:lineRule="auto"/>
        <w:jc w:val="center"/>
        <w:outlineLvl w:val="9"/>
        <w:rPr>
          <w:rFonts w:ascii="宋体" w:hAnsi="宋体" w:cs="宋体"/>
          <w:bCs/>
          <w:color w:val="auto"/>
          <w:spacing w:val="26"/>
          <w:sz w:val="28"/>
          <w:szCs w:val="28"/>
        </w:rPr>
      </w:pPr>
      <w:r>
        <w:rPr>
          <w:rFonts w:hint="eastAsia" w:ascii="宋体" w:hAnsi="宋体" w:cs="宋体"/>
          <w:b/>
          <w:color w:val="auto"/>
          <w:spacing w:val="26"/>
          <w:sz w:val="32"/>
          <w:szCs w:val="32"/>
        </w:rPr>
        <w:t>二零二</w:t>
      </w:r>
      <w:r>
        <w:rPr>
          <w:rFonts w:hint="eastAsia" w:ascii="宋体" w:hAnsi="宋体" w:cs="宋体"/>
          <w:b/>
          <w:color w:val="auto"/>
          <w:spacing w:val="26"/>
          <w:sz w:val="32"/>
          <w:szCs w:val="32"/>
          <w:lang w:val="en-US" w:eastAsia="zh-CN"/>
        </w:rPr>
        <w:t>五</w:t>
      </w:r>
      <w:r>
        <w:rPr>
          <w:rFonts w:hint="eastAsia" w:ascii="宋体" w:hAnsi="宋体" w:cs="宋体"/>
          <w:b/>
          <w:color w:val="auto"/>
          <w:spacing w:val="26"/>
          <w:sz w:val="32"/>
          <w:szCs w:val="32"/>
        </w:rPr>
        <w:t>年</w:t>
      </w:r>
      <w:r>
        <w:rPr>
          <w:rFonts w:hint="eastAsia" w:ascii="宋体" w:hAnsi="宋体" w:cs="宋体"/>
          <w:b/>
          <w:color w:val="auto"/>
          <w:spacing w:val="26"/>
          <w:sz w:val="32"/>
          <w:szCs w:val="32"/>
          <w:u w:val="single"/>
          <w:lang w:val="en-US" w:eastAsia="zh-CN"/>
        </w:rPr>
        <w:t xml:space="preserve"> 七 </w:t>
      </w:r>
      <w:r>
        <w:rPr>
          <w:rFonts w:hint="eastAsia" w:ascii="宋体" w:hAnsi="宋体" w:cs="宋体"/>
          <w:b/>
          <w:color w:val="auto"/>
          <w:spacing w:val="26"/>
          <w:sz w:val="32"/>
          <w:szCs w:val="32"/>
        </w:rPr>
        <w:t>月</w:t>
      </w:r>
    </w:p>
    <w:p w14:paraId="77080B24">
      <w:pPr>
        <w:spacing w:line="720" w:lineRule="auto"/>
        <w:jc w:val="center"/>
        <w:outlineLvl w:val="9"/>
        <w:rPr>
          <w:rFonts w:ascii="宋体" w:hAnsi="宋体" w:cs="宋体"/>
          <w:b/>
          <w:bCs/>
          <w:color w:val="auto"/>
          <w:spacing w:val="26"/>
          <w:sz w:val="28"/>
          <w:szCs w:val="28"/>
        </w:rPr>
        <w:sectPr>
          <w:headerReference r:id="rId4" w:type="first"/>
          <w:headerReference r:id="rId3" w:type="default"/>
          <w:footerReference r:id="rId5" w:type="default"/>
          <w:pgSz w:w="11907" w:h="16840"/>
          <w:pgMar w:top="1660" w:right="1588" w:bottom="1520" w:left="1588" w:header="851" w:footer="992" w:gutter="0"/>
          <w:pgNumType w:fmt="numberInDash" w:start="1"/>
          <w:cols w:space="720" w:num="1"/>
          <w:docGrid w:type="linesAndChars" w:linePitch="312" w:charSpace="0"/>
        </w:sectPr>
      </w:pPr>
    </w:p>
    <w:p w14:paraId="55EFFE12">
      <w:pPr>
        <w:jc w:val="center"/>
        <w:outlineLvl w:val="9"/>
        <w:rPr>
          <w:rFonts w:ascii="宋体" w:hAnsi="宋体"/>
          <w:b/>
          <w:color w:val="auto"/>
          <w:sz w:val="48"/>
          <w:szCs w:val="48"/>
        </w:rPr>
      </w:pPr>
      <w:r>
        <w:rPr>
          <w:rFonts w:hint="eastAsia" w:ascii="宋体" w:hAnsi="宋体"/>
          <w:b/>
          <w:color w:val="auto"/>
          <w:sz w:val="48"/>
          <w:szCs w:val="48"/>
        </w:rPr>
        <w:t>目</w:t>
      </w:r>
      <w:r>
        <w:rPr>
          <w:rFonts w:ascii="宋体" w:hAnsi="宋体"/>
          <w:b/>
          <w:color w:val="auto"/>
          <w:sz w:val="48"/>
          <w:szCs w:val="48"/>
        </w:rPr>
        <w:t xml:space="preserve">   </w:t>
      </w:r>
      <w:r>
        <w:rPr>
          <w:rFonts w:hint="eastAsia" w:ascii="宋体" w:hAnsi="宋体"/>
          <w:b/>
          <w:color w:val="auto"/>
          <w:sz w:val="48"/>
          <w:szCs w:val="48"/>
        </w:rPr>
        <w:t>录</w:t>
      </w:r>
    </w:p>
    <w:p w14:paraId="69489162">
      <w:pPr>
        <w:outlineLvl w:val="9"/>
        <w:rPr>
          <w:color w:val="auto"/>
        </w:rPr>
      </w:pPr>
    </w:p>
    <w:sdt>
      <w:sdtPr>
        <w:rPr>
          <w:rFonts w:ascii="宋体" w:hAnsi="宋体" w:eastAsia="宋体" w:cs="Times New Roman"/>
          <w:color w:val="auto"/>
          <w:kern w:val="2"/>
          <w:sz w:val="21"/>
          <w:lang w:val="en-US" w:eastAsia="zh-CN" w:bidi="ar-SA"/>
        </w:rPr>
        <w:id w:val="147478648"/>
        <w15:color w:val="DBDBDB"/>
        <w:docPartObj>
          <w:docPartGallery w:val="Table of Contents"/>
          <w:docPartUnique/>
        </w:docPartObj>
      </w:sdtPr>
      <w:sdtEndPr>
        <w:rPr>
          <w:rFonts w:ascii="宋体" w:hAnsi="Times New Roman" w:eastAsia="宋体" w:cs="Times New Roman"/>
          <w:b/>
          <w:color w:val="auto"/>
          <w:kern w:val="2"/>
          <w:sz w:val="21"/>
          <w:szCs w:val="32"/>
          <w:lang w:val="en-US" w:eastAsia="zh-CN" w:bidi="ar-SA"/>
        </w:rPr>
      </w:sdtEndPr>
      <w:sdtContent>
        <w:p w14:paraId="286E1851">
          <w:pPr>
            <w:adjustRightInd w:val="0"/>
            <w:snapToGrid w:val="0"/>
            <w:spacing w:line="360" w:lineRule="auto"/>
            <w:outlineLvl w:val="9"/>
            <w:rPr>
              <w:rFonts w:ascii="宋体" w:hAnsi="宋体" w:eastAsia="宋体" w:cs="Times New Roman"/>
              <w:color w:val="auto"/>
              <w:kern w:val="2"/>
              <w:sz w:val="21"/>
              <w:lang w:val="en-US" w:eastAsia="zh-CN" w:bidi="ar-SA"/>
            </w:rPr>
          </w:pPr>
        </w:p>
        <w:p w14:paraId="7EF68AAE">
          <w:pPr>
            <w:pStyle w:val="19"/>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b/>
              <w:color w:val="auto"/>
              <w:kern w:val="2"/>
              <w:sz w:val="24"/>
              <w:szCs w:val="24"/>
              <w:lang w:val="en-US" w:eastAsia="zh-CN" w:bidi="ar-SA"/>
            </w:rPr>
            <w:fldChar w:fldCharType="begin"/>
          </w:r>
          <w:r>
            <w:rPr>
              <w:rFonts w:hint="eastAsia" w:ascii="宋体" w:hAnsi="宋体" w:eastAsia="宋体" w:cs="宋体"/>
              <w:b/>
              <w:color w:val="auto"/>
              <w:kern w:val="2"/>
              <w:sz w:val="24"/>
              <w:szCs w:val="24"/>
              <w:lang w:val="en-US" w:eastAsia="zh-CN" w:bidi="ar-SA"/>
            </w:rPr>
            <w:instrText xml:space="preserve">TOC \o "1-2" \h \u </w:instrText>
          </w:r>
          <w:r>
            <w:rPr>
              <w:rFonts w:hint="eastAsia" w:ascii="宋体" w:hAnsi="宋体" w:eastAsia="宋体" w:cs="宋体"/>
              <w:b/>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_Toc5715 </w:instrText>
          </w:r>
          <w:r>
            <w:rPr>
              <w:rFonts w:hint="eastAsia" w:ascii="宋体" w:hAnsi="宋体" w:eastAsia="宋体" w:cs="宋体"/>
              <w:color w:val="auto"/>
              <w:kern w:val="2"/>
              <w:sz w:val="24"/>
              <w:szCs w:val="24"/>
              <w:lang w:val="en-US" w:eastAsia="zh-CN" w:bidi="ar-SA"/>
            </w:rPr>
            <w:fldChar w:fldCharType="separate"/>
          </w:r>
          <w:r>
            <w:rPr>
              <w:rFonts w:hint="eastAsia"/>
              <w:bCs/>
              <w:color w:val="auto"/>
              <w:sz w:val="24"/>
              <w:szCs w:val="24"/>
              <w:lang w:val="en-US" w:eastAsia="zh-CN"/>
            </w:rPr>
            <w:t>第一章</w:t>
          </w:r>
          <w:r>
            <w:rPr>
              <w:bCs/>
              <w:color w:val="auto"/>
              <w:sz w:val="24"/>
              <w:szCs w:val="24"/>
            </w:rPr>
            <w:t xml:space="preserve"> </w:t>
          </w:r>
          <w:r>
            <w:rPr>
              <w:rFonts w:hint="eastAsia"/>
              <w:bCs/>
              <w:color w:val="auto"/>
              <w:sz w:val="24"/>
              <w:szCs w:val="24"/>
            </w:rPr>
            <w:t>竞争性磋商公告</w:t>
          </w:r>
          <w:r>
            <w:rPr>
              <w:color w:val="auto"/>
              <w:sz w:val="24"/>
              <w:szCs w:val="24"/>
            </w:rPr>
            <w:tab/>
          </w:r>
          <w:r>
            <w:rPr>
              <w:color w:val="auto"/>
              <w:sz w:val="24"/>
              <w:szCs w:val="24"/>
            </w:rPr>
            <w:fldChar w:fldCharType="begin"/>
          </w:r>
          <w:r>
            <w:rPr>
              <w:color w:val="auto"/>
              <w:sz w:val="24"/>
              <w:szCs w:val="24"/>
            </w:rPr>
            <w:instrText xml:space="preserve"> PAGEREF _Toc5715 \h </w:instrText>
          </w:r>
          <w:r>
            <w:rPr>
              <w:color w:val="auto"/>
              <w:sz w:val="24"/>
              <w:szCs w:val="24"/>
            </w:rPr>
            <w:fldChar w:fldCharType="separate"/>
          </w:r>
          <w:r>
            <w:rPr>
              <w:color w:val="auto"/>
              <w:sz w:val="24"/>
              <w:szCs w:val="24"/>
            </w:rPr>
            <w:t>1</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DBE28F9">
          <w:pPr>
            <w:pStyle w:val="19"/>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_Toc21565 </w:instrText>
          </w:r>
          <w:r>
            <w:rPr>
              <w:rFonts w:hint="eastAsia" w:ascii="宋体" w:hAnsi="宋体" w:eastAsia="宋体" w:cs="宋体"/>
              <w:color w:val="auto"/>
              <w:kern w:val="2"/>
              <w:sz w:val="24"/>
              <w:szCs w:val="24"/>
              <w:lang w:val="en-US" w:eastAsia="zh-CN" w:bidi="ar-SA"/>
            </w:rPr>
            <w:fldChar w:fldCharType="separate"/>
          </w:r>
          <w:r>
            <w:rPr>
              <w:rFonts w:hint="eastAsia"/>
              <w:bCs/>
              <w:color w:val="auto"/>
              <w:sz w:val="24"/>
              <w:szCs w:val="24"/>
            </w:rPr>
            <w:t>第二章</w:t>
          </w:r>
          <w:r>
            <w:rPr>
              <w:bCs/>
              <w:color w:val="auto"/>
              <w:sz w:val="24"/>
              <w:szCs w:val="24"/>
            </w:rPr>
            <w:t xml:space="preserve"> </w:t>
          </w:r>
          <w:r>
            <w:rPr>
              <w:rFonts w:hint="eastAsia"/>
              <w:bCs/>
              <w:color w:val="auto"/>
              <w:sz w:val="24"/>
              <w:szCs w:val="24"/>
              <w:lang w:val="en-US" w:eastAsia="zh-CN"/>
            </w:rPr>
            <w:t xml:space="preserve"> </w:t>
          </w:r>
          <w:r>
            <w:rPr>
              <w:rFonts w:hint="eastAsia"/>
              <w:bCs/>
              <w:color w:val="auto"/>
              <w:sz w:val="24"/>
              <w:szCs w:val="24"/>
            </w:rPr>
            <w:t>供应商须知前附表及供应商须知</w:t>
          </w:r>
          <w:r>
            <w:rPr>
              <w:color w:val="auto"/>
              <w:sz w:val="24"/>
              <w:szCs w:val="24"/>
            </w:rPr>
            <w:tab/>
          </w:r>
          <w:r>
            <w:rPr>
              <w:color w:val="auto"/>
              <w:sz w:val="24"/>
              <w:szCs w:val="24"/>
            </w:rPr>
            <w:fldChar w:fldCharType="begin"/>
          </w:r>
          <w:r>
            <w:rPr>
              <w:color w:val="auto"/>
              <w:sz w:val="24"/>
              <w:szCs w:val="24"/>
            </w:rPr>
            <w:instrText xml:space="preserve"> PAGEREF _Toc21565 \h </w:instrText>
          </w:r>
          <w:r>
            <w:rPr>
              <w:color w:val="auto"/>
              <w:sz w:val="24"/>
              <w:szCs w:val="24"/>
            </w:rPr>
            <w:fldChar w:fldCharType="separate"/>
          </w:r>
          <w:r>
            <w:rPr>
              <w:color w:val="auto"/>
              <w:sz w:val="24"/>
              <w:szCs w:val="24"/>
            </w:rPr>
            <w:t>6</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E3CF5D6">
          <w:pPr>
            <w:pStyle w:val="19"/>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_Toc26780 </w:instrText>
          </w:r>
          <w:r>
            <w:rPr>
              <w:rFonts w:hint="eastAsia" w:ascii="宋体" w:hAnsi="宋体" w:eastAsia="宋体" w:cs="宋体"/>
              <w:color w:val="auto"/>
              <w:kern w:val="2"/>
              <w:sz w:val="24"/>
              <w:szCs w:val="24"/>
              <w:lang w:val="en-US" w:eastAsia="zh-CN" w:bidi="ar-SA"/>
            </w:rPr>
            <w:fldChar w:fldCharType="separate"/>
          </w:r>
          <w:r>
            <w:rPr>
              <w:rFonts w:hint="eastAsia"/>
              <w:bCs/>
              <w:color w:val="auto"/>
              <w:sz w:val="24"/>
              <w:szCs w:val="24"/>
            </w:rPr>
            <w:t>第三章  评标方法</w:t>
          </w:r>
          <w:r>
            <w:rPr>
              <w:color w:val="auto"/>
              <w:sz w:val="24"/>
              <w:szCs w:val="24"/>
            </w:rPr>
            <w:tab/>
          </w:r>
          <w:r>
            <w:rPr>
              <w:color w:val="auto"/>
              <w:sz w:val="24"/>
              <w:szCs w:val="24"/>
            </w:rPr>
            <w:fldChar w:fldCharType="begin"/>
          </w:r>
          <w:r>
            <w:rPr>
              <w:color w:val="auto"/>
              <w:sz w:val="24"/>
              <w:szCs w:val="24"/>
            </w:rPr>
            <w:instrText xml:space="preserve"> PAGEREF _Toc26780 \h </w:instrText>
          </w:r>
          <w:r>
            <w:rPr>
              <w:color w:val="auto"/>
              <w:sz w:val="24"/>
              <w:szCs w:val="24"/>
            </w:rPr>
            <w:fldChar w:fldCharType="separate"/>
          </w:r>
          <w:r>
            <w:rPr>
              <w:color w:val="auto"/>
              <w:sz w:val="24"/>
              <w:szCs w:val="24"/>
            </w:rPr>
            <w:t>30</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F42ACEE">
          <w:pPr>
            <w:pStyle w:val="19"/>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_Toc15260 </w:instrText>
          </w:r>
          <w:r>
            <w:rPr>
              <w:rFonts w:hint="eastAsia" w:ascii="宋体" w:hAnsi="宋体" w:eastAsia="宋体" w:cs="宋体"/>
              <w:color w:val="auto"/>
              <w:kern w:val="2"/>
              <w:sz w:val="24"/>
              <w:szCs w:val="24"/>
              <w:lang w:val="en-US" w:eastAsia="zh-CN" w:bidi="ar-SA"/>
            </w:rPr>
            <w:fldChar w:fldCharType="separate"/>
          </w:r>
          <w:r>
            <w:rPr>
              <w:rFonts w:hint="eastAsia"/>
              <w:bCs/>
              <w:color w:val="auto"/>
              <w:sz w:val="24"/>
              <w:szCs w:val="24"/>
              <w:lang w:val="en-US" w:eastAsia="zh-CN"/>
            </w:rPr>
            <w:t>第四章  商务要求</w:t>
          </w:r>
          <w:r>
            <w:rPr>
              <w:color w:val="auto"/>
              <w:sz w:val="24"/>
              <w:szCs w:val="24"/>
            </w:rPr>
            <w:tab/>
          </w:r>
          <w:r>
            <w:rPr>
              <w:color w:val="auto"/>
              <w:sz w:val="24"/>
              <w:szCs w:val="24"/>
            </w:rPr>
            <w:fldChar w:fldCharType="begin"/>
          </w:r>
          <w:r>
            <w:rPr>
              <w:color w:val="auto"/>
              <w:sz w:val="24"/>
              <w:szCs w:val="24"/>
            </w:rPr>
            <w:instrText xml:space="preserve"> PAGEREF _Toc15260 \h </w:instrText>
          </w:r>
          <w:r>
            <w:rPr>
              <w:color w:val="auto"/>
              <w:sz w:val="24"/>
              <w:szCs w:val="24"/>
            </w:rPr>
            <w:fldChar w:fldCharType="separate"/>
          </w:r>
          <w:r>
            <w:rPr>
              <w:color w:val="auto"/>
              <w:sz w:val="24"/>
              <w:szCs w:val="24"/>
            </w:rPr>
            <w:t>36</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ECBDA23">
          <w:pPr>
            <w:pStyle w:val="19"/>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_Toc25333 </w:instrText>
          </w:r>
          <w:r>
            <w:rPr>
              <w:rFonts w:hint="eastAsia" w:ascii="宋体" w:hAnsi="宋体" w:eastAsia="宋体" w:cs="宋体"/>
              <w:color w:val="auto"/>
              <w:kern w:val="2"/>
              <w:sz w:val="24"/>
              <w:szCs w:val="24"/>
              <w:lang w:val="en-US" w:eastAsia="zh-CN" w:bidi="ar-SA"/>
            </w:rPr>
            <w:fldChar w:fldCharType="separate"/>
          </w:r>
          <w:r>
            <w:rPr>
              <w:rFonts w:hint="eastAsia"/>
              <w:bCs/>
              <w:color w:val="auto"/>
              <w:sz w:val="24"/>
              <w:szCs w:val="24"/>
              <w:lang w:val="en-US" w:eastAsia="zh-CN"/>
            </w:rPr>
            <w:t>第五章</w:t>
          </w:r>
          <w:r>
            <w:rPr>
              <w:rFonts w:hint="eastAsia"/>
              <w:bCs/>
              <w:color w:val="auto"/>
              <w:sz w:val="24"/>
              <w:szCs w:val="24"/>
            </w:rPr>
            <w:t xml:space="preserve"> </w:t>
          </w:r>
          <w:r>
            <w:rPr>
              <w:rFonts w:hint="eastAsia"/>
              <w:bCs/>
              <w:color w:val="auto"/>
              <w:sz w:val="24"/>
              <w:szCs w:val="24"/>
              <w:lang w:val="en-US" w:eastAsia="zh-CN"/>
            </w:rPr>
            <w:t xml:space="preserve"> </w:t>
          </w:r>
          <w:r>
            <w:rPr>
              <w:rFonts w:hint="eastAsia"/>
              <w:bCs/>
              <w:color w:val="auto"/>
              <w:sz w:val="24"/>
              <w:szCs w:val="24"/>
            </w:rPr>
            <w:t>政府采购合同</w:t>
          </w:r>
          <w:r>
            <w:rPr>
              <w:color w:val="auto"/>
              <w:sz w:val="24"/>
              <w:szCs w:val="24"/>
            </w:rPr>
            <w:tab/>
          </w:r>
          <w:r>
            <w:rPr>
              <w:color w:val="auto"/>
              <w:sz w:val="24"/>
              <w:szCs w:val="24"/>
            </w:rPr>
            <w:fldChar w:fldCharType="begin"/>
          </w:r>
          <w:r>
            <w:rPr>
              <w:color w:val="auto"/>
              <w:sz w:val="24"/>
              <w:szCs w:val="24"/>
            </w:rPr>
            <w:instrText xml:space="preserve"> PAGEREF _Toc25333 \h </w:instrText>
          </w:r>
          <w:r>
            <w:rPr>
              <w:color w:val="auto"/>
              <w:sz w:val="24"/>
              <w:szCs w:val="24"/>
            </w:rPr>
            <w:fldChar w:fldCharType="separate"/>
          </w:r>
          <w:r>
            <w:rPr>
              <w:color w:val="auto"/>
              <w:sz w:val="24"/>
              <w:szCs w:val="24"/>
            </w:rPr>
            <w:t>38</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99A1A0E">
          <w:pPr>
            <w:pStyle w:val="19"/>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_Toc22985 </w:instrText>
          </w:r>
          <w:r>
            <w:rPr>
              <w:rFonts w:hint="eastAsia" w:ascii="宋体" w:hAnsi="宋体" w:eastAsia="宋体" w:cs="宋体"/>
              <w:color w:val="auto"/>
              <w:kern w:val="2"/>
              <w:sz w:val="24"/>
              <w:szCs w:val="24"/>
              <w:lang w:val="en-US" w:eastAsia="zh-CN" w:bidi="ar-SA"/>
            </w:rPr>
            <w:fldChar w:fldCharType="separate"/>
          </w:r>
          <w:r>
            <w:rPr>
              <w:rFonts w:hint="eastAsia"/>
              <w:bCs/>
              <w:color w:val="auto"/>
              <w:sz w:val="24"/>
              <w:szCs w:val="24"/>
              <w:lang w:eastAsia="zh-CN"/>
            </w:rPr>
            <w:t>第六章 工程量清单</w:t>
          </w:r>
          <w:r>
            <w:rPr>
              <w:color w:val="auto"/>
              <w:sz w:val="24"/>
              <w:szCs w:val="24"/>
            </w:rPr>
            <w:tab/>
          </w:r>
          <w:r>
            <w:rPr>
              <w:color w:val="auto"/>
              <w:sz w:val="24"/>
              <w:szCs w:val="24"/>
            </w:rPr>
            <w:fldChar w:fldCharType="begin"/>
          </w:r>
          <w:r>
            <w:rPr>
              <w:color w:val="auto"/>
              <w:sz w:val="24"/>
              <w:szCs w:val="24"/>
            </w:rPr>
            <w:instrText xml:space="preserve"> PAGEREF _Toc22985 \h </w:instrText>
          </w:r>
          <w:r>
            <w:rPr>
              <w:color w:val="auto"/>
              <w:sz w:val="24"/>
              <w:szCs w:val="24"/>
            </w:rPr>
            <w:fldChar w:fldCharType="separate"/>
          </w:r>
          <w:r>
            <w:rPr>
              <w:color w:val="auto"/>
              <w:sz w:val="24"/>
              <w:szCs w:val="24"/>
            </w:rPr>
            <w:t>41</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42B9BC6">
          <w:pPr>
            <w:pStyle w:val="20"/>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_Toc1246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响应函</w:t>
          </w:r>
          <w:r>
            <w:rPr>
              <w:color w:val="auto"/>
              <w:sz w:val="24"/>
              <w:szCs w:val="24"/>
            </w:rPr>
            <w:tab/>
          </w:r>
          <w:r>
            <w:rPr>
              <w:color w:val="auto"/>
              <w:sz w:val="24"/>
              <w:szCs w:val="24"/>
            </w:rPr>
            <w:fldChar w:fldCharType="begin"/>
          </w:r>
          <w:r>
            <w:rPr>
              <w:color w:val="auto"/>
              <w:sz w:val="24"/>
              <w:szCs w:val="24"/>
            </w:rPr>
            <w:instrText xml:space="preserve"> PAGEREF _Toc1246 \h </w:instrText>
          </w:r>
          <w:r>
            <w:rPr>
              <w:color w:val="auto"/>
              <w:sz w:val="24"/>
              <w:szCs w:val="24"/>
            </w:rPr>
            <w:fldChar w:fldCharType="separate"/>
          </w:r>
          <w:r>
            <w:rPr>
              <w:color w:val="auto"/>
              <w:sz w:val="24"/>
              <w:szCs w:val="24"/>
            </w:rPr>
            <w:t>48</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4E544E9">
          <w:pPr>
            <w:pStyle w:val="20"/>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_Toc4703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val="en-US" w:eastAsia="zh-CN"/>
            </w:rPr>
            <w:t>二、第一次</w:t>
          </w:r>
          <w:r>
            <w:rPr>
              <w:rFonts w:hint="eastAsia" w:ascii="宋体" w:hAnsi="宋体" w:eastAsia="宋体" w:cs="宋体"/>
              <w:color w:val="auto"/>
              <w:sz w:val="24"/>
              <w:szCs w:val="24"/>
              <w:lang w:eastAsia="zh-CN"/>
            </w:rPr>
            <w:t>磋商报价表</w:t>
          </w:r>
          <w:r>
            <w:rPr>
              <w:color w:val="auto"/>
              <w:sz w:val="24"/>
              <w:szCs w:val="24"/>
            </w:rPr>
            <w:tab/>
          </w:r>
          <w:r>
            <w:rPr>
              <w:color w:val="auto"/>
              <w:sz w:val="24"/>
              <w:szCs w:val="24"/>
            </w:rPr>
            <w:fldChar w:fldCharType="begin"/>
          </w:r>
          <w:r>
            <w:rPr>
              <w:color w:val="auto"/>
              <w:sz w:val="24"/>
              <w:szCs w:val="24"/>
            </w:rPr>
            <w:instrText xml:space="preserve"> PAGEREF _Toc4703 \h </w:instrText>
          </w:r>
          <w:r>
            <w:rPr>
              <w:color w:val="auto"/>
              <w:sz w:val="24"/>
              <w:szCs w:val="24"/>
            </w:rPr>
            <w:fldChar w:fldCharType="separate"/>
          </w:r>
          <w:r>
            <w:rPr>
              <w:color w:val="auto"/>
              <w:sz w:val="24"/>
              <w:szCs w:val="24"/>
            </w:rPr>
            <w:t>49</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20C3E5C">
          <w:pPr>
            <w:pStyle w:val="20"/>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_Toc17745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cs="宋体"/>
              <w:color w:val="auto"/>
              <w:sz w:val="24"/>
              <w:szCs w:val="24"/>
              <w:lang w:val="en-US" w:eastAsia="zh-CN"/>
            </w:rPr>
            <w:t>三、</w:t>
          </w:r>
          <w:r>
            <w:rPr>
              <w:rFonts w:hint="eastAsia" w:ascii="宋体" w:hAnsi="宋体" w:cs="宋体"/>
              <w:color w:val="auto"/>
              <w:sz w:val="24"/>
              <w:szCs w:val="24"/>
            </w:rPr>
            <w:t>磋商分项报价表</w:t>
          </w:r>
          <w:r>
            <w:rPr>
              <w:color w:val="auto"/>
              <w:sz w:val="24"/>
              <w:szCs w:val="24"/>
            </w:rPr>
            <w:tab/>
          </w:r>
          <w:r>
            <w:rPr>
              <w:color w:val="auto"/>
              <w:sz w:val="24"/>
              <w:szCs w:val="24"/>
            </w:rPr>
            <w:fldChar w:fldCharType="begin"/>
          </w:r>
          <w:r>
            <w:rPr>
              <w:color w:val="auto"/>
              <w:sz w:val="24"/>
              <w:szCs w:val="24"/>
            </w:rPr>
            <w:instrText xml:space="preserve"> PAGEREF _Toc17745 \h </w:instrText>
          </w:r>
          <w:r>
            <w:rPr>
              <w:color w:val="auto"/>
              <w:sz w:val="24"/>
              <w:szCs w:val="24"/>
            </w:rPr>
            <w:fldChar w:fldCharType="separate"/>
          </w:r>
          <w:r>
            <w:rPr>
              <w:color w:val="auto"/>
              <w:sz w:val="24"/>
              <w:szCs w:val="24"/>
            </w:rPr>
            <w:t>50</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730C4A9">
          <w:pPr>
            <w:pStyle w:val="20"/>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_Toc17162 </w:instrText>
          </w:r>
          <w:r>
            <w:rPr>
              <w:rFonts w:hint="eastAsia" w:ascii="宋体" w:hAnsi="宋体" w:eastAsia="宋体" w:cs="宋体"/>
              <w:color w:val="auto"/>
              <w:kern w:val="2"/>
              <w:sz w:val="24"/>
              <w:szCs w:val="24"/>
              <w:lang w:val="en-US" w:eastAsia="zh-CN" w:bidi="ar-SA"/>
            </w:rPr>
            <w:fldChar w:fldCharType="separate"/>
          </w:r>
          <w:r>
            <w:rPr>
              <w:rFonts w:hint="eastAsia"/>
              <w:bCs/>
              <w:color w:val="auto"/>
              <w:sz w:val="24"/>
              <w:szCs w:val="24"/>
              <w:lang w:val="en-US" w:eastAsia="zh-CN"/>
            </w:rPr>
            <w:t>四</w:t>
          </w:r>
          <w:r>
            <w:rPr>
              <w:rFonts w:hint="eastAsia"/>
              <w:bCs/>
              <w:color w:val="auto"/>
              <w:sz w:val="24"/>
              <w:szCs w:val="24"/>
            </w:rPr>
            <w:t>、资格证明文件</w:t>
          </w:r>
          <w:r>
            <w:rPr>
              <w:color w:val="auto"/>
              <w:sz w:val="24"/>
              <w:szCs w:val="24"/>
            </w:rPr>
            <w:tab/>
          </w:r>
          <w:r>
            <w:rPr>
              <w:color w:val="auto"/>
              <w:sz w:val="24"/>
              <w:szCs w:val="24"/>
            </w:rPr>
            <w:fldChar w:fldCharType="begin"/>
          </w:r>
          <w:r>
            <w:rPr>
              <w:color w:val="auto"/>
              <w:sz w:val="24"/>
              <w:szCs w:val="24"/>
            </w:rPr>
            <w:instrText xml:space="preserve"> PAGEREF _Toc17162 \h </w:instrText>
          </w:r>
          <w:r>
            <w:rPr>
              <w:color w:val="auto"/>
              <w:sz w:val="24"/>
              <w:szCs w:val="24"/>
            </w:rPr>
            <w:fldChar w:fldCharType="separate"/>
          </w:r>
          <w:r>
            <w:rPr>
              <w:color w:val="auto"/>
              <w:sz w:val="24"/>
              <w:szCs w:val="24"/>
            </w:rPr>
            <w:t>51</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AE11155">
          <w:pPr>
            <w:pStyle w:val="20"/>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_Toc19298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cs="宋体"/>
              <w:bCs/>
              <w:color w:val="auto"/>
              <w:sz w:val="24"/>
              <w:szCs w:val="24"/>
              <w:lang w:val="en-US" w:eastAsia="zh-CN"/>
            </w:rPr>
            <w:t>五</w:t>
          </w:r>
          <w:r>
            <w:rPr>
              <w:rFonts w:hint="eastAsia" w:ascii="宋体" w:hAnsi="宋体" w:cs="宋体"/>
              <w:bCs/>
              <w:color w:val="auto"/>
              <w:sz w:val="24"/>
              <w:szCs w:val="24"/>
            </w:rPr>
            <w:t>、供应商参加政府采购活动承诺书</w:t>
          </w:r>
          <w:r>
            <w:rPr>
              <w:color w:val="auto"/>
              <w:sz w:val="24"/>
              <w:szCs w:val="24"/>
            </w:rPr>
            <w:tab/>
          </w:r>
          <w:r>
            <w:rPr>
              <w:color w:val="auto"/>
              <w:sz w:val="24"/>
              <w:szCs w:val="24"/>
            </w:rPr>
            <w:fldChar w:fldCharType="begin"/>
          </w:r>
          <w:r>
            <w:rPr>
              <w:color w:val="auto"/>
              <w:sz w:val="24"/>
              <w:szCs w:val="24"/>
            </w:rPr>
            <w:instrText xml:space="preserve"> PAGEREF _Toc19298 \h </w:instrText>
          </w:r>
          <w:r>
            <w:rPr>
              <w:color w:val="auto"/>
              <w:sz w:val="24"/>
              <w:szCs w:val="24"/>
            </w:rPr>
            <w:fldChar w:fldCharType="separate"/>
          </w:r>
          <w:r>
            <w:rPr>
              <w:color w:val="auto"/>
              <w:sz w:val="24"/>
              <w:szCs w:val="24"/>
            </w:rPr>
            <w:t>57</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BE2B7BE">
          <w:pPr>
            <w:pStyle w:val="20"/>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_Toc7749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cs="宋体"/>
              <w:color w:val="auto"/>
              <w:sz w:val="24"/>
              <w:szCs w:val="24"/>
              <w:lang w:val="en-US" w:eastAsia="zh-CN"/>
            </w:rPr>
            <w:t>六</w:t>
          </w:r>
          <w:r>
            <w:rPr>
              <w:rFonts w:hint="eastAsia" w:ascii="宋体" w:hAnsi="宋体" w:cs="宋体"/>
              <w:color w:val="auto"/>
              <w:sz w:val="24"/>
              <w:szCs w:val="24"/>
            </w:rPr>
            <w:t>、投标方案</w:t>
          </w:r>
          <w:r>
            <w:rPr>
              <w:color w:val="auto"/>
              <w:sz w:val="24"/>
              <w:szCs w:val="24"/>
            </w:rPr>
            <w:tab/>
          </w:r>
          <w:r>
            <w:rPr>
              <w:color w:val="auto"/>
              <w:sz w:val="24"/>
              <w:szCs w:val="24"/>
            </w:rPr>
            <w:fldChar w:fldCharType="begin"/>
          </w:r>
          <w:r>
            <w:rPr>
              <w:color w:val="auto"/>
              <w:sz w:val="24"/>
              <w:szCs w:val="24"/>
            </w:rPr>
            <w:instrText xml:space="preserve"> PAGEREF _Toc7749 \h </w:instrText>
          </w:r>
          <w:r>
            <w:rPr>
              <w:color w:val="auto"/>
              <w:sz w:val="24"/>
              <w:szCs w:val="24"/>
            </w:rPr>
            <w:fldChar w:fldCharType="separate"/>
          </w:r>
          <w:r>
            <w:rPr>
              <w:color w:val="auto"/>
              <w:sz w:val="24"/>
              <w:szCs w:val="24"/>
            </w:rPr>
            <w:t>60</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D56828D">
          <w:pPr>
            <w:pStyle w:val="20"/>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_Toc20616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cs="宋体"/>
              <w:color w:val="auto"/>
              <w:sz w:val="24"/>
              <w:szCs w:val="24"/>
              <w:lang w:val="en-US" w:eastAsia="zh-CN"/>
            </w:rPr>
            <w:t>七、</w:t>
          </w:r>
          <w:r>
            <w:rPr>
              <w:rFonts w:hint="eastAsia" w:ascii="宋体" w:hAnsi="宋体" w:eastAsia="宋体" w:cs="宋体"/>
              <w:color w:val="auto"/>
              <w:sz w:val="24"/>
              <w:szCs w:val="24"/>
            </w:rPr>
            <w:t>商务偏离表</w:t>
          </w:r>
          <w:r>
            <w:rPr>
              <w:color w:val="auto"/>
              <w:sz w:val="24"/>
              <w:szCs w:val="24"/>
            </w:rPr>
            <w:tab/>
          </w:r>
          <w:r>
            <w:rPr>
              <w:color w:val="auto"/>
              <w:sz w:val="24"/>
              <w:szCs w:val="24"/>
            </w:rPr>
            <w:fldChar w:fldCharType="begin"/>
          </w:r>
          <w:r>
            <w:rPr>
              <w:color w:val="auto"/>
              <w:sz w:val="24"/>
              <w:szCs w:val="24"/>
            </w:rPr>
            <w:instrText xml:space="preserve"> PAGEREF _Toc20616 \h </w:instrText>
          </w:r>
          <w:r>
            <w:rPr>
              <w:color w:val="auto"/>
              <w:sz w:val="24"/>
              <w:szCs w:val="24"/>
            </w:rPr>
            <w:fldChar w:fldCharType="separate"/>
          </w:r>
          <w:r>
            <w:rPr>
              <w:color w:val="auto"/>
              <w:sz w:val="24"/>
              <w:szCs w:val="24"/>
            </w:rPr>
            <w:t>61</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4E64129">
          <w:pPr>
            <w:pStyle w:val="20"/>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_Toc11498 </w:instrText>
          </w:r>
          <w:r>
            <w:rPr>
              <w:rFonts w:hint="eastAsia" w:ascii="宋体" w:hAnsi="宋体" w:eastAsia="宋体" w:cs="宋体"/>
              <w:color w:val="auto"/>
              <w:kern w:val="2"/>
              <w:sz w:val="24"/>
              <w:szCs w:val="24"/>
              <w:lang w:val="en-US" w:eastAsia="zh-CN" w:bidi="ar-SA"/>
            </w:rPr>
            <w:fldChar w:fldCharType="separate"/>
          </w:r>
          <w:r>
            <w:rPr>
              <w:rFonts w:hint="eastAsia"/>
              <w:bCs/>
              <w:color w:val="auto"/>
              <w:sz w:val="24"/>
              <w:szCs w:val="24"/>
              <w:lang w:val="en-US" w:eastAsia="zh-CN"/>
            </w:rPr>
            <w:t>八</w:t>
          </w:r>
          <w:r>
            <w:rPr>
              <w:rFonts w:hint="eastAsia"/>
              <w:bCs/>
              <w:color w:val="auto"/>
              <w:sz w:val="24"/>
              <w:szCs w:val="24"/>
            </w:rPr>
            <w:t>、法定代表人证明书及法定代表人授权书</w:t>
          </w:r>
          <w:r>
            <w:rPr>
              <w:color w:val="auto"/>
              <w:sz w:val="24"/>
              <w:szCs w:val="24"/>
            </w:rPr>
            <w:tab/>
          </w:r>
          <w:r>
            <w:rPr>
              <w:color w:val="auto"/>
              <w:sz w:val="24"/>
              <w:szCs w:val="24"/>
            </w:rPr>
            <w:fldChar w:fldCharType="begin"/>
          </w:r>
          <w:r>
            <w:rPr>
              <w:color w:val="auto"/>
              <w:sz w:val="24"/>
              <w:szCs w:val="24"/>
            </w:rPr>
            <w:instrText xml:space="preserve"> PAGEREF _Toc11498 \h </w:instrText>
          </w:r>
          <w:r>
            <w:rPr>
              <w:color w:val="auto"/>
              <w:sz w:val="24"/>
              <w:szCs w:val="24"/>
            </w:rPr>
            <w:fldChar w:fldCharType="separate"/>
          </w:r>
          <w:r>
            <w:rPr>
              <w:color w:val="auto"/>
              <w:sz w:val="24"/>
              <w:szCs w:val="24"/>
            </w:rPr>
            <w:t>62</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A8A18BC">
          <w:pPr>
            <w:pStyle w:val="20"/>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_Toc8820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cs="宋体"/>
              <w:bCs/>
              <w:color w:val="auto"/>
              <w:kern w:val="0"/>
              <w:sz w:val="24"/>
              <w:szCs w:val="24"/>
              <w:lang w:val="en-US" w:eastAsia="zh-CN" w:bidi="ar"/>
            </w:rPr>
            <w:t>九</w:t>
          </w:r>
          <w:r>
            <w:rPr>
              <w:rFonts w:hint="eastAsia" w:ascii="宋体" w:hAnsi="宋体" w:cs="宋体"/>
              <w:bCs/>
              <w:color w:val="auto"/>
              <w:kern w:val="0"/>
              <w:sz w:val="24"/>
              <w:szCs w:val="24"/>
              <w:lang w:bidi="ar"/>
            </w:rPr>
            <w:t>、</w:t>
          </w:r>
          <w:r>
            <w:rPr>
              <w:rFonts w:hint="eastAsia" w:ascii="宋体" w:hAnsi="宋体" w:eastAsia="宋体" w:cs="宋体"/>
              <w:color w:val="auto"/>
              <w:sz w:val="24"/>
              <w:szCs w:val="24"/>
              <w:lang w:val="en-US" w:eastAsia="zh-CN"/>
            </w:rPr>
            <w:t>中小</w:t>
          </w:r>
          <w:r>
            <w:rPr>
              <w:rFonts w:hint="eastAsia" w:ascii="宋体" w:hAnsi="宋体" w:eastAsia="宋体" w:cs="宋体"/>
              <w:color w:val="auto"/>
              <w:sz w:val="24"/>
              <w:szCs w:val="24"/>
            </w:rPr>
            <w:t>企业、监狱企业、残疾人福利单位声明函或证明</w:t>
          </w:r>
          <w:r>
            <w:rPr>
              <w:color w:val="auto"/>
              <w:sz w:val="24"/>
              <w:szCs w:val="24"/>
            </w:rPr>
            <w:tab/>
          </w:r>
          <w:r>
            <w:rPr>
              <w:color w:val="auto"/>
              <w:sz w:val="24"/>
              <w:szCs w:val="24"/>
            </w:rPr>
            <w:fldChar w:fldCharType="begin"/>
          </w:r>
          <w:r>
            <w:rPr>
              <w:color w:val="auto"/>
              <w:sz w:val="24"/>
              <w:szCs w:val="24"/>
            </w:rPr>
            <w:instrText xml:space="preserve"> PAGEREF _Toc8820 \h </w:instrText>
          </w:r>
          <w:r>
            <w:rPr>
              <w:color w:val="auto"/>
              <w:sz w:val="24"/>
              <w:szCs w:val="24"/>
            </w:rPr>
            <w:fldChar w:fldCharType="separate"/>
          </w:r>
          <w:r>
            <w:rPr>
              <w:color w:val="auto"/>
              <w:sz w:val="24"/>
              <w:szCs w:val="24"/>
            </w:rPr>
            <w:t>64</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83C6525">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color w:val="auto"/>
              <w:sz w:val="32"/>
              <w:szCs w:val="32"/>
            </w:rPr>
          </w:pPr>
          <w:r>
            <w:rPr>
              <w:rFonts w:hint="eastAsia" w:ascii="宋体" w:hAnsi="宋体" w:eastAsia="宋体" w:cs="宋体"/>
              <w:color w:val="auto"/>
              <w:kern w:val="2"/>
              <w:sz w:val="24"/>
              <w:szCs w:val="24"/>
              <w:lang w:val="en-US" w:eastAsia="zh-CN" w:bidi="ar-SA"/>
            </w:rPr>
            <w:fldChar w:fldCharType="end"/>
          </w:r>
        </w:p>
      </w:sdtContent>
    </w:sdt>
    <w:p w14:paraId="5DAA7EA4">
      <w:pPr>
        <w:jc w:val="center"/>
        <w:outlineLvl w:val="9"/>
        <w:rPr>
          <w:rFonts w:ascii="宋体"/>
          <w:b/>
          <w:color w:val="auto"/>
          <w:sz w:val="44"/>
        </w:rPr>
      </w:pPr>
    </w:p>
    <w:p w14:paraId="48CBD467">
      <w:pPr>
        <w:jc w:val="center"/>
        <w:outlineLvl w:val="9"/>
        <w:rPr>
          <w:rFonts w:ascii="宋体"/>
          <w:b/>
          <w:color w:val="auto"/>
          <w:sz w:val="44"/>
        </w:rPr>
      </w:pPr>
    </w:p>
    <w:p w14:paraId="4A53762A">
      <w:pPr>
        <w:outlineLvl w:val="9"/>
        <w:rPr>
          <w:rFonts w:ascii="宋体"/>
          <w:color w:val="auto"/>
        </w:rPr>
        <w:sectPr>
          <w:headerReference r:id="rId7" w:type="first"/>
          <w:footerReference r:id="rId9" w:type="first"/>
          <w:headerReference r:id="rId6" w:type="default"/>
          <w:footerReference r:id="rId8" w:type="default"/>
          <w:pgSz w:w="11907" w:h="16840"/>
          <w:pgMar w:top="1440" w:right="1588" w:bottom="1440" w:left="1588" w:header="851" w:footer="992" w:gutter="0"/>
          <w:pgNumType w:fmt="decimal" w:start="1"/>
          <w:cols w:space="720" w:num="1"/>
          <w:docGrid w:type="linesAndChars" w:linePitch="312" w:charSpace="0"/>
        </w:sectPr>
      </w:pPr>
    </w:p>
    <w:p w14:paraId="42B5B58B">
      <w:pPr>
        <w:bidi w:val="0"/>
        <w:jc w:val="center"/>
        <w:outlineLvl w:val="0"/>
        <w:rPr>
          <w:rFonts w:ascii="宋体" w:hAnsi="宋体"/>
          <w:b/>
          <w:bCs/>
          <w:color w:val="auto"/>
          <w:szCs w:val="36"/>
        </w:rPr>
      </w:pPr>
      <w:bookmarkStart w:id="6" w:name="_Toc5715"/>
      <w:bookmarkStart w:id="7" w:name="_Toc504605084"/>
      <w:bookmarkStart w:id="8" w:name="_Toc15250"/>
      <w:r>
        <w:rPr>
          <w:rFonts w:hint="eastAsia"/>
          <w:b/>
          <w:bCs/>
          <w:color w:val="auto"/>
          <w:sz w:val="36"/>
          <w:szCs w:val="36"/>
          <w:lang w:val="en-US" w:eastAsia="zh-CN"/>
        </w:rPr>
        <w:t>第一章</w:t>
      </w:r>
      <w:r>
        <w:rPr>
          <w:b/>
          <w:bCs/>
          <w:color w:val="auto"/>
          <w:sz w:val="36"/>
          <w:szCs w:val="36"/>
        </w:rPr>
        <w:t xml:space="preserve"> </w:t>
      </w:r>
      <w:bookmarkStart w:id="9" w:name="_Toc5374"/>
      <w:bookmarkStart w:id="10" w:name="_Toc9301"/>
      <w:r>
        <w:rPr>
          <w:rFonts w:hint="eastAsia"/>
          <w:b/>
          <w:bCs/>
          <w:color w:val="auto"/>
          <w:sz w:val="36"/>
          <w:szCs w:val="36"/>
        </w:rPr>
        <w:t>竞争性磋商公告</w:t>
      </w:r>
      <w:bookmarkEnd w:id="6"/>
      <w:bookmarkEnd w:id="7"/>
      <w:bookmarkEnd w:id="8"/>
      <w:bookmarkEnd w:id="9"/>
      <w:bookmarkEnd w:id="10"/>
    </w:p>
    <w:p w14:paraId="28E1840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28"/>
          <w:rFonts w:hint="eastAsia" w:ascii="宋体" w:hAnsi="宋体" w:eastAsia="宋体" w:cs="宋体"/>
          <w:b/>
          <w:bCs/>
          <w:i w:val="0"/>
          <w:iCs w:val="0"/>
          <w:caps w:val="0"/>
          <w:color w:val="auto"/>
          <w:spacing w:val="0"/>
          <w:sz w:val="24"/>
          <w:szCs w:val="24"/>
          <w:shd w:val="clear" w:fill="FFFFFF"/>
        </w:rPr>
        <w:t>项目概况</w:t>
      </w:r>
    </w:p>
    <w:p w14:paraId="695E314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子洲县2025年森林防火道路建设工程</w:t>
      </w:r>
      <w:r>
        <w:rPr>
          <w:rFonts w:hint="eastAsia" w:cs="宋体"/>
          <w:i w:val="0"/>
          <w:iCs w:val="0"/>
          <w:caps w:val="0"/>
          <w:color w:val="auto"/>
          <w:spacing w:val="0"/>
          <w:sz w:val="24"/>
          <w:szCs w:val="24"/>
          <w:shd w:val="clear" w:fill="FFFFFF"/>
          <w:lang w:eastAsia="zh-CN"/>
        </w:rPr>
        <w:t>（苗家坪镇田山渠村）</w:t>
      </w:r>
      <w:r>
        <w:rPr>
          <w:rFonts w:hint="eastAsia" w:ascii="宋体" w:hAnsi="宋体" w:eastAsia="宋体" w:cs="宋体"/>
          <w:i w:val="0"/>
          <w:iCs w:val="0"/>
          <w:caps w:val="0"/>
          <w:color w:val="auto"/>
          <w:spacing w:val="0"/>
          <w:sz w:val="24"/>
          <w:szCs w:val="24"/>
          <w:shd w:val="clear" w:fill="FFFFFF"/>
        </w:rPr>
        <w:t>采购项目的潜在供应商应在登录全国公共资源交易中心平台（陕西省）使用CA锁报名后自行下载获取采购文件，并于 </w:t>
      </w:r>
      <w:r>
        <w:rPr>
          <w:rFonts w:hint="eastAsia" w:cs="宋体"/>
          <w:i w:val="0"/>
          <w:iCs w:val="0"/>
          <w:caps w:val="0"/>
          <w:color w:val="auto"/>
          <w:spacing w:val="0"/>
          <w:sz w:val="24"/>
          <w:szCs w:val="24"/>
          <w:shd w:val="clear" w:fill="FFFFFF"/>
          <w:lang w:eastAsia="zh-CN"/>
        </w:rPr>
        <w:t>2025年08月06日 13时30分</w:t>
      </w:r>
      <w:r>
        <w:rPr>
          <w:rFonts w:hint="eastAsia" w:ascii="宋体" w:hAnsi="宋体" w:eastAsia="宋体" w:cs="宋体"/>
          <w:i w:val="0"/>
          <w:iCs w:val="0"/>
          <w:caps w:val="0"/>
          <w:color w:val="auto"/>
          <w:spacing w:val="0"/>
          <w:sz w:val="24"/>
          <w:szCs w:val="24"/>
          <w:shd w:val="clear" w:fill="FFFFFF"/>
        </w:rPr>
        <w:t> （北京时间）前提交响应文件。</w:t>
      </w:r>
    </w:p>
    <w:p w14:paraId="45911D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28"/>
          <w:rFonts w:hint="eastAsia" w:ascii="宋体" w:hAnsi="宋体" w:eastAsia="宋体" w:cs="宋体"/>
          <w:b/>
          <w:bCs/>
          <w:i w:val="0"/>
          <w:iCs w:val="0"/>
          <w:caps w:val="0"/>
          <w:color w:val="auto"/>
          <w:spacing w:val="0"/>
          <w:sz w:val="24"/>
          <w:szCs w:val="24"/>
          <w:shd w:val="clear" w:fill="FFFFFF"/>
        </w:rPr>
        <w:t>一、项目基本情况</w:t>
      </w:r>
    </w:p>
    <w:p w14:paraId="423FADF5">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项目编号：</w:t>
      </w:r>
      <w:r>
        <w:rPr>
          <w:rFonts w:hint="eastAsia" w:cs="宋体"/>
          <w:i w:val="0"/>
          <w:iCs w:val="0"/>
          <w:caps w:val="0"/>
          <w:color w:val="auto"/>
          <w:spacing w:val="0"/>
          <w:sz w:val="24"/>
          <w:szCs w:val="24"/>
          <w:shd w:val="clear" w:fill="FFFFFF"/>
          <w:lang w:eastAsia="zh-CN"/>
        </w:rPr>
        <w:t>SA2025004</w:t>
      </w:r>
    </w:p>
    <w:p w14:paraId="19C3BDEA">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项目名称：子洲县2025年森林防火道路建设工程</w:t>
      </w:r>
      <w:r>
        <w:rPr>
          <w:rFonts w:hint="eastAsia" w:cs="宋体"/>
          <w:i w:val="0"/>
          <w:iCs w:val="0"/>
          <w:caps w:val="0"/>
          <w:color w:val="auto"/>
          <w:spacing w:val="0"/>
          <w:sz w:val="24"/>
          <w:szCs w:val="24"/>
          <w:shd w:val="clear" w:fill="FFFFFF"/>
          <w:lang w:eastAsia="zh-CN"/>
        </w:rPr>
        <w:t>（苗家坪镇田山渠村）</w:t>
      </w:r>
    </w:p>
    <w:p w14:paraId="083AB0D5">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采购方式：竞争性磋商</w:t>
      </w:r>
    </w:p>
    <w:p w14:paraId="19C34A40">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w:t>
      </w:r>
      <w:r>
        <w:rPr>
          <w:rFonts w:hint="eastAsia" w:cs="宋体"/>
          <w:i w:val="0"/>
          <w:iCs w:val="0"/>
          <w:caps w:val="0"/>
          <w:color w:val="auto"/>
          <w:spacing w:val="0"/>
          <w:sz w:val="24"/>
          <w:szCs w:val="24"/>
          <w:shd w:val="clear" w:fill="FFFFFF"/>
          <w:lang w:eastAsia="zh-CN"/>
        </w:rPr>
        <w:t>699271.51</w:t>
      </w:r>
      <w:r>
        <w:rPr>
          <w:rFonts w:hint="eastAsia" w:ascii="宋体" w:hAnsi="宋体" w:eastAsia="宋体" w:cs="宋体"/>
          <w:i w:val="0"/>
          <w:iCs w:val="0"/>
          <w:caps w:val="0"/>
          <w:color w:val="auto"/>
          <w:spacing w:val="0"/>
          <w:sz w:val="24"/>
          <w:szCs w:val="24"/>
          <w:shd w:val="clear" w:fill="FFFFFF"/>
        </w:rPr>
        <w:t>元</w:t>
      </w:r>
    </w:p>
    <w:p w14:paraId="6C290681">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115C9966">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合同包1(子洲县2025年森林防火道路建设工程</w:t>
      </w:r>
      <w:r>
        <w:rPr>
          <w:rFonts w:hint="eastAsia" w:cs="宋体"/>
          <w:i w:val="0"/>
          <w:iCs w:val="0"/>
          <w:caps w:val="0"/>
          <w:color w:val="auto"/>
          <w:spacing w:val="0"/>
          <w:sz w:val="24"/>
          <w:szCs w:val="24"/>
          <w:shd w:val="clear" w:fill="FFFFFF"/>
          <w:lang w:eastAsia="zh-CN"/>
        </w:rPr>
        <w:t>（苗家坪镇田山渠村）</w:t>
      </w:r>
      <w:r>
        <w:rPr>
          <w:rFonts w:hint="eastAsia" w:ascii="宋体" w:hAnsi="宋体" w:eastAsia="宋体" w:cs="宋体"/>
          <w:i w:val="0"/>
          <w:iCs w:val="0"/>
          <w:caps w:val="0"/>
          <w:color w:val="auto"/>
          <w:spacing w:val="0"/>
          <w:sz w:val="24"/>
          <w:szCs w:val="24"/>
          <w:shd w:val="clear" w:fill="FFFFFF"/>
        </w:rPr>
        <w:t>):</w:t>
      </w:r>
    </w:p>
    <w:p w14:paraId="3567057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w:t>
      </w:r>
      <w:r>
        <w:rPr>
          <w:rFonts w:hint="eastAsia" w:cs="宋体"/>
          <w:i w:val="0"/>
          <w:iCs w:val="0"/>
          <w:caps w:val="0"/>
          <w:color w:val="auto"/>
          <w:spacing w:val="0"/>
          <w:sz w:val="24"/>
          <w:szCs w:val="24"/>
          <w:shd w:val="clear" w:fill="FFFFFF"/>
          <w:lang w:eastAsia="zh-CN"/>
        </w:rPr>
        <w:t>699271.51</w:t>
      </w:r>
      <w:r>
        <w:rPr>
          <w:rFonts w:hint="eastAsia" w:ascii="宋体" w:hAnsi="宋体" w:eastAsia="宋体" w:cs="宋体"/>
          <w:i w:val="0"/>
          <w:iCs w:val="0"/>
          <w:caps w:val="0"/>
          <w:color w:val="auto"/>
          <w:spacing w:val="0"/>
          <w:sz w:val="24"/>
          <w:szCs w:val="24"/>
          <w:shd w:val="clear" w:fill="FFFFFF"/>
        </w:rPr>
        <w:t>元</w:t>
      </w:r>
    </w:p>
    <w:p w14:paraId="5F7EF30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w:t>
      </w:r>
      <w:r>
        <w:rPr>
          <w:rFonts w:hint="eastAsia" w:cs="宋体"/>
          <w:i w:val="0"/>
          <w:iCs w:val="0"/>
          <w:caps w:val="0"/>
          <w:color w:val="auto"/>
          <w:spacing w:val="0"/>
          <w:sz w:val="24"/>
          <w:szCs w:val="24"/>
          <w:shd w:val="clear" w:fill="FFFFFF"/>
          <w:lang w:eastAsia="zh-CN"/>
        </w:rPr>
        <w:t>699271.51</w:t>
      </w:r>
      <w:r>
        <w:rPr>
          <w:rFonts w:hint="eastAsia" w:ascii="宋体" w:hAnsi="宋体" w:eastAsia="宋体" w:cs="宋体"/>
          <w:i w:val="0"/>
          <w:iCs w:val="0"/>
          <w:caps w:val="0"/>
          <w:color w:val="auto"/>
          <w:spacing w:val="0"/>
          <w:sz w:val="24"/>
          <w:szCs w:val="24"/>
          <w:shd w:val="clear" w:fill="FFFFFF"/>
        </w:rPr>
        <w:t>元</w:t>
      </w:r>
    </w:p>
    <w:tbl>
      <w:tblPr>
        <w:tblStyle w:val="25"/>
        <w:tblW w:w="96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95"/>
        <w:gridCol w:w="2064"/>
        <w:gridCol w:w="1610"/>
        <w:gridCol w:w="1855"/>
        <w:gridCol w:w="1716"/>
        <w:gridCol w:w="1598"/>
      </w:tblGrid>
      <w:tr w14:paraId="32631B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7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0D3E3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0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CF6FA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6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BA8B0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8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294EB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7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6BB52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5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E325D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6377BF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49DC0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20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83F5F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公路工程施工</w:t>
            </w:r>
          </w:p>
        </w:tc>
        <w:tc>
          <w:tcPr>
            <w:tcW w:w="16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0DBBF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工程类</w:t>
            </w:r>
          </w:p>
        </w:tc>
        <w:tc>
          <w:tcPr>
            <w:tcW w:w="18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F5D28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97531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DADCF2">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cs="宋体"/>
                <w:color w:val="auto"/>
                <w:kern w:val="0"/>
                <w:sz w:val="24"/>
                <w:szCs w:val="24"/>
                <w:lang w:val="en-US" w:eastAsia="zh-CN" w:bidi="ar"/>
              </w:rPr>
              <w:t>699271.51</w:t>
            </w:r>
          </w:p>
        </w:tc>
      </w:tr>
    </w:tbl>
    <w:p w14:paraId="402B0105">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7AD8BEA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合同履行期限：无</w:t>
      </w:r>
    </w:p>
    <w:p w14:paraId="221B6D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28"/>
          <w:rFonts w:hint="eastAsia" w:ascii="宋体" w:hAnsi="宋体" w:eastAsia="宋体" w:cs="宋体"/>
          <w:b/>
          <w:bCs/>
          <w:i w:val="0"/>
          <w:iCs w:val="0"/>
          <w:caps w:val="0"/>
          <w:color w:val="auto"/>
          <w:spacing w:val="0"/>
          <w:sz w:val="24"/>
          <w:szCs w:val="24"/>
          <w:shd w:val="clear" w:fill="FFFFFF"/>
        </w:rPr>
        <w:t>二、申请人的资格要求：</w:t>
      </w:r>
    </w:p>
    <w:p w14:paraId="000119F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57F3381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0BE20084">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合同包1(子洲县2025年森林防火道路建设工程</w:t>
      </w:r>
      <w:r>
        <w:rPr>
          <w:rFonts w:hint="eastAsia" w:cs="宋体"/>
          <w:i w:val="0"/>
          <w:iCs w:val="0"/>
          <w:caps w:val="0"/>
          <w:color w:val="auto"/>
          <w:spacing w:val="0"/>
          <w:sz w:val="24"/>
          <w:szCs w:val="24"/>
          <w:shd w:val="clear" w:fill="FFFFFF"/>
          <w:lang w:eastAsia="zh-CN"/>
        </w:rPr>
        <w:t>（苗家坪镇田山渠村）</w:t>
      </w:r>
      <w:r>
        <w:rPr>
          <w:rFonts w:hint="eastAsia" w:ascii="宋体" w:hAnsi="宋体" w:eastAsia="宋体" w:cs="宋体"/>
          <w:i w:val="0"/>
          <w:iCs w:val="0"/>
          <w:caps w:val="0"/>
          <w:color w:val="auto"/>
          <w:spacing w:val="0"/>
          <w:sz w:val="24"/>
          <w:szCs w:val="24"/>
          <w:shd w:val="clear" w:fill="FFFFFF"/>
        </w:rPr>
        <w:t>)落实政府采购政策需满足的资格要求如下:</w:t>
      </w:r>
    </w:p>
    <w:p w14:paraId="486C51AC">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②《环境标志产品政府采购实施的意见》财库〔2006〕90号；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③《国务院办公厅关于建立政府强制采购节能产品制度的通知》国办发〔2007〕51号；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④《政府采购促进中小企业发展管理办法》财库〔2020〕46号；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⑤《陕西省财政厅关于进一步加大政府采购支持中小企业力度的通知》陕财办采〔2022〕5号；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⑥《榆林市财政局关于进一步加大政府采购支持中小企业力度的通知》榆政财采发〔2022〕10号；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⑦陕西省财政厅关于印发《陕西省中小企业政府采购信用融资办法》陕财办采〔2018〕23号，相关政策、业务流程、办理平台(http://www.ccgp-shaanxi.gov.cn/zcdservice/zcd/shanxi/）；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⑧《财政部司法部关于政府采购支持监狱企业发展有关问题的通知》财库〔2014〕68号；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⑨《财政部民政部中国残疾人联合会关于促进残疾人就业政府采购政策的通知》财库〔2017〕141号；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⑩《关于在政府采购活动中查询及使用信用记录有关问题的通知》财库〔2016〕125号；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⑪其他需要落实的政府采购政策。</w:t>
      </w:r>
    </w:p>
    <w:p w14:paraId="77BDE62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18AEDEA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合同包1(子洲县2025年森林防火道路建设工程</w:t>
      </w:r>
      <w:r>
        <w:rPr>
          <w:rFonts w:hint="eastAsia" w:cs="宋体"/>
          <w:i w:val="0"/>
          <w:iCs w:val="0"/>
          <w:caps w:val="0"/>
          <w:color w:val="auto"/>
          <w:spacing w:val="0"/>
          <w:sz w:val="24"/>
          <w:szCs w:val="24"/>
          <w:shd w:val="clear" w:fill="FFFFFF"/>
          <w:lang w:eastAsia="zh-CN"/>
        </w:rPr>
        <w:t>（苗家坪镇田山渠村）</w:t>
      </w:r>
      <w:r>
        <w:rPr>
          <w:rFonts w:hint="eastAsia" w:ascii="宋体" w:hAnsi="宋体" w:eastAsia="宋体" w:cs="宋体"/>
          <w:i w:val="0"/>
          <w:iCs w:val="0"/>
          <w:caps w:val="0"/>
          <w:color w:val="auto"/>
          <w:spacing w:val="0"/>
          <w:sz w:val="24"/>
          <w:szCs w:val="24"/>
          <w:shd w:val="clear" w:fill="FFFFFF"/>
        </w:rPr>
        <w:t>)特定资格要求如下:</w:t>
      </w:r>
    </w:p>
    <w:p w14:paraId="3844FED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投标人为具有独立承担民事责任能力的法人、事业法人、其他组织或自然人。企业法人应提供合法有效的标识有统一社会信用代码的营业执照；事业法人应提供事业单位法人证书；其他组织应提供合法登记证明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②具备公路工程施工总承包三级（含三级）以上资质，具备有效的安全生产许可证；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③拟派往本项目的建造师必须为本企业注册的建造师，具备公路工程专业二级及以上注册建造师执业资格和有效的安全生产考核合格证书(B证)，且未担任其它在建工程的建造师（提供无在建工程声明）；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④税收缴纳证明：提供2025年1月至今至少1个月的纳税证明（银行缴费凭证）或完税证明，依法免税的单位应提供相关证明材料；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⑤社会保障资金缴纳证明：提供2025年1月至今至少1个月的社会保障资金银行缴费单据或社保机构开具的社会保险参保缴费情况证明，依法不需要缴纳社会保障资金的单位应提供相关证明材料；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⑥财务要求：提供2024年度财务审计报告；公司成立至开标日期不足一年的提供自成立以来的财务报表（至少包含资产负债表、利润表、现金流量表）或公司基本账户开户行出具自成立以来的资信证明及基本账户开户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⑦参加政府采购活动前三年内，在经营活动中没有重大违法记录的书面声明；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⑧提供具有履行合同所必需的设备和专业技术能力的证明资料或承诺书；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⑨对列入“信用中国”网站(www.creditchina.gov.cn)“失信被执行人、严重失信主体名单、异常经营名录”记录名单；中国政府采购网(www.ccgp.gov.cn)“政府采购严重违法失信行为信息记录”的单位，应当拒绝参与政府采购活动（附投标截止日前的查询结果但以投标截止日当天查询结果为准）。</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⑩自主上报信用承诺书：投标人及其授权委托人应在“信用中国（陕西榆林）”网站(www.ylcredit.gov.cn)进行注册、登录、自主上报信用承诺书，包括：《榆林市政府采购工程类项目供应商信用承诺书》、《投标人信用承诺》、《投标人委托代理人员信用承诺书》(如有)、《投标信用承诺书》；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⑪本项目专门面向中小企业（提供中小企业声明函）；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⑫本项目不接受联合体投标，单位负责人为同一人或者存在直接控股、管理关系的不同投标人，不得参加同一合同项下的政府采购活动（提供非联合体投标声明）。</w:t>
      </w:r>
    </w:p>
    <w:p w14:paraId="31026BD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28"/>
          <w:rFonts w:hint="eastAsia" w:ascii="宋体" w:hAnsi="宋体" w:eastAsia="宋体" w:cs="宋体"/>
          <w:b/>
          <w:bCs/>
          <w:i w:val="0"/>
          <w:iCs w:val="0"/>
          <w:caps w:val="0"/>
          <w:color w:val="auto"/>
          <w:spacing w:val="0"/>
          <w:sz w:val="24"/>
          <w:szCs w:val="24"/>
          <w:shd w:val="clear" w:fill="FFFFFF"/>
        </w:rPr>
        <w:t>三、获取采购文件</w:t>
      </w:r>
    </w:p>
    <w:p w14:paraId="1EFD6F63">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w:t>
      </w:r>
      <w:r>
        <w:rPr>
          <w:rFonts w:hint="eastAsia" w:cs="宋体"/>
          <w:i w:val="0"/>
          <w:iCs w:val="0"/>
          <w:caps w:val="0"/>
          <w:color w:val="auto"/>
          <w:spacing w:val="0"/>
          <w:sz w:val="24"/>
          <w:szCs w:val="24"/>
          <w:shd w:val="clear" w:fill="FFFFFF"/>
          <w:lang w:eastAsia="zh-CN"/>
        </w:rPr>
        <w:t>2025年0</w:t>
      </w:r>
      <w:r>
        <w:rPr>
          <w:rFonts w:hint="eastAsia" w:cs="宋体"/>
          <w:i w:val="0"/>
          <w:iCs w:val="0"/>
          <w:caps w:val="0"/>
          <w:color w:val="auto"/>
          <w:spacing w:val="0"/>
          <w:sz w:val="24"/>
          <w:szCs w:val="24"/>
          <w:shd w:val="clear" w:fill="FFFFFF"/>
          <w:lang w:val="en-US" w:eastAsia="zh-CN"/>
        </w:rPr>
        <w:t>7</w:t>
      </w:r>
      <w:r>
        <w:rPr>
          <w:rFonts w:hint="eastAsia" w:cs="宋体"/>
          <w:i w:val="0"/>
          <w:iCs w:val="0"/>
          <w:caps w:val="0"/>
          <w:color w:val="auto"/>
          <w:spacing w:val="0"/>
          <w:sz w:val="24"/>
          <w:szCs w:val="24"/>
          <w:shd w:val="clear" w:fill="FFFFFF"/>
          <w:lang w:eastAsia="zh-CN"/>
        </w:rPr>
        <w:t>月</w:t>
      </w:r>
      <w:r>
        <w:rPr>
          <w:rFonts w:hint="eastAsia" w:cs="宋体"/>
          <w:i w:val="0"/>
          <w:iCs w:val="0"/>
          <w:caps w:val="0"/>
          <w:color w:val="auto"/>
          <w:spacing w:val="0"/>
          <w:sz w:val="24"/>
          <w:szCs w:val="24"/>
          <w:shd w:val="clear" w:fill="FFFFFF"/>
          <w:lang w:val="en-US" w:eastAsia="zh-CN"/>
        </w:rPr>
        <w:t>23</w:t>
      </w:r>
      <w:r>
        <w:rPr>
          <w:rFonts w:hint="eastAsia" w:cs="宋体"/>
          <w:i w:val="0"/>
          <w:iCs w:val="0"/>
          <w:caps w:val="0"/>
          <w:color w:val="auto"/>
          <w:spacing w:val="0"/>
          <w:sz w:val="24"/>
          <w:szCs w:val="24"/>
          <w:shd w:val="clear" w:fill="FFFFFF"/>
          <w:lang w:eastAsia="zh-CN"/>
        </w:rPr>
        <w:t>日</w:t>
      </w:r>
      <w:r>
        <w:rPr>
          <w:rFonts w:hint="eastAsia" w:ascii="宋体" w:hAnsi="宋体" w:eastAsia="宋体" w:cs="宋体"/>
          <w:i w:val="0"/>
          <w:iCs w:val="0"/>
          <w:caps w:val="0"/>
          <w:color w:val="auto"/>
          <w:spacing w:val="0"/>
          <w:sz w:val="24"/>
          <w:szCs w:val="24"/>
          <w:shd w:val="clear" w:fill="FFFFFF"/>
        </w:rPr>
        <w:t> 至 2025年07月</w:t>
      </w:r>
      <w:r>
        <w:rPr>
          <w:rFonts w:hint="eastAsia" w:cs="宋体"/>
          <w:i w:val="0"/>
          <w:iCs w:val="0"/>
          <w:caps w:val="0"/>
          <w:color w:val="auto"/>
          <w:spacing w:val="0"/>
          <w:sz w:val="24"/>
          <w:szCs w:val="24"/>
          <w:shd w:val="clear" w:fill="FFFFFF"/>
          <w:lang w:val="en-US" w:eastAsia="zh-CN"/>
        </w:rPr>
        <w:t>29</w:t>
      </w:r>
      <w:r>
        <w:rPr>
          <w:rFonts w:hint="eastAsia" w:ascii="宋体" w:hAnsi="宋体" w:eastAsia="宋体" w:cs="宋体"/>
          <w:i w:val="0"/>
          <w:iCs w:val="0"/>
          <w:caps w:val="0"/>
          <w:color w:val="auto"/>
          <w:spacing w:val="0"/>
          <w:sz w:val="24"/>
          <w:szCs w:val="24"/>
          <w:shd w:val="clear" w:fill="FFFFFF"/>
        </w:rPr>
        <w:t>日 ，每天上午 09:00:00 至 12:00:00 ，下午 12:00:00 至 17:00:00 （北京时间）</w:t>
      </w:r>
    </w:p>
    <w:p w14:paraId="030BFAEB">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528F6D6B">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6DB428C6">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 0元</w:t>
      </w:r>
    </w:p>
    <w:p w14:paraId="3C3B54E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28"/>
          <w:rFonts w:hint="eastAsia" w:ascii="宋体" w:hAnsi="宋体" w:eastAsia="宋体" w:cs="宋体"/>
          <w:b/>
          <w:bCs/>
          <w:i w:val="0"/>
          <w:iCs w:val="0"/>
          <w:caps w:val="0"/>
          <w:color w:val="auto"/>
          <w:spacing w:val="0"/>
          <w:sz w:val="24"/>
          <w:szCs w:val="24"/>
          <w:shd w:val="clear" w:fill="FFFFFF"/>
        </w:rPr>
        <w:t>四、响应文件提交</w:t>
      </w:r>
    </w:p>
    <w:p w14:paraId="75CA8D11">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 </w:t>
      </w:r>
      <w:r>
        <w:rPr>
          <w:rFonts w:hint="eastAsia" w:cs="宋体"/>
          <w:i w:val="0"/>
          <w:iCs w:val="0"/>
          <w:caps w:val="0"/>
          <w:color w:val="auto"/>
          <w:spacing w:val="0"/>
          <w:sz w:val="24"/>
          <w:szCs w:val="24"/>
          <w:shd w:val="clear" w:fill="FFFFFF"/>
          <w:lang w:eastAsia="zh-CN"/>
        </w:rPr>
        <w:t>2025年08月06日 13时30分</w:t>
      </w:r>
      <w:r>
        <w:rPr>
          <w:rFonts w:hint="eastAsia" w:ascii="宋体" w:hAnsi="宋体" w:eastAsia="宋体" w:cs="宋体"/>
          <w:i w:val="0"/>
          <w:iCs w:val="0"/>
          <w:caps w:val="0"/>
          <w:color w:val="auto"/>
          <w:spacing w:val="0"/>
          <w:sz w:val="24"/>
          <w:szCs w:val="24"/>
          <w:shd w:val="clear" w:fill="FFFFFF"/>
        </w:rPr>
        <w:t>00秒 （北京时间）</w:t>
      </w:r>
    </w:p>
    <w:p w14:paraId="1922D60A">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地点：登录全国公共资源交易平台（陕西省•榆林市）网站〖首页〉电子交易平台〉陕西政府采购交易系统）企业端〗，在线提交</w:t>
      </w:r>
    </w:p>
    <w:p w14:paraId="4150387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28"/>
          <w:rFonts w:hint="eastAsia" w:ascii="宋体" w:hAnsi="宋体" w:eastAsia="宋体" w:cs="宋体"/>
          <w:b/>
          <w:bCs/>
          <w:i w:val="0"/>
          <w:iCs w:val="0"/>
          <w:caps w:val="0"/>
          <w:color w:val="auto"/>
          <w:spacing w:val="0"/>
          <w:sz w:val="24"/>
          <w:szCs w:val="24"/>
          <w:shd w:val="clear" w:fill="FFFFFF"/>
        </w:rPr>
        <w:t>五、开启</w:t>
      </w:r>
    </w:p>
    <w:p w14:paraId="3DB40BD0">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w:t>
      </w:r>
      <w:r>
        <w:rPr>
          <w:rFonts w:hint="eastAsia" w:cs="宋体"/>
          <w:i w:val="0"/>
          <w:iCs w:val="0"/>
          <w:caps w:val="0"/>
          <w:color w:val="auto"/>
          <w:spacing w:val="0"/>
          <w:sz w:val="24"/>
          <w:szCs w:val="24"/>
          <w:shd w:val="clear" w:fill="FFFFFF"/>
          <w:lang w:eastAsia="zh-CN"/>
        </w:rPr>
        <w:t>2025年08月06日 13时30分</w:t>
      </w:r>
      <w:r>
        <w:rPr>
          <w:rFonts w:hint="eastAsia" w:ascii="宋体" w:hAnsi="宋体" w:eastAsia="宋体" w:cs="宋体"/>
          <w:i w:val="0"/>
          <w:iCs w:val="0"/>
          <w:caps w:val="0"/>
          <w:color w:val="auto"/>
          <w:spacing w:val="0"/>
          <w:sz w:val="24"/>
          <w:szCs w:val="24"/>
          <w:shd w:val="clear" w:fill="FFFFFF"/>
        </w:rPr>
        <w:t>00秒 （北京时间）</w:t>
      </w:r>
    </w:p>
    <w:p w14:paraId="70F2F2EC">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地点：登录全国公共资源交易平台（陕西省•榆林市）网站〖首页〉不见面开标〗系统，在线参加开标过程</w:t>
      </w:r>
    </w:p>
    <w:p w14:paraId="63DB20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28"/>
          <w:rFonts w:hint="eastAsia" w:ascii="宋体" w:hAnsi="宋体" w:eastAsia="宋体" w:cs="宋体"/>
          <w:b/>
          <w:bCs/>
          <w:i w:val="0"/>
          <w:iCs w:val="0"/>
          <w:caps w:val="0"/>
          <w:color w:val="auto"/>
          <w:spacing w:val="0"/>
          <w:sz w:val="24"/>
          <w:szCs w:val="24"/>
          <w:shd w:val="clear" w:fill="FFFFFF"/>
        </w:rPr>
        <w:t>六、公告期限</w:t>
      </w:r>
    </w:p>
    <w:p w14:paraId="67C6279F">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6825D3A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28"/>
          <w:rFonts w:hint="eastAsia" w:ascii="宋体" w:hAnsi="宋体" w:eastAsia="宋体" w:cs="宋体"/>
          <w:b/>
          <w:bCs/>
          <w:i w:val="0"/>
          <w:iCs w:val="0"/>
          <w:caps w:val="0"/>
          <w:color w:val="auto"/>
          <w:spacing w:val="0"/>
          <w:sz w:val="24"/>
          <w:szCs w:val="24"/>
          <w:shd w:val="clear" w:fill="FFFFFF"/>
        </w:rPr>
        <w:t>七、其他补充事宜</w:t>
      </w:r>
    </w:p>
    <w:p w14:paraId="03A12DC9">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（1）供应商可登录全国公共资源交易中心平台（陕西省） （http://www.sxggzyjy.cn/）,选择“电子交易平台-陕西政府采购交易系统-陕西省公共资源交易平台-供应商”进行登录，登录后选择“交易乙方”身份进入供应商界面进行报名并免费下载磋商文件。</w:t>
      </w:r>
    </w:p>
    <w:p w14:paraId="038C6B8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（2）本项目采用电子化招投标的方式，供应商使用数字认证证书（CA 锁）对投标文件进行签章、加密、递交及开标时解密等相关招投标事宜。</w:t>
      </w:r>
    </w:p>
    <w:p w14:paraId="0DFD0CF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（3）电子响应文件制作软件技术支持热线：400-998-0000 ，CA锁购买：榆林市市民大厦三楼E18、E19窗口办理，咨询电话0912-3452148、029-88661298或4006-369-888（陕西CA联系电话）。</w:t>
      </w:r>
    </w:p>
    <w:p w14:paraId="3BA02D0C">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（4）请各供应商获取磋商文件后，按照陕西省财政厅《关于政府采购投标供应商注册登记有关事项的通知》要求，通过陕西省政府采购（http://www.ccgp-shaanxi.gov.cn/）注册登记加入陕西省政府采购投标供应商库。</w:t>
      </w:r>
    </w:p>
    <w:p w14:paraId="56E1141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（5）本项目采用“不见面”开标形式，不见面开标系统操作手册下载方式：登录【全国公共资源交易平台（陕西省•榆林市）】 网站首页选择【服务指南】-【下载专区】-点击【榆林市不见面开标系统操作手册】进行下载，请投标供应商仔细阅读操作手册，了解操作流程，熟练掌握不见面开标操作相关事宜，若无法正常投标，供应商自行承担责任。</w:t>
      </w:r>
    </w:p>
    <w:p w14:paraId="1615A7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28"/>
          <w:rFonts w:hint="eastAsia" w:ascii="宋体" w:hAnsi="宋体" w:eastAsia="宋体" w:cs="宋体"/>
          <w:b/>
          <w:bCs/>
          <w:i w:val="0"/>
          <w:iCs w:val="0"/>
          <w:caps w:val="0"/>
          <w:color w:val="auto"/>
          <w:spacing w:val="0"/>
          <w:sz w:val="24"/>
          <w:szCs w:val="24"/>
          <w:shd w:val="clear" w:fill="FFFFFF"/>
        </w:rPr>
        <w:t>八、对本次招标提出询问，请按以下方式联系。</w:t>
      </w:r>
    </w:p>
    <w:p w14:paraId="18766B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111EB02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名称：子洲县林业局</w:t>
      </w:r>
    </w:p>
    <w:p w14:paraId="757E76C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地址：子洲县</w:t>
      </w:r>
    </w:p>
    <w:p w14:paraId="03C27C5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联系方式：13720469156</w:t>
      </w:r>
    </w:p>
    <w:p w14:paraId="2B8867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3094DE0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名称：陕安项目管理有限公司</w:t>
      </w:r>
    </w:p>
    <w:p w14:paraId="506D5B24">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地址：</w:t>
      </w:r>
      <w:r>
        <w:rPr>
          <w:rFonts w:hint="eastAsia" w:cs="宋体"/>
          <w:i w:val="0"/>
          <w:iCs w:val="0"/>
          <w:caps w:val="0"/>
          <w:color w:val="auto"/>
          <w:spacing w:val="0"/>
          <w:sz w:val="24"/>
          <w:szCs w:val="24"/>
          <w:shd w:val="clear" w:fill="FFFFFF"/>
          <w:lang w:eastAsia="zh-CN"/>
        </w:rPr>
        <w:t>榆林市富康路榆溪尚品3号楼1408</w:t>
      </w:r>
    </w:p>
    <w:p w14:paraId="7DE7C0D9">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联系方式：13228440603</w:t>
      </w:r>
    </w:p>
    <w:p w14:paraId="620418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4F001EC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项目联系人：姬小凤</w:t>
      </w:r>
    </w:p>
    <w:p w14:paraId="49DB594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电话：13228440603</w:t>
      </w:r>
    </w:p>
    <w:p w14:paraId="1AB14111">
      <w:pPr>
        <w:adjustRightInd w:val="0"/>
        <w:snapToGrid w:val="0"/>
        <w:spacing w:line="440" w:lineRule="exact"/>
        <w:ind w:firstLine="1080" w:firstLineChars="300"/>
        <w:jc w:val="center"/>
        <w:outlineLvl w:val="9"/>
        <w:rPr>
          <w:rFonts w:hint="eastAsia" w:ascii="宋体" w:hAnsi="宋体" w:cs="宋体"/>
          <w:color w:val="auto"/>
          <w:sz w:val="36"/>
        </w:rPr>
      </w:pPr>
    </w:p>
    <w:p w14:paraId="30489457">
      <w:pPr>
        <w:adjustRightInd w:val="0"/>
        <w:snapToGrid w:val="0"/>
        <w:spacing w:line="360" w:lineRule="auto"/>
        <w:ind w:firstLine="7200" w:firstLineChars="2000"/>
        <w:jc w:val="left"/>
        <w:outlineLvl w:val="9"/>
        <w:rPr>
          <w:rFonts w:hint="eastAsia" w:ascii="宋体" w:hAnsi="宋体" w:cs="宋体"/>
          <w:color w:val="auto"/>
          <w:sz w:val="36"/>
          <w:szCs w:val="36"/>
        </w:rPr>
        <w:sectPr>
          <w:footerReference r:id="rId10" w:type="default"/>
          <w:pgSz w:w="11906" w:h="16838"/>
          <w:pgMar w:top="1219" w:right="1800" w:bottom="1219" w:left="1800" w:header="851" w:footer="992" w:gutter="0"/>
          <w:pgNumType w:fmt="decimal" w:start="1"/>
          <w:cols w:space="720" w:num="1"/>
          <w:docGrid w:type="lines" w:linePitch="312" w:charSpace="0"/>
        </w:sectPr>
      </w:pPr>
    </w:p>
    <w:p w14:paraId="0836D182">
      <w:pPr>
        <w:bidi w:val="0"/>
        <w:spacing w:line="360" w:lineRule="auto"/>
        <w:jc w:val="center"/>
        <w:outlineLvl w:val="0"/>
        <w:rPr>
          <w:rFonts w:ascii="宋体" w:hAnsi="宋体"/>
          <w:b/>
          <w:bCs/>
          <w:color w:val="auto"/>
          <w:szCs w:val="36"/>
        </w:rPr>
      </w:pPr>
      <w:bookmarkStart w:id="11" w:name="_Toc13112"/>
      <w:bookmarkStart w:id="12" w:name="_Toc24905"/>
      <w:bookmarkStart w:id="13" w:name="_Toc21565"/>
      <w:bookmarkStart w:id="14" w:name="_Toc504605086"/>
      <w:bookmarkStart w:id="15" w:name="_Toc504605168"/>
      <w:bookmarkStart w:id="16" w:name="_Toc504605085"/>
      <w:bookmarkStart w:id="17" w:name="_Toc1227"/>
      <w:r>
        <w:rPr>
          <w:rFonts w:hint="eastAsia"/>
          <w:b/>
          <w:bCs/>
          <w:color w:val="auto"/>
          <w:sz w:val="36"/>
          <w:szCs w:val="36"/>
        </w:rPr>
        <w:t>第二章</w:t>
      </w:r>
      <w:r>
        <w:rPr>
          <w:b/>
          <w:bCs/>
          <w:color w:val="auto"/>
          <w:sz w:val="36"/>
          <w:szCs w:val="36"/>
        </w:rPr>
        <w:t xml:space="preserve"> </w:t>
      </w:r>
      <w:r>
        <w:rPr>
          <w:rFonts w:hint="eastAsia"/>
          <w:b/>
          <w:bCs/>
          <w:color w:val="auto"/>
          <w:sz w:val="36"/>
          <w:szCs w:val="36"/>
          <w:lang w:val="en-US" w:eastAsia="zh-CN"/>
        </w:rPr>
        <w:t xml:space="preserve"> </w:t>
      </w:r>
      <w:r>
        <w:rPr>
          <w:rFonts w:hint="eastAsia"/>
          <w:b/>
          <w:bCs/>
          <w:color w:val="auto"/>
          <w:sz w:val="36"/>
          <w:szCs w:val="36"/>
        </w:rPr>
        <w:t>供应商须知前附表及供应商须知</w:t>
      </w:r>
      <w:bookmarkEnd w:id="11"/>
      <w:bookmarkEnd w:id="12"/>
      <w:bookmarkEnd w:id="13"/>
    </w:p>
    <w:p w14:paraId="6F2DB653">
      <w:pPr>
        <w:spacing w:line="360" w:lineRule="auto"/>
        <w:jc w:val="center"/>
        <w:outlineLvl w:val="9"/>
        <w:rPr>
          <w:color w:val="auto"/>
          <w:sz w:val="32"/>
          <w:szCs w:val="32"/>
        </w:rPr>
      </w:pPr>
      <w:bookmarkStart w:id="18" w:name="_Toc13149"/>
      <w:bookmarkStart w:id="19" w:name="_Toc17752"/>
      <w:bookmarkStart w:id="20" w:name="_Toc513557025"/>
      <w:bookmarkStart w:id="21" w:name="_Toc6073"/>
      <w:bookmarkStart w:id="22" w:name="_Toc2260"/>
      <w:bookmarkStart w:id="23" w:name="_Toc1925"/>
      <w:bookmarkStart w:id="24" w:name="_Toc12655"/>
      <w:bookmarkStart w:id="25" w:name="_Toc8617"/>
      <w:r>
        <w:rPr>
          <w:rFonts w:hint="eastAsia" w:ascii="宋体" w:hAnsi="宋体"/>
          <w:b/>
          <w:bCs/>
          <w:color w:val="auto"/>
          <w:sz w:val="32"/>
          <w:szCs w:val="32"/>
        </w:rPr>
        <w:t>（一）供应商须知前附表</w:t>
      </w:r>
      <w:bookmarkEnd w:id="14"/>
      <w:bookmarkEnd w:id="15"/>
      <w:bookmarkEnd w:id="18"/>
      <w:bookmarkEnd w:id="19"/>
      <w:bookmarkEnd w:id="20"/>
      <w:bookmarkEnd w:id="21"/>
      <w:bookmarkEnd w:id="22"/>
      <w:bookmarkEnd w:id="23"/>
      <w:bookmarkEnd w:id="24"/>
      <w:bookmarkEnd w:id="25"/>
    </w:p>
    <w:bookmarkEnd w:id="16"/>
    <w:bookmarkEnd w:id="17"/>
    <w:tbl>
      <w:tblPr>
        <w:tblStyle w:val="25"/>
        <w:tblW w:w="10003" w:type="dxa"/>
        <w:tblInd w:w="-232" w:type="dxa"/>
        <w:tblLayout w:type="fixed"/>
        <w:tblCellMar>
          <w:top w:w="0" w:type="dxa"/>
          <w:left w:w="108" w:type="dxa"/>
          <w:bottom w:w="0" w:type="dxa"/>
          <w:right w:w="108" w:type="dxa"/>
        </w:tblCellMar>
      </w:tblPr>
      <w:tblGrid>
        <w:gridCol w:w="723"/>
        <w:gridCol w:w="1765"/>
        <w:gridCol w:w="7515"/>
      </w:tblGrid>
      <w:tr w14:paraId="50734EDC">
        <w:tblPrEx>
          <w:tblCellMar>
            <w:top w:w="0" w:type="dxa"/>
            <w:left w:w="108" w:type="dxa"/>
            <w:bottom w:w="0" w:type="dxa"/>
            <w:right w:w="108" w:type="dxa"/>
          </w:tblCellMar>
        </w:tblPrEx>
        <w:trPr>
          <w:trHeight w:val="276" w:hRule="atLeast"/>
        </w:trPr>
        <w:tc>
          <w:tcPr>
            <w:tcW w:w="723" w:type="dxa"/>
            <w:tcBorders>
              <w:top w:val="single" w:color="auto" w:sz="4" w:space="0"/>
              <w:left w:val="single" w:color="auto" w:sz="4" w:space="0"/>
              <w:bottom w:val="single" w:color="auto" w:sz="4" w:space="0"/>
              <w:right w:val="single" w:color="auto" w:sz="4" w:space="0"/>
            </w:tcBorders>
            <w:vAlign w:val="center"/>
          </w:tcPr>
          <w:p w14:paraId="349F7E8A">
            <w:pPr>
              <w:jc w:val="center"/>
              <w:outlineLvl w:val="9"/>
              <w:rPr>
                <w:rFonts w:asciiTheme="minorEastAsia" w:hAnsiTheme="minorEastAsia" w:eastAsiaTheme="minorEastAsia" w:cstheme="minorEastAsia"/>
                <w:b/>
                <w:color w:val="auto"/>
                <w:sz w:val="24"/>
                <w:szCs w:val="24"/>
              </w:rPr>
            </w:pPr>
            <w:bookmarkStart w:id="26" w:name="_Toc504605087"/>
            <w:bookmarkStart w:id="27" w:name="_Toc504605169"/>
            <w:r>
              <w:rPr>
                <w:rFonts w:hint="eastAsia" w:ascii="宋体" w:hAnsi="宋体" w:cs="宋体"/>
                <w:b/>
                <w:color w:val="auto"/>
                <w:sz w:val="24"/>
                <w:lang w:val="zh-CN"/>
              </w:rPr>
              <w:t>序号</w:t>
            </w:r>
          </w:p>
        </w:tc>
        <w:tc>
          <w:tcPr>
            <w:tcW w:w="1765" w:type="dxa"/>
            <w:tcBorders>
              <w:top w:val="single" w:color="auto" w:sz="4" w:space="0"/>
              <w:left w:val="single" w:color="auto" w:sz="4" w:space="0"/>
              <w:bottom w:val="single" w:color="auto" w:sz="4" w:space="0"/>
              <w:right w:val="single" w:color="auto" w:sz="4" w:space="0"/>
            </w:tcBorders>
            <w:vAlign w:val="center"/>
          </w:tcPr>
          <w:p w14:paraId="0275BE78">
            <w:pPr>
              <w:jc w:val="center"/>
              <w:outlineLvl w:val="9"/>
              <w:rPr>
                <w:rFonts w:asciiTheme="minorEastAsia" w:hAnsiTheme="minorEastAsia" w:eastAsiaTheme="minorEastAsia" w:cstheme="minorEastAsia"/>
                <w:b/>
                <w:color w:val="auto"/>
                <w:sz w:val="24"/>
                <w:szCs w:val="24"/>
              </w:rPr>
            </w:pPr>
            <w:r>
              <w:rPr>
                <w:rFonts w:hint="eastAsia" w:ascii="宋体" w:hAnsi="宋体" w:cs="宋体"/>
                <w:b/>
                <w:color w:val="auto"/>
                <w:sz w:val="24"/>
                <w:lang w:val="zh-CN"/>
              </w:rPr>
              <w:t>摘 要</w:t>
            </w:r>
          </w:p>
        </w:tc>
        <w:tc>
          <w:tcPr>
            <w:tcW w:w="7515" w:type="dxa"/>
            <w:tcBorders>
              <w:top w:val="single" w:color="auto" w:sz="4" w:space="0"/>
              <w:left w:val="single" w:color="auto" w:sz="4" w:space="0"/>
              <w:bottom w:val="single" w:color="auto" w:sz="4" w:space="0"/>
              <w:right w:val="single" w:color="auto" w:sz="4" w:space="0"/>
            </w:tcBorders>
            <w:vAlign w:val="center"/>
          </w:tcPr>
          <w:p w14:paraId="6217FC00">
            <w:pPr>
              <w:adjustRightInd w:val="0"/>
              <w:snapToGrid w:val="0"/>
              <w:spacing w:line="360" w:lineRule="auto"/>
              <w:ind w:left="472" w:leftChars="24" w:hanging="422" w:hangingChars="175"/>
              <w:jc w:val="center"/>
              <w:outlineLvl w:val="9"/>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编  列  内  容</w:t>
            </w:r>
          </w:p>
        </w:tc>
      </w:tr>
      <w:tr w14:paraId="18900983">
        <w:tblPrEx>
          <w:tblCellMar>
            <w:top w:w="0" w:type="dxa"/>
            <w:left w:w="108" w:type="dxa"/>
            <w:bottom w:w="0" w:type="dxa"/>
            <w:right w:w="108" w:type="dxa"/>
          </w:tblCellMar>
        </w:tblPrEx>
        <w:tc>
          <w:tcPr>
            <w:tcW w:w="723" w:type="dxa"/>
            <w:tcBorders>
              <w:top w:val="single" w:color="auto" w:sz="4" w:space="0"/>
              <w:left w:val="single" w:color="auto" w:sz="4" w:space="0"/>
              <w:bottom w:val="single" w:color="auto" w:sz="4" w:space="0"/>
              <w:right w:val="single" w:color="auto" w:sz="4" w:space="0"/>
            </w:tcBorders>
            <w:vAlign w:val="center"/>
          </w:tcPr>
          <w:p w14:paraId="4A479F5E">
            <w:pPr>
              <w:adjustRightInd w:val="0"/>
              <w:snapToGrid w:val="0"/>
              <w:spacing w:line="360" w:lineRule="auto"/>
              <w:jc w:val="center"/>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765" w:type="dxa"/>
            <w:tcBorders>
              <w:top w:val="single" w:color="auto" w:sz="4" w:space="0"/>
              <w:left w:val="single" w:color="auto" w:sz="4" w:space="0"/>
              <w:bottom w:val="single" w:color="auto" w:sz="4" w:space="0"/>
              <w:right w:val="single" w:color="auto" w:sz="4" w:space="0"/>
            </w:tcBorders>
            <w:vAlign w:val="center"/>
          </w:tcPr>
          <w:p w14:paraId="17C03741">
            <w:pPr>
              <w:adjustRightInd w:val="0"/>
              <w:snapToGrid w:val="0"/>
              <w:spacing w:line="360" w:lineRule="auto"/>
              <w:jc w:val="center"/>
              <w:outlineLvl w:val="9"/>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采购人</w:t>
            </w:r>
          </w:p>
        </w:tc>
        <w:tc>
          <w:tcPr>
            <w:tcW w:w="7515" w:type="dxa"/>
            <w:tcBorders>
              <w:top w:val="single" w:color="auto" w:sz="4" w:space="0"/>
              <w:left w:val="single" w:color="auto" w:sz="4" w:space="0"/>
              <w:bottom w:val="single" w:color="auto" w:sz="4" w:space="0"/>
              <w:right w:val="single" w:color="auto" w:sz="4" w:space="0"/>
            </w:tcBorders>
            <w:vAlign w:val="center"/>
          </w:tcPr>
          <w:p w14:paraId="02532F56">
            <w:pPr>
              <w:adjustRightInd w:val="0"/>
              <w:snapToGrid w:val="0"/>
              <w:spacing w:line="360" w:lineRule="auto"/>
              <w:jc w:val="left"/>
              <w:outlineLvl w:val="9"/>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rPr>
              <w:t>名</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zh-CN"/>
              </w:rPr>
              <w:t>称：</w:t>
            </w:r>
            <w:r>
              <w:rPr>
                <w:rFonts w:hint="eastAsia" w:asciiTheme="minorEastAsia" w:hAnsiTheme="minorEastAsia" w:eastAsiaTheme="minorEastAsia" w:cstheme="minorEastAsia"/>
                <w:color w:val="auto"/>
                <w:sz w:val="24"/>
                <w:szCs w:val="24"/>
                <w:lang w:val="zh-CN" w:eastAsia="zh-CN"/>
              </w:rPr>
              <w:t>子洲县林业局</w:t>
            </w:r>
          </w:p>
          <w:p w14:paraId="638CA64A">
            <w:pPr>
              <w:spacing w:line="360" w:lineRule="auto"/>
              <w:outlineLvl w:val="9"/>
              <w:rPr>
                <w:rFonts w:hint="eastAsia" w:ascii="宋体" w:hAnsi="宋体" w:eastAsia="宋体" w:cs="宋体"/>
                <w:color w:val="auto"/>
                <w:sz w:val="24"/>
                <w:lang w:val="en-US" w:eastAsia="zh-CN"/>
              </w:rPr>
            </w:pPr>
            <w:r>
              <w:rPr>
                <w:rFonts w:hint="eastAsia" w:ascii="宋体" w:hAnsi="宋体" w:cs="宋体"/>
                <w:color w:val="auto"/>
                <w:sz w:val="24"/>
                <w:lang w:eastAsia="zh-CN"/>
              </w:rPr>
              <w:t>地     址：子洲县</w:t>
            </w:r>
          </w:p>
          <w:p w14:paraId="4A5A446A">
            <w:pPr>
              <w:spacing w:line="360" w:lineRule="auto"/>
              <w:outlineLvl w:val="9"/>
              <w:rPr>
                <w:rFonts w:hint="default" w:asciiTheme="minorEastAsia" w:hAnsiTheme="minorEastAsia" w:eastAsiaTheme="minorEastAsia" w:cstheme="minorEastAsia"/>
                <w:color w:val="auto"/>
                <w:sz w:val="24"/>
                <w:szCs w:val="24"/>
                <w:lang w:val="en-US" w:eastAsia="zh-CN"/>
              </w:rPr>
            </w:pPr>
            <w:r>
              <w:rPr>
                <w:rFonts w:hint="eastAsia" w:ascii="宋体" w:hAnsi="宋体" w:cs="宋体"/>
                <w:color w:val="auto"/>
                <w:sz w:val="24"/>
                <w:lang w:eastAsia="zh-CN"/>
              </w:rPr>
              <w:t xml:space="preserve">电     </w:t>
            </w:r>
            <w:r>
              <w:rPr>
                <w:rFonts w:hint="eastAsia" w:ascii="宋体" w:hAnsi="宋体" w:cs="宋体"/>
                <w:color w:val="auto"/>
                <w:sz w:val="24"/>
                <w:shd w:val="clear" w:color="auto" w:fill="auto"/>
                <w:lang w:eastAsia="zh-CN"/>
              </w:rPr>
              <w:t>话：</w:t>
            </w:r>
            <w:r>
              <w:rPr>
                <w:rFonts w:hint="eastAsia" w:ascii="宋体" w:hAnsi="宋体" w:eastAsia="宋体" w:cs="宋体"/>
                <w:i w:val="0"/>
                <w:iCs w:val="0"/>
                <w:caps w:val="0"/>
                <w:color w:val="auto"/>
                <w:spacing w:val="0"/>
                <w:sz w:val="24"/>
                <w:szCs w:val="24"/>
                <w:shd w:val="clear" w:fill="FFFFFF"/>
              </w:rPr>
              <w:t>13720469156</w:t>
            </w:r>
          </w:p>
        </w:tc>
      </w:tr>
      <w:tr w14:paraId="2BB31572">
        <w:tblPrEx>
          <w:tblCellMar>
            <w:top w:w="0" w:type="dxa"/>
            <w:left w:w="108" w:type="dxa"/>
            <w:bottom w:w="0" w:type="dxa"/>
            <w:right w:w="108" w:type="dxa"/>
          </w:tblCellMar>
        </w:tblPrEx>
        <w:tc>
          <w:tcPr>
            <w:tcW w:w="723" w:type="dxa"/>
            <w:tcBorders>
              <w:top w:val="single" w:color="auto" w:sz="4" w:space="0"/>
              <w:left w:val="single" w:color="auto" w:sz="4" w:space="0"/>
              <w:bottom w:val="single" w:color="auto" w:sz="4" w:space="0"/>
              <w:right w:val="single" w:color="auto" w:sz="4" w:space="0"/>
            </w:tcBorders>
            <w:vAlign w:val="center"/>
          </w:tcPr>
          <w:p w14:paraId="37DF6DFC">
            <w:pPr>
              <w:adjustRightInd w:val="0"/>
              <w:snapToGrid w:val="0"/>
              <w:spacing w:line="360" w:lineRule="auto"/>
              <w:jc w:val="center"/>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765" w:type="dxa"/>
            <w:tcBorders>
              <w:top w:val="single" w:color="auto" w:sz="4" w:space="0"/>
              <w:left w:val="single" w:color="auto" w:sz="4" w:space="0"/>
              <w:bottom w:val="single" w:color="auto" w:sz="4" w:space="0"/>
              <w:right w:val="single" w:color="auto" w:sz="4" w:space="0"/>
            </w:tcBorders>
            <w:vAlign w:val="center"/>
          </w:tcPr>
          <w:p w14:paraId="28AC7B2E">
            <w:pPr>
              <w:adjustRightInd w:val="0"/>
              <w:snapToGrid w:val="0"/>
              <w:spacing w:line="360" w:lineRule="auto"/>
              <w:jc w:val="center"/>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采购代理机构</w:t>
            </w:r>
          </w:p>
        </w:tc>
        <w:tc>
          <w:tcPr>
            <w:tcW w:w="7515" w:type="dxa"/>
            <w:tcBorders>
              <w:top w:val="single" w:color="auto" w:sz="4" w:space="0"/>
              <w:left w:val="single" w:color="auto" w:sz="4" w:space="0"/>
              <w:bottom w:val="single" w:color="auto" w:sz="4" w:space="0"/>
              <w:right w:val="single" w:color="auto" w:sz="4" w:space="0"/>
            </w:tcBorders>
            <w:vAlign w:val="center"/>
          </w:tcPr>
          <w:p w14:paraId="26FE43E3">
            <w:pPr>
              <w:adjustRightInd w:val="0"/>
              <w:snapToGrid w:val="0"/>
              <w:spacing w:line="360" w:lineRule="auto"/>
              <w:jc w:val="left"/>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lang w:eastAsia="zh-CN"/>
              </w:rPr>
              <w:t>陕安项目管理有限公司</w:t>
            </w:r>
          </w:p>
          <w:p w14:paraId="11043280">
            <w:pPr>
              <w:adjustRightInd w:val="0"/>
              <w:snapToGrid w:val="0"/>
              <w:spacing w:line="360" w:lineRule="auto"/>
              <w:jc w:val="left"/>
              <w:outlineLvl w:val="9"/>
              <w:rPr>
                <w:rFonts w:hint="eastAsia" w:ascii="宋体" w:hAnsi="宋体" w:eastAsia="宋体" w:cs="宋体"/>
                <w:color w:val="auto"/>
                <w:kern w:val="0"/>
                <w:sz w:val="24"/>
                <w:lang w:val="en-US" w:eastAsia="zh-CN" w:bidi="ar-SA"/>
              </w:rPr>
            </w:pPr>
            <w:r>
              <w:rPr>
                <w:rFonts w:hint="eastAsia" w:asciiTheme="minorEastAsia" w:hAnsiTheme="minorEastAsia" w:eastAsiaTheme="minorEastAsia" w:cstheme="minorEastAsia"/>
                <w:color w:val="auto"/>
                <w:sz w:val="24"/>
                <w:szCs w:val="24"/>
              </w:rPr>
              <w:t>地址：</w:t>
            </w:r>
            <w:r>
              <w:rPr>
                <w:rFonts w:hint="eastAsia" w:ascii="宋体" w:hAnsi="宋体" w:cs="宋体"/>
                <w:color w:val="auto"/>
                <w:kern w:val="0"/>
                <w:sz w:val="24"/>
                <w:lang w:val="en-US" w:eastAsia="zh-CN" w:bidi="ar-SA"/>
              </w:rPr>
              <w:t>榆林市富康路榆溪尚品3号楼1408</w:t>
            </w:r>
          </w:p>
          <w:p w14:paraId="425FBAFA">
            <w:pPr>
              <w:adjustRightInd w:val="0"/>
              <w:snapToGrid w:val="0"/>
              <w:spacing w:line="360" w:lineRule="auto"/>
              <w:jc w:val="left"/>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lang w:val="en-US" w:eastAsia="zh-CN"/>
              </w:rPr>
              <w:t>姬小凤</w:t>
            </w:r>
          </w:p>
          <w:p w14:paraId="728E90C9">
            <w:pPr>
              <w:pStyle w:val="42"/>
              <w:adjustRightInd w:val="0"/>
              <w:snapToGrid w:val="0"/>
              <w:spacing w:line="360" w:lineRule="auto"/>
              <w:ind w:firstLine="0" w:firstLineChars="0"/>
              <w:outlineLvl w:val="9"/>
              <w:rPr>
                <w:rFonts w:hint="default" w:asciiTheme="minorEastAsia" w:hAnsiTheme="minorEastAsia" w:eastAsiaTheme="minorEastAsia" w:cstheme="minorEastAsia"/>
                <w:color w:val="auto"/>
                <w:sz w:val="24"/>
                <w:szCs w:val="24"/>
                <w:lang w:val="en-US" w:eastAsia="zh-CN"/>
              </w:rPr>
            </w:pPr>
            <w:r>
              <w:rPr>
                <w:rFonts w:hint="eastAsia" w:ascii="宋体" w:hAnsi="宋体" w:cs="宋体"/>
                <w:color w:val="auto"/>
                <w:sz w:val="24"/>
                <w:szCs w:val="24"/>
              </w:rPr>
              <w:t>联系方式</w:t>
            </w:r>
            <w:r>
              <w:rPr>
                <w:rFonts w:hint="eastAsia" w:asciiTheme="minorEastAsia" w:hAnsiTheme="minorEastAsia" w:eastAsiaTheme="minorEastAsia" w:cstheme="minorEastAsia"/>
                <w:color w:val="auto"/>
                <w:sz w:val="24"/>
                <w:szCs w:val="24"/>
              </w:rPr>
              <w:t>：</w:t>
            </w:r>
            <w:r>
              <w:rPr>
                <w:rFonts w:hint="eastAsia" w:ascii="宋体" w:hAnsi="宋体" w:cs="宋体" w:eastAsiaTheme="minorEastAsia"/>
                <w:color w:val="auto"/>
                <w:sz w:val="24"/>
                <w:lang w:val="en-US" w:eastAsia="zh-CN"/>
              </w:rPr>
              <w:t>13228440603</w:t>
            </w:r>
          </w:p>
        </w:tc>
      </w:tr>
      <w:tr w14:paraId="598771CB">
        <w:tblPrEx>
          <w:tblCellMar>
            <w:top w:w="0" w:type="dxa"/>
            <w:left w:w="108" w:type="dxa"/>
            <w:bottom w:w="0" w:type="dxa"/>
            <w:right w:w="108" w:type="dxa"/>
          </w:tblCellMar>
        </w:tblPrEx>
        <w:trPr>
          <w:trHeight w:val="576" w:hRule="atLeast"/>
        </w:trPr>
        <w:tc>
          <w:tcPr>
            <w:tcW w:w="723" w:type="dxa"/>
            <w:tcBorders>
              <w:top w:val="single" w:color="auto" w:sz="4" w:space="0"/>
              <w:left w:val="single" w:color="auto" w:sz="4" w:space="0"/>
              <w:bottom w:val="single" w:color="auto" w:sz="4" w:space="0"/>
              <w:right w:val="single" w:color="auto" w:sz="4" w:space="0"/>
            </w:tcBorders>
            <w:vAlign w:val="center"/>
          </w:tcPr>
          <w:p w14:paraId="589AE451">
            <w:pPr>
              <w:adjustRightInd w:val="0"/>
              <w:snapToGrid w:val="0"/>
              <w:spacing w:line="360" w:lineRule="auto"/>
              <w:jc w:val="center"/>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765" w:type="dxa"/>
            <w:tcBorders>
              <w:top w:val="single" w:color="auto" w:sz="4" w:space="0"/>
              <w:left w:val="single" w:color="auto" w:sz="4" w:space="0"/>
              <w:bottom w:val="single" w:color="auto" w:sz="4" w:space="0"/>
              <w:right w:val="single" w:color="auto" w:sz="4" w:space="0"/>
            </w:tcBorders>
            <w:vAlign w:val="center"/>
          </w:tcPr>
          <w:p w14:paraId="52701DEE">
            <w:pPr>
              <w:adjustRightInd w:val="0"/>
              <w:snapToGrid w:val="0"/>
              <w:spacing w:line="360" w:lineRule="auto"/>
              <w:jc w:val="center"/>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tc>
        <w:tc>
          <w:tcPr>
            <w:tcW w:w="7515" w:type="dxa"/>
            <w:tcBorders>
              <w:top w:val="single" w:color="auto" w:sz="4" w:space="0"/>
              <w:left w:val="single" w:color="auto" w:sz="4" w:space="0"/>
              <w:bottom w:val="single" w:color="auto" w:sz="4" w:space="0"/>
              <w:right w:val="single" w:color="auto" w:sz="4" w:space="0"/>
            </w:tcBorders>
            <w:vAlign w:val="center"/>
          </w:tcPr>
          <w:p w14:paraId="6E63A150">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asciiTheme="minorEastAsia" w:hAnsiTheme="minorEastAsia" w:eastAsiaTheme="minorEastAsia" w:cstheme="minorEastAsia"/>
                <w:color w:val="auto"/>
                <w:sz w:val="24"/>
                <w:szCs w:val="24"/>
              </w:rPr>
            </w:pPr>
            <w:r>
              <w:rPr>
                <w:rFonts w:hint="eastAsia" w:ascii="宋体" w:hAnsi="宋体" w:cs="宋体"/>
                <w:color w:val="auto"/>
                <w:sz w:val="24"/>
                <w:szCs w:val="24"/>
                <w:lang w:eastAsia="zh-CN"/>
              </w:rPr>
              <w:t>子洲县2024年森林防火道路建设工程（苗家坪镇田山渠村）</w:t>
            </w:r>
          </w:p>
        </w:tc>
      </w:tr>
      <w:tr w14:paraId="480560A9">
        <w:tblPrEx>
          <w:tblCellMar>
            <w:top w:w="0" w:type="dxa"/>
            <w:left w:w="108" w:type="dxa"/>
            <w:bottom w:w="0" w:type="dxa"/>
            <w:right w:w="108" w:type="dxa"/>
          </w:tblCellMar>
        </w:tblPrEx>
        <w:trPr>
          <w:trHeight w:val="621" w:hRule="atLeast"/>
        </w:trPr>
        <w:tc>
          <w:tcPr>
            <w:tcW w:w="723" w:type="dxa"/>
            <w:tcBorders>
              <w:top w:val="single" w:color="auto" w:sz="4" w:space="0"/>
              <w:left w:val="single" w:color="auto" w:sz="4" w:space="0"/>
              <w:bottom w:val="single" w:color="auto" w:sz="4" w:space="0"/>
              <w:right w:val="single" w:color="auto" w:sz="4" w:space="0"/>
            </w:tcBorders>
            <w:vAlign w:val="center"/>
          </w:tcPr>
          <w:p w14:paraId="2F25D47B">
            <w:pPr>
              <w:adjustRightInd w:val="0"/>
              <w:snapToGrid w:val="0"/>
              <w:spacing w:line="360" w:lineRule="auto"/>
              <w:jc w:val="center"/>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765" w:type="dxa"/>
            <w:tcBorders>
              <w:top w:val="single" w:color="auto" w:sz="4" w:space="0"/>
              <w:left w:val="single" w:color="auto" w:sz="4" w:space="0"/>
              <w:bottom w:val="single" w:color="auto" w:sz="4" w:space="0"/>
              <w:right w:val="single" w:color="auto" w:sz="4" w:space="0"/>
            </w:tcBorders>
            <w:vAlign w:val="center"/>
          </w:tcPr>
          <w:p w14:paraId="3FE0A481">
            <w:pPr>
              <w:jc w:val="center"/>
              <w:outlineLvl w:val="9"/>
              <w:rPr>
                <w:rFonts w:ascii="宋体" w:hAnsi="宋体" w:cs="宋体"/>
                <w:color w:val="auto"/>
                <w:sz w:val="24"/>
                <w:lang w:val="zh-CN"/>
              </w:rPr>
            </w:pPr>
            <w:r>
              <w:rPr>
                <w:rFonts w:hint="eastAsia" w:ascii="宋体" w:hAnsi="宋体" w:cs="宋体"/>
                <w:color w:val="auto"/>
                <w:sz w:val="24"/>
                <w:lang w:val="zh-CN"/>
              </w:rPr>
              <w:t>采购方式</w:t>
            </w:r>
          </w:p>
        </w:tc>
        <w:tc>
          <w:tcPr>
            <w:tcW w:w="7515" w:type="dxa"/>
            <w:tcBorders>
              <w:top w:val="single" w:color="auto" w:sz="4" w:space="0"/>
              <w:left w:val="single" w:color="auto" w:sz="4" w:space="0"/>
              <w:bottom w:val="single" w:color="auto" w:sz="4" w:space="0"/>
              <w:right w:val="single" w:color="auto" w:sz="4" w:space="0"/>
            </w:tcBorders>
            <w:vAlign w:val="center"/>
          </w:tcPr>
          <w:p w14:paraId="621177A7">
            <w:pPr>
              <w:spacing w:line="360" w:lineRule="auto"/>
              <w:outlineLvl w:val="9"/>
              <w:rPr>
                <w:rFonts w:ascii="宋体" w:hAnsi="宋体" w:cs="宋体"/>
                <w:color w:val="auto"/>
                <w:sz w:val="24"/>
                <w:lang w:val="zh-CN"/>
              </w:rPr>
            </w:pPr>
            <w:r>
              <w:rPr>
                <w:rFonts w:hint="eastAsia" w:ascii="宋体" w:hAnsi="宋体" w:cs="宋体"/>
                <w:color w:val="auto"/>
                <w:sz w:val="24"/>
                <w:lang w:val="en-US" w:eastAsia="zh-CN"/>
              </w:rPr>
              <w:t>竞争性磋商</w:t>
            </w:r>
          </w:p>
        </w:tc>
      </w:tr>
      <w:tr w14:paraId="631FEC54">
        <w:tblPrEx>
          <w:tblCellMar>
            <w:top w:w="0" w:type="dxa"/>
            <w:left w:w="108" w:type="dxa"/>
            <w:bottom w:w="0" w:type="dxa"/>
            <w:right w:w="108" w:type="dxa"/>
          </w:tblCellMar>
        </w:tblPrEx>
        <w:trPr>
          <w:trHeight w:val="591" w:hRule="atLeast"/>
        </w:trPr>
        <w:tc>
          <w:tcPr>
            <w:tcW w:w="723" w:type="dxa"/>
            <w:tcBorders>
              <w:top w:val="single" w:color="auto" w:sz="4" w:space="0"/>
              <w:left w:val="single" w:color="auto" w:sz="4" w:space="0"/>
              <w:bottom w:val="single" w:color="auto" w:sz="4" w:space="0"/>
              <w:right w:val="single" w:color="auto" w:sz="4" w:space="0"/>
            </w:tcBorders>
            <w:vAlign w:val="center"/>
          </w:tcPr>
          <w:p w14:paraId="388719CA">
            <w:pPr>
              <w:adjustRightInd w:val="0"/>
              <w:snapToGrid w:val="0"/>
              <w:spacing w:line="360" w:lineRule="auto"/>
              <w:jc w:val="center"/>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1765" w:type="dxa"/>
            <w:tcBorders>
              <w:top w:val="single" w:color="auto" w:sz="4" w:space="0"/>
              <w:left w:val="single" w:color="auto" w:sz="4" w:space="0"/>
              <w:bottom w:val="single" w:color="auto" w:sz="4" w:space="0"/>
              <w:right w:val="single" w:color="auto" w:sz="4" w:space="0"/>
            </w:tcBorders>
            <w:vAlign w:val="center"/>
          </w:tcPr>
          <w:p w14:paraId="053C3147">
            <w:pPr>
              <w:spacing w:line="360" w:lineRule="auto"/>
              <w:jc w:val="center"/>
              <w:outlineLvl w:val="9"/>
              <w:rPr>
                <w:rFonts w:ascii="宋体" w:hAnsi="宋体" w:cs="宋体"/>
                <w:color w:val="auto"/>
                <w:sz w:val="24"/>
                <w:lang w:val="zh-CN"/>
              </w:rPr>
            </w:pPr>
            <w:r>
              <w:rPr>
                <w:rFonts w:hint="eastAsia" w:ascii="宋体" w:hAnsi="宋体" w:eastAsia="宋体" w:cs="宋体"/>
                <w:color w:val="auto"/>
                <w:sz w:val="24"/>
                <w:lang w:val="en-US" w:eastAsia="zh-CN"/>
              </w:rPr>
              <w:t>预算金额</w:t>
            </w:r>
          </w:p>
        </w:tc>
        <w:tc>
          <w:tcPr>
            <w:tcW w:w="7515" w:type="dxa"/>
            <w:tcBorders>
              <w:top w:val="single" w:color="auto" w:sz="4" w:space="0"/>
              <w:left w:val="single" w:color="auto" w:sz="4" w:space="0"/>
              <w:bottom w:val="single" w:color="auto" w:sz="4" w:space="0"/>
              <w:right w:val="single" w:color="auto" w:sz="4" w:space="0"/>
            </w:tcBorders>
            <w:vAlign w:val="center"/>
          </w:tcPr>
          <w:p w14:paraId="0AC8CD74">
            <w:pPr>
              <w:spacing w:line="360" w:lineRule="auto"/>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699271.51</w:t>
            </w:r>
            <w:r>
              <w:rPr>
                <w:rFonts w:hint="eastAsia" w:ascii="宋体" w:hAnsi="宋体" w:eastAsia="宋体" w:cs="宋体"/>
                <w:color w:val="auto"/>
                <w:sz w:val="24"/>
                <w:lang w:val="en-US" w:eastAsia="zh-CN"/>
              </w:rPr>
              <w:t>元</w:t>
            </w:r>
          </w:p>
          <w:p w14:paraId="7F8C8B97">
            <w:pPr>
              <w:spacing w:line="360" w:lineRule="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备注：磋商报价超过预算金额的，按照无效磋商处理。</w:t>
            </w:r>
          </w:p>
        </w:tc>
      </w:tr>
      <w:tr w14:paraId="63184128">
        <w:tblPrEx>
          <w:tblCellMar>
            <w:top w:w="0" w:type="dxa"/>
            <w:left w:w="108" w:type="dxa"/>
            <w:bottom w:w="0" w:type="dxa"/>
            <w:right w:w="108" w:type="dxa"/>
          </w:tblCellMar>
        </w:tblPrEx>
        <w:trPr>
          <w:trHeight w:val="863" w:hRule="atLeast"/>
        </w:trPr>
        <w:tc>
          <w:tcPr>
            <w:tcW w:w="723" w:type="dxa"/>
            <w:tcBorders>
              <w:top w:val="single" w:color="auto" w:sz="4" w:space="0"/>
              <w:left w:val="single" w:color="auto" w:sz="4" w:space="0"/>
              <w:bottom w:val="single" w:color="auto" w:sz="4" w:space="0"/>
              <w:right w:val="single" w:color="auto" w:sz="4" w:space="0"/>
            </w:tcBorders>
            <w:vAlign w:val="center"/>
          </w:tcPr>
          <w:p w14:paraId="5CEAA106">
            <w:pPr>
              <w:adjustRightInd w:val="0"/>
              <w:snapToGrid w:val="0"/>
              <w:spacing w:line="360" w:lineRule="auto"/>
              <w:jc w:val="center"/>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6</w:t>
            </w:r>
          </w:p>
        </w:tc>
        <w:tc>
          <w:tcPr>
            <w:tcW w:w="1765" w:type="dxa"/>
            <w:tcBorders>
              <w:top w:val="single" w:color="auto" w:sz="4" w:space="0"/>
              <w:left w:val="single" w:color="auto" w:sz="4" w:space="0"/>
              <w:bottom w:val="single" w:color="auto" w:sz="4" w:space="0"/>
              <w:right w:val="single" w:color="auto" w:sz="4" w:space="0"/>
            </w:tcBorders>
            <w:vAlign w:val="center"/>
          </w:tcPr>
          <w:p w14:paraId="1FBDF9B3">
            <w:pPr>
              <w:adjustRightInd w:val="0"/>
              <w:snapToGrid w:val="0"/>
              <w:spacing w:line="360" w:lineRule="auto"/>
              <w:jc w:val="center"/>
              <w:outlineLvl w:val="9"/>
              <w:rPr>
                <w:rFonts w:hint="eastAsia" w:ascii="宋体" w:hAnsi="宋体" w:eastAsia="宋体" w:cs="宋体"/>
                <w:color w:val="auto"/>
                <w:sz w:val="24"/>
                <w:lang w:val="en-US" w:eastAsia="zh-CN"/>
              </w:rPr>
            </w:pPr>
            <w:r>
              <w:rPr>
                <w:rFonts w:hint="eastAsia" w:asciiTheme="minorEastAsia" w:hAnsiTheme="minorEastAsia" w:eastAsiaTheme="minorEastAsia" w:cstheme="minorEastAsia"/>
                <w:color w:val="auto"/>
                <w:sz w:val="24"/>
                <w:szCs w:val="24"/>
              </w:rPr>
              <w:t>资金落实情况</w:t>
            </w:r>
          </w:p>
        </w:tc>
        <w:tc>
          <w:tcPr>
            <w:tcW w:w="7515" w:type="dxa"/>
            <w:tcBorders>
              <w:top w:val="single" w:color="auto" w:sz="4" w:space="0"/>
              <w:left w:val="single" w:color="auto" w:sz="4" w:space="0"/>
              <w:bottom w:val="single" w:color="auto" w:sz="4" w:space="0"/>
              <w:right w:val="single" w:color="auto" w:sz="4" w:space="0"/>
            </w:tcBorders>
            <w:vAlign w:val="center"/>
          </w:tcPr>
          <w:p w14:paraId="1194039F">
            <w:pPr>
              <w:adjustRightInd w:val="0"/>
              <w:snapToGrid w:val="0"/>
              <w:spacing w:line="360" w:lineRule="auto"/>
              <w:jc w:val="left"/>
              <w:outlineLvl w:val="9"/>
              <w:rPr>
                <w:rFonts w:hint="eastAsia" w:ascii="宋体" w:hAnsi="宋体" w:eastAsia="宋体" w:cs="宋体"/>
                <w:color w:val="auto"/>
                <w:sz w:val="24"/>
                <w:lang w:val="en-US" w:eastAsia="zh-CN"/>
              </w:rPr>
            </w:pPr>
            <w:r>
              <w:rPr>
                <w:rFonts w:hint="eastAsia" w:asciiTheme="minorEastAsia" w:hAnsiTheme="minorEastAsia" w:eastAsiaTheme="minorEastAsia" w:cstheme="minorEastAsia"/>
                <w:color w:val="auto"/>
                <w:sz w:val="24"/>
                <w:szCs w:val="24"/>
              </w:rPr>
              <w:t>已落实</w:t>
            </w:r>
          </w:p>
        </w:tc>
      </w:tr>
      <w:tr w14:paraId="42D4997E">
        <w:tblPrEx>
          <w:tblCellMar>
            <w:top w:w="0" w:type="dxa"/>
            <w:left w:w="108" w:type="dxa"/>
            <w:bottom w:w="0" w:type="dxa"/>
            <w:right w:w="108" w:type="dxa"/>
          </w:tblCellMar>
        </w:tblPrEx>
        <w:trPr>
          <w:trHeight w:val="531" w:hRule="atLeast"/>
        </w:trPr>
        <w:tc>
          <w:tcPr>
            <w:tcW w:w="723" w:type="dxa"/>
            <w:tcBorders>
              <w:top w:val="single" w:color="auto" w:sz="4" w:space="0"/>
              <w:left w:val="single" w:color="auto" w:sz="4" w:space="0"/>
              <w:bottom w:val="single" w:color="auto" w:sz="4" w:space="0"/>
              <w:right w:val="single" w:color="auto" w:sz="4" w:space="0"/>
            </w:tcBorders>
            <w:vAlign w:val="center"/>
          </w:tcPr>
          <w:p w14:paraId="67AFE58B">
            <w:pPr>
              <w:adjustRightInd w:val="0"/>
              <w:snapToGrid w:val="0"/>
              <w:spacing w:line="360" w:lineRule="auto"/>
              <w:jc w:val="center"/>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7</w:t>
            </w:r>
          </w:p>
        </w:tc>
        <w:tc>
          <w:tcPr>
            <w:tcW w:w="1765" w:type="dxa"/>
            <w:tcBorders>
              <w:top w:val="single" w:color="auto" w:sz="4" w:space="0"/>
              <w:left w:val="single" w:color="auto" w:sz="4" w:space="0"/>
              <w:bottom w:val="single" w:color="auto" w:sz="4" w:space="0"/>
              <w:right w:val="single" w:color="auto" w:sz="4" w:space="0"/>
            </w:tcBorders>
            <w:vAlign w:val="center"/>
          </w:tcPr>
          <w:p w14:paraId="569AB7EB">
            <w:pPr>
              <w:adjustRightInd w:val="0"/>
              <w:snapToGrid w:val="0"/>
              <w:spacing w:line="360" w:lineRule="auto"/>
              <w:jc w:val="center"/>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w:t>
            </w:r>
            <w:r>
              <w:rPr>
                <w:rFonts w:hint="eastAsia" w:ascii="宋体" w:hAnsi="宋体" w:cs="宋体"/>
                <w:color w:val="auto"/>
                <w:sz w:val="24"/>
                <w:szCs w:val="24"/>
              </w:rPr>
              <w:t>报价</w:t>
            </w:r>
          </w:p>
        </w:tc>
        <w:tc>
          <w:tcPr>
            <w:tcW w:w="7515" w:type="dxa"/>
            <w:tcBorders>
              <w:top w:val="single" w:color="auto" w:sz="4" w:space="0"/>
              <w:left w:val="single" w:color="auto" w:sz="4" w:space="0"/>
              <w:bottom w:val="single" w:color="auto" w:sz="4" w:space="0"/>
              <w:right w:val="single" w:color="auto" w:sz="4" w:space="0"/>
            </w:tcBorders>
            <w:vAlign w:val="center"/>
          </w:tcPr>
          <w:p w14:paraId="3544A99E">
            <w:pPr>
              <w:adjustRightInd w:val="0"/>
              <w:snapToGrid w:val="0"/>
              <w:spacing w:line="360" w:lineRule="auto"/>
              <w:jc w:val="left"/>
              <w:outlineLvl w:val="9"/>
              <w:rPr>
                <w:rFonts w:asciiTheme="minorEastAsia" w:hAnsiTheme="minorEastAsia" w:eastAsiaTheme="minorEastAsia" w:cstheme="minorEastAsia"/>
                <w:color w:val="auto"/>
                <w:sz w:val="24"/>
                <w:szCs w:val="24"/>
              </w:rPr>
            </w:pPr>
            <w:r>
              <w:rPr>
                <w:rFonts w:hint="eastAsia" w:ascii="宋体" w:hAnsi="宋体" w:cs="宋体"/>
                <w:color w:val="auto"/>
                <w:sz w:val="24"/>
                <w:szCs w:val="24"/>
              </w:rPr>
              <w:t>报价包含</w:t>
            </w:r>
            <w:r>
              <w:rPr>
                <w:rFonts w:hint="eastAsia" w:ascii="宋体" w:hAnsi="宋体" w:cs="仿宋_GB2312"/>
                <w:color w:val="auto"/>
                <w:sz w:val="24"/>
                <w:szCs w:val="24"/>
              </w:rPr>
              <w:t>完成本次投标项目所包含的一切相关费用</w:t>
            </w:r>
          </w:p>
        </w:tc>
      </w:tr>
      <w:tr w14:paraId="16AA5C57">
        <w:tblPrEx>
          <w:tblCellMar>
            <w:top w:w="0" w:type="dxa"/>
            <w:left w:w="108" w:type="dxa"/>
            <w:bottom w:w="0" w:type="dxa"/>
            <w:right w:w="108" w:type="dxa"/>
          </w:tblCellMar>
        </w:tblPrEx>
        <w:trPr>
          <w:trHeight w:val="531" w:hRule="atLeast"/>
        </w:trPr>
        <w:tc>
          <w:tcPr>
            <w:tcW w:w="723" w:type="dxa"/>
            <w:tcBorders>
              <w:top w:val="single" w:color="auto" w:sz="4" w:space="0"/>
              <w:left w:val="single" w:color="auto" w:sz="4" w:space="0"/>
              <w:bottom w:val="single" w:color="auto" w:sz="4" w:space="0"/>
              <w:right w:val="single" w:color="auto" w:sz="4" w:space="0"/>
            </w:tcBorders>
            <w:vAlign w:val="center"/>
          </w:tcPr>
          <w:p w14:paraId="759BF204">
            <w:pPr>
              <w:adjustRightInd w:val="0"/>
              <w:snapToGrid w:val="0"/>
              <w:spacing w:line="360" w:lineRule="auto"/>
              <w:jc w:val="center"/>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8</w:t>
            </w:r>
          </w:p>
        </w:tc>
        <w:tc>
          <w:tcPr>
            <w:tcW w:w="1765" w:type="dxa"/>
            <w:tcBorders>
              <w:top w:val="single" w:color="auto" w:sz="4" w:space="0"/>
              <w:left w:val="single" w:color="auto" w:sz="4" w:space="0"/>
              <w:bottom w:val="single" w:color="auto" w:sz="4" w:space="0"/>
              <w:right w:val="single" w:color="auto" w:sz="4" w:space="0"/>
            </w:tcBorders>
            <w:vAlign w:val="center"/>
          </w:tcPr>
          <w:p w14:paraId="55EF3A1A">
            <w:pPr>
              <w:widowControl/>
              <w:adjustRightInd w:val="0"/>
              <w:snapToGrid w:val="0"/>
              <w:spacing w:line="360" w:lineRule="auto"/>
              <w:jc w:val="center"/>
              <w:textAlignment w:val="center"/>
              <w:outlineLvl w:val="9"/>
              <w:rPr>
                <w:rFonts w:asciiTheme="minorEastAsia" w:hAnsiTheme="minorEastAsia" w:eastAsiaTheme="minorEastAsia" w:cstheme="minorEastAsia"/>
                <w:color w:val="auto"/>
                <w:sz w:val="24"/>
                <w:szCs w:val="24"/>
              </w:rPr>
            </w:pPr>
            <w:r>
              <w:rPr>
                <w:rFonts w:hint="eastAsia" w:ascii="宋体" w:hAnsi="宋体" w:cs="宋体"/>
                <w:color w:val="auto"/>
                <w:sz w:val="24"/>
                <w:szCs w:val="24"/>
              </w:rPr>
              <w:t>投标文件</w:t>
            </w:r>
          </w:p>
        </w:tc>
        <w:tc>
          <w:tcPr>
            <w:tcW w:w="7515" w:type="dxa"/>
            <w:tcBorders>
              <w:top w:val="single" w:color="auto" w:sz="4" w:space="0"/>
              <w:left w:val="single" w:color="auto" w:sz="4" w:space="0"/>
              <w:bottom w:val="single" w:color="auto" w:sz="4" w:space="0"/>
              <w:right w:val="single" w:color="auto" w:sz="4" w:space="0"/>
            </w:tcBorders>
            <w:vAlign w:val="center"/>
          </w:tcPr>
          <w:p w14:paraId="1AB9FC1E">
            <w:pPr>
              <w:spacing w:line="360" w:lineRule="auto"/>
              <w:ind w:firstLine="482" w:firstLineChars="200"/>
              <w:outlineLvl w:val="9"/>
              <w:rPr>
                <w:rFonts w:hint="eastAsia" w:ascii="宋体" w:hAnsi="宋体" w:eastAsia="宋体" w:cs="仿宋_GB2312"/>
                <w:b/>
                <w:color w:val="auto"/>
                <w:sz w:val="24"/>
                <w:szCs w:val="22"/>
                <w:lang w:val="en-US" w:eastAsia="zh-CN"/>
              </w:rPr>
            </w:pPr>
            <w:r>
              <w:rPr>
                <w:rFonts w:hint="eastAsia" w:ascii="宋体" w:hAnsi="宋体" w:eastAsia="宋体" w:cs="仿宋_GB2312"/>
                <w:b/>
                <w:color w:val="auto"/>
                <w:sz w:val="24"/>
                <w:szCs w:val="22"/>
                <w:lang w:val="en-US" w:eastAsia="zh-CN"/>
              </w:rPr>
              <w:t>1、本项目采用电子化投标文件的方式。投标人须使用数字认证证书对电子化投标文件进行签章、加密、递交及开标时解密等相关招投标事宜。</w:t>
            </w:r>
          </w:p>
          <w:p w14:paraId="079C2FBB">
            <w:pPr>
              <w:spacing w:line="360" w:lineRule="auto"/>
              <w:ind w:firstLine="482" w:firstLineChars="200"/>
              <w:outlineLvl w:val="9"/>
              <w:rPr>
                <w:rFonts w:hint="eastAsia" w:ascii="宋体" w:hAnsi="宋体" w:eastAsia="宋体" w:cs="仿宋_GB2312"/>
                <w:b/>
                <w:color w:val="auto"/>
                <w:sz w:val="24"/>
                <w:szCs w:val="22"/>
                <w:lang w:val="en-US" w:eastAsia="zh-CN"/>
              </w:rPr>
            </w:pPr>
            <w:r>
              <w:rPr>
                <w:rFonts w:hint="eastAsia" w:ascii="宋体" w:hAnsi="宋体" w:eastAsia="宋体" w:cs="仿宋_GB2312"/>
                <w:b/>
                <w:color w:val="auto"/>
                <w:sz w:val="24"/>
                <w:szCs w:val="22"/>
                <w:lang w:val="en-US" w:eastAsia="zh-CN"/>
              </w:rPr>
              <w:t>2、纸质投标文件：为便于采购人归档和向监管部门备案，中标人须提交正本壹份、副本叁份、电子版（word版U盘）壹份，投标文件可采用系统上传的电子投标文件的打印件，投标文件正、副本须各自装订成册，统一编码（要求胶装、不得出现活页）。每份投标文件封皮须清楚地标明“正本”或“副本”。</w:t>
            </w:r>
          </w:p>
          <w:p w14:paraId="0225317F">
            <w:pPr>
              <w:spacing w:line="360" w:lineRule="auto"/>
              <w:ind w:firstLine="482" w:firstLineChars="200"/>
              <w:outlineLvl w:val="9"/>
              <w:rPr>
                <w:rFonts w:hint="eastAsia" w:ascii="宋体" w:hAnsi="宋体" w:eastAsia="宋体" w:cs="仿宋_GB2312"/>
                <w:b/>
                <w:color w:val="auto"/>
                <w:sz w:val="24"/>
                <w:szCs w:val="22"/>
                <w:lang w:val="en-US" w:eastAsia="zh-CN"/>
              </w:rPr>
            </w:pPr>
            <w:r>
              <w:rPr>
                <w:rFonts w:hint="eastAsia" w:ascii="宋体" w:hAnsi="宋体" w:eastAsia="宋体" w:cs="仿宋_GB2312"/>
                <w:b/>
                <w:color w:val="auto"/>
                <w:sz w:val="24"/>
                <w:szCs w:val="22"/>
                <w:lang w:val="en-US" w:eastAsia="zh-CN"/>
              </w:rPr>
              <w:t>递交方式：纸质版投标文件在开标时无需提交，待开标结束后，中标人须邮寄正本壹份、副本叁份、电子版（word版U盘）壹份；以电报、传真、电子邮件形式递交的投标文件将不予接受。</w:t>
            </w:r>
          </w:p>
          <w:p w14:paraId="71EBC16F">
            <w:pPr>
              <w:spacing w:line="360" w:lineRule="auto"/>
              <w:ind w:firstLine="482" w:firstLineChars="200"/>
              <w:outlineLvl w:val="9"/>
              <w:rPr>
                <w:rFonts w:hint="eastAsia" w:ascii="宋体" w:hAnsi="宋体" w:eastAsia="宋体" w:cs="仿宋_GB2312"/>
                <w:b/>
                <w:color w:val="auto"/>
                <w:sz w:val="24"/>
                <w:szCs w:val="22"/>
                <w:lang w:val="en-US" w:eastAsia="zh-CN"/>
              </w:rPr>
            </w:pPr>
            <w:r>
              <w:rPr>
                <w:rFonts w:hint="eastAsia" w:ascii="宋体" w:hAnsi="宋体" w:eastAsia="宋体" w:cs="仿宋_GB2312"/>
                <w:b/>
                <w:color w:val="auto"/>
                <w:sz w:val="24"/>
                <w:szCs w:val="22"/>
                <w:lang w:val="en-US" w:eastAsia="zh-CN"/>
              </w:rPr>
              <w:t>收件人：</w:t>
            </w:r>
            <w:r>
              <w:rPr>
                <w:rFonts w:hint="eastAsia" w:ascii="宋体" w:hAnsi="宋体" w:cs="仿宋_GB2312"/>
                <w:b/>
                <w:color w:val="auto"/>
                <w:sz w:val="24"/>
                <w:szCs w:val="22"/>
                <w:lang w:val="en-US" w:eastAsia="zh-CN"/>
              </w:rPr>
              <w:t>姬小凤</w:t>
            </w:r>
            <w:r>
              <w:rPr>
                <w:rFonts w:hint="eastAsia" w:ascii="宋体" w:hAnsi="宋体" w:eastAsia="宋体" w:cs="仿宋_GB2312"/>
                <w:b/>
                <w:color w:val="auto"/>
                <w:sz w:val="24"/>
                <w:szCs w:val="22"/>
                <w:lang w:val="en-US" w:eastAsia="zh-CN"/>
              </w:rPr>
              <w:t xml:space="preserve">                   </w:t>
            </w:r>
          </w:p>
          <w:p w14:paraId="3BABC2C5">
            <w:pPr>
              <w:spacing w:line="360" w:lineRule="auto"/>
              <w:ind w:firstLine="482" w:firstLineChars="200"/>
              <w:outlineLvl w:val="9"/>
              <w:rPr>
                <w:rFonts w:hint="default" w:ascii="宋体" w:hAnsi="宋体" w:eastAsia="宋体" w:cs="仿宋_GB2312"/>
                <w:b/>
                <w:color w:val="auto"/>
                <w:sz w:val="24"/>
                <w:szCs w:val="22"/>
                <w:lang w:val="en-US" w:eastAsia="zh-CN"/>
              </w:rPr>
            </w:pPr>
            <w:r>
              <w:rPr>
                <w:rFonts w:hint="eastAsia" w:ascii="宋体" w:hAnsi="宋体" w:eastAsia="宋体" w:cs="仿宋_GB2312"/>
                <w:b/>
                <w:color w:val="auto"/>
                <w:sz w:val="24"/>
                <w:szCs w:val="22"/>
                <w:lang w:val="en-US" w:eastAsia="zh-CN"/>
              </w:rPr>
              <w:t>收件电话：</w:t>
            </w:r>
            <w:r>
              <w:rPr>
                <w:rFonts w:hint="eastAsia" w:ascii="宋体" w:hAnsi="宋体" w:cs="仿宋_GB2312"/>
                <w:b/>
                <w:color w:val="auto"/>
                <w:sz w:val="24"/>
                <w:szCs w:val="22"/>
                <w:lang w:val="en-US" w:eastAsia="zh-CN"/>
              </w:rPr>
              <w:t>13228440603</w:t>
            </w:r>
          </w:p>
          <w:p w14:paraId="6E46CDC3">
            <w:pPr>
              <w:spacing w:line="360" w:lineRule="auto"/>
              <w:ind w:firstLine="482" w:firstLineChars="200"/>
              <w:outlineLvl w:val="9"/>
              <w:rPr>
                <w:rFonts w:hint="eastAsia" w:ascii="宋体" w:hAnsi="宋体" w:eastAsia="宋体" w:cs="仿宋_GB2312"/>
                <w:b/>
                <w:color w:val="auto"/>
                <w:sz w:val="24"/>
                <w:szCs w:val="22"/>
                <w:lang w:val="en-US" w:eastAsia="zh-CN"/>
              </w:rPr>
            </w:pPr>
            <w:r>
              <w:rPr>
                <w:rFonts w:hint="eastAsia" w:ascii="宋体" w:hAnsi="宋体" w:eastAsia="宋体" w:cs="仿宋_GB2312"/>
                <w:b/>
                <w:color w:val="auto"/>
                <w:sz w:val="24"/>
                <w:szCs w:val="22"/>
                <w:lang w:val="en-US" w:eastAsia="zh-CN"/>
              </w:rPr>
              <w:t>收件地址：</w:t>
            </w:r>
            <w:r>
              <w:rPr>
                <w:rFonts w:hint="eastAsia" w:ascii="宋体" w:hAnsi="宋体" w:cs="仿宋_GB2312"/>
                <w:b/>
                <w:color w:val="auto"/>
                <w:sz w:val="24"/>
                <w:szCs w:val="22"/>
                <w:lang w:val="en-US" w:eastAsia="zh-CN"/>
              </w:rPr>
              <w:t>榆林市富康路榆溪尚品3号楼1408</w:t>
            </w:r>
          </w:p>
        </w:tc>
      </w:tr>
      <w:tr w14:paraId="47E33530">
        <w:tblPrEx>
          <w:tblCellMar>
            <w:top w:w="0" w:type="dxa"/>
            <w:left w:w="108" w:type="dxa"/>
            <w:bottom w:w="0" w:type="dxa"/>
            <w:right w:w="108" w:type="dxa"/>
          </w:tblCellMar>
        </w:tblPrEx>
        <w:tc>
          <w:tcPr>
            <w:tcW w:w="723" w:type="dxa"/>
            <w:tcBorders>
              <w:top w:val="single" w:color="auto" w:sz="4" w:space="0"/>
              <w:left w:val="single" w:color="auto" w:sz="4" w:space="0"/>
              <w:bottom w:val="single" w:color="auto" w:sz="4" w:space="0"/>
              <w:right w:val="single" w:color="auto" w:sz="4" w:space="0"/>
            </w:tcBorders>
            <w:vAlign w:val="center"/>
          </w:tcPr>
          <w:p w14:paraId="6632618B">
            <w:pPr>
              <w:adjustRightInd w:val="0"/>
              <w:snapToGrid w:val="0"/>
              <w:spacing w:line="360" w:lineRule="auto"/>
              <w:jc w:val="center"/>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9</w:t>
            </w:r>
          </w:p>
        </w:tc>
        <w:tc>
          <w:tcPr>
            <w:tcW w:w="1765" w:type="dxa"/>
            <w:tcBorders>
              <w:top w:val="single" w:color="auto" w:sz="4" w:space="0"/>
              <w:left w:val="single" w:color="auto" w:sz="4" w:space="0"/>
              <w:bottom w:val="single" w:color="auto" w:sz="4" w:space="0"/>
              <w:right w:val="single" w:color="auto" w:sz="4" w:space="0"/>
            </w:tcBorders>
            <w:vAlign w:val="center"/>
          </w:tcPr>
          <w:p w14:paraId="04C35200">
            <w:pPr>
              <w:adjustRightInd w:val="0"/>
              <w:snapToGrid w:val="0"/>
              <w:spacing w:line="360" w:lineRule="auto"/>
              <w:jc w:val="center"/>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供应商资质</w:t>
            </w:r>
          </w:p>
          <w:p w14:paraId="666D80E8">
            <w:pPr>
              <w:adjustRightInd w:val="0"/>
              <w:snapToGrid w:val="0"/>
              <w:spacing w:line="360" w:lineRule="auto"/>
              <w:jc w:val="center"/>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条件</w:t>
            </w:r>
          </w:p>
        </w:tc>
        <w:tc>
          <w:tcPr>
            <w:tcW w:w="7515" w:type="dxa"/>
            <w:tcBorders>
              <w:top w:val="single" w:color="auto" w:sz="4" w:space="0"/>
              <w:left w:val="single" w:color="auto" w:sz="4" w:space="0"/>
              <w:bottom w:val="single" w:color="auto" w:sz="4" w:space="0"/>
              <w:right w:val="single" w:color="auto" w:sz="4" w:space="0"/>
            </w:tcBorders>
            <w:vAlign w:val="center"/>
          </w:tcPr>
          <w:p w14:paraId="0BACC8FE">
            <w:pPr>
              <w:adjustRightInd w:val="0"/>
              <w:snapToGrid w:val="0"/>
              <w:spacing w:line="360" w:lineRule="auto"/>
              <w:ind w:left="8" w:firstLine="410" w:firstLineChars="171"/>
              <w:outlineLvl w:val="9"/>
              <w:rPr>
                <w:rFonts w:hint="eastAsia" w:ascii="宋体" w:hAnsi="宋体" w:cs="宋体"/>
                <w:color w:val="auto"/>
                <w:sz w:val="24"/>
              </w:rPr>
            </w:pPr>
            <w:r>
              <w:rPr>
                <w:rFonts w:hint="eastAsia" w:ascii="宋体" w:hAnsi="宋体" w:cs="宋体"/>
                <w:color w:val="auto"/>
                <w:sz w:val="24"/>
              </w:rPr>
              <w:t>（一）基本资格条件：符合《中华人民共和国政府采购法》第二十二条的规定。</w:t>
            </w:r>
          </w:p>
          <w:p w14:paraId="21338453">
            <w:pPr>
              <w:pStyle w:val="10"/>
              <w:adjustRightInd w:val="0"/>
              <w:snapToGrid w:val="0"/>
              <w:spacing w:line="240" w:lineRule="auto"/>
              <w:ind w:firstLine="420" w:firstLineChars="175"/>
              <w:outlineLvl w:val="9"/>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（二）特定资格条件：</w:t>
            </w:r>
          </w:p>
          <w:p w14:paraId="3B7940E4">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39" w:leftChars="114" w:right="0" w:firstLine="240" w:firstLineChars="1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投标人为具有独立承担民事责任能力的法人、事业法人、其他组织或自然人。企业法人应提供合法有效的标识有统一社会信用代码的营业执照；事业法人应提供事业单位法人证书；其他组织应提供合法登记证明文件；</w:t>
            </w:r>
            <w:r>
              <w:rPr>
                <w:rFonts w:hint="eastAsia" w:ascii="宋体" w:hAnsi="宋体" w:eastAsia="宋体" w:cs="宋体"/>
                <w:i w:val="0"/>
                <w:iCs w:val="0"/>
                <w:caps w:val="0"/>
                <w:color w:val="auto"/>
                <w:spacing w:val="0"/>
                <w:sz w:val="24"/>
                <w:szCs w:val="24"/>
                <w:shd w:val="clear" w:fill="FFFFFF"/>
              </w:rPr>
              <w:br w:type="textWrapping"/>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②具备公路工程施工总承包三级（含三级）以上资质，具备有效的安全生产许可证；</w:t>
            </w:r>
            <w:r>
              <w:rPr>
                <w:rFonts w:hint="eastAsia" w:ascii="宋体" w:hAnsi="宋体" w:eastAsia="宋体" w:cs="宋体"/>
                <w:i w:val="0"/>
                <w:iCs w:val="0"/>
                <w:caps w:val="0"/>
                <w:color w:val="auto"/>
                <w:spacing w:val="0"/>
                <w:sz w:val="24"/>
                <w:szCs w:val="24"/>
                <w:shd w:val="clear" w:fill="FFFFFF"/>
              </w:rPr>
              <w:br w:type="textWrapping"/>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③拟派往本项目的建造师必须为本企业注册的建造师，具备公路工程专业二级及以上注册建造师执业资格和有效的安全生产考核合格证书(B证)，且未担任其它在建工程的建造师（提供无在建工程声明）；</w:t>
            </w:r>
            <w:r>
              <w:rPr>
                <w:rFonts w:hint="eastAsia" w:ascii="宋体" w:hAnsi="宋体" w:eastAsia="宋体" w:cs="宋体"/>
                <w:i w:val="0"/>
                <w:iCs w:val="0"/>
                <w:caps w:val="0"/>
                <w:color w:val="auto"/>
                <w:spacing w:val="0"/>
                <w:sz w:val="24"/>
                <w:szCs w:val="24"/>
                <w:shd w:val="clear" w:fill="FFFFFF"/>
              </w:rPr>
              <w:br w:type="textWrapping"/>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④税收缴纳证明：提供2025年1月至今至少1个月的纳税证明（银行缴费凭证）或完税证明，依法免税的单位应提供相关证明材料； </w:t>
            </w:r>
            <w:r>
              <w:rPr>
                <w:rFonts w:hint="eastAsia" w:ascii="宋体" w:hAnsi="宋体" w:eastAsia="宋体" w:cs="宋体"/>
                <w:i w:val="0"/>
                <w:iCs w:val="0"/>
                <w:caps w:val="0"/>
                <w:color w:val="auto"/>
                <w:spacing w:val="0"/>
                <w:sz w:val="24"/>
                <w:szCs w:val="24"/>
                <w:shd w:val="clear" w:fill="FFFFFF"/>
              </w:rPr>
              <w:br w:type="textWrapping"/>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⑤社会保障资金缴纳证明：提供2025年1月至今至少1个月的社会保障资金银行缴费单据或社保机构开具的社会保险参保缴费情况证明，依法不需要缴纳社会保障资金的单位应提供相关证明材料； </w:t>
            </w:r>
            <w:r>
              <w:rPr>
                <w:rFonts w:hint="eastAsia" w:ascii="宋体" w:hAnsi="宋体" w:eastAsia="宋体" w:cs="宋体"/>
                <w:i w:val="0"/>
                <w:iCs w:val="0"/>
                <w:caps w:val="0"/>
                <w:color w:val="auto"/>
                <w:spacing w:val="0"/>
                <w:sz w:val="24"/>
                <w:szCs w:val="24"/>
                <w:shd w:val="clear" w:fill="FFFFFF"/>
              </w:rPr>
              <w:br w:type="textWrapping"/>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⑥财务要求：提供2024年度财务审计报告；公司成立至开标日期不足一年的提供自成立以来的财务报表（至少包含资产负债表、利润表、现金流量表）或公司基本账户开户行出具自成立以来的资信证明及基本账户开户证明；</w:t>
            </w:r>
            <w:r>
              <w:rPr>
                <w:rFonts w:hint="eastAsia" w:ascii="宋体" w:hAnsi="宋体" w:eastAsia="宋体" w:cs="宋体"/>
                <w:i w:val="0"/>
                <w:iCs w:val="0"/>
                <w:caps w:val="0"/>
                <w:color w:val="auto"/>
                <w:spacing w:val="0"/>
                <w:sz w:val="24"/>
                <w:szCs w:val="24"/>
                <w:shd w:val="clear" w:fill="FFFFFF"/>
              </w:rPr>
              <w:br w:type="textWrapping"/>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⑦参加政府采购活动前三年内，在经营活动中没有重大违法记录的书面声明；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⑧提供具有履行合同所必需的设备和专业技术能力的证明资料或承诺书； </w:t>
            </w:r>
            <w:r>
              <w:rPr>
                <w:rFonts w:hint="eastAsia" w:ascii="宋体" w:hAnsi="宋体" w:eastAsia="宋体" w:cs="宋体"/>
                <w:i w:val="0"/>
                <w:iCs w:val="0"/>
                <w:caps w:val="0"/>
                <w:color w:val="auto"/>
                <w:spacing w:val="0"/>
                <w:sz w:val="24"/>
                <w:szCs w:val="24"/>
                <w:shd w:val="clear" w:fill="FFFFFF"/>
              </w:rPr>
              <w:br w:type="textWrapping"/>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⑨对列入“信用中国”网站(www.creditchina.gov.cn)“失信被执行人、严重失信主体名单、异常经营名录”记录名单；中国政府采购网(www.ccgp.gov.cn)“政府采购严重违法失信行为信息记录”的单位，应当拒绝参与政府采购活动（附投标截止日前的查询结果但以投标截止日当天查询结果为准）。</w:t>
            </w:r>
            <w:r>
              <w:rPr>
                <w:rFonts w:hint="eastAsia" w:ascii="宋体" w:hAnsi="宋体" w:eastAsia="宋体" w:cs="宋体"/>
                <w:i w:val="0"/>
                <w:iCs w:val="0"/>
                <w:caps w:val="0"/>
                <w:color w:val="auto"/>
                <w:spacing w:val="0"/>
                <w:sz w:val="24"/>
                <w:szCs w:val="24"/>
                <w:shd w:val="clear" w:fill="FFFFFF"/>
              </w:rPr>
              <w:br w:type="textWrapping"/>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⑩自主上报信用承诺书：投标人及其授权委托人应在“信用中国（陕西榆林）”网站(www.ylcredit.gov.cn)进行注册、登录、自主上报信用承诺书，包括：《榆林市政府采购工程类项目供应商信用承诺书》、《投标人信用承诺》、《投标人委托代理人员信用承诺书》(如有)、《投标信用承诺书》；  </w:t>
            </w:r>
            <w:r>
              <w:rPr>
                <w:rFonts w:hint="eastAsia" w:ascii="宋体" w:hAnsi="宋体" w:eastAsia="宋体" w:cs="宋体"/>
                <w:i w:val="0"/>
                <w:iCs w:val="0"/>
                <w:caps w:val="0"/>
                <w:color w:val="auto"/>
                <w:spacing w:val="0"/>
                <w:sz w:val="24"/>
                <w:szCs w:val="24"/>
                <w:shd w:val="clear" w:fill="FFFFFF"/>
              </w:rPr>
              <w:br w:type="textWrapping"/>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⑪本项目专门面向中小企业（提供中小企业声明函）； </w:t>
            </w:r>
            <w:r>
              <w:rPr>
                <w:rFonts w:hint="eastAsia" w:ascii="宋体" w:hAnsi="宋体" w:eastAsia="宋体" w:cs="宋体"/>
                <w:i w:val="0"/>
                <w:iCs w:val="0"/>
                <w:caps w:val="0"/>
                <w:color w:val="auto"/>
                <w:spacing w:val="0"/>
                <w:sz w:val="24"/>
                <w:szCs w:val="24"/>
                <w:shd w:val="clear" w:fill="FFFFFF"/>
              </w:rPr>
              <w:br w:type="textWrapping"/>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⑫本项目不接受联合体投标，单位负责人为同一人或者存在直接控股、管理关系的不同投标人，不得参加同一合同项下的政府采购活动（提供非联合体投标声明）。</w:t>
            </w:r>
          </w:p>
          <w:p w14:paraId="6E021001">
            <w:pPr>
              <w:pStyle w:val="42"/>
              <w:adjustRightInd w:val="0"/>
              <w:snapToGrid w:val="0"/>
              <w:spacing w:line="360" w:lineRule="auto"/>
              <w:ind w:left="0" w:leftChars="0" w:firstLine="723" w:firstLineChars="300"/>
              <w:outlineLvl w:val="9"/>
              <w:rPr>
                <w:rFonts w:ascii="宋体" w:hAnsi="宋体" w:cs="宋体"/>
                <w:color w:val="auto"/>
                <w:sz w:val="24"/>
                <w:szCs w:val="24"/>
              </w:rPr>
            </w:pPr>
            <w:r>
              <w:rPr>
                <w:rFonts w:hint="eastAsia" w:ascii="宋体" w:hAnsi="宋体" w:cs="宋体"/>
                <w:b/>
                <w:bCs w:val="0"/>
                <w:color w:val="auto"/>
                <w:sz w:val="24"/>
                <w:szCs w:val="24"/>
              </w:rPr>
              <w:t>注：上述资质为必备资质，欠缺其中任何一项按无效投标处理。</w:t>
            </w:r>
          </w:p>
        </w:tc>
      </w:tr>
      <w:tr w14:paraId="56C205D3">
        <w:tblPrEx>
          <w:tblCellMar>
            <w:top w:w="0" w:type="dxa"/>
            <w:left w:w="108" w:type="dxa"/>
            <w:bottom w:w="0" w:type="dxa"/>
            <w:right w:w="108" w:type="dxa"/>
          </w:tblCellMar>
        </w:tblPrEx>
        <w:tc>
          <w:tcPr>
            <w:tcW w:w="723" w:type="dxa"/>
            <w:tcBorders>
              <w:top w:val="single" w:color="auto" w:sz="4" w:space="0"/>
              <w:left w:val="single" w:color="auto" w:sz="4" w:space="0"/>
              <w:bottom w:val="single" w:color="auto" w:sz="4" w:space="0"/>
              <w:right w:val="single" w:color="auto" w:sz="4" w:space="0"/>
            </w:tcBorders>
            <w:vAlign w:val="center"/>
          </w:tcPr>
          <w:p w14:paraId="023C36B7">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1765" w:type="dxa"/>
            <w:tcBorders>
              <w:top w:val="single" w:color="auto" w:sz="4" w:space="0"/>
              <w:left w:val="single" w:color="auto" w:sz="4" w:space="0"/>
              <w:bottom w:val="single" w:color="auto" w:sz="4" w:space="0"/>
              <w:right w:val="single" w:color="auto" w:sz="4" w:space="0"/>
            </w:tcBorders>
            <w:vAlign w:val="center"/>
          </w:tcPr>
          <w:p w14:paraId="64AB3528">
            <w:pPr>
              <w:widowControl/>
              <w:adjustRightInd w:val="0"/>
              <w:snapToGrid w:val="0"/>
              <w:spacing w:line="360" w:lineRule="auto"/>
              <w:jc w:val="center"/>
              <w:textAlignment w:val="center"/>
              <w:outlineLvl w:val="9"/>
              <w:rPr>
                <w:rFonts w:asciiTheme="minorEastAsia" w:hAnsiTheme="minorEastAsia" w:eastAsiaTheme="minorEastAsia" w:cstheme="minorEastAsia"/>
                <w:color w:val="auto"/>
                <w:sz w:val="24"/>
                <w:szCs w:val="24"/>
              </w:rPr>
            </w:pPr>
            <w:r>
              <w:rPr>
                <w:rFonts w:hint="eastAsia" w:ascii="宋体" w:hAnsi="宋体" w:cs="宋体"/>
                <w:color w:val="auto"/>
                <w:sz w:val="24"/>
                <w:szCs w:val="24"/>
              </w:rPr>
              <w:t>磋商有效期</w:t>
            </w:r>
          </w:p>
        </w:tc>
        <w:tc>
          <w:tcPr>
            <w:tcW w:w="7515" w:type="dxa"/>
            <w:tcBorders>
              <w:top w:val="single" w:color="auto" w:sz="4" w:space="0"/>
              <w:left w:val="single" w:color="auto" w:sz="4" w:space="0"/>
              <w:bottom w:val="single" w:color="auto" w:sz="4" w:space="0"/>
              <w:right w:val="single" w:color="auto" w:sz="4" w:space="0"/>
            </w:tcBorders>
            <w:vAlign w:val="center"/>
          </w:tcPr>
          <w:p w14:paraId="76FC0888">
            <w:pPr>
              <w:widowControl/>
              <w:tabs>
                <w:tab w:val="left" w:pos="1620"/>
              </w:tabs>
              <w:adjustRightInd w:val="0"/>
              <w:snapToGrid w:val="0"/>
              <w:spacing w:line="360" w:lineRule="auto"/>
              <w:jc w:val="left"/>
              <w:outlineLvl w:val="9"/>
              <w:rPr>
                <w:rFonts w:asciiTheme="minorEastAsia" w:hAnsiTheme="minorEastAsia" w:eastAsiaTheme="minorEastAsia" w:cstheme="minorEastAsia"/>
                <w:bCs/>
                <w:color w:val="auto"/>
                <w:kern w:val="2"/>
                <w:sz w:val="24"/>
                <w:szCs w:val="24"/>
              </w:rPr>
            </w:pPr>
            <w:r>
              <w:rPr>
                <w:rFonts w:hint="eastAsia"/>
                <w:color w:val="auto"/>
                <w:sz w:val="24"/>
              </w:rPr>
              <w:t>磋商</w:t>
            </w:r>
            <w:r>
              <w:rPr>
                <w:rFonts w:hint="eastAsia" w:ascii="宋体" w:hAnsi="宋体" w:cs="宋体"/>
                <w:color w:val="auto"/>
                <w:sz w:val="24"/>
                <w:szCs w:val="24"/>
              </w:rPr>
              <w:t>响应文件从磋商截止日起，磋商有效期为90天，磋商有效期短于此规定期限的响应文件，视为无效响应文件。</w:t>
            </w:r>
            <w:r>
              <w:rPr>
                <w:rFonts w:hint="eastAsia" w:ascii="宋体" w:hAnsi="宋体" w:cs="宋体"/>
                <w:color w:val="auto"/>
                <w:sz w:val="24"/>
                <w:szCs w:val="24"/>
                <w:lang w:eastAsia="zh-CN"/>
              </w:rPr>
              <w:t>成交供应商</w:t>
            </w:r>
            <w:r>
              <w:rPr>
                <w:rFonts w:hint="eastAsia" w:ascii="宋体" w:hAnsi="宋体" w:cs="宋体"/>
                <w:color w:val="auto"/>
                <w:sz w:val="24"/>
                <w:szCs w:val="24"/>
              </w:rPr>
              <w:t>的响应文件有效期延长至合同执行完毕。</w:t>
            </w:r>
          </w:p>
        </w:tc>
      </w:tr>
      <w:tr w14:paraId="3A2BABBD">
        <w:tblPrEx>
          <w:tblCellMar>
            <w:top w:w="0" w:type="dxa"/>
            <w:left w:w="108" w:type="dxa"/>
            <w:bottom w:w="0" w:type="dxa"/>
            <w:right w:w="108" w:type="dxa"/>
          </w:tblCellMar>
        </w:tblPrEx>
        <w:trPr>
          <w:trHeight w:val="90" w:hRule="atLeast"/>
        </w:trPr>
        <w:tc>
          <w:tcPr>
            <w:tcW w:w="723" w:type="dxa"/>
            <w:tcBorders>
              <w:top w:val="single" w:color="auto" w:sz="4" w:space="0"/>
              <w:left w:val="single" w:color="auto" w:sz="4" w:space="0"/>
              <w:bottom w:val="single" w:color="auto" w:sz="4" w:space="0"/>
              <w:right w:val="single" w:color="auto" w:sz="4" w:space="0"/>
            </w:tcBorders>
            <w:vAlign w:val="center"/>
          </w:tcPr>
          <w:p w14:paraId="09387179">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1765" w:type="dxa"/>
            <w:tcBorders>
              <w:top w:val="single" w:color="auto" w:sz="4" w:space="0"/>
              <w:left w:val="single" w:color="auto" w:sz="4" w:space="0"/>
              <w:bottom w:val="single" w:color="auto" w:sz="4" w:space="0"/>
              <w:right w:val="single" w:color="auto" w:sz="4" w:space="0"/>
            </w:tcBorders>
            <w:vAlign w:val="center"/>
          </w:tcPr>
          <w:p w14:paraId="4D53DFEB">
            <w:pPr>
              <w:spacing w:line="420" w:lineRule="exact"/>
              <w:jc w:val="center"/>
              <w:outlineLvl w:val="9"/>
              <w:rPr>
                <w:rFonts w:hint="default" w:ascii="宋体" w:hAnsi="宋体" w:eastAsia="宋体" w:cs="宋体"/>
                <w:color w:val="auto"/>
                <w:sz w:val="24"/>
                <w:szCs w:val="24"/>
                <w:lang w:val="en-US" w:eastAsia="zh-CN"/>
              </w:rPr>
            </w:pPr>
            <w:r>
              <w:rPr>
                <w:rFonts w:hint="eastAsia" w:ascii="宋体" w:hAnsi="宋体" w:cs="宋体"/>
                <w:color w:val="auto"/>
                <w:sz w:val="24"/>
              </w:rPr>
              <w:t>竞争性磋商响应文件递交截止时间</w:t>
            </w:r>
            <w:r>
              <w:rPr>
                <w:rFonts w:hint="eastAsia" w:ascii="宋体" w:hAnsi="宋体" w:cs="宋体"/>
                <w:color w:val="auto"/>
                <w:sz w:val="24"/>
                <w:lang w:val="zh-CN"/>
              </w:rPr>
              <w:t>、</w:t>
            </w:r>
            <w:r>
              <w:rPr>
                <w:rFonts w:hint="eastAsia"/>
                <w:color w:val="auto"/>
                <w:sz w:val="24"/>
                <w:szCs w:val="24"/>
              </w:rPr>
              <w:t>磋商</w:t>
            </w:r>
            <w:r>
              <w:rPr>
                <w:rFonts w:hint="eastAsia" w:ascii="宋体" w:hAnsi="宋体" w:cs="宋体"/>
                <w:color w:val="auto"/>
                <w:sz w:val="24"/>
                <w:szCs w:val="24"/>
              </w:rPr>
              <w:t>时间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地点</w:t>
            </w:r>
          </w:p>
        </w:tc>
        <w:tc>
          <w:tcPr>
            <w:tcW w:w="7515" w:type="dxa"/>
            <w:tcBorders>
              <w:top w:val="single" w:color="auto" w:sz="4" w:space="0"/>
              <w:left w:val="single" w:color="auto" w:sz="4" w:space="0"/>
              <w:bottom w:val="single" w:color="auto" w:sz="4" w:space="0"/>
              <w:right w:val="single" w:color="auto" w:sz="4" w:space="0"/>
            </w:tcBorders>
            <w:vAlign w:val="center"/>
          </w:tcPr>
          <w:p w14:paraId="4FFEFF62">
            <w:pPr>
              <w:spacing w:line="360" w:lineRule="auto"/>
              <w:outlineLvl w:val="9"/>
              <w:rPr>
                <w:rFonts w:ascii="宋体" w:hAnsi="宋体" w:cs="宋体"/>
                <w:color w:val="auto"/>
                <w:sz w:val="24"/>
                <w:szCs w:val="24"/>
              </w:rPr>
            </w:pPr>
            <w:r>
              <w:rPr>
                <w:rFonts w:hint="eastAsia" w:ascii="宋体" w:hAnsi="宋体" w:cs="宋体"/>
                <w:color w:val="auto"/>
                <w:sz w:val="24"/>
              </w:rPr>
              <w:t>竞争性磋商响应文件递交截止时间</w:t>
            </w:r>
            <w:r>
              <w:rPr>
                <w:rFonts w:hint="eastAsia" w:ascii="宋体" w:hAnsi="宋体" w:cs="宋体"/>
                <w:color w:val="auto"/>
                <w:sz w:val="24"/>
                <w:szCs w:val="24"/>
              </w:rPr>
              <w:t>及开标时间和地点：</w:t>
            </w:r>
          </w:p>
          <w:p w14:paraId="72B52909">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4"/>
                <w:lang w:eastAsia="zh-CN"/>
              </w:rPr>
            </w:pPr>
            <w:r>
              <w:rPr>
                <w:rFonts w:hint="eastAsia" w:ascii="宋体" w:hAnsi="宋体" w:cs="宋体"/>
                <w:color w:val="auto"/>
                <w:sz w:val="24"/>
              </w:rPr>
              <w:t>竞争性磋商响应文件递交截止时间： </w:t>
            </w:r>
            <w:r>
              <w:rPr>
                <w:rFonts w:hint="eastAsia" w:ascii="宋体" w:hAnsi="宋体" w:cs="宋体"/>
                <w:color w:val="auto"/>
                <w:sz w:val="24"/>
                <w:lang w:eastAsia="zh-CN"/>
              </w:rPr>
              <w:t>2025年08月06日 13时30分</w:t>
            </w:r>
          </w:p>
          <w:p w14:paraId="4C13BCF8">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4"/>
                <w:lang w:eastAsia="zh-CN"/>
              </w:rPr>
            </w:pPr>
            <w:r>
              <w:rPr>
                <w:rFonts w:hint="eastAsia" w:ascii="宋体" w:hAnsi="宋体" w:cs="宋体"/>
                <w:color w:val="auto"/>
                <w:sz w:val="24"/>
              </w:rPr>
              <w:t>磋商时间：</w:t>
            </w:r>
            <w:r>
              <w:rPr>
                <w:rFonts w:hint="eastAsia" w:ascii="宋体" w:hAnsi="宋体" w:cs="宋体"/>
                <w:color w:val="auto"/>
                <w:sz w:val="24"/>
                <w:lang w:eastAsia="zh-CN"/>
              </w:rPr>
              <w:t xml:space="preserve"> 2025年08月06日 13时30分</w:t>
            </w:r>
          </w:p>
          <w:p w14:paraId="7B2DCFDC">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ascii="宋体" w:hAnsi="宋体" w:cs="宋体"/>
                <w:color w:val="auto"/>
                <w:sz w:val="24"/>
                <w:szCs w:val="24"/>
                <w:u w:val="single"/>
              </w:rPr>
            </w:pPr>
            <w:r>
              <w:rPr>
                <w:rFonts w:hint="eastAsia" w:ascii="宋体" w:hAnsi="宋体" w:cs="宋体"/>
                <w:color w:val="auto"/>
                <w:sz w:val="24"/>
                <w:lang w:eastAsia="zh-CN"/>
              </w:rPr>
              <w:t>磋商</w:t>
            </w:r>
            <w:r>
              <w:rPr>
                <w:rFonts w:hint="eastAsia" w:ascii="宋体" w:hAnsi="宋体" w:cs="宋体"/>
                <w:color w:val="auto"/>
                <w:sz w:val="24"/>
              </w:rPr>
              <w:t>地点：</w:t>
            </w:r>
            <w:r>
              <w:rPr>
                <w:rFonts w:hint="eastAsia" w:ascii="宋体" w:hAnsi="宋体" w:eastAsia="宋体" w:cs="宋体"/>
                <w:i w:val="0"/>
                <w:iCs w:val="0"/>
                <w:caps w:val="0"/>
                <w:color w:val="auto"/>
                <w:spacing w:val="0"/>
                <w:sz w:val="24"/>
                <w:szCs w:val="24"/>
                <w:shd w:val="clear" w:fill="FFFFFF"/>
              </w:rPr>
              <w:t>登录全国公共资源交易平台（陕西省•榆林市）网站〖首页〉不见面开标〗系统，在线参加开标过程</w:t>
            </w:r>
          </w:p>
        </w:tc>
      </w:tr>
      <w:tr w14:paraId="0A04D498">
        <w:tblPrEx>
          <w:tblCellMar>
            <w:top w:w="0" w:type="dxa"/>
            <w:left w:w="108" w:type="dxa"/>
            <w:bottom w:w="0" w:type="dxa"/>
            <w:right w:w="108" w:type="dxa"/>
          </w:tblCellMar>
        </w:tblPrEx>
        <w:trPr>
          <w:trHeight w:val="90" w:hRule="atLeast"/>
        </w:trPr>
        <w:tc>
          <w:tcPr>
            <w:tcW w:w="723" w:type="dxa"/>
            <w:tcBorders>
              <w:top w:val="single" w:color="auto" w:sz="4" w:space="0"/>
              <w:left w:val="single" w:color="auto" w:sz="4" w:space="0"/>
              <w:bottom w:val="single" w:color="auto" w:sz="4" w:space="0"/>
              <w:right w:val="single" w:color="auto" w:sz="4" w:space="0"/>
            </w:tcBorders>
            <w:vAlign w:val="center"/>
          </w:tcPr>
          <w:p w14:paraId="5C06EBB3">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c>
          <w:tcPr>
            <w:tcW w:w="1765" w:type="dxa"/>
            <w:tcBorders>
              <w:top w:val="single" w:color="auto" w:sz="4" w:space="0"/>
              <w:left w:val="single" w:color="auto" w:sz="4" w:space="0"/>
              <w:bottom w:val="single" w:color="auto" w:sz="4" w:space="0"/>
              <w:right w:val="single" w:color="auto" w:sz="4" w:space="0"/>
            </w:tcBorders>
            <w:vAlign w:val="center"/>
          </w:tcPr>
          <w:p w14:paraId="0A194CE5">
            <w:pPr>
              <w:widowControl/>
              <w:adjustRightInd w:val="0"/>
              <w:snapToGrid w:val="0"/>
              <w:spacing w:line="360" w:lineRule="auto"/>
              <w:jc w:val="center"/>
              <w:textAlignment w:val="center"/>
              <w:outlineLvl w:val="9"/>
              <w:rPr>
                <w:rFonts w:ascii="宋体" w:hAnsi="宋体" w:cs="宋体"/>
                <w:color w:val="auto"/>
                <w:sz w:val="24"/>
                <w:lang w:val="zh-CN"/>
              </w:rPr>
            </w:pPr>
            <w:r>
              <w:rPr>
                <w:rFonts w:hint="eastAsia" w:ascii="宋体" w:hAnsi="宋体" w:cs="宋体"/>
                <w:color w:val="auto"/>
                <w:sz w:val="24"/>
                <w:szCs w:val="24"/>
              </w:rPr>
              <w:t>磋商保证金</w:t>
            </w:r>
          </w:p>
        </w:tc>
        <w:tc>
          <w:tcPr>
            <w:tcW w:w="7515" w:type="dxa"/>
            <w:tcBorders>
              <w:top w:val="single" w:color="auto" w:sz="4" w:space="0"/>
              <w:left w:val="single" w:color="auto" w:sz="4" w:space="0"/>
              <w:bottom w:val="single" w:color="auto" w:sz="4" w:space="0"/>
              <w:right w:val="single" w:color="auto" w:sz="4" w:space="0"/>
            </w:tcBorders>
            <w:vAlign w:val="center"/>
          </w:tcPr>
          <w:p w14:paraId="47651475">
            <w:pPr>
              <w:pStyle w:val="48"/>
              <w:spacing w:before="90" w:line="360" w:lineRule="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是否要求投标人递交投标保证金：</w:t>
            </w:r>
          </w:p>
          <w:p w14:paraId="417AD2A3">
            <w:pPr>
              <w:pStyle w:val="48"/>
              <w:spacing w:line="360" w:lineRule="auto"/>
              <w:jc w:val="left"/>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□要求，投标保证金的金额：/</w:t>
            </w:r>
          </w:p>
          <w:p w14:paraId="5EEBE279">
            <w:pPr>
              <w:spacing w:line="360" w:lineRule="auto"/>
              <w:jc w:val="left"/>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☑不要求</w:t>
            </w:r>
          </w:p>
          <w:p w14:paraId="3D69BF81">
            <w:pPr>
              <w:widowControl/>
              <w:tabs>
                <w:tab w:val="left" w:pos="1620"/>
              </w:tabs>
              <w:adjustRightInd w:val="0"/>
              <w:snapToGrid w:val="0"/>
              <w:spacing w:line="360" w:lineRule="auto"/>
              <w:ind w:firstLine="480" w:firstLineChars="200"/>
              <w:jc w:val="left"/>
              <w:outlineLvl w:val="9"/>
              <w:rPr>
                <w:rFonts w:hint="default" w:ascii="宋体" w:hAnsi="宋体" w:cs="宋体"/>
                <w:color w:val="auto"/>
                <w:sz w:val="24"/>
                <w:szCs w:val="24"/>
                <w:lang w:val="en-US"/>
              </w:rPr>
            </w:pPr>
            <w:r>
              <w:rPr>
                <w:rFonts w:hint="eastAsia" w:ascii="宋体" w:hAnsi="宋体" w:eastAsia="宋体" w:cs="宋体"/>
                <w:color w:val="auto"/>
                <w:kern w:val="2"/>
                <w:sz w:val="24"/>
                <w:szCs w:val="24"/>
                <w:highlight w:val="none"/>
                <w:lang w:val="en-US" w:eastAsia="zh-CN" w:bidi="ar-SA"/>
              </w:rPr>
              <w:t>根据榆林市财政局下发的榆政财采发【2023】8号文件规定实行信用承诺代替保证金。投标人可签署“投标信用承诺书”代替保证金。投标人在投标文件中附“投标信用承诺书”并按要求签字盖章及</w:t>
            </w:r>
            <w:r>
              <w:rPr>
                <w:rFonts w:hint="eastAsia" w:cs="宋体"/>
                <w:b/>
                <w:bCs/>
                <w:color w:val="auto"/>
                <w:kern w:val="0"/>
                <w:sz w:val="24"/>
                <w:highlight w:val="none"/>
                <w:lang w:val="en-US" w:eastAsia="zh-CN"/>
              </w:rPr>
              <w:t>附信用承诺网页截图。</w:t>
            </w:r>
          </w:p>
        </w:tc>
      </w:tr>
      <w:tr w14:paraId="75765DDD">
        <w:tblPrEx>
          <w:tblCellMar>
            <w:top w:w="0" w:type="dxa"/>
            <w:left w:w="108" w:type="dxa"/>
            <w:bottom w:w="0" w:type="dxa"/>
            <w:right w:w="108" w:type="dxa"/>
          </w:tblCellMar>
        </w:tblPrEx>
        <w:trPr>
          <w:trHeight w:val="90" w:hRule="atLeast"/>
        </w:trPr>
        <w:tc>
          <w:tcPr>
            <w:tcW w:w="723" w:type="dxa"/>
            <w:tcBorders>
              <w:top w:val="single" w:color="auto" w:sz="4" w:space="0"/>
              <w:left w:val="single" w:color="auto" w:sz="4" w:space="0"/>
              <w:bottom w:val="single" w:color="auto" w:sz="4" w:space="0"/>
              <w:right w:val="single" w:color="auto" w:sz="4" w:space="0"/>
            </w:tcBorders>
            <w:vAlign w:val="center"/>
          </w:tcPr>
          <w:p w14:paraId="271F4B72">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w:t>
            </w:r>
          </w:p>
        </w:tc>
        <w:tc>
          <w:tcPr>
            <w:tcW w:w="1765" w:type="dxa"/>
            <w:tcBorders>
              <w:top w:val="single" w:color="auto" w:sz="4" w:space="0"/>
              <w:left w:val="single" w:color="auto" w:sz="4" w:space="0"/>
              <w:bottom w:val="single" w:color="auto" w:sz="4" w:space="0"/>
              <w:right w:val="single" w:color="auto" w:sz="4" w:space="0"/>
            </w:tcBorders>
            <w:vAlign w:val="center"/>
          </w:tcPr>
          <w:p w14:paraId="1A11558B">
            <w:pPr>
              <w:adjustRightInd w:val="0"/>
              <w:snapToGrid w:val="0"/>
              <w:spacing w:line="240" w:lineRule="auto"/>
              <w:jc w:val="center"/>
              <w:outlineLvl w:val="9"/>
              <w:rPr>
                <w:rFonts w:ascii="宋体" w:hAnsi="宋体" w:cs="宋体"/>
                <w:color w:val="auto"/>
                <w:sz w:val="24"/>
                <w:szCs w:val="24"/>
              </w:rPr>
            </w:pPr>
            <w:r>
              <w:rPr>
                <w:rFonts w:hint="eastAsia" w:asciiTheme="minorEastAsia" w:hAnsiTheme="minorEastAsia" w:eastAsiaTheme="minorEastAsia" w:cstheme="minorEastAsia"/>
                <w:color w:val="auto"/>
                <w:sz w:val="24"/>
                <w:szCs w:val="24"/>
              </w:rPr>
              <w:t>是否接受联合体投标</w:t>
            </w:r>
          </w:p>
        </w:tc>
        <w:tc>
          <w:tcPr>
            <w:tcW w:w="7515" w:type="dxa"/>
            <w:tcBorders>
              <w:top w:val="single" w:color="auto" w:sz="4" w:space="0"/>
              <w:left w:val="single" w:color="auto" w:sz="4" w:space="0"/>
              <w:bottom w:val="single" w:color="auto" w:sz="4" w:space="0"/>
              <w:right w:val="single" w:color="auto" w:sz="4" w:space="0"/>
            </w:tcBorders>
            <w:vAlign w:val="center"/>
          </w:tcPr>
          <w:p w14:paraId="0DDC767E">
            <w:pPr>
              <w:adjustRightInd w:val="0"/>
              <w:snapToGrid w:val="0"/>
              <w:spacing w:line="360" w:lineRule="auto"/>
              <w:jc w:val="left"/>
              <w:outlineLvl w:val="9"/>
              <w:rPr>
                <w:rFonts w:ascii="宋体" w:hAnsi="宋体" w:cs="宋体"/>
                <w:color w:val="auto"/>
                <w:sz w:val="24"/>
                <w:szCs w:val="24"/>
              </w:rPr>
            </w:pPr>
            <w:r>
              <w:rPr>
                <w:rFonts w:hint="eastAsia" w:asciiTheme="minorEastAsia" w:hAnsiTheme="minorEastAsia" w:eastAsiaTheme="minorEastAsia" w:cstheme="minorEastAsia"/>
                <w:color w:val="auto"/>
                <w:sz w:val="24"/>
                <w:szCs w:val="24"/>
              </w:rPr>
              <w:t>不接受</w:t>
            </w:r>
          </w:p>
        </w:tc>
      </w:tr>
      <w:tr w14:paraId="321E2C7D">
        <w:tblPrEx>
          <w:tblCellMar>
            <w:top w:w="0" w:type="dxa"/>
            <w:left w:w="108" w:type="dxa"/>
            <w:bottom w:w="0" w:type="dxa"/>
            <w:right w:w="108" w:type="dxa"/>
          </w:tblCellMar>
        </w:tblPrEx>
        <w:trPr>
          <w:trHeight w:val="497" w:hRule="atLeast"/>
        </w:trPr>
        <w:tc>
          <w:tcPr>
            <w:tcW w:w="723" w:type="dxa"/>
            <w:vMerge w:val="restart"/>
            <w:tcBorders>
              <w:top w:val="single" w:color="auto" w:sz="4" w:space="0"/>
              <w:left w:val="single" w:color="auto" w:sz="4" w:space="0"/>
              <w:right w:val="single" w:color="auto" w:sz="4" w:space="0"/>
            </w:tcBorders>
            <w:vAlign w:val="center"/>
          </w:tcPr>
          <w:p w14:paraId="1849A40D">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w:t>
            </w:r>
          </w:p>
        </w:tc>
        <w:tc>
          <w:tcPr>
            <w:tcW w:w="1765" w:type="dxa"/>
            <w:tcBorders>
              <w:top w:val="single" w:color="auto" w:sz="4" w:space="0"/>
              <w:left w:val="single" w:color="auto" w:sz="4" w:space="0"/>
              <w:right w:val="single" w:color="auto" w:sz="4" w:space="0"/>
            </w:tcBorders>
            <w:vAlign w:val="center"/>
          </w:tcPr>
          <w:p w14:paraId="7BF78F14">
            <w:pPr>
              <w:adjustRightInd w:val="0"/>
              <w:snapToGrid w:val="0"/>
              <w:spacing w:line="360" w:lineRule="auto"/>
              <w:jc w:val="center"/>
              <w:outlineLvl w:val="9"/>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Cs/>
                <w:color w:val="auto"/>
                <w:sz w:val="24"/>
                <w:szCs w:val="24"/>
                <w:lang w:val="en-US" w:eastAsia="zh-CN"/>
              </w:rPr>
              <w:t>工期</w:t>
            </w:r>
          </w:p>
        </w:tc>
        <w:tc>
          <w:tcPr>
            <w:tcW w:w="7515" w:type="dxa"/>
            <w:tcBorders>
              <w:top w:val="single" w:color="auto" w:sz="4" w:space="0"/>
              <w:left w:val="single" w:color="auto" w:sz="4" w:space="0"/>
              <w:bottom w:val="single" w:color="auto" w:sz="4" w:space="0"/>
              <w:right w:val="single" w:color="auto" w:sz="4" w:space="0"/>
            </w:tcBorders>
            <w:vAlign w:val="center"/>
          </w:tcPr>
          <w:p w14:paraId="1998B2D9">
            <w:pPr>
              <w:adjustRightInd w:val="0"/>
              <w:snapToGrid w:val="0"/>
              <w:spacing w:line="360" w:lineRule="auto"/>
              <w:jc w:val="left"/>
              <w:outlineLvl w:val="9"/>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bCs/>
                <w:color w:val="auto"/>
                <w:sz w:val="24"/>
                <w:szCs w:val="24"/>
                <w:lang w:val="en-US" w:eastAsia="zh-CN"/>
              </w:rPr>
              <w:t>60天</w:t>
            </w:r>
          </w:p>
        </w:tc>
      </w:tr>
      <w:tr w14:paraId="18057087">
        <w:tblPrEx>
          <w:tblCellMar>
            <w:top w:w="0" w:type="dxa"/>
            <w:left w:w="108" w:type="dxa"/>
            <w:bottom w:w="0" w:type="dxa"/>
            <w:right w:w="108" w:type="dxa"/>
          </w:tblCellMar>
        </w:tblPrEx>
        <w:trPr>
          <w:trHeight w:val="552" w:hRule="atLeast"/>
        </w:trPr>
        <w:tc>
          <w:tcPr>
            <w:tcW w:w="723" w:type="dxa"/>
            <w:vMerge w:val="continue"/>
            <w:tcBorders>
              <w:left w:val="single" w:color="auto" w:sz="4" w:space="0"/>
              <w:right w:val="single" w:color="auto" w:sz="4" w:space="0"/>
            </w:tcBorders>
            <w:vAlign w:val="center"/>
          </w:tcPr>
          <w:p w14:paraId="198F51A8">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p>
        </w:tc>
        <w:tc>
          <w:tcPr>
            <w:tcW w:w="1765" w:type="dxa"/>
            <w:tcBorders>
              <w:top w:val="single" w:color="auto" w:sz="4" w:space="0"/>
              <w:left w:val="single" w:color="auto" w:sz="4" w:space="0"/>
              <w:right w:val="single" w:color="auto" w:sz="4" w:space="0"/>
            </w:tcBorders>
            <w:shd w:val="clear" w:color="auto" w:fill="auto"/>
            <w:vAlign w:val="center"/>
          </w:tcPr>
          <w:p w14:paraId="523B2BBA">
            <w:pPr>
              <w:adjustRightInd w:val="0"/>
              <w:snapToGrid w:val="0"/>
              <w:spacing w:line="360" w:lineRule="auto"/>
              <w:jc w:val="center"/>
              <w:outlineLvl w:val="9"/>
              <w:rPr>
                <w:rFonts w:hint="eastAsia" w:asciiTheme="minorEastAsia" w:hAnsiTheme="minorEastAsia" w:eastAsiaTheme="minorEastAsia" w:cstheme="minorEastAsia"/>
                <w:bCs/>
                <w:color w:val="auto"/>
                <w:sz w:val="24"/>
                <w:szCs w:val="24"/>
                <w:lang w:val="zh-CN" w:eastAsia="zh-CN"/>
              </w:rPr>
            </w:pPr>
            <w:r>
              <w:rPr>
                <w:rFonts w:hint="eastAsia" w:asciiTheme="minorEastAsia" w:hAnsiTheme="minorEastAsia" w:eastAsiaTheme="minorEastAsia" w:cstheme="minorEastAsia"/>
                <w:bCs/>
                <w:color w:val="auto"/>
                <w:sz w:val="24"/>
                <w:szCs w:val="24"/>
                <w:lang w:val="en-US" w:eastAsia="zh-CN"/>
              </w:rPr>
              <w:t>质保期</w:t>
            </w:r>
          </w:p>
        </w:tc>
        <w:tc>
          <w:tcPr>
            <w:tcW w:w="7515" w:type="dxa"/>
            <w:tcBorders>
              <w:top w:val="single" w:color="auto" w:sz="4" w:space="0"/>
              <w:left w:val="single" w:color="auto" w:sz="4" w:space="0"/>
              <w:bottom w:val="single" w:color="auto" w:sz="4" w:space="0"/>
              <w:right w:val="single" w:color="auto" w:sz="4" w:space="0"/>
            </w:tcBorders>
            <w:shd w:val="clear" w:color="auto" w:fill="auto"/>
            <w:vAlign w:val="center"/>
          </w:tcPr>
          <w:p w14:paraId="6E1984F6">
            <w:pPr>
              <w:adjustRightInd w:val="0"/>
              <w:snapToGrid w:val="0"/>
              <w:spacing w:line="360" w:lineRule="auto"/>
              <w:jc w:val="left"/>
              <w:outlineLvl w:val="9"/>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highlight w:val="yellow"/>
                <w:lang w:val="en-US" w:eastAsia="zh-CN"/>
              </w:rPr>
              <w:t>验收合格后1年</w:t>
            </w:r>
          </w:p>
        </w:tc>
      </w:tr>
      <w:tr w14:paraId="02D8E7BD">
        <w:tblPrEx>
          <w:tblCellMar>
            <w:top w:w="0" w:type="dxa"/>
            <w:left w:w="108" w:type="dxa"/>
            <w:bottom w:w="0" w:type="dxa"/>
            <w:right w:w="108" w:type="dxa"/>
          </w:tblCellMar>
        </w:tblPrEx>
        <w:trPr>
          <w:trHeight w:val="507" w:hRule="atLeast"/>
        </w:trPr>
        <w:tc>
          <w:tcPr>
            <w:tcW w:w="723" w:type="dxa"/>
            <w:vMerge w:val="continue"/>
            <w:tcBorders>
              <w:left w:val="single" w:color="auto" w:sz="4" w:space="0"/>
              <w:right w:val="single" w:color="auto" w:sz="4" w:space="0"/>
            </w:tcBorders>
            <w:vAlign w:val="center"/>
          </w:tcPr>
          <w:p w14:paraId="6C4BE4AE">
            <w:pPr>
              <w:adjustRightInd w:val="0"/>
              <w:snapToGrid w:val="0"/>
              <w:spacing w:line="360" w:lineRule="auto"/>
              <w:jc w:val="center"/>
              <w:outlineLvl w:val="9"/>
              <w:rPr>
                <w:rFonts w:hint="eastAsia" w:asciiTheme="minorEastAsia" w:hAnsiTheme="minorEastAsia" w:eastAsiaTheme="minorEastAsia" w:cstheme="minorEastAsia"/>
                <w:color w:val="auto"/>
                <w:sz w:val="24"/>
                <w:szCs w:val="24"/>
                <w:lang w:val="en-US" w:eastAsia="zh-CN"/>
              </w:rPr>
            </w:pPr>
          </w:p>
        </w:tc>
        <w:tc>
          <w:tcPr>
            <w:tcW w:w="1765" w:type="dxa"/>
            <w:tcBorders>
              <w:top w:val="single" w:color="auto" w:sz="4" w:space="0"/>
              <w:left w:val="single" w:color="auto" w:sz="4" w:space="0"/>
              <w:right w:val="single" w:color="auto" w:sz="4" w:space="0"/>
            </w:tcBorders>
            <w:vAlign w:val="center"/>
          </w:tcPr>
          <w:p w14:paraId="427FD865">
            <w:pPr>
              <w:adjustRightInd w:val="0"/>
              <w:snapToGrid w:val="0"/>
              <w:spacing w:line="360" w:lineRule="auto"/>
              <w:jc w:val="center"/>
              <w:outlineLvl w:val="9"/>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工程质量</w:t>
            </w:r>
          </w:p>
        </w:tc>
        <w:tc>
          <w:tcPr>
            <w:tcW w:w="7515" w:type="dxa"/>
            <w:tcBorders>
              <w:top w:val="single" w:color="auto" w:sz="4" w:space="0"/>
              <w:left w:val="single" w:color="auto" w:sz="4" w:space="0"/>
              <w:bottom w:val="single" w:color="auto" w:sz="4" w:space="0"/>
              <w:right w:val="single" w:color="auto" w:sz="4" w:space="0"/>
            </w:tcBorders>
            <w:vAlign w:val="center"/>
          </w:tcPr>
          <w:p w14:paraId="761B1A12">
            <w:pPr>
              <w:adjustRightInd w:val="0"/>
              <w:snapToGrid w:val="0"/>
              <w:spacing w:line="360" w:lineRule="auto"/>
              <w:jc w:val="left"/>
              <w:outlineLvl w:val="9"/>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合格</w:t>
            </w:r>
          </w:p>
        </w:tc>
      </w:tr>
      <w:tr w14:paraId="21795551">
        <w:tblPrEx>
          <w:tblCellMar>
            <w:top w:w="0" w:type="dxa"/>
            <w:left w:w="108" w:type="dxa"/>
            <w:bottom w:w="0" w:type="dxa"/>
            <w:right w:w="108" w:type="dxa"/>
          </w:tblCellMar>
        </w:tblPrEx>
        <w:trPr>
          <w:trHeight w:val="707" w:hRule="atLeast"/>
        </w:trPr>
        <w:tc>
          <w:tcPr>
            <w:tcW w:w="723" w:type="dxa"/>
            <w:tcBorders>
              <w:top w:val="single" w:color="auto" w:sz="4" w:space="0"/>
              <w:left w:val="single" w:color="auto" w:sz="4" w:space="0"/>
              <w:bottom w:val="single" w:color="auto" w:sz="4" w:space="0"/>
              <w:right w:val="single" w:color="auto" w:sz="4" w:space="0"/>
            </w:tcBorders>
            <w:vAlign w:val="center"/>
          </w:tcPr>
          <w:p w14:paraId="11BACD6F">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7225067E">
            <w:pPr>
              <w:adjustRightInd w:val="0"/>
              <w:snapToGrid w:val="0"/>
              <w:spacing w:line="360" w:lineRule="auto"/>
              <w:jc w:val="center"/>
              <w:outlineLvl w:val="9"/>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zh-CN" w:eastAsia="zh-CN"/>
              </w:rPr>
              <w:t>付款方式</w:t>
            </w:r>
          </w:p>
        </w:tc>
        <w:tc>
          <w:tcPr>
            <w:tcW w:w="7515" w:type="dxa"/>
            <w:tcBorders>
              <w:top w:val="single" w:color="auto" w:sz="4" w:space="0"/>
              <w:left w:val="single" w:color="auto" w:sz="4" w:space="0"/>
              <w:bottom w:val="single" w:color="auto" w:sz="4" w:space="0"/>
              <w:right w:val="single" w:color="auto" w:sz="4" w:space="0"/>
            </w:tcBorders>
            <w:shd w:val="clear" w:color="auto" w:fill="auto"/>
            <w:vAlign w:val="center"/>
          </w:tcPr>
          <w:p w14:paraId="5C64D89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asciiTheme="minorEastAsia" w:hAnsiTheme="minorEastAsia" w:eastAsiaTheme="minorEastAsia" w:cstheme="minorEastAsia"/>
                <w:bCs/>
                <w:color w:val="auto"/>
                <w:sz w:val="24"/>
                <w:szCs w:val="24"/>
                <w:lang w:val="en-US" w:eastAsia="zh-CN"/>
              </w:rPr>
            </w:pPr>
            <w:r>
              <w:rPr>
                <w:rFonts w:hint="eastAsia" w:ascii="宋体" w:hAnsi="宋体" w:cs="宋体"/>
                <w:b w:val="0"/>
                <w:bCs/>
                <w:color w:val="auto"/>
                <w:sz w:val="24"/>
                <w:szCs w:val="24"/>
                <w:lang w:val="en-US" w:eastAsia="zh-CN"/>
              </w:rPr>
              <w:t>合同签订开工后支付40％，项目完成80%以上支付30%，剩余资金决算审计后付清。</w:t>
            </w:r>
          </w:p>
        </w:tc>
      </w:tr>
      <w:tr w14:paraId="1C821080">
        <w:tblPrEx>
          <w:tblCellMar>
            <w:top w:w="0" w:type="dxa"/>
            <w:left w:w="108" w:type="dxa"/>
            <w:bottom w:w="0" w:type="dxa"/>
            <w:right w:w="108" w:type="dxa"/>
          </w:tblCellMar>
        </w:tblPrEx>
        <w:trPr>
          <w:trHeight w:val="566" w:hRule="atLeast"/>
        </w:trPr>
        <w:tc>
          <w:tcPr>
            <w:tcW w:w="723" w:type="dxa"/>
            <w:tcBorders>
              <w:top w:val="single" w:color="auto" w:sz="4" w:space="0"/>
              <w:left w:val="single" w:color="auto" w:sz="4" w:space="0"/>
              <w:bottom w:val="single" w:color="auto" w:sz="4" w:space="0"/>
              <w:right w:val="single" w:color="auto" w:sz="4" w:space="0"/>
            </w:tcBorders>
            <w:vAlign w:val="center"/>
          </w:tcPr>
          <w:p w14:paraId="09B89503">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w:t>
            </w:r>
          </w:p>
        </w:tc>
        <w:tc>
          <w:tcPr>
            <w:tcW w:w="1765" w:type="dxa"/>
            <w:tcBorders>
              <w:top w:val="single" w:color="auto" w:sz="4" w:space="0"/>
              <w:left w:val="single" w:color="auto" w:sz="4" w:space="0"/>
              <w:bottom w:val="single" w:color="auto" w:sz="4" w:space="0"/>
              <w:right w:val="single" w:color="auto" w:sz="4" w:space="0"/>
            </w:tcBorders>
            <w:vAlign w:val="center"/>
          </w:tcPr>
          <w:p w14:paraId="2C6AE336">
            <w:pPr>
              <w:adjustRightInd w:val="0"/>
              <w:snapToGrid w:val="0"/>
              <w:spacing w:line="360" w:lineRule="auto"/>
              <w:jc w:val="center"/>
              <w:outlineLvl w:val="9"/>
              <w:rPr>
                <w:rFonts w:hint="eastAsia" w:asciiTheme="minorEastAsia" w:hAnsiTheme="minorEastAsia" w:eastAsiaTheme="minorEastAsia" w:cstheme="minorEastAsia"/>
                <w:bCs/>
                <w:color w:val="auto"/>
                <w:sz w:val="24"/>
                <w:szCs w:val="24"/>
                <w:lang w:val="zh-CN" w:eastAsia="zh-CN"/>
              </w:rPr>
            </w:pPr>
            <w:r>
              <w:rPr>
                <w:rFonts w:hint="eastAsia" w:ascii="宋体" w:hAnsi="宋体" w:cs="宋体"/>
                <w:color w:val="auto"/>
                <w:sz w:val="24"/>
                <w:szCs w:val="24"/>
                <w:lang w:val="en-US" w:eastAsia="zh-CN"/>
              </w:rPr>
              <w:t>施工地点</w:t>
            </w:r>
          </w:p>
        </w:tc>
        <w:tc>
          <w:tcPr>
            <w:tcW w:w="7515" w:type="dxa"/>
            <w:tcBorders>
              <w:top w:val="single" w:color="auto" w:sz="4" w:space="0"/>
              <w:left w:val="single" w:color="auto" w:sz="4" w:space="0"/>
              <w:bottom w:val="single" w:color="auto" w:sz="4" w:space="0"/>
              <w:right w:val="single" w:color="auto" w:sz="4" w:space="0"/>
            </w:tcBorders>
            <w:vAlign w:val="center"/>
          </w:tcPr>
          <w:p w14:paraId="2C07F629">
            <w:pPr>
              <w:adjustRightInd w:val="0"/>
              <w:snapToGrid w:val="0"/>
              <w:spacing w:line="360" w:lineRule="auto"/>
              <w:jc w:val="left"/>
              <w:outlineLvl w:val="9"/>
              <w:rPr>
                <w:rFonts w:hint="default" w:asciiTheme="minorEastAsia" w:hAnsiTheme="minorEastAsia" w:eastAsiaTheme="minorEastAsia" w:cstheme="minorEastAsia"/>
                <w:bCs/>
                <w:color w:val="auto"/>
                <w:sz w:val="24"/>
                <w:szCs w:val="24"/>
                <w:lang w:val="en-US" w:eastAsia="zh-CN"/>
              </w:rPr>
            </w:pPr>
            <w:r>
              <w:rPr>
                <w:rFonts w:hint="eastAsia" w:cs="Times New Roman"/>
                <w:color w:val="auto"/>
                <w:kern w:val="2"/>
                <w:sz w:val="24"/>
                <w:szCs w:val="16"/>
                <w:lang w:val="en-US" w:eastAsia="zh-CN" w:bidi="ar-SA"/>
              </w:rPr>
              <w:t>采购人指定地点</w:t>
            </w:r>
          </w:p>
        </w:tc>
      </w:tr>
      <w:tr w14:paraId="36EC5EF3">
        <w:tblPrEx>
          <w:tblCellMar>
            <w:top w:w="0" w:type="dxa"/>
            <w:left w:w="108" w:type="dxa"/>
            <w:bottom w:w="0" w:type="dxa"/>
            <w:right w:w="108" w:type="dxa"/>
          </w:tblCellMar>
        </w:tblPrEx>
        <w:trPr>
          <w:trHeight w:val="541" w:hRule="atLeast"/>
        </w:trPr>
        <w:tc>
          <w:tcPr>
            <w:tcW w:w="723" w:type="dxa"/>
            <w:tcBorders>
              <w:top w:val="single" w:color="auto" w:sz="4" w:space="0"/>
              <w:left w:val="single" w:color="auto" w:sz="4" w:space="0"/>
              <w:bottom w:val="single" w:color="auto" w:sz="4" w:space="0"/>
              <w:right w:val="single" w:color="auto" w:sz="4" w:space="0"/>
            </w:tcBorders>
            <w:vAlign w:val="center"/>
          </w:tcPr>
          <w:p w14:paraId="56D5FADD">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17</w:t>
            </w:r>
          </w:p>
        </w:tc>
        <w:tc>
          <w:tcPr>
            <w:tcW w:w="1765" w:type="dxa"/>
            <w:tcBorders>
              <w:top w:val="single" w:color="auto" w:sz="4" w:space="0"/>
              <w:left w:val="single" w:color="auto" w:sz="4" w:space="0"/>
              <w:bottom w:val="single" w:color="auto" w:sz="4" w:space="0"/>
              <w:right w:val="single" w:color="auto" w:sz="4" w:space="0"/>
            </w:tcBorders>
            <w:vAlign w:val="center"/>
          </w:tcPr>
          <w:p w14:paraId="1E9F43CC">
            <w:pPr>
              <w:adjustRightInd w:val="0"/>
              <w:snapToGrid w:val="0"/>
              <w:spacing w:line="360" w:lineRule="auto"/>
              <w:jc w:val="center"/>
              <w:outlineLvl w:val="9"/>
              <w:rPr>
                <w:rFonts w:asciiTheme="minorEastAsia" w:hAnsiTheme="minorEastAsia" w:eastAsiaTheme="minorEastAsia" w:cstheme="minorEastAsia"/>
                <w:color w:val="auto"/>
                <w:sz w:val="24"/>
                <w:szCs w:val="24"/>
                <w:lang w:val="zh-CN"/>
              </w:rPr>
            </w:pPr>
            <w:r>
              <w:rPr>
                <w:rFonts w:hint="eastAsia"/>
                <w:color w:val="auto"/>
                <w:sz w:val="24"/>
              </w:rPr>
              <w:t>评审方法</w:t>
            </w:r>
          </w:p>
        </w:tc>
        <w:tc>
          <w:tcPr>
            <w:tcW w:w="7515" w:type="dxa"/>
            <w:tcBorders>
              <w:top w:val="single" w:color="auto" w:sz="4" w:space="0"/>
              <w:left w:val="single" w:color="auto" w:sz="4" w:space="0"/>
              <w:bottom w:val="single" w:color="auto" w:sz="4" w:space="0"/>
              <w:right w:val="single" w:color="auto" w:sz="4" w:space="0"/>
            </w:tcBorders>
            <w:vAlign w:val="center"/>
          </w:tcPr>
          <w:p w14:paraId="7BE3B3B4">
            <w:pPr>
              <w:pStyle w:val="9"/>
              <w:topLinePunct/>
              <w:adjustRightInd w:val="0"/>
              <w:snapToGrid w:val="0"/>
              <w:spacing w:line="360" w:lineRule="auto"/>
              <w:ind w:left="470" w:leftChars="24" w:hanging="420" w:hangingChars="175"/>
              <w:outlineLvl w:val="9"/>
              <w:rPr>
                <w:rFonts w:hint="default" w:eastAsia="宋体" w:asciiTheme="minorEastAsia" w:hAnsiTheme="minorEastAsia" w:cstheme="minorEastAsia"/>
                <w:color w:val="auto"/>
                <w:sz w:val="24"/>
                <w:szCs w:val="24"/>
                <w:lang w:val="en-US" w:eastAsia="zh-CN"/>
              </w:rPr>
            </w:pPr>
            <w:r>
              <w:rPr>
                <w:rFonts w:hint="eastAsia"/>
                <w:color w:val="auto"/>
                <w:sz w:val="24"/>
              </w:rPr>
              <w:t>综合评分法</w:t>
            </w:r>
          </w:p>
        </w:tc>
      </w:tr>
      <w:tr w14:paraId="219A4187">
        <w:tblPrEx>
          <w:tblCellMar>
            <w:top w:w="0" w:type="dxa"/>
            <w:left w:w="108" w:type="dxa"/>
            <w:bottom w:w="0" w:type="dxa"/>
            <w:right w:w="108" w:type="dxa"/>
          </w:tblCellMar>
        </w:tblPrEx>
        <w:tc>
          <w:tcPr>
            <w:tcW w:w="723" w:type="dxa"/>
            <w:tcBorders>
              <w:top w:val="single" w:color="auto" w:sz="4" w:space="0"/>
              <w:left w:val="single" w:color="auto" w:sz="4" w:space="0"/>
              <w:bottom w:val="single" w:color="auto" w:sz="4" w:space="0"/>
              <w:right w:val="single" w:color="auto" w:sz="4" w:space="0"/>
            </w:tcBorders>
            <w:vAlign w:val="center"/>
          </w:tcPr>
          <w:p w14:paraId="5FCFF7BE">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18</w:t>
            </w:r>
          </w:p>
        </w:tc>
        <w:tc>
          <w:tcPr>
            <w:tcW w:w="1765" w:type="dxa"/>
            <w:tcBorders>
              <w:top w:val="single" w:color="auto" w:sz="4" w:space="0"/>
              <w:left w:val="single" w:color="auto" w:sz="4" w:space="0"/>
              <w:bottom w:val="single" w:color="auto" w:sz="4" w:space="0"/>
              <w:right w:val="single" w:color="auto" w:sz="4" w:space="0"/>
            </w:tcBorders>
            <w:vAlign w:val="center"/>
          </w:tcPr>
          <w:p w14:paraId="7A1460A7">
            <w:pPr>
              <w:adjustRightInd w:val="0"/>
              <w:snapToGrid w:val="0"/>
              <w:spacing w:line="360" w:lineRule="auto"/>
              <w:jc w:val="center"/>
              <w:outlineLvl w:val="9"/>
              <w:rPr>
                <w:rFonts w:asciiTheme="minorEastAsia" w:hAnsiTheme="minorEastAsia" w:eastAsiaTheme="minorEastAsia" w:cstheme="minorEastAsia"/>
                <w:color w:val="auto"/>
                <w:sz w:val="24"/>
                <w:szCs w:val="24"/>
              </w:rPr>
            </w:pPr>
            <w:r>
              <w:rPr>
                <w:rFonts w:hint="eastAsia"/>
                <w:color w:val="auto"/>
                <w:sz w:val="24"/>
              </w:rPr>
              <w:t>合同签订</w:t>
            </w:r>
          </w:p>
        </w:tc>
        <w:tc>
          <w:tcPr>
            <w:tcW w:w="7515" w:type="dxa"/>
            <w:tcBorders>
              <w:top w:val="single" w:color="auto" w:sz="4" w:space="0"/>
              <w:left w:val="single" w:color="auto" w:sz="4" w:space="0"/>
              <w:bottom w:val="single" w:color="auto" w:sz="4" w:space="0"/>
              <w:right w:val="single" w:color="auto" w:sz="4" w:space="0"/>
            </w:tcBorders>
            <w:vAlign w:val="center"/>
          </w:tcPr>
          <w:p w14:paraId="205CEBC1">
            <w:pPr>
              <w:pStyle w:val="9"/>
              <w:topLinePunct/>
              <w:adjustRightInd w:val="0"/>
              <w:snapToGrid w:val="0"/>
              <w:spacing w:line="360" w:lineRule="auto"/>
              <w:ind w:left="470" w:leftChars="24" w:hanging="420" w:hangingChars="175"/>
              <w:outlineLvl w:val="9"/>
              <w:rPr>
                <w:rFonts w:asciiTheme="minorEastAsia" w:hAnsiTheme="minorEastAsia" w:eastAsiaTheme="minorEastAsia" w:cstheme="minorEastAsia"/>
                <w:color w:val="auto"/>
                <w:sz w:val="24"/>
                <w:szCs w:val="24"/>
              </w:rPr>
            </w:pPr>
            <w:r>
              <w:rPr>
                <w:rFonts w:hint="eastAsia"/>
                <w:color w:val="auto"/>
                <w:sz w:val="24"/>
                <w:lang w:eastAsia="zh-CN"/>
              </w:rPr>
              <w:t>成交供应商</w:t>
            </w:r>
            <w:r>
              <w:rPr>
                <w:rFonts w:hint="eastAsia"/>
                <w:color w:val="auto"/>
                <w:sz w:val="24"/>
              </w:rPr>
              <w:t>与</w:t>
            </w:r>
            <w:r>
              <w:rPr>
                <w:rFonts w:hint="eastAsia"/>
                <w:color w:val="auto"/>
                <w:sz w:val="24"/>
                <w:lang w:eastAsia="zh-CN"/>
              </w:rPr>
              <w:t>采购人</w:t>
            </w:r>
            <w:r>
              <w:rPr>
                <w:rFonts w:hint="eastAsia"/>
                <w:color w:val="auto"/>
                <w:sz w:val="24"/>
              </w:rPr>
              <w:t>签订合同。</w:t>
            </w:r>
          </w:p>
        </w:tc>
      </w:tr>
      <w:tr w14:paraId="74F39F7B">
        <w:tblPrEx>
          <w:tblCellMar>
            <w:top w:w="0" w:type="dxa"/>
            <w:left w:w="108" w:type="dxa"/>
            <w:bottom w:w="0" w:type="dxa"/>
            <w:right w:w="108" w:type="dxa"/>
          </w:tblCellMar>
        </w:tblPrEx>
        <w:trPr>
          <w:trHeight w:val="396" w:hRule="atLeast"/>
        </w:trPr>
        <w:tc>
          <w:tcPr>
            <w:tcW w:w="723" w:type="dxa"/>
            <w:tcBorders>
              <w:top w:val="single" w:color="auto" w:sz="4" w:space="0"/>
              <w:left w:val="single" w:color="auto" w:sz="4" w:space="0"/>
              <w:bottom w:val="single" w:color="auto" w:sz="4" w:space="0"/>
              <w:right w:val="single" w:color="auto" w:sz="4" w:space="0"/>
            </w:tcBorders>
            <w:vAlign w:val="center"/>
          </w:tcPr>
          <w:p w14:paraId="71161970">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19</w:t>
            </w:r>
          </w:p>
        </w:tc>
        <w:tc>
          <w:tcPr>
            <w:tcW w:w="1765" w:type="dxa"/>
            <w:tcBorders>
              <w:top w:val="single" w:color="auto" w:sz="4" w:space="0"/>
              <w:left w:val="single" w:color="auto" w:sz="4" w:space="0"/>
              <w:bottom w:val="single" w:color="auto" w:sz="4" w:space="0"/>
              <w:right w:val="single" w:color="auto" w:sz="4" w:space="0"/>
            </w:tcBorders>
            <w:vAlign w:val="center"/>
          </w:tcPr>
          <w:p w14:paraId="6F9AEF1E">
            <w:pPr>
              <w:adjustRightInd w:val="0"/>
              <w:snapToGrid w:val="0"/>
              <w:spacing w:line="360" w:lineRule="auto"/>
              <w:jc w:val="center"/>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是否退还竞争性磋商响应文件</w:t>
            </w:r>
          </w:p>
        </w:tc>
        <w:tc>
          <w:tcPr>
            <w:tcW w:w="7515" w:type="dxa"/>
            <w:tcBorders>
              <w:top w:val="single" w:color="auto" w:sz="4" w:space="0"/>
              <w:left w:val="single" w:color="auto" w:sz="4" w:space="0"/>
              <w:bottom w:val="single" w:color="auto" w:sz="4" w:space="0"/>
              <w:right w:val="single" w:color="auto" w:sz="4" w:space="0"/>
            </w:tcBorders>
            <w:vAlign w:val="center"/>
          </w:tcPr>
          <w:p w14:paraId="6232072B">
            <w:pPr>
              <w:adjustRightInd w:val="0"/>
              <w:snapToGrid w:val="0"/>
              <w:spacing w:line="360" w:lineRule="auto"/>
              <w:jc w:val="left"/>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否</w:t>
            </w:r>
          </w:p>
        </w:tc>
      </w:tr>
      <w:tr w14:paraId="7632DD31">
        <w:tblPrEx>
          <w:tblCellMar>
            <w:top w:w="0" w:type="dxa"/>
            <w:left w:w="108" w:type="dxa"/>
            <w:bottom w:w="0" w:type="dxa"/>
            <w:right w:w="108" w:type="dxa"/>
          </w:tblCellMar>
        </w:tblPrEx>
        <w:trPr>
          <w:trHeight w:val="1145" w:hRule="atLeast"/>
        </w:trPr>
        <w:tc>
          <w:tcPr>
            <w:tcW w:w="723" w:type="dxa"/>
            <w:tcBorders>
              <w:top w:val="single" w:color="auto" w:sz="4" w:space="0"/>
              <w:left w:val="single" w:color="auto" w:sz="4" w:space="0"/>
              <w:bottom w:val="single" w:color="auto" w:sz="4" w:space="0"/>
              <w:right w:val="single" w:color="auto" w:sz="4" w:space="0"/>
            </w:tcBorders>
            <w:vAlign w:val="center"/>
          </w:tcPr>
          <w:p w14:paraId="315FF326">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w:t>
            </w:r>
          </w:p>
        </w:tc>
        <w:tc>
          <w:tcPr>
            <w:tcW w:w="1765" w:type="dxa"/>
            <w:tcBorders>
              <w:top w:val="single" w:color="auto" w:sz="4" w:space="0"/>
              <w:left w:val="single" w:color="auto" w:sz="4" w:space="0"/>
              <w:bottom w:val="single" w:color="auto" w:sz="4" w:space="0"/>
              <w:right w:val="single" w:color="auto" w:sz="4" w:space="0"/>
            </w:tcBorders>
            <w:vAlign w:val="center"/>
          </w:tcPr>
          <w:p w14:paraId="44BBF68F">
            <w:pPr>
              <w:widowControl/>
              <w:adjustRightInd w:val="0"/>
              <w:snapToGrid w:val="0"/>
              <w:jc w:val="center"/>
              <w:textAlignment w:val="center"/>
              <w:outlineLvl w:val="9"/>
              <w:rPr>
                <w:rFonts w:asciiTheme="minorEastAsia" w:hAnsiTheme="minorEastAsia" w:eastAsiaTheme="minorEastAsia" w:cstheme="minorEastAsia"/>
                <w:color w:val="auto"/>
                <w:sz w:val="24"/>
                <w:szCs w:val="24"/>
              </w:rPr>
            </w:pPr>
            <w:r>
              <w:rPr>
                <w:rFonts w:hint="eastAsia" w:ascii="Times New Roman" w:hAnsi="Times New Roman" w:eastAsia="宋体" w:cs="Times New Roman"/>
                <w:color w:val="auto"/>
                <w:kern w:val="2"/>
                <w:sz w:val="24"/>
                <w:szCs w:val="16"/>
                <w:lang w:val="en-US" w:eastAsia="zh-CN" w:bidi="ar-SA"/>
              </w:rPr>
              <w:t>澄清修改</w:t>
            </w:r>
          </w:p>
        </w:tc>
        <w:tc>
          <w:tcPr>
            <w:tcW w:w="7515" w:type="dxa"/>
            <w:tcBorders>
              <w:top w:val="single" w:color="auto" w:sz="4" w:space="0"/>
              <w:left w:val="single" w:color="auto" w:sz="4" w:space="0"/>
              <w:bottom w:val="single" w:color="auto" w:sz="4" w:space="0"/>
              <w:right w:val="single" w:color="auto" w:sz="4" w:space="0"/>
            </w:tcBorders>
            <w:vAlign w:val="center"/>
          </w:tcPr>
          <w:p w14:paraId="68F96905">
            <w:pPr>
              <w:widowControl/>
              <w:adjustRightInd w:val="0"/>
              <w:snapToGrid w:val="0"/>
              <w:spacing w:line="360" w:lineRule="auto"/>
              <w:jc w:val="left"/>
              <w:textAlignment w:val="center"/>
              <w:outlineLvl w:val="9"/>
              <w:rPr>
                <w:rFonts w:asciiTheme="minorEastAsia" w:hAnsiTheme="minorEastAsia" w:eastAsiaTheme="minorEastAsia" w:cstheme="minorEastAsia"/>
                <w:color w:val="auto"/>
                <w:sz w:val="24"/>
                <w:szCs w:val="24"/>
              </w:rPr>
            </w:pPr>
            <w:r>
              <w:rPr>
                <w:rFonts w:hint="eastAsia" w:ascii="Times New Roman" w:hAnsi="Times New Roman" w:eastAsia="宋体" w:cs="Times New Roman"/>
                <w:color w:val="auto"/>
                <w:kern w:val="2"/>
                <w:sz w:val="24"/>
                <w:szCs w:val="16"/>
                <w:lang w:val="en-US" w:eastAsia="zh-CN" w:bidi="ar-SA"/>
              </w:rPr>
              <w:t>澄清或者修改应当在提交首次响应文件截止之日5天前，以书面形式通知所有领取竞争性磋商文件的供应商，不足5天的，应当顺延提交首次响应文件的截止日期。</w:t>
            </w:r>
          </w:p>
        </w:tc>
      </w:tr>
      <w:tr w14:paraId="20A6E53B">
        <w:tblPrEx>
          <w:tblCellMar>
            <w:top w:w="0" w:type="dxa"/>
            <w:left w:w="108" w:type="dxa"/>
            <w:bottom w:w="0" w:type="dxa"/>
            <w:right w:w="108" w:type="dxa"/>
          </w:tblCellMar>
        </w:tblPrEx>
        <w:trPr>
          <w:trHeight w:val="600" w:hRule="atLeast"/>
        </w:trPr>
        <w:tc>
          <w:tcPr>
            <w:tcW w:w="723" w:type="dxa"/>
            <w:tcBorders>
              <w:top w:val="single" w:color="auto" w:sz="4" w:space="0"/>
              <w:left w:val="single" w:color="auto" w:sz="4" w:space="0"/>
              <w:bottom w:val="single" w:color="auto" w:sz="4" w:space="0"/>
              <w:right w:val="single" w:color="auto" w:sz="4" w:space="0"/>
            </w:tcBorders>
            <w:vAlign w:val="center"/>
          </w:tcPr>
          <w:p w14:paraId="36CE35A1">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21</w:t>
            </w:r>
          </w:p>
        </w:tc>
        <w:tc>
          <w:tcPr>
            <w:tcW w:w="1765" w:type="dxa"/>
            <w:tcBorders>
              <w:top w:val="single" w:color="auto" w:sz="4" w:space="0"/>
              <w:left w:val="single" w:color="auto" w:sz="4" w:space="0"/>
              <w:bottom w:val="single" w:color="auto" w:sz="4" w:space="0"/>
              <w:right w:val="single" w:color="auto" w:sz="4" w:space="0"/>
            </w:tcBorders>
            <w:vAlign w:val="center"/>
          </w:tcPr>
          <w:p w14:paraId="26854D55">
            <w:pPr>
              <w:widowControl/>
              <w:adjustRightInd w:val="0"/>
              <w:snapToGrid w:val="0"/>
              <w:jc w:val="center"/>
              <w:textAlignment w:val="center"/>
              <w:outlineLvl w:val="9"/>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Times New Roman"/>
                <w:color w:val="auto"/>
                <w:sz w:val="24"/>
                <w:szCs w:val="24"/>
              </w:rPr>
              <w:t>投标偏离</w:t>
            </w:r>
          </w:p>
        </w:tc>
        <w:tc>
          <w:tcPr>
            <w:tcW w:w="7515" w:type="dxa"/>
            <w:tcBorders>
              <w:top w:val="single" w:color="auto" w:sz="4" w:space="0"/>
              <w:left w:val="single" w:color="auto" w:sz="4" w:space="0"/>
              <w:bottom w:val="single" w:color="auto" w:sz="4" w:space="0"/>
              <w:right w:val="single" w:color="auto" w:sz="4" w:space="0"/>
            </w:tcBorders>
            <w:vAlign w:val="center"/>
          </w:tcPr>
          <w:p w14:paraId="60FAD49D">
            <w:pPr>
              <w:widowControl/>
              <w:adjustRightInd w:val="0"/>
              <w:snapToGrid w:val="0"/>
              <w:spacing w:line="360" w:lineRule="auto"/>
              <w:jc w:val="left"/>
              <w:textAlignment w:val="center"/>
              <w:outlineLvl w:val="9"/>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Times New Roman"/>
                <w:color w:val="auto"/>
                <w:sz w:val="24"/>
                <w:szCs w:val="24"/>
              </w:rPr>
              <w:t>投标文件中存在对招标文件的实质性负偏离</w:t>
            </w:r>
            <w:r>
              <w:rPr>
                <w:rFonts w:hint="eastAsia" w:ascii="宋体" w:hAnsi="宋体" w:eastAsia="宋体" w:cs="Times New Roman"/>
                <w:color w:val="auto"/>
                <w:sz w:val="24"/>
                <w:szCs w:val="24"/>
                <w:lang w:eastAsia="zh-CN"/>
              </w:rPr>
              <w:t>的</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视</w:t>
            </w:r>
            <w:r>
              <w:rPr>
                <w:rFonts w:hint="eastAsia" w:ascii="宋体" w:hAnsi="宋体" w:eastAsia="宋体" w:cs="Times New Roman"/>
                <w:color w:val="auto"/>
                <w:sz w:val="24"/>
                <w:szCs w:val="24"/>
              </w:rPr>
              <w:t>为无效投标。</w:t>
            </w:r>
          </w:p>
        </w:tc>
      </w:tr>
      <w:tr w14:paraId="3936F395">
        <w:tblPrEx>
          <w:tblCellMar>
            <w:top w:w="0" w:type="dxa"/>
            <w:left w:w="108" w:type="dxa"/>
            <w:bottom w:w="0" w:type="dxa"/>
            <w:right w:w="108" w:type="dxa"/>
          </w:tblCellMar>
        </w:tblPrEx>
        <w:trPr>
          <w:trHeight w:val="698" w:hRule="atLeast"/>
        </w:trPr>
        <w:tc>
          <w:tcPr>
            <w:tcW w:w="723" w:type="dxa"/>
            <w:tcBorders>
              <w:top w:val="single" w:color="auto" w:sz="4" w:space="0"/>
              <w:left w:val="single" w:color="auto" w:sz="4" w:space="0"/>
              <w:bottom w:val="single" w:color="auto" w:sz="4" w:space="0"/>
              <w:right w:val="single" w:color="auto" w:sz="4" w:space="0"/>
            </w:tcBorders>
            <w:vAlign w:val="center"/>
          </w:tcPr>
          <w:p w14:paraId="3076EA99">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22</w:t>
            </w:r>
          </w:p>
        </w:tc>
        <w:tc>
          <w:tcPr>
            <w:tcW w:w="1765" w:type="dxa"/>
            <w:tcBorders>
              <w:top w:val="single" w:color="auto" w:sz="4" w:space="0"/>
              <w:left w:val="single" w:color="auto" w:sz="4" w:space="0"/>
              <w:bottom w:val="single" w:color="auto" w:sz="4" w:space="0"/>
              <w:right w:val="single" w:color="auto" w:sz="4" w:space="0"/>
            </w:tcBorders>
            <w:vAlign w:val="center"/>
          </w:tcPr>
          <w:p w14:paraId="14233561">
            <w:pPr>
              <w:widowControl/>
              <w:adjustRightInd w:val="0"/>
              <w:snapToGrid w:val="0"/>
              <w:jc w:val="center"/>
              <w:textAlignment w:val="center"/>
              <w:outlineLvl w:val="9"/>
              <w:rPr>
                <w:rFonts w:hint="eastAsia" w:ascii="宋体" w:hAnsi="宋体" w:eastAsia="宋体" w:cs="Times New Roman"/>
                <w:color w:val="auto"/>
                <w:kern w:val="2"/>
                <w:sz w:val="24"/>
                <w:szCs w:val="24"/>
                <w:lang w:val="en-US" w:eastAsia="zh-CN" w:bidi="ar-SA"/>
              </w:rPr>
            </w:pPr>
            <w:r>
              <w:rPr>
                <w:rFonts w:hint="eastAsia" w:ascii="宋体" w:hAnsi="宋体" w:cs="宋体"/>
                <w:color w:val="auto"/>
                <w:sz w:val="24"/>
              </w:rPr>
              <w:t>支持中小企业发展</w:t>
            </w:r>
          </w:p>
        </w:tc>
        <w:tc>
          <w:tcPr>
            <w:tcW w:w="7515" w:type="dxa"/>
            <w:tcBorders>
              <w:top w:val="single" w:color="auto" w:sz="4" w:space="0"/>
              <w:left w:val="single" w:color="auto" w:sz="4" w:space="0"/>
              <w:bottom w:val="single" w:color="auto" w:sz="4" w:space="0"/>
              <w:right w:val="single" w:color="auto" w:sz="4" w:space="0"/>
            </w:tcBorders>
            <w:vAlign w:val="center"/>
          </w:tcPr>
          <w:p w14:paraId="433842D2">
            <w:pPr>
              <w:adjustRightInd w:val="0"/>
              <w:snapToGrid w:val="0"/>
              <w:spacing w:line="360" w:lineRule="auto"/>
              <w:outlineLvl w:val="9"/>
              <w:rPr>
                <w:rFonts w:hint="eastAsia" w:ascii="宋体" w:hAnsi="宋体" w:cs="宋体"/>
                <w:color w:val="auto"/>
                <w:sz w:val="24"/>
              </w:rPr>
            </w:pPr>
            <w:r>
              <w:rPr>
                <w:rFonts w:hint="eastAsia" w:ascii="宋体" w:hAnsi="宋体" w:cs="宋体"/>
                <w:color w:val="auto"/>
                <w:sz w:val="24"/>
              </w:rPr>
              <w:t>支持中小企业发展</w:t>
            </w:r>
          </w:p>
          <w:p w14:paraId="77AA30D3">
            <w:pPr>
              <w:adjustRightInd w:val="0"/>
              <w:snapToGrid w:val="0"/>
              <w:spacing w:line="360" w:lineRule="auto"/>
              <w:outlineLvl w:val="9"/>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eq \o\ac(□</w:instrText>
            </w:r>
            <w:r>
              <w:rPr>
                <w:rFonts w:hint="eastAsia" w:ascii="宋体" w:hAnsi="宋体" w:cs="宋体"/>
                <w:color w:val="auto"/>
                <w:sz w:val="24"/>
                <w:lang w:eastAsia="zh-CN"/>
              </w:rPr>
              <w:instrText xml:space="preserve">,</w:instrText>
            </w:r>
            <w:r>
              <w:rPr>
                <w:rFonts w:hint="eastAsia" w:ascii="宋体" w:hAnsi="宋体" w:cs="宋体"/>
                <w:color w:val="auto"/>
                <w:position w:val="2"/>
                <w:sz w:val="16"/>
                <w:lang w:eastAsia="zh-CN"/>
              </w:rPr>
              <w:instrText xml:space="preserve">√</w:instrText>
            </w:r>
            <w:r>
              <w:rPr>
                <w:rFonts w:hint="eastAsia" w:ascii="宋体" w:hAnsi="宋体" w:cs="宋体"/>
                <w:color w:val="auto"/>
                <w:sz w:val="24"/>
              </w:rPr>
              <w:instrText xml:space="preserve">)</w:instrText>
            </w:r>
            <w:r>
              <w:rPr>
                <w:rFonts w:hint="eastAsia" w:ascii="宋体" w:hAnsi="宋体" w:cs="宋体"/>
                <w:color w:val="auto"/>
                <w:sz w:val="24"/>
              </w:rPr>
              <w:fldChar w:fldCharType="end"/>
            </w:r>
            <w:r>
              <w:rPr>
                <w:rFonts w:hint="eastAsia" w:ascii="宋体" w:hAnsi="宋体" w:cs="宋体"/>
                <w:color w:val="auto"/>
                <w:sz w:val="24"/>
              </w:rPr>
              <w:t>专门面向中小企业采购项目</w:t>
            </w:r>
          </w:p>
          <w:p w14:paraId="50547ADF">
            <w:pPr>
              <w:adjustRightInd w:val="0"/>
              <w:snapToGrid w:val="0"/>
              <w:spacing w:line="360" w:lineRule="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本项目专门面向小微企业采购，故不再执行价格评审优惠；</w:t>
            </w:r>
          </w:p>
          <w:p w14:paraId="056287CB">
            <w:pPr>
              <w:adjustRightInd w:val="0"/>
              <w:snapToGrid w:val="0"/>
              <w:spacing w:line="360" w:lineRule="auto"/>
              <w:outlineLvl w:val="9"/>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eq \o\ac(□)</w:instrText>
            </w:r>
            <w:r>
              <w:rPr>
                <w:rFonts w:hint="eastAsia" w:ascii="宋体" w:hAnsi="宋体" w:cs="宋体"/>
                <w:color w:val="auto"/>
                <w:sz w:val="24"/>
              </w:rPr>
              <w:fldChar w:fldCharType="end"/>
            </w:r>
            <w:r>
              <w:rPr>
                <w:rFonts w:hint="eastAsia" w:ascii="宋体" w:hAnsi="宋体" w:cs="宋体"/>
                <w:color w:val="auto"/>
                <w:sz w:val="24"/>
              </w:rPr>
              <w:t>非专门面向中小企业采购项目（价格扣除）：</w:t>
            </w:r>
          </w:p>
          <w:p w14:paraId="363FA3D6">
            <w:pPr>
              <w:adjustRightInd w:val="0"/>
              <w:snapToGrid w:val="0"/>
              <w:spacing w:line="360" w:lineRule="auto"/>
              <w:outlineLvl w:val="9"/>
              <w:rPr>
                <w:rFonts w:hint="eastAsia" w:ascii="宋体" w:hAnsi="宋体" w:cs="宋体"/>
                <w:color w:val="auto"/>
                <w:sz w:val="24"/>
              </w:rPr>
            </w:pPr>
            <w:r>
              <w:rPr>
                <w:rFonts w:hint="eastAsia" w:ascii="宋体" w:hAnsi="宋体" w:cs="宋体"/>
                <w:color w:val="auto"/>
                <w:sz w:val="24"/>
              </w:rPr>
              <w:sym w:font="Wingdings" w:char="F081"/>
            </w:r>
            <w:r>
              <w:rPr>
                <w:rFonts w:hint="eastAsia" w:ascii="宋体" w:hAnsi="宋体" w:cs="宋体"/>
                <w:color w:val="auto"/>
                <w:sz w:val="24"/>
              </w:rPr>
              <w:t>对小型和微型企业产品的价格给与</w:t>
            </w:r>
            <w:r>
              <w:rPr>
                <w:rFonts w:hint="eastAsia" w:ascii="宋体" w:hAnsi="宋体" w:cs="宋体"/>
                <w:color w:val="auto"/>
                <w:sz w:val="24"/>
                <w:lang w:val="en-US" w:eastAsia="zh-CN"/>
              </w:rPr>
              <w:t>10%-20</w:t>
            </w:r>
            <w:r>
              <w:rPr>
                <w:rFonts w:hint="eastAsia" w:ascii="宋体" w:hAnsi="宋体" w:cs="宋体"/>
                <w:color w:val="auto"/>
                <w:sz w:val="24"/>
              </w:rPr>
              <w:t>%的扣除，用扣除后的价格参与评审。项目的扣除比例为：小微企业扣除</w:t>
            </w:r>
            <w:r>
              <w:rPr>
                <w:rFonts w:hint="eastAsia" w:ascii="宋体" w:hAnsi="宋体" w:cs="宋体"/>
                <w:color w:val="auto"/>
                <w:sz w:val="24"/>
                <w:lang w:eastAsia="zh-CN"/>
              </w:rPr>
              <w:t>20%。</w:t>
            </w:r>
          </w:p>
          <w:p w14:paraId="7F04128F">
            <w:pPr>
              <w:adjustRightInd w:val="0"/>
              <w:snapToGrid w:val="0"/>
              <w:spacing w:line="360" w:lineRule="auto"/>
              <w:outlineLvl w:val="9"/>
              <w:rPr>
                <w:rFonts w:hint="eastAsia" w:ascii="宋体" w:hAnsi="宋体" w:eastAsia="宋体" w:cs="Times New Roman"/>
                <w:color w:val="auto"/>
                <w:kern w:val="2"/>
                <w:sz w:val="24"/>
                <w:szCs w:val="24"/>
                <w:lang w:val="en-US" w:eastAsia="zh-CN" w:bidi="ar-SA"/>
              </w:rPr>
            </w:pPr>
            <w:r>
              <w:rPr>
                <w:rFonts w:ascii="宋体" w:hAnsi="宋体" w:cs="宋体"/>
                <w:color w:val="auto"/>
                <w:sz w:val="24"/>
              </w:rPr>
              <w:sym w:font="Wingdings" w:char="F082"/>
            </w:r>
            <w:r>
              <w:rPr>
                <w:rFonts w:hint="eastAsia" w:ascii="宋体" w:hAnsi="宋体" w:cs="宋体"/>
                <w:color w:val="auto"/>
                <w:sz w:val="24"/>
              </w:rPr>
              <w:t>项目接收联合体投标的，若小型和微型企业的协议合同金额占到联合体协议合同金额30%以上的，可给予联合体</w:t>
            </w:r>
            <w:r>
              <w:rPr>
                <w:rFonts w:hint="eastAsia" w:ascii="宋体" w:hAnsi="宋体" w:cs="宋体"/>
                <w:color w:val="auto"/>
                <w:sz w:val="24"/>
                <w:lang w:val="en-US" w:eastAsia="zh-CN"/>
              </w:rPr>
              <w:t>4%-6</w:t>
            </w:r>
            <w:r>
              <w:rPr>
                <w:rFonts w:hint="eastAsia" w:ascii="宋体" w:hAnsi="宋体" w:cs="宋体"/>
                <w:color w:val="auto"/>
                <w:sz w:val="24"/>
              </w:rPr>
              <w:t>%的扣除，用扣除后的价格参与评审。项目的扣除比例为：</w:t>
            </w:r>
            <w:r>
              <w:rPr>
                <w:rFonts w:hint="eastAsia" w:ascii="宋体" w:hAnsi="宋体" w:cs="宋体"/>
                <w:color w:val="auto"/>
                <w:sz w:val="24"/>
                <w:lang w:val="en-US" w:eastAsia="zh-CN"/>
              </w:rPr>
              <w:t>6</w:t>
            </w:r>
            <w:r>
              <w:rPr>
                <w:rFonts w:hint="eastAsia" w:ascii="宋体" w:hAnsi="宋体" w:cs="宋体"/>
                <w:color w:val="auto"/>
                <w:sz w:val="24"/>
              </w:rPr>
              <w:t>%。</w:t>
            </w:r>
          </w:p>
        </w:tc>
      </w:tr>
      <w:tr w14:paraId="28041E7F">
        <w:tblPrEx>
          <w:tblCellMar>
            <w:top w:w="0" w:type="dxa"/>
            <w:left w:w="108" w:type="dxa"/>
            <w:bottom w:w="0" w:type="dxa"/>
            <w:right w:w="108" w:type="dxa"/>
          </w:tblCellMar>
        </w:tblPrEx>
        <w:trPr>
          <w:trHeight w:val="698" w:hRule="atLeast"/>
        </w:trPr>
        <w:tc>
          <w:tcPr>
            <w:tcW w:w="723" w:type="dxa"/>
            <w:tcBorders>
              <w:top w:val="single" w:color="auto" w:sz="4" w:space="0"/>
              <w:left w:val="single" w:color="auto" w:sz="4" w:space="0"/>
              <w:bottom w:val="single" w:color="auto" w:sz="4" w:space="0"/>
              <w:right w:val="single" w:color="auto" w:sz="4" w:space="0"/>
            </w:tcBorders>
            <w:vAlign w:val="center"/>
          </w:tcPr>
          <w:p w14:paraId="5843589B">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23</w:t>
            </w:r>
          </w:p>
        </w:tc>
        <w:tc>
          <w:tcPr>
            <w:tcW w:w="1765" w:type="dxa"/>
            <w:tcBorders>
              <w:top w:val="single" w:color="auto" w:sz="4" w:space="0"/>
              <w:left w:val="single" w:color="auto" w:sz="4" w:space="0"/>
              <w:bottom w:val="single" w:color="auto" w:sz="4" w:space="0"/>
              <w:right w:val="single" w:color="auto" w:sz="4" w:space="0"/>
            </w:tcBorders>
            <w:vAlign w:val="center"/>
          </w:tcPr>
          <w:p w14:paraId="1E5171A3">
            <w:pPr>
              <w:widowControl/>
              <w:adjustRightInd w:val="0"/>
              <w:snapToGrid w:val="0"/>
              <w:jc w:val="center"/>
              <w:textAlignment w:val="center"/>
              <w:outlineLvl w:val="9"/>
              <w:rPr>
                <w:rFonts w:hint="default" w:ascii="Times New Roman" w:hAnsi="Times New Roman" w:eastAsia="宋体" w:cs="Times New Roman"/>
                <w:color w:val="auto"/>
                <w:kern w:val="2"/>
                <w:sz w:val="24"/>
                <w:lang w:val="en-US" w:eastAsia="zh-CN" w:bidi="ar-SA"/>
              </w:rPr>
            </w:pPr>
            <w:r>
              <w:rPr>
                <w:rFonts w:hint="eastAsia" w:cs="Times New Roman"/>
                <w:color w:val="auto"/>
                <w:kern w:val="2"/>
                <w:sz w:val="24"/>
                <w:lang w:val="en-US" w:eastAsia="zh-CN" w:bidi="ar-SA"/>
              </w:rPr>
              <w:t>中小企业的划分</w:t>
            </w:r>
          </w:p>
        </w:tc>
        <w:tc>
          <w:tcPr>
            <w:tcW w:w="7515" w:type="dxa"/>
            <w:tcBorders>
              <w:top w:val="single" w:color="auto" w:sz="4" w:space="0"/>
              <w:left w:val="single" w:color="auto" w:sz="4" w:space="0"/>
              <w:bottom w:val="single" w:color="auto" w:sz="4" w:space="0"/>
              <w:right w:val="single" w:color="auto" w:sz="4" w:space="0"/>
            </w:tcBorders>
            <w:vAlign w:val="center"/>
          </w:tcPr>
          <w:p w14:paraId="4A03A561">
            <w:pPr>
              <w:adjustRightInd w:val="0"/>
              <w:snapToGrid w:val="0"/>
              <w:spacing w:line="360" w:lineRule="auto"/>
              <w:outlineLvl w:val="9"/>
              <w:rPr>
                <w:rFonts w:hint="eastAsia" w:ascii="宋体" w:hAnsi="宋体" w:cs="宋体"/>
                <w:color w:val="auto"/>
                <w:sz w:val="24"/>
              </w:rPr>
            </w:pPr>
            <w:r>
              <w:rPr>
                <w:rFonts w:hint="eastAsia" w:ascii="宋体" w:hAnsi="宋体" w:cs="宋体"/>
                <w:color w:val="auto"/>
                <w:sz w:val="24"/>
              </w:rPr>
              <w:t>各行业划分标准具体为</w:t>
            </w:r>
          </w:p>
          <w:p w14:paraId="4D87F7B3">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1、农、林、牧、渔业。营业收入20000万元以下的为中小微型企业。其中，营业收入500万元及以上的为中型企业,营业收入50万元及以上的为小型企业，营业收入50万元以下的为微型企业。　　</w:t>
            </w:r>
          </w:p>
          <w:p w14:paraId="1DCFE543">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76ECB3FE">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3、建筑业</w:t>
            </w:r>
            <w:r>
              <w:rPr>
                <w:rFonts w:hint="eastAsia" w:ascii="宋体" w:hAnsi="宋体" w:eastAsia="宋体" w:cs="宋体"/>
                <w:color w:val="auto"/>
                <w:sz w:val="24"/>
                <w:lang w:eastAsia="zh-CN"/>
              </w:rPr>
              <w:t>。</w:t>
            </w:r>
            <w:r>
              <w:rPr>
                <w:rFonts w:hint="eastAsia" w:ascii="宋体" w:hAnsi="宋体" w:eastAsia="宋体" w:cs="宋体"/>
                <w:color w:val="auto"/>
                <w:sz w:val="24"/>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14:paraId="23A48483">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4、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14:paraId="4F08CF5F">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5、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15F21380">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6、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14:paraId="4B379287">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7、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　　</w:t>
            </w:r>
          </w:p>
          <w:p w14:paraId="635AC38B">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8、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0D165D5D">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9、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6D70A73C">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10、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01B7741B">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11、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29BA955F">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12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14:paraId="41E38EC1">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13、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14:paraId="6B30AFFE">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14、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14:paraId="30EC507F">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15、租赁和商务服务业。从业人员300人以下或资产总额120000万元以下的为中小微型企业.其中，从业人员100人及以上，且资产总额8000万元及以上的为中型企业；从业人员10人及以上，且资产总额100万元及以上的为小型企业。</w:t>
            </w:r>
          </w:p>
          <w:p w14:paraId="43B4E40D">
            <w:pPr>
              <w:adjustRightInd w:val="0"/>
              <w:snapToGrid w:val="0"/>
              <w:spacing w:line="360" w:lineRule="auto"/>
              <w:outlineLvl w:val="9"/>
              <w:rPr>
                <w:rFonts w:hint="eastAsia"/>
                <w:color w:val="auto"/>
              </w:rPr>
            </w:pPr>
            <w:r>
              <w:rPr>
                <w:rFonts w:hint="eastAsia" w:ascii="宋体" w:hAnsi="宋体" w:eastAsia="宋体" w:cs="宋体"/>
                <w:color w:val="auto"/>
                <w:sz w:val="24"/>
                <w:lang w:val="en-US" w:eastAsia="zh-CN"/>
              </w:rPr>
              <w:t>16、其他未列明行业.从业人员300人以下的为中小微型企业。其中，从业人员100人及以上的为中型企业;从业人员10人及以上的为小型企业；从业人员10人以下的为微型企业。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auto"/>
                <w:sz w:val="24"/>
              </w:rPr>
              <w:t>　</w:t>
            </w:r>
          </w:p>
          <w:p w14:paraId="6E360D45">
            <w:pPr>
              <w:pStyle w:val="10"/>
              <w:outlineLvl w:val="9"/>
              <w:rPr>
                <w:rFonts w:hint="eastAsia" w:ascii="Times New Roman" w:hAnsi="Times New Roman" w:eastAsia="宋体" w:cs="Times New Roman"/>
                <w:color w:val="auto"/>
                <w:kern w:val="2"/>
                <w:sz w:val="24"/>
                <w:lang w:val="en-US" w:eastAsia="zh-CN" w:bidi="ar-SA"/>
              </w:rPr>
            </w:pPr>
            <w:r>
              <w:rPr>
                <w:rFonts w:hint="eastAsia" w:ascii="宋体" w:hAnsi="宋体" w:eastAsia="宋体" w:cs="宋体"/>
                <w:b/>
                <w:bCs/>
                <w:color w:val="auto"/>
                <w:kern w:val="2"/>
                <w:sz w:val="24"/>
                <w:szCs w:val="24"/>
                <w:lang w:val="en-US" w:eastAsia="zh-CN" w:bidi="ar-SA"/>
              </w:rPr>
              <w:t>本项目</w:t>
            </w:r>
            <w:r>
              <w:rPr>
                <w:rFonts w:hint="eastAsia" w:ascii="宋体" w:hAnsi="宋体" w:cs="宋体"/>
                <w:b/>
                <w:bCs/>
                <w:color w:val="auto"/>
                <w:kern w:val="2"/>
                <w:sz w:val="24"/>
                <w:szCs w:val="24"/>
                <w:lang w:val="en-US" w:eastAsia="zh-CN" w:bidi="ar-SA"/>
              </w:rPr>
              <w:t>所属行业</w:t>
            </w: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建筑业</w:t>
            </w:r>
          </w:p>
        </w:tc>
      </w:tr>
      <w:tr w14:paraId="4FEAC0B1">
        <w:tblPrEx>
          <w:tblCellMar>
            <w:top w:w="0" w:type="dxa"/>
            <w:left w:w="108" w:type="dxa"/>
            <w:bottom w:w="0" w:type="dxa"/>
            <w:right w:w="108" w:type="dxa"/>
          </w:tblCellMar>
        </w:tblPrEx>
        <w:trPr>
          <w:trHeight w:val="698" w:hRule="atLeast"/>
        </w:trPr>
        <w:tc>
          <w:tcPr>
            <w:tcW w:w="723" w:type="dxa"/>
            <w:tcBorders>
              <w:top w:val="single" w:color="auto" w:sz="4" w:space="0"/>
              <w:left w:val="single" w:color="auto" w:sz="4" w:space="0"/>
              <w:bottom w:val="single" w:color="auto" w:sz="4" w:space="0"/>
              <w:right w:val="single" w:color="auto" w:sz="4" w:space="0"/>
            </w:tcBorders>
            <w:vAlign w:val="center"/>
          </w:tcPr>
          <w:p w14:paraId="193CAB21">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24</w:t>
            </w:r>
          </w:p>
        </w:tc>
        <w:tc>
          <w:tcPr>
            <w:tcW w:w="1765" w:type="dxa"/>
            <w:tcBorders>
              <w:top w:val="single" w:color="auto" w:sz="4" w:space="0"/>
              <w:left w:val="single" w:color="auto" w:sz="4" w:space="0"/>
              <w:bottom w:val="single" w:color="auto" w:sz="4" w:space="0"/>
              <w:right w:val="single" w:color="auto" w:sz="4" w:space="0"/>
            </w:tcBorders>
            <w:vAlign w:val="center"/>
          </w:tcPr>
          <w:p w14:paraId="4FD7B622">
            <w:pPr>
              <w:spacing w:line="420" w:lineRule="exact"/>
              <w:jc w:val="center"/>
              <w:outlineLvl w:val="9"/>
              <w:rPr>
                <w:rFonts w:hint="default" w:ascii="宋体" w:hAnsi="宋体" w:eastAsia="宋体" w:cs="宋体"/>
                <w:color w:val="auto"/>
                <w:sz w:val="24"/>
                <w:lang w:val="en-US" w:eastAsia="zh-CN"/>
              </w:rPr>
            </w:pPr>
            <w:r>
              <w:rPr>
                <w:rFonts w:hint="eastAsia" w:ascii="宋体" w:hAnsi="宋体" w:cs="宋体"/>
                <w:color w:val="auto"/>
                <w:sz w:val="24"/>
                <w:lang w:val="en-US" w:eastAsia="zh-CN"/>
              </w:rPr>
              <w:t>代理服务费</w:t>
            </w:r>
          </w:p>
        </w:tc>
        <w:tc>
          <w:tcPr>
            <w:tcW w:w="7515" w:type="dxa"/>
            <w:tcBorders>
              <w:top w:val="single" w:color="auto" w:sz="4" w:space="0"/>
              <w:left w:val="single" w:color="auto" w:sz="4" w:space="0"/>
              <w:bottom w:val="single" w:color="auto" w:sz="4" w:space="0"/>
              <w:right w:val="single" w:color="auto" w:sz="4" w:space="0"/>
            </w:tcBorders>
            <w:vAlign w:val="center"/>
          </w:tcPr>
          <w:p w14:paraId="0E94D16B">
            <w:pPr>
              <w:adjustRightInd w:val="0"/>
              <w:snapToGrid w:val="0"/>
              <w:spacing w:line="360" w:lineRule="auto"/>
              <w:jc w:val="left"/>
              <w:outlineLvl w:val="9"/>
              <w:rPr>
                <w:rFonts w:ascii="宋体" w:hAnsi="宋体" w:cs="宋体"/>
                <w:color w:val="auto"/>
                <w:sz w:val="24"/>
                <w:szCs w:val="24"/>
              </w:rPr>
            </w:pPr>
            <w:r>
              <w:rPr>
                <w:rFonts w:hint="eastAsia" w:ascii="宋体" w:hAnsi="宋体" w:cs="仿宋_GB2312"/>
                <w:color w:val="auto"/>
                <w:sz w:val="24"/>
                <w:szCs w:val="24"/>
              </w:rPr>
              <w:t>(</w:t>
            </w:r>
            <w:bookmarkStart w:id="379" w:name="_GoBack"/>
            <w:r>
              <w:rPr>
                <w:rFonts w:hint="eastAsia"/>
                <w:color w:val="auto"/>
                <w:sz w:val="24"/>
                <w:szCs w:val="24"/>
              </w:rPr>
              <w:t>参考国家计委2002年颁发的《招标代理服务收费管理暂行办法》(计价格〔2002〕1980号)、国家发展改革委员会办公厅颁发的《关于招标代理服务费收费有关问题的通知》（发改办价格〔2003〕857号）及《调整后的招标代理服务收费标准》(发改价格〔2011〕534号)规定</w:t>
            </w:r>
            <w:bookmarkEnd w:id="379"/>
            <w:r>
              <w:rPr>
                <w:rFonts w:hint="eastAsia"/>
                <w:color w:val="auto"/>
                <w:sz w:val="24"/>
                <w:szCs w:val="24"/>
              </w:rPr>
              <w:t>由</w:t>
            </w:r>
            <w:r>
              <w:rPr>
                <w:rFonts w:hint="eastAsia"/>
                <w:color w:val="auto"/>
                <w:sz w:val="24"/>
                <w:szCs w:val="24"/>
                <w:u w:val="single"/>
                <w:lang w:val="en-US" w:eastAsia="zh-CN"/>
              </w:rPr>
              <w:t xml:space="preserve"> </w:t>
            </w:r>
            <w:r>
              <w:rPr>
                <w:rFonts w:hint="eastAsia"/>
                <w:color w:val="auto"/>
                <w:sz w:val="24"/>
                <w:szCs w:val="24"/>
                <w:u w:val="single"/>
                <w:shd w:val="clear"/>
                <w:lang w:val="en-US" w:eastAsia="zh-CN"/>
              </w:rPr>
              <w:t xml:space="preserve"> 采购人</w:t>
            </w:r>
            <w:r>
              <w:rPr>
                <w:rFonts w:hint="eastAsia"/>
                <w:color w:val="auto"/>
                <w:sz w:val="24"/>
                <w:szCs w:val="24"/>
                <w:u w:val="single"/>
                <w:lang w:val="en-US" w:eastAsia="zh-CN"/>
              </w:rPr>
              <w:t xml:space="preserve">  </w:t>
            </w:r>
            <w:r>
              <w:rPr>
                <w:rFonts w:hint="eastAsia"/>
                <w:color w:val="auto"/>
                <w:sz w:val="24"/>
                <w:szCs w:val="24"/>
              </w:rPr>
              <w:t>向</w:t>
            </w:r>
            <w:r>
              <w:rPr>
                <w:rFonts w:hint="eastAsia" w:asciiTheme="minorEastAsia" w:hAnsiTheme="minorEastAsia" w:eastAsiaTheme="minorEastAsia" w:cstheme="minorEastAsia"/>
                <w:color w:val="auto"/>
                <w:sz w:val="24"/>
                <w:szCs w:val="24"/>
                <w:lang w:eastAsia="zh-CN"/>
              </w:rPr>
              <w:t>陕安项目管理有限公司</w:t>
            </w:r>
            <w:r>
              <w:rPr>
                <w:rFonts w:hint="eastAsia"/>
                <w:color w:val="auto"/>
                <w:sz w:val="24"/>
                <w:szCs w:val="24"/>
              </w:rPr>
              <w:t>交纳招标代理服务费。</w:t>
            </w:r>
          </w:p>
          <w:p w14:paraId="77639F4F">
            <w:pPr>
              <w:keepNext w:val="0"/>
              <w:keepLines w:val="0"/>
              <w:suppressLineNumbers w:val="0"/>
              <w:spacing w:before="0" w:beforeAutospacing="0" w:after="0" w:afterAutospacing="0" w:line="360" w:lineRule="auto"/>
              <w:ind w:left="0" w:right="0"/>
              <w:outlineLvl w:val="9"/>
              <w:rPr>
                <w:rFonts w:hint="eastAsia" w:ascii="宋体" w:hAnsi="宋体" w:cs="宋体"/>
                <w:color w:val="auto"/>
                <w:sz w:val="24"/>
                <w:szCs w:val="24"/>
              </w:rPr>
            </w:pPr>
            <w:r>
              <w:rPr>
                <w:rFonts w:hint="eastAsia" w:ascii="宋体" w:hAnsi="宋体" w:cs="宋体"/>
                <w:color w:val="auto"/>
                <w:sz w:val="24"/>
                <w:szCs w:val="24"/>
              </w:rPr>
              <w:t>采购代理服务费按差额定率累进法计算：</w:t>
            </w:r>
          </w:p>
          <w:tbl>
            <w:tblPr>
              <w:tblStyle w:val="25"/>
              <w:tblpPr w:leftFromText="180" w:rightFromText="180" w:vertAnchor="text" w:horzAnchor="page" w:tblpX="665" w:tblpY="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214"/>
              <w:gridCol w:w="1444"/>
              <w:gridCol w:w="1445"/>
            </w:tblGrid>
            <w:tr w14:paraId="5BD9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049" w:type="dxa"/>
                </w:tcPr>
                <w:p w14:paraId="3D2FEAE8">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服务类型/费率/中标金额（万元）</w:t>
                  </w:r>
                </w:p>
              </w:tc>
              <w:tc>
                <w:tcPr>
                  <w:tcW w:w="1214" w:type="dxa"/>
                  <w:vAlign w:val="center"/>
                </w:tcPr>
                <w:p w14:paraId="4BB2992E">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货物招标</w:t>
                  </w:r>
                </w:p>
              </w:tc>
              <w:tc>
                <w:tcPr>
                  <w:tcW w:w="1444" w:type="dxa"/>
                  <w:vAlign w:val="center"/>
                </w:tcPr>
                <w:p w14:paraId="32FF67C6">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服务招标</w:t>
                  </w:r>
                </w:p>
              </w:tc>
              <w:tc>
                <w:tcPr>
                  <w:tcW w:w="1445" w:type="dxa"/>
                  <w:vAlign w:val="center"/>
                </w:tcPr>
                <w:p w14:paraId="08C3AA6D">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工程招标</w:t>
                  </w:r>
                </w:p>
              </w:tc>
            </w:tr>
            <w:tr w14:paraId="2413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049" w:type="dxa"/>
                </w:tcPr>
                <w:p w14:paraId="7F93B312">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100以下</w:t>
                  </w:r>
                </w:p>
              </w:tc>
              <w:tc>
                <w:tcPr>
                  <w:tcW w:w="1214" w:type="dxa"/>
                </w:tcPr>
                <w:p w14:paraId="27EFC7C0">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1.5%</w:t>
                  </w:r>
                </w:p>
              </w:tc>
              <w:tc>
                <w:tcPr>
                  <w:tcW w:w="1444" w:type="dxa"/>
                </w:tcPr>
                <w:p w14:paraId="439B1A48">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1.5%</w:t>
                  </w:r>
                </w:p>
              </w:tc>
              <w:tc>
                <w:tcPr>
                  <w:tcW w:w="1445" w:type="dxa"/>
                </w:tcPr>
                <w:p w14:paraId="6298F554">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1.0%</w:t>
                  </w:r>
                </w:p>
              </w:tc>
            </w:tr>
            <w:tr w14:paraId="657B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049" w:type="dxa"/>
                </w:tcPr>
                <w:p w14:paraId="372F0946">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100-500</w:t>
                  </w:r>
                </w:p>
              </w:tc>
              <w:tc>
                <w:tcPr>
                  <w:tcW w:w="1214" w:type="dxa"/>
                </w:tcPr>
                <w:p w14:paraId="2E4DCBAA">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1.1%</w:t>
                  </w:r>
                </w:p>
              </w:tc>
              <w:tc>
                <w:tcPr>
                  <w:tcW w:w="1444" w:type="dxa"/>
                </w:tcPr>
                <w:p w14:paraId="5CE7DF28">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0.8%</w:t>
                  </w:r>
                </w:p>
              </w:tc>
              <w:tc>
                <w:tcPr>
                  <w:tcW w:w="1445" w:type="dxa"/>
                </w:tcPr>
                <w:p w14:paraId="3D62E1B0">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0.7%</w:t>
                  </w:r>
                </w:p>
              </w:tc>
            </w:tr>
            <w:tr w14:paraId="714C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049" w:type="dxa"/>
                </w:tcPr>
                <w:p w14:paraId="70D3AA6F">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500-1000</w:t>
                  </w:r>
                </w:p>
              </w:tc>
              <w:tc>
                <w:tcPr>
                  <w:tcW w:w="1214" w:type="dxa"/>
                </w:tcPr>
                <w:p w14:paraId="0C7DDF60">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0.8%</w:t>
                  </w:r>
                </w:p>
              </w:tc>
              <w:tc>
                <w:tcPr>
                  <w:tcW w:w="1444" w:type="dxa"/>
                </w:tcPr>
                <w:p w14:paraId="28C3C6E3">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0.45%</w:t>
                  </w:r>
                </w:p>
              </w:tc>
              <w:tc>
                <w:tcPr>
                  <w:tcW w:w="1445" w:type="dxa"/>
                </w:tcPr>
                <w:p w14:paraId="67EF0810">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0.55%</w:t>
                  </w:r>
                </w:p>
              </w:tc>
            </w:tr>
            <w:tr w14:paraId="2AF0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049" w:type="dxa"/>
                </w:tcPr>
                <w:p w14:paraId="16991919">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1000-5000</w:t>
                  </w:r>
                </w:p>
              </w:tc>
              <w:tc>
                <w:tcPr>
                  <w:tcW w:w="1214" w:type="dxa"/>
                </w:tcPr>
                <w:p w14:paraId="3CCAE602">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0.5%</w:t>
                  </w:r>
                </w:p>
              </w:tc>
              <w:tc>
                <w:tcPr>
                  <w:tcW w:w="1444" w:type="dxa"/>
                </w:tcPr>
                <w:p w14:paraId="2B4E105D">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0.25%</w:t>
                  </w:r>
                </w:p>
              </w:tc>
              <w:tc>
                <w:tcPr>
                  <w:tcW w:w="1445" w:type="dxa"/>
                </w:tcPr>
                <w:p w14:paraId="3152408A">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0.35%</w:t>
                  </w:r>
                </w:p>
              </w:tc>
            </w:tr>
            <w:tr w14:paraId="0A15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049" w:type="dxa"/>
                </w:tcPr>
                <w:p w14:paraId="53E13FB0">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5000-10000</w:t>
                  </w:r>
                </w:p>
              </w:tc>
              <w:tc>
                <w:tcPr>
                  <w:tcW w:w="1214" w:type="dxa"/>
                </w:tcPr>
                <w:p w14:paraId="3664C5F1">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0.25%</w:t>
                  </w:r>
                </w:p>
              </w:tc>
              <w:tc>
                <w:tcPr>
                  <w:tcW w:w="1444" w:type="dxa"/>
                </w:tcPr>
                <w:p w14:paraId="0CE03A94">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0.1%</w:t>
                  </w:r>
                </w:p>
              </w:tc>
              <w:tc>
                <w:tcPr>
                  <w:tcW w:w="1445" w:type="dxa"/>
                </w:tcPr>
                <w:p w14:paraId="236B8B3C">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0.2%</w:t>
                  </w:r>
                </w:p>
              </w:tc>
            </w:tr>
            <w:tr w14:paraId="753D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049" w:type="dxa"/>
                </w:tcPr>
                <w:p w14:paraId="30F2B673">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10000-100000</w:t>
                  </w:r>
                </w:p>
              </w:tc>
              <w:tc>
                <w:tcPr>
                  <w:tcW w:w="1214" w:type="dxa"/>
                </w:tcPr>
                <w:p w14:paraId="64C391AE">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0.05%</w:t>
                  </w:r>
                </w:p>
              </w:tc>
              <w:tc>
                <w:tcPr>
                  <w:tcW w:w="1444" w:type="dxa"/>
                </w:tcPr>
                <w:p w14:paraId="5D849EEC">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0.05%</w:t>
                  </w:r>
                </w:p>
              </w:tc>
              <w:tc>
                <w:tcPr>
                  <w:tcW w:w="1445" w:type="dxa"/>
                </w:tcPr>
                <w:p w14:paraId="2F6E8079">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0.05%</w:t>
                  </w:r>
                </w:p>
              </w:tc>
            </w:tr>
            <w:tr w14:paraId="3A67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049" w:type="dxa"/>
                </w:tcPr>
                <w:p w14:paraId="1C4EFDE7">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1000000以上</w:t>
                  </w:r>
                </w:p>
              </w:tc>
              <w:tc>
                <w:tcPr>
                  <w:tcW w:w="1214" w:type="dxa"/>
                </w:tcPr>
                <w:p w14:paraId="2C6CFCE0">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0.01%</w:t>
                  </w:r>
                </w:p>
              </w:tc>
              <w:tc>
                <w:tcPr>
                  <w:tcW w:w="1444" w:type="dxa"/>
                </w:tcPr>
                <w:p w14:paraId="66D6B95C">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0.01%</w:t>
                  </w:r>
                </w:p>
              </w:tc>
              <w:tc>
                <w:tcPr>
                  <w:tcW w:w="1445" w:type="dxa"/>
                </w:tcPr>
                <w:p w14:paraId="2AB5C151">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0.01%</w:t>
                  </w:r>
                </w:p>
              </w:tc>
            </w:tr>
          </w:tbl>
          <w:p w14:paraId="27182463">
            <w:pPr>
              <w:pStyle w:val="35"/>
              <w:ind w:left="0" w:leftChars="0" w:firstLine="0" w:firstLineChars="0"/>
              <w:outlineLvl w:val="9"/>
              <w:rPr>
                <w:rFonts w:hint="eastAsia" w:ascii="宋体" w:hAnsi="宋体" w:cs="宋体"/>
                <w:color w:val="auto"/>
                <w:sz w:val="24"/>
                <w:szCs w:val="24"/>
              </w:rPr>
            </w:pPr>
          </w:p>
          <w:p w14:paraId="4D68252E">
            <w:pPr>
              <w:keepNext w:val="0"/>
              <w:keepLines w:val="0"/>
              <w:suppressLineNumbers w:val="0"/>
              <w:spacing w:before="0" w:beforeAutospacing="0" w:after="0" w:afterAutospacing="0" w:line="360" w:lineRule="auto"/>
              <w:ind w:left="0" w:right="0"/>
              <w:outlineLvl w:val="9"/>
              <w:rPr>
                <w:rFonts w:hint="eastAsia" w:ascii="宋体" w:hAnsi="宋体" w:cs="宋体"/>
                <w:color w:val="auto"/>
                <w:sz w:val="24"/>
                <w:szCs w:val="24"/>
              </w:rPr>
            </w:pPr>
          </w:p>
          <w:p w14:paraId="25605712">
            <w:pPr>
              <w:keepNext w:val="0"/>
              <w:keepLines w:val="0"/>
              <w:suppressLineNumbers w:val="0"/>
              <w:spacing w:before="0" w:beforeAutospacing="0" w:after="0" w:afterAutospacing="0" w:line="360" w:lineRule="auto"/>
              <w:ind w:left="0" w:right="0"/>
              <w:outlineLvl w:val="9"/>
              <w:rPr>
                <w:rFonts w:hint="eastAsia" w:ascii="宋体" w:hAnsi="宋体" w:cs="宋体"/>
                <w:color w:val="auto"/>
                <w:sz w:val="24"/>
                <w:szCs w:val="24"/>
              </w:rPr>
            </w:pPr>
          </w:p>
          <w:p w14:paraId="429DBC7D">
            <w:pPr>
              <w:keepNext w:val="0"/>
              <w:keepLines w:val="0"/>
              <w:suppressLineNumbers w:val="0"/>
              <w:spacing w:before="0" w:beforeAutospacing="0" w:after="0" w:afterAutospacing="0" w:line="360" w:lineRule="auto"/>
              <w:ind w:left="0" w:right="0"/>
              <w:outlineLvl w:val="9"/>
              <w:rPr>
                <w:rFonts w:hint="eastAsia" w:ascii="宋体" w:hAnsi="宋体" w:cs="宋体"/>
                <w:color w:val="auto"/>
                <w:sz w:val="24"/>
                <w:szCs w:val="24"/>
              </w:rPr>
            </w:pPr>
          </w:p>
          <w:p w14:paraId="660F065E">
            <w:pPr>
              <w:keepNext w:val="0"/>
              <w:keepLines w:val="0"/>
              <w:suppressLineNumbers w:val="0"/>
              <w:spacing w:before="0" w:beforeAutospacing="0" w:after="0" w:afterAutospacing="0" w:line="360" w:lineRule="auto"/>
              <w:ind w:left="0" w:right="0"/>
              <w:outlineLvl w:val="9"/>
              <w:rPr>
                <w:rFonts w:hint="eastAsia" w:ascii="宋体" w:hAnsi="宋体" w:cs="宋体"/>
                <w:color w:val="auto"/>
                <w:sz w:val="24"/>
                <w:szCs w:val="24"/>
              </w:rPr>
            </w:pPr>
          </w:p>
          <w:p w14:paraId="78E6BBD7">
            <w:pPr>
              <w:keepNext w:val="0"/>
              <w:keepLines w:val="0"/>
              <w:suppressLineNumbers w:val="0"/>
              <w:spacing w:before="0" w:beforeAutospacing="0" w:after="0" w:afterAutospacing="0" w:line="360" w:lineRule="auto"/>
              <w:ind w:left="0" w:right="0"/>
              <w:outlineLvl w:val="9"/>
              <w:rPr>
                <w:rFonts w:hint="eastAsia" w:ascii="宋体" w:hAnsi="宋体" w:cs="宋体"/>
                <w:color w:val="auto"/>
                <w:sz w:val="24"/>
                <w:szCs w:val="24"/>
              </w:rPr>
            </w:pPr>
          </w:p>
          <w:p w14:paraId="2296115F">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rPr>
              <w:t>例如：某</w:t>
            </w:r>
            <w:r>
              <w:rPr>
                <w:rFonts w:hint="eastAsia" w:ascii="宋体" w:hAnsi="宋体" w:cs="宋体"/>
                <w:color w:val="auto"/>
                <w:sz w:val="24"/>
                <w:szCs w:val="24"/>
                <w:lang w:val="en-US" w:eastAsia="zh-CN"/>
              </w:rPr>
              <w:t>工程</w:t>
            </w:r>
            <w:r>
              <w:rPr>
                <w:rFonts w:hint="eastAsia" w:ascii="宋体" w:hAnsi="宋体" w:cs="宋体"/>
                <w:color w:val="auto"/>
                <w:sz w:val="24"/>
                <w:szCs w:val="24"/>
              </w:rPr>
              <w:t>招标</w:t>
            </w:r>
            <w:r>
              <w:rPr>
                <w:rFonts w:hint="eastAsia" w:ascii="宋体" w:hAnsi="宋体" w:cs="宋体"/>
                <w:color w:val="auto"/>
                <w:sz w:val="24"/>
                <w:szCs w:val="24"/>
                <w:lang w:val="en-US" w:eastAsia="zh-CN"/>
              </w:rPr>
              <w:t>项目</w:t>
            </w:r>
            <w:r>
              <w:rPr>
                <w:rFonts w:hint="eastAsia" w:ascii="宋体" w:hAnsi="宋体" w:cs="宋体"/>
                <w:color w:val="auto"/>
                <w:sz w:val="24"/>
                <w:szCs w:val="24"/>
              </w:rPr>
              <w:t>成交金额为678.2万元，采购代理服务费计算如下：</w:t>
            </w:r>
          </w:p>
          <w:p w14:paraId="055B9BE7">
            <w:pPr>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100万元*1.0%=1.00万元 </w:t>
            </w:r>
          </w:p>
          <w:p w14:paraId="43C8CC8B">
            <w:pPr>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(500-100)*0.7%=2.80万元</w:t>
            </w:r>
          </w:p>
          <w:p w14:paraId="193BE421">
            <w:pPr>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(678.2-500)*0.55%=0.9801万元</w:t>
            </w:r>
          </w:p>
          <w:p w14:paraId="71F11E30">
            <w:pPr>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服务费=1.00+2.80+0.9801=4.7801万元。</w:t>
            </w:r>
          </w:p>
          <w:p w14:paraId="244FBEC6">
            <w:pPr>
              <w:pageBreakBefore w:val="0"/>
              <w:kinsoku/>
              <w:wordWrap/>
              <w:overflowPunct/>
              <w:topLinePunct w:val="0"/>
              <w:autoSpaceDE/>
              <w:autoSpaceDN/>
              <w:bidi w:val="0"/>
              <w:adjustRightInd/>
              <w:snapToGrid/>
              <w:spacing w:line="360" w:lineRule="auto"/>
              <w:textAlignment w:val="auto"/>
              <w:outlineLvl w:val="9"/>
              <w:rPr>
                <w:rFonts w:hint="default" w:ascii="宋体" w:hAnsi="宋体" w:cs="宋体"/>
                <w:color w:val="auto"/>
                <w:sz w:val="24"/>
                <w:lang w:val="en-US"/>
              </w:rPr>
            </w:pPr>
            <w:r>
              <w:rPr>
                <w:rFonts w:hint="eastAsia" w:ascii="宋体" w:hAnsi="宋体" w:eastAsia="宋体" w:cs="宋体"/>
                <w:color w:val="auto"/>
                <w:sz w:val="24"/>
                <w:szCs w:val="24"/>
                <w:lang w:val="en-US" w:eastAsia="zh-CN"/>
              </w:rPr>
              <w:t>（4）本项目项目属性：</w:t>
            </w:r>
            <w:r>
              <w:rPr>
                <w:rFonts w:hint="eastAsia" w:ascii="宋体" w:hAnsi="宋体" w:cs="宋体"/>
                <w:color w:val="auto"/>
                <w:sz w:val="24"/>
                <w:szCs w:val="24"/>
                <w:lang w:val="en-US" w:eastAsia="zh-CN"/>
              </w:rPr>
              <w:t>工程</w:t>
            </w:r>
            <w:r>
              <w:rPr>
                <w:rFonts w:hint="eastAsia" w:ascii="宋体" w:hAnsi="宋体" w:eastAsia="宋体" w:cs="宋体"/>
                <w:color w:val="auto"/>
                <w:sz w:val="24"/>
                <w:szCs w:val="24"/>
                <w:lang w:val="en-US" w:eastAsia="zh-CN"/>
              </w:rPr>
              <w:t>招标。</w:t>
            </w:r>
          </w:p>
        </w:tc>
      </w:tr>
      <w:tr w14:paraId="5977ADDC">
        <w:tblPrEx>
          <w:tblCellMar>
            <w:top w:w="0" w:type="dxa"/>
            <w:left w:w="108" w:type="dxa"/>
            <w:bottom w:w="0" w:type="dxa"/>
            <w:right w:w="108" w:type="dxa"/>
          </w:tblCellMar>
        </w:tblPrEx>
        <w:trPr>
          <w:trHeight w:val="698" w:hRule="atLeast"/>
        </w:trPr>
        <w:tc>
          <w:tcPr>
            <w:tcW w:w="723" w:type="dxa"/>
            <w:tcBorders>
              <w:top w:val="single" w:color="auto" w:sz="4" w:space="0"/>
              <w:left w:val="single" w:color="auto" w:sz="4" w:space="0"/>
              <w:bottom w:val="single" w:color="auto" w:sz="4" w:space="0"/>
              <w:right w:val="single" w:color="auto" w:sz="4" w:space="0"/>
            </w:tcBorders>
            <w:vAlign w:val="center"/>
          </w:tcPr>
          <w:p w14:paraId="5C39B6B0">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25</w:t>
            </w:r>
          </w:p>
        </w:tc>
        <w:tc>
          <w:tcPr>
            <w:tcW w:w="1765" w:type="dxa"/>
            <w:tcBorders>
              <w:top w:val="single" w:color="auto" w:sz="4" w:space="0"/>
              <w:left w:val="single" w:color="auto" w:sz="4" w:space="0"/>
              <w:bottom w:val="single" w:color="auto" w:sz="4" w:space="0"/>
              <w:right w:val="single" w:color="auto" w:sz="4" w:space="0"/>
            </w:tcBorders>
            <w:vAlign w:val="center"/>
          </w:tcPr>
          <w:p w14:paraId="1211A764">
            <w:pPr>
              <w:widowControl/>
              <w:adjustRightInd w:val="0"/>
              <w:snapToGrid w:val="0"/>
              <w:jc w:val="center"/>
              <w:textAlignment w:val="center"/>
              <w:outlineLvl w:val="9"/>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公共资源信用承诺</w:t>
            </w:r>
          </w:p>
        </w:tc>
        <w:tc>
          <w:tcPr>
            <w:tcW w:w="7515" w:type="dxa"/>
            <w:tcBorders>
              <w:top w:val="single" w:color="auto" w:sz="4" w:space="0"/>
              <w:left w:val="single" w:color="auto" w:sz="4" w:space="0"/>
              <w:bottom w:val="single" w:color="auto" w:sz="4" w:space="0"/>
              <w:right w:val="single" w:color="auto" w:sz="4" w:space="0"/>
            </w:tcBorders>
            <w:vAlign w:val="center"/>
          </w:tcPr>
          <w:p w14:paraId="55165551">
            <w:pPr>
              <w:pStyle w:val="10"/>
              <w:spacing w:line="360" w:lineRule="auto"/>
              <w:outlineLvl w:val="9"/>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为深入贯彻信用体系建设的有关精神，根据市发改委《关于在工程招投标活动中推行信用监管试点示范工作的通知》（榆政发改发〔2020〕329 号）和市财政局《关于在政府采购活动中使用信用记录和信用报告以及开展承诺工作的通知》（榆政财采函〔2020〕9 号）在工程建设和政府采购领域全面推行信用公开承诺制：</w:t>
            </w:r>
          </w:p>
          <w:p w14:paraId="2BD3808C">
            <w:pPr>
              <w:pStyle w:val="10"/>
              <w:spacing w:line="360" w:lineRule="auto"/>
              <w:outlineLvl w:val="9"/>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1.承诺事项名称：选择《榆林市政府采购工程类/货物类/服务类项目供应商信用承诺书》；承诺事由：“填写项目名称+项目编号”；承诺附件：按</w:t>
            </w:r>
            <w:r>
              <w:rPr>
                <w:rFonts w:hint="eastAsia" w:ascii="宋体" w:hAnsi="宋体" w:cs="宋体"/>
                <w:color w:val="auto"/>
                <w:kern w:val="0"/>
                <w:sz w:val="24"/>
                <w:szCs w:val="24"/>
                <w:lang w:val="en-US" w:eastAsia="zh-CN" w:bidi="ar-SA"/>
              </w:rPr>
              <w:t>磋商</w:t>
            </w:r>
            <w:r>
              <w:rPr>
                <w:rFonts w:hint="eastAsia" w:ascii="宋体" w:hAnsi="宋体" w:eastAsia="宋体" w:cs="宋体"/>
                <w:color w:val="auto"/>
                <w:kern w:val="0"/>
                <w:sz w:val="24"/>
                <w:szCs w:val="24"/>
                <w:lang w:val="zh-TW" w:eastAsia="zh-CN" w:bidi="ar-SA"/>
              </w:rPr>
              <w:t>文件给定的格式填写，需上传至承诺附件；受理部门为榆林市财政局采购科；附件承诺有效期为1年，承诺起始时间为提交投标文件截止之日。</w:t>
            </w:r>
          </w:p>
          <w:p w14:paraId="5E1529E1">
            <w:pPr>
              <w:pStyle w:val="10"/>
              <w:spacing w:line="360" w:lineRule="auto"/>
              <w:outlineLvl w:val="9"/>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2.承诺事项名称：选择《投标人信用承诺》；承诺事由：填写“公共资源交易平台所有活动”；承诺附件：按</w:t>
            </w:r>
            <w:r>
              <w:rPr>
                <w:rFonts w:hint="eastAsia" w:ascii="宋体" w:hAnsi="宋体" w:cs="宋体"/>
                <w:color w:val="auto"/>
                <w:kern w:val="0"/>
                <w:sz w:val="24"/>
                <w:szCs w:val="24"/>
                <w:lang w:val="en-US" w:eastAsia="zh-CN" w:bidi="ar-SA"/>
              </w:rPr>
              <w:t>磋商</w:t>
            </w:r>
            <w:r>
              <w:rPr>
                <w:rFonts w:hint="eastAsia" w:ascii="宋体" w:hAnsi="宋体" w:eastAsia="宋体" w:cs="宋体"/>
                <w:color w:val="auto"/>
                <w:kern w:val="0"/>
                <w:sz w:val="24"/>
                <w:szCs w:val="24"/>
                <w:lang w:val="zh-TW" w:eastAsia="zh-CN" w:bidi="ar-SA"/>
              </w:rPr>
              <w:t>文件给定的格式填写，需上传至承诺附件；受理部门为榆林市公共资源交易中心；承诺有效期同投标有效期，承诺起始时间为提交投标文件截止之日。</w:t>
            </w:r>
          </w:p>
          <w:p w14:paraId="1B5CE99F">
            <w:pPr>
              <w:pStyle w:val="10"/>
              <w:spacing w:line="360" w:lineRule="auto"/>
              <w:outlineLvl w:val="9"/>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3. 承诺事项名称：选择《投标信用(保证金）承诺书》；承诺事由：填写“公共资源交易平台所有活动”；承诺附件：按</w:t>
            </w:r>
            <w:r>
              <w:rPr>
                <w:rFonts w:hint="eastAsia" w:ascii="宋体" w:hAnsi="宋体" w:cs="宋体"/>
                <w:color w:val="auto"/>
                <w:kern w:val="0"/>
                <w:sz w:val="24"/>
                <w:szCs w:val="24"/>
                <w:lang w:val="en-US" w:eastAsia="zh-CN" w:bidi="ar-SA"/>
              </w:rPr>
              <w:t>磋商</w:t>
            </w:r>
            <w:r>
              <w:rPr>
                <w:rFonts w:hint="eastAsia" w:ascii="宋体" w:hAnsi="宋体" w:eastAsia="宋体" w:cs="宋体"/>
                <w:color w:val="auto"/>
                <w:kern w:val="0"/>
                <w:sz w:val="24"/>
                <w:szCs w:val="24"/>
                <w:lang w:val="zh-TW" w:eastAsia="zh-CN" w:bidi="ar-SA"/>
              </w:rPr>
              <w:t>文件给定的格式填写，需上传至承诺附件；受理部门为榆林市公共资源交易中心；承诺有效期同投标有效期，承诺起始时间为提交投标文件截止之日。</w:t>
            </w:r>
          </w:p>
          <w:p w14:paraId="658F1417">
            <w:pPr>
              <w:pStyle w:val="10"/>
              <w:spacing w:line="360" w:lineRule="auto"/>
              <w:outlineLvl w:val="9"/>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4.承诺事项名称：《投标人委托代理人员信用承诺书》；承诺事由：填写“公共资源交易平台所有活动”；承诺附件：按</w:t>
            </w:r>
            <w:r>
              <w:rPr>
                <w:rFonts w:hint="eastAsia" w:ascii="宋体" w:hAnsi="宋体" w:cs="宋体"/>
                <w:color w:val="auto"/>
                <w:kern w:val="0"/>
                <w:sz w:val="24"/>
                <w:szCs w:val="24"/>
                <w:lang w:val="en-US" w:eastAsia="zh-CN" w:bidi="ar-SA"/>
              </w:rPr>
              <w:t>磋商</w:t>
            </w:r>
            <w:r>
              <w:rPr>
                <w:rFonts w:hint="eastAsia" w:ascii="宋体" w:hAnsi="宋体" w:eastAsia="宋体" w:cs="宋体"/>
                <w:color w:val="auto"/>
                <w:kern w:val="0"/>
                <w:sz w:val="24"/>
                <w:szCs w:val="24"/>
                <w:lang w:val="zh-TW" w:eastAsia="zh-CN" w:bidi="ar-SA"/>
              </w:rPr>
              <w:t>文件给定的格式填写，需上传至承诺附件；受理部门为榆林市公共资源交易中心；承诺有效期同投标有效期，承诺起始时间为提交投标文件截止之日。</w:t>
            </w:r>
          </w:p>
          <w:p w14:paraId="1E3B99B8">
            <w:pPr>
              <w:pStyle w:val="10"/>
              <w:spacing w:line="360" w:lineRule="auto"/>
              <w:outlineLvl w:val="9"/>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注：①法定代表人直接参与投标的无须上报和提供《投标人委托代理人员信用承诺书》。</w:t>
            </w:r>
          </w:p>
          <w:p w14:paraId="6C29CBFD">
            <w:pPr>
              <w:pStyle w:val="10"/>
              <w:spacing w:line="360" w:lineRule="auto"/>
              <w:outlineLvl w:val="9"/>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②不见面开标结束后由采购代理机构通过平台进行核实查验，未按上述要求在“信用中国（陕西榆林）”网站进行自主上报信用承诺或投标文件中所附内容与上报内容不符的将否决投标。</w:t>
            </w:r>
          </w:p>
        </w:tc>
      </w:tr>
      <w:tr w14:paraId="6384CDE8">
        <w:tblPrEx>
          <w:tblCellMar>
            <w:top w:w="0" w:type="dxa"/>
            <w:left w:w="108" w:type="dxa"/>
            <w:bottom w:w="0" w:type="dxa"/>
            <w:right w:w="108" w:type="dxa"/>
          </w:tblCellMar>
        </w:tblPrEx>
        <w:trPr>
          <w:trHeight w:val="1246" w:hRule="atLeast"/>
        </w:trPr>
        <w:tc>
          <w:tcPr>
            <w:tcW w:w="723" w:type="dxa"/>
            <w:tcBorders>
              <w:top w:val="single" w:color="auto" w:sz="4" w:space="0"/>
              <w:left w:val="single" w:color="auto" w:sz="4" w:space="0"/>
              <w:bottom w:val="single" w:color="auto" w:sz="4" w:space="0"/>
              <w:right w:val="single" w:color="auto" w:sz="4" w:space="0"/>
            </w:tcBorders>
            <w:vAlign w:val="center"/>
          </w:tcPr>
          <w:p w14:paraId="7C8A8ED2">
            <w:pPr>
              <w:widowControl/>
              <w:adjustRightInd w:val="0"/>
              <w:snapToGrid w:val="0"/>
              <w:spacing w:line="360" w:lineRule="auto"/>
              <w:jc w:val="center"/>
              <w:textAlignment w:val="center"/>
              <w:outlineLvl w:val="9"/>
              <w:rPr>
                <w:rFonts w:hint="default" w:asciiTheme="minorEastAsia" w:hAnsiTheme="minorEastAsia" w:eastAsiaTheme="minorEastAsia" w:cstheme="minorEastAsia"/>
                <w:color w:val="auto"/>
                <w:sz w:val="24"/>
                <w:szCs w:val="24"/>
                <w:lang w:val="en-US" w:eastAsia="zh-CN"/>
              </w:rPr>
            </w:pPr>
            <w:r>
              <w:rPr>
                <w:rFonts w:hint="eastAsia" w:ascii="宋体" w:hAnsi="宋体" w:cs="宋体"/>
                <w:color w:val="auto"/>
                <w:sz w:val="24"/>
                <w:szCs w:val="24"/>
                <w:lang w:val="en-US" w:eastAsia="zh-CN"/>
              </w:rPr>
              <w:t>26</w:t>
            </w:r>
          </w:p>
        </w:tc>
        <w:tc>
          <w:tcPr>
            <w:tcW w:w="1765" w:type="dxa"/>
            <w:tcBorders>
              <w:top w:val="single" w:color="auto" w:sz="4" w:space="0"/>
              <w:left w:val="single" w:color="auto" w:sz="4" w:space="0"/>
              <w:bottom w:val="single" w:color="auto" w:sz="4" w:space="0"/>
              <w:right w:val="single" w:color="auto" w:sz="4" w:space="0"/>
            </w:tcBorders>
            <w:vAlign w:val="center"/>
          </w:tcPr>
          <w:p w14:paraId="5457C3B2">
            <w:pPr>
              <w:widowControl/>
              <w:adjustRightInd w:val="0"/>
              <w:snapToGrid w:val="0"/>
              <w:jc w:val="center"/>
              <w:textAlignment w:val="center"/>
              <w:outlineLvl w:val="9"/>
              <w:rPr>
                <w:rFonts w:ascii="宋体" w:hAnsi="宋体" w:cs="宋体"/>
                <w:color w:val="auto"/>
                <w:sz w:val="24"/>
                <w:lang w:val="zh-CN"/>
              </w:rPr>
            </w:pPr>
            <w:r>
              <w:rPr>
                <w:rFonts w:hint="eastAsia" w:ascii="宋体" w:hAnsi="宋体" w:cs="宋体"/>
                <w:color w:val="auto"/>
                <w:sz w:val="24"/>
                <w:szCs w:val="24"/>
                <w:lang w:val="en-US" w:eastAsia="zh-CN"/>
              </w:rPr>
              <w:t>不见面开标</w:t>
            </w:r>
          </w:p>
        </w:tc>
        <w:tc>
          <w:tcPr>
            <w:tcW w:w="7515" w:type="dxa"/>
            <w:tcBorders>
              <w:top w:val="single" w:color="auto" w:sz="4" w:space="0"/>
              <w:left w:val="single" w:color="auto" w:sz="4" w:space="0"/>
              <w:bottom w:val="single" w:color="auto" w:sz="4" w:space="0"/>
              <w:right w:val="single" w:color="auto" w:sz="4" w:space="0"/>
            </w:tcBorders>
            <w:vAlign w:val="center"/>
          </w:tcPr>
          <w:p w14:paraId="473B990A">
            <w:pPr>
              <w:spacing w:line="360" w:lineRule="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该项目将采取“不见面”开标的形式，投标人无须到达开标现场，即可在网上直接参与开标活动。相关注意事项如下：</w:t>
            </w:r>
          </w:p>
          <w:p w14:paraId="4D796E85">
            <w:pPr>
              <w:numPr>
                <w:ilvl w:val="0"/>
                <w:numId w:val="1"/>
              </w:numPr>
              <w:spacing w:line="360" w:lineRule="auto"/>
              <w:outlineLvl w:val="9"/>
              <w:rPr>
                <w:rFonts w:hint="eastAsia" w:ascii="思源宋体 CN Light" w:hAnsi="思源宋体 CN Light" w:eastAsia="思源宋体 CN Light" w:cs="思源宋体 CN Light"/>
                <w:color w:val="auto"/>
                <w:sz w:val="24"/>
                <w:szCs w:val="24"/>
              </w:rPr>
            </w:pPr>
            <w:r>
              <w:rPr>
                <w:rFonts w:hint="eastAsia" w:ascii="思源宋体 CN Light" w:hAnsi="思源宋体 CN Light" w:eastAsia="思源宋体 CN Light" w:cs="思源宋体 CN Light"/>
                <w:color w:val="auto"/>
                <w:sz w:val="24"/>
                <w:szCs w:val="24"/>
              </w:rPr>
              <w:t>开标当日，请各供应商</w:t>
            </w:r>
            <w:r>
              <w:rPr>
                <w:rFonts w:hint="eastAsia" w:ascii="思源宋体 CN Light" w:hAnsi="思源宋体 CN Light" w:eastAsia="思源宋体 CN Light" w:cs="思源宋体 CN Light"/>
                <w:color w:val="auto"/>
                <w:sz w:val="24"/>
                <w:szCs w:val="24"/>
                <w:lang w:val="en-US" w:eastAsia="zh-CN"/>
              </w:rPr>
              <w:t>在开标截止时间前</w:t>
            </w:r>
            <w:r>
              <w:rPr>
                <w:rFonts w:hint="eastAsia" w:ascii="思源宋体 CN Light" w:hAnsi="思源宋体 CN Light" w:eastAsia="思源宋体 CN Light" w:cs="思源宋体 CN Light"/>
                <w:color w:val="auto"/>
                <w:sz w:val="24"/>
                <w:szCs w:val="24"/>
              </w:rPr>
              <w:t>至少提前半小时登录“不见面”开标系统</w:t>
            </w:r>
            <w:r>
              <w:rPr>
                <w:rFonts w:hint="eastAsia" w:ascii="思源宋体 CN Light" w:hAnsi="思源宋体 CN Light" w:eastAsia="思源宋体 CN Light" w:cs="思源宋体 CN Light"/>
                <w:color w:val="auto"/>
                <w:sz w:val="24"/>
                <w:szCs w:val="24"/>
                <w:lang w:eastAsia="zh-CN"/>
              </w:rPr>
              <w:t>，</w:t>
            </w:r>
            <w:r>
              <w:rPr>
                <w:rFonts w:hint="eastAsia" w:ascii="思源宋体 CN Light" w:hAnsi="思源宋体 CN Light" w:eastAsia="思源宋体 CN Light" w:cs="思源宋体 CN Light"/>
                <w:color w:val="auto"/>
                <w:sz w:val="24"/>
                <w:szCs w:val="24"/>
                <w:lang w:val="en-US" w:eastAsia="zh-CN"/>
              </w:rPr>
              <w:t xml:space="preserve">登录方式有以下几种： </w:t>
            </w:r>
          </w:p>
          <w:p w14:paraId="277FCFEB">
            <w:pPr>
              <w:numPr>
                <w:ilvl w:val="0"/>
                <w:numId w:val="2"/>
              </w:numPr>
              <w:spacing w:line="360" w:lineRule="auto"/>
              <w:outlineLvl w:val="9"/>
              <w:rPr>
                <w:rFonts w:hint="eastAsia" w:ascii="思源宋体 CN Light" w:hAnsi="思源宋体 CN Light" w:eastAsia="思源宋体 CN Light" w:cs="思源宋体 CN Light"/>
                <w:color w:val="auto"/>
                <w:sz w:val="24"/>
                <w:szCs w:val="24"/>
                <w:lang w:val="en-US" w:eastAsia="zh-CN"/>
              </w:rPr>
            </w:pPr>
            <w:r>
              <w:rPr>
                <w:rFonts w:hint="eastAsia" w:ascii="思源宋体 CN Light" w:hAnsi="思源宋体 CN Light" w:eastAsia="思源宋体 CN Light" w:cs="思源宋体 CN Light"/>
                <w:color w:val="auto"/>
                <w:sz w:val="24"/>
                <w:szCs w:val="24"/>
                <w:lang w:val="en-US" w:eastAsia="zh-CN"/>
              </w:rPr>
              <w:t>IE浏览器输入网址：</w:t>
            </w:r>
          </w:p>
          <w:p w14:paraId="28A6DE18">
            <w:pPr>
              <w:numPr>
                <w:ilvl w:val="0"/>
                <w:numId w:val="0"/>
              </w:numPr>
              <w:spacing w:line="360" w:lineRule="auto"/>
              <w:outlineLvl w:val="9"/>
              <w:rPr>
                <w:rFonts w:hint="eastAsia" w:ascii="思源宋体 CN Light" w:hAnsi="思源宋体 CN Light" w:eastAsia="思源宋体 CN Light" w:cs="思源宋体 CN Light"/>
                <w:color w:val="auto"/>
                <w:sz w:val="24"/>
                <w:szCs w:val="24"/>
              </w:rPr>
            </w:pPr>
            <w:r>
              <w:rPr>
                <w:rFonts w:hint="eastAsia" w:ascii="思源宋体 CN Light" w:hAnsi="思源宋体 CN Light" w:eastAsia="思源宋体 CN Light" w:cs="思源宋体 CN Light"/>
                <w:color w:val="auto"/>
                <w:sz w:val="24"/>
                <w:szCs w:val="24"/>
              </w:rPr>
              <w:fldChar w:fldCharType="begin"/>
            </w:r>
            <w:r>
              <w:rPr>
                <w:rFonts w:hint="eastAsia" w:ascii="思源宋体 CN Light" w:hAnsi="思源宋体 CN Light" w:eastAsia="思源宋体 CN Light" w:cs="思源宋体 CN Light"/>
                <w:color w:val="auto"/>
                <w:sz w:val="24"/>
                <w:szCs w:val="24"/>
              </w:rPr>
              <w:instrText xml:space="preserve"> HYPERLINK "http://219.145.120.168:8082/BidOpeningHall/bidhall/default/login），" </w:instrText>
            </w:r>
            <w:r>
              <w:rPr>
                <w:rFonts w:hint="eastAsia" w:ascii="思源宋体 CN Light" w:hAnsi="思源宋体 CN Light" w:eastAsia="思源宋体 CN Light" w:cs="思源宋体 CN Light"/>
                <w:color w:val="auto"/>
                <w:sz w:val="24"/>
                <w:szCs w:val="24"/>
              </w:rPr>
              <w:fldChar w:fldCharType="separate"/>
            </w:r>
            <w:r>
              <w:rPr>
                <w:rStyle w:val="32"/>
                <w:rFonts w:hint="eastAsia" w:ascii="思源宋体 CN Light" w:hAnsi="思源宋体 CN Light" w:eastAsia="思源宋体 CN Light" w:cs="思源宋体 CN Light"/>
                <w:color w:val="auto"/>
                <w:sz w:val="24"/>
                <w:szCs w:val="24"/>
              </w:rPr>
              <w:t>http://111.20.184.126:8081/BidOpeningHallCS/bidhall/default/login</w:t>
            </w:r>
            <w:r>
              <w:rPr>
                <w:rStyle w:val="32"/>
                <w:rFonts w:hint="eastAsia" w:ascii="思源宋体 CN Light" w:hAnsi="思源宋体 CN Light" w:eastAsia="思源宋体 CN Light" w:cs="思源宋体 CN Light"/>
                <w:color w:val="auto"/>
                <w:sz w:val="24"/>
                <w:szCs w:val="24"/>
                <w:u w:val="none"/>
                <w:lang w:eastAsia="zh-CN"/>
              </w:rPr>
              <w:t>；</w:t>
            </w:r>
            <w:r>
              <w:rPr>
                <w:rFonts w:hint="eastAsia" w:ascii="思源宋体 CN Light" w:hAnsi="思源宋体 CN Light" w:eastAsia="思源宋体 CN Light" w:cs="思源宋体 CN Light"/>
                <w:color w:val="auto"/>
                <w:sz w:val="24"/>
                <w:szCs w:val="24"/>
              </w:rPr>
              <w:fldChar w:fldCharType="end"/>
            </w:r>
          </w:p>
          <w:p w14:paraId="340DCB43">
            <w:pPr>
              <w:numPr>
                <w:ilvl w:val="0"/>
                <w:numId w:val="2"/>
              </w:numPr>
              <w:spacing w:line="360" w:lineRule="auto"/>
              <w:ind w:left="0" w:leftChars="0" w:firstLine="0" w:firstLineChars="0"/>
              <w:outlineLvl w:val="9"/>
              <w:rPr>
                <w:rFonts w:hint="eastAsia" w:ascii="思源宋体 CN Light" w:hAnsi="思源宋体 CN Light" w:eastAsia="思源宋体 CN Light" w:cs="思源宋体 CN Light"/>
                <w:color w:val="auto"/>
                <w:sz w:val="24"/>
                <w:szCs w:val="24"/>
                <w:lang w:val="en-US" w:eastAsia="zh-CN"/>
              </w:rPr>
            </w:pPr>
            <w:r>
              <w:rPr>
                <w:rFonts w:hint="eastAsia" w:ascii="思源宋体 CN Light" w:hAnsi="思源宋体 CN Light" w:eastAsia="思源宋体 CN Light" w:cs="思源宋体 CN Light"/>
                <w:color w:val="auto"/>
                <w:sz w:val="24"/>
                <w:szCs w:val="24"/>
              </w:rPr>
              <w:t>在【全国公共资源交易平台（陕西省·</w:t>
            </w:r>
            <w:r>
              <w:rPr>
                <w:rFonts w:hint="eastAsia" w:ascii="思源宋体 CN Light" w:hAnsi="思源宋体 CN Light" w:eastAsia="思源宋体 CN Light" w:cs="思源宋体 CN Light"/>
                <w:color w:val="auto"/>
                <w:sz w:val="24"/>
                <w:szCs w:val="24"/>
                <w:lang w:val="en-US" w:eastAsia="zh-CN"/>
              </w:rPr>
              <w:t>榆林</w:t>
            </w:r>
            <w:r>
              <w:rPr>
                <w:rFonts w:hint="eastAsia" w:ascii="思源宋体 CN Light" w:hAnsi="思源宋体 CN Light" w:eastAsia="思源宋体 CN Light" w:cs="思源宋体 CN Light"/>
                <w:color w:val="auto"/>
                <w:sz w:val="24"/>
                <w:szCs w:val="24"/>
              </w:rPr>
              <w:t>市）】</w:t>
            </w:r>
            <w:r>
              <w:rPr>
                <w:rFonts w:hint="eastAsia" w:ascii="思源宋体 CN Light" w:hAnsi="思源宋体 CN Light" w:eastAsia="思源宋体 CN Light" w:cs="思源宋体 CN Light"/>
                <w:color w:val="auto"/>
                <w:sz w:val="24"/>
                <w:szCs w:val="24"/>
                <w:lang w:val="en-US" w:eastAsia="zh-CN"/>
              </w:rPr>
              <w:t>网站首页点击不见面开标模块进入；</w:t>
            </w:r>
          </w:p>
          <w:p w14:paraId="34D5E056">
            <w:pPr>
              <w:numPr>
                <w:ilvl w:val="0"/>
                <w:numId w:val="2"/>
              </w:numPr>
              <w:spacing w:line="360" w:lineRule="auto"/>
              <w:ind w:left="0" w:leftChars="0" w:firstLine="0" w:firstLineChars="0"/>
              <w:outlineLvl w:val="9"/>
              <w:rPr>
                <w:rFonts w:hint="eastAsia" w:ascii="思源宋体 CN Light" w:hAnsi="思源宋体 CN Light" w:eastAsia="思源宋体 CN Light" w:cs="思源宋体 CN Light"/>
                <w:color w:val="auto"/>
                <w:sz w:val="24"/>
                <w:szCs w:val="24"/>
                <w:lang w:val="en-US" w:eastAsia="zh-CN"/>
              </w:rPr>
            </w:pPr>
            <w:r>
              <w:rPr>
                <w:rFonts w:hint="eastAsia" w:ascii="思源宋体 CN Light" w:hAnsi="思源宋体 CN Light" w:eastAsia="思源宋体 CN Light" w:cs="思源宋体 CN Light"/>
                <w:color w:val="auto"/>
                <w:sz w:val="24"/>
                <w:szCs w:val="24"/>
                <w:lang w:val="en-US" w:eastAsia="zh-CN"/>
              </w:rPr>
              <w:t>在</w:t>
            </w:r>
            <w:r>
              <w:rPr>
                <w:rFonts w:hint="eastAsia" w:ascii="思源宋体 CN Light" w:hAnsi="思源宋体 CN Light" w:eastAsia="思源宋体 CN Light" w:cs="思源宋体 CN Light"/>
                <w:color w:val="auto"/>
                <w:sz w:val="24"/>
                <w:szCs w:val="24"/>
              </w:rPr>
              <w:t>【全国公共资源交易平台（陕西省）】</w:t>
            </w:r>
            <w:r>
              <w:rPr>
                <w:rFonts w:hint="eastAsia" w:ascii="思源宋体 CN Light" w:hAnsi="思源宋体 CN Light" w:eastAsia="思源宋体 CN Light" w:cs="思源宋体 CN Light"/>
                <w:color w:val="auto"/>
                <w:sz w:val="24"/>
                <w:szCs w:val="24"/>
                <w:lang w:val="en-US" w:eastAsia="zh-CN"/>
              </w:rPr>
              <w:t>网站首页点击不见面开标模块选择榆林市进入。</w:t>
            </w:r>
          </w:p>
          <w:p w14:paraId="64D7FAFD">
            <w:pPr>
              <w:numPr>
                <w:ilvl w:val="0"/>
                <w:numId w:val="0"/>
              </w:numPr>
              <w:spacing w:line="360" w:lineRule="auto"/>
              <w:ind w:leftChars="0"/>
              <w:outlineLvl w:val="9"/>
              <w:rPr>
                <w:rFonts w:hint="default" w:ascii="思源宋体 CN Light" w:hAnsi="思源宋体 CN Light" w:eastAsia="思源宋体 CN Light" w:cs="思源宋体 CN Light"/>
                <w:b/>
                <w:bCs/>
                <w:color w:val="auto"/>
                <w:sz w:val="24"/>
                <w:szCs w:val="24"/>
                <w:lang w:val="en-US" w:eastAsia="zh-CN"/>
              </w:rPr>
            </w:pPr>
            <w:r>
              <w:rPr>
                <w:rFonts w:hint="eastAsia" w:ascii="思源宋体 CN Light" w:hAnsi="思源宋体 CN Light" w:eastAsia="思源宋体 CN Light" w:cs="思源宋体 CN Light"/>
                <w:b/>
                <w:bCs/>
                <w:color w:val="auto"/>
                <w:sz w:val="24"/>
                <w:szCs w:val="24"/>
                <w:lang w:val="en-US" w:eastAsia="zh-CN"/>
              </w:rPr>
              <w:t>注：登录不见面开标系统请选择IE11浏览器</w:t>
            </w:r>
          </w:p>
          <w:p w14:paraId="658D247A">
            <w:pPr>
              <w:spacing w:line="360" w:lineRule="auto"/>
              <w:outlineLvl w:val="9"/>
              <w:rPr>
                <w:rFonts w:hint="eastAsia" w:ascii="思源宋体 CN Light" w:hAnsi="思源宋体 CN Light" w:eastAsia="思源宋体 CN Light" w:cs="思源宋体 CN Light"/>
                <w:b/>
                <w:bCs/>
                <w:color w:val="auto"/>
                <w:sz w:val="24"/>
                <w:szCs w:val="24"/>
                <w:lang w:eastAsia="zh-CN"/>
              </w:rPr>
            </w:pPr>
            <w:r>
              <w:rPr>
                <w:rFonts w:hint="eastAsia" w:ascii="思源宋体 CN Light" w:hAnsi="思源宋体 CN Light" w:eastAsia="思源宋体 CN Light" w:cs="思源宋体 CN Light"/>
                <w:color w:val="auto"/>
                <w:sz w:val="24"/>
                <w:szCs w:val="24"/>
                <w:lang w:val="en-US" w:eastAsia="zh-CN"/>
              </w:rPr>
              <w:t>2、供应商应</w:t>
            </w:r>
            <w:r>
              <w:rPr>
                <w:rFonts w:hint="eastAsia" w:ascii="思源宋体 CN Light" w:hAnsi="思源宋体 CN Light" w:eastAsia="思源宋体 CN Light" w:cs="思源宋体 CN Light"/>
                <w:color w:val="auto"/>
                <w:sz w:val="24"/>
                <w:szCs w:val="24"/>
              </w:rPr>
              <w:t>按要求及时签到</w:t>
            </w:r>
            <w:r>
              <w:rPr>
                <w:rFonts w:hint="eastAsia" w:ascii="思源宋体 CN Light" w:hAnsi="思源宋体 CN Light" w:eastAsia="思源宋体 CN Light" w:cs="思源宋体 CN Light"/>
                <w:b/>
                <w:bCs/>
                <w:color w:val="auto"/>
                <w:sz w:val="24"/>
                <w:szCs w:val="24"/>
                <w:lang w:val="en-US" w:eastAsia="zh-CN"/>
              </w:rPr>
              <w:t>（签到时间为投标截止时间前1小时内，如果未签到将视为放弃投标资格）</w:t>
            </w:r>
            <w:r>
              <w:rPr>
                <w:rFonts w:hint="eastAsia" w:ascii="思源宋体 CN Light" w:hAnsi="思源宋体 CN Light" w:eastAsia="思源宋体 CN Light" w:cs="思源宋体 CN Light"/>
                <w:color w:val="auto"/>
                <w:sz w:val="24"/>
                <w:szCs w:val="24"/>
                <w:lang w:val="en-US" w:eastAsia="zh-CN"/>
              </w:rPr>
              <w:t>，</w:t>
            </w:r>
            <w:r>
              <w:rPr>
                <w:rFonts w:hint="eastAsia" w:ascii="思源宋体 CN Light" w:hAnsi="思源宋体 CN Light" w:eastAsia="思源宋体 CN Light" w:cs="思源宋体 CN Light"/>
                <w:color w:val="auto"/>
                <w:sz w:val="24"/>
                <w:szCs w:val="24"/>
              </w:rPr>
              <w:t>评审过程中，评标委员会可能会就某些问题要求供应商进行在线澄清</w:t>
            </w:r>
            <w:r>
              <w:rPr>
                <w:rFonts w:hint="eastAsia" w:ascii="思源宋体 CN Light" w:hAnsi="思源宋体 CN Light" w:eastAsia="思源宋体 CN Light" w:cs="思源宋体 CN Light"/>
                <w:color w:val="auto"/>
                <w:sz w:val="24"/>
                <w:szCs w:val="24"/>
                <w:lang w:eastAsia="zh-CN"/>
              </w:rPr>
              <w:t>，</w:t>
            </w:r>
            <w:r>
              <w:rPr>
                <w:rFonts w:hint="eastAsia" w:ascii="思源宋体 CN Light" w:hAnsi="思源宋体 CN Light" w:eastAsia="思源宋体 CN Light" w:cs="思源宋体 CN Light"/>
                <w:color w:val="auto"/>
                <w:sz w:val="24"/>
                <w:szCs w:val="24"/>
                <w:lang w:val="en-US" w:eastAsia="zh-CN"/>
              </w:rPr>
              <w:t>请供应商</w:t>
            </w:r>
            <w:r>
              <w:rPr>
                <w:rFonts w:hint="eastAsia" w:ascii="思源宋体 CN Light" w:hAnsi="思源宋体 CN Light" w:eastAsia="思源宋体 CN Light" w:cs="思源宋体 CN Light"/>
                <w:color w:val="auto"/>
                <w:sz w:val="24"/>
                <w:szCs w:val="24"/>
              </w:rPr>
              <w:t>保持在线直到评审结束；</w:t>
            </w:r>
          </w:p>
          <w:p w14:paraId="4779B955">
            <w:pPr>
              <w:spacing w:line="360" w:lineRule="auto"/>
              <w:outlineLvl w:val="9"/>
              <w:rPr>
                <w:rFonts w:hint="eastAsia" w:ascii="思源宋体 CN Light" w:hAnsi="思源宋体 CN Light" w:eastAsia="思源宋体 CN Light" w:cs="思源宋体 CN Light"/>
                <w:color w:val="auto"/>
                <w:sz w:val="24"/>
                <w:szCs w:val="24"/>
              </w:rPr>
            </w:pPr>
            <w:r>
              <w:rPr>
                <w:rFonts w:hint="eastAsia" w:ascii="思源宋体 CN Light" w:hAnsi="思源宋体 CN Light" w:eastAsia="思源宋体 CN Light" w:cs="思源宋体 CN Light"/>
                <w:color w:val="auto"/>
                <w:sz w:val="24"/>
                <w:szCs w:val="24"/>
                <w:lang w:val="en-US" w:eastAsia="zh-CN"/>
              </w:rPr>
              <w:t>3</w:t>
            </w:r>
            <w:r>
              <w:rPr>
                <w:rFonts w:hint="eastAsia" w:ascii="思源宋体 CN Light" w:hAnsi="思源宋体 CN Light" w:eastAsia="思源宋体 CN Light" w:cs="思源宋体 CN Light"/>
                <w:color w:val="auto"/>
                <w:sz w:val="24"/>
                <w:szCs w:val="24"/>
              </w:rPr>
              <w:t>、</w:t>
            </w:r>
            <w:r>
              <w:rPr>
                <w:rFonts w:hint="eastAsia" w:ascii="思源宋体 CN Light" w:hAnsi="思源宋体 CN Light" w:eastAsia="思源宋体 CN Light" w:cs="思源宋体 CN Light"/>
                <w:color w:val="auto"/>
                <w:sz w:val="24"/>
                <w:szCs w:val="24"/>
                <w:lang w:val="en-US" w:eastAsia="zh-CN"/>
              </w:rPr>
              <w:t>开</w:t>
            </w:r>
            <w:r>
              <w:rPr>
                <w:rFonts w:hint="eastAsia" w:ascii="思源宋体 CN Light" w:hAnsi="思源宋体 CN Light" w:eastAsia="思源宋体 CN Light" w:cs="思源宋体 CN Light"/>
                <w:color w:val="auto"/>
                <w:sz w:val="24"/>
                <w:szCs w:val="24"/>
              </w:rPr>
              <w:t>标过程中，供应商在收到工作人员“开始解密”指令后，请及时使用CA对电子投标文件进行解密。解密时所用CA应与加密投标文件时所用CA相同；</w:t>
            </w:r>
          </w:p>
          <w:p w14:paraId="6A5B6F2C">
            <w:pPr>
              <w:spacing w:line="360" w:lineRule="auto"/>
              <w:outlineLvl w:val="9"/>
              <w:rPr>
                <w:rFonts w:hint="eastAsia" w:ascii="思源宋体 CN Light" w:hAnsi="思源宋体 CN Light" w:eastAsia="思源宋体 CN Light" w:cs="思源宋体 CN Light"/>
                <w:b/>
                <w:bCs/>
                <w:color w:val="auto"/>
                <w:sz w:val="24"/>
                <w:szCs w:val="24"/>
                <w:lang w:val="en-US" w:eastAsia="zh-CN"/>
              </w:rPr>
            </w:pPr>
            <w:r>
              <w:rPr>
                <w:rFonts w:hint="eastAsia" w:ascii="思源宋体 CN Light" w:hAnsi="思源宋体 CN Light" w:eastAsia="思源宋体 CN Light" w:cs="思源宋体 CN Light"/>
                <w:b/>
                <w:bCs/>
                <w:color w:val="auto"/>
                <w:sz w:val="24"/>
                <w:szCs w:val="24"/>
                <w:lang w:val="en-US" w:eastAsia="zh-CN"/>
              </w:rPr>
              <w:t>注：解密时间为30分钟，在解密时间内供应商全部解密完成后，可提前进入开标下一阶段。</w:t>
            </w:r>
          </w:p>
          <w:p w14:paraId="5058BD10">
            <w:pPr>
              <w:spacing w:line="360" w:lineRule="auto"/>
              <w:outlineLvl w:val="9"/>
              <w:rPr>
                <w:rFonts w:hint="eastAsia" w:ascii="思源宋体 CN Light" w:hAnsi="思源宋体 CN Light" w:eastAsia="思源宋体 CN Light" w:cs="思源宋体 CN Light"/>
                <w:color w:val="auto"/>
                <w:sz w:val="24"/>
                <w:szCs w:val="24"/>
              </w:rPr>
            </w:pPr>
            <w:r>
              <w:rPr>
                <w:rFonts w:hint="eastAsia" w:ascii="思源宋体 CN Light" w:hAnsi="思源宋体 CN Light" w:eastAsia="思源宋体 CN Light" w:cs="思源宋体 CN Light"/>
                <w:color w:val="auto"/>
                <w:sz w:val="24"/>
                <w:szCs w:val="24"/>
                <w:lang w:val="en-US" w:eastAsia="zh-CN"/>
              </w:rPr>
              <w:t>4</w:t>
            </w:r>
            <w:r>
              <w:rPr>
                <w:rFonts w:hint="eastAsia" w:ascii="思源宋体 CN Light" w:hAnsi="思源宋体 CN Light" w:eastAsia="思源宋体 CN Light" w:cs="思源宋体 CN Light"/>
                <w:color w:val="auto"/>
                <w:sz w:val="24"/>
                <w:szCs w:val="24"/>
              </w:rPr>
              <w:t>、相关技术问题，请咨询软件开发商：</w:t>
            </w:r>
          </w:p>
          <w:p w14:paraId="4E7C7C17">
            <w:pPr>
              <w:spacing w:line="360" w:lineRule="auto"/>
              <w:outlineLvl w:val="9"/>
              <w:rPr>
                <w:rFonts w:hint="eastAsia" w:ascii="思源宋体 CN Light" w:hAnsi="思源宋体 CN Light" w:eastAsia="思源宋体 CN Light" w:cs="思源宋体 CN Light"/>
                <w:color w:val="auto"/>
                <w:sz w:val="24"/>
                <w:szCs w:val="24"/>
              </w:rPr>
            </w:pPr>
            <w:r>
              <w:rPr>
                <w:rFonts w:hint="eastAsia" w:ascii="思源宋体 CN Light" w:hAnsi="思源宋体 CN Light" w:eastAsia="思源宋体 CN Light" w:cs="思源宋体 CN Light"/>
                <w:color w:val="auto"/>
                <w:sz w:val="24"/>
                <w:szCs w:val="24"/>
              </w:rPr>
              <w:t>（1）技术支持热线：400-998-0000/400-928-0095</w:t>
            </w:r>
          </w:p>
          <w:p w14:paraId="1307B60E">
            <w:pPr>
              <w:widowControl/>
              <w:adjustRightInd w:val="0"/>
              <w:snapToGrid w:val="0"/>
              <w:spacing w:line="360" w:lineRule="auto"/>
              <w:textAlignment w:val="center"/>
              <w:outlineLvl w:val="9"/>
              <w:rPr>
                <w:rFonts w:ascii="宋体" w:hAnsi="宋体" w:cs="宋体"/>
                <w:color w:val="auto"/>
                <w:sz w:val="24"/>
              </w:rPr>
            </w:pPr>
            <w:r>
              <w:rPr>
                <w:rFonts w:hint="eastAsia" w:ascii="思源宋体 CN Light" w:hAnsi="思源宋体 CN Light" w:eastAsia="思源宋体 CN Light" w:cs="思源宋体 CN Light"/>
                <w:color w:val="auto"/>
                <w:sz w:val="24"/>
                <w:szCs w:val="24"/>
                <w:lang w:val="en-US" w:eastAsia="zh-CN"/>
              </w:rPr>
              <w:t>5</w:t>
            </w:r>
            <w:r>
              <w:rPr>
                <w:rFonts w:hint="eastAsia" w:ascii="思源宋体 CN Light" w:hAnsi="思源宋体 CN Light" w:eastAsia="思源宋体 CN Light" w:cs="思源宋体 CN Light"/>
                <w:color w:val="auto"/>
                <w:sz w:val="24"/>
                <w:szCs w:val="24"/>
              </w:rPr>
              <w:t>、</w:t>
            </w:r>
            <w:r>
              <w:rPr>
                <w:rFonts w:hint="eastAsia" w:ascii="思源宋体 CN Light" w:hAnsi="思源宋体 CN Light" w:eastAsia="思源宋体 CN Light" w:cs="思源宋体 CN Light"/>
                <w:color w:val="auto"/>
                <w:sz w:val="24"/>
                <w:szCs w:val="24"/>
                <w:lang w:val="en-US" w:eastAsia="zh-CN"/>
              </w:rPr>
              <w:t>榆林</w:t>
            </w:r>
            <w:r>
              <w:rPr>
                <w:rFonts w:hint="eastAsia" w:ascii="思源宋体 CN Light" w:hAnsi="思源宋体 CN Light" w:eastAsia="思源宋体 CN Light" w:cs="思源宋体 CN Light"/>
                <w:color w:val="auto"/>
                <w:sz w:val="24"/>
                <w:szCs w:val="24"/>
              </w:rPr>
              <w:t>不见面开标</w:t>
            </w:r>
            <w:r>
              <w:rPr>
                <w:rFonts w:hint="eastAsia" w:ascii="思源宋体 CN Light" w:hAnsi="思源宋体 CN Light" w:eastAsia="思源宋体 CN Light" w:cs="思源宋体 CN Light"/>
                <w:color w:val="auto"/>
                <w:sz w:val="24"/>
                <w:szCs w:val="24"/>
                <w:lang w:val="en-US" w:eastAsia="zh-CN"/>
              </w:rPr>
              <w:t>系统</w:t>
            </w:r>
            <w:r>
              <w:rPr>
                <w:rFonts w:hint="eastAsia" w:ascii="思源宋体 CN Light" w:hAnsi="思源宋体 CN Light" w:eastAsia="思源宋体 CN Light" w:cs="思源宋体 CN Light"/>
                <w:color w:val="auto"/>
                <w:sz w:val="24"/>
                <w:szCs w:val="24"/>
              </w:rPr>
              <w:t>操作手册</w:t>
            </w:r>
            <w:r>
              <w:rPr>
                <w:rFonts w:hint="eastAsia" w:ascii="思源宋体 CN Light" w:hAnsi="思源宋体 CN Light" w:eastAsia="思源宋体 CN Light" w:cs="思源宋体 CN Light"/>
                <w:color w:val="auto"/>
                <w:sz w:val="24"/>
                <w:szCs w:val="24"/>
                <w:lang w:val="en-US" w:eastAsia="zh-CN"/>
              </w:rPr>
              <w:t>下载方式：登录</w:t>
            </w:r>
            <w:r>
              <w:rPr>
                <w:rFonts w:hint="eastAsia" w:ascii="思源宋体 CN Light" w:hAnsi="思源宋体 CN Light" w:eastAsia="思源宋体 CN Light" w:cs="思源宋体 CN Light"/>
                <w:color w:val="auto"/>
                <w:sz w:val="24"/>
                <w:szCs w:val="24"/>
              </w:rPr>
              <w:t>【全国公共资源交易平台（陕西省·</w:t>
            </w:r>
            <w:r>
              <w:rPr>
                <w:rFonts w:hint="eastAsia" w:ascii="思源宋体 CN Light" w:hAnsi="思源宋体 CN Light" w:eastAsia="思源宋体 CN Light" w:cs="思源宋体 CN Light"/>
                <w:color w:val="auto"/>
                <w:sz w:val="24"/>
                <w:szCs w:val="24"/>
                <w:lang w:val="en-US" w:eastAsia="zh-CN"/>
              </w:rPr>
              <w:t>榆林</w:t>
            </w:r>
            <w:r>
              <w:rPr>
                <w:rFonts w:hint="eastAsia" w:ascii="思源宋体 CN Light" w:hAnsi="思源宋体 CN Light" w:eastAsia="思源宋体 CN Light" w:cs="思源宋体 CN Light"/>
                <w:color w:val="auto"/>
                <w:sz w:val="24"/>
                <w:szCs w:val="24"/>
              </w:rPr>
              <w:t>市）】</w:t>
            </w:r>
            <w:r>
              <w:rPr>
                <w:rFonts w:hint="eastAsia" w:ascii="思源宋体 CN Light" w:hAnsi="思源宋体 CN Light" w:eastAsia="思源宋体 CN Light" w:cs="思源宋体 CN Light"/>
                <w:color w:val="auto"/>
                <w:sz w:val="24"/>
                <w:szCs w:val="24"/>
                <w:lang w:val="en-US" w:eastAsia="zh-CN"/>
              </w:rPr>
              <w:t>网站首页选择【服务指南】-【下载专区】-点击【</w:t>
            </w:r>
            <w:r>
              <w:rPr>
                <w:rFonts w:hint="eastAsia" w:ascii="思源宋体 CN Light" w:hAnsi="思源宋体 CN Light" w:eastAsia="思源宋体 CN Light" w:cs="思源宋体 CN Light"/>
                <w:color w:val="auto"/>
                <w:sz w:val="24"/>
                <w:szCs w:val="24"/>
              </w:rPr>
              <w:fldChar w:fldCharType="begin"/>
            </w:r>
            <w:r>
              <w:rPr>
                <w:rFonts w:hint="eastAsia" w:ascii="思源宋体 CN Light" w:hAnsi="思源宋体 CN Light" w:eastAsia="思源宋体 CN Light" w:cs="思源宋体 CN Light"/>
                <w:color w:val="auto"/>
                <w:sz w:val="24"/>
                <w:szCs w:val="24"/>
              </w:rPr>
              <w:instrText xml:space="preserve"> HYPERLINK "http://yl.sxggzyjy.cn/BigFileUpLoadStorage/temp/2021-12-10/2583610f-1c5d-49b2-a314-0c1c4faeec6a/%E6%A6%86%E6%9E%97%E4%B8%8D%E8%A7%81%E9%9D%A2%E5%BC%80%E6%A0%87%E5%A4%A7%E5%8E%85%E6%93%8D%E4%BD%9C%E6%89%8B%E5%86%8C%EF%BC%88%E6%8A%95%E6%A0%87%E4%BA%BA%EF%BC%89.docx" \o "榆林不见面开标系统操作手册（投标人）" \t "http://yl.sxggzyjy.cn/fwzn/_blank" </w:instrText>
            </w:r>
            <w:r>
              <w:rPr>
                <w:rFonts w:hint="eastAsia" w:ascii="思源宋体 CN Light" w:hAnsi="思源宋体 CN Light" w:eastAsia="思源宋体 CN Light" w:cs="思源宋体 CN Light"/>
                <w:color w:val="auto"/>
                <w:sz w:val="24"/>
                <w:szCs w:val="24"/>
              </w:rPr>
              <w:fldChar w:fldCharType="separate"/>
            </w:r>
            <w:r>
              <w:rPr>
                <w:rFonts w:hint="eastAsia" w:ascii="思源宋体 CN Light" w:hAnsi="思源宋体 CN Light" w:eastAsia="思源宋体 CN Light" w:cs="思源宋体 CN Light"/>
                <w:color w:val="auto"/>
                <w:sz w:val="24"/>
                <w:szCs w:val="24"/>
              </w:rPr>
              <w:t>榆林不见面开标系统操作手册（投标人）</w:t>
            </w:r>
            <w:r>
              <w:rPr>
                <w:rFonts w:hint="eastAsia" w:ascii="思源宋体 CN Light" w:hAnsi="思源宋体 CN Light" w:eastAsia="思源宋体 CN Light" w:cs="思源宋体 CN Light"/>
                <w:color w:val="auto"/>
                <w:sz w:val="24"/>
                <w:szCs w:val="24"/>
              </w:rPr>
              <w:fldChar w:fldCharType="end"/>
            </w:r>
            <w:r>
              <w:rPr>
                <w:rFonts w:hint="eastAsia" w:ascii="思源宋体 CN Light" w:hAnsi="思源宋体 CN Light" w:eastAsia="思源宋体 CN Light" w:cs="思源宋体 CN Light"/>
                <w:color w:val="auto"/>
                <w:sz w:val="24"/>
                <w:szCs w:val="24"/>
                <w:lang w:val="en-US" w:eastAsia="zh-CN"/>
              </w:rPr>
              <w:t>】进行下载</w:t>
            </w:r>
            <w:r>
              <w:rPr>
                <w:rFonts w:hint="eastAsia" w:ascii="思源宋体 CN Light" w:hAnsi="思源宋体 CN Light" w:eastAsia="思源宋体 CN Light" w:cs="思源宋体 CN Light"/>
                <w:color w:val="auto"/>
                <w:sz w:val="24"/>
                <w:szCs w:val="24"/>
              </w:rPr>
              <w:t>。</w:t>
            </w:r>
            <w:r>
              <w:rPr>
                <w:rFonts w:hint="eastAsia" w:ascii="思源宋体 CN Light" w:hAnsi="思源宋体 CN Light" w:eastAsia="思源宋体 CN Light" w:cs="思源宋体 CN Light"/>
                <w:color w:val="auto"/>
                <w:sz w:val="24"/>
                <w:szCs w:val="24"/>
                <w:lang w:val="en-US" w:eastAsia="zh-CN"/>
              </w:rPr>
              <w:t xml:space="preserve">    </w:t>
            </w:r>
          </w:p>
        </w:tc>
      </w:tr>
      <w:tr w14:paraId="1173747F">
        <w:tblPrEx>
          <w:tblCellMar>
            <w:top w:w="0" w:type="dxa"/>
            <w:left w:w="108" w:type="dxa"/>
            <w:bottom w:w="0" w:type="dxa"/>
            <w:right w:w="108" w:type="dxa"/>
          </w:tblCellMar>
        </w:tblPrEx>
        <w:trPr>
          <w:trHeight w:val="698" w:hRule="atLeast"/>
        </w:trPr>
        <w:tc>
          <w:tcPr>
            <w:tcW w:w="723" w:type="dxa"/>
            <w:tcBorders>
              <w:top w:val="single" w:color="auto" w:sz="4" w:space="0"/>
              <w:left w:val="single" w:color="auto" w:sz="4" w:space="0"/>
              <w:bottom w:val="single" w:color="auto" w:sz="4" w:space="0"/>
              <w:right w:val="single" w:color="auto" w:sz="4" w:space="0"/>
            </w:tcBorders>
            <w:vAlign w:val="center"/>
          </w:tcPr>
          <w:p w14:paraId="7CE2BCDC">
            <w:pPr>
              <w:widowControl/>
              <w:adjustRightInd w:val="0"/>
              <w:snapToGrid w:val="0"/>
              <w:spacing w:line="360" w:lineRule="auto"/>
              <w:jc w:val="center"/>
              <w:textAlignment w:val="center"/>
              <w:outlineLvl w:val="9"/>
              <w:rPr>
                <w:rFonts w:hint="default" w:asciiTheme="minorEastAsia" w:hAnsiTheme="minorEastAsia" w:eastAsiaTheme="minorEastAsia" w:cstheme="minorEastAsia"/>
                <w:color w:val="auto"/>
                <w:sz w:val="24"/>
                <w:szCs w:val="24"/>
                <w:lang w:val="en-US" w:eastAsia="zh-CN"/>
              </w:rPr>
            </w:pPr>
            <w:r>
              <w:rPr>
                <w:rFonts w:hint="eastAsia" w:ascii="宋体" w:hAnsi="宋体" w:cs="宋体"/>
                <w:color w:val="auto"/>
                <w:sz w:val="24"/>
                <w:szCs w:val="24"/>
                <w:lang w:val="en-US" w:eastAsia="zh-CN"/>
              </w:rPr>
              <w:t>27</w:t>
            </w:r>
          </w:p>
        </w:tc>
        <w:tc>
          <w:tcPr>
            <w:tcW w:w="1765" w:type="dxa"/>
            <w:tcBorders>
              <w:top w:val="single" w:color="auto" w:sz="4" w:space="0"/>
              <w:left w:val="single" w:color="auto" w:sz="4" w:space="0"/>
              <w:bottom w:val="single" w:color="auto" w:sz="4" w:space="0"/>
              <w:right w:val="single" w:color="auto" w:sz="4" w:space="0"/>
            </w:tcBorders>
            <w:vAlign w:val="center"/>
          </w:tcPr>
          <w:p w14:paraId="17398F7D">
            <w:pPr>
              <w:widowControl/>
              <w:adjustRightInd w:val="0"/>
              <w:snapToGrid w:val="0"/>
              <w:jc w:val="center"/>
              <w:textAlignment w:val="center"/>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 w:val="0"/>
                <w:color w:val="auto"/>
                <w:kern w:val="2"/>
                <w:sz w:val="24"/>
                <w:szCs w:val="24"/>
                <w:shd w:val="clear" w:color="auto" w:fill="FFFFFF"/>
                <w:lang w:val="en-US" w:eastAsia="zh-CN" w:bidi="ar-SA"/>
              </w:rPr>
              <w:t>答疑文件</w:t>
            </w:r>
          </w:p>
        </w:tc>
        <w:tc>
          <w:tcPr>
            <w:tcW w:w="7515" w:type="dxa"/>
            <w:tcBorders>
              <w:top w:val="single" w:color="auto" w:sz="4" w:space="0"/>
              <w:left w:val="single" w:color="auto" w:sz="4" w:space="0"/>
              <w:bottom w:val="single" w:color="auto" w:sz="4" w:space="0"/>
              <w:right w:val="single" w:color="auto" w:sz="4" w:space="0"/>
            </w:tcBorders>
            <w:vAlign w:val="center"/>
          </w:tcPr>
          <w:p w14:paraId="7BD6BE01">
            <w:pPr>
              <w:pStyle w:val="10"/>
              <w:spacing w:line="360" w:lineRule="auto"/>
              <w:outlineLvl w:val="9"/>
              <w:rPr>
                <w:rFonts w:hint="eastAsia" w:ascii="Times New Roman" w:hAnsi="Times New Roman" w:eastAsia="宋体" w:cs="Times New Roman"/>
                <w:color w:val="auto"/>
                <w:kern w:val="2"/>
                <w:sz w:val="21"/>
                <w:szCs w:val="24"/>
                <w:lang w:val="en-US" w:eastAsia="zh-CN" w:bidi="ar-SA"/>
              </w:rPr>
            </w:pPr>
            <w:r>
              <w:rPr>
                <w:rFonts w:hint="eastAsia" w:ascii="宋体" w:hAnsi="宋体" w:eastAsia="宋体" w:cs="宋体"/>
                <w:b w:val="0"/>
                <w:color w:val="auto"/>
                <w:kern w:val="2"/>
                <w:sz w:val="24"/>
                <w:szCs w:val="24"/>
                <w:shd w:val="clear" w:color="auto" w:fill="FFFFFF"/>
                <w:lang w:val="en-US" w:eastAsia="zh-CN" w:bidi="ar-SA"/>
              </w:rPr>
              <w:t>供应商应随时关注发布的变更公告，当澄清或修改的内容影响投标文件编制时，将在交易平台上同步发布答疑文件，此时投标人应从“项目流程·〉答疑文件下载”下载最新发布的答疑文件（*.SXSCF格式），并使用该文件重新编制电子投标文件（*.SXSTF格式），使用旧版电子招标文件或旧版答疑文件制作的电子投标文件，系统将拒绝接收。</w:t>
            </w:r>
          </w:p>
        </w:tc>
      </w:tr>
      <w:tr w14:paraId="38F303E4">
        <w:tblPrEx>
          <w:tblCellMar>
            <w:top w:w="0" w:type="dxa"/>
            <w:left w:w="108" w:type="dxa"/>
            <w:bottom w:w="0" w:type="dxa"/>
            <w:right w:w="108" w:type="dxa"/>
          </w:tblCellMar>
        </w:tblPrEx>
        <w:trPr>
          <w:trHeight w:val="698" w:hRule="atLeast"/>
        </w:trPr>
        <w:tc>
          <w:tcPr>
            <w:tcW w:w="723" w:type="dxa"/>
            <w:tcBorders>
              <w:top w:val="single" w:color="auto" w:sz="4" w:space="0"/>
              <w:left w:val="single" w:color="auto" w:sz="4" w:space="0"/>
              <w:bottom w:val="single" w:color="auto" w:sz="4" w:space="0"/>
              <w:right w:val="single" w:color="auto" w:sz="4" w:space="0"/>
            </w:tcBorders>
            <w:vAlign w:val="center"/>
          </w:tcPr>
          <w:p w14:paraId="4FDD5971">
            <w:pPr>
              <w:widowControl/>
              <w:adjustRightInd w:val="0"/>
              <w:snapToGrid w:val="0"/>
              <w:spacing w:line="360" w:lineRule="auto"/>
              <w:jc w:val="center"/>
              <w:textAlignment w:val="center"/>
              <w:outlineLvl w:val="9"/>
              <w:rPr>
                <w:rFonts w:hint="default" w:asciiTheme="minorEastAsia" w:hAnsiTheme="minorEastAsia" w:eastAsiaTheme="minorEastAsia" w:cstheme="minorEastAsia"/>
                <w:color w:val="auto"/>
                <w:sz w:val="24"/>
                <w:szCs w:val="24"/>
                <w:lang w:val="en-US" w:eastAsia="zh-CN"/>
              </w:rPr>
            </w:pPr>
            <w:r>
              <w:rPr>
                <w:rFonts w:hint="eastAsia" w:ascii="宋体" w:hAnsi="宋体" w:cs="宋体"/>
                <w:color w:val="auto"/>
                <w:sz w:val="24"/>
                <w:szCs w:val="24"/>
                <w:lang w:val="en-US" w:eastAsia="zh-CN"/>
              </w:rPr>
              <w:t>28</w:t>
            </w:r>
          </w:p>
        </w:tc>
        <w:tc>
          <w:tcPr>
            <w:tcW w:w="1765" w:type="dxa"/>
            <w:tcBorders>
              <w:top w:val="single" w:color="auto" w:sz="4" w:space="0"/>
              <w:left w:val="single" w:color="auto" w:sz="4" w:space="0"/>
              <w:bottom w:val="single" w:color="auto" w:sz="4" w:space="0"/>
              <w:right w:val="single" w:color="auto" w:sz="4" w:space="0"/>
            </w:tcBorders>
            <w:vAlign w:val="center"/>
          </w:tcPr>
          <w:p w14:paraId="469ED30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150" w:rightChars="0"/>
              <w:jc w:val="center"/>
              <w:outlineLvl w:val="9"/>
              <w:rPr>
                <w:rFonts w:hint="eastAsia" w:ascii="思源宋体 CN Light" w:hAnsi="思源宋体 CN Light" w:eastAsia="思源宋体 CN Light" w:cs="思源宋体 CN Light"/>
                <w:color w:val="auto"/>
                <w:sz w:val="24"/>
                <w:szCs w:val="24"/>
                <w:lang w:val="en-US" w:eastAsia="zh-CN"/>
              </w:rPr>
            </w:pPr>
            <w:r>
              <w:rPr>
                <w:rFonts w:hint="eastAsia" w:ascii="思源宋体 CN Light" w:hAnsi="思源宋体 CN Light" w:eastAsia="思源宋体 CN Light" w:cs="思源宋体 CN Light"/>
                <w:color w:val="auto"/>
                <w:sz w:val="24"/>
                <w:szCs w:val="24"/>
                <w:lang w:val="en-US" w:eastAsia="zh-CN"/>
              </w:rPr>
              <w:t>投标文件递交</w:t>
            </w:r>
          </w:p>
          <w:p w14:paraId="0F14402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150" w:rightChars="0"/>
              <w:jc w:val="center"/>
              <w:outlineLvl w:val="9"/>
              <w:rPr>
                <w:rFonts w:hint="eastAsia" w:ascii="思源宋体 CN Light" w:hAnsi="思源宋体 CN Light" w:eastAsia="思源宋体 CN Light" w:cs="思源宋体 CN Light"/>
                <w:color w:val="auto"/>
                <w:sz w:val="24"/>
                <w:szCs w:val="24"/>
                <w:lang w:val="en-US" w:eastAsia="zh-CN"/>
              </w:rPr>
            </w:pPr>
            <w:r>
              <w:rPr>
                <w:rFonts w:hint="eastAsia" w:ascii="思源宋体 CN Light" w:hAnsi="思源宋体 CN Light" w:eastAsia="思源宋体 CN Light" w:cs="思源宋体 CN Light"/>
                <w:color w:val="auto"/>
                <w:sz w:val="24"/>
                <w:szCs w:val="24"/>
                <w:lang w:val="en-US" w:eastAsia="zh-CN"/>
              </w:rPr>
              <w:t>方式</w:t>
            </w:r>
          </w:p>
          <w:p w14:paraId="37A0498F">
            <w:pPr>
              <w:widowControl/>
              <w:adjustRightInd w:val="0"/>
              <w:snapToGrid w:val="0"/>
              <w:jc w:val="center"/>
              <w:textAlignment w:val="center"/>
              <w:outlineLvl w:val="9"/>
              <w:rPr>
                <w:rFonts w:hint="eastAsia" w:ascii="宋体" w:hAnsi="宋体" w:cs="宋体"/>
                <w:color w:val="auto"/>
                <w:sz w:val="24"/>
                <w:szCs w:val="24"/>
              </w:rPr>
            </w:pPr>
          </w:p>
        </w:tc>
        <w:tc>
          <w:tcPr>
            <w:tcW w:w="7515" w:type="dxa"/>
            <w:tcBorders>
              <w:top w:val="single" w:color="auto" w:sz="4" w:space="0"/>
              <w:left w:val="single" w:color="auto" w:sz="4" w:space="0"/>
              <w:bottom w:val="single" w:color="auto" w:sz="4" w:space="0"/>
              <w:right w:val="single" w:color="auto" w:sz="4" w:space="0"/>
            </w:tcBorders>
            <w:vAlign w:val="center"/>
          </w:tcPr>
          <w:p w14:paraId="41B6453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150" w:rightChars="0"/>
              <w:outlineLvl w:val="9"/>
              <w:rPr>
                <w:rFonts w:hint="default" w:ascii="宋体" w:hAnsi="宋体" w:eastAsia="思源宋体 CN Light" w:cs="宋体"/>
                <w:bCs/>
                <w:color w:val="auto"/>
                <w:sz w:val="24"/>
                <w:szCs w:val="24"/>
                <w:lang w:val="en-US" w:eastAsia="zh-CN"/>
              </w:rPr>
            </w:pPr>
            <w:r>
              <w:rPr>
                <w:rFonts w:hint="eastAsia" w:ascii="思源宋体 CN Light" w:hAnsi="思源宋体 CN Light" w:eastAsia="思源宋体 CN Light" w:cs="思源宋体 CN Light"/>
                <w:color w:val="auto"/>
                <w:sz w:val="24"/>
                <w:szCs w:val="24"/>
                <w:lang w:val="en-US" w:eastAsia="zh-CN"/>
              </w:rPr>
              <w:t xml:space="preserve">供应商应于提交投标文件截止时间前任意时段登录交易平台〖首页〉电子交易平台〉企业端〗在线提交电子投标文件，逾期提交系统将拒绝接收。 </w:t>
            </w:r>
          </w:p>
        </w:tc>
      </w:tr>
      <w:tr w14:paraId="1360840C">
        <w:tblPrEx>
          <w:tblCellMar>
            <w:top w:w="0" w:type="dxa"/>
            <w:left w:w="108" w:type="dxa"/>
            <w:bottom w:w="0" w:type="dxa"/>
            <w:right w:w="108" w:type="dxa"/>
          </w:tblCellMar>
        </w:tblPrEx>
        <w:trPr>
          <w:trHeight w:val="585" w:hRule="atLeast"/>
        </w:trPr>
        <w:tc>
          <w:tcPr>
            <w:tcW w:w="10003" w:type="dxa"/>
            <w:gridSpan w:val="3"/>
            <w:tcBorders>
              <w:top w:val="single" w:color="auto" w:sz="4" w:space="0"/>
              <w:left w:val="single" w:color="auto" w:sz="4" w:space="0"/>
              <w:bottom w:val="single" w:color="auto" w:sz="4" w:space="0"/>
              <w:right w:val="single" w:color="auto" w:sz="4" w:space="0"/>
            </w:tcBorders>
            <w:vAlign w:val="center"/>
          </w:tcPr>
          <w:p w14:paraId="55738065">
            <w:pPr>
              <w:adjustRightInd w:val="0"/>
              <w:snapToGrid w:val="0"/>
              <w:spacing w:line="360" w:lineRule="auto"/>
              <w:jc w:val="left"/>
              <w:outlineLvl w:val="9"/>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本表是对供应商须知的提示、补充和修改，如有矛盾，应以本表为准。如本表未说明的，以本竞争性磋商文件内容为准。</w:t>
            </w:r>
          </w:p>
        </w:tc>
      </w:tr>
    </w:tbl>
    <w:p w14:paraId="2CC00F2D">
      <w:pPr>
        <w:outlineLvl w:val="9"/>
        <w:rPr>
          <w:color w:val="auto"/>
        </w:rPr>
      </w:pPr>
      <w:bookmarkStart w:id="28" w:name="_Toc513557026"/>
      <w:r>
        <w:rPr>
          <w:color w:val="auto"/>
        </w:rPr>
        <w:br w:type="page"/>
      </w:r>
    </w:p>
    <w:p w14:paraId="32574CE1">
      <w:pPr>
        <w:spacing w:line="240" w:lineRule="auto"/>
        <w:jc w:val="center"/>
        <w:outlineLvl w:val="9"/>
        <w:rPr>
          <w:rFonts w:ascii="宋体" w:hAnsi="宋体"/>
          <w:b/>
          <w:bCs/>
          <w:color w:val="auto"/>
          <w:sz w:val="32"/>
          <w:szCs w:val="32"/>
        </w:rPr>
      </w:pPr>
      <w:bookmarkStart w:id="29" w:name="_Toc19773"/>
      <w:bookmarkStart w:id="30" w:name="_Toc19554"/>
      <w:bookmarkStart w:id="31" w:name="_Toc23612"/>
      <w:bookmarkStart w:id="32" w:name="_Toc19507"/>
      <w:bookmarkStart w:id="33" w:name="_Toc11332"/>
      <w:bookmarkStart w:id="34" w:name="_Toc23852"/>
      <w:bookmarkStart w:id="35" w:name="_Toc29584"/>
      <w:r>
        <w:rPr>
          <w:rFonts w:hint="eastAsia" w:ascii="宋体" w:hAnsi="宋体" w:eastAsia="宋体" w:cs="Times New Roman"/>
          <w:b/>
          <w:bCs/>
          <w:color w:val="auto"/>
          <w:sz w:val="32"/>
          <w:szCs w:val="32"/>
        </w:rPr>
        <w:t>（二）</w:t>
      </w:r>
      <w:r>
        <w:rPr>
          <w:rFonts w:hint="eastAsia" w:ascii="宋体" w:hAnsi="宋体"/>
          <w:b/>
          <w:bCs/>
          <w:color w:val="auto"/>
          <w:sz w:val="32"/>
          <w:szCs w:val="32"/>
        </w:rPr>
        <w:t>供应商须知</w:t>
      </w:r>
      <w:bookmarkEnd w:id="28"/>
      <w:bookmarkEnd w:id="29"/>
      <w:bookmarkEnd w:id="30"/>
      <w:bookmarkEnd w:id="31"/>
      <w:bookmarkEnd w:id="32"/>
      <w:bookmarkEnd w:id="33"/>
      <w:bookmarkEnd w:id="34"/>
      <w:bookmarkEnd w:id="35"/>
    </w:p>
    <w:p w14:paraId="07A8ADC9">
      <w:pPr>
        <w:pStyle w:val="43"/>
        <w:spacing w:line="240" w:lineRule="auto"/>
        <w:ind w:firstLine="482" w:firstLineChars="200"/>
        <w:outlineLvl w:val="9"/>
        <w:rPr>
          <w:rFonts w:ascii="宋体" w:hAnsi="宋体"/>
          <w:b/>
          <w:color w:val="auto"/>
          <w:sz w:val="24"/>
          <w:szCs w:val="24"/>
        </w:rPr>
      </w:pPr>
      <w:bookmarkStart w:id="36" w:name="_Toc24343"/>
      <w:bookmarkStart w:id="37" w:name="_Toc10851"/>
      <w:bookmarkStart w:id="38" w:name="_Toc28324"/>
      <w:bookmarkStart w:id="39" w:name="_Toc11273"/>
      <w:bookmarkStart w:id="40" w:name="_Toc31778"/>
      <w:bookmarkStart w:id="41" w:name="_Toc27754"/>
      <w:bookmarkStart w:id="42" w:name="_Toc18148"/>
      <w:bookmarkStart w:id="43" w:name="_Toc30389"/>
      <w:bookmarkStart w:id="44" w:name="_Toc15038"/>
      <w:bookmarkStart w:id="45" w:name="_Toc513557027"/>
      <w:r>
        <w:rPr>
          <w:rFonts w:ascii="宋体" w:hAnsi="宋体"/>
          <w:b/>
          <w:color w:val="auto"/>
          <w:sz w:val="24"/>
          <w:szCs w:val="24"/>
        </w:rPr>
        <w:t>1</w:t>
      </w:r>
      <w:r>
        <w:rPr>
          <w:rFonts w:hint="eastAsia" w:ascii="宋体" w:hAnsi="宋体"/>
          <w:b/>
          <w:color w:val="auto"/>
          <w:sz w:val="24"/>
          <w:szCs w:val="24"/>
        </w:rPr>
        <w:t>．</w:t>
      </w:r>
      <w:r>
        <w:rPr>
          <w:rFonts w:ascii="宋体" w:hAnsi="宋体"/>
          <w:b/>
          <w:color w:val="auto"/>
          <w:sz w:val="24"/>
          <w:szCs w:val="24"/>
        </w:rPr>
        <w:t xml:space="preserve">  </w:t>
      </w:r>
      <w:r>
        <w:rPr>
          <w:rFonts w:hint="eastAsia" w:ascii="宋体" w:hAnsi="宋体"/>
          <w:b/>
          <w:color w:val="auto"/>
          <w:sz w:val="24"/>
          <w:szCs w:val="24"/>
        </w:rPr>
        <w:t>总则</w:t>
      </w:r>
      <w:bookmarkEnd w:id="36"/>
      <w:bookmarkEnd w:id="37"/>
      <w:bookmarkEnd w:id="38"/>
      <w:bookmarkEnd w:id="39"/>
      <w:bookmarkEnd w:id="40"/>
      <w:bookmarkEnd w:id="41"/>
      <w:bookmarkEnd w:id="42"/>
      <w:bookmarkEnd w:id="43"/>
      <w:bookmarkEnd w:id="44"/>
      <w:bookmarkEnd w:id="45"/>
    </w:p>
    <w:p w14:paraId="6BD638BD">
      <w:pPr>
        <w:spacing w:line="360" w:lineRule="auto"/>
        <w:outlineLvl w:val="9"/>
        <w:rPr>
          <w:rFonts w:ascii="宋体" w:hAnsi="宋体" w:cs="宋体"/>
          <w:b/>
          <w:bCs/>
          <w:color w:val="auto"/>
          <w:sz w:val="24"/>
          <w:szCs w:val="24"/>
        </w:rPr>
      </w:pPr>
      <w:r>
        <w:rPr>
          <w:rFonts w:hint="eastAsia" w:ascii="宋体" w:hAnsi="宋体" w:cs="宋体"/>
          <w:b/>
          <w:bCs/>
          <w:color w:val="auto"/>
          <w:sz w:val="24"/>
          <w:szCs w:val="24"/>
        </w:rPr>
        <w:t>1、说明</w:t>
      </w:r>
    </w:p>
    <w:p w14:paraId="726BB7BB">
      <w:pPr>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r>
        <w:rPr>
          <w:rFonts w:hint="eastAsia" w:ascii="宋体" w:hAnsi="宋体" w:cs="宋体"/>
          <w:color w:val="auto"/>
          <w:sz w:val="24"/>
          <w:szCs w:val="24"/>
        </w:rPr>
        <w:t>本竞争性</w:t>
      </w:r>
      <w:r>
        <w:rPr>
          <w:rFonts w:hint="eastAsia" w:ascii="宋体" w:hAnsi="宋体" w:cs="宋体"/>
          <w:color w:val="auto"/>
          <w:sz w:val="24"/>
          <w:szCs w:val="24"/>
          <w:lang w:eastAsia="zh-CN"/>
        </w:rPr>
        <w:t>磋商</w:t>
      </w:r>
      <w:r>
        <w:rPr>
          <w:rFonts w:hint="eastAsia" w:ascii="宋体" w:hAnsi="宋体" w:cs="宋体"/>
          <w:color w:val="auto"/>
          <w:sz w:val="24"/>
          <w:szCs w:val="24"/>
        </w:rPr>
        <w:t>文件仅适用于本竞争性</w:t>
      </w:r>
      <w:r>
        <w:rPr>
          <w:rFonts w:hint="eastAsia" w:ascii="宋体" w:hAnsi="宋体" w:cs="宋体"/>
          <w:color w:val="auto"/>
          <w:sz w:val="24"/>
          <w:szCs w:val="24"/>
          <w:lang w:eastAsia="zh-CN"/>
        </w:rPr>
        <w:t>磋商</w:t>
      </w:r>
      <w:r>
        <w:rPr>
          <w:rFonts w:hint="eastAsia" w:ascii="宋体" w:hAnsi="宋体" w:cs="宋体"/>
          <w:color w:val="auto"/>
          <w:sz w:val="24"/>
          <w:szCs w:val="24"/>
        </w:rPr>
        <w:t>公告中所叙述</w:t>
      </w:r>
      <w:r>
        <w:rPr>
          <w:rFonts w:hint="eastAsia" w:ascii="宋体" w:hAnsi="宋体" w:cs="仿宋_GB2312"/>
          <w:color w:val="auto"/>
          <w:sz w:val="24"/>
          <w:szCs w:val="24"/>
        </w:rPr>
        <w:t>货物、工程及服务采购</w:t>
      </w:r>
      <w:r>
        <w:rPr>
          <w:rFonts w:hint="eastAsia" w:ascii="宋体" w:hAnsi="宋体" w:cs="宋体"/>
          <w:color w:val="auto"/>
          <w:sz w:val="24"/>
          <w:szCs w:val="24"/>
        </w:rPr>
        <w:t>。</w:t>
      </w:r>
    </w:p>
    <w:p w14:paraId="0863CEB5">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1.2本次采购属政府采购，采购人，采购代理机构、供应商、</w:t>
      </w:r>
      <w:r>
        <w:rPr>
          <w:rFonts w:hint="eastAsia" w:ascii="宋体" w:hAnsi="宋体" w:cs="宋体"/>
          <w:color w:val="auto"/>
          <w:sz w:val="24"/>
          <w:szCs w:val="24"/>
          <w:lang w:eastAsia="zh-CN"/>
        </w:rPr>
        <w:t>磋商</w:t>
      </w:r>
      <w:r>
        <w:rPr>
          <w:rFonts w:hint="eastAsia" w:ascii="宋体" w:hAnsi="宋体" w:cs="宋体"/>
          <w:color w:val="auto"/>
          <w:sz w:val="24"/>
          <w:szCs w:val="24"/>
        </w:rPr>
        <w:t>小组的相关行为均受《中华人民共和国政府采购法》、财政部规章及政府采购项目所在地有关法规、规章的约束，其权利受到上述法律法规的保护。</w:t>
      </w:r>
    </w:p>
    <w:p w14:paraId="5687FAE9">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1.3 本次招标采用</w:t>
      </w:r>
      <w:r>
        <w:rPr>
          <w:rFonts w:hint="eastAsia"/>
          <w:color w:val="auto"/>
          <w:sz w:val="24"/>
          <w:szCs w:val="24"/>
        </w:rPr>
        <w:t>竞争性磋商</w:t>
      </w:r>
      <w:r>
        <w:rPr>
          <w:rFonts w:hint="eastAsia" w:ascii="宋体" w:hAnsi="宋体" w:cs="宋体"/>
          <w:color w:val="auto"/>
          <w:sz w:val="24"/>
          <w:szCs w:val="24"/>
        </w:rPr>
        <w:t>的方式。</w:t>
      </w:r>
    </w:p>
    <w:p w14:paraId="10D15F5A">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1.4本磋商文件的解释权属于</w:t>
      </w:r>
      <w:r>
        <w:rPr>
          <w:rFonts w:hint="eastAsia" w:ascii="宋体" w:hAnsi="宋体" w:cs="宋体"/>
          <w:color w:val="auto"/>
          <w:sz w:val="24"/>
          <w:szCs w:val="24"/>
          <w:lang w:eastAsia="zh-CN"/>
        </w:rPr>
        <w:t>陕安项目管理有限公司</w:t>
      </w:r>
      <w:r>
        <w:rPr>
          <w:rFonts w:hint="eastAsia" w:ascii="宋体" w:hAnsi="宋体" w:cs="宋体"/>
          <w:color w:val="auto"/>
          <w:sz w:val="24"/>
          <w:szCs w:val="24"/>
        </w:rPr>
        <w:t>所有。</w:t>
      </w:r>
    </w:p>
    <w:p w14:paraId="51856F6D">
      <w:pPr>
        <w:spacing w:line="360" w:lineRule="auto"/>
        <w:outlineLvl w:val="9"/>
        <w:rPr>
          <w:rFonts w:ascii="宋体" w:hAnsi="宋体" w:cs="宋体"/>
          <w:b/>
          <w:bCs/>
          <w:color w:val="auto"/>
          <w:sz w:val="24"/>
          <w:szCs w:val="24"/>
        </w:rPr>
      </w:pPr>
      <w:r>
        <w:rPr>
          <w:rFonts w:hint="eastAsia" w:ascii="宋体" w:hAnsi="宋体" w:cs="宋体"/>
          <w:b/>
          <w:bCs/>
          <w:color w:val="auto"/>
          <w:sz w:val="24"/>
          <w:szCs w:val="24"/>
        </w:rPr>
        <w:t>2、合格的供应商</w:t>
      </w:r>
    </w:p>
    <w:p w14:paraId="17E7E7AB">
      <w:pPr>
        <w:wordWrap w:val="0"/>
        <w:topLinePunct/>
        <w:spacing w:line="360" w:lineRule="auto"/>
        <w:ind w:firstLine="480" w:firstLineChars="200"/>
        <w:jc w:val="left"/>
        <w:outlineLvl w:val="9"/>
        <w:rPr>
          <w:rFonts w:ascii="宋体" w:hAnsi="宋体"/>
          <w:color w:val="auto"/>
          <w:sz w:val="24"/>
          <w:szCs w:val="24"/>
        </w:rPr>
      </w:pPr>
      <w:bookmarkStart w:id="46" w:name="_Toc179632552"/>
      <w:bookmarkStart w:id="47" w:name="_Toc152045535"/>
      <w:bookmarkStart w:id="48" w:name="_Toc152042311"/>
      <w:bookmarkStart w:id="49" w:name="_Toc144974503"/>
      <w:r>
        <w:rPr>
          <w:rFonts w:hint="eastAsia" w:ascii="宋体" w:hAnsi="宋体" w:cs="宋体"/>
          <w:color w:val="auto"/>
          <w:sz w:val="24"/>
          <w:szCs w:val="24"/>
          <w:lang w:val="en-US" w:eastAsia="zh-CN"/>
        </w:rPr>
        <w:t>2</w:t>
      </w:r>
      <w:r>
        <w:rPr>
          <w:rFonts w:hint="eastAsia" w:ascii="宋体" w:hAnsi="宋体" w:cs="宋体"/>
          <w:color w:val="auto"/>
          <w:sz w:val="24"/>
          <w:szCs w:val="24"/>
        </w:rPr>
        <w:t xml:space="preserve">.1 </w:t>
      </w:r>
      <w:r>
        <w:rPr>
          <w:rFonts w:hint="eastAsia" w:ascii="宋体" w:hAnsi="宋体"/>
          <w:color w:val="auto"/>
          <w:sz w:val="24"/>
          <w:szCs w:val="24"/>
        </w:rPr>
        <w:t>合格的供应商：满足下列资格条件且有能力提供项目所需服务的供应商。</w:t>
      </w:r>
    </w:p>
    <w:p w14:paraId="46656B2E">
      <w:pPr>
        <w:spacing w:line="360" w:lineRule="auto"/>
        <w:outlineLvl w:val="9"/>
        <w:rPr>
          <w:rFonts w:hint="eastAsia" w:ascii="宋体" w:hAnsi="宋体"/>
          <w:bCs/>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.2</w:t>
      </w:r>
      <w:r>
        <w:rPr>
          <w:rFonts w:hint="eastAsia" w:ascii="宋体" w:hAnsi="宋体"/>
          <w:bCs/>
          <w:color w:val="auto"/>
          <w:sz w:val="24"/>
          <w:szCs w:val="24"/>
        </w:rPr>
        <w:t>资格条件</w:t>
      </w:r>
    </w:p>
    <w:p w14:paraId="729717D3">
      <w:pPr>
        <w:spacing w:line="360" w:lineRule="auto"/>
        <w:ind w:firstLine="480" w:firstLineChars="200"/>
        <w:outlineLvl w:val="9"/>
        <w:rPr>
          <w:rFonts w:hint="eastAsia" w:ascii="宋体" w:hAnsi="宋体" w:cs="宋体"/>
          <w:color w:val="auto"/>
          <w:sz w:val="24"/>
          <w:szCs w:val="24"/>
        </w:rPr>
      </w:pPr>
      <w:r>
        <w:rPr>
          <w:rFonts w:hint="eastAsia" w:ascii="宋体" w:hAnsi="宋体"/>
          <w:bCs/>
          <w:color w:val="auto"/>
          <w:sz w:val="24"/>
          <w:szCs w:val="24"/>
          <w:lang w:val="en-US" w:eastAsia="zh-CN"/>
        </w:rPr>
        <w:t>2</w:t>
      </w:r>
      <w:r>
        <w:rPr>
          <w:rFonts w:hint="eastAsia" w:ascii="宋体" w:hAnsi="宋体"/>
          <w:bCs/>
          <w:color w:val="auto"/>
          <w:sz w:val="24"/>
          <w:szCs w:val="24"/>
        </w:rPr>
        <w:t>.2.1</w:t>
      </w:r>
      <w:r>
        <w:rPr>
          <w:rFonts w:hint="eastAsia" w:ascii="宋体" w:hAnsi="宋体" w:cs="宋体"/>
          <w:color w:val="auto"/>
          <w:sz w:val="24"/>
          <w:szCs w:val="24"/>
        </w:rPr>
        <w:t>供应商应当符合《中华人民共和国政府采购法》第二十二条第一款规定的投标人基本资格条件；以及</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文件规定的供应商特定资格条件。</w:t>
      </w:r>
    </w:p>
    <w:p w14:paraId="4826610C">
      <w:pPr>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.3供应商必须从陕西省公共资源交易平台获取</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文件，供应商自行转让或复制的竞争性</w:t>
      </w:r>
      <w:r>
        <w:rPr>
          <w:rFonts w:hint="eastAsia" w:ascii="宋体" w:hAnsi="宋体" w:cs="宋体"/>
          <w:color w:val="auto"/>
          <w:sz w:val="24"/>
          <w:szCs w:val="24"/>
          <w:lang w:eastAsia="zh-CN"/>
        </w:rPr>
        <w:t>磋商</w:t>
      </w:r>
      <w:r>
        <w:rPr>
          <w:rFonts w:hint="eastAsia" w:ascii="宋体" w:hAnsi="宋体" w:cs="宋体"/>
          <w:color w:val="auto"/>
          <w:sz w:val="24"/>
          <w:szCs w:val="24"/>
        </w:rPr>
        <w:t>文件视为无效文件</w:t>
      </w:r>
      <w:r>
        <w:rPr>
          <w:rFonts w:hint="eastAsia" w:ascii="宋体" w:hAnsi="宋体" w:cs="宋体"/>
          <w:color w:val="auto"/>
          <w:sz w:val="24"/>
          <w:szCs w:val="24"/>
          <w:lang w:eastAsia="zh-CN"/>
        </w:rPr>
        <w:t>，此文件</w:t>
      </w:r>
      <w:r>
        <w:rPr>
          <w:rFonts w:hint="eastAsia" w:ascii="宋体" w:hAnsi="宋体" w:cs="宋体"/>
          <w:color w:val="auto"/>
          <w:sz w:val="24"/>
          <w:szCs w:val="24"/>
        </w:rPr>
        <w:t>仅作为本次</w:t>
      </w:r>
      <w:r>
        <w:rPr>
          <w:rFonts w:hint="eastAsia" w:ascii="宋体" w:hAnsi="宋体" w:cs="宋体"/>
          <w:color w:val="auto"/>
          <w:sz w:val="24"/>
          <w:szCs w:val="24"/>
          <w:lang w:eastAsia="zh-CN"/>
        </w:rPr>
        <w:t>磋商</w:t>
      </w:r>
      <w:r>
        <w:rPr>
          <w:rFonts w:hint="eastAsia" w:ascii="宋体" w:hAnsi="宋体" w:cs="宋体"/>
          <w:color w:val="auto"/>
          <w:sz w:val="24"/>
          <w:szCs w:val="24"/>
        </w:rPr>
        <w:t>使用。</w:t>
      </w:r>
    </w:p>
    <w:p w14:paraId="7BD1DC1B">
      <w:pPr>
        <w:spacing w:line="360" w:lineRule="auto"/>
        <w:ind w:firstLine="480" w:firstLineChars="200"/>
        <w:outlineLvl w:val="9"/>
        <w:rPr>
          <w:rFonts w:hint="eastAsia"/>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.4法定代表人或者负责人为同一人或者存在控股、管理关系的两个以上供应商，不得参加同一政府采购项目投标。</w:t>
      </w:r>
    </w:p>
    <w:p w14:paraId="79B268DD">
      <w:pPr>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.5是否接受联合体投标：见投标人须知前附表。</w:t>
      </w:r>
    </w:p>
    <w:p w14:paraId="2D6763AB">
      <w:pPr>
        <w:spacing w:line="360" w:lineRule="auto"/>
        <w:ind w:firstLine="480" w:firstLineChars="200"/>
        <w:outlineLvl w:val="9"/>
        <w:rPr>
          <w:rFonts w:hint="eastAsia"/>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.6供应商应参照《中华人民共和国政府采购法》及其它有关的中国法律和法规。</w:t>
      </w:r>
    </w:p>
    <w:bookmarkEnd w:id="46"/>
    <w:bookmarkEnd w:id="47"/>
    <w:bookmarkEnd w:id="48"/>
    <w:bookmarkEnd w:id="49"/>
    <w:p w14:paraId="026F2B4D">
      <w:pPr>
        <w:spacing w:line="360" w:lineRule="auto"/>
        <w:outlineLvl w:val="9"/>
        <w:rPr>
          <w:rFonts w:hint="eastAsia" w:ascii="宋体" w:hAnsi="宋体" w:eastAsia="宋体" w:cs="宋体"/>
          <w:b/>
          <w:bCs/>
          <w:color w:val="auto"/>
          <w:kern w:val="2"/>
          <w:sz w:val="24"/>
          <w:szCs w:val="24"/>
          <w:lang w:val="en-US" w:eastAsia="zh-CN" w:bidi="ar-SA"/>
        </w:rPr>
      </w:pPr>
      <w:bookmarkStart w:id="50" w:name="_Toc179632553"/>
      <w:bookmarkStart w:id="51" w:name="_Toc152042312"/>
      <w:bookmarkStart w:id="52" w:name="_Toc152045536"/>
      <w:bookmarkStart w:id="53" w:name="_Toc144974504"/>
      <w:r>
        <w:rPr>
          <w:rFonts w:hint="eastAsia" w:ascii="宋体" w:hAnsi="宋体" w:cs="宋体"/>
          <w:b/>
          <w:bCs/>
          <w:color w:val="auto"/>
          <w:kern w:val="2"/>
          <w:sz w:val="24"/>
          <w:szCs w:val="24"/>
          <w:lang w:val="en-US" w:eastAsia="zh-CN" w:bidi="ar-SA"/>
        </w:rPr>
        <w:t>3、</w:t>
      </w:r>
      <w:r>
        <w:rPr>
          <w:rFonts w:hint="eastAsia" w:ascii="宋体" w:hAnsi="宋体" w:eastAsia="宋体" w:cs="宋体"/>
          <w:b/>
          <w:bCs/>
          <w:color w:val="auto"/>
          <w:kern w:val="2"/>
          <w:sz w:val="24"/>
          <w:szCs w:val="24"/>
          <w:lang w:val="en-US" w:eastAsia="zh-CN" w:bidi="ar-SA"/>
        </w:rPr>
        <w:t>磋商内容的合格性和合法性</w:t>
      </w:r>
    </w:p>
    <w:p w14:paraId="39D68EB8">
      <w:pPr>
        <w:tabs>
          <w:tab w:val="left" w:pos="720"/>
        </w:tabs>
        <w:spacing w:line="360" w:lineRule="auto"/>
        <w:ind w:left="479" w:leftChars="228"/>
        <w:outlineLvl w:val="9"/>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.1磋商内容应满足竞争性磋商文件的要求并应符合国家法律法规、行业管理部门</w:t>
      </w:r>
    </w:p>
    <w:p w14:paraId="09EEE233">
      <w:pPr>
        <w:tabs>
          <w:tab w:val="left" w:pos="720"/>
        </w:tabs>
        <w:spacing w:line="360" w:lineRule="auto"/>
        <w:outlineLvl w:val="9"/>
        <w:rPr>
          <w:rFonts w:hint="eastAsia" w:ascii="宋体" w:hAnsi="宋体" w:cs="宋体"/>
          <w:color w:val="auto"/>
          <w:sz w:val="24"/>
          <w:szCs w:val="24"/>
        </w:rPr>
      </w:pPr>
      <w:r>
        <w:rPr>
          <w:rFonts w:hint="eastAsia" w:ascii="宋体" w:hAnsi="宋体" w:cs="宋体"/>
          <w:color w:val="auto"/>
          <w:sz w:val="24"/>
          <w:szCs w:val="24"/>
        </w:rPr>
        <w:t>要求的其他强制性标准。</w:t>
      </w:r>
    </w:p>
    <w:p w14:paraId="6DB4B6BD">
      <w:pPr>
        <w:spacing w:line="360" w:lineRule="auto"/>
        <w:outlineLvl w:val="9"/>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en-US" w:eastAsia="zh-CN" w:bidi="ar-SA"/>
        </w:rPr>
        <w:t>竞争性磋商响应文件内容的真实性</w:t>
      </w:r>
    </w:p>
    <w:p w14:paraId="739DE144">
      <w:pPr>
        <w:tabs>
          <w:tab w:val="left" w:pos="720"/>
        </w:tabs>
        <w:spacing w:line="360" w:lineRule="auto"/>
        <w:ind w:left="479" w:leftChars="228"/>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4.1供应商应保证其竞争性磋商响应文件中所提供的所有磋商资料、信息是真实的，</w:t>
      </w:r>
    </w:p>
    <w:p w14:paraId="5ABCFBD3">
      <w:pPr>
        <w:tabs>
          <w:tab w:val="left" w:pos="720"/>
        </w:tabs>
        <w:spacing w:line="360" w:lineRule="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并且来源于合法的渠道。因竞争性磋商响应文件中所提供的磋商资料、信息不真实或者其来源不合法而导致的所有法律责任，由供应商自行承担。</w:t>
      </w:r>
    </w:p>
    <w:p w14:paraId="2E002C19">
      <w:pPr>
        <w:spacing w:line="360" w:lineRule="auto"/>
        <w:outlineLvl w:val="9"/>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5、</w:t>
      </w:r>
      <w:r>
        <w:rPr>
          <w:rFonts w:hint="eastAsia" w:ascii="宋体" w:hAnsi="宋体" w:eastAsia="宋体" w:cs="宋体"/>
          <w:b/>
          <w:bCs/>
          <w:color w:val="auto"/>
          <w:kern w:val="2"/>
          <w:sz w:val="24"/>
          <w:szCs w:val="24"/>
          <w:lang w:val="en-US" w:eastAsia="zh-CN" w:bidi="ar-SA"/>
        </w:rPr>
        <w:t>磋商过程的监督和管理</w:t>
      </w:r>
    </w:p>
    <w:p w14:paraId="06EDB232">
      <w:pPr>
        <w:tabs>
          <w:tab w:val="left" w:pos="720"/>
        </w:tabs>
        <w:spacing w:line="360" w:lineRule="auto"/>
        <w:ind w:left="479" w:leftChars="228"/>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5.1同级人民政府财政部门及有关部门依法履行对竞争性磋商过程的监督管理职</w:t>
      </w:r>
    </w:p>
    <w:p w14:paraId="6ABDC169">
      <w:pPr>
        <w:tabs>
          <w:tab w:val="left" w:pos="720"/>
        </w:tabs>
        <w:spacing w:line="240" w:lineRule="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责。</w:t>
      </w:r>
    </w:p>
    <w:p w14:paraId="6F4CEE51">
      <w:pPr>
        <w:spacing w:line="240" w:lineRule="auto"/>
        <w:outlineLvl w:val="9"/>
        <w:rPr>
          <w:rFonts w:ascii="宋体" w:hAnsi="宋体" w:cs="宋体"/>
          <w:b/>
          <w:bCs/>
          <w:color w:val="auto"/>
          <w:sz w:val="24"/>
          <w:szCs w:val="24"/>
        </w:rPr>
      </w:pPr>
      <w:r>
        <w:rPr>
          <w:rFonts w:hint="eastAsia" w:ascii="宋体" w:hAnsi="宋体" w:cs="宋体"/>
          <w:b/>
          <w:bCs/>
          <w:color w:val="auto"/>
          <w:sz w:val="24"/>
          <w:szCs w:val="24"/>
          <w:lang w:val="en-US" w:eastAsia="zh-CN"/>
        </w:rPr>
        <w:t>6</w:t>
      </w:r>
      <w:r>
        <w:rPr>
          <w:rFonts w:hint="eastAsia" w:ascii="宋体" w:hAnsi="宋体" w:cs="宋体"/>
          <w:b/>
          <w:bCs/>
          <w:color w:val="auto"/>
          <w:sz w:val="24"/>
          <w:szCs w:val="24"/>
        </w:rPr>
        <w:t>、保密</w:t>
      </w:r>
      <w:bookmarkEnd w:id="50"/>
      <w:bookmarkEnd w:id="51"/>
      <w:bookmarkEnd w:id="52"/>
      <w:bookmarkEnd w:id="53"/>
    </w:p>
    <w:p w14:paraId="5D4D4E91">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 xml:space="preserve">.1参与招标活动的各方应对竞争性磋商文件和竞争性磋商响应文件中的商业和技术等秘密保密，违者应对由此造成的后果承担法律责任。 </w:t>
      </w:r>
    </w:p>
    <w:p w14:paraId="7192FAA7">
      <w:pPr>
        <w:pStyle w:val="43"/>
        <w:spacing w:line="360" w:lineRule="auto"/>
        <w:ind w:firstLine="482" w:firstLineChars="200"/>
        <w:outlineLvl w:val="9"/>
        <w:rPr>
          <w:rFonts w:asciiTheme="minorEastAsia" w:hAnsiTheme="minorEastAsia" w:eastAsiaTheme="minorEastAsia" w:cstheme="minorEastAsia"/>
          <w:b/>
          <w:color w:val="auto"/>
          <w:sz w:val="24"/>
          <w:szCs w:val="24"/>
        </w:rPr>
      </w:pPr>
      <w:bookmarkStart w:id="54" w:name="_Toc1845"/>
      <w:bookmarkStart w:id="55" w:name="_Toc513557028"/>
      <w:bookmarkStart w:id="56" w:name="_Toc7627"/>
      <w:bookmarkStart w:id="57" w:name="_Toc23337"/>
      <w:bookmarkStart w:id="58" w:name="_Toc16996"/>
      <w:bookmarkStart w:id="59" w:name="_Toc13815"/>
      <w:bookmarkStart w:id="60" w:name="_Toc12425"/>
      <w:bookmarkStart w:id="61" w:name="_Toc29929"/>
      <w:bookmarkStart w:id="62" w:name="_Toc622"/>
      <w:bookmarkStart w:id="63" w:name="_Toc1428"/>
      <w:r>
        <w:rPr>
          <w:rFonts w:hint="eastAsia" w:asciiTheme="minorEastAsia" w:hAnsiTheme="minorEastAsia" w:eastAsiaTheme="minorEastAsia" w:cstheme="minorEastAsia"/>
          <w:b/>
          <w:color w:val="auto"/>
          <w:sz w:val="24"/>
          <w:szCs w:val="24"/>
        </w:rPr>
        <w:t>2．竞争性磋商文件</w:t>
      </w:r>
      <w:bookmarkEnd w:id="54"/>
      <w:bookmarkEnd w:id="55"/>
      <w:bookmarkEnd w:id="56"/>
      <w:bookmarkEnd w:id="57"/>
      <w:bookmarkEnd w:id="58"/>
      <w:bookmarkEnd w:id="59"/>
      <w:bookmarkEnd w:id="60"/>
      <w:bookmarkEnd w:id="61"/>
      <w:bookmarkEnd w:id="62"/>
      <w:bookmarkEnd w:id="63"/>
    </w:p>
    <w:p w14:paraId="76A91481">
      <w:pPr>
        <w:pStyle w:val="44"/>
        <w:adjustRightInd w:val="0"/>
        <w:snapToGrid w:val="0"/>
        <w:spacing w:line="360" w:lineRule="auto"/>
        <w:outlineLvl w:val="9"/>
        <w:rPr>
          <w:rFonts w:asciiTheme="minorEastAsia" w:hAnsiTheme="minorEastAsia" w:eastAsiaTheme="minorEastAsia" w:cstheme="minorEastAsia"/>
          <w:color w:val="auto"/>
          <w:sz w:val="24"/>
          <w:szCs w:val="24"/>
        </w:rPr>
      </w:pPr>
      <w:bookmarkStart w:id="64" w:name="_Toc152045543"/>
      <w:bookmarkStart w:id="65" w:name="_Toc152042319"/>
      <w:bookmarkStart w:id="66" w:name="_Toc144974511"/>
      <w:bookmarkStart w:id="67" w:name="_Toc179632561"/>
      <w:r>
        <w:rPr>
          <w:rFonts w:hint="eastAsia" w:ascii="宋体" w:hAnsi="宋体" w:eastAsia="宋体"/>
          <w:b/>
          <w:color w:val="auto"/>
          <w:sz w:val="24"/>
          <w:szCs w:val="24"/>
          <w:lang w:val="en-US" w:eastAsia="zh-CN"/>
        </w:rPr>
        <w:t>7</w:t>
      </w:r>
      <w:r>
        <w:rPr>
          <w:rFonts w:hint="eastAsia" w:ascii="宋体" w:hAnsi="宋体" w:eastAsia="宋体"/>
          <w:b/>
          <w:color w:val="auto"/>
          <w:sz w:val="24"/>
          <w:szCs w:val="24"/>
        </w:rPr>
        <w:t>、竞争性磋商文件的组成</w:t>
      </w:r>
      <w:bookmarkEnd w:id="64"/>
      <w:bookmarkEnd w:id="65"/>
      <w:bookmarkEnd w:id="66"/>
      <w:bookmarkEnd w:id="67"/>
    </w:p>
    <w:p w14:paraId="3A8232FE">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.1竞争性磋商</w:t>
      </w:r>
      <w:r>
        <w:rPr>
          <w:rFonts w:hint="eastAsia" w:ascii="宋体" w:hAnsi="宋体" w:cs="宋体"/>
          <w:color w:val="auto"/>
          <w:sz w:val="24"/>
          <w:szCs w:val="24"/>
        </w:rPr>
        <w:t>文件包括以下内容：</w:t>
      </w:r>
    </w:p>
    <w:p w14:paraId="5974A265">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（1）竞争性磋商公告；</w:t>
      </w:r>
    </w:p>
    <w:p w14:paraId="7F2643BE">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w:t>
      </w:r>
      <w:r>
        <w:rPr>
          <w:rFonts w:hint="eastAsia" w:ascii="宋体" w:hAnsi="宋体" w:cs="宋体"/>
          <w:color w:val="auto"/>
          <w:sz w:val="24"/>
          <w:szCs w:val="24"/>
        </w:rPr>
        <w:t>须知</w:t>
      </w:r>
      <w:r>
        <w:rPr>
          <w:rFonts w:hint="eastAsia" w:asciiTheme="minorEastAsia" w:hAnsiTheme="minorEastAsia" w:eastAsiaTheme="minorEastAsia" w:cstheme="minorEastAsia"/>
          <w:color w:val="auto"/>
          <w:sz w:val="24"/>
          <w:szCs w:val="24"/>
        </w:rPr>
        <w:t>前附表及供应商</w:t>
      </w:r>
      <w:r>
        <w:rPr>
          <w:rFonts w:hint="eastAsia" w:ascii="宋体" w:hAnsi="宋体" w:cs="宋体"/>
          <w:color w:val="auto"/>
          <w:sz w:val="24"/>
          <w:szCs w:val="24"/>
        </w:rPr>
        <w:t>须知</w:t>
      </w:r>
      <w:r>
        <w:rPr>
          <w:rFonts w:hint="eastAsia" w:asciiTheme="minorEastAsia" w:hAnsiTheme="minorEastAsia" w:eastAsiaTheme="minorEastAsia" w:cstheme="minorEastAsia"/>
          <w:color w:val="auto"/>
          <w:sz w:val="24"/>
          <w:szCs w:val="24"/>
        </w:rPr>
        <w:t>；</w:t>
      </w:r>
    </w:p>
    <w:p w14:paraId="5284B765">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（3）评审办法；</w:t>
      </w:r>
    </w:p>
    <w:p w14:paraId="50945A0E">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（4）合同条款及合同文件格式；</w:t>
      </w:r>
    </w:p>
    <w:p w14:paraId="2B78AF60">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r>
        <w:rPr>
          <w:rFonts w:hint="eastAsia" w:ascii="宋体" w:hAnsi="宋体" w:cs="宋体" w:eastAsiaTheme="minorEastAsia"/>
          <w:bCs/>
          <w:color w:val="auto"/>
          <w:sz w:val="24"/>
          <w:szCs w:val="24"/>
          <w:lang w:eastAsia="zh-CN"/>
        </w:rPr>
        <w:t>工程量清单</w:t>
      </w:r>
      <w:r>
        <w:rPr>
          <w:rFonts w:hint="eastAsia" w:asciiTheme="minorEastAsia" w:hAnsiTheme="minorEastAsia" w:eastAsiaTheme="minorEastAsia" w:cstheme="minorEastAsia"/>
          <w:color w:val="auto"/>
          <w:sz w:val="24"/>
          <w:szCs w:val="24"/>
        </w:rPr>
        <w:t xml:space="preserve">； </w:t>
      </w:r>
    </w:p>
    <w:p w14:paraId="3C5617E3">
      <w:pPr>
        <w:adjustRightInd w:val="0"/>
        <w:snapToGrid w:val="0"/>
        <w:spacing w:line="360" w:lineRule="auto"/>
        <w:ind w:firstLine="480" w:firstLineChars="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）竞争性磋商响应文件格式。</w:t>
      </w:r>
    </w:p>
    <w:p w14:paraId="226BC9F7">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.2 除</w:t>
      </w:r>
      <w:r>
        <w:rPr>
          <w:rFonts w:hint="eastAsia" w:ascii="宋体" w:hAnsi="宋体" w:cs="宋体"/>
          <w:color w:val="auto"/>
          <w:sz w:val="24"/>
          <w:szCs w:val="24"/>
          <w:lang w:val="en-US" w:eastAsia="zh-CN"/>
        </w:rPr>
        <w:t>7</w:t>
      </w:r>
      <w:r>
        <w:rPr>
          <w:rFonts w:hint="eastAsia" w:ascii="宋体" w:hAnsi="宋体" w:cs="宋体"/>
          <w:color w:val="auto"/>
          <w:sz w:val="24"/>
          <w:szCs w:val="24"/>
        </w:rPr>
        <w:t>.1内容外，</w:t>
      </w:r>
      <w:r>
        <w:rPr>
          <w:rFonts w:hint="eastAsia" w:ascii="宋体" w:hAnsi="宋体" w:cs="宋体"/>
          <w:color w:val="auto"/>
          <w:sz w:val="24"/>
          <w:szCs w:val="24"/>
          <w:lang w:eastAsia="zh-CN"/>
        </w:rPr>
        <w:t>采购代理机构</w:t>
      </w:r>
      <w:r>
        <w:rPr>
          <w:rFonts w:hint="eastAsia" w:ascii="宋体" w:hAnsi="宋体" w:cs="宋体"/>
          <w:color w:val="auto"/>
          <w:sz w:val="24"/>
          <w:szCs w:val="24"/>
        </w:rPr>
        <w:t>以书面形式发出的对</w:t>
      </w:r>
      <w:r>
        <w:rPr>
          <w:rFonts w:hint="eastAsia" w:asciiTheme="minorEastAsia" w:hAnsiTheme="minorEastAsia" w:eastAsiaTheme="minorEastAsia" w:cstheme="minorEastAsia"/>
          <w:color w:val="auto"/>
          <w:sz w:val="24"/>
          <w:szCs w:val="24"/>
        </w:rPr>
        <w:t>竞争性磋商</w:t>
      </w:r>
      <w:r>
        <w:rPr>
          <w:rFonts w:hint="eastAsia" w:ascii="宋体" w:hAnsi="宋体" w:cs="宋体"/>
          <w:color w:val="auto"/>
          <w:sz w:val="24"/>
          <w:szCs w:val="24"/>
        </w:rPr>
        <w:t>文件的澄清或修改内容，均为</w:t>
      </w:r>
      <w:r>
        <w:rPr>
          <w:rFonts w:hint="eastAsia" w:asciiTheme="minorEastAsia" w:hAnsiTheme="minorEastAsia" w:eastAsiaTheme="minorEastAsia" w:cstheme="minorEastAsia"/>
          <w:color w:val="auto"/>
          <w:sz w:val="24"/>
          <w:szCs w:val="24"/>
        </w:rPr>
        <w:t>竞争性磋商</w:t>
      </w:r>
      <w:r>
        <w:rPr>
          <w:rFonts w:hint="eastAsia" w:ascii="宋体" w:hAnsi="宋体" w:cs="宋体"/>
          <w:color w:val="auto"/>
          <w:sz w:val="24"/>
          <w:szCs w:val="24"/>
        </w:rPr>
        <w:t>文件的组成部分，对</w:t>
      </w:r>
      <w:r>
        <w:rPr>
          <w:rFonts w:hint="eastAsia" w:ascii="宋体" w:hAnsi="宋体" w:cs="宋体"/>
          <w:color w:val="auto"/>
          <w:sz w:val="24"/>
          <w:szCs w:val="24"/>
          <w:lang w:eastAsia="zh-CN"/>
        </w:rPr>
        <w:t>采购代理机构</w:t>
      </w:r>
      <w:r>
        <w:rPr>
          <w:rFonts w:hint="eastAsia" w:ascii="宋体" w:hAnsi="宋体" w:cs="宋体"/>
          <w:color w:val="auto"/>
          <w:sz w:val="24"/>
          <w:szCs w:val="24"/>
        </w:rPr>
        <w:t>和供应商起约束作用。</w:t>
      </w:r>
    </w:p>
    <w:p w14:paraId="544FE432">
      <w:pPr>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lang w:val="en-US" w:eastAsia="zh-CN"/>
        </w:rPr>
        <w:t>7.3</w:t>
      </w:r>
      <w:r>
        <w:rPr>
          <w:rFonts w:hint="eastAsia" w:ascii="宋体" w:hAnsi="宋体" w:cs="宋体"/>
          <w:color w:val="auto"/>
          <w:sz w:val="24"/>
          <w:szCs w:val="24"/>
        </w:rPr>
        <w:t>采购项目需要落实的政府采购政策：国务院财政部门会同有关部门制定的采购需求标准、预留采购份额、价格评审优惠、优先采购等措施，实现节约能源、保护环境、扶持不发达地区和少数民族地区、促进中小企业发展等目标的政府采购政策。</w:t>
      </w:r>
    </w:p>
    <w:p w14:paraId="6DC44EB4">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color w:val="auto"/>
          <w:sz w:val="24"/>
          <w:szCs w:val="24"/>
        </w:rPr>
      </w:pPr>
      <w:bookmarkStart w:id="68" w:name="_Toc152042320"/>
      <w:bookmarkStart w:id="69" w:name="_Toc152045544"/>
      <w:bookmarkStart w:id="70" w:name="_Toc179632562"/>
      <w:bookmarkStart w:id="71" w:name="_Toc144974512"/>
      <w:r>
        <w:rPr>
          <w:rFonts w:hint="eastAsia" w:ascii="宋体" w:hAnsi="宋体" w:eastAsia="宋体" w:cs="宋体"/>
          <w:i w:val="0"/>
          <w:iCs w:val="0"/>
          <w:caps w:val="0"/>
          <w:color w:val="auto"/>
          <w:spacing w:val="0"/>
          <w:sz w:val="24"/>
          <w:szCs w:val="24"/>
          <w:shd w:val="clear" w:fill="FFFFFF"/>
          <w:vertAlign w:val="baseline"/>
        </w:rPr>
        <w:t>①《节能产品政府采购实施意见》财库〔2004〕185号;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②《环境标志产品政府采购实施的意见》财库〔2006〕90号；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③《国务院办公厅关于建立政府强制采购节能产品制度的通知》国办发〔2007〕51号；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④《政府采购促进中小企业发展管理办法》财库〔2020〕46号；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⑤《陕西省财政厅关于进一步加大政府采购支持中小企业力度的通知》陕财办采〔2022〕5号；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⑥《榆林市财政局关于进一步加大政府采购支持中小企业力度的通知》榆政财采发〔2022〕10号；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⑦陕西省财政厅关于印发《陕西省中小企业政府采购信用融资办法》陕财办采〔2018〕23号，相关政策、业务流程、办理平台(http://www.ccgp-shaanxi.gov.cn/zcdservice/zcd/shanxi/）；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⑧《财政部司法部关于政府采购支持监狱企业发展有关问题的通知》财库〔2014〕68号；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⑨《财政部民政部中国残疾人联合会关于促进残疾人就业政府采购政策的通知》财库〔2017〕141号；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⑩《关于在政府采购活动中查询及使用信用记录有关问题的通知》财库〔2016〕125号；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⑪其他需要落实的政府采购政策。</w:t>
      </w:r>
    </w:p>
    <w:p w14:paraId="6AEF74B6">
      <w:pPr>
        <w:pStyle w:val="44"/>
        <w:adjustRightInd w:val="0"/>
        <w:snapToGrid w:val="0"/>
        <w:spacing w:line="360" w:lineRule="auto"/>
        <w:outlineLvl w:val="9"/>
        <w:rPr>
          <w:rFonts w:ascii="宋体" w:hAnsi="宋体" w:eastAsia="宋体"/>
          <w:b/>
          <w:color w:val="auto"/>
          <w:sz w:val="24"/>
          <w:szCs w:val="24"/>
        </w:rPr>
      </w:pPr>
      <w:r>
        <w:rPr>
          <w:rFonts w:hint="eastAsia" w:ascii="宋体" w:hAnsi="宋体" w:eastAsia="宋体"/>
          <w:b/>
          <w:color w:val="auto"/>
          <w:sz w:val="24"/>
          <w:szCs w:val="24"/>
          <w:lang w:val="en-US" w:eastAsia="zh-CN"/>
        </w:rPr>
        <w:t>8</w:t>
      </w:r>
      <w:r>
        <w:rPr>
          <w:rFonts w:hint="eastAsia" w:ascii="宋体" w:hAnsi="宋体" w:eastAsia="宋体"/>
          <w:b/>
          <w:color w:val="auto"/>
          <w:sz w:val="24"/>
          <w:szCs w:val="24"/>
        </w:rPr>
        <w:t>、竞争性磋商文件的澄清</w:t>
      </w:r>
      <w:bookmarkEnd w:id="68"/>
      <w:bookmarkEnd w:id="69"/>
      <w:bookmarkEnd w:id="70"/>
      <w:bookmarkEnd w:id="71"/>
    </w:p>
    <w:p w14:paraId="4D3BF1C9">
      <w:pPr>
        <w:spacing w:line="360" w:lineRule="auto"/>
        <w:ind w:firstLine="480" w:firstLineChars="200"/>
        <w:outlineLvl w:val="9"/>
        <w:rPr>
          <w:rFonts w:hint="eastAsia" w:asciiTheme="minorEastAsia" w:hAnsiTheme="minorEastAsia" w:eastAsiaTheme="minorEastAsia" w:cstheme="minorEastAsia"/>
          <w:color w:val="auto"/>
          <w:sz w:val="24"/>
          <w:szCs w:val="24"/>
        </w:rPr>
      </w:pPr>
      <w:bookmarkStart w:id="72" w:name="_Toc179632563"/>
      <w:bookmarkStart w:id="73" w:name="_Toc152045545"/>
      <w:bookmarkStart w:id="74" w:name="_Toc152042321"/>
      <w:bookmarkStart w:id="75" w:name="_Toc144974513"/>
      <w:r>
        <w:rPr>
          <w:rFonts w:hint="eastAsia" w:asciiTheme="minorEastAsia" w:hAnsiTheme="minorEastAsia" w:eastAsiaTheme="minorEastAsia" w:cstheme="minorEastAsia"/>
          <w:color w:val="auto"/>
          <w:sz w:val="24"/>
          <w:szCs w:val="24"/>
          <w:lang w:val="zh-CN"/>
        </w:rPr>
        <w:t>采购代理机构可对已发出的磋商文件进行必要的澄清或者修改，澄清或者修改的内容可能影响响应文件编制的，澄清或修改的内容应以书面形式在提交首次响应文件截止时间至少五日前通知所有获取磋商文件的供应商；</w:t>
      </w:r>
      <w:r>
        <w:rPr>
          <w:rFonts w:hint="eastAsia" w:asciiTheme="minorEastAsia" w:hAnsiTheme="minorEastAsia" w:eastAsiaTheme="minorEastAsia" w:cstheme="minorEastAsia"/>
          <w:color w:val="auto"/>
          <w:sz w:val="24"/>
          <w:szCs w:val="24"/>
          <w:lang w:val="en-US" w:eastAsia="zh-CN"/>
        </w:rPr>
        <w:t>不足5日的，顺延提交首次响应文件截止时间</w:t>
      </w: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rPr>
        <w:t>在规定的时间内供应商对采购活动文件无异议的，视为供应商完全响应竞争性磋商文件并接受采购活动文件中约定的主要条款。在规定时间后提出的质疑，采购人或采购代理机构不予答复。否则，因此所带来的一切不利后果由各供应商自负。</w:t>
      </w:r>
    </w:p>
    <w:p w14:paraId="41A4705A">
      <w:pPr>
        <w:pStyle w:val="44"/>
        <w:adjustRightInd w:val="0"/>
        <w:snapToGrid w:val="0"/>
        <w:spacing w:line="360" w:lineRule="auto"/>
        <w:outlineLvl w:val="9"/>
        <w:rPr>
          <w:rFonts w:ascii="宋体" w:hAnsi="宋体" w:eastAsia="宋体"/>
          <w:b/>
          <w:color w:val="auto"/>
          <w:sz w:val="24"/>
          <w:szCs w:val="24"/>
        </w:rPr>
      </w:pPr>
      <w:r>
        <w:rPr>
          <w:rFonts w:hint="eastAsia" w:ascii="宋体" w:hAnsi="宋体" w:eastAsia="宋体"/>
          <w:b/>
          <w:color w:val="auto"/>
          <w:sz w:val="24"/>
          <w:szCs w:val="24"/>
          <w:lang w:val="en-US" w:eastAsia="zh-CN"/>
        </w:rPr>
        <w:t>9</w:t>
      </w:r>
      <w:r>
        <w:rPr>
          <w:rFonts w:hint="eastAsia" w:ascii="宋体" w:hAnsi="宋体" w:eastAsia="宋体"/>
          <w:b/>
          <w:color w:val="auto"/>
          <w:sz w:val="24"/>
          <w:szCs w:val="24"/>
        </w:rPr>
        <w:t>、竞争性磋商文件的修改</w:t>
      </w:r>
      <w:bookmarkEnd w:id="72"/>
      <w:bookmarkEnd w:id="73"/>
      <w:bookmarkEnd w:id="74"/>
      <w:bookmarkEnd w:id="75"/>
    </w:p>
    <w:p w14:paraId="0BC5748A">
      <w:pPr>
        <w:pageBreakBefore w:val="0"/>
        <w:bidi w:val="0"/>
        <w:spacing w:line="360" w:lineRule="auto"/>
        <w:ind w:firstLine="480" w:firstLineChars="200"/>
        <w:outlineLvl w:val="9"/>
        <w:rPr>
          <w:rFonts w:hint="eastAsia" w:ascii="宋体" w:hAnsi="宋体" w:eastAsia="宋体" w:cs="宋体"/>
          <w:color w:val="auto"/>
          <w:sz w:val="24"/>
          <w:szCs w:val="24"/>
        </w:rPr>
      </w:pPr>
      <w:bookmarkStart w:id="76" w:name="_Toc363119280"/>
      <w:bookmarkStart w:id="77" w:name="_Toc510859894"/>
      <w:bookmarkStart w:id="78" w:name="_Toc510859688"/>
      <w:bookmarkStart w:id="79" w:name="_Toc17851"/>
      <w:bookmarkStart w:id="80" w:name="_Toc513557029"/>
      <w:bookmarkStart w:id="81" w:name="_Toc8470"/>
      <w:bookmarkStart w:id="82" w:name="_Toc30391"/>
      <w:bookmarkStart w:id="83" w:name="_Toc8450"/>
      <w:r>
        <w:rPr>
          <w:rFonts w:hint="eastAsia" w:ascii="宋体" w:hAnsi="宋体" w:cs="宋体"/>
          <w:color w:val="auto"/>
          <w:sz w:val="24"/>
          <w:szCs w:val="24"/>
          <w:lang w:val="en-US" w:eastAsia="zh-CN"/>
        </w:rPr>
        <w:t>9</w:t>
      </w:r>
      <w:r>
        <w:rPr>
          <w:rFonts w:hint="eastAsia" w:ascii="宋体" w:hAnsi="宋体" w:eastAsia="宋体" w:cs="宋体"/>
          <w:color w:val="auto"/>
          <w:sz w:val="24"/>
          <w:szCs w:val="24"/>
        </w:rPr>
        <w:t>.1在采购活动截止前的任何时候，无论出于何种原因，采购代理机构可以对竞争性磋商文件进行修改，也可以在解答各供应商提出的澄清问题时，修改采购活动文件。</w:t>
      </w:r>
    </w:p>
    <w:p w14:paraId="6514D6DF">
      <w:pPr>
        <w:pageBreakBefore w:val="0"/>
        <w:bidi w:val="0"/>
        <w:spacing w:line="360" w:lineRule="auto"/>
        <w:ind w:firstLine="480"/>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2竞争性磋商文件的修改以书面形式通知领取采购活动文件的各供应商，并作为竞争性磋商文件的补充，与其具有同等法律效力并具有约束力；供应商在收到该通知后应立即以传真、电子邮件等有效形式予以确认。</w:t>
      </w:r>
    </w:p>
    <w:p w14:paraId="0BF91495">
      <w:pPr>
        <w:pageBreakBefore w:val="0"/>
        <w:bidi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.3为使供应商在准备响应文件时，有充分的时间对采购活动文件的修改进行研究考虑，采购人可自行决定，酌情推迟响应文件截止日期，并以书面形式通知所有已</w:t>
      </w:r>
      <w:r>
        <w:rPr>
          <w:rFonts w:hint="eastAsia" w:ascii="宋体" w:hAnsi="宋体" w:eastAsia="宋体" w:cs="宋体"/>
          <w:color w:val="auto"/>
          <w:sz w:val="24"/>
          <w:szCs w:val="24"/>
          <w:lang w:val="en-US" w:eastAsia="zh-CN"/>
        </w:rPr>
        <w:t>获取</w:t>
      </w:r>
      <w:r>
        <w:rPr>
          <w:rFonts w:hint="eastAsia" w:ascii="宋体" w:hAnsi="宋体" w:eastAsia="宋体" w:cs="宋体"/>
          <w:color w:val="auto"/>
          <w:sz w:val="24"/>
          <w:szCs w:val="24"/>
        </w:rPr>
        <w:t>竞争性磋商文件的供应商。</w:t>
      </w:r>
    </w:p>
    <w:p w14:paraId="1F6F0DFA">
      <w:pPr>
        <w:pStyle w:val="43"/>
        <w:spacing w:line="360" w:lineRule="auto"/>
        <w:ind w:firstLine="482" w:firstLineChars="200"/>
        <w:outlineLvl w:val="9"/>
        <w:rPr>
          <w:rFonts w:asciiTheme="minorEastAsia" w:hAnsiTheme="minorEastAsia" w:eastAsiaTheme="minorEastAsia" w:cstheme="minorEastAsia"/>
          <w:b/>
          <w:color w:val="auto"/>
          <w:sz w:val="24"/>
          <w:szCs w:val="24"/>
        </w:rPr>
      </w:pPr>
      <w:bookmarkStart w:id="84" w:name="_Toc1315"/>
      <w:bookmarkStart w:id="85" w:name="_Toc6028"/>
      <w:bookmarkStart w:id="86" w:name="_Toc8834"/>
      <w:bookmarkStart w:id="87" w:name="_Toc19904"/>
      <w:bookmarkStart w:id="88" w:name="_Toc14923"/>
      <w:r>
        <w:rPr>
          <w:rFonts w:hint="eastAsia" w:asciiTheme="minorEastAsia" w:hAnsiTheme="minorEastAsia" w:eastAsiaTheme="minorEastAsia" w:cstheme="minorEastAsia"/>
          <w:b/>
          <w:color w:val="auto"/>
          <w:sz w:val="24"/>
          <w:szCs w:val="24"/>
        </w:rPr>
        <w:t>3. 竞争性磋商响应文件</w:t>
      </w:r>
      <w:bookmarkEnd w:id="76"/>
      <w:bookmarkEnd w:id="77"/>
      <w:bookmarkEnd w:id="78"/>
      <w:bookmarkEnd w:id="79"/>
      <w:bookmarkEnd w:id="80"/>
      <w:r>
        <w:rPr>
          <w:rFonts w:hint="eastAsia" w:asciiTheme="minorEastAsia" w:hAnsiTheme="minorEastAsia" w:eastAsiaTheme="minorEastAsia" w:cstheme="minorEastAsia"/>
          <w:b/>
          <w:color w:val="auto"/>
          <w:sz w:val="24"/>
          <w:szCs w:val="24"/>
        </w:rPr>
        <w:t>的编制</w:t>
      </w:r>
      <w:bookmarkEnd w:id="81"/>
      <w:bookmarkEnd w:id="82"/>
      <w:bookmarkEnd w:id="83"/>
      <w:bookmarkEnd w:id="84"/>
      <w:bookmarkEnd w:id="85"/>
      <w:bookmarkEnd w:id="86"/>
      <w:bookmarkEnd w:id="87"/>
      <w:bookmarkEnd w:id="88"/>
    </w:p>
    <w:p w14:paraId="1393077F">
      <w:pPr>
        <w:pStyle w:val="44"/>
        <w:adjustRightInd w:val="0"/>
        <w:snapToGrid w:val="0"/>
        <w:spacing w:line="360" w:lineRule="auto"/>
        <w:outlineLvl w:val="9"/>
        <w:rPr>
          <w:rFonts w:ascii="宋体" w:hAnsi="宋体" w:cs="宋体"/>
          <w:color w:val="auto"/>
          <w:sz w:val="24"/>
          <w:szCs w:val="24"/>
        </w:rPr>
      </w:pPr>
      <w:bookmarkStart w:id="89" w:name="_Toc179632565"/>
      <w:bookmarkStart w:id="90" w:name="_Toc152045547"/>
      <w:bookmarkStart w:id="91" w:name="_Toc144974515"/>
      <w:bookmarkStart w:id="92" w:name="_Toc152042323"/>
      <w:r>
        <w:rPr>
          <w:rFonts w:hint="eastAsia" w:ascii="宋体" w:hAnsi="宋体" w:eastAsia="宋体"/>
          <w:b/>
          <w:color w:val="auto"/>
          <w:sz w:val="24"/>
          <w:szCs w:val="24"/>
          <w:lang w:val="en-US" w:eastAsia="zh-CN"/>
        </w:rPr>
        <w:t>10</w:t>
      </w:r>
      <w:r>
        <w:rPr>
          <w:rFonts w:hint="eastAsia" w:ascii="宋体" w:hAnsi="宋体" w:eastAsia="宋体"/>
          <w:b/>
          <w:color w:val="auto"/>
          <w:sz w:val="24"/>
          <w:szCs w:val="24"/>
        </w:rPr>
        <w:t>、磋商语言和磋商货币</w:t>
      </w:r>
    </w:p>
    <w:p w14:paraId="32AD2B00">
      <w:pPr>
        <w:autoSpaceDE w:val="0"/>
        <w:autoSpaceDN w:val="0"/>
        <w:adjustRightInd w:val="0"/>
        <w:snapToGrid w:val="0"/>
        <w:spacing w:line="360" w:lineRule="auto"/>
        <w:ind w:firstLine="480" w:firstLineChars="200"/>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10</w:t>
      </w:r>
      <w:r>
        <w:rPr>
          <w:rFonts w:hint="eastAsia" w:asciiTheme="minorEastAsia" w:hAnsiTheme="minorEastAsia" w:eastAsiaTheme="minorEastAsia" w:cstheme="minorEastAsia"/>
          <w:color w:val="auto"/>
          <w:kern w:val="0"/>
          <w:sz w:val="24"/>
          <w:szCs w:val="24"/>
        </w:rPr>
        <w:t>.1供应商提交的竞争性磋商响应文件以及供应商与采购代理机构就有关磋商的所有来往函电均应使用中文。</w:t>
      </w:r>
    </w:p>
    <w:p w14:paraId="4036BEDB">
      <w:pPr>
        <w:autoSpaceDE w:val="0"/>
        <w:autoSpaceDN w:val="0"/>
        <w:adjustRightInd w:val="0"/>
        <w:snapToGrid w:val="0"/>
        <w:spacing w:line="360" w:lineRule="auto"/>
        <w:ind w:firstLine="480" w:firstLineChars="200"/>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10</w:t>
      </w:r>
      <w:r>
        <w:rPr>
          <w:rFonts w:hint="eastAsia" w:asciiTheme="minorEastAsia" w:hAnsiTheme="minorEastAsia" w:eastAsiaTheme="minorEastAsia" w:cstheme="minorEastAsia"/>
          <w:color w:val="auto"/>
          <w:kern w:val="0"/>
          <w:sz w:val="24"/>
          <w:szCs w:val="24"/>
        </w:rPr>
        <w:t>.2磋商应以人民币报价。任何包含非人民币报价的磋商将按无效磋商处理。</w:t>
      </w:r>
    </w:p>
    <w:p w14:paraId="69C15ABD">
      <w:pPr>
        <w:autoSpaceDE w:val="0"/>
        <w:autoSpaceDN w:val="0"/>
        <w:adjustRightInd w:val="0"/>
        <w:snapToGrid w:val="0"/>
        <w:spacing w:line="360" w:lineRule="auto"/>
        <w:outlineLvl w:val="9"/>
        <w:rPr>
          <w:rFonts w:ascii="宋体" w:hAnsi="宋体" w:eastAsia="宋体"/>
          <w:b/>
          <w:color w:val="auto"/>
          <w:sz w:val="24"/>
          <w:szCs w:val="24"/>
        </w:rPr>
      </w:pPr>
      <w:r>
        <w:rPr>
          <w:rFonts w:hint="eastAsia" w:ascii="宋体" w:hAnsi="宋体"/>
          <w:b/>
          <w:color w:val="auto"/>
          <w:sz w:val="24"/>
          <w:szCs w:val="24"/>
          <w:lang w:val="en-US" w:eastAsia="zh-CN"/>
        </w:rPr>
        <w:t>11</w:t>
      </w:r>
      <w:r>
        <w:rPr>
          <w:rFonts w:hint="eastAsia" w:ascii="宋体" w:hAnsi="宋体" w:eastAsia="宋体"/>
          <w:b/>
          <w:color w:val="auto"/>
          <w:sz w:val="24"/>
          <w:szCs w:val="24"/>
        </w:rPr>
        <w:t>、竞争性磋商响应文件的组成</w:t>
      </w:r>
      <w:bookmarkEnd w:id="89"/>
      <w:bookmarkEnd w:id="90"/>
      <w:bookmarkEnd w:id="91"/>
      <w:bookmarkEnd w:id="92"/>
    </w:p>
    <w:p w14:paraId="6FD52F9B">
      <w:pPr>
        <w:tabs>
          <w:tab w:val="left" w:pos="720"/>
        </w:tabs>
        <w:spacing w:line="360" w:lineRule="auto"/>
        <w:ind w:firstLine="480" w:firstLineChars="200"/>
        <w:outlineLvl w:val="9"/>
        <w:rPr>
          <w:rFonts w:hint="eastAsia" w:ascii="宋体" w:hAnsi="宋体" w:cs="宋体"/>
          <w:color w:val="auto"/>
          <w:sz w:val="24"/>
          <w:szCs w:val="24"/>
          <w:lang w:eastAsia="zh-CN"/>
        </w:rPr>
      </w:pPr>
      <w:bookmarkStart w:id="93" w:name="_Toc179632568"/>
      <w:bookmarkStart w:id="94" w:name="_Toc144974518"/>
      <w:bookmarkStart w:id="95" w:name="_Toc152042326"/>
      <w:bookmarkStart w:id="96" w:name="_Toc152045550"/>
      <w:r>
        <w:rPr>
          <w:rFonts w:hint="eastAsia" w:ascii="宋体" w:hAnsi="宋体" w:cs="宋体"/>
          <w:color w:val="auto"/>
          <w:sz w:val="24"/>
          <w:szCs w:val="24"/>
          <w:lang w:val="en-US" w:eastAsia="zh-CN"/>
        </w:rPr>
        <w:t>11.1</w:t>
      </w:r>
      <w:r>
        <w:rPr>
          <w:rFonts w:hint="eastAsia" w:ascii="宋体" w:hAnsi="宋体" w:cs="宋体"/>
          <w:color w:val="auto"/>
          <w:sz w:val="24"/>
          <w:szCs w:val="24"/>
        </w:rPr>
        <w:t>供应商编写的竞争性磋商响应文件</w:t>
      </w:r>
      <w:r>
        <w:rPr>
          <w:rFonts w:hint="eastAsia" w:ascii="宋体" w:hAnsi="宋体" w:cs="宋体"/>
          <w:color w:val="auto"/>
          <w:sz w:val="24"/>
          <w:szCs w:val="24"/>
          <w:lang w:eastAsia="zh-CN"/>
        </w:rPr>
        <w:t>应</w:t>
      </w:r>
      <w:r>
        <w:rPr>
          <w:rFonts w:hint="eastAsia" w:ascii="宋体" w:hAnsi="宋体" w:cs="宋体"/>
          <w:color w:val="auto"/>
          <w:sz w:val="24"/>
          <w:szCs w:val="24"/>
        </w:rPr>
        <w:t>包括</w:t>
      </w:r>
      <w:r>
        <w:rPr>
          <w:rFonts w:hint="eastAsia" w:ascii="宋体" w:hAnsi="宋体" w:cs="宋体"/>
          <w:color w:val="auto"/>
          <w:sz w:val="24"/>
          <w:szCs w:val="24"/>
          <w:lang w:eastAsia="zh-CN"/>
        </w:rPr>
        <w:t>“第</w:t>
      </w:r>
      <w:r>
        <w:rPr>
          <w:rFonts w:hint="eastAsia" w:ascii="宋体" w:hAnsi="宋体" w:cs="宋体"/>
          <w:color w:val="auto"/>
          <w:sz w:val="24"/>
          <w:szCs w:val="24"/>
          <w:lang w:val="en-US" w:eastAsia="zh-CN"/>
        </w:rPr>
        <w:t>七</w:t>
      </w:r>
      <w:r>
        <w:rPr>
          <w:rFonts w:hint="eastAsia" w:ascii="宋体" w:hAnsi="宋体" w:cs="宋体"/>
          <w:color w:val="auto"/>
          <w:sz w:val="24"/>
          <w:szCs w:val="24"/>
          <w:lang w:eastAsia="zh-CN"/>
        </w:rPr>
        <w:t>章竞争性磋商响应文件格式”</w:t>
      </w:r>
      <w:r>
        <w:rPr>
          <w:rFonts w:hint="eastAsia" w:ascii="宋体" w:hAnsi="宋体" w:cs="宋体"/>
          <w:color w:val="auto"/>
          <w:sz w:val="24"/>
          <w:szCs w:val="24"/>
          <w:lang w:val="en-US" w:eastAsia="zh-CN"/>
        </w:rPr>
        <w:t>的所有内容，</w:t>
      </w:r>
      <w:r>
        <w:rPr>
          <w:rFonts w:hint="eastAsia" w:ascii="宋体" w:hAnsi="宋体" w:cs="宋体"/>
          <w:color w:val="auto"/>
          <w:sz w:val="24"/>
          <w:szCs w:val="24"/>
        </w:rPr>
        <w:t>具体见竞争性</w:t>
      </w:r>
      <w:r>
        <w:rPr>
          <w:rFonts w:hint="eastAsia" w:ascii="宋体" w:hAnsi="宋体" w:cs="宋体"/>
          <w:color w:val="auto"/>
          <w:sz w:val="24"/>
          <w:szCs w:val="24"/>
          <w:lang w:eastAsia="zh-CN"/>
        </w:rPr>
        <w:t>磋商</w:t>
      </w:r>
      <w:r>
        <w:rPr>
          <w:rFonts w:hint="eastAsia" w:ascii="宋体" w:hAnsi="宋体" w:cs="宋体"/>
          <w:color w:val="auto"/>
          <w:sz w:val="24"/>
          <w:szCs w:val="24"/>
        </w:rPr>
        <w:t>响应文件格式</w:t>
      </w:r>
      <w:r>
        <w:rPr>
          <w:rFonts w:hint="eastAsia" w:ascii="宋体" w:hAnsi="宋体" w:cs="宋体"/>
          <w:color w:val="auto"/>
          <w:sz w:val="24"/>
          <w:szCs w:val="24"/>
          <w:lang w:eastAsia="zh-CN"/>
        </w:rPr>
        <w:t>；</w:t>
      </w:r>
    </w:p>
    <w:p w14:paraId="68123EA5">
      <w:pPr>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.2 供应商的所有资格证明文件均应当为合法、有效文件，否则将被视为该文件未递交。</w:t>
      </w:r>
    </w:p>
    <w:p w14:paraId="6CAE7F25">
      <w:pPr>
        <w:spacing w:line="360" w:lineRule="auto"/>
        <w:ind w:firstLine="480" w:firstLineChars="200"/>
        <w:outlineLvl w:val="9"/>
        <w:rPr>
          <w:rFonts w:hint="eastAsia"/>
          <w:color w:val="auto"/>
          <w:sz w:val="24"/>
          <w:szCs w:val="24"/>
          <w:lang w:eastAsia="zh-CN"/>
        </w:rPr>
      </w:pPr>
      <w:r>
        <w:rPr>
          <w:rFonts w:hint="eastAsia" w:ascii="宋体" w:hAnsi="宋体" w:cs="宋体"/>
          <w:color w:val="auto"/>
          <w:sz w:val="24"/>
          <w:szCs w:val="24"/>
          <w:lang w:val="en-US" w:eastAsia="zh-CN"/>
        </w:rPr>
        <w:t>11</w:t>
      </w:r>
      <w:r>
        <w:rPr>
          <w:rFonts w:hint="eastAsia" w:ascii="宋体" w:hAnsi="宋体" w:cs="宋体"/>
          <w:color w:val="auto"/>
          <w:sz w:val="24"/>
          <w:szCs w:val="24"/>
        </w:rPr>
        <w:t>.3 上述文件应当按照竞争性</w:t>
      </w:r>
      <w:r>
        <w:rPr>
          <w:rFonts w:hint="eastAsia" w:ascii="宋体" w:hAnsi="宋体" w:cs="宋体"/>
          <w:color w:val="auto"/>
          <w:sz w:val="24"/>
          <w:szCs w:val="24"/>
          <w:lang w:eastAsia="zh-CN"/>
        </w:rPr>
        <w:t>磋商</w:t>
      </w:r>
      <w:r>
        <w:rPr>
          <w:rFonts w:hint="eastAsia" w:ascii="宋体" w:hAnsi="宋体" w:cs="宋体"/>
          <w:color w:val="auto"/>
          <w:sz w:val="24"/>
          <w:szCs w:val="24"/>
        </w:rPr>
        <w:t>文件规定的格式填写、签署和盖章。</w:t>
      </w:r>
    </w:p>
    <w:p w14:paraId="66FCC225">
      <w:pPr>
        <w:spacing w:line="360" w:lineRule="auto"/>
        <w:outlineLvl w:val="9"/>
        <w:rPr>
          <w:rFonts w:hint="eastAsia"/>
          <w:color w:val="auto"/>
          <w:sz w:val="24"/>
          <w:szCs w:val="24"/>
          <w:lang w:eastAsia="zh-CN"/>
        </w:rPr>
      </w:pPr>
      <w:r>
        <w:rPr>
          <w:rFonts w:hint="eastAsia" w:ascii="宋体" w:hAnsi="宋体" w:cs="宋体"/>
          <w:color w:val="auto"/>
          <w:sz w:val="24"/>
          <w:szCs w:val="24"/>
          <w:lang w:val="en-US" w:eastAsia="zh-CN"/>
        </w:rPr>
        <w:t>12</w:t>
      </w:r>
      <w:r>
        <w:rPr>
          <w:rFonts w:hint="eastAsia" w:ascii="宋体" w:hAnsi="宋体" w:cs="宋体"/>
          <w:color w:val="auto"/>
          <w:sz w:val="24"/>
          <w:szCs w:val="24"/>
        </w:rPr>
        <w:t>、竞争性磋商响应文件格式</w:t>
      </w:r>
    </w:p>
    <w:p w14:paraId="68036ECD">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2</w:t>
      </w:r>
      <w:r>
        <w:rPr>
          <w:rFonts w:hint="eastAsia" w:ascii="宋体" w:hAnsi="宋体" w:cs="宋体"/>
          <w:color w:val="auto"/>
          <w:sz w:val="24"/>
          <w:szCs w:val="24"/>
        </w:rPr>
        <w:t>.1 供应商提交的竞争性磋商响应文件应当使用竞争性磋商文件所提供的竞争性磋商响应文件全部格式。</w:t>
      </w:r>
    </w:p>
    <w:p w14:paraId="49FBAE26">
      <w:pPr>
        <w:spacing w:line="240" w:lineRule="auto"/>
        <w:outlineLvl w:val="9"/>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r>
        <w:rPr>
          <w:rFonts w:hint="eastAsia" w:ascii="宋体" w:hAnsi="宋体" w:cs="宋体"/>
          <w:color w:val="auto"/>
          <w:sz w:val="24"/>
          <w:szCs w:val="24"/>
        </w:rPr>
        <w:t>、磋商报价</w:t>
      </w:r>
    </w:p>
    <w:p w14:paraId="0BC54EF5">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 投标人在投标截止时间前修改投标函中的投标总报价，应同时修改“工程量清单”中的相应报价。</w:t>
      </w:r>
    </w:p>
    <w:p w14:paraId="1CCA6C68">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投标人的投标报价，应是本</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招标文件、工程量清单、答疑纪要、合同条款上所列招标工程范围内工程的全部各项支付金额的总和，投标报价不得以任何理由予以重复。</w:t>
      </w:r>
    </w:p>
    <w:p w14:paraId="315EADB1">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投标人投标报价汇总表中的价格均包括完成该工程项目的直接费、间接费、利润、税金、保险费和投标人必须的其他费用以及合同明示或暗示的所有风险、责任和义务等全部费用。</w:t>
      </w:r>
    </w:p>
    <w:p w14:paraId="421E5B6C">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投标人应根据《计价规则》规定和投标文件要求格式计价，其中人工费、材料费、机械费，投标人应根据施工组织设计、企业实际情况、市场信息价自主报价。组价时应考虑以下因素：人工费、材料费、机械费社会价格浮动因素，自然灾害及停水、停电、停窝工损失等风险费用。</w:t>
      </w:r>
    </w:p>
    <w:p w14:paraId="50260BCE">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如发现工程量清单中的数量与图纸中数量不一致时，应立即通知招标人核查，除非招标人以书面形式予以更正，应以工程量清单中列出的数量为准。</w:t>
      </w:r>
    </w:p>
    <w:p w14:paraId="68283FC0">
      <w:pPr>
        <w:spacing w:line="240" w:lineRule="auto"/>
        <w:outlineLvl w:val="9"/>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4</w:t>
      </w:r>
      <w:r>
        <w:rPr>
          <w:rFonts w:hint="eastAsia" w:ascii="宋体" w:hAnsi="宋体" w:cs="宋体"/>
          <w:color w:val="auto"/>
          <w:sz w:val="24"/>
          <w:szCs w:val="24"/>
        </w:rPr>
        <w:t>、磋商有效期</w:t>
      </w:r>
    </w:p>
    <w:p w14:paraId="528BD97E">
      <w:pPr>
        <w:adjustRightInd w:val="0"/>
        <w:snapToGrid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4</w:t>
      </w:r>
      <w:r>
        <w:rPr>
          <w:rFonts w:hint="eastAsia" w:ascii="宋体" w:hAnsi="宋体" w:cs="宋体"/>
          <w:color w:val="auto"/>
          <w:sz w:val="24"/>
          <w:szCs w:val="24"/>
        </w:rPr>
        <w:t>.1 磋商有效期见本须知前附表所规定的期限，在此期限内，凡符合本</w:t>
      </w:r>
      <w:r>
        <w:rPr>
          <w:rFonts w:hint="eastAsia" w:asciiTheme="minorEastAsia" w:hAnsiTheme="minorEastAsia" w:eastAsiaTheme="minorEastAsia" w:cstheme="minorEastAsia"/>
          <w:color w:val="auto"/>
          <w:kern w:val="0"/>
          <w:sz w:val="24"/>
          <w:szCs w:val="24"/>
        </w:rPr>
        <w:t>竞争性磋商</w:t>
      </w:r>
      <w:r>
        <w:rPr>
          <w:rFonts w:hint="eastAsia" w:ascii="宋体" w:hAnsi="宋体" w:cs="宋体"/>
          <w:color w:val="auto"/>
          <w:sz w:val="24"/>
          <w:szCs w:val="24"/>
        </w:rPr>
        <w:t>文件要求的</w:t>
      </w:r>
      <w:r>
        <w:rPr>
          <w:rFonts w:hint="eastAsia" w:asciiTheme="minorEastAsia" w:hAnsiTheme="minorEastAsia" w:eastAsiaTheme="minorEastAsia" w:cstheme="minorEastAsia"/>
          <w:color w:val="auto"/>
          <w:kern w:val="0"/>
          <w:sz w:val="24"/>
          <w:szCs w:val="24"/>
        </w:rPr>
        <w:t>竞争性磋商响应文件</w:t>
      </w:r>
      <w:r>
        <w:rPr>
          <w:rFonts w:hint="eastAsia" w:ascii="宋体" w:hAnsi="宋体" w:cs="宋体"/>
          <w:color w:val="auto"/>
          <w:sz w:val="24"/>
          <w:szCs w:val="24"/>
        </w:rPr>
        <w:t>均保持有效。</w:t>
      </w:r>
    </w:p>
    <w:p w14:paraId="1E1D8BF0">
      <w:pPr>
        <w:pStyle w:val="44"/>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宋体" w:hAnsi="宋体" w:eastAsia="宋体"/>
          <w:color w:val="auto"/>
          <w:sz w:val="24"/>
          <w:szCs w:val="24"/>
        </w:rPr>
        <w:t>1</w:t>
      </w:r>
      <w:r>
        <w:rPr>
          <w:rFonts w:hint="eastAsia" w:ascii="宋体" w:hAnsi="宋体" w:eastAsia="宋体"/>
          <w:color w:val="auto"/>
          <w:sz w:val="24"/>
          <w:szCs w:val="24"/>
          <w:lang w:val="en-US" w:eastAsia="zh-CN"/>
        </w:rPr>
        <w:t>4</w:t>
      </w:r>
      <w:r>
        <w:rPr>
          <w:rFonts w:hint="eastAsia" w:ascii="宋体" w:hAnsi="宋体" w:eastAsia="宋体"/>
          <w:color w:val="auto"/>
          <w:sz w:val="24"/>
          <w:szCs w:val="24"/>
        </w:rPr>
        <w:t>.2 在特殊情况下，</w:t>
      </w:r>
      <w:r>
        <w:rPr>
          <w:rFonts w:hint="eastAsia" w:ascii="宋体" w:hAnsi="宋体" w:eastAsia="宋体"/>
          <w:color w:val="auto"/>
          <w:sz w:val="24"/>
          <w:szCs w:val="24"/>
          <w:lang w:eastAsia="zh-CN"/>
        </w:rPr>
        <w:t>采购人</w:t>
      </w:r>
      <w:r>
        <w:rPr>
          <w:rFonts w:hint="eastAsia" w:ascii="宋体" w:hAnsi="宋体" w:eastAsia="宋体"/>
          <w:color w:val="auto"/>
          <w:sz w:val="24"/>
          <w:szCs w:val="24"/>
        </w:rPr>
        <w:t>在原定磋商有效期内，可以根据需要以书面形式向供应商提出延长磋商有效期的要求，对此要求供应商须在2日内以书面形式予以答复。</w:t>
      </w:r>
    </w:p>
    <w:p w14:paraId="468E2F62">
      <w:pPr>
        <w:spacing w:line="240" w:lineRule="auto"/>
        <w:outlineLvl w:val="9"/>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、磋商保证金</w:t>
      </w:r>
      <w:bookmarkEnd w:id="93"/>
      <w:bookmarkEnd w:id="94"/>
      <w:bookmarkEnd w:id="95"/>
      <w:bookmarkEnd w:id="96"/>
    </w:p>
    <w:p w14:paraId="14DD336C">
      <w:pPr>
        <w:adjustRightInd w:val="0"/>
        <w:snapToGrid w:val="0"/>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 xml:space="preserve">.1 </w:t>
      </w:r>
      <w:r>
        <w:rPr>
          <w:rFonts w:hint="eastAsia" w:ascii="宋体" w:hAnsi="宋体" w:eastAsia="宋体" w:cs="宋体"/>
          <w:color w:val="auto"/>
          <w:kern w:val="2"/>
          <w:sz w:val="24"/>
          <w:szCs w:val="24"/>
          <w:highlight w:val="none"/>
          <w:lang w:val="en-US" w:eastAsia="zh-CN" w:bidi="ar-SA"/>
        </w:rPr>
        <w:t>根据榆林市财政局下发的榆政财采发【2023】8号文件规定实行信用承诺代替保证金。投标人可签署“投标信用承诺书”代替保证金</w:t>
      </w:r>
      <w:r>
        <w:rPr>
          <w:rFonts w:hint="eastAsia" w:ascii="宋体" w:hAnsi="宋体" w:cs="宋体"/>
          <w:color w:val="auto"/>
          <w:sz w:val="24"/>
          <w:szCs w:val="24"/>
        </w:rPr>
        <w:t>。</w:t>
      </w:r>
    </w:p>
    <w:p w14:paraId="42F55E93">
      <w:pPr>
        <w:adjustRightInd w:val="0"/>
        <w:snapToGrid w:val="0"/>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w:t>
      </w:r>
      <w:r>
        <w:rPr>
          <w:rFonts w:hint="eastAsia" w:ascii="宋体" w:hAnsi="宋体" w:cs="宋体"/>
          <w:color w:val="auto"/>
          <w:sz w:val="24"/>
          <w:szCs w:val="24"/>
          <w:lang w:val="en-US" w:eastAsia="zh-CN"/>
        </w:rPr>
        <w:t xml:space="preserve">2 </w:t>
      </w:r>
      <w:r>
        <w:rPr>
          <w:rFonts w:hint="eastAsia" w:ascii="宋体" w:hAnsi="宋体" w:eastAsia="宋体" w:cs="宋体"/>
          <w:color w:val="auto"/>
          <w:kern w:val="2"/>
          <w:sz w:val="24"/>
          <w:szCs w:val="24"/>
          <w:highlight w:val="none"/>
          <w:lang w:val="en-US" w:eastAsia="zh-CN" w:bidi="ar-SA"/>
        </w:rPr>
        <w:t>投标人在投标文件中附“投标信用承诺书”并按要求签字盖章及</w:t>
      </w:r>
      <w:r>
        <w:rPr>
          <w:rFonts w:hint="eastAsia" w:cs="宋体"/>
          <w:b/>
          <w:bCs/>
          <w:color w:val="auto"/>
          <w:kern w:val="0"/>
          <w:sz w:val="24"/>
          <w:szCs w:val="24"/>
          <w:highlight w:val="none"/>
          <w:lang w:val="en-US" w:eastAsia="zh-CN"/>
        </w:rPr>
        <w:t>附信用承诺网页截图。</w:t>
      </w:r>
    </w:p>
    <w:p w14:paraId="1C96313E">
      <w:pPr>
        <w:adjustRightInd w:val="0"/>
        <w:snapToGrid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 xml:space="preserve"> 投标单位已</w:t>
      </w:r>
      <w:r>
        <w:rPr>
          <w:rFonts w:hint="eastAsia" w:ascii="宋体" w:hAnsi="宋体" w:cs="宋体"/>
          <w:color w:val="auto"/>
          <w:sz w:val="24"/>
          <w:szCs w:val="24"/>
          <w:lang w:val="en-US" w:eastAsia="zh-CN"/>
        </w:rPr>
        <w:t>在信用中国网站承诺并公示的</w:t>
      </w:r>
      <w:r>
        <w:rPr>
          <w:rFonts w:hint="eastAsia" w:ascii="宋体" w:hAnsi="宋体" w:eastAsia="宋体" w:cs="宋体"/>
          <w:color w:val="auto"/>
          <w:kern w:val="2"/>
          <w:sz w:val="24"/>
          <w:szCs w:val="24"/>
          <w:highlight w:val="none"/>
          <w:lang w:val="en-US" w:eastAsia="zh-CN" w:bidi="ar-SA"/>
        </w:rPr>
        <w:t>“投标信用承诺书”</w:t>
      </w:r>
      <w:r>
        <w:rPr>
          <w:rFonts w:hint="eastAsia" w:ascii="宋体" w:hAnsi="宋体" w:cs="宋体"/>
          <w:color w:val="auto"/>
          <w:sz w:val="24"/>
          <w:szCs w:val="24"/>
        </w:rPr>
        <w:t xml:space="preserve">而自动放弃投标权利的，需在开标之前提交《弃标函》。 </w:t>
      </w:r>
    </w:p>
    <w:p w14:paraId="78C6977D">
      <w:pPr>
        <w:spacing w:line="360" w:lineRule="auto"/>
        <w:outlineLvl w:val="9"/>
        <w:rPr>
          <w:rFonts w:ascii="宋体" w:hAnsi="宋体" w:cs="宋体"/>
          <w:color w:val="auto"/>
          <w:sz w:val="24"/>
          <w:szCs w:val="24"/>
        </w:rPr>
      </w:pPr>
      <w:bookmarkStart w:id="97" w:name="_Toc152045553"/>
      <w:bookmarkStart w:id="98" w:name="_Toc179632571"/>
      <w:bookmarkStart w:id="99" w:name="_Toc152042329"/>
      <w:bookmarkStart w:id="100" w:name="_Toc144974521"/>
      <w:r>
        <w:rPr>
          <w:rFonts w:hint="eastAsia" w:ascii="宋体" w:hAnsi="宋体" w:cs="宋体"/>
          <w:color w:val="auto"/>
          <w:sz w:val="24"/>
          <w:szCs w:val="24"/>
        </w:rPr>
        <w:t>1</w:t>
      </w:r>
      <w:r>
        <w:rPr>
          <w:rFonts w:hint="eastAsia" w:ascii="宋体" w:hAnsi="宋体" w:cs="宋体"/>
          <w:color w:val="auto"/>
          <w:sz w:val="24"/>
          <w:szCs w:val="24"/>
          <w:lang w:val="en-US" w:eastAsia="zh-CN"/>
        </w:rPr>
        <w:t>6</w:t>
      </w:r>
      <w:r>
        <w:rPr>
          <w:rFonts w:hint="eastAsia" w:ascii="宋体" w:hAnsi="宋体" w:cs="宋体"/>
          <w:color w:val="auto"/>
          <w:sz w:val="24"/>
          <w:szCs w:val="24"/>
        </w:rPr>
        <w:t>、 备选磋商方案</w:t>
      </w:r>
      <w:bookmarkEnd w:id="97"/>
      <w:bookmarkEnd w:id="98"/>
      <w:bookmarkEnd w:id="99"/>
      <w:bookmarkEnd w:id="100"/>
    </w:p>
    <w:p w14:paraId="6984422F">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.1除磋商须知前附表另有规定外，供应商不得递交备选磋商方案。</w:t>
      </w:r>
    </w:p>
    <w:p w14:paraId="6A9C1EEA">
      <w:pPr>
        <w:spacing w:line="360" w:lineRule="auto"/>
        <w:outlineLvl w:val="9"/>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7</w:t>
      </w:r>
      <w:r>
        <w:rPr>
          <w:rFonts w:hint="eastAsia" w:ascii="宋体" w:hAnsi="宋体" w:cs="宋体"/>
          <w:color w:val="auto"/>
          <w:sz w:val="24"/>
          <w:szCs w:val="24"/>
        </w:rPr>
        <w:t>、竞争性磋商响应文件的签署及规定</w:t>
      </w:r>
    </w:p>
    <w:p w14:paraId="1011226F">
      <w:pPr>
        <w:spacing w:line="360" w:lineRule="auto"/>
        <w:ind w:firstLine="480" w:firstLineChars="200"/>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17</w:t>
      </w:r>
      <w:r>
        <w:rPr>
          <w:rFonts w:hint="eastAsia" w:ascii="宋体" w:hAnsi="宋体" w:cs="宋体"/>
          <w:color w:val="auto"/>
          <w:sz w:val="24"/>
          <w:szCs w:val="24"/>
        </w:rPr>
        <w:t xml:space="preserve">.1 </w:t>
      </w:r>
      <w:r>
        <w:rPr>
          <w:rFonts w:hint="eastAsia" w:ascii="思源宋体 CN Light" w:hAnsi="思源宋体 CN Light" w:eastAsia="思源宋体 CN Light" w:cs="思源宋体 CN Light"/>
          <w:color w:val="auto"/>
          <w:sz w:val="24"/>
          <w:szCs w:val="24"/>
          <w:lang w:val="en-US" w:eastAsia="zh-CN"/>
        </w:rPr>
        <w:t>投标文件可采用系统上传的</w:t>
      </w:r>
      <w:r>
        <w:rPr>
          <w:rFonts w:hint="eastAsia" w:ascii="思源宋体 CN Light" w:hAnsi="思源宋体 CN Light" w:eastAsia="思源宋体 CN Light" w:cs="思源宋体 CN Light"/>
          <w:color w:val="auto"/>
          <w:sz w:val="24"/>
          <w:szCs w:val="24"/>
        </w:rPr>
        <w:t>电子投标文件</w:t>
      </w:r>
      <w:r>
        <w:rPr>
          <w:rFonts w:hint="eastAsia" w:ascii="思源宋体 CN Light" w:hAnsi="思源宋体 CN Light" w:eastAsia="思源宋体 CN Light" w:cs="思源宋体 CN Light"/>
          <w:color w:val="auto"/>
          <w:sz w:val="24"/>
          <w:szCs w:val="24"/>
          <w:lang w:val="en-US" w:eastAsia="zh-CN"/>
        </w:rPr>
        <w:t>的打印件</w:t>
      </w:r>
      <w:r>
        <w:rPr>
          <w:rFonts w:hint="eastAsia" w:ascii="宋体" w:hAnsi="宋体" w:cs="宋体"/>
          <w:color w:val="auto"/>
          <w:sz w:val="24"/>
          <w:szCs w:val="24"/>
        </w:rPr>
        <w:t>。</w:t>
      </w:r>
      <w:r>
        <w:rPr>
          <w:rFonts w:hint="eastAsia" w:ascii="宋体" w:hAnsi="宋体" w:cs="宋体"/>
          <w:color w:val="auto"/>
          <w:sz w:val="24"/>
          <w:szCs w:val="24"/>
          <w:lang w:val="en-US" w:eastAsia="zh-CN"/>
        </w:rPr>
        <w:tab/>
      </w:r>
    </w:p>
    <w:p w14:paraId="1C55EEE4">
      <w:pPr>
        <w:adjustRightInd w:val="0"/>
        <w:snapToGrid w:val="0"/>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lang w:val="en-US" w:eastAsia="zh-CN"/>
        </w:rPr>
        <w:t>17</w:t>
      </w:r>
      <w:r>
        <w:rPr>
          <w:rFonts w:hint="eastAsia" w:ascii="宋体" w:hAnsi="宋体" w:cs="宋体"/>
          <w:color w:val="auto"/>
          <w:sz w:val="24"/>
          <w:szCs w:val="24"/>
        </w:rPr>
        <w:t xml:space="preserve">.2 除投标人对错处作必要修改外，投标文件中不许有加行、涂抹或改写。若有修改须由授权代表或法定代表人在修改处签字。 </w:t>
      </w:r>
    </w:p>
    <w:p w14:paraId="6797C979">
      <w:pPr>
        <w:adjustRightInd w:val="0"/>
        <w:snapToGrid w:val="0"/>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lang w:val="en-US" w:eastAsia="zh-CN"/>
        </w:rPr>
        <w:t>17.3</w:t>
      </w:r>
      <w:r>
        <w:rPr>
          <w:rFonts w:hint="eastAsia" w:ascii="宋体" w:hAnsi="宋体" w:cs="宋体"/>
          <w:color w:val="auto"/>
          <w:sz w:val="24"/>
          <w:szCs w:val="24"/>
        </w:rPr>
        <w:t xml:space="preserve"> 采购人拒绝接受以电报、电话、传真、电子邮件形式的投标。</w:t>
      </w:r>
    </w:p>
    <w:p w14:paraId="406EAB1E">
      <w:pPr>
        <w:adjustRightInd w:val="0"/>
        <w:snapToGrid w:val="0"/>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lang w:val="en-US" w:eastAsia="zh-CN"/>
        </w:rPr>
        <w:t>17.4</w:t>
      </w:r>
      <w:r>
        <w:rPr>
          <w:rFonts w:hint="eastAsia" w:ascii="宋体" w:hAnsi="宋体" w:cs="宋体"/>
          <w:color w:val="auto"/>
          <w:sz w:val="24"/>
          <w:szCs w:val="24"/>
        </w:rPr>
        <w:t xml:space="preserve">电子招标文件下载。供应商登录全国公共资源交易平台（陕西省） 网站〖首页·〉电子交易平台·〉企业端〗后，选择项目点击 “我要投标”，参与投标活动。然后即可在〖我的项目〗中点击“项目流程&gt;交易文件下载”下载电子招标文件。 </w:t>
      </w:r>
    </w:p>
    <w:p w14:paraId="52FCEE55">
      <w:pPr>
        <w:adjustRightInd w:val="0"/>
        <w:snapToGrid w:val="0"/>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lang w:val="en-US" w:eastAsia="zh-CN"/>
        </w:rPr>
        <w:t>17.5</w:t>
      </w:r>
      <w:r>
        <w:rPr>
          <w:rFonts w:hint="eastAsia" w:ascii="宋体" w:hAnsi="宋体" w:cs="宋体"/>
          <w:color w:val="auto"/>
          <w:sz w:val="24"/>
          <w:szCs w:val="24"/>
        </w:rPr>
        <w:t xml:space="preserve"> 电子招标文件需要使用专用软件打开、浏览。供应商可在全国公共资源交易平台（陕西省）网站〖首页·〉服务指南·〉下载专区〗免费下载“陕西省公共资源交易平台政府采购电子标书制作工具(V8.0.0.36)”，并升级至最新版本，使用该客户端可以打开电子投标文件。软件操作手册详见全国公共资源交易平台（陕西省）网站〖首页·〉服务指南·〉下载专区〗中的《陕西省公共资源交易（政府采购类）响应文件制作软件操作手册》。 </w:t>
      </w:r>
    </w:p>
    <w:p w14:paraId="38F23C87">
      <w:pPr>
        <w:adjustRightInd w:val="0"/>
        <w:snapToGrid w:val="0"/>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lang w:val="en-US" w:eastAsia="zh-CN"/>
        </w:rPr>
        <w:t>17.6</w:t>
      </w:r>
      <w:r>
        <w:rPr>
          <w:rFonts w:hint="eastAsia" w:ascii="宋体" w:hAnsi="宋体" w:cs="宋体"/>
          <w:color w:val="auto"/>
          <w:sz w:val="24"/>
          <w:szCs w:val="24"/>
        </w:rPr>
        <w:t xml:space="preserve"> 制作电子投标文件。电子投标文件同样需要使用上述软件进行编制。在编制过程中，如有技术性问题，请先翻阅操作手册，或致电软件开发商。 </w:t>
      </w:r>
    </w:p>
    <w:p w14:paraId="61C4ED3F">
      <w:pPr>
        <w:adjustRightInd w:val="0"/>
        <w:snapToGrid w:val="0"/>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rPr>
        <w:t xml:space="preserve">技术支持热线：4009280095、4009980000 </w:t>
      </w:r>
    </w:p>
    <w:p w14:paraId="37620825">
      <w:pPr>
        <w:adjustRightInd w:val="0"/>
        <w:snapToGrid w:val="0"/>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rPr>
        <w:t>CA 锁购买：</w:t>
      </w:r>
      <w:r>
        <w:rPr>
          <w:rFonts w:hint="eastAsia" w:ascii="宋体" w:hAnsi="宋体" w:cs="宋体"/>
          <w:color w:val="auto"/>
          <w:sz w:val="24"/>
          <w:szCs w:val="24"/>
          <w:lang w:val="en-US" w:eastAsia="zh-CN"/>
        </w:rPr>
        <w:t>榆林市市民大厦三楼E18、E19窗口办理，咨询电话0912-3452148、029-88661298或4006-369-888（陕西CA联系电话）</w:t>
      </w:r>
    </w:p>
    <w:p w14:paraId="3346CDAD">
      <w:pPr>
        <w:pStyle w:val="43"/>
        <w:spacing w:line="360" w:lineRule="auto"/>
        <w:ind w:firstLine="482" w:firstLineChars="200"/>
        <w:outlineLvl w:val="9"/>
        <w:rPr>
          <w:rFonts w:asciiTheme="minorEastAsia" w:hAnsiTheme="minorEastAsia" w:eastAsiaTheme="minorEastAsia" w:cstheme="minorEastAsia"/>
          <w:b/>
          <w:color w:val="auto"/>
          <w:sz w:val="24"/>
          <w:szCs w:val="24"/>
        </w:rPr>
      </w:pPr>
      <w:bookmarkStart w:id="101" w:name="_Toc152045555"/>
      <w:bookmarkStart w:id="102" w:name="_Toc179632573"/>
      <w:bookmarkStart w:id="103" w:name="_Toc152042331"/>
      <w:bookmarkStart w:id="104" w:name="_Toc14109"/>
      <w:bookmarkStart w:id="105" w:name="_Toc510859895"/>
      <w:bookmarkStart w:id="106" w:name="_Toc510859689"/>
      <w:bookmarkStart w:id="107" w:name="_Toc513557030"/>
      <w:bookmarkStart w:id="108" w:name="_Toc144974523"/>
      <w:bookmarkStart w:id="109" w:name="_Toc363119281"/>
      <w:bookmarkStart w:id="110" w:name="_Toc10897"/>
      <w:bookmarkStart w:id="111" w:name="_Toc26516"/>
      <w:bookmarkStart w:id="112" w:name="_Toc17362"/>
      <w:bookmarkStart w:id="113" w:name="_Toc24637"/>
      <w:bookmarkStart w:id="114" w:name="_Toc4451"/>
      <w:bookmarkStart w:id="115" w:name="_Toc17904"/>
      <w:bookmarkStart w:id="116" w:name="_Toc16264"/>
      <w:bookmarkStart w:id="117" w:name="_Toc32167"/>
      <w:r>
        <w:rPr>
          <w:rFonts w:hint="eastAsia" w:asciiTheme="minorEastAsia" w:hAnsiTheme="minorEastAsia" w:eastAsiaTheme="minorEastAsia" w:cstheme="minorEastAsia"/>
          <w:b/>
          <w:color w:val="auto"/>
          <w:sz w:val="24"/>
          <w:szCs w:val="24"/>
        </w:rPr>
        <w:t xml:space="preserve">4. </w:t>
      </w:r>
      <w:bookmarkEnd w:id="101"/>
      <w:bookmarkEnd w:id="102"/>
      <w:bookmarkEnd w:id="103"/>
      <w:bookmarkEnd w:id="104"/>
      <w:bookmarkEnd w:id="105"/>
      <w:bookmarkEnd w:id="106"/>
      <w:bookmarkEnd w:id="107"/>
      <w:bookmarkEnd w:id="108"/>
      <w:bookmarkEnd w:id="109"/>
      <w:r>
        <w:rPr>
          <w:rFonts w:hint="eastAsia" w:asciiTheme="minorEastAsia" w:hAnsiTheme="minorEastAsia" w:eastAsiaTheme="minorEastAsia" w:cstheme="minorEastAsia"/>
          <w:b/>
          <w:color w:val="auto"/>
          <w:sz w:val="24"/>
          <w:szCs w:val="24"/>
        </w:rPr>
        <w:t>竞争性磋商响应文件</w:t>
      </w:r>
      <w:r>
        <w:rPr>
          <w:rFonts w:hint="eastAsia" w:ascii="宋体" w:hAnsi="宋体"/>
          <w:b/>
          <w:color w:val="auto"/>
          <w:sz w:val="24"/>
          <w:szCs w:val="24"/>
        </w:rPr>
        <w:t>的</w:t>
      </w:r>
      <w:bookmarkEnd w:id="110"/>
      <w:bookmarkEnd w:id="111"/>
      <w:bookmarkEnd w:id="112"/>
      <w:bookmarkEnd w:id="113"/>
      <w:bookmarkEnd w:id="114"/>
      <w:bookmarkEnd w:id="115"/>
      <w:bookmarkEnd w:id="116"/>
      <w:r>
        <w:rPr>
          <w:rFonts w:hint="eastAsia" w:ascii="宋体" w:hAnsi="宋体"/>
          <w:b/>
          <w:color w:val="auto"/>
          <w:sz w:val="24"/>
          <w:szCs w:val="24"/>
        </w:rPr>
        <w:t>递交</w:t>
      </w:r>
      <w:bookmarkEnd w:id="117"/>
    </w:p>
    <w:p w14:paraId="182ACFB9">
      <w:pPr>
        <w:spacing w:line="360" w:lineRule="auto"/>
        <w:outlineLvl w:val="9"/>
        <w:rPr>
          <w:rFonts w:ascii="宋体" w:hAnsi="宋体" w:cs="宋体"/>
          <w:b w:val="0"/>
          <w:bCs w:val="0"/>
          <w:color w:val="auto"/>
          <w:sz w:val="24"/>
          <w:szCs w:val="24"/>
        </w:rPr>
      </w:pPr>
      <w:bookmarkStart w:id="118" w:name="_Toc144974524"/>
      <w:bookmarkStart w:id="119" w:name="_Toc152045556"/>
      <w:bookmarkStart w:id="120" w:name="_Toc179632574"/>
      <w:bookmarkStart w:id="121" w:name="_Toc152042332"/>
      <w:r>
        <w:rPr>
          <w:rFonts w:hint="eastAsia" w:ascii="宋体" w:hAnsi="宋体" w:cs="宋体"/>
          <w:b w:val="0"/>
          <w:bCs w:val="0"/>
          <w:color w:val="auto"/>
          <w:sz w:val="24"/>
          <w:szCs w:val="24"/>
          <w:lang w:val="en-US" w:eastAsia="zh-CN"/>
        </w:rPr>
        <w:t>18</w:t>
      </w:r>
      <w:r>
        <w:rPr>
          <w:rFonts w:hint="eastAsia" w:ascii="宋体" w:hAnsi="宋体" w:cs="宋体"/>
          <w:b w:val="0"/>
          <w:bCs w:val="0"/>
          <w:color w:val="auto"/>
          <w:sz w:val="24"/>
          <w:szCs w:val="24"/>
        </w:rPr>
        <w:t>、</w:t>
      </w:r>
      <w:bookmarkEnd w:id="118"/>
      <w:bookmarkEnd w:id="119"/>
      <w:bookmarkEnd w:id="120"/>
      <w:bookmarkEnd w:id="121"/>
      <w:r>
        <w:rPr>
          <w:rFonts w:hint="eastAsia" w:ascii="宋体" w:hAnsi="宋体" w:cs="宋体"/>
          <w:b w:val="0"/>
          <w:bCs w:val="0"/>
          <w:color w:val="auto"/>
          <w:sz w:val="24"/>
          <w:szCs w:val="24"/>
        </w:rPr>
        <w:t>竞争性</w:t>
      </w:r>
      <w:r>
        <w:rPr>
          <w:rFonts w:hint="eastAsia" w:ascii="宋体" w:hAnsi="宋体" w:cs="宋体"/>
          <w:b w:val="0"/>
          <w:bCs w:val="0"/>
          <w:color w:val="auto"/>
          <w:sz w:val="24"/>
          <w:szCs w:val="24"/>
          <w:lang w:val="en-US" w:eastAsia="zh-CN"/>
        </w:rPr>
        <w:t>磋商</w:t>
      </w:r>
      <w:r>
        <w:rPr>
          <w:rFonts w:hint="eastAsia" w:ascii="宋体" w:hAnsi="宋体" w:cs="宋体"/>
          <w:b w:val="0"/>
          <w:bCs w:val="0"/>
          <w:color w:val="auto"/>
          <w:sz w:val="24"/>
          <w:szCs w:val="24"/>
        </w:rPr>
        <w:t>响应文件的递交</w:t>
      </w:r>
    </w:p>
    <w:p w14:paraId="6A74F6A5">
      <w:pPr>
        <w:pStyle w:val="16"/>
        <w:spacing w:line="360" w:lineRule="auto"/>
        <w:ind w:firstLine="482" w:firstLineChars="200"/>
        <w:outlineLvl w:val="9"/>
        <w:rPr>
          <w:rFonts w:ascii="思源宋体 CN Light" w:hAnsi="思源宋体 CN Light" w:eastAsia="思源宋体 CN Light" w:cs="思源宋体 CN Light"/>
          <w:b/>
          <w:bCs/>
          <w:color w:val="auto"/>
          <w:sz w:val="24"/>
          <w:szCs w:val="24"/>
        </w:rPr>
      </w:pPr>
      <w:r>
        <w:rPr>
          <w:rFonts w:hint="eastAsia" w:ascii="宋体" w:hAnsi="宋体" w:cs="宋体"/>
          <w:b/>
          <w:bCs/>
          <w:color w:val="auto"/>
          <w:sz w:val="24"/>
          <w:szCs w:val="24"/>
          <w:lang w:val="en-US" w:eastAsia="zh-CN"/>
        </w:rPr>
        <w:t>18</w:t>
      </w:r>
      <w:r>
        <w:rPr>
          <w:rFonts w:hint="eastAsia" w:ascii="宋体" w:hAnsi="宋体" w:cs="宋体"/>
          <w:b/>
          <w:bCs/>
          <w:color w:val="auto"/>
          <w:sz w:val="24"/>
          <w:szCs w:val="24"/>
        </w:rPr>
        <w:t>.1 电子竞争性</w:t>
      </w:r>
      <w:r>
        <w:rPr>
          <w:rFonts w:hint="eastAsia" w:ascii="宋体" w:hAnsi="宋体" w:cs="宋体"/>
          <w:b/>
          <w:bCs/>
          <w:color w:val="auto"/>
          <w:sz w:val="24"/>
          <w:szCs w:val="24"/>
          <w:lang w:val="en-US" w:eastAsia="zh-CN"/>
        </w:rPr>
        <w:t>磋商</w:t>
      </w:r>
      <w:r>
        <w:rPr>
          <w:rFonts w:hint="eastAsia" w:ascii="宋体" w:hAnsi="宋体" w:cs="宋体"/>
          <w:b/>
          <w:bCs/>
          <w:color w:val="auto"/>
          <w:sz w:val="24"/>
          <w:szCs w:val="24"/>
        </w:rPr>
        <w:t>响应文件递交</w:t>
      </w:r>
    </w:p>
    <w:p w14:paraId="4662F41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150" w:rightChars="0" w:firstLine="480" w:firstLineChars="200"/>
        <w:outlineLvl w:val="9"/>
        <w:rPr>
          <w:rFonts w:hint="eastAsia" w:ascii="思源宋体 CN Light" w:hAnsi="思源宋体 CN Light" w:eastAsia="思源宋体 CN Light" w:cs="思源宋体 CN Light"/>
          <w:color w:val="auto"/>
          <w:sz w:val="24"/>
          <w:szCs w:val="24"/>
          <w:lang w:val="en-US" w:eastAsia="zh-CN"/>
        </w:rPr>
      </w:pPr>
      <w:bookmarkStart w:id="122" w:name="_Toc152042334"/>
      <w:bookmarkStart w:id="123" w:name="_Toc152045558"/>
      <w:bookmarkStart w:id="124" w:name="_Toc179632576"/>
      <w:bookmarkStart w:id="125" w:name="_Toc144974526"/>
      <w:r>
        <w:rPr>
          <w:rFonts w:hint="eastAsia" w:ascii="宋体" w:hAnsi="宋体" w:cs="宋体"/>
          <w:color w:val="auto"/>
          <w:sz w:val="24"/>
          <w:szCs w:val="24"/>
          <w:lang w:val="en-US" w:eastAsia="zh-CN"/>
        </w:rPr>
        <w:t>18.1.1</w:t>
      </w:r>
      <w:r>
        <w:rPr>
          <w:rFonts w:hint="eastAsia" w:ascii="宋体" w:hAnsi="宋体" w:cs="宋体"/>
          <w:color w:val="auto"/>
          <w:sz w:val="24"/>
          <w:szCs w:val="24"/>
        </w:rPr>
        <w:t>电子响应文件可于提交响应文件截止时间前任意时段登录全国公共资源交易平台（陕西省）网站“电子交易平台&gt;企业端”进行提交，逾期系统将拒绝接收。提交时，供应商应登录全国公共资源交易中心平台（陕西省），选择“首页&gt;电子交易平台&gt;企业端&gt;我的项目”，点击“项目流程”，在打开的“项目管理”对话框中选择“上传响应文件”，上传加密的电子响应文件。上传成功后，电子化平台将予以记录</w:t>
      </w:r>
      <w:r>
        <w:rPr>
          <w:rFonts w:hint="eastAsia" w:ascii="思源宋体 CN Light" w:hAnsi="思源宋体 CN Light" w:eastAsia="思源宋体 CN Light" w:cs="思源宋体 CN Light"/>
          <w:color w:val="auto"/>
          <w:sz w:val="24"/>
          <w:szCs w:val="24"/>
          <w:lang w:val="en-US" w:eastAsia="zh-CN"/>
        </w:rPr>
        <w:t>。</w:t>
      </w:r>
    </w:p>
    <w:p w14:paraId="1DFB1BDA">
      <w:pPr>
        <w:spacing w:line="360" w:lineRule="auto"/>
        <w:ind w:firstLine="480" w:firstLineChars="200"/>
        <w:outlineLvl w:val="9"/>
        <w:rPr>
          <w:rFonts w:hint="eastAsia" w:ascii="思源宋体 CN Light" w:hAnsi="思源宋体 CN Light" w:eastAsia="思源宋体 CN Light" w:cs="思源宋体 CN Light"/>
          <w:color w:val="auto"/>
          <w:sz w:val="24"/>
          <w:szCs w:val="24"/>
          <w:lang w:val="en-US" w:eastAsia="zh-CN"/>
        </w:rPr>
      </w:pPr>
      <w:r>
        <w:rPr>
          <w:rFonts w:hint="eastAsia" w:ascii="思源宋体 CN Light" w:hAnsi="思源宋体 CN Light" w:eastAsia="思源宋体 CN Light" w:cs="思源宋体 CN Light"/>
          <w:color w:val="auto"/>
          <w:sz w:val="24"/>
          <w:szCs w:val="24"/>
          <w:lang w:val="en-US" w:eastAsia="zh-CN"/>
        </w:rPr>
        <w:t>18.1.2本项目采用“不见面”开标形式，供应商可登录榆林交易平台〖首页〉不见面开标〗在线参与开评标过程，详见招标文件以及交易平台〖首页〉服务指南〉下载专区〗中的《榆林市不见面开标大厅操作手册（投标人）》。</w:t>
      </w:r>
    </w:p>
    <w:p w14:paraId="4B79F880">
      <w:pPr>
        <w:pStyle w:val="16"/>
        <w:spacing w:line="360" w:lineRule="auto"/>
        <w:ind w:firstLine="482" w:firstLineChars="200"/>
        <w:outlineLvl w:val="9"/>
        <w:rPr>
          <w:rFonts w:ascii="思源宋体 CN Light" w:hAnsi="思源宋体 CN Light" w:eastAsia="思源宋体 CN Light" w:cs="思源宋体 CN Light"/>
          <w:b/>
          <w:bCs/>
          <w:color w:val="auto"/>
          <w:sz w:val="24"/>
          <w:szCs w:val="24"/>
        </w:rPr>
      </w:pPr>
      <w:r>
        <w:rPr>
          <w:rFonts w:hint="eastAsia" w:ascii="思源宋体 CN Light" w:hAnsi="思源宋体 CN Light" w:eastAsia="思源宋体 CN Light" w:cs="思源宋体 CN Light"/>
          <w:b/>
          <w:bCs/>
          <w:color w:val="auto"/>
          <w:sz w:val="24"/>
          <w:szCs w:val="24"/>
          <w:lang w:val="en-US" w:eastAsia="zh-CN"/>
        </w:rPr>
        <w:t>18</w:t>
      </w:r>
      <w:r>
        <w:rPr>
          <w:rFonts w:hint="eastAsia" w:ascii="思源宋体 CN Light" w:hAnsi="思源宋体 CN Light" w:eastAsia="思源宋体 CN Light" w:cs="思源宋体 CN Light"/>
          <w:b/>
          <w:bCs/>
          <w:color w:val="auto"/>
          <w:sz w:val="24"/>
          <w:szCs w:val="24"/>
        </w:rPr>
        <w:t>.2纸质竞争性</w:t>
      </w:r>
      <w:r>
        <w:rPr>
          <w:rFonts w:hint="eastAsia" w:ascii="宋体" w:hAnsi="宋体" w:cs="宋体"/>
          <w:b/>
          <w:bCs/>
          <w:color w:val="auto"/>
          <w:sz w:val="24"/>
          <w:szCs w:val="24"/>
          <w:lang w:val="en-US" w:eastAsia="zh-CN"/>
        </w:rPr>
        <w:t>磋商</w:t>
      </w:r>
      <w:r>
        <w:rPr>
          <w:rFonts w:hint="eastAsia" w:ascii="宋体" w:hAnsi="宋体" w:cs="宋体"/>
          <w:b/>
          <w:bCs/>
          <w:color w:val="auto"/>
          <w:sz w:val="24"/>
          <w:szCs w:val="24"/>
        </w:rPr>
        <w:t>响应</w:t>
      </w:r>
      <w:r>
        <w:rPr>
          <w:rFonts w:hint="eastAsia" w:ascii="思源宋体 CN Light" w:hAnsi="思源宋体 CN Light" w:eastAsia="思源宋体 CN Light" w:cs="思源宋体 CN Light"/>
          <w:b/>
          <w:bCs/>
          <w:color w:val="auto"/>
          <w:sz w:val="24"/>
          <w:szCs w:val="24"/>
        </w:rPr>
        <w:t>文件递交</w:t>
      </w:r>
    </w:p>
    <w:p w14:paraId="530D52D5">
      <w:pPr>
        <w:spacing w:line="360" w:lineRule="auto"/>
        <w:ind w:firstLine="480" w:firstLineChars="200"/>
        <w:outlineLvl w:val="9"/>
        <w:rPr>
          <w:rFonts w:hint="eastAsia" w:ascii="思源宋体 CN Light" w:hAnsi="思源宋体 CN Light" w:eastAsia="思源宋体 CN Light" w:cs="思源宋体 CN Light"/>
          <w:color w:val="auto"/>
          <w:sz w:val="24"/>
          <w:szCs w:val="24"/>
        </w:rPr>
      </w:pPr>
      <w:r>
        <w:rPr>
          <w:rFonts w:hint="eastAsia" w:ascii="宋体" w:hAnsi="宋体" w:cs="仿宋_GB2312"/>
          <w:bCs/>
          <w:color w:val="auto"/>
          <w:sz w:val="24"/>
          <w:szCs w:val="24"/>
          <w:lang w:val="en-US" w:eastAsia="zh-CN"/>
        </w:rPr>
        <w:t>18</w:t>
      </w:r>
      <w:r>
        <w:rPr>
          <w:rFonts w:hint="eastAsia" w:ascii="宋体" w:hAnsi="宋体" w:cs="仿宋_GB2312"/>
          <w:bCs/>
          <w:color w:val="auto"/>
          <w:sz w:val="24"/>
          <w:szCs w:val="24"/>
        </w:rPr>
        <w:t>.</w:t>
      </w:r>
      <w:r>
        <w:rPr>
          <w:rFonts w:hint="eastAsia" w:ascii="宋体" w:hAnsi="宋体" w:cs="仿宋_GB2312"/>
          <w:bCs/>
          <w:color w:val="auto"/>
          <w:sz w:val="24"/>
          <w:szCs w:val="24"/>
          <w:lang w:val="en-US" w:eastAsia="zh-CN"/>
        </w:rPr>
        <w:t>2.</w:t>
      </w:r>
      <w:r>
        <w:rPr>
          <w:rFonts w:hint="eastAsia" w:ascii="宋体" w:hAnsi="宋体" w:cs="仿宋_GB2312"/>
          <w:bCs/>
          <w:color w:val="auto"/>
          <w:sz w:val="24"/>
          <w:szCs w:val="24"/>
        </w:rPr>
        <w:t>1</w:t>
      </w:r>
      <w:r>
        <w:rPr>
          <w:rFonts w:hint="eastAsia" w:ascii="思源宋体 CN Light" w:hAnsi="思源宋体 CN Light" w:eastAsia="思源宋体 CN Light" w:cs="思源宋体 CN Light"/>
          <w:color w:val="auto"/>
          <w:sz w:val="24"/>
          <w:szCs w:val="24"/>
          <w:lang w:val="en-US" w:eastAsia="zh-CN"/>
        </w:rPr>
        <w:t>为便于采购人归档和向监管部门备案，中标供应商人需按以下要求递交纸质版投标文件，投标文件可采用系统上传的</w:t>
      </w:r>
      <w:r>
        <w:rPr>
          <w:rFonts w:hint="eastAsia" w:ascii="思源宋体 CN Light" w:hAnsi="思源宋体 CN Light" w:eastAsia="思源宋体 CN Light" w:cs="思源宋体 CN Light"/>
          <w:color w:val="auto"/>
          <w:sz w:val="24"/>
          <w:szCs w:val="24"/>
        </w:rPr>
        <w:t>电子投标文件</w:t>
      </w:r>
      <w:r>
        <w:rPr>
          <w:rFonts w:hint="eastAsia" w:ascii="思源宋体 CN Light" w:hAnsi="思源宋体 CN Light" w:eastAsia="思源宋体 CN Light" w:cs="思源宋体 CN Light"/>
          <w:color w:val="auto"/>
          <w:sz w:val="24"/>
          <w:szCs w:val="24"/>
          <w:lang w:val="en-US" w:eastAsia="zh-CN"/>
        </w:rPr>
        <w:t>的打印件，正本、副本分别装订成册，每份投标文件封皮须清楚地标明“正本”或“副本”：</w:t>
      </w:r>
    </w:p>
    <w:p w14:paraId="1BAE38FA">
      <w:pPr>
        <w:spacing w:line="360" w:lineRule="auto"/>
        <w:ind w:firstLine="480" w:firstLineChars="200"/>
        <w:outlineLvl w:val="9"/>
        <w:rPr>
          <w:rFonts w:hint="eastAsia" w:ascii="思源宋体 CN Light" w:hAnsi="思源宋体 CN Light" w:eastAsia="思源宋体 CN Light" w:cs="思源宋体 CN Light"/>
          <w:color w:val="auto"/>
          <w:sz w:val="24"/>
          <w:szCs w:val="24"/>
          <w:lang w:val="en-US" w:eastAsia="zh-CN"/>
        </w:rPr>
      </w:pPr>
      <w:r>
        <w:rPr>
          <w:rFonts w:hint="eastAsia" w:ascii="思源宋体 CN Light" w:hAnsi="思源宋体 CN Light" w:eastAsia="思源宋体 CN Light" w:cs="思源宋体 CN Light"/>
          <w:color w:val="auto"/>
          <w:sz w:val="24"/>
          <w:szCs w:val="24"/>
          <w:lang w:val="en-US" w:eastAsia="zh-CN"/>
        </w:rPr>
        <w:t xml:space="preserve">竞争性磋商响应文件：正本：1 份、副本：3 份； </w:t>
      </w:r>
    </w:p>
    <w:p w14:paraId="4ABD00B1">
      <w:pPr>
        <w:spacing w:line="360" w:lineRule="auto"/>
        <w:ind w:firstLine="480" w:firstLineChars="200"/>
        <w:outlineLvl w:val="9"/>
        <w:rPr>
          <w:rFonts w:hint="eastAsia" w:ascii="思源宋体 CN Light" w:hAnsi="思源宋体 CN Light" w:eastAsia="思源宋体 CN Light" w:cs="思源宋体 CN Light"/>
          <w:color w:val="auto"/>
          <w:sz w:val="24"/>
          <w:szCs w:val="24"/>
          <w:lang w:val="en-US" w:eastAsia="zh-CN"/>
        </w:rPr>
      </w:pPr>
      <w:r>
        <w:rPr>
          <w:rFonts w:hint="eastAsia" w:ascii="思源宋体 CN Light" w:hAnsi="思源宋体 CN Light" w:eastAsia="思源宋体 CN Light" w:cs="思源宋体 CN Light"/>
          <w:color w:val="auto"/>
          <w:sz w:val="24"/>
          <w:szCs w:val="24"/>
          <w:lang w:val="en-US" w:eastAsia="zh-CN"/>
        </w:rPr>
        <w:t>投标文件</w:t>
      </w:r>
      <w:r>
        <w:rPr>
          <w:rFonts w:hint="eastAsia" w:ascii="宋体" w:hAnsi="宋体" w:cs="宋体"/>
          <w:color w:val="auto"/>
          <w:sz w:val="24"/>
          <w:szCs w:val="24"/>
        </w:rPr>
        <w:t>电子版U盘</w:t>
      </w:r>
      <w:r>
        <w:rPr>
          <w:rFonts w:hint="eastAsia" w:ascii="宋体" w:hAnsi="宋体" w:cs="宋体"/>
          <w:color w:val="auto"/>
          <w:sz w:val="24"/>
          <w:szCs w:val="24"/>
          <w:lang w:val="en-US" w:eastAsia="zh-CN"/>
        </w:rPr>
        <w:t>1</w:t>
      </w:r>
      <w:r>
        <w:rPr>
          <w:rFonts w:hint="eastAsia" w:ascii="宋体" w:hAnsi="宋体" w:cs="宋体"/>
          <w:color w:val="auto"/>
          <w:sz w:val="24"/>
          <w:szCs w:val="24"/>
        </w:rPr>
        <w:t>份（Word版响应文件）</w:t>
      </w:r>
      <w:r>
        <w:rPr>
          <w:rFonts w:hint="eastAsia" w:ascii="思源宋体 CN Light" w:hAnsi="思源宋体 CN Light" w:eastAsia="思源宋体 CN Light" w:cs="思源宋体 CN Light"/>
          <w:color w:val="auto"/>
          <w:sz w:val="24"/>
          <w:szCs w:val="24"/>
          <w:lang w:val="en-US" w:eastAsia="zh-CN"/>
        </w:rPr>
        <w:t>。</w:t>
      </w:r>
    </w:p>
    <w:p w14:paraId="0EB4C331">
      <w:pPr>
        <w:spacing w:line="360" w:lineRule="auto"/>
        <w:ind w:firstLine="480" w:firstLineChars="200"/>
        <w:outlineLvl w:val="9"/>
        <w:rPr>
          <w:rFonts w:hint="default" w:ascii="思源宋体 CN Light" w:hAnsi="思源宋体 CN Light" w:eastAsia="思源宋体 CN Light" w:cs="思源宋体 CN Light"/>
          <w:color w:val="auto"/>
          <w:sz w:val="24"/>
          <w:szCs w:val="24"/>
          <w:lang w:val="en-US" w:eastAsia="zh-CN"/>
        </w:rPr>
      </w:pPr>
      <w:r>
        <w:rPr>
          <w:rFonts w:hint="eastAsia" w:ascii="思源宋体 CN Light" w:hAnsi="思源宋体 CN Light" w:eastAsia="思源宋体 CN Light" w:cs="思源宋体 CN Light"/>
          <w:color w:val="auto"/>
          <w:sz w:val="24"/>
          <w:szCs w:val="24"/>
          <w:lang w:val="en-US" w:eastAsia="zh-CN"/>
        </w:rPr>
        <w:t>18.2.2递交方式：纸质版投标文件</w:t>
      </w:r>
      <w:r>
        <w:rPr>
          <w:rFonts w:hint="eastAsia" w:ascii="思源宋体 CN Light" w:hAnsi="思源宋体 CN Light" w:eastAsia="思源宋体 CN Light" w:cs="思源宋体 CN Light"/>
          <w:color w:val="auto"/>
          <w:sz w:val="24"/>
          <w:szCs w:val="24"/>
        </w:rPr>
        <w:t>在开标时无需提交，待开标结束后，需邮寄补交一正</w:t>
      </w:r>
      <w:r>
        <w:rPr>
          <w:rFonts w:hint="eastAsia" w:ascii="思源宋体 CN Light" w:hAnsi="思源宋体 CN Light" w:eastAsia="思源宋体 CN Light" w:cs="思源宋体 CN Light"/>
          <w:color w:val="auto"/>
          <w:sz w:val="24"/>
          <w:szCs w:val="24"/>
          <w:lang w:val="en-US" w:eastAsia="zh-CN"/>
        </w:rPr>
        <w:t>叁副</w:t>
      </w:r>
      <w:r>
        <w:rPr>
          <w:rFonts w:hint="eastAsia" w:ascii="思源宋体 CN Light" w:hAnsi="思源宋体 CN Light" w:eastAsia="思源宋体 CN Light" w:cs="思源宋体 CN Light"/>
          <w:color w:val="auto"/>
          <w:sz w:val="24"/>
          <w:szCs w:val="24"/>
        </w:rPr>
        <w:t>纸质投标文件及</w:t>
      </w:r>
      <w:r>
        <w:rPr>
          <w:rFonts w:hint="eastAsia" w:ascii="宋体" w:hAnsi="宋体" w:cs="宋体"/>
          <w:color w:val="auto"/>
          <w:sz w:val="24"/>
          <w:szCs w:val="24"/>
        </w:rPr>
        <w:t>电子版U盘</w:t>
      </w:r>
      <w:r>
        <w:rPr>
          <w:rFonts w:hint="eastAsia" w:ascii="宋体" w:hAnsi="宋体" w:cs="宋体"/>
          <w:color w:val="auto"/>
          <w:sz w:val="24"/>
          <w:szCs w:val="24"/>
          <w:lang w:val="en-US" w:eastAsia="zh-CN"/>
        </w:rPr>
        <w:t>1</w:t>
      </w:r>
      <w:r>
        <w:rPr>
          <w:rFonts w:hint="eastAsia" w:ascii="宋体" w:hAnsi="宋体" w:cs="宋体"/>
          <w:color w:val="auto"/>
          <w:sz w:val="24"/>
          <w:szCs w:val="24"/>
        </w:rPr>
        <w:t>份（Word版响应文件）</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以电报、传真、电子邮件形式递交的投标文件将不予接受。</w:t>
      </w:r>
    </w:p>
    <w:p w14:paraId="6D6E5FC0">
      <w:pPr>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19</w:t>
      </w:r>
      <w:r>
        <w:rPr>
          <w:rFonts w:hint="eastAsia" w:ascii="宋体" w:hAnsi="宋体" w:eastAsia="宋体" w:cs="宋体"/>
          <w:b/>
          <w:bCs/>
          <w:color w:val="auto"/>
          <w:kern w:val="2"/>
          <w:sz w:val="24"/>
          <w:szCs w:val="24"/>
          <w:highlight w:val="none"/>
          <w:lang w:val="en-US" w:eastAsia="zh-CN" w:bidi="ar-SA"/>
        </w:rPr>
        <w:t>、竞争性磋商响应文件的修改与撤回</w:t>
      </w:r>
      <w:bookmarkEnd w:id="122"/>
      <w:bookmarkEnd w:id="123"/>
      <w:bookmarkEnd w:id="124"/>
      <w:bookmarkEnd w:id="125"/>
    </w:p>
    <w:p w14:paraId="61C23B91">
      <w:pPr>
        <w:spacing w:line="360" w:lineRule="auto"/>
        <w:ind w:firstLine="480" w:firstLineChars="200"/>
        <w:outlineLvl w:val="9"/>
        <w:rPr>
          <w:rFonts w:hint="eastAsia" w:ascii="宋体" w:hAnsi="宋体" w:cs="宋体"/>
          <w:color w:val="auto"/>
          <w:sz w:val="24"/>
          <w:szCs w:val="24"/>
        </w:rPr>
      </w:pPr>
      <w:bookmarkStart w:id="126" w:name="_Toc179632577"/>
      <w:bookmarkStart w:id="127" w:name="_Toc510859690"/>
      <w:bookmarkStart w:id="128" w:name="_Toc152042335"/>
      <w:bookmarkStart w:id="129" w:name="_Toc152045559"/>
      <w:bookmarkStart w:id="130" w:name="_Toc513557031"/>
      <w:bookmarkStart w:id="131" w:name="_Toc510859896"/>
      <w:bookmarkStart w:id="132" w:name="_Toc144974527"/>
      <w:bookmarkStart w:id="133" w:name="_Toc363119282"/>
      <w:bookmarkStart w:id="134" w:name="_Toc17633"/>
      <w:bookmarkStart w:id="135" w:name="_Toc27216"/>
      <w:bookmarkStart w:id="136" w:name="_Toc23404"/>
      <w:bookmarkStart w:id="137" w:name="_Toc13549"/>
      <w:r>
        <w:rPr>
          <w:rFonts w:hint="eastAsia" w:ascii="宋体" w:hAnsi="宋体" w:cs="宋体"/>
          <w:color w:val="auto"/>
          <w:sz w:val="24"/>
          <w:szCs w:val="24"/>
          <w:lang w:val="en-US" w:eastAsia="zh-CN"/>
        </w:rPr>
        <w:t>19</w:t>
      </w:r>
      <w:r>
        <w:rPr>
          <w:rFonts w:hint="eastAsia" w:ascii="宋体" w:hAnsi="宋体" w:cs="宋体"/>
          <w:color w:val="auto"/>
          <w:sz w:val="24"/>
          <w:szCs w:val="24"/>
        </w:rPr>
        <w:t>.1 供应商在</w:t>
      </w:r>
      <w:r>
        <w:rPr>
          <w:rFonts w:hint="eastAsia" w:ascii="宋体" w:hAnsi="宋体" w:cs="宋体"/>
          <w:color w:val="auto"/>
          <w:sz w:val="24"/>
          <w:szCs w:val="24"/>
          <w:lang w:val="en-US" w:eastAsia="zh-CN"/>
        </w:rPr>
        <w:t>磋商</w:t>
      </w:r>
      <w:r>
        <w:rPr>
          <w:rFonts w:hint="eastAsia" w:ascii="宋体" w:hAnsi="宋体" w:cs="宋体"/>
          <w:color w:val="auto"/>
          <w:sz w:val="24"/>
          <w:szCs w:val="24"/>
        </w:rPr>
        <w:t>截止时间前，可以对所递交的</w:t>
      </w:r>
      <w:r>
        <w:rPr>
          <w:rFonts w:hint="eastAsia" w:ascii="宋体" w:hAnsi="宋体" w:cs="宋体"/>
          <w:color w:val="auto"/>
          <w:sz w:val="24"/>
          <w:szCs w:val="24"/>
          <w:lang w:val="en-US" w:eastAsia="zh-CN"/>
        </w:rPr>
        <w:t>磋商</w:t>
      </w:r>
      <w:r>
        <w:rPr>
          <w:rFonts w:hint="eastAsia" w:ascii="宋体" w:hAnsi="宋体" w:cs="宋体"/>
          <w:color w:val="auto"/>
          <w:sz w:val="24"/>
          <w:szCs w:val="24"/>
        </w:rPr>
        <w:t>响应文件进行补充、修改或者撤回，并书面通知采购代理机构。补充、修改的内容应当按</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文件要求签署、盖章，并作为</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响应文件的组成部分。</w:t>
      </w:r>
    </w:p>
    <w:p w14:paraId="3014CDAB">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outlineLvl w:val="9"/>
        <w:rPr>
          <w:rFonts w:hint="default" w:eastAsia="黑体"/>
          <w:color w:val="auto"/>
          <w:sz w:val="24"/>
          <w:szCs w:val="24"/>
          <w:lang w:val="en-US" w:eastAsia="zh-CN"/>
        </w:rPr>
      </w:pPr>
      <w:r>
        <w:rPr>
          <w:rFonts w:hint="eastAsia" w:ascii="宋体" w:hAnsi="宋体" w:cs="宋体"/>
          <w:color w:val="auto"/>
          <w:sz w:val="24"/>
          <w:szCs w:val="24"/>
          <w:lang w:val="en-US" w:eastAsia="zh-CN"/>
        </w:rPr>
        <w:t>19.2</w:t>
      </w:r>
      <w:r>
        <w:rPr>
          <w:rFonts w:hint="eastAsia" w:ascii="宋体" w:hAnsi="宋体" w:eastAsia="宋体" w:cs="宋体"/>
          <w:color w:val="auto"/>
          <w:kern w:val="2"/>
          <w:sz w:val="24"/>
          <w:szCs w:val="24"/>
          <w:highlight w:val="none"/>
          <w:lang w:val="en-US" w:eastAsia="zh-CN" w:bidi="ar-SA"/>
        </w:rPr>
        <w:t>当修改的内容影响投标文件编制时，将在交易平台上同步发布答疑文件，此时供应商应从“项目流程·〉答疑文件下载”下载最新发布的答疑文件（*.SXSCF格式），</w:t>
      </w:r>
      <w:r>
        <w:rPr>
          <w:rFonts w:hint="eastAsia" w:ascii="宋体" w:hAnsi="宋体" w:eastAsia="宋体" w:cs="宋体"/>
          <w:color w:val="auto"/>
          <w:kern w:val="2"/>
          <w:sz w:val="24"/>
          <w:szCs w:val="24"/>
          <w:lang w:val="en-US" w:eastAsia="zh-CN" w:bidi="ar-SA"/>
        </w:rPr>
        <w:t>并使用该文件重新编制电子投标文件（*.SXSTF格式），使用旧版电子招标文件或旧版答疑文件制作的电子投标文件，系统将拒绝接收。</w:t>
      </w:r>
    </w:p>
    <w:p w14:paraId="3C54A659">
      <w:pPr>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lang w:val="en-US" w:eastAsia="zh-CN"/>
        </w:rPr>
        <w:t>19</w:t>
      </w: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磋商</w:t>
      </w:r>
      <w:r>
        <w:rPr>
          <w:rFonts w:hint="eastAsia" w:ascii="宋体" w:hAnsi="宋体" w:cs="宋体"/>
          <w:color w:val="auto"/>
          <w:sz w:val="24"/>
          <w:szCs w:val="24"/>
        </w:rPr>
        <w:t>截</w:t>
      </w:r>
      <w:r>
        <w:rPr>
          <w:rFonts w:hint="eastAsia" w:ascii="宋体" w:hAnsi="宋体" w:eastAsia="宋体" w:cs="宋体"/>
          <w:color w:val="auto"/>
          <w:sz w:val="24"/>
          <w:szCs w:val="24"/>
        </w:rPr>
        <w:t>止时间后，供应商不得对</w:t>
      </w:r>
      <w:r>
        <w:rPr>
          <w:rFonts w:hint="eastAsia" w:ascii="宋体" w:hAnsi="宋体" w:cs="宋体"/>
          <w:color w:val="auto"/>
          <w:sz w:val="24"/>
          <w:szCs w:val="24"/>
        </w:rPr>
        <w:t>其</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响应文件做任何修改。</w:t>
      </w:r>
    </w:p>
    <w:p w14:paraId="6F923EB9">
      <w:pPr>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lang w:val="en-US" w:eastAsia="zh-CN"/>
        </w:rPr>
        <w:t>19</w:t>
      </w: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 xml:space="preserve"> 从</w:t>
      </w:r>
      <w:r>
        <w:rPr>
          <w:rFonts w:hint="eastAsia" w:ascii="宋体" w:hAnsi="宋体" w:cs="宋体"/>
          <w:color w:val="auto"/>
          <w:sz w:val="24"/>
          <w:szCs w:val="24"/>
          <w:lang w:val="en-US" w:eastAsia="zh-CN"/>
        </w:rPr>
        <w:t>磋商</w:t>
      </w:r>
      <w:r>
        <w:rPr>
          <w:rFonts w:hint="eastAsia" w:ascii="宋体" w:hAnsi="宋体" w:cs="宋体"/>
          <w:color w:val="auto"/>
          <w:sz w:val="24"/>
          <w:szCs w:val="24"/>
        </w:rPr>
        <w:t>截止期至供应商在</w:t>
      </w:r>
      <w:r>
        <w:rPr>
          <w:rFonts w:hint="eastAsia" w:ascii="宋体" w:hAnsi="宋体" w:cs="宋体"/>
          <w:color w:val="auto"/>
          <w:sz w:val="24"/>
          <w:szCs w:val="24"/>
          <w:lang w:val="en-US" w:eastAsia="zh-CN"/>
        </w:rPr>
        <w:t>磋商响应</w:t>
      </w:r>
      <w:r>
        <w:rPr>
          <w:rFonts w:hint="eastAsia" w:ascii="宋体" w:hAnsi="宋体" w:cs="宋体"/>
          <w:color w:val="auto"/>
          <w:sz w:val="24"/>
          <w:szCs w:val="24"/>
        </w:rPr>
        <w:t>函格式中确定的</w:t>
      </w:r>
      <w:r>
        <w:rPr>
          <w:rFonts w:hint="eastAsia" w:ascii="宋体" w:hAnsi="宋体" w:cs="宋体"/>
          <w:color w:val="auto"/>
          <w:sz w:val="24"/>
          <w:szCs w:val="24"/>
          <w:lang w:val="en-US" w:eastAsia="zh-CN"/>
        </w:rPr>
        <w:t>磋商</w:t>
      </w:r>
      <w:r>
        <w:rPr>
          <w:rFonts w:hint="eastAsia" w:ascii="宋体" w:hAnsi="宋体" w:cs="宋体"/>
          <w:color w:val="auto"/>
          <w:sz w:val="24"/>
          <w:szCs w:val="24"/>
        </w:rPr>
        <w:t>有效期之间，供应商不得撤销其</w:t>
      </w:r>
      <w:r>
        <w:rPr>
          <w:rFonts w:hint="eastAsia" w:ascii="宋体" w:hAnsi="宋体" w:cs="宋体"/>
          <w:color w:val="auto"/>
          <w:sz w:val="24"/>
          <w:szCs w:val="24"/>
          <w:lang w:val="en-US" w:eastAsia="zh-CN"/>
        </w:rPr>
        <w:t>磋商</w:t>
      </w:r>
      <w:r>
        <w:rPr>
          <w:rFonts w:hint="eastAsia" w:ascii="宋体" w:hAnsi="宋体" w:cs="宋体"/>
          <w:color w:val="auto"/>
          <w:sz w:val="24"/>
          <w:szCs w:val="24"/>
        </w:rPr>
        <w:t>，否则</w:t>
      </w:r>
      <w:r>
        <w:rPr>
          <w:rFonts w:hint="eastAsia" w:ascii="宋体" w:hAnsi="宋体" w:cs="宋体"/>
          <w:color w:val="auto"/>
          <w:sz w:val="24"/>
          <w:szCs w:val="24"/>
          <w:lang w:val="en-US" w:eastAsia="zh-CN"/>
        </w:rPr>
        <w:t>按照投标信用承诺书有关规定执行</w:t>
      </w:r>
      <w:r>
        <w:rPr>
          <w:rFonts w:hint="eastAsia" w:ascii="宋体" w:hAnsi="宋体" w:cs="宋体"/>
          <w:color w:val="auto"/>
          <w:sz w:val="24"/>
          <w:szCs w:val="24"/>
        </w:rPr>
        <w:t>。</w:t>
      </w:r>
    </w:p>
    <w:p w14:paraId="5BCBFA8A">
      <w:pPr>
        <w:pStyle w:val="43"/>
        <w:spacing w:line="240" w:lineRule="auto"/>
        <w:ind w:firstLine="482" w:firstLineChars="200"/>
        <w:outlineLvl w:val="9"/>
        <w:rPr>
          <w:rFonts w:asciiTheme="minorEastAsia" w:hAnsiTheme="minorEastAsia" w:eastAsiaTheme="minorEastAsia" w:cstheme="minorEastAsia"/>
          <w:b/>
          <w:color w:val="auto"/>
          <w:sz w:val="24"/>
          <w:szCs w:val="24"/>
        </w:rPr>
      </w:pPr>
      <w:bookmarkStart w:id="138" w:name="_Toc16899"/>
      <w:bookmarkStart w:id="139" w:name="_Toc22473"/>
      <w:bookmarkStart w:id="140" w:name="_Toc1674"/>
      <w:bookmarkStart w:id="141" w:name="_Toc15284"/>
      <w:bookmarkStart w:id="142" w:name="_Toc22772"/>
      <w:r>
        <w:rPr>
          <w:rFonts w:hint="eastAsia" w:asciiTheme="minorEastAsia" w:hAnsiTheme="minorEastAsia" w:eastAsiaTheme="minorEastAsia" w:cstheme="minorEastAsia"/>
          <w:b/>
          <w:color w:val="auto"/>
          <w:sz w:val="24"/>
          <w:szCs w:val="24"/>
        </w:rPr>
        <w:t>5. 磋商</w:t>
      </w:r>
      <w:bookmarkEnd w:id="126"/>
      <w:bookmarkEnd w:id="127"/>
      <w:bookmarkEnd w:id="128"/>
      <w:bookmarkEnd w:id="129"/>
      <w:bookmarkEnd w:id="130"/>
      <w:bookmarkEnd w:id="131"/>
      <w:bookmarkEnd w:id="132"/>
      <w:bookmarkEnd w:id="133"/>
      <w:bookmarkEnd w:id="134"/>
      <w:r>
        <w:rPr>
          <w:rFonts w:hAnsi="宋体"/>
          <w:b/>
          <w:color w:val="auto"/>
          <w:sz w:val="24"/>
          <w:szCs w:val="24"/>
        </w:rPr>
        <w:t>与评标</w:t>
      </w:r>
      <w:bookmarkEnd w:id="135"/>
      <w:bookmarkEnd w:id="136"/>
      <w:bookmarkEnd w:id="137"/>
      <w:bookmarkEnd w:id="138"/>
      <w:bookmarkEnd w:id="139"/>
      <w:bookmarkEnd w:id="140"/>
      <w:bookmarkEnd w:id="141"/>
      <w:bookmarkEnd w:id="142"/>
    </w:p>
    <w:p w14:paraId="7FC5B218">
      <w:pPr>
        <w:spacing w:line="240" w:lineRule="auto"/>
        <w:outlineLvl w:val="9"/>
        <w:rPr>
          <w:rFonts w:ascii="宋体" w:hAnsi="宋体" w:cs="宋体"/>
          <w:color w:val="auto"/>
          <w:sz w:val="24"/>
          <w:szCs w:val="24"/>
        </w:rPr>
      </w:pPr>
      <w:bookmarkStart w:id="143" w:name="_Toc152045560"/>
      <w:bookmarkStart w:id="144" w:name="_Toc152042336"/>
      <w:bookmarkStart w:id="145" w:name="_Toc179632578"/>
      <w:bookmarkStart w:id="146" w:name="_Toc144974528"/>
      <w:r>
        <w:rPr>
          <w:rFonts w:hint="eastAsia" w:ascii="宋体" w:hAnsi="宋体" w:cs="宋体"/>
          <w:color w:val="auto"/>
          <w:sz w:val="24"/>
          <w:szCs w:val="24"/>
          <w:lang w:val="en-US" w:eastAsia="zh-CN"/>
        </w:rPr>
        <w:t>20</w:t>
      </w:r>
      <w:r>
        <w:rPr>
          <w:rFonts w:hint="eastAsia" w:ascii="宋体" w:hAnsi="宋体" w:cs="宋体"/>
          <w:color w:val="auto"/>
          <w:sz w:val="24"/>
          <w:szCs w:val="24"/>
        </w:rPr>
        <w:t>、</w:t>
      </w:r>
      <w:bookmarkEnd w:id="143"/>
      <w:bookmarkEnd w:id="144"/>
      <w:bookmarkEnd w:id="145"/>
      <w:bookmarkEnd w:id="146"/>
      <w:r>
        <w:rPr>
          <w:rFonts w:hint="eastAsia" w:ascii="宋体" w:hAnsi="宋体" w:cs="宋体"/>
          <w:color w:val="auto"/>
          <w:sz w:val="24"/>
          <w:szCs w:val="24"/>
        </w:rPr>
        <w:t>竞争性磋商会议时间和地点</w:t>
      </w:r>
    </w:p>
    <w:p w14:paraId="11CF65F4">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采购代理机构</w:t>
      </w:r>
      <w:r>
        <w:rPr>
          <w:rFonts w:hint="eastAsia" w:asciiTheme="minorEastAsia" w:hAnsiTheme="minorEastAsia" w:eastAsiaTheme="minorEastAsia" w:cstheme="minorEastAsia"/>
          <w:color w:val="auto"/>
          <w:sz w:val="24"/>
          <w:szCs w:val="24"/>
        </w:rPr>
        <w:t>在规定的磋商截止时间（磋商时间）和供应商须知前附表规定组织竞争性磋商，磋商时所有供应商代表自愿参加，参加磋商的代表应签</w:t>
      </w:r>
      <w:r>
        <w:rPr>
          <w:rFonts w:hint="eastAsia" w:asciiTheme="minorEastAsia" w:hAnsiTheme="minorEastAsia" w:eastAsiaTheme="minorEastAsia" w:cstheme="minorEastAsia"/>
          <w:color w:val="auto"/>
          <w:sz w:val="24"/>
          <w:szCs w:val="24"/>
          <w:lang w:val="en-US" w:eastAsia="zh-CN"/>
        </w:rPr>
        <w:t>到</w:t>
      </w:r>
      <w:r>
        <w:rPr>
          <w:rFonts w:hint="eastAsia" w:asciiTheme="minorEastAsia" w:hAnsiTheme="minorEastAsia" w:eastAsiaTheme="minorEastAsia" w:cstheme="minorEastAsia"/>
          <w:color w:val="auto"/>
          <w:sz w:val="24"/>
          <w:szCs w:val="24"/>
        </w:rPr>
        <w:t>。</w:t>
      </w:r>
    </w:p>
    <w:p w14:paraId="40E6850E">
      <w:pPr>
        <w:adjustRightInd w:val="0"/>
        <w:snapToGrid w:val="0"/>
        <w:spacing w:line="360" w:lineRule="auto"/>
        <w:ind w:firstLine="480" w:firstLineChars="200"/>
        <w:outlineLvl w:val="9"/>
        <w:rPr>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采购代理机构</w:t>
      </w:r>
      <w:r>
        <w:rPr>
          <w:rFonts w:hint="eastAsia" w:asciiTheme="minorEastAsia" w:hAnsiTheme="minorEastAsia" w:eastAsiaTheme="minorEastAsia" w:cstheme="minorEastAsia"/>
          <w:color w:val="auto"/>
          <w:sz w:val="24"/>
          <w:szCs w:val="24"/>
        </w:rPr>
        <w:t>将做磋商记录，存档备查。</w:t>
      </w:r>
    </w:p>
    <w:p w14:paraId="78793136">
      <w:pPr>
        <w:pStyle w:val="44"/>
        <w:adjustRightInd w:val="0"/>
        <w:snapToGrid w:val="0"/>
        <w:spacing w:line="360" w:lineRule="auto"/>
        <w:outlineLvl w:val="9"/>
        <w:rPr>
          <w:rFonts w:ascii="宋体" w:hAnsi="宋体" w:eastAsia="宋体"/>
          <w:b/>
          <w:color w:val="auto"/>
          <w:sz w:val="24"/>
          <w:szCs w:val="24"/>
        </w:rPr>
      </w:pPr>
      <w:bookmarkStart w:id="147" w:name="_Toc152042337"/>
      <w:bookmarkStart w:id="148" w:name="_Toc152045561"/>
      <w:bookmarkStart w:id="149" w:name="_Toc179632579"/>
      <w:bookmarkStart w:id="150" w:name="_Toc144974529"/>
      <w:r>
        <w:rPr>
          <w:rFonts w:hint="eastAsia" w:ascii="宋体" w:hAnsi="宋体" w:eastAsia="宋体"/>
          <w:b/>
          <w:color w:val="auto"/>
          <w:sz w:val="24"/>
          <w:szCs w:val="24"/>
          <w:lang w:val="en-US" w:eastAsia="zh-CN"/>
        </w:rPr>
        <w:t>21</w:t>
      </w:r>
      <w:r>
        <w:rPr>
          <w:rFonts w:hint="eastAsia" w:ascii="宋体" w:hAnsi="宋体" w:eastAsia="宋体"/>
          <w:b/>
          <w:color w:val="auto"/>
          <w:sz w:val="24"/>
          <w:szCs w:val="24"/>
        </w:rPr>
        <w:t>、磋商程序</w:t>
      </w:r>
      <w:bookmarkEnd w:id="147"/>
      <w:bookmarkEnd w:id="148"/>
      <w:bookmarkEnd w:id="149"/>
      <w:bookmarkEnd w:id="150"/>
    </w:p>
    <w:p w14:paraId="43A2E0E0">
      <w:pPr>
        <w:spacing w:line="360" w:lineRule="auto"/>
        <w:ind w:firstLine="480" w:firstLineChars="200"/>
        <w:outlineLvl w:val="9"/>
        <w:rPr>
          <w:rFonts w:hint="eastAsia" w:ascii="宋体" w:hAnsi="宋体" w:cs="宋体"/>
          <w:color w:val="auto"/>
          <w:sz w:val="24"/>
          <w:szCs w:val="24"/>
        </w:rPr>
      </w:pPr>
      <w:bookmarkStart w:id="151" w:name="_Toc152045562"/>
      <w:bookmarkStart w:id="152" w:name="_Toc179632580"/>
      <w:bookmarkStart w:id="153" w:name="_Toc144974530"/>
      <w:bookmarkStart w:id="154" w:name="_Toc152042338"/>
      <w:r>
        <w:rPr>
          <w:rFonts w:hint="eastAsia" w:ascii="宋体" w:hAnsi="宋体" w:cs="宋体"/>
          <w:color w:val="auto"/>
          <w:sz w:val="24"/>
          <w:szCs w:val="24"/>
        </w:rPr>
        <w:t>2</w:t>
      </w:r>
      <w:r>
        <w:rPr>
          <w:rFonts w:hint="eastAsia" w:ascii="宋体" w:hAnsi="宋体" w:cs="宋体"/>
          <w:color w:val="auto"/>
          <w:sz w:val="24"/>
          <w:szCs w:val="24"/>
          <w:lang w:val="en-US" w:eastAsia="zh-CN"/>
        </w:rPr>
        <w:t>1</w:t>
      </w:r>
      <w:r>
        <w:rPr>
          <w:rFonts w:hint="eastAsia" w:ascii="宋体" w:hAnsi="宋体" w:cs="宋体"/>
          <w:color w:val="auto"/>
          <w:sz w:val="24"/>
          <w:szCs w:val="24"/>
        </w:rPr>
        <w:t>.1 采购代理机构在规定的时间和地点组织</w:t>
      </w:r>
      <w:r>
        <w:rPr>
          <w:rFonts w:hint="eastAsia" w:ascii="宋体" w:hAnsi="宋体" w:cs="宋体"/>
          <w:color w:val="auto"/>
          <w:sz w:val="24"/>
          <w:szCs w:val="24"/>
          <w:lang w:val="en-US" w:eastAsia="zh-CN"/>
        </w:rPr>
        <w:t>磋商</w:t>
      </w:r>
      <w:r>
        <w:rPr>
          <w:rFonts w:hint="eastAsia" w:ascii="宋体" w:hAnsi="宋体" w:cs="宋体"/>
          <w:color w:val="auto"/>
          <w:sz w:val="24"/>
          <w:szCs w:val="24"/>
        </w:rPr>
        <w:t>。</w:t>
      </w:r>
      <w:r>
        <w:rPr>
          <w:rFonts w:hint="eastAsia" w:ascii="思源宋体 CN Light" w:hAnsi="思源宋体 CN Light" w:eastAsia="思源宋体 CN Light" w:cs="思源宋体 CN Light"/>
          <w:color w:val="auto"/>
          <w:sz w:val="24"/>
          <w:szCs w:val="24"/>
        </w:rPr>
        <w:t>各供应商</w:t>
      </w:r>
      <w:r>
        <w:rPr>
          <w:rFonts w:hint="eastAsia" w:ascii="思源宋体 CN Light" w:hAnsi="思源宋体 CN Light" w:eastAsia="思源宋体 CN Light" w:cs="思源宋体 CN Light"/>
          <w:color w:val="auto"/>
          <w:sz w:val="24"/>
          <w:szCs w:val="24"/>
          <w:lang w:val="en-US" w:eastAsia="zh-CN"/>
        </w:rPr>
        <w:t>在开标截止时间前</w:t>
      </w:r>
      <w:r>
        <w:rPr>
          <w:rFonts w:hint="eastAsia" w:ascii="思源宋体 CN Light" w:hAnsi="思源宋体 CN Light" w:eastAsia="思源宋体 CN Light" w:cs="思源宋体 CN Light"/>
          <w:color w:val="auto"/>
          <w:sz w:val="24"/>
          <w:szCs w:val="24"/>
        </w:rPr>
        <w:t>至少提前</w:t>
      </w:r>
      <w:r>
        <w:rPr>
          <w:rFonts w:hint="eastAsia" w:ascii="思源宋体 CN Light" w:hAnsi="思源宋体 CN Light" w:eastAsia="思源宋体 CN Light" w:cs="思源宋体 CN Light"/>
          <w:color w:val="auto"/>
          <w:sz w:val="24"/>
          <w:szCs w:val="24"/>
          <w:lang w:val="en-US" w:eastAsia="zh-CN"/>
        </w:rPr>
        <w:t>一</w:t>
      </w:r>
      <w:r>
        <w:rPr>
          <w:rFonts w:hint="eastAsia" w:ascii="思源宋体 CN Light" w:hAnsi="思源宋体 CN Light" w:eastAsia="思源宋体 CN Light" w:cs="思源宋体 CN Light"/>
          <w:color w:val="auto"/>
          <w:sz w:val="24"/>
          <w:szCs w:val="24"/>
        </w:rPr>
        <w:t>小时</w:t>
      </w:r>
      <w:r>
        <w:rPr>
          <w:rFonts w:hint="eastAsia" w:ascii="思源宋体 CN Light" w:hAnsi="思源宋体 CN Light" w:eastAsia="思源宋体 CN Light" w:cs="思源宋体 CN Light"/>
          <w:color w:val="auto"/>
          <w:sz w:val="24"/>
          <w:szCs w:val="24"/>
          <w:lang w:val="en-US" w:eastAsia="zh-CN"/>
        </w:rPr>
        <w:t>内</w:t>
      </w:r>
      <w:r>
        <w:rPr>
          <w:rFonts w:hint="eastAsia" w:ascii="思源宋体 CN Light" w:hAnsi="思源宋体 CN Light" w:eastAsia="思源宋体 CN Light" w:cs="思源宋体 CN Light"/>
          <w:color w:val="auto"/>
          <w:sz w:val="24"/>
          <w:szCs w:val="24"/>
        </w:rPr>
        <w:t>登录“不见面”开标系统</w:t>
      </w:r>
      <w:r>
        <w:rPr>
          <w:rFonts w:hint="eastAsia" w:ascii="思源宋体 CN Light" w:hAnsi="思源宋体 CN Light" w:eastAsia="思源宋体 CN Light" w:cs="思源宋体 CN Light"/>
          <w:color w:val="auto"/>
          <w:sz w:val="24"/>
          <w:szCs w:val="24"/>
          <w:lang w:val="en-US" w:eastAsia="zh-CN"/>
        </w:rPr>
        <w:t>登录，供应商应</w:t>
      </w:r>
      <w:r>
        <w:rPr>
          <w:rFonts w:hint="eastAsia" w:ascii="思源宋体 CN Light" w:hAnsi="思源宋体 CN Light" w:eastAsia="思源宋体 CN Light" w:cs="思源宋体 CN Light"/>
          <w:color w:val="auto"/>
          <w:sz w:val="24"/>
          <w:szCs w:val="24"/>
        </w:rPr>
        <w:t>按要求及时签到</w:t>
      </w:r>
      <w:r>
        <w:rPr>
          <w:rFonts w:hint="eastAsia" w:ascii="思源宋体 CN Light" w:hAnsi="思源宋体 CN Light" w:eastAsia="思源宋体 CN Light" w:cs="思源宋体 CN Light"/>
          <w:b/>
          <w:bCs/>
          <w:color w:val="auto"/>
          <w:sz w:val="24"/>
          <w:szCs w:val="24"/>
          <w:lang w:val="en-US" w:eastAsia="zh-CN"/>
        </w:rPr>
        <w:t>（签到时间为投标截止时间前1小时内，如果未签到将视为放弃投标资格），</w:t>
      </w:r>
      <w:r>
        <w:rPr>
          <w:rFonts w:hint="eastAsia" w:ascii="思源宋体 CN Light" w:hAnsi="思源宋体 CN Light" w:eastAsia="思源宋体 CN Light" w:cs="思源宋体 CN Light"/>
          <w:color w:val="auto"/>
          <w:sz w:val="24"/>
          <w:szCs w:val="24"/>
        </w:rPr>
        <w:t>评审过程中，</w:t>
      </w:r>
      <w:r>
        <w:rPr>
          <w:rFonts w:hint="eastAsia" w:ascii="思源宋体 CN Light" w:hAnsi="思源宋体 CN Light" w:eastAsia="思源宋体 CN Light" w:cs="思源宋体 CN Light"/>
          <w:color w:val="auto"/>
          <w:sz w:val="24"/>
          <w:szCs w:val="24"/>
          <w:lang w:val="en-US" w:eastAsia="zh-CN"/>
        </w:rPr>
        <w:t>磋商小组</w:t>
      </w:r>
      <w:r>
        <w:rPr>
          <w:rFonts w:hint="eastAsia" w:ascii="思源宋体 CN Light" w:hAnsi="思源宋体 CN Light" w:eastAsia="思源宋体 CN Light" w:cs="思源宋体 CN Light"/>
          <w:color w:val="auto"/>
          <w:sz w:val="24"/>
          <w:szCs w:val="24"/>
        </w:rPr>
        <w:t>可能会就某些问题要求供应商进行在线澄清</w:t>
      </w:r>
      <w:r>
        <w:rPr>
          <w:rFonts w:hint="eastAsia" w:ascii="思源宋体 CN Light" w:hAnsi="思源宋体 CN Light" w:eastAsia="思源宋体 CN Light" w:cs="思源宋体 CN Light"/>
          <w:color w:val="auto"/>
          <w:sz w:val="24"/>
          <w:szCs w:val="24"/>
          <w:lang w:eastAsia="zh-CN"/>
        </w:rPr>
        <w:t>，</w:t>
      </w:r>
      <w:r>
        <w:rPr>
          <w:rFonts w:hint="eastAsia" w:ascii="思源宋体 CN Light" w:hAnsi="思源宋体 CN Light" w:eastAsia="思源宋体 CN Light" w:cs="思源宋体 CN Light"/>
          <w:color w:val="auto"/>
          <w:sz w:val="24"/>
          <w:szCs w:val="24"/>
          <w:lang w:val="en-US" w:eastAsia="zh-CN"/>
        </w:rPr>
        <w:t>请供应商</w:t>
      </w:r>
      <w:r>
        <w:rPr>
          <w:rFonts w:hint="eastAsia" w:ascii="思源宋体 CN Light" w:hAnsi="思源宋体 CN Light" w:eastAsia="思源宋体 CN Light" w:cs="思源宋体 CN Light"/>
          <w:color w:val="auto"/>
          <w:sz w:val="24"/>
          <w:szCs w:val="24"/>
        </w:rPr>
        <w:t>保持在线直到评审结束；</w:t>
      </w:r>
    </w:p>
    <w:p w14:paraId="462DC67E">
      <w:pPr>
        <w:spacing w:line="360" w:lineRule="auto"/>
        <w:ind w:firstLine="480" w:firstLineChars="200"/>
        <w:outlineLvl w:val="9"/>
        <w:rPr>
          <w:rFonts w:hint="eastAsia" w:ascii="思源宋体 CN Light" w:hAnsi="思源宋体 CN Light" w:eastAsia="思源宋体 CN Light" w:cs="思源宋体 CN Light"/>
          <w:color w:val="auto"/>
          <w:sz w:val="24"/>
          <w:szCs w:val="24"/>
          <w:lang w:val="en-US" w:eastAsia="zh-CN"/>
        </w:rPr>
      </w:pPr>
      <w:r>
        <w:rPr>
          <w:rFonts w:hint="eastAsia" w:ascii="宋体" w:hAnsi="宋体" w:cs="宋体"/>
          <w:color w:val="auto"/>
          <w:sz w:val="24"/>
          <w:szCs w:val="24"/>
          <w:lang w:val="en-US" w:eastAsia="zh-CN"/>
        </w:rPr>
        <w:t>22.</w:t>
      </w:r>
      <w:r>
        <w:rPr>
          <w:rFonts w:hint="eastAsia" w:ascii="思源宋体 CN Light" w:hAnsi="思源宋体 CN Light" w:eastAsia="思源宋体 CN Light" w:cs="思源宋体 CN Light"/>
          <w:color w:val="auto"/>
          <w:sz w:val="24"/>
          <w:szCs w:val="24"/>
          <w:lang w:val="en-US" w:eastAsia="zh-CN"/>
        </w:rPr>
        <w:t>2</w:t>
      </w:r>
      <w:r>
        <w:rPr>
          <w:rFonts w:hint="eastAsia" w:ascii="思源宋体 CN Light" w:hAnsi="思源宋体 CN Light" w:eastAsia="思源宋体 CN Light" w:cs="思源宋体 CN Light"/>
          <w:color w:val="auto"/>
          <w:sz w:val="24"/>
          <w:szCs w:val="24"/>
        </w:rPr>
        <w:t>宣读会议纪律</w:t>
      </w:r>
      <w:r>
        <w:rPr>
          <w:rFonts w:hint="eastAsia" w:ascii="思源宋体 CN Light" w:hAnsi="思源宋体 CN Light" w:eastAsia="思源宋体 CN Light" w:cs="思源宋体 CN Light"/>
          <w:color w:val="auto"/>
          <w:sz w:val="24"/>
          <w:szCs w:val="24"/>
          <w:lang w:eastAsia="zh-CN"/>
        </w:rPr>
        <w:t>；</w:t>
      </w:r>
    </w:p>
    <w:p w14:paraId="39052D28">
      <w:pPr>
        <w:spacing w:line="360" w:lineRule="auto"/>
        <w:ind w:firstLine="480" w:firstLineChars="200"/>
        <w:outlineLvl w:val="9"/>
        <w:rPr>
          <w:rFonts w:hint="eastAsia" w:ascii="思源宋体 CN Light" w:hAnsi="思源宋体 CN Light" w:eastAsia="思源宋体 CN Light" w:cs="思源宋体 CN Light"/>
          <w:color w:val="auto"/>
          <w:sz w:val="24"/>
          <w:szCs w:val="24"/>
          <w:lang w:val="en-US" w:eastAsia="zh-CN"/>
        </w:rPr>
      </w:pPr>
      <w:r>
        <w:rPr>
          <w:rFonts w:hint="eastAsia" w:ascii="宋体" w:hAnsi="宋体" w:cs="宋体"/>
          <w:color w:val="auto"/>
          <w:sz w:val="24"/>
          <w:szCs w:val="24"/>
          <w:lang w:val="en-US" w:eastAsia="zh-CN"/>
        </w:rPr>
        <w:t>22.3</w:t>
      </w:r>
      <w:r>
        <w:rPr>
          <w:rFonts w:hint="eastAsia" w:ascii="思源宋体 CN Light" w:hAnsi="思源宋体 CN Light" w:eastAsia="思源宋体 CN Light" w:cs="思源宋体 CN Light"/>
          <w:color w:val="auto"/>
          <w:sz w:val="24"/>
          <w:szCs w:val="24"/>
          <w:lang w:val="en-US" w:eastAsia="zh-CN"/>
        </w:rPr>
        <w:t>开</w:t>
      </w:r>
      <w:r>
        <w:rPr>
          <w:rFonts w:hint="eastAsia" w:ascii="思源宋体 CN Light" w:hAnsi="思源宋体 CN Light" w:eastAsia="思源宋体 CN Light" w:cs="思源宋体 CN Light"/>
          <w:color w:val="auto"/>
          <w:sz w:val="24"/>
          <w:szCs w:val="24"/>
        </w:rPr>
        <w:t>标过程中，供应商在收到工作人员“开始解密”指令后，请及时使用CA对电子投标文件进行解密。解密时所用CA应与加密投标文件时所用CA相同</w:t>
      </w:r>
      <w:r>
        <w:rPr>
          <w:rFonts w:hint="eastAsia" w:ascii="思源宋体 CN Light" w:hAnsi="思源宋体 CN Light" w:eastAsia="思源宋体 CN Light" w:cs="思源宋体 CN Light"/>
          <w:color w:val="auto"/>
          <w:sz w:val="24"/>
          <w:szCs w:val="24"/>
          <w:lang w:eastAsia="zh-CN"/>
        </w:rPr>
        <w:t>，</w:t>
      </w:r>
      <w:r>
        <w:rPr>
          <w:rFonts w:hint="eastAsia" w:ascii="思源宋体 CN Light" w:hAnsi="思源宋体 CN Light" w:eastAsia="思源宋体 CN Light" w:cs="思源宋体 CN Light"/>
          <w:color w:val="auto"/>
          <w:sz w:val="24"/>
          <w:szCs w:val="24"/>
          <w:lang w:val="en-US" w:eastAsia="zh-CN"/>
        </w:rPr>
        <w:t>解密时间为30分钟，在解密时间内供应商全部解密完成后，可提前进入开标下一阶段。</w:t>
      </w:r>
    </w:p>
    <w:p w14:paraId="62A7B659">
      <w:pPr>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磋商</w:t>
      </w:r>
      <w:r>
        <w:rPr>
          <w:rFonts w:hint="eastAsia" w:ascii="宋体" w:hAnsi="宋体" w:cs="宋体"/>
          <w:color w:val="auto"/>
          <w:sz w:val="24"/>
          <w:szCs w:val="24"/>
        </w:rPr>
        <w:t>有效供应商不足三家的，按照国家相关法律、法规及有关规定执行。</w:t>
      </w:r>
    </w:p>
    <w:p w14:paraId="5ECB5584">
      <w:pPr>
        <w:spacing w:line="360" w:lineRule="auto"/>
        <w:ind w:firstLine="480" w:firstLineChars="200"/>
        <w:outlineLvl w:val="9"/>
        <w:rPr>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 xml:space="preserve"> 采购代理机构将做开标记录，存档备查。</w:t>
      </w:r>
    </w:p>
    <w:p w14:paraId="4540202B">
      <w:pPr>
        <w:pStyle w:val="44"/>
        <w:adjustRightInd w:val="0"/>
        <w:snapToGrid w:val="0"/>
        <w:spacing w:line="360" w:lineRule="auto"/>
        <w:outlineLvl w:val="9"/>
        <w:rPr>
          <w:rFonts w:ascii="宋体" w:hAnsi="宋体" w:eastAsia="宋体"/>
          <w:b/>
          <w:color w:val="auto"/>
          <w:sz w:val="24"/>
          <w:szCs w:val="24"/>
        </w:rPr>
      </w:pPr>
      <w:r>
        <w:rPr>
          <w:rFonts w:hint="eastAsia" w:ascii="宋体" w:hAnsi="宋体" w:eastAsia="宋体"/>
          <w:b/>
          <w:color w:val="auto"/>
          <w:sz w:val="24"/>
          <w:szCs w:val="24"/>
        </w:rPr>
        <w:t>2</w:t>
      </w:r>
      <w:r>
        <w:rPr>
          <w:rFonts w:hint="eastAsia" w:ascii="宋体" w:hAnsi="宋体" w:eastAsia="宋体"/>
          <w:b/>
          <w:color w:val="auto"/>
          <w:sz w:val="24"/>
          <w:szCs w:val="24"/>
          <w:lang w:val="en-US" w:eastAsia="zh-CN"/>
        </w:rPr>
        <w:t>2</w:t>
      </w:r>
      <w:r>
        <w:rPr>
          <w:rFonts w:hint="eastAsia" w:ascii="宋体" w:hAnsi="宋体" w:eastAsia="宋体"/>
          <w:b/>
          <w:color w:val="auto"/>
          <w:sz w:val="24"/>
          <w:szCs w:val="24"/>
        </w:rPr>
        <w:t>、评审组织及评审原则</w:t>
      </w:r>
    </w:p>
    <w:p w14:paraId="6916B89E">
      <w:pPr>
        <w:spacing w:line="360" w:lineRule="auto"/>
        <w:ind w:firstLine="482" w:firstLineChars="200"/>
        <w:outlineLvl w:val="9"/>
        <w:rPr>
          <w:rFonts w:ascii="宋体" w:hAnsi="宋体" w:cs="宋体"/>
          <w:b/>
          <w:bCs/>
          <w:color w:val="auto"/>
          <w:sz w:val="24"/>
          <w:szCs w:val="24"/>
        </w:rPr>
      </w:pPr>
      <w:r>
        <w:rPr>
          <w:rFonts w:hint="eastAsia" w:ascii="宋体" w:hAnsi="宋体" w:cs="宋体"/>
          <w:b/>
          <w:bCs/>
          <w:color w:val="auto"/>
          <w:sz w:val="24"/>
          <w:szCs w:val="24"/>
        </w:rPr>
        <w:t>2</w:t>
      </w:r>
      <w:r>
        <w:rPr>
          <w:rFonts w:hint="eastAsia" w:ascii="宋体" w:hAnsi="宋体" w:cs="宋体"/>
          <w:b/>
          <w:bCs/>
          <w:color w:val="auto"/>
          <w:sz w:val="24"/>
          <w:szCs w:val="24"/>
          <w:lang w:val="en-US" w:eastAsia="zh-CN"/>
        </w:rPr>
        <w:t>2</w:t>
      </w:r>
      <w:r>
        <w:rPr>
          <w:rFonts w:hint="eastAsia" w:ascii="宋体" w:hAnsi="宋体" w:cs="宋体"/>
          <w:b/>
          <w:bCs/>
          <w:color w:val="auto"/>
          <w:sz w:val="24"/>
          <w:szCs w:val="24"/>
        </w:rPr>
        <w:t>.1磋商小组</w:t>
      </w:r>
    </w:p>
    <w:p w14:paraId="02DF4023">
      <w:pPr>
        <w:spacing w:line="360" w:lineRule="auto"/>
        <w:ind w:firstLine="480" w:firstLineChars="200"/>
        <w:outlineLvl w:val="9"/>
        <w:rPr>
          <w:rFonts w:ascii="宋体" w:hAnsi="宋体" w:cs="宋体"/>
          <w:color w:val="auto"/>
          <w:sz w:val="24"/>
          <w:szCs w:val="24"/>
        </w:rPr>
      </w:pPr>
      <w:r>
        <w:rPr>
          <w:rFonts w:hint="eastAsia" w:ascii="宋体" w:hAnsi="宋体" w:eastAsia="宋体" w:cs="宋体"/>
          <w:color w:val="auto"/>
          <w:sz w:val="24"/>
          <w:szCs w:val="24"/>
        </w:rPr>
        <w:t>按照《中华人民共和国政府采购法》、中华人民共和国财政部第</w:t>
      </w:r>
      <w:r>
        <w:rPr>
          <w:rFonts w:hint="eastAsia" w:ascii="宋体" w:hAnsi="宋体" w:eastAsia="宋体" w:cs="宋体"/>
          <w:color w:val="auto"/>
          <w:sz w:val="24"/>
          <w:szCs w:val="24"/>
          <w:lang w:val="en-US" w:eastAsia="zh-CN"/>
        </w:rPr>
        <w:t>87</w:t>
      </w:r>
      <w:r>
        <w:rPr>
          <w:rFonts w:hint="eastAsia" w:ascii="宋体" w:hAnsi="宋体" w:eastAsia="宋体" w:cs="宋体"/>
          <w:color w:val="auto"/>
          <w:sz w:val="24"/>
          <w:szCs w:val="24"/>
        </w:rPr>
        <w:t>号部长令--《政府采购货物和服务招标投标管理办法》和关于印发《政府采购竞争性磋商采购方式管理暂行办法》的通知财库【2014】214号，依法组建磋商小组。磋商小组由采购人代表和有关技术、经济等方面的专家组成，磋商小组按照竞争性磋商文件规定的评审方法独立进行评审工作。</w:t>
      </w:r>
    </w:p>
    <w:p w14:paraId="2DD8DED7">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.1.2 磋商小组成员有下列情形之一的，应当回避，已经进入的应当更换：</w:t>
      </w:r>
    </w:p>
    <w:p w14:paraId="4A91C592">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.1.2.1</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或供应商的主要负责人的近亲属；</w:t>
      </w:r>
    </w:p>
    <w:p w14:paraId="6EA64515">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.1.2.2项目主管部门或者行政监督部门的人员；</w:t>
      </w:r>
    </w:p>
    <w:p w14:paraId="517DFE67">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.1.2.3与供应商有经济利益关系，可能影响对投标公正评审的；</w:t>
      </w:r>
    </w:p>
    <w:p w14:paraId="5AE7DD11">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.1.2.4曾因在招标、评审以及其他与采购投标有关活动中从事违法行为而受过行政处罚或刑事处罚的。</w:t>
      </w:r>
    </w:p>
    <w:p w14:paraId="40408149">
      <w:pPr>
        <w:pStyle w:val="44"/>
        <w:tabs>
          <w:tab w:val="left" w:pos="2620"/>
        </w:tabs>
        <w:adjustRightInd w:val="0"/>
        <w:snapToGrid w:val="0"/>
        <w:spacing w:line="360" w:lineRule="auto"/>
        <w:ind w:firstLine="480" w:firstLineChars="200"/>
        <w:outlineLvl w:val="9"/>
        <w:rPr>
          <w:rFonts w:asciiTheme="minorEastAsia" w:hAnsiTheme="minorEastAsia" w:eastAsiaTheme="minorEastAsia" w:cstheme="minorEastAsia"/>
          <w:bCs w:val="0"/>
          <w:color w:val="auto"/>
          <w:sz w:val="24"/>
          <w:szCs w:val="24"/>
        </w:rPr>
      </w:pPr>
      <w:r>
        <w:rPr>
          <w:rFonts w:hint="eastAsia" w:asciiTheme="minorEastAsia" w:hAnsiTheme="minorEastAsia" w:eastAsiaTheme="minorEastAsia" w:cstheme="minorEastAsia"/>
          <w:bCs w:val="0"/>
          <w:color w:val="auto"/>
          <w:sz w:val="24"/>
          <w:szCs w:val="24"/>
        </w:rPr>
        <w:t>2</w:t>
      </w:r>
      <w:r>
        <w:rPr>
          <w:rFonts w:hint="eastAsia" w:asciiTheme="minorEastAsia" w:hAnsiTheme="minorEastAsia" w:eastAsiaTheme="minorEastAsia" w:cstheme="minorEastAsia"/>
          <w:bCs w:val="0"/>
          <w:color w:val="auto"/>
          <w:sz w:val="24"/>
          <w:szCs w:val="24"/>
          <w:lang w:val="en-US" w:eastAsia="zh-CN"/>
        </w:rPr>
        <w:t>2</w:t>
      </w:r>
      <w:r>
        <w:rPr>
          <w:rFonts w:hint="eastAsia" w:asciiTheme="minorEastAsia" w:hAnsiTheme="minorEastAsia" w:eastAsiaTheme="minorEastAsia" w:cstheme="minorEastAsia"/>
          <w:bCs w:val="0"/>
          <w:color w:val="auto"/>
          <w:sz w:val="24"/>
          <w:szCs w:val="24"/>
        </w:rPr>
        <w:t>.1.3</w:t>
      </w:r>
      <w:r>
        <w:rPr>
          <w:rFonts w:hint="eastAsia" w:asciiTheme="minorEastAsia" w:hAnsiTheme="minorEastAsia" w:eastAsiaTheme="minorEastAsia" w:cstheme="minorEastAsia"/>
          <w:bCs w:val="0"/>
          <w:color w:val="auto"/>
          <w:sz w:val="24"/>
          <w:szCs w:val="24"/>
          <w:lang w:eastAsia="zh-CN"/>
        </w:rPr>
        <w:t>磋商小组</w:t>
      </w:r>
      <w:r>
        <w:rPr>
          <w:rFonts w:hint="eastAsia" w:asciiTheme="minorEastAsia" w:hAnsiTheme="minorEastAsia" w:eastAsiaTheme="minorEastAsia" w:cstheme="minorEastAsia"/>
          <w:bCs w:val="0"/>
          <w:color w:val="auto"/>
          <w:sz w:val="24"/>
          <w:szCs w:val="24"/>
        </w:rPr>
        <w:t>成员的名单在</w:t>
      </w:r>
      <w:r>
        <w:rPr>
          <w:rFonts w:hint="eastAsia" w:asciiTheme="minorEastAsia" w:hAnsiTheme="minorEastAsia" w:eastAsiaTheme="minorEastAsia" w:cstheme="minorEastAsia"/>
          <w:bCs w:val="0"/>
          <w:color w:val="auto"/>
          <w:sz w:val="24"/>
          <w:szCs w:val="24"/>
          <w:lang w:eastAsia="zh-CN"/>
        </w:rPr>
        <w:t>成交</w:t>
      </w:r>
      <w:r>
        <w:rPr>
          <w:rFonts w:hint="eastAsia" w:asciiTheme="minorEastAsia" w:hAnsiTheme="minorEastAsia" w:eastAsiaTheme="minorEastAsia" w:cstheme="minorEastAsia"/>
          <w:bCs w:val="0"/>
          <w:color w:val="auto"/>
          <w:sz w:val="24"/>
          <w:szCs w:val="24"/>
        </w:rPr>
        <w:t>结果确定前应当保密。</w:t>
      </w:r>
    </w:p>
    <w:p w14:paraId="28332A0B">
      <w:pPr>
        <w:adjustRightInd w:val="0"/>
        <w:snapToGrid w:val="0"/>
        <w:spacing w:line="360" w:lineRule="auto"/>
        <w:ind w:firstLine="480" w:firstLineChars="200"/>
        <w:outlineLvl w:val="9"/>
        <w:rPr>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.1.4评标采用保密方式进行。</w:t>
      </w:r>
    </w:p>
    <w:p w14:paraId="32166A49">
      <w:pPr>
        <w:pStyle w:val="44"/>
        <w:tabs>
          <w:tab w:val="left" w:pos="2620"/>
        </w:tabs>
        <w:adjustRightInd w:val="0"/>
        <w:snapToGrid w:val="0"/>
        <w:spacing w:line="360" w:lineRule="auto"/>
        <w:ind w:firstLine="482"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2</w:t>
      </w:r>
      <w:r>
        <w:rPr>
          <w:rFonts w:hint="eastAsia" w:asciiTheme="minorEastAsia" w:hAnsiTheme="minorEastAsia" w:eastAsiaTheme="minorEastAsia" w:cstheme="minorEastAsia"/>
          <w:b/>
          <w:color w:val="auto"/>
          <w:sz w:val="24"/>
          <w:szCs w:val="24"/>
          <w:lang w:val="en-US" w:eastAsia="zh-CN"/>
        </w:rPr>
        <w:t>2</w:t>
      </w:r>
      <w:r>
        <w:rPr>
          <w:rFonts w:hint="eastAsia" w:asciiTheme="minorEastAsia" w:hAnsiTheme="minorEastAsia" w:eastAsiaTheme="minorEastAsia" w:cstheme="minorEastAsia"/>
          <w:b/>
          <w:color w:val="auto"/>
          <w:sz w:val="24"/>
          <w:szCs w:val="24"/>
        </w:rPr>
        <w:t>.2 评审原则</w:t>
      </w:r>
      <w:r>
        <w:rPr>
          <w:rFonts w:hint="eastAsia" w:asciiTheme="minorEastAsia" w:hAnsiTheme="minorEastAsia" w:eastAsiaTheme="minorEastAsia" w:cstheme="minorEastAsia"/>
          <w:color w:val="auto"/>
          <w:sz w:val="24"/>
          <w:szCs w:val="24"/>
        </w:rPr>
        <w:tab/>
      </w:r>
    </w:p>
    <w:p w14:paraId="74D94E60">
      <w:pPr>
        <w:adjustRightInd w:val="0"/>
        <w:snapToGrid w:val="0"/>
        <w:spacing w:line="360" w:lineRule="auto"/>
        <w:ind w:firstLine="720" w:firstLineChars="3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.2.1评审活动遵循公平、公正、科学和择优的原则。</w:t>
      </w:r>
    </w:p>
    <w:p w14:paraId="437D1606">
      <w:pPr>
        <w:pStyle w:val="44"/>
        <w:tabs>
          <w:tab w:val="left" w:pos="2620"/>
        </w:tabs>
        <w:adjustRightInd w:val="0"/>
        <w:snapToGrid w:val="0"/>
        <w:spacing w:line="360" w:lineRule="auto"/>
        <w:ind w:firstLine="482" w:firstLineChars="200"/>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w:t>
      </w:r>
      <w:r>
        <w:rPr>
          <w:rFonts w:hint="eastAsia" w:asciiTheme="minorEastAsia" w:hAnsiTheme="minorEastAsia" w:eastAsiaTheme="minorEastAsia" w:cstheme="minorEastAsia"/>
          <w:b/>
          <w:color w:val="auto"/>
          <w:sz w:val="24"/>
          <w:szCs w:val="24"/>
          <w:lang w:val="en-US" w:eastAsia="zh-CN"/>
        </w:rPr>
        <w:t>2</w:t>
      </w:r>
      <w:r>
        <w:rPr>
          <w:rFonts w:hint="eastAsia" w:asciiTheme="minorEastAsia" w:hAnsiTheme="minorEastAsia" w:eastAsiaTheme="minorEastAsia" w:cstheme="minorEastAsia"/>
          <w:b/>
          <w:color w:val="auto"/>
          <w:sz w:val="24"/>
          <w:szCs w:val="24"/>
        </w:rPr>
        <w:t>.3评审</w:t>
      </w:r>
    </w:p>
    <w:p w14:paraId="130C02D0">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.3.1竞争性磋商文件和竞争性磋商响应文件是评审的依据。在评审中，不得改变竞争性磋商文件中规定的评审标准、方法和成交条件。</w:t>
      </w:r>
    </w:p>
    <w:p w14:paraId="5787E90C">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3.2在评审期间，对竞争性磋商响应文件中含义不明确、同类问题表述不一致或者有明显文字和计算错误的内容，磋商小组可以（由磋商小组专家签字）要求供应商作出必要的澄清、说明或者纠正。供应商的澄清、说明或者补正不得超出竞争性磋商响应文件的范围或者改变竞争性磋商响应文件的实质性内容。</w:t>
      </w:r>
    </w:p>
    <w:p w14:paraId="6338E529">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.3.3如果供应商在澄清规定期限内，未能答复或拒绝答复磋商小组提出的澄清要求，将由磋商小组根据其竞争性磋商响应文件按最大风险进行评审。</w:t>
      </w:r>
    </w:p>
    <w:p w14:paraId="6E49F7AE">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.3.</w:t>
      </w:r>
      <w:r>
        <w:rPr>
          <w:rFonts w:hint="eastAsia" w:ascii="宋体" w:hAnsi="宋体" w:cs="宋体"/>
          <w:color w:val="auto"/>
          <w:sz w:val="24"/>
          <w:szCs w:val="24"/>
          <w:lang w:val="en-US" w:eastAsia="zh-CN"/>
        </w:rPr>
        <w:t>4</w:t>
      </w:r>
      <w:r>
        <w:rPr>
          <w:rFonts w:hint="eastAsia" w:ascii="宋体" w:hAnsi="宋体" w:cs="宋体"/>
          <w:color w:val="auto"/>
          <w:sz w:val="24"/>
          <w:szCs w:val="24"/>
        </w:rPr>
        <w:t>竞争性磋商响应文件的符合性检查</w:t>
      </w:r>
    </w:p>
    <w:p w14:paraId="21E0DC1B">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.3.</w:t>
      </w:r>
      <w:r>
        <w:rPr>
          <w:rFonts w:hint="eastAsia" w:ascii="宋体" w:hAnsi="宋体" w:cs="宋体"/>
          <w:color w:val="auto"/>
          <w:sz w:val="24"/>
          <w:szCs w:val="24"/>
          <w:lang w:val="en-US" w:eastAsia="zh-CN"/>
        </w:rPr>
        <w:t>4</w:t>
      </w:r>
      <w:r>
        <w:rPr>
          <w:rFonts w:hint="eastAsia" w:ascii="宋体" w:hAnsi="宋体" w:cs="宋体"/>
          <w:color w:val="auto"/>
          <w:sz w:val="24"/>
          <w:szCs w:val="24"/>
        </w:rPr>
        <w:t>.1磋商小组将审查竞争性磋商响应文件是否完整、资格证明文件是否齐全有无计算上的错误等。</w:t>
      </w:r>
    </w:p>
    <w:p w14:paraId="6950D8AC">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.3.</w:t>
      </w:r>
      <w:r>
        <w:rPr>
          <w:rFonts w:hint="eastAsia" w:ascii="宋体" w:hAnsi="宋体" w:cs="宋体"/>
          <w:color w:val="auto"/>
          <w:sz w:val="24"/>
          <w:szCs w:val="24"/>
          <w:lang w:val="en-US" w:eastAsia="zh-CN"/>
        </w:rPr>
        <w:t>4</w:t>
      </w:r>
      <w:r>
        <w:rPr>
          <w:rFonts w:hint="eastAsia" w:ascii="宋体" w:hAnsi="宋体" w:cs="宋体"/>
          <w:color w:val="auto"/>
          <w:sz w:val="24"/>
          <w:szCs w:val="24"/>
        </w:rPr>
        <w:t>.2计算错误将按以下方法更正：若单价计算的结果与总价不一致，以单价为准修改总价；若用文字表示的数值与用数字表示的数值不一致，以文字表示的数值为准。如果“</w:t>
      </w:r>
      <w:r>
        <w:rPr>
          <w:rFonts w:hint="eastAsia" w:ascii="宋体" w:hAnsi="宋体" w:cs="宋体"/>
          <w:color w:val="auto"/>
          <w:sz w:val="24"/>
          <w:szCs w:val="24"/>
          <w:lang w:eastAsia="zh-CN"/>
        </w:rPr>
        <w:t>磋商报价一览表</w:t>
      </w:r>
      <w:r>
        <w:rPr>
          <w:rFonts w:hint="eastAsia" w:ascii="宋体" w:hAnsi="宋体" w:cs="宋体"/>
          <w:color w:val="auto"/>
          <w:sz w:val="24"/>
          <w:szCs w:val="24"/>
        </w:rPr>
        <w:t>”中的总价与磋商的其他文件中的总价不一致，以“</w:t>
      </w:r>
      <w:r>
        <w:rPr>
          <w:rFonts w:hint="eastAsia" w:ascii="宋体" w:hAnsi="宋体" w:cs="宋体"/>
          <w:color w:val="auto"/>
          <w:sz w:val="24"/>
          <w:szCs w:val="24"/>
          <w:lang w:eastAsia="zh-CN"/>
        </w:rPr>
        <w:t>磋商报价一览表</w:t>
      </w:r>
      <w:r>
        <w:rPr>
          <w:rFonts w:hint="eastAsia" w:ascii="宋体" w:hAnsi="宋体" w:cs="宋体"/>
          <w:color w:val="auto"/>
          <w:sz w:val="24"/>
          <w:szCs w:val="24"/>
        </w:rPr>
        <w:t>”中的总价为准。如果供应商不接受对其错误的更正，其磋商将被拒绝。</w:t>
      </w:r>
    </w:p>
    <w:p w14:paraId="72BE306D">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.3.</w:t>
      </w:r>
      <w:r>
        <w:rPr>
          <w:rFonts w:hint="eastAsia" w:ascii="宋体" w:hAnsi="宋体" w:cs="宋体"/>
          <w:color w:val="auto"/>
          <w:sz w:val="24"/>
          <w:szCs w:val="24"/>
          <w:lang w:val="en-US" w:eastAsia="zh-CN"/>
        </w:rPr>
        <w:t>4</w:t>
      </w:r>
      <w:r>
        <w:rPr>
          <w:rFonts w:hint="eastAsia" w:ascii="宋体" w:hAnsi="宋体" w:cs="宋体"/>
          <w:color w:val="auto"/>
          <w:sz w:val="24"/>
          <w:szCs w:val="24"/>
        </w:rPr>
        <w:t>.3对于竞争性磋商响应文件中明显的标点符号错误或不构成实质性偏差的不正规、不一致或不规则，招标方可以接受。</w:t>
      </w:r>
    </w:p>
    <w:p w14:paraId="03C6DE71">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.3.</w:t>
      </w:r>
      <w:r>
        <w:rPr>
          <w:rFonts w:hint="eastAsia" w:ascii="宋体" w:hAnsi="宋体" w:cs="宋体"/>
          <w:color w:val="auto"/>
          <w:sz w:val="24"/>
          <w:szCs w:val="24"/>
          <w:lang w:val="en-US" w:eastAsia="zh-CN"/>
        </w:rPr>
        <w:t>4.</w:t>
      </w:r>
      <w:r>
        <w:rPr>
          <w:rFonts w:hint="eastAsia" w:ascii="宋体" w:hAnsi="宋体" w:cs="宋体"/>
          <w:color w:val="auto"/>
          <w:sz w:val="24"/>
          <w:szCs w:val="24"/>
        </w:rPr>
        <w:t>磋商小组要审查每份竞争性磋商响应文件是否实质上响应了竞争性磋商文件的要求。实质上响应的磋商</w:t>
      </w:r>
      <w:r>
        <w:rPr>
          <w:rFonts w:hint="eastAsia" w:ascii="宋体" w:hAnsi="宋体" w:cs="宋体"/>
          <w:color w:val="auto"/>
          <w:sz w:val="24"/>
          <w:szCs w:val="24"/>
          <w:lang w:val="en-US" w:eastAsia="zh-CN"/>
        </w:rPr>
        <w:t>文件</w:t>
      </w:r>
      <w:r>
        <w:rPr>
          <w:rFonts w:hint="eastAsia" w:ascii="宋体" w:hAnsi="宋体" w:cs="宋体"/>
          <w:color w:val="auto"/>
          <w:sz w:val="24"/>
          <w:szCs w:val="24"/>
        </w:rPr>
        <w:t>应该是与竞争性磋商文件要求的全部条款、条件和规格参数相符，完全响应，不得负偏离。对关键条文的偏离、保留或反对将被认为是实质上的偏离。磋商小组决定磋商的响应性只根据磋商响应文件本身的内容，而不寻求外部的证据。</w:t>
      </w:r>
    </w:p>
    <w:p w14:paraId="038BCA53">
      <w:pPr>
        <w:keepNext w:val="0"/>
        <w:keepLines w:val="0"/>
        <w:widowControl/>
        <w:suppressLineNumbers w:val="0"/>
        <w:spacing w:line="360" w:lineRule="auto"/>
        <w:ind w:firstLine="480" w:firstLineChars="200"/>
        <w:jc w:val="left"/>
        <w:outlineLvl w:val="9"/>
        <w:rPr>
          <w:rFonts w:hint="eastAsia" w:ascii="宋体" w:hAnsi="宋体" w:eastAsia="宋体" w:cs="宋体"/>
          <w:color w:val="auto"/>
          <w:kern w:val="0"/>
          <w:sz w:val="24"/>
          <w:szCs w:val="24"/>
          <w:lang w:val="en-US" w:eastAsia="zh-CN" w:bidi="ar"/>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.3.</w:t>
      </w:r>
      <w:r>
        <w:rPr>
          <w:rFonts w:hint="eastAsia" w:ascii="宋体" w:hAnsi="宋体" w:cs="宋体"/>
          <w:color w:val="auto"/>
          <w:sz w:val="24"/>
          <w:szCs w:val="24"/>
          <w:lang w:val="en-US" w:eastAsia="zh-CN"/>
        </w:rPr>
        <w:t>4</w:t>
      </w:r>
      <w:r>
        <w:rPr>
          <w:rFonts w:hint="eastAsia" w:ascii="宋体" w:hAnsi="宋体" w:cs="宋体"/>
          <w:color w:val="auto"/>
          <w:sz w:val="24"/>
          <w:szCs w:val="24"/>
        </w:rPr>
        <w:t>.5实质上没有响应竞争性磋商文件要求的磋商将被按无效投标处理。供应商不得通过修正或撤销不合要求的偏离从而使其磋商成为实质性响应的磋商。</w:t>
      </w:r>
    </w:p>
    <w:p w14:paraId="6D0EAE09">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.3.</w:t>
      </w:r>
      <w:r>
        <w:rPr>
          <w:rFonts w:hint="eastAsia" w:ascii="宋体" w:hAnsi="宋体" w:cs="宋体"/>
          <w:color w:val="auto"/>
          <w:sz w:val="24"/>
          <w:szCs w:val="24"/>
          <w:lang w:val="en-US" w:eastAsia="zh-CN"/>
        </w:rPr>
        <w:t>5</w:t>
      </w:r>
      <w:r>
        <w:rPr>
          <w:rFonts w:hint="eastAsia" w:ascii="宋体" w:hAnsi="宋体" w:cs="宋体"/>
          <w:color w:val="auto"/>
          <w:sz w:val="24"/>
          <w:szCs w:val="24"/>
        </w:rPr>
        <w:t>竞争性磋商响应文件的详细评审</w:t>
      </w:r>
    </w:p>
    <w:p w14:paraId="2E9542B3">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.3.</w:t>
      </w:r>
      <w:r>
        <w:rPr>
          <w:rFonts w:hint="eastAsia" w:ascii="宋体" w:hAnsi="宋体" w:cs="宋体"/>
          <w:color w:val="auto"/>
          <w:sz w:val="24"/>
          <w:szCs w:val="24"/>
          <w:lang w:val="en-US" w:eastAsia="zh-CN"/>
        </w:rPr>
        <w:t>5</w:t>
      </w:r>
      <w:r>
        <w:rPr>
          <w:rFonts w:hint="eastAsia" w:ascii="宋体" w:hAnsi="宋体" w:cs="宋体"/>
          <w:color w:val="auto"/>
          <w:sz w:val="24"/>
          <w:szCs w:val="24"/>
        </w:rPr>
        <w:t>.1</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磋商小组只对确定为实质性响应竞争性磋商文件要求的磋商响应文件进行详细评审。</w:t>
      </w:r>
    </w:p>
    <w:p w14:paraId="3CC4954A">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lang w:val="en-US" w:eastAsia="zh-CN"/>
        </w:rPr>
        <w:t>22</w:t>
      </w:r>
      <w:r>
        <w:rPr>
          <w:rFonts w:hint="eastAsia" w:ascii="宋体" w:hAnsi="宋体" w:cs="宋体"/>
          <w:color w:val="auto"/>
          <w:sz w:val="24"/>
          <w:szCs w:val="24"/>
        </w:rPr>
        <w:t>.3.</w:t>
      </w:r>
      <w:r>
        <w:rPr>
          <w:rFonts w:hint="eastAsia" w:ascii="宋体" w:hAnsi="宋体" w:cs="宋体"/>
          <w:color w:val="auto"/>
          <w:sz w:val="24"/>
          <w:szCs w:val="24"/>
          <w:lang w:val="en-US" w:eastAsia="zh-CN"/>
        </w:rPr>
        <w:t>6</w:t>
      </w:r>
      <w:r>
        <w:rPr>
          <w:rFonts w:hint="eastAsia" w:ascii="宋体" w:hAnsi="宋体" w:cs="宋体"/>
          <w:color w:val="auto"/>
          <w:sz w:val="24"/>
          <w:szCs w:val="24"/>
        </w:rPr>
        <w:t>成交候选人的确定</w:t>
      </w:r>
    </w:p>
    <w:p w14:paraId="54936B91">
      <w:pPr>
        <w:spacing w:line="360" w:lineRule="auto"/>
        <w:ind w:firstLine="480" w:firstLineChars="200"/>
        <w:outlineLvl w:val="9"/>
        <w:rPr>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.3.</w:t>
      </w:r>
      <w:r>
        <w:rPr>
          <w:rFonts w:hint="eastAsia" w:ascii="宋体" w:hAnsi="宋体" w:cs="宋体"/>
          <w:color w:val="auto"/>
          <w:sz w:val="24"/>
          <w:szCs w:val="24"/>
          <w:lang w:val="en-US" w:eastAsia="zh-CN"/>
        </w:rPr>
        <w:t>6</w:t>
      </w:r>
      <w:r>
        <w:rPr>
          <w:rFonts w:hint="eastAsia" w:ascii="宋体" w:hAnsi="宋体" w:cs="宋体"/>
          <w:color w:val="auto"/>
          <w:sz w:val="24"/>
          <w:szCs w:val="24"/>
        </w:rPr>
        <w:t>.1磋商小组依据本磋商文件“评标方法”，对竞争性磋商响应文件进行评审和比较，向</w:t>
      </w:r>
      <w:r>
        <w:rPr>
          <w:rFonts w:hint="eastAsia" w:ascii="宋体" w:hAnsi="宋体" w:cs="宋体"/>
          <w:color w:val="auto"/>
          <w:sz w:val="24"/>
          <w:szCs w:val="24"/>
          <w:lang w:eastAsia="zh-CN"/>
        </w:rPr>
        <w:t>采购人</w:t>
      </w:r>
      <w:r>
        <w:rPr>
          <w:rFonts w:hint="eastAsia" w:ascii="宋体" w:hAnsi="宋体" w:cs="宋体"/>
          <w:color w:val="auto"/>
          <w:sz w:val="24"/>
          <w:szCs w:val="24"/>
        </w:rPr>
        <w:t>提交书面评标报告，并推荐</w:t>
      </w:r>
      <w:r>
        <w:rPr>
          <w:rFonts w:hint="eastAsia" w:ascii="宋体" w:hAnsi="宋体" w:cs="宋体"/>
          <w:color w:val="auto"/>
          <w:sz w:val="24"/>
          <w:szCs w:val="24"/>
          <w:lang w:val="en-US" w:eastAsia="zh-CN"/>
        </w:rPr>
        <w:t>1-3名</w:t>
      </w:r>
      <w:r>
        <w:rPr>
          <w:rFonts w:hint="eastAsia" w:ascii="宋体" w:hAnsi="宋体" w:cs="宋体"/>
          <w:color w:val="auto"/>
          <w:sz w:val="24"/>
          <w:szCs w:val="24"/>
        </w:rPr>
        <w:t>供应商为成交候选人。</w:t>
      </w:r>
    </w:p>
    <w:p w14:paraId="6F53CB6A">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.3.</w:t>
      </w:r>
      <w:r>
        <w:rPr>
          <w:rFonts w:hint="eastAsia" w:ascii="宋体" w:hAnsi="宋体" w:cs="宋体"/>
          <w:color w:val="auto"/>
          <w:sz w:val="24"/>
          <w:szCs w:val="24"/>
          <w:lang w:val="en-US" w:eastAsia="zh-CN"/>
        </w:rPr>
        <w:t>6</w:t>
      </w:r>
      <w:r>
        <w:rPr>
          <w:rFonts w:hint="eastAsia" w:ascii="宋体" w:hAnsi="宋体" w:cs="宋体"/>
          <w:color w:val="auto"/>
          <w:sz w:val="24"/>
          <w:szCs w:val="24"/>
        </w:rPr>
        <w:t xml:space="preserve">.2 </w:t>
      </w:r>
      <w:r>
        <w:rPr>
          <w:rFonts w:hint="eastAsia" w:ascii="宋体" w:hAnsi="宋体" w:cs="宋体"/>
          <w:color w:val="auto"/>
          <w:sz w:val="24"/>
          <w:szCs w:val="24"/>
          <w:lang w:eastAsia="zh-CN"/>
        </w:rPr>
        <w:t>采购人</w:t>
      </w:r>
      <w:r>
        <w:rPr>
          <w:rFonts w:hint="eastAsia" w:ascii="宋体" w:hAnsi="宋体" w:cs="宋体"/>
          <w:color w:val="auto"/>
          <w:sz w:val="24"/>
          <w:szCs w:val="24"/>
        </w:rPr>
        <w:t>根据磋商小组提交的评标报告和推荐的成交候选人确定成交供应商。</w:t>
      </w:r>
    </w:p>
    <w:p w14:paraId="38279741">
      <w:pPr>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磋商小组</w:t>
      </w:r>
      <w:r>
        <w:rPr>
          <w:rFonts w:hint="eastAsia" w:ascii="宋体" w:hAnsi="宋体" w:eastAsia="宋体" w:cs="宋体"/>
          <w:color w:val="auto"/>
          <w:sz w:val="24"/>
          <w:szCs w:val="24"/>
        </w:rPr>
        <w:t>经评审，认为有效</w:t>
      </w:r>
      <w:r>
        <w:rPr>
          <w:rFonts w:hint="eastAsia" w:ascii="宋体" w:hAnsi="宋体" w:eastAsia="宋体" w:cs="宋体"/>
          <w:color w:val="auto"/>
          <w:sz w:val="24"/>
          <w:szCs w:val="24"/>
          <w:lang w:eastAsia="zh-CN"/>
        </w:rPr>
        <w:t>供应商</w:t>
      </w:r>
      <w:r>
        <w:rPr>
          <w:rFonts w:hint="eastAsia" w:ascii="宋体" w:hAnsi="宋体" w:cs="宋体"/>
          <w:color w:val="auto"/>
          <w:sz w:val="24"/>
          <w:szCs w:val="24"/>
          <w:lang w:val="en-US" w:eastAsia="zh-CN"/>
        </w:rPr>
        <w:t>不足3</w:t>
      </w:r>
      <w:r>
        <w:rPr>
          <w:rFonts w:hint="eastAsia" w:ascii="宋体" w:hAnsi="宋体" w:eastAsia="宋体" w:cs="宋体"/>
          <w:color w:val="auto"/>
          <w:sz w:val="24"/>
          <w:szCs w:val="24"/>
        </w:rPr>
        <w:t>家的，可以否决本次</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、投标。所有</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被否决后，招标人应当依法重新招标。</w:t>
      </w:r>
    </w:p>
    <w:p w14:paraId="6B248CF8">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5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提交最后报价的供应商为2家时，可以继续进行磋商的情形：</w:t>
      </w:r>
    </w:p>
    <w:p w14:paraId="2B39CA11">
      <w:pPr>
        <w:keepNext w:val="0"/>
        <w:keepLines w:val="0"/>
        <w:pageBreakBefore w:val="0"/>
        <w:widowControl w:val="0"/>
        <w:kinsoku/>
        <w:wordWrap/>
        <w:overflowPunct/>
        <w:topLinePunct w:val="0"/>
        <w:autoSpaceDE/>
        <w:autoSpaceDN/>
        <w:bidi w:val="0"/>
        <w:adjustRightInd/>
        <w:snapToGrid/>
        <w:spacing w:line="360" w:lineRule="auto"/>
        <w:ind w:left="0" w:leftChars="0" w:firstLine="360" w:firstLineChars="15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（一）市场竞争不充分的科研项目，以及需要扶持的科技成果转化项目；</w:t>
      </w:r>
    </w:p>
    <w:p w14:paraId="0F879698">
      <w:pPr>
        <w:keepNext w:val="0"/>
        <w:keepLines w:val="0"/>
        <w:pageBreakBefore w:val="0"/>
        <w:widowControl w:val="0"/>
        <w:kinsoku/>
        <w:wordWrap/>
        <w:overflowPunct/>
        <w:topLinePunct w:val="0"/>
        <w:autoSpaceDE/>
        <w:autoSpaceDN/>
        <w:bidi w:val="0"/>
        <w:adjustRightInd/>
        <w:snapToGrid/>
        <w:spacing w:line="360" w:lineRule="auto"/>
        <w:ind w:left="0" w:leftChars="0" w:firstLine="360" w:firstLineChars="150"/>
        <w:jc w:val="left"/>
        <w:textAlignment w:val="auto"/>
        <w:outlineLvl w:val="9"/>
        <w:rPr>
          <w:rFonts w:hint="eastAsia"/>
          <w:color w:val="auto"/>
          <w:sz w:val="24"/>
          <w:szCs w:val="24"/>
        </w:rPr>
      </w:pPr>
      <w:bookmarkStart w:id="155" w:name="_Toc20079"/>
      <w:r>
        <w:rPr>
          <w:rFonts w:hint="eastAsia" w:ascii="宋体" w:hAnsi="宋体" w:eastAsia="宋体" w:cs="宋体"/>
          <w:color w:val="auto"/>
          <w:sz w:val="24"/>
          <w:szCs w:val="24"/>
        </w:rPr>
        <w:t>（二）政府购买服务项目（含政府和社会资本项目）。</w:t>
      </w:r>
      <w:bookmarkEnd w:id="155"/>
    </w:p>
    <w:p w14:paraId="74406B0C">
      <w:pPr>
        <w:pStyle w:val="44"/>
        <w:adjustRightInd w:val="0"/>
        <w:spacing w:line="360" w:lineRule="auto"/>
        <w:outlineLvl w:val="9"/>
        <w:rPr>
          <w:rFonts w:ascii="宋体" w:hAnsi="宋体" w:eastAsia="宋体"/>
          <w:color w:val="auto"/>
          <w:sz w:val="24"/>
          <w:szCs w:val="24"/>
        </w:rPr>
      </w:pPr>
      <w:r>
        <w:rPr>
          <w:rFonts w:hint="eastAsia" w:ascii="宋体" w:hAnsi="宋体" w:eastAsia="宋体"/>
          <w:b/>
          <w:color w:val="auto"/>
          <w:sz w:val="24"/>
          <w:szCs w:val="24"/>
        </w:rPr>
        <w:t>2</w:t>
      </w:r>
      <w:r>
        <w:rPr>
          <w:rFonts w:hint="eastAsia" w:ascii="宋体" w:hAnsi="宋体" w:eastAsia="宋体"/>
          <w:b/>
          <w:color w:val="auto"/>
          <w:sz w:val="24"/>
          <w:szCs w:val="24"/>
          <w:lang w:val="en-US" w:eastAsia="zh-CN"/>
        </w:rPr>
        <w:t>3</w:t>
      </w:r>
      <w:r>
        <w:rPr>
          <w:rFonts w:hint="eastAsia" w:ascii="宋体" w:hAnsi="宋体" w:eastAsia="宋体"/>
          <w:b/>
          <w:color w:val="auto"/>
          <w:sz w:val="24"/>
          <w:szCs w:val="24"/>
        </w:rPr>
        <w:t>、评审过程的保密</w:t>
      </w:r>
    </w:p>
    <w:p w14:paraId="4FF23F89">
      <w:pPr>
        <w:adjustRightInd w:val="0"/>
        <w:snapToGrid w:val="0"/>
        <w:spacing w:line="360" w:lineRule="auto"/>
        <w:ind w:firstLine="480" w:firstLineChars="200"/>
        <w:outlineLvl w:val="9"/>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（1）磋商后，直至授予成交人合同为止，凡属于对竞争性磋商响应文件的审查、补遗、评价和比较的有关资料以及成交人候选人的推荐情况等均严格保密。</w:t>
      </w:r>
    </w:p>
    <w:p w14:paraId="78CE731F">
      <w:pPr>
        <w:adjustRightInd w:val="0"/>
        <w:snapToGrid w:val="0"/>
        <w:spacing w:line="360" w:lineRule="auto"/>
        <w:ind w:firstLine="480" w:firstLineChars="200"/>
        <w:outlineLvl w:val="9"/>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（2）在竞争性磋商响应文件的评审、成交人候选人推荐以及授予合同的过程中，供应商向</w:t>
      </w:r>
      <w:r>
        <w:rPr>
          <w:rFonts w:hint="eastAsia" w:asciiTheme="minorEastAsia" w:hAnsiTheme="minorEastAsia" w:eastAsiaTheme="minorEastAsia" w:cstheme="minorEastAsia"/>
          <w:color w:val="auto"/>
          <w:kern w:val="0"/>
          <w:sz w:val="24"/>
          <w:szCs w:val="24"/>
          <w:lang w:eastAsia="zh-CN"/>
        </w:rPr>
        <w:t>采购人</w:t>
      </w:r>
      <w:r>
        <w:rPr>
          <w:rFonts w:hint="eastAsia" w:asciiTheme="minorEastAsia" w:hAnsiTheme="minorEastAsia" w:eastAsiaTheme="minorEastAsia" w:cstheme="minorEastAsia"/>
          <w:color w:val="auto"/>
          <w:kern w:val="0"/>
          <w:sz w:val="24"/>
          <w:szCs w:val="24"/>
        </w:rPr>
        <w:t>和磋商小组施加影响的任何行为，都将会导致其磋商被拒绝直至取消其成交资格。</w:t>
      </w:r>
    </w:p>
    <w:p w14:paraId="119F1556">
      <w:pPr>
        <w:adjustRightInd w:val="0"/>
        <w:snapToGrid w:val="0"/>
        <w:spacing w:line="360" w:lineRule="auto"/>
        <w:ind w:firstLine="480" w:firstLineChars="200"/>
        <w:outlineLvl w:val="9"/>
        <w:rPr>
          <w:color w:val="auto"/>
          <w:sz w:val="24"/>
          <w:szCs w:val="24"/>
        </w:rPr>
      </w:pPr>
      <w:r>
        <w:rPr>
          <w:rFonts w:hint="eastAsia" w:asciiTheme="minorEastAsia" w:hAnsiTheme="minorEastAsia" w:eastAsiaTheme="minorEastAsia" w:cstheme="minorEastAsia"/>
          <w:color w:val="auto"/>
          <w:kern w:val="0"/>
          <w:sz w:val="24"/>
          <w:szCs w:val="24"/>
        </w:rPr>
        <w:t>（3）成交人确定后，</w:t>
      </w:r>
      <w:r>
        <w:rPr>
          <w:rFonts w:hint="eastAsia" w:asciiTheme="minorEastAsia" w:hAnsiTheme="minorEastAsia" w:eastAsiaTheme="minorEastAsia" w:cstheme="minorEastAsia"/>
          <w:color w:val="auto"/>
          <w:kern w:val="0"/>
          <w:sz w:val="24"/>
          <w:szCs w:val="24"/>
          <w:lang w:eastAsia="zh-CN"/>
        </w:rPr>
        <w:t>采购人</w:t>
      </w:r>
      <w:r>
        <w:rPr>
          <w:rFonts w:hint="eastAsia" w:asciiTheme="minorEastAsia" w:hAnsiTheme="minorEastAsia" w:eastAsiaTheme="minorEastAsia" w:cstheme="minorEastAsia"/>
          <w:color w:val="auto"/>
          <w:kern w:val="0"/>
          <w:sz w:val="24"/>
          <w:szCs w:val="24"/>
        </w:rPr>
        <w:t>不对未成</w:t>
      </w:r>
      <w:r>
        <w:rPr>
          <w:rFonts w:hint="eastAsia" w:asciiTheme="minorEastAsia" w:hAnsiTheme="minorEastAsia" w:eastAsiaTheme="minorEastAsia" w:cstheme="minorEastAsia"/>
          <w:b/>
          <w:bCs/>
          <w:color w:val="auto"/>
          <w:kern w:val="0"/>
          <w:sz w:val="24"/>
          <w:szCs w:val="24"/>
        </w:rPr>
        <w:t>交</w:t>
      </w:r>
      <w:r>
        <w:rPr>
          <w:rFonts w:hint="eastAsia" w:asciiTheme="minorEastAsia" w:hAnsiTheme="minorEastAsia" w:eastAsiaTheme="minorEastAsia" w:cstheme="minorEastAsia"/>
          <w:color w:val="auto"/>
          <w:kern w:val="0"/>
          <w:sz w:val="24"/>
          <w:szCs w:val="24"/>
        </w:rPr>
        <w:t>人就评审过程以及未能成交原因作出任何解释。未成交人不得向磋商小组组成人员或其他有关人员索问评审过程的情况和材料。</w:t>
      </w:r>
    </w:p>
    <w:p w14:paraId="7084F466">
      <w:pPr>
        <w:pStyle w:val="44"/>
        <w:adjustRightInd w:val="0"/>
        <w:snapToGrid w:val="0"/>
        <w:spacing w:line="360" w:lineRule="auto"/>
        <w:outlineLvl w:val="9"/>
        <w:rPr>
          <w:rFonts w:ascii="宋体" w:hAnsi="宋体" w:eastAsia="宋体"/>
          <w:b/>
          <w:color w:val="auto"/>
          <w:sz w:val="24"/>
          <w:szCs w:val="24"/>
        </w:rPr>
      </w:pPr>
      <w:r>
        <w:rPr>
          <w:rFonts w:hint="eastAsia" w:ascii="宋体" w:hAnsi="宋体" w:eastAsia="宋体"/>
          <w:b/>
          <w:color w:val="auto"/>
          <w:sz w:val="24"/>
          <w:szCs w:val="24"/>
        </w:rPr>
        <w:t>2</w:t>
      </w:r>
      <w:r>
        <w:rPr>
          <w:rFonts w:hint="eastAsia" w:ascii="宋体" w:hAnsi="宋体" w:eastAsia="宋体"/>
          <w:b/>
          <w:color w:val="auto"/>
          <w:sz w:val="24"/>
          <w:szCs w:val="24"/>
          <w:lang w:val="en-US" w:eastAsia="zh-CN"/>
        </w:rPr>
        <w:t>4</w:t>
      </w:r>
      <w:r>
        <w:rPr>
          <w:rFonts w:hint="eastAsia" w:ascii="宋体" w:hAnsi="宋体" w:eastAsia="宋体"/>
          <w:b/>
          <w:color w:val="auto"/>
          <w:sz w:val="24"/>
          <w:szCs w:val="24"/>
        </w:rPr>
        <w:t>、评审方法</w:t>
      </w:r>
    </w:p>
    <w:p w14:paraId="1FA8255C">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6</w:t>
      </w:r>
      <w:r>
        <w:rPr>
          <w:rFonts w:hint="eastAsia" w:ascii="宋体" w:hAnsi="宋体" w:cs="宋体"/>
          <w:color w:val="auto"/>
          <w:sz w:val="24"/>
          <w:szCs w:val="24"/>
        </w:rPr>
        <w:t>.1</w:t>
      </w:r>
      <w:r>
        <w:rPr>
          <w:rFonts w:hint="eastAsia" w:hAnsi="宋体"/>
          <w:color w:val="auto"/>
          <w:sz w:val="24"/>
          <w:szCs w:val="24"/>
        </w:rPr>
        <w:t>按照中华人民共和国财政部第</w:t>
      </w:r>
      <w:r>
        <w:rPr>
          <w:rFonts w:hint="eastAsia" w:hAnsi="宋体"/>
          <w:color w:val="auto"/>
          <w:sz w:val="24"/>
          <w:szCs w:val="24"/>
          <w:lang w:val="en-US" w:eastAsia="zh-CN"/>
        </w:rPr>
        <w:t>87</w:t>
      </w:r>
      <w:r>
        <w:rPr>
          <w:rFonts w:hint="eastAsia" w:hAnsi="宋体"/>
          <w:color w:val="auto"/>
          <w:sz w:val="24"/>
          <w:szCs w:val="24"/>
        </w:rPr>
        <w:t>号部长令--《政府采购货物和服务招标投标管理办法》、关于印发《政府采购竞争性磋商采购方式管理暂行办法》的通知财库【2014】214号，本次评审采用综合评分法，即在全部满足竞争性磋商文件实质性要求前提下，磋商小组应当根据综合评分情况，按照评审得分高低顺序推存一至三名成交候选供应商。</w:t>
      </w:r>
    </w:p>
    <w:p w14:paraId="1AACBD9F">
      <w:pPr>
        <w:pStyle w:val="44"/>
        <w:adjustRightInd w:val="0"/>
        <w:snapToGrid w:val="0"/>
        <w:spacing w:line="360" w:lineRule="auto"/>
        <w:outlineLvl w:val="9"/>
        <w:rPr>
          <w:rFonts w:ascii="宋体" w:hAnsi="宋体" w:eastAsia="宋体"/>
          <w:b/>
          <w:color w:val="auto"/>
          <w:sz w:val="24"/>
          <w:szCs w:val="24"/>
        </w:rPr>
      </w:pPr>
      <w:r>
        <w:rPr>
          <w:rFonts w:hint="eastAsia" w:ascii="宋体" w:hAnsi="宋体" w:eastAsia="宋体"/>
          <w:b/>
          <w:color w:val="auto"/>
          <w:sz w:val="24"/>
          <w:szCs w:val="24"/>
        </w:rPr>
        <w:t>2</w:t>
      </w:r>
      <w:r>
        <w:rPr>
          <w:rFonts w:hint="eastAsia" w:ascii="宋体" w:hAnsi="宋体" w:eastAsia="宋体"/>
          <w:b/>
          <w:color w:val="auto"/>
          <w:sz w:val="24"/>
          <w:szCs w:val="24"/>
          <w:lang w:val="en-US" w:eastAsia="zh-CN"/>
        </w:rPr>
        <w:t>5</w:t>
      </w:r>
      <w:r>
        <w:rPr>
          <w:rFonts w:hint="eastAsia" w:ascii="宋体" w:hAnsi="宋体" w:eastAsia="宋体"/>
          <w:b/>
          <w:color w:val="auto"/>
          <w:sz w:val="24"/>
          <w:szCs w:val="24"/>
        </w:rPr>
        <w:t>、评审程序</w:t>
      </w:r>
    </w:p>
    <w:p w14:paraId="36E2F0C5">
      <w:pPr>
        <w:pStyle w:val="22"/>
        <w:widowControl w:val="0"/>
        <w:adjustRightInd w:val="0"/>
        <w:snapToGrid w:val="0"/>
        <w:spacing w:before="0" w:beforeAutospacing="0" w:after="0" w:afterAutospacing="0" w:line="360" w:lineRule="auto"/>
        <w:ind w:firstLine="480" w:firstLineChars="200"/>
        <w:jc w:val="both"/>
        <w:outlineLvl w:val="9"/>
        <w:rPr>
          <w:rFonts w:ascii="Times New Roman" w:hAnsi="Times New Roman"/>
          <w:color w:val="auto"/>
          <w:kern w:val="2"/>
          <w:sz w:val="24"/>
          <w:szCs w:val="24"/>
          <w:lang w:bidi="ar"/>
        </w:rPr>
      </w:pPr>
      <w:r>
        <w:rPr>
          <w:rFonts w:hint="eastAsia"/>
          <w:color w:val="auto"/>
          <w:sz w:val="24"/>
          <w:szCs w:val="24"/>
        </w:rPr>
        <w:t>2</w:t>
      </w:r>
      <w:r>
        <w:rPr>
          <w:rFonts w:hint="eastAsia"/>
          <w:color w:val="auto"/>
          <w:sz w:val="24"/>
          <w:szCs w:val="24"/>
          <w:lang w:val="en-US" w:eastAsia="zh-CN"/>
        </w:rPr>
        <w:t>7</w:t>
      </w:r>
      <w:r>
        <w:rPr>
          <w:rFonts w:hint="eastAsia"/>
          <w:color w:val="auto"/>
          <w:sz w:val="24"/>
          <w:szCs w:val="24"/>
        </w:rPr>
        <w:t>.1按照竞争性磋商响应文件初审、澄清有关问题、分别磋商、符合二次报价条件的供应商进行二次报价（所有报价在公示前均不公开宣布）、比较与评</w:t>
      </w:r>
      <w:r>
        <w:rPr>
          <w:rFonts w:hint="eastAsia" w:ascii="Times New Roman" w:hAnsi="Times New Roman"/>
          <w:color w:val="auto"/>
          <w:kern w:val="2"/>
          <w:sz w:val="24"/>
          <w:szCs w:val="24"/>
          <w:lang w:bidi="ar"/>
        </w:rPr>
        <w:t>审、推荐成交候选供应商名单的工作程序进行评审。在上一步评审中被认定为无效磋商者，不进入下一步的评审。</w:t>
      </w:r>
    </w:p>
    <w:p w14:paraId="2EB419C6">
      <w:pPr>
        <w:pStyle w:val="44"/>
        <w:adjustRightInd w:val="0"/>
        <w:snapToGrid w:val="0"/>
        <w:spacing w:line="360" w:lineRule="auto"/>
        <w:outlineLvl w:val="9"/>
        <w:rPr>
          <w:rFonts w:ascii="宋体" w:hAnsi="宋体" w:eastAsia="宋体"/>
          <w:b/>
          <w:color w:val="auto"/>
          <w:sz w:val="24"/>
          <w:szCs w:val="24"/>
        </w:rPr>
      </w:pPr>
      <w:r>
        <w:rPr>
          <w:rFonts w:hint="eastAsia" w:ascii="宋体" w:hAnsi="宋体" w:eastAsia="宋体"/>
          <w:b/>
          <w:color w:val="auto"/>
          <w:sz w:val="24"/>
          <w:szCs w:val="24"/>
          <w:lang w:val="en-US" w:eastAsia="zh-CN"/>
        </w:rPr>
        <w:t>26</w:t>
      </w:r>
      <w:r>
        <w:rPr>
          <w:rFonts w:hint="eastAsia" w:ascii="宋体" w:hAnsi="宋体" w:eastAsia="宋体"/>
          <w:b/>
          <w:color w:val="auto"/>
          <w:sz w:val="24"/>
          <w:szCs w:val="24"/>
        </w:rPr>
        <w:t>、质疑提出与答复</w:t>
      </w:r>
    </w:p>
    <w:p w14:paraId="533666F6">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供应商如果认为采购程序、采购过程或中标结果使自身的合法权益受到损害，可以在知道或者应知其权益受到损害之日起7个工作日内，以书面形式向采购代理机构提出。</w:t>
      </w:r>
    </w:p>
    <w:p w14:paraId="689C0938">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1、供应商提出质疑应当提交质疑函和必要的证明材料，并按财政部《质疑函范本》给定的格式进行填写，范本下载详见【财政部国库司（gks.mof.gov.cn）】网站〖首页•〉政府采购管理〗栏目中的《政府采购供应商质疑函范本》。</w:t>
      </w:r>
    </w:p>
    <w:p w14:paraId="06848037">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《政府采购供应商质疑函范本》链接地址：</w:t>
      </w:r>
    </w:p>
    <w:p w14:paraId="678E0BC5">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http://www.mof.gov.cn/gp/xxgkml/gks/201802/t20180201_2804587.htm</w:t>
      </w:r>
    </w:p>
    <w:p w14:paraId="70BC83E2">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2、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14:paraId="46280861">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2.1质疑函应当包括下列内容：</w:t>
      </w:r>
    </w:p>
    <w:p w14:paraId="4D331EE9">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（1）</w:t>
      </w:r>
      <w:r>
        <w:rPr>
          <w:rFonts w:hint="eastAsia"/>
          <w:color w:val="auto"/>
          <w:sz w:val="24"/>
          <w:szCs w:val="24"/>
          <w:lang w:val="zh-CN"/>
        </w:rPr>
        <w:t>投标人</w:t>
      </w:r>
      <w:r>
        <w:rPr>
          <w:rFonts w:hint="eastAsia"/>
          <w:color w:val="auto"/>
          <w:sz w:val="24"/>
          <w:szCs w:val="24"/>
        </w:rPr>
        <w:t>的姓名或者名称、地址、邮编、联系人及联系电话；</w:t>
      </w:r>
    </w:p>
    <w:p w14:paraId="104B5A16">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（2）质疑项目的名称、编号；</w:t>
      </w:r>
    </w:p>
    <w:p w14:paraId="1DDA76F0">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（3）具体、明确的质疑事项和与质疑事项相关的请求；</w:t>
      </w:r>
    </w:p>
    <w:p w14:paraId="0F780923">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（4）事实依据；</w:t>
      </w:r>
    </w:p>
    <w:p w14:paraId="6CB15511">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（5）必要的法律依据；</w:t>
      </w:r>
    </w:p>
    <w:p w14:paraId="257846D2">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 xml:space="preserve">（6）提出质疑的日期。 </w:t>
      </w:r>
    </w:p>
    <w:p w14:paraId="1DD80C84">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3、在法定质疑期内，针对同一采购程序环节的质疑应当一次性提出。采购代理机构或采购人将在收到书面质疑后7个工作日内做出答复，并以书面形式通知质疑人和其他有关供应商。</w:t>
      </w:r>
    </w:p>
    <w:p w14:paraId="0EB2DD78">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4、有下列情形之一的，属于无效质疑，采购代理机构和采购人不予受理：</w:t>
      </w:r>
    </w:p>
    <w:p w14:paraId="3FA12599">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（1）质疑人不是参与本次政府采购项目的供应商或潜在供应商；</w:t>
      </w:r>
    </w:p>
    <w:p w14:paraId="01E15F5D">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（2）质疑人与质疑事项不存在利害关系的；</w:t>
      </w:r>
    </w:p>
    <w:p w14:paraId="51852FE2">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（3）未在法定期限内提出质疑的；</w:t>
      </w:r>
    </w:p>
    <w:p w14:paraId="72ECA9F1">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（4）质疑未以书面形式提出，或质疑函主要内容构成不完整的，或缺乏必要的证明材料及证明材料不完整的；</w:t>
      </w:r>
    </w:p>
    <w:p w14:paraId="7A6764B0">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（5）质疑函没有合法有效的签字、盖章或授权的；</w:t>
      </w:r>
    </w:p>
    <w:p w14:paraId="6EE79C88">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（6）以非法手段取得证据、材料的；</w:t>
      </w:r>
    </w:p>
    <w:p w14:paraId="6102E60E">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（7）质疑答复后，同一质疑人就同一事项再次提出质疑的；</w:t>
      </w:r>
    </w:p>
    <w:p w14:paraId="72435BFA">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（8）不符合法律、法规、规章和政府采购监管机构规定的其他条件的。</w:t>
      </w:r>
    </w:p>
    <w:p w14:paraId="27CCCF00">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5、质疑人对采购代理机构或采购人的答复不满意，以及采购代理机构或采购人未在规定时间内做出答复的，可以在答复期满后15个工作日内向政府采购监管机构提出投诉。</w:t>
      </w:r>
    </w:p>
    <w:p w14:paraId="71DD2FBC">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6、供应商投诉的事项不得超出已质疑事项的范围。</w:t>
      </w:r>
    </w:p>
    <w:p w14:paraId="05CA6249">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7、对捏造事实、提供虚假材料进行质疑、投诉的行为予以严肃处理：</w:t>
      </w:r>
    </w:p>
    <w:p w14:paraId="4A879BB2">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依据《中华人民共和国政府采购法》及其实施条例、《政府采购质疑和投诉办法》等法律法规文件的规定，供应商质疑、投诉应当有明确的请求和必要的证明材料。投诉人在全国范围内十二个月内三次以上投诉查无实据的，由财政部门列入不良行为记录名单。对于捏造事实、提供虚假材料或者以非法手段取得证明材料进行投诉的，财政部门应当予以驳回，并将其列入不良行为记录名单，禁止其一至三年内参加政府采购活动。</w:t>
      </w:r>
    </w:p>
    <w:p w14:paraId="25DEE0CD">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8、对捏造事实诬告陷害他人、诽谤他人的法律适用：</w:t>
      </w:r>
    </w:p>
    <w:p w14:paraId="74B58CCF">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《中华人民共和国刑法》第243条【诬告陷害罪】捏造事实诬告陷害他人，意图使他人受刑事追究，情节严重的，处三年以下有期徒刑、拘役或者管制；造成严重后果的，处三年以上十年以下有期徒刑。</w:t>
      </w:r>
    </w:p>
    <w:p w14:paraId="1362E5F1">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《中华人民共和国刑法》第246条【侮辱罪、诽谤罪】以暴力或者其他方法公然侮辱他人或者捏造事实诽谤他人，情节严重的，处三年以下有期徒刑、拘役、管制或者剥夺政治权利。</w:t>
      </w:r>
    </w:p>
    <w:p w14:paraId="64B6E6B9">
      <w:pPr>
        <w:pStyle w:val="22"/>
        <w:numPr>
          <w:ilvl w:val="0"/>
          <w:numId w:val="3"/>
        </w:numPr>
        <w:adjustRightInd w:val="0"/>
        <w:snapToGrid w:val="0"/>
        <w:spacing w:before="0" w:beforeAutospacing="0" w:after="0" w:afterAutospacing="0" w:line="500" w:lineRule="exact"/>
        <w:ind w:firstLine="360" w:firstLineChars="150"/>
        <w:outlineLvl w:val="9"/>
        <w:rPr>
          <w:rFonts w:hint="eastAsia" w:ascii="宋体" w:hAnsi="宋体" w:eastAsia="宋体" w:cs="宋体"/>
          <w:color w:val="auto"/>
          <w:kern w:val="0"/>
          <w:sz w:val="24"/>
          <w:szCs w:val="24"/>
          <w:lang w:val="en-US" w:eastAsia="zh-CN" w:bidi="ar-SA"/>
        </w:rPr>
      </w:pPr>
      <w:r>
        <w:rPr>
          <w:rFonts w:hint="eastAsia"/>
          <w:color w:val="auto"/>
          <w:sz w:val="24"/>
          <w:szCs w:val="24"/>
        </w:rPr>
        <w:t>质疑函递交地址：</w:t>
      </w:r>
      <w:r>
        <w:rPr>
          <w:rFonts w:hint="eastAsia" w:cs="宋体"/>
          <w:color w:val="auto"/>
          <w:kern w:val="0"/>
          <w:sz w:val="24"/>
          <w:szCs w:val="24"/>
          <w:lang w:val="en-US" w:eastAsia="zh-CN" w:bidi="ar-SA"/>
        </w:rPr>
        <w:t>榆林市富康路榆溪尚品3号楼1408</w:t>
      </w:r>
    </w:p>
    <w:p w14:paraId="7098E531">
      <w:pPr>
        <w:pStyle w:val="22"/>
        <w:numPr>
          <w:ilvl w:val="0"/>
          <w:numId w:val="3"/>
        </w:numPr>
        <w:adjustRightInd w:val="0"/>
        <w:snapToGrid w:val="0"/>
        <w:spacing w:before="0" w:beforeAutospacing="0" w:after="0" w:afterAutospacing="0" w:line="500" w:lineRule="exact"/>
        <w:ind w:firstLine="360" w:firstLineChars="150"/>
        <w:outlineLvl w:val="9"/>
        <w:rPr>
          <w:rFonts w:hint="eastAsia" w:ascii="Calibri" w:hAnsi="Calibri"/>
          <w:color w:val="auto"/>
          <w:sz w:val="24"/>
          <w:szCs w:val="24"/>
        </w:rPr>
      </w:pPr>
      <w:r>
        <w:rPr>
          <w:rFonts w:hint="eastAsia" w:ascii="Calibri" w:hAnsi="Calibri"/>
          <w:color w:val="auto"/>
          <w:sz w:val="24"/>
          <w:szCs w:val="24"/>
        </w:rPr>
        <w:t>联系人：</w:t>
      </w:r>
      <w:r>
        <w:rPr>
          <w:rFonts w:hint="eastAsia" w:ascii="Calibri" w:hAnsi="Calibri"/>
          <w:color w:val="auto"/>
          <w:sz w:val="24"/>
          <w:szCs w:val="24"/>
          <w:lang w:val="en-US" w:eastAsia="zh-CN"/>
        </w:rPr>
        <w:t>陕安项目管理有限公司</w:t>
      </w:r>
    </w:p>
    <w:p w14:paraId="43386EAC">
      <w:pPr>
        <w:pStyle w:val="22"/>
        <w:adjustRightInd w:val="0"/>
        <w:snapToGrid w:val="0"/>
        <w:spacing w:before="0" w:beforeAutospacing="0" w:after="0" w:afterAutospacing="0" w:line="500" w:lineRule="exact"/>
        <w:ind w:firstLine="840" w:firstLineChars="350"/>
        <w:outlineLvl w:val="9"/>
        <w:rPr>
          <w:rFonts w:hint="default" w:eastAsia="宋体"/>
          <w:color w:val="auto"/>
          <w:sz w:val="24"/>
          <w:szCs w:val="24"/>
          <w:lang w:val="en-US" w:eastAsia="zh-CN"/>
        </w:rPr>
      </w:pPr>
      <w:r>
        <w:rPr>
          <w:rFonts w:hint="eastAsia" w:ascii="Calibri" w:hAnsi="Calibri"/>
          <w:color w:val="auto"/>
          <w:sz w:val="24"/>
          <w:szCs w:val="24"/>
        </w:rPr>
        <w:t>联系</w:t>
      </w:r>
      <w:r>
        <w:rPr>
          <w:rFonts w:hint="eastAsia"/>
          <w:color w:val="auto"/>
          <w:sz w:val="24"/>
          <w:szCs w:val="24"/>
        </w:rPr>
        <w:t>方式：</w:t>
      </w:r>
      <w:r>
        <w:rPr>
          <w:rFonts w:hint="eastAsia"/>
          <w:color w:val="auto"/>
          <w:sz w:val="24"/>
          <w:szCs w:val="24"/>
          <w:lang w:val="en-US" w:eastAsia="zh-CN"/>
        </w:rPr>
        <w:t>13228440603</w:t>
      </w:r>
    </w:p>
    <w:p w14:paraId="44ADE490">
      <w:pPr>
        <w:pStyle w:val="22"/>
        <w:adjustRightInd w:val="0"/>
        <w:snapToGrid w:val="0"/>
        <w:spacing w:before="0" w:beforeAutospacing="0" w:after="0" w:afterAutospacing="0" w:line="360" w:lineRule="auto"/>
        <w:ind w:firstLine="360" w:firstLineChars="150"/>
        <w:outlineLvl w:val="9"/>
        <w:rPr>
          <w:rFonts w:ascii="Times New Roman" w:hAnsi="Times New Roman"/>
          <w:color w:val="auto"/>
          <w:kern w:val="2"/>
          <w:sz w:val="24"/>
          <w:szCs w:val="24"/>
          <w:lang w:bidi="ar"/>
        </w:rPr>
      </w:pPr>
    </w:p>
    <w:bookmarkEnd w:id="151"/>
    <w:bookmarkEnd w:id="152"/>
    <w:bookmarkEnd w:id="153"/>
    <w:bookmarkEnd w:id="154"/>
    <w:p w14:paraId="4A913475">
      <w:pPr>
        <w:pStyle w:val="43"/>
        <w:spacing w:line="360" w:lineRule="auto"/>
        <w:ind w:firstLine="482" w:firstLineChars="200"/>
        <w:outlineLvl w:val="9"/>
        <w:rPr>
          <w:rFonts w:asciiTheme="minorEastAsia" w:hAnsiTheme="minorEastAsia" w:eastAsiaTheme="minorEastAsia" w:cstheme="minorEastAsia"/>
          <w:b/>
          <w:color w:val="auto"/>
          <w:sz w:val="24"/>
          <w:szCs w:val="24"/>
        </w:rPr>
      </w:pPr>
      <w:bookmarkStart w:id="156" w:name="_Toc16908"/>
      <w:bookmarkStart w:id="157" w:name="_Toc31470"/>
      <w:bookmarkStart w:id="158" w:name="_Toc30606"/>
      <w:bookmarkStart w:id="159" w:name="_Toc152045566"/>
      <w:bookmarkStart w:id="160" w:name="_Toc18105"/>
      <w:bookmarkStart w:id="161" w:name="_Toc144974534"/>
      <w:bookmarkStart w:id="162" w:name="_Toc179632584"/>
      <w:bookmarkStart w:id="163" w:name="_Toc23734"/>
      <w:bookmarkStart w:id="164" w:name="_Toc510859898"/>
      <w:bookmarkStart w:id="165" w:name="_Toc513557033"/>
      <w:bookmarkStart w:id="166" w:name="_Toc22430"/>
      <w:bookmarkStart w:id="167" w:name="_Toc13342"/>
      <w:bookmarkStart w:id="168" w:name="_Toc152042342"/>
      <w:bookmarkStart w:id="169" w:name="_Toc5656"/>
      <w:bookmarkStart w:id="170" w:name="_Toc32214"/>
      <w:bookmarkStart w:id="171" w:name="_Toc363119284"/>
      <w:bookmarkStart w:id="172" w:name="_Toc510859692"/>
      <w:r>
        <w:rPr>
          <w:rFonts w:hint="eastAsia" w:asciiTheme="minorEastAsia" w:hAnsiTheme="minorEastAsia" w:eastAsiaTheme="minorEastAsia" w:cstheme="minorEastAsia"/>
          <w:b/>
          <w:color w:val="auto"/>
          <w:sz w:val="24"/>
          <w:szCs w:val="24"/>
        </w:rPr>
        <w:t>6.合同授予</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4E029E67">
      <w:pPr>
        <w:pStyle w:val="44"/>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bookmarkStart w:id="173" w:name="_Toc144974535"/>
      <w:bookmarkStart w:id="174" w:name="_Toc179632585"/>
      <w:bookmarkStart w:id="175" w:name="_Toc152045567"/>
      <w:bookmarkStart w:id="176" w:name="_Toc152042343"/>
    </w:p>
    <w:bookmarkEnd w:id="173"/>
    <w:bookmarkEnd w:id="174"/>
    <w:bookmarkEnd w:id="175"/>
    <w:bookmarkEnd w:id="176"/>
    <w:p w14:paraId="4D04F22C">
      <w:pPr>
        <w:pStyle w:val="44"/>
        <w:adjustRightInd w:val="0"/>
        <w:snapToGrid w:val="0"/>
        <w:spacing w:line="360" w:lineRule="auto"/>
        <w:outlineLvl w:val="9"/>
        <w:rPr>
          <w:rFonts w:ascii="宋体" w:hAnsi="宋体" w:eastAsia="宋体"/>
          <w:b/>
          <w:color w:val="auto"/>
          <w:sz w:val="24"/>
          <w:szCs w:val="24"/>
        </w:rPr>
      </w:pPr>
      <w:bookmarkStart w:id="177" w:name="_Toc152042344"/>
      <w:bookmarkStart w:id="178" w:name="_Toc144974536"/>
      <w:bookmarkStart w:id="179" w:name="_Toc152045568"/>
      <w:bookmarkStart w:id="180" w:name="_Toc179632586"/>
      <w:r>
        <w:rPr>
          <w:rFonts w:hint="eastAsia" w:ascii="宋体" w:hAnsi="宋体" w:eastAsia="宋体"/>
          <w:b/>
          <w:color w:val="auto"/>
          <w:sz w:val="24"/>
          <w:szCs w:val="24"/>
          <w:lang w:val="en-US" w:eastAsia="zh-CN"/>
        </w:rPr>
        <w:t>27</w:t>
      </w:r>
      <w:r>
        <w:rPr>
          <w:rFonts w:hint="eastAsia" w:ascii="宋体" w:hAnsi="宋体" w:eastAsia="宋体"/>
          <w:b/>
          <w:color w:val="auto"/>
          <w:sz w:val="24"/>
          <w:szCs w:val="24"/>
        </w:rPr>
        <w:t>、</w:t>
      </w:r>
      <w:r>
        <w:rPr>
          <w:rFonts w:hint="eastAsia" w:ascii="宋体" w:hAnsi="宋体" w:eastAsia="宋体"/>
          <w:b/>
          <w:color w:val="auto"/>
          <w:sz w:val="24"/>
          <w:szCs w:val="24"/>
          <w:lang w:eastAsia="zh-CN"/>
        </w:rPr>
        <w:t>成交</w:t>
      </w:r>
      <w:r>
        <w:rPr>
          <w:rFonts w:hint="eastAsia" w:ascii="宋体" w:hAnsi="宋体" w:eastAsia="宋体"/>
          <w:b/>
          <w:color w:val="auto"/>
          <w:sz w:val="24"/>
          <w:szCs w:val="24"/>
        </w:rPr>
        <w:t>通知</w:t>
      </w:r>
      <w:bookmarkEnd w:id="177"/>
      <w:bookmarkEnd w:id="178"/>
      <w:bookmarkEnd w:id="179"/>
      <w:bookmarkEnd w:id="180"/>
      <w:r>
        <w:rPr>
          <w:rFonts w:hint="eastAsia" w:ascii="宋体" w:hAnsi="宋体" w:eastAsia="宋体"/>
          <w:b/>
          <w:color w:val="auto"/>
          <w:sz w:val="24"/>
          <w:szCs w:val="24"/>
        </w:rPr>
        <w:t>书</w:t>
      </w:r>
    </w:p>
    <w:p w14:paraId="07124302">
      <w:pPr>
        <w:adjustRightInd w:val="0"/>
        <w:snapToGrid w:val="0"/>
        <w:spacing w:line="360" w:lineRule="auto"/>
        <w:ind w:firstLine="480" w:firstLineChars="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采购代理机构应当在评审结束后2个工作日内将评审报告送采购人确认。</w:t>
      </w:r>
    </w:p>
    <w:p w14:paraId="05AC66B9">
      <w:pPr>
        <w:adjustRightInd w:val="0"/>
        <w:snapToGrid w:val="0"/>
        <w:spacing w:line="360" w:lineRule="auto"/>
        <w:ind w:firstLine="480" w:firstLineChars="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4393DFDE">
      <w:pPr>
        <w:adjustRightInd w:val="0"/>
        <w:snapToGrid w:val="0"/>
        <w:spacing w:line="360" w:lineRule="auto"/>
        <w:ind w:firstLine="480" w:firstLineChars="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采购人或者采购代理机构应当在成交供应商确定后2个工作日内，在省级以上财政部门指定的政府采购信息发布媒体上公告成交结果，同时向成交供应商发出成交通知书，并将磋商文件随成交结果同时公告。</w:t>
      </w:r>
    </w:p>
    <w:p w14:paraId="523B5DAF">
      <w:pPr>
        <w:pStyle w:val="44"/>
        <w:adjustRightInd w:val="0"/>
        <w:snapToGrid w:val="0"/>
        <w:spacing w:line="360" w:lineRule="auto"/>
        <w:outlineLvl w:val="9"/>
        <w:rPr>
          <w:rFonts w:ascii="宋体" w:hAnsi="宋体" w:eastAsia="宋体"/>
          <w:b/>
          <w:color w:val="auto"/>
          <w:sz w:val="24"/>
          <w:szCs w:val="24"/>
        </w:rPr>
      </w:pPr>
      <w:bookmarkStart w:id="181" w:name="_Toc152045570"/>
      <w:bookmarkStart w:id="182" w:name="_Toc144974538"/>
      <w:bookmarkStart w:id="183" w:name="_Toc179632588"/>
      <w:bookmarkStart w:id="184" w:name="_Toc152042346"/>
      <w:r>
        <w:rPr>
          <w:rFonts w:hint="eastAsia" w:ascii="宋体" w:hAnsi="宋体" w:eastAsia="宋体"/>
          <w:b/>
          <w:color w:val="auto"/>
          <w:sz w:val="24"/>
          <w:szCs w:val="24"/>
          <w:lang w:val="en-US" w:eastAsia="zh-CN"/>
        </w:rPr>
        <w:t>28</w:t>
      </w:r>
      <w:r>
        <w:rPr>
          <w:rFonts w:hint="eastAsia" w:ascii="宋体" w:hAnsi="宋体" w:eastAsia="宋体"/>
          <w:b/>
          <w:color w:val="auto"/>
          <w:sz w:val="24"/>
          <w:szCs w:val="24"/>
        </w:rPr>
        <w:t>、签订合同</w:t>
      </w:r>
      <w:bookmarkEnd w:id="181"/>
      <w:bookmarkEnd w:id="182"/>
      <w:bookmarkEnd w:id="183"/>
      <w:bookmarkEnd w:id="184"/>
    </w:p>
    <w:p w14:paraId="0364089A">
      <w:pPr>
        <w:adjustRightInd w:val="0"/>
        <w:snapToGrid w:val="0"/>
        <w:spacing w:line="360" w:lineRule="auto"/>
        <w:ind w:firstLine="480" w:firstLineChars="200"/>
        <w:outlineLvl w:val="9"/>
        <w:rPr>
          <w:rFonts w:ascii="宋体" w:hAnsi="宋体" w:cs="宋体"/>
          <w:color w:val="auto"/>
          <w:sz w:val="24"/>
          <w:szCs w:val="24"/>
        </w:rPr>
      </w:pPr>
      <w:r>
        <w:rPr>
          <w:rFonts w:hint="eastAsia" w:asciiTheme="minorEastAsia" w:hAnsiTheme="minorEastAsia" w:eastAsiaTheme="minorEastAsia" w:cstheme="minorEastAsia"/>
          <w:color w:val="auto"/>
          <w:sz w:val="24"/>
          <w:szCs w:val="24"/>
          <w:lang w:val="en-US" w:eastAsia="zh-CN"/>
        </w:rPr>
        <w:t>28</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和成交供应商应当自成交通知书发出之日起</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日内，根据竞争性磋商文件和成交供应商的竞争性磋商响应文件订立书面合同，</w:t>
      </w:r>
      <w:r>
        <w:rPr>
          <w:rFonts w:hint="eastAsia" w:ascii="宋体" w:hAnsi="宋体" w:cs="宋体" w:eastAsiaTheme="minorEastAsia"/>
          <w:color w:val="auto"/>
          <w:sz w:val="24"/>
          <w:szCs w:val="24"/>
          <w:lang w:eastAsia="zh-CN"/>
        </w:rPr>
        <w:t>采购人</w:t>
      </w:r>
      <w:r>
        <w:rPr>
          <w:rFonts w:hint="eastAsia" w:ascii="宋体" w:hAnsi="宋体" w:cs="宋体"/>
          <w:color w:val="auto"/>
          <w:sz w:val="24"/>
          <w:szCs w:val="24"/>
        </w:rPr>
        <w:t>和成交供应商不得再行订立背离合同实质性内容的其他协议。</w:t>
      </w:r>
    </w:p>
    <w:p w14:paraId="4A176AA8">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28</w:t>
      </w:r>
      <w:r>
        <w:rPr>
          <w:rFonts w:hint="eastAsia" w:asciiTheme="minorEastAsia" w:hAnsiTheme="minorEastAsia" w:eastAsiaTheme="minorEastAsia" w:cstheme="minorEastAsia"/>
          <w:color w:val="auto"/>
          <w:sz w:val="24"/>
          <w:szCs w:val="24"/>
        </w:rPr>
        <w:t>.2成交供应商无正当理由拒签合同的，</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取消其成交资格，</w:t>
      </w:r>
      <w:r>
        <w:rPr>
          <w:rFonts w:hint="eastAsia" w:asciiTheme="minorEastAsia" w:hAnsiTheme="minorEastAsia" w:eastAsiaTheme="minorEastAsia" w:cstheme="minorEastAsia"/>
          <w:color w:val="auto"/>
          <w:sz w:val="24"/>
          <w:szCs w:val="24"/>
          <w:lang w:val="en-US" w:eastAsia="zh-CN"/>
        </w:rPr>
        <w:t>并根据投标信用承诺书有关规定执行</w:t>
      </w:r>
      <w:r>
        <w:rPr>
          <w:rFonts w:hint="eastAsia" w:asciiTheme="minorEastAsia" w:hAnsiTheme="minorEastAsia" w:eastAsiaTheme="minorEastAsia" w:cstheme="minorEastAsia"/>
          <w:color w:val="auto"/>
          <w:sz w:val="24"/>
          <w:szCs w:val="24"/>
        </w:rPr>
        <w:t>；给</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 xml:space="preserve">造成的损失的，成交供应商还应当对予以赔偿。 </w:t>
      </w:r>
    </w:p>
    <w:p w14:paraId="324DCD1B">
      <w:pPr>
        <w:spacing w:line="360" w:lineRule="auto"/>
        <w:ind w:left="599" w:leftChars="228" w:hanging="120" w:hangingChars="50"/>
        <w:outlineLvl w:val="9"/>
        <w:rPr>
          <w:rFonts w:ascii="宋体" w:hAnsi="宋体" w:cs="宋体"/>
          <w:color w:val="auto"/>
          <w:sz w:val="24"/>
          <w:szCs w:val="24"/>
        </w:rPr>
      </w:pPr>
      <w:r>
        <w:rPr>
          <w:rFonts w:hint="eastAsia" w:ascii="宋体" w:hAnsi="宋体" w:cs="宋体"/>
          <w:color w:val="auto"/>
          <w:sz w:val="24"/>
          <w:szCs w:val="24"/>
          <w:lang w:val="en-US" w:eastAsia="zh-CN"/>
        </w:rPr>
        <w:t>28</w:t>
      </w: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成交供应商应当按照合同约定履行义务，完成成交项目，不得将成交项目</w:t>
      </w:r>
    </w:p>
    <w:p w14:paraId="4ED9A987">
      <w:pPr>
        <w:spacing w:line="360" w:lineRule="auto"/>
        <w:outlineLvl w:val="9"/>
        <w:rPr>
          <w:color w:val="auto"/>
          <w:sz w:val="24"/>
          <w:szCs w:val="24"/>
        </w:rPr>
      </w:pPr>
      <w:r>
        <w:rPr>
          <w:rFonts w:hint="eastAsia" w:ascii="宋体" w:hAnsi="宋体" w:cs="宋体"/>
          <w:color w:val="auto"/>
          <w:sz w:val="24"/>
          <w:szCs w:val="24"/>
        </w:rPr>
        <w:t>转让（转包）给他人。</w:t>
      </w:r>
    </w:p>
    <w:p w14:paraId="778B5640">
      <w:pPr>
        <w:pStyle w:val="43"/>
        <w:spacing w:line="360" w:lineRule="auto"/>
        <w:ind w:firstLine="482" w:firstLineChars="200"/>
        <w:outlineLvl w:val="9"/>
        <w:rPr>
          <w:rFonts w:asciiTheme="minorEastAsia" w:hAnsiTheme="minorEastAsia" w:eastAsiaTheme="minorEastAsia" w:cstheme="minorEastAsia"/>
          <w:b/>
          <w:color w:val="auto"/>
          <w:sz w:val="24"/>
          <w:szCs w:val="24"/>
        </w:rPr>
      </w:pPr>
      <w:bookmarkStart w:id="185" w:name="_Toc152042347"/>
      <w:bookmarkStart w:id="186" w:name="_Toc152045571"/>
      <w:bookmarkStart w:id="187" w:name="_Toc144974539"/>
      <w:bookmarkStart w:id="188" w:name="_Toc510859899"/>
      <w:bookmarkStart w:id="189" w:name="_Toc27207"/>
      <w:bookmarkStart w:id="190" w:name="_Toc23799"/>
      <w:bookmarkStart w:id="191" w:name="_Toc27160"/>
      <w:bookmarkStart w:id="192" w:name="_Toc30718"/>
      <w:bookmarkStart w:id="193" w:name="_Toc363119285"/>
      <w:bookmarkStart w:id="194" w:name="_Toc28337"/>
      <w:bookmarkStart w:id="195" w:name="_Toc16241"/>
      <w:bookmarkStart w:id="196" w:name="_Toc17135"/>
      <w:bookmarkStart w:id="197" w:name="_Toc513557034"/>
      <w:bookmarkStart w:id="198" w:name="_Toc8386"/>
      <w:bookmarkStart w:id="199" w:name="_Toc179632589"/>
      <w:bookmarkStart w:id="200" w:name="_Toc510859693"/>
      <w:bookmarkStart w:id="201" w:name="_Toc16686"/>
      <w:r>
        <w:rPr>
          <w:rFonts w:hint="eastAsia" w:asciiTheme="minorEastAsia" w:hAnsiTheme="minorEastAsia" w:eastAsiaTheme="minorEastAsia" w:cstheme="minorEastAsia"/>
          <w:b/>
          <w:color w:val="auto"/>
          <w:sz w:val="24"/>
          <w:szCs w:val="24"/>
        </w:rPr>
        <w:t>7. 重新采购</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45B6763C">
      <w:pPr>
        <w:pStyle w:val="44"/>
        <w:adjustRightInd w:val="0"/>
        <w:snapToGrid w:val="0"/>
        <w:spacing w:line="360" w:lineRule="auto"/>
        <w:outlineLvl w:val="9"/>
        <w:rPr>
          <w:rFonts w:ascii="宋体" w:hAnsi="宋体" w:eastAsia="宋体"/>
          <w:b/>
          <w:color w:val="auto"/>
          <w:sz w:val="24"/>
          <w:szCs w:val="24"/>
        </w:rPr>
      </w:pPr>
      <w:bookmarkStart w:id="202" w:name="_Toc179632590"/>
      <w:bookmarkStart w:id="203" w:name="_Toc152045572"/>
      <w:bookmarkStart w:id="204" w:name="_Toc152042348"/>
      <w:bookmarkStart w:id="205" w:name="_Toc144974540"/>
      <w:r>
        <w:rPr>
          <w:rFonts w:hint="eastAsia" w:ascii="宋体" w:hAnsi="宋体" w:eastAsia="宋体"/>
          <w:b/>
          <w:color w:val="auto"/>
          <w:sz w:val="24"/>
          <w:szCs w:val="24"/>
          <w:lang w:val="en-US" w:eastAsia="zh-CN"/>
        </w:rPr>
        <w:t>29</w:t>
      </w:r>
      <w:r>
        <w:rPr>
          <w:rFonts w:hint="eastAsia" w:ascii="宋体" w:hAnsi="宋体" w:eastAsia="宋体"/>
          <w:b/>
          <w:color w:val="auto"/>
          <w:sz w:val="24"/>
          <w:szCs w:val="24"/>
        </w:rPr>
        <w:t>、重新采购</w:t>
      </w:r>
      <w:bookmarkEnd w:id="202"/>
      <w:bookmarkEnd w:id="203"/>
      <w:bookmarkEnd w:id="204"/>
      <w:bookmarkEnd w:id="205"/>
    </w:p>
    <w:p w14:paraId="14096D51">
      <w:pPr>
        <w:keepNext w:val="0"/>
        <w:keepLines w:val="0"/>
        <w:pageBreakBefore w:val="0"/>
        <w:widowControl w:val="0"/>
        <w:kinsoku/>
        <w:wordWrap/>
        <w:overflowPunct/>
        <w:topLinePunct w:val="0"/>
        <w:autoSpaceDE/>
        <w:autoSpaceDN/>
        <w:bidi w:val="0"/>
        <w:adjustRightInd/>
        <w:snapToGrid/>
        <w:spacing w:line="360" w:lineRule="auto"/>
        <w:ind w:left="0" w:leftChars="0" w:firstLine="360" w:firstLineChars="150"/>
        <w:jc w:val="left"/>
        <w:textAlignment w:val="auto"/>
        <w:outlineLvl w:val="9"/>
        <w:rPr>
          <w:rFonts w:hint="eastAsia" w:ascii="宋体" w:hAnsi="宋体" w:eastAsia="宋体" w:cs="宋体"/>
          <w:color w:val="auto"/>
          <w:sz w:val="24"/>
          <w:szCs w:val="24"/>
        </w:rPr>
      </w:pPr>
      <w:bookmarkStart w:id="206" w:name="_Toc6327"/>
      <w:bookmarkStart w:id="207" w:name="_Toc16351"/>
      <w:bookmarkStart w:id="208" w:name="_Toc363119286"/>
      <w:bookmarkStart w:id="209" w:name="_Toc29516"/>
      <w:bookmarkStart w:id="210" w:name="_Toc152042350"/>
      <w:bookmarkStart w:id="211" w:name="_Toc9642"/>
      <w:bookmarkStart w:id="212" w:name="_Toc152045574"/>
      <w:bookmarkStart w:id="213" w:name="_Toc510859900"/>
      <w:bookmarkStart w:id="214" w:name="_Toc513557035"/>
      <w:bookmarkStart w:id="215" w:name="_Toc144974542"/>
      <w:bookmarkStart w:id="216" w:name="_Toc510859694"/>
      <w:bookmarkStart w:id="217" w:name="_Toc179632592"/>
      <w:r>
        <w:rPr>
          <w:rFonts w:hint="eastAsia" w:ascii="宋体" w:hAnsi="宋体" w:cs="宋体"/>
          <w:color w:val="auto"/>
          <w:sz w:val="24"/>
          <w:szCs w:val="24"/>
          <w:lang w:val="en-US" w:eastAsia="zh-CN"/>
        </w:rPr>
        <w:t>29.1</w:t>
      </w:r>
      <w:r>
        <w:rPr>
          <w:rFonts w:hint="eastAsia" w:ascii="宋体" w:hAnsi="宋体" w:eastAsia="宋体" w:cs="宋体"/>
          <w:color w:val="auto"/>
          <w:sz w:val="24"/>
          <w:szCs w:val="24"/>
        </w:rPr>
        <w:t>磋商开始后，出现下列情形之一的，采购代理机构将终止竞争性磋商采购活动，发布项目终止公告并说明原因，重新开展采购活动：</w:t>
      </w:r>
    </w:p>
    <w:p w14:paraId="200E2489">
      <w:pPr>
        <w:keepNext w:val="0"/>
        <w:keepLines w:val="0"/>
        <w:pageBreakBefore w:val="0"/>
        <w:widowControl w:val="0"/>
        <w:kinsoku/>
        <w:wordWrap/>
        <w:overflowPunct/>
        <w:topLinePunct w:val="0"/>
        <w:autoSpaceDE/>
        <w:autoSpaceDN/>
        <w:bidi w:val="0"/>
        <w:adjustRightInd/>
        <w:snapToGrid/>
        <w:spacing w:line="360" w:lineRule="auto"/>
        <w:ind w:left="0" w:leftChars="0" w:firstLine="120" w:firstLineChars="5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（一）因情况变化，不再符合规定的竞争性磋商采购方式适用情形的；</w:t>
      </w:r>
    </w:p>
    <w:p w14:paraId="121B2985">
      <w:pPr>
        <w:keepNext w:val="0"/>
        <w:keepLines w:val="0"/>
        <w:pageBreakBefore w:val="0"/>
        <w:widowControl w:val="0"/>
        <w:kinsoku/>
        <w:wordWrap/>
        <w:overflowPunct/>
        <w:topLinePunct w:val="0"/>
        <w:autoSpaceDE/>
        <w:autoSpaceDN/>
        <w:bidi w:val="0"/>
        <w:adjustRightInd/>
        <w:snapToGrid/>
        <w:spacing w:line="360" w:lineRule="auto"/>
        <w:ind w:left="0" w:leftChars="0" w:firstLine="120" w:firstLineChars="5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（二）出现影响采购公正的违法、违规行为的；</w:t>
      </w:r>
    </w:p>
    <w:p w14:paraId="3D4C8D7D">
      <w:pPr>
        <w:keepNext w:val="0"/>
        <w:keepLines w:val="0"/>
        <w:pageBreakBefore w:val="0"/>
        <w:widowControl w:val="0"/>
        <w:kinsoku/>
        <w:wordWrap/>
        <w:overflowPunct/>
        <w:topLinePunct w:val="0"/>
        <w:autoSpaceDE/>
        <w:autoSpaceDN/>
        <w:bidi w:val="0"/>
        <w:adjustRightInd/>
        <w:snapToGrid/>
        <w:spacing w:line="360" w:lineRule="auto"/>
        <w:ind w:left="0" w:leftChars="0" w:firstLine="120" w:firstLineChars="5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（三）在采购过程中符合要求的供应商不足3家的 ；</w:t>
      </w:r>
    </w:p>
    <w:p w14:paraId="5663349E">
      <w:pPr>
        <w:keepNext w:val="0"/>
        <w:keepLines w:val="0"/>
        <w:pageBreakBefore w:val="0"/>
        <w:widowControl w:val="0"/>
        <w:kinsoku/>
        <w:wordWrap/>
        <w:overflowPunct/>
        <w:topLinePunct w:val="0"/>
        <w:autoSpaceDE/>
        <w:autoSpaceDN/>
        <w:bidi w:val="0"/>
        <w:adjustRightInd/>
        <w:snapToGrid/>
        <w:spacing w:line="360" w:lineRule="auto"/>
        <w:ind w:left="0" w:leftChars="0" w:firstLine="120" w:firstLineChars="5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（四）报价未超过采购预算的供应商不足3家的。</w:t>
      </w:r>
    </w:p>
    <w:p w14:paraId="04868BF6">
      <w:pPr>
        <w:keepNext w:val="0"/>
        <w:keepLines w:val="0"/>
        <w:pageBreakBefore w:val="0"/>
        <w:widowControl w:val="0"/>
        <w:kinsoku/>
        <w:wordWrap/>
        <w:overflowPunct/>
        <w:topLinePunct w:val="0"/>
        <w:autoSpaceDE/>
        <w:autoSpaceDN/>
        <w:bidi w:val="0"/>
        <w:adjustRightInd/>
        <w:snapToGrid/>
        <w:spacing w:line="360" w:lineRule="auto"/>
        <w:ind w:left="0" w:leftChars="0" w:firstLine="120" w:firstLineChars="50"/>
        <w:jc w:val="left"/>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29</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提交最后报价的供应商为2家时，可以继续进行磋商的情形：</w:t>
      </w:r>
    </w:p>
    <w:p w14:paraId="359C8322">
      <w:pPr>
        <w:keepNext w:val="0"/>
        <w:keepLines w:val="0"/>
        <w:pageBreakBefore w:val="0"/>
        <w:widowControl w:val="0"/>
        <w:kinsoku/>
        <w:wordWrap/>
        <w:overflowPunct/>
        <w:topLinePunct w:val="0"/>
        <w:autoSpaceDE/>
        <w:autoSpaceDN/>
        <w:bidi w:val="0"/>
        <w:adjustRightInd/>
        <w:snapToGrid/>
        <w:spacing w:line="360" w:lineRule="auto"/>
        <w:ind w:left="0" w:leftChars="0" w:firstLine="120" w:firstLineChars="5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（一）市场竞争不充分的科研项目，以及需要扶持的科技成果转化项目；</w:t>
      </w:r>
    </w:p>
    <w:p w14:paraId="73837A61">
      <w:pPr>
        <w:keepNext w:val="0"/>
        <w:keepLines w:val="0"/>
        <w:pageBreakBefore w:val="0"/>
        <w:widowControl w:val="0"/>
        <w:kinsoku/>
        <w:wordWrap/>
        <w:overflowPunct/>
        <w:topLinePunct w:val="0"/>
        <w:autoSpaceDE/>
        <w:autoSpaceDN/>
        <w:bidi w:val="0"/>
        <w:adjustRightInd/>
        <w:snapToGrid/>
        <w:spacing w:line="360" w:lineRule="auto"/>
        <w:ind w:left="0" w:leftChars="0" w:firstLine="120" w:firstLineChars="50"/>
        <w:jc w:val="left"/>
        <w:textAlignment w:val="auto"/>
        <w:outlineLvl w:val="9"/>
        <w:rPr>
          <w:rFonts w:hint="eastAsia" w:ascii="宋体" w:hAnsi="宋体" w:eastAsia="宋体" w:cs="宋体"/>
          <w:color w:val="auto"/>
          <w:sz w:val="24"/>
          <w:szCs w:val="24"/>
        </w:rPr>
      </w:pPr>
      <w:bookmarkStart w:id="218" w:name="_Toc21530"/>
      <w:r>
        <w:rPr>
          <w:rFonts w:hint="eastAsia" w:ascii="宋体" w:hAnsi="宋体" w:eastAsia="宋体" w:cs="宋体"/>
          <w:color w:val="auto"/>
          <w:sz w:val="24"/>
          <w:szCs w:val="24"/>
        </w:rPr>
        <w:t>（二）政府购买服务项目（含政府和社会资本项目）。</w:t>
      </w:r>
      <w:bookmarkEnd w:id="218"/>
    </w:p>
    <w:p w14:paraId="69CAB3DC">
      <w:pPr>
        <w:pStyle w:val="43"/>
        <w:spacing w:line="360" w:lineRule="auto"/>
        <w:ind w:firstLine="482" w:firstLineChars="200"/>
        <w:outlineLvl w:val="9"/>
        <w:rPr>
          <w:rFonts w:asciiTheme="minorEastAsia" w:hAnsiTheme="minorEastAsia" w:eastAsiaTheme="minorEastAsia" w:cstheme="minorEastAsia"/>
          <w:b/>
          <w:color w:val="auto"/>
          <w:sz w:val="24"/>
          <w:szCs w:val="24"/>
        </w:rPr>
      </w:pPr>
      <w:bookmarkStart w:id="219" w:name="_Toc3899"/>
      <w:bookmarkStart w:id="220" w:name="_Toc29962"/>
      <w:bookmarkStart w:id="221" w:name="_Toc31841"/>
      <w:bookmarkStart w:id="222" w:name="_Toc179"/>
      <w:bookmarkStart w:id="223" w:name="_Toc15443"/>
      <w:r>
        <w:rPr>
          <w:rFonts w:hint="eastAsia" w:asciiTheme="minorEastAsia" w:hAnsiTheme="minorEastAsia" w:eastAsiaTheme="minorEastAsia" w:cstheme="minorEastAsia"/>
          <w:b/>
          <w:color w:val="auto"/>
          <w:sz w:val="24"/>
          <w:szCs w:val="24"/>
        </w:rPr>
        <w:t>8. 纪律和监督</w:t>
      </w:r>
      <w:bookmarkEnd w:id="206"/>
      <w:bookmarkEnd w:id="207"/>
      <w:bookmarkEnd w:id="208"/>
      <w:bookmarkEnd w:id="209"/>
      <w:bookmarkEnd w:id="210"/>
      <w:bookmarkEnd w:id="211"/>
      <w:bookmarkEnd w:id="212"/>
      <w:bookmarkEnd w:id="213"/>
      <w:bookmarkEnd w:id="214"/>
      <w:bookmarkEnd w:id="215"/>
      <w:bookmarkEnd w:id="216"/>
      <w:bookmarkEnd w:id="217"/>
      <w:bookmarkEnd w:id="219"/>
      <w:bookmarkEnd w:id="220"/>
      <w:bookmarkEnd w:id="221"/>
      <w:bookmarkEnd w:id="222"/>
      <w:bookmarkEnd w:id="223"/>
    </w:p>
    <w:p w14:paraId="5240E24D">
      <w:pPr>
        <w:pStyle w:val="44"/>
        <w:adjustRightInd w:val="0"/>
        <w:snapToGrid w:val="0"/>
        <w:spacing w:line="360" w:lineRule="auto"/>
        <w:outlineLvl w:val="9"/>
        <w:rPr>
          <w:rFonts w:ascii="宋体" w:hAnsi="宋体" w:eastAsia="宋体"/>
          <w:b/>
          <w:color w:val="auto"/>
          <w:sz w:val="24"/>
          <w:szCs w:val="24"/>
        </w:rPr>
      </w:pPr>
      <w:bookmarkStart w:id="224" w:name="_Toc152045575"/>
      <w:bookmarkStart w:id="225" w:name="_Toc144974543"/>
      <w:bookmarkStart w:id="226" w:name="_Toc179632593"/>
      <w:bookmarkStart w:id="227" w:name="_Toc152042351"/>
      <w:r>
        <w:rPr>
          <w:rFonts w:hint="eastAsia" w:ascii="宋体" w:hAnsi="宋体" w:eastAsia="宋体"/>
          <w:b/>
          <w:color w:val="auto"/>
          <w:sz w:val="24"/>
          <w:szCs w:val="24"/>
          <w:lang w:val="en-US" w:eastAsia="zh-CN"/>
        </w:rPr>
        <w:t>30</w:t>
      </w:r>
      <w:r>
        <w:rPr>
          <w:rFonts w:hint="eastAsia" w:ascii="宋体" w:hAnsi="宋体" w:eastAsia="宋体"/>
          <w:b/>
          <w:color w:val="auto"/>
          <w:sz w:val="24"/>
          <w:szCs w:val="24"/>
        </w:rPr>
        <w:t>、对</w:t>
      </w:r>
      <w:r>
        <w:rPr>
          <w:rFonts w:hint="eastAsia" w:ascii="宋体" w:hAnsi="宋体" w:eastAsia="宋体"/>
          <w:b/>
          <w:color w:val="auto"/>
          <w:sz w:val="24"/>
          <w:szCs w:val="24"/>
          <w:lang w:eastAsia="zh-CN"/>
        </w:rPr>
        <w:t>采购人</w:t>
      </w:r>
      <w:r>
        <w:rPr>
          <w:rFonts w:hint="eastAsia" w:ascii="宋体" w:hAnsi="宋体" w:eastAsia="宋体"/>
          <w:b/>
          <w:color w:val="auto"/>
          <w:sz w:val="24"/>
          <w:szCs w:val="24"/>
        </w:rPr>
        <w:t>的纪律要求</w:t>
      </w:r>
      <w:bookmarkEnd w:id="224"/>
      <w:bookmarkEnd w:id="225"/>
      <w:bookmarkEnd w:id="226"/>
      <w:bookmarkEnd w:id="227"/>
    </w:p>
    <w:p w14:paraId="59D13E26">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不得泄漏招标投标活动中应当保密的情况和资料，不得与供应商串通损害国家利益、社会公共利益或者他人合法权益。</w:t>
      </w:r>
    </w:p>
    <w:p w14:paraId="18E5D9DF">
      <w:pPr>
        <w:pStyle w:val="44"/>
        <w:adjustRightInd w:val="0"/>
        <w:snapToGrid w:val="0"/>
        <w:spacing w:line="360" w:lineRule="auto"/>
        <w:outlineLvl w:val="9"/>
        <w:rPr>
          <w:rFonts w:ascii="宋体" w:hAnsi="宋体" w:eastAsia="宋体"/>
          <w:b/>
          <w:color w:val="auto"/>
          <w:sz w:val="24"/>
          <w:szCs w:val="24"/>
        </w:rPr>
      </w:pPr>
      <w:bookmarkStart w:id="228" w:name="_Toc152045576"/>
      <w:bookmarkStart w:id="229" w:name="_Toc152042352"/>
      <w:bookmarkStart w:id="230" w:name="_Toc179632594"/>
      <w:bookmarkStart w:id="231" w:name="_Toc144974544"/>
      <w:r>
        <w:rPr>
          <w:rFonts w:hint="eastAsia" w:ascii="宋体" w:hAnsi="宋体" w:eastAsia="宋体"/>
          <w:b/>
          <w:color w:val="auto"/>
          <w:sz w:val="24"/>
          <w:szCs w:val="24"/>
          <w:lang w:val="en-US" w:eastAsia="zh-CN"/>
        </w:rPr>
        <w:t>31</w:t>
      </w:r>
      <w:r>
        <w:rPr>
          <w:rFonts w:hint="eastAsia" w:ascii="宋体" w:hAnsi="宋体" w:eastAsia="宋体"/>
          <w:b/>
          <w:color w:val="auto"/>
          <w:sz w:val="24"/>
          <w:szCs w:val="24"/>
        </w:rPr>
        <w:t>、对供应商的纪律要求</w:t>
      </w:r>
      <w:bookmarkEnd w:id="228"/>
      <w:bookmarkEnd w:id="229"/>
      <w:bookmarkEnd w:id="230"/>
      <w:bookmarkEnd w:id="231"/>
    </w:p>
    <w:p w14:paraId="101D9EC1">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供应商不得相互串通磋商或者与</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串通磋商，不得向</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或者磋商小组成员行贿谋取成交，不得以他人名义磋商或者以其他方式弄虚作假骗取成交；供应商不得以任何方式干扰、影响评审工作。</w:t>
      </w:r>
    </w:p>
    <w:p w14:paraId="028352FA">
      <w:pPr>
        <w:pStyle w:val="44"/>
        <w:adjustRightInd w:val="0"/>
        <w:snapToGrid w:val="0"/>
        <w:spacing w:line="360" w:lineRule="auto"/>
        <w:outlineLvl w:val="9"/>
        <w:rPr>
          <w:rFonts w:ascii="宋体" w:hAnsi="宋体" w:eastAsia="宋体"/>
          <w:b/>
          <w:color w:val="auto"/>
          <w:sz w:val="24"/>
          <w:szCs w:val="24"/>
        </w:rPr>
      </w:pPr>
      <w:bookmarkStart w:id="232" w:name="_Toc179632595"/>
      <w:bookmarkStart w:id="233" w:name="_Toc144974545"/>
      <w:bookmarkStart w:id="234" w:name="_Toc152045577"/>
      <w:bookmarkStart w:id="235" w:name="_Toc152042353"/>
      <w:r>
        <w:rPr>
          <w:rFonts w:hint="eastAsia" w:ascii="宋体" w:hAnsi="宋体" w:eastAsia="宋体"/>
          <w:b/>
          <w:color w:val="auto"/>
          <w:sz w:val="24"/>
          <w:szCs w:val="24"/>
          <w:lang w:val="en-US" w:eastAsia="zh-CN"/>
        </w:rPr>
        <w:t>32</w:t>
      </w:r>
      <w:r>
        <w:rPr>
          <w:rFonts w:hint="eastAsia" w:ascii="宋体" w:hAnsi="宋体" w:eastAsia="宋体"/>
          <w:b/>
          <w:color w:val="auto"/>
          <w:sz w:val="24"/>
          <w:szCs w:val="24"/>
        </w:rPr>
        <w:t>、对磋商小组成员的纪律要求</w:t>
      </w:r>
      <w:bookmarkEnd w:id="232"/>
      <w:bookmarkEnd w:id="233"/>
      <w:bookmarkEnd w:id="234"/>
      <w:bookmarkEnd w:id="235"/>
    </w:p>
    <w:p w14:paraId="7CDA54F5">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小组成员不得收受他人的财物或者其他好处，不得向他人透漏对竞争性磋商响应文件的评审和比较、成交人候选人的推荐情况以及评审有关的其他情况。在评审活动中，磋商小组成员不得擅离职守，影响评审程序正常进行，不得使用“评审办法”没有规定的评审因素和标准进行评审。</w:t>
      </w:r>
    </w:p>
    <w:p w14:paraId="2752029C">
      <w:pPr>
        <w:pStyle w:val="44"/>
        <w:adjustRightInd w:val="0"/>
        <w:snapToGrid w:val="0"/>
        <w:spacing w:line="360" w:lineRule="auto"/>
        <w:outlineLvl w:val="9"/>
        <w:rPr>
          <w:rFonts w:ascii="宋体" w:hAnsi="宋体" w:eastAsia="宋体"/>
          <w:b/>
          <w:color w:val="auto"/>
          <w:sz w:val="24"/>
          <w:szCs w:val="24"/>
        </w:rPr>
      </w:pPr>
      <w:bookmarkStart w:id="236" w:name="_Toc152045578"/>
      <w:bookmarkStart w:id="237" w:name="_Toc152042354"/>
      <w:bookmarkStart w:id="238" w:name="_Toc179632596"/>
      <w:bookmarkStart w:id="239" w:name="_Toc144974546"/>
      <w:r>
        <w:rPr>
          <w:rFonts w:hint="eastAsia" w:ascii="宋体" w:hAnsi="宋体" w:eastAsia="宋体"/>
          <w:b/>
          <w:color w:val="auto"/>
          <w:sz w:val="24"/>
          <w:szCs w:val="24"/>
          <w:lang w:val="en-US" w:eastAsia="zh-CN"/>
        </w:rPr>
        <w:t>33</w:t>
      </w:r>
      <w:r>
        <w:rPr>
          <w:rFonts w:hint="eastAsia" w:ascii="宋体" w:hAnsi="宋体" w:eastAsia="宋体"/>
          <w:b/>
          <w:color w:val="auto"/>
          <w:sz w:val="24"/>
          <w:szCs w:val="24"/>
        </w:rPr>
        <w:t>、 对与评审活动有关的工作人员的纪律要求</w:t>
      </w:r>
      <w:bookmarkEnd w:id="236"/>
      <w:bookmarkEnd w:id="237"/>
      <w:bookmarkEnd w:id="238"/>
    </w:p>
    <w:p w14:paraId="6C709E3C">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bookmarkStart w:id="240" w:name="_Toc152042355"/>
      <w:r>
        <w:rPr>
          <w:rFonts w:hint="eastAsia" w:asciiTheme="minorEastAsia" w:hAnsiTheme="minorEastAsia" w:eastAsiaTheme="minorEastAsia" w:cstheme="minorEastAsia"/>
          <w:color w:val="auto"/>
          <w:sz w:val="24"/>
          <w:szCs w:val="24"/>
        </w:rPr>
        <w:t>与评审活动有关的工作人员不得收受他人的财物或者其他好处，不得向他人透漏对竞争性磋商响应文件的评审和比较、成交人候选人的推荐情况以及评审有关的其他情况。在评审活动中，与评审活动有关的工作人员不得擅离职守，影响评审程序正常进行。</w:t>
      </w:r>
      <w:bookmarkEnd w:id="240"/>
    </w:p>
    <w:p w14:paraId="56699D96">
      <w:pPr>
        <w:pStyle w:val="44"/>
        <w:adjustRightInd w:val="0"/>
        <w:snapToGrid w:val="0"/>
        <w:spacing w:line="360" w:lineRule="auto"/>
        <w:outlineLvl w:val="9"/>
        <w:rPr>
          <w:rFonts w:ascii="宋体" w:hAnsi="宋体" w:eastAsia="宋体"/>
          <w:b/>
          <w:color w:val="auto"/>
          <w:sz w:val="24"/>
          <w:szCs w:val="24"/>
        </w:rPr>
      </w:pPr>
      <w:bookmarkStart w:id="241" w:name="_Toc152045579"/>
      <w:bookmarkStart w:id="242" w:name="_Toc179632597"/>
      <w:bookmarkStart w:id="243" w:name="_Toc152042356"/>
      <w:r>
        <w:rPr>
          <w:rFonts w:hint="eastAsia" w:ascii="宋体" w:hAnsi="宋体" w:eastAsia="宋体"/>
          <w:b/>
          <w:color w:val="auto"/>
          <w:sz w:val="24"/>
          <w:szCs w:val="24"/>
        </w:rPr>
        <w:t>3</w:t>
      </w:r>
      <w:r>
        <w:rPr>
          <w:rFonts w:hint="eastAsia" w:ascii="宋体" w:hAnsi="宋体" w:eastAsia="宋体"/>
          <w:b/>
          <w:color w:val="auto"/>
          <w:sz w:val="24"/>
          <w:szCs w:val="24"/>
          <w:lang w:val="en-US" w:eastAsia="zh-CN"/>
        </w:rPr>
        <w:t>4</w:t>
      </w:r>
      <w:r>
        <w:rPr>
          <w:rFonts w:hint="eastAsia" w:ascii="宋体" w:hAnsi="宋体" w:eastAsia="宋体"/>
          <w:b/>
          <w:color w:val="auto"/>
          <w:sz w:val="24"/>
          <w:szCs w:val="24"/>
        </w:rPr>
        <w:t>、 投诉</w:t>
      </w:r>
      <w:bookmarkEnd w:id="239"/>
      <w:bookmarkEnd w:id="241"/>
      <w:bookmarkEnd w:id="242"/>
      <w:bookmarkEnd w:id="243"/>
    </w:p>
    <w:p w14:paraId="00909431">
      <w:pPr>
        <w:adjustRightInd w:val="0"/>
        <w:snapToGrid w:val="0"/>
        <w:spacing w:line="360" w:lineRule="auto"/>
        <w:ind w:firstLine="480" w:firstLineChars="200"/>
        <w:outlineLvl w:val="9"/>
        <w:rPr>
          <w:rFonts w:ascii="宋体" w:hAnsi="宋体"/>
          <w:bCs/>
          <w:color w:val="auto"/>
          <w:kern w:val="44"/>
          <w:sz w:val="24"/>
          <w:szCs w:val="24"/>
        </w:rPr>
      </w:pPr>
      <w:r>
        <w:rPr>
          <w:rFonts w:hint="eastAsia" w:asciiTheme="minorEastAsia" w:hAnsiTheme="minorEastAsia" w:eastAsiaTheme="minorEastAsia" w:cstheme="minorEastAsia"/>
          <w:color w:val="auto"/>
          <w:sz w:val="24"/>
          <w:szCs w:val="24"/>
        </w:rPr>
        <w:t>供应商和其他利害关系人认为本次招标活动违反法律、法规和规章规定的，有权向有关行政监督部门投诉。</w:t>
      </w:r>
      <w:bookmarkEnd w:id="26"/>
      <w:bookmarkEnd w:id="27"/>
      <w:bookmarkStart w:id="244" w:name="_Toc511146529"/>
      <w:bookmarkStart w:id="245" w:name="_Toc504605093"/>
    </w:p>
    <w:p w14:paraId="1E9A0FD9">
      <w:pPr>
        <w:jc w:val="center"/>
        <w:outlineLvl w:val="9"/>
        <w:rPr>
          <w:rFonts w:hint="eastAsia" w:ascii="宋体" w:hAnsi="宋体"/>
          <w:b/>
          <w:color w:val="auto"/>
          <w:sz w:val="24"/>
          <w:szCs w:val="24"/>
        </w:rPr>
      </w:pPr>
      <w:bookmarkStart w:id="246" w:name="_Toc31487"/>
      <w:r>
        <w:rPr>
          <w:rFonts w:hint="eastAsia" w:ascii="宋体" w:hAnsi="宋体"/>
          <w:b/>
          <w:color w:val="auto"/>
          <w:sz w:val="24"/>
          <w:szCs w:val="24"/>
          <w:lang w:val="en-US" w:eastAsia="zh-CN"/>
        </w:rPr>
        <w:t>9</w:t>
      </w:r>
      <w:r>
        <w:rPr>
          <w:rFonts w:hint="eastAsia" w:ascii="宋体" w:hAnsi="宋体"/>
          <w:b/>
          <w:color w:val="auto"/>
          <w:sz w:val="24"/>
          <w:szCs w:val="24"/>
        </w:rPr>
        <w:t>．其它事项</w:t>
      </w:r>
    </w:p>
    <w:p w14:paraId="357859D3">
      <w:pPr>
        <w:pStyle w:val="10"/>
        <w:outlineLvl w:val="9"/>
        <w:rPr>
          <w:rFonts w:hint="eastAsia"/>
          <w:color w:val="auto"/>
          <w:sz w:val="24"/>
          <w:szCs w:val="24"/>
        </w:rPr>
      </w:pPr>
    </w:p>
    <w:p w14:paraId="0A4B43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35、</w:t>
      </w:r>
      <w:r>
        <w:rPr>
          <w:rFonts w:hint="eastAsia" w:ascii="宋体" w:hAnsi="宋体" w:eastAsia="宋体" w:cs="宋体"/>
          <w:color w:val="auto"/>
          <w:sz w:val="24"/>
          <w:szCs w:val="24"/>
        </w:rPr>
        <w:t>成交供应商确定后，成交供应商无正当理由拖延或拒签合同的，或未能按照规定的时间提供履约担保，采购人有权取消其成交资格，并按评审顺序重新确定成交供应商。同时报请监督机构予以通报，禁止其进入政府采购市场，并</w:t>
      </w:r>
      <w:r>
        <w:rPr>
          <w:rFonts w:hint="eastAsia" w:ascii="宋体" w:hAnsi="宋体" w:cs="宋体"/>
          <w:color w:val="auto"/>
          <w:sz w:val="24"/>
          <w:szCs w:val="24"/>
          <w:lang w:val="en-US" w:eastAsia="zh-CN"/>
        </w:rPr>
        <w:t>根据投标信用承诺书有关规定执行</w:t>
      </w:r>
      <w:r>
        <w:rPr>
          <w:rFonts w:hint="eastAsia" w:ascii="宋体" w:hAnsi="宋体" w:eastAsia="宋体" w:cs="宋体"/>
          <w:color w:val="auto"/>
          <w:sz w:val="24"/>
          <w:szCs w:val="24"/>
        </w:rPr>
        <w:t>。给采购人造成损失，还应当对予以赔偿，并依法承担相应法律责任。</w:t>
      </w:r>
    </w:p>
    <w:p w14:paraId="0840CC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36</w:t>
      </w:r>
      <w:r>
        <w:rPr>
          <w:rFonts w:hint="eastAsia" w:ascii="宋体" w:hAnsi="宋体" w:eastAsia="宋体" w:cs="宋体"/>
          <w:color w:val="auto"/>
          <w:sz w:val="24"/>
          <w:szCs w:val="24"/>
        </w:rPr>
        <w:t>、其他未尽事宜，按照《中华人民共和国政府采购法》、《中华人民共和国政府采购法实施条例》等法律法规的有关条款执行。</w:t>
      </w:r>
    </w:p>
    <w:p w14:paraId="0FDDAB89">
      <w:pPr>
        <w:pStyle w:val="10"/>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37、政采贷业务</w:t>
      </w:r>
    </w:p>
    <w:p w14:paraId="252F0D2B">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为了进一步推动金融支持政策更好适应市场主体的需要，扎实落实国务院关于支持中小企业发展的政策措施，积极发挥政府采购政策功能，有效缓解中小企业融资难、融资贵问题，根据中办</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国办《关于促进中小企业健康发展的指导意见》、财政部</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工信部《政府采购促进中小企业发展</w:t>
      </w:r>
      <w:r>
        <w:rPr>
          <w:rFonts w:hint="eastAsia" w:ascii="宋体" w:hAnsi="宋体" w:eastAsia="宋体" w:cs="宋体"/>
          <w:b w:val="0"/>
          <w:bCs w:val="0"/>
          <w:color w:val="auto"/>
          <w:sz w:val="24"/>
          <w:szCs w:val="24"/>
          <w:lang w:val="en-US" w:eastAsia="zh-CN"/>
        </w:rPr>
        <w:t>管理</w:t>
      </w:r>
      <w:r>
        <w:rPr>
          <w:rFonts w:hint="eastAsia" w:ascii="宋体" w:hAnsi="宋体" w:eastAsia="宋体" w:cs="宋体"/>
          <w:b w:val="0"/>
          <w:bCs w:val="0"/>
          <w:color w:val="auto"/>
          <w:sz w:val="24"/>
          <w:szCs w:val="24"/>
        </w:rPr>
        <w:t>办法》（财库〔20</w:t>
      </w:r>
      <w:r>
        <w:rPr>
          <w:rFonts w:hint="eastAsia" w:ascii="宋体" w:hAnsi="宋体" w:eastAsia="宋体" w:cs="宋体"/>
          <w:b w:val="0"/>
          <w:bCs w:val="0"/>
          <w:color w:val="auto"/>
          <w:sz w:val="24"/>
          <w:szCs w:val="24"/>
          <w:lang w:val="en-US" w:eastAsia="zh-CN"/>
        </w:rPr>
        <w:t>20</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46</w:t>
      </w:r>
      <w:r>
        <w:rPr>
          <w:rFonts w:hint="eastAsia" w:ascii="宋体" w:hAnsi="宋体" w:eastAsia="宋体" w:cs="宋体"/>
          <w:b w:val="0"/>
          <w:bCs w:val="0"/>
          <w:color w:val="auto"/>
          <w:sz w:val="24"/>
          <w:szCs w:val="24"/>
        </w:rPr>
        <w:t>号）、《陕西省中小企业政府采购信用融资办法》（陕财办采〔2018〕23号）、《陕西省财政厅关于加快推进我省中小企业政府采购信用融资工作的通知》（陕财办采〔2020〕15号）</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《陕西省财政厅 中国人民银行西安分行关于深入推进政府采购信用融资业务的通知》</w:t>
      </w:r>
      <w:r>
        <w:rPr>
          <w:rFonts w:hint="eastAsia" w:ascii="宋体" w:hAnsi="宋体" w:eastAsia="宋体" w:cs="宋体"/>
          <w:b w:val="0"/>
          <w:bCs w:val="0"/>
          <w:color w:val="auto"/>
          <w:sz w:val="24"/>
          <w:szCs w:val="24"/>
        </w:rPr>
        <w:t>（陕财办采〔202</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〕5号）等有关规定，按照</w:t>
      </w:r>
      <w:r>
        <w:rPr>
          <w:rFonts w:hint="eastAsia" w:ascii="宋体" w:hAnsi="宋体" w:eastAsia="宋体" w:cs="宋体"/>
          <w:b w:val="0"/>
          <w:bCs w:val="0"/>
          <w:color w:val="auto"/>
          <w:sz w:val="24"/>
          <w:szCs w:val="24"/>
          <w:lang w:val="en-US" w:eastAsia="zh-CN"/>
        </w:rPr>
        <w:t>政府</w:t>
      </w:r>
      <w:r>
        <w:rPr>
          <w:rFonts w:hint="eastAsia" w:ascii="宋体" w:hAnsi="宋体" w:eastAsia="宋体" w:cs="宋体"/>
          <w:b w:val="0"/>
          <w:bCs w:val="0"/>
          <w:color w:val="auto"/>
          <w:sz w:val="24"/>
          <w:szCs w:val="24"/>
        </w:rPr>
        <w:t>引导、</w:t>
      </w:r>
      <w:r>
        <w:rPr>
          <w:rFonts w:hint="eastAsia" w:ascii="宋体" w:hAnsi="宋体" w:eastAsia="宋体" w:cs="宋体"/>
          <w:b w:val="0"/>
          <w:bCs w:val="0"/>
          <w:color w:val="auto"/>
          <w:sz w:val="24"/>
          <w:szCs w:val="24"/>
          <w:lang w:val="en-US" w:eastAsia="zh-CN"/>
        </w:rPr>
        <w:t>市场运作、银企</w:t>
      </w:r>
      <w:r>
        <w:rPr>
          <w:rFonts w:hint="eastAsia" w:ascii="宋体" w:hAnsi="宋体" w:eastAsia="宋体" w:cs="宋体"/>
          <w:b w:val="0"/>
          <w:bCs w:val="0"/>
          <w:color w:val="auto"/>
          <w:sz w:val="24"/>
          <w:szCs w:val="24"/>
        </w:rPr>
        <w:t>自愿、风险自担的原则，中标（成交）供应商可根据自身资金需求，登录陕西省政府采购信用融资平台</w:t>
      </w:r>
      <w:r>
        <w:rPr>
          <w:rFonts w:hint="eastAsia" w:ascii="宋体" w:hAnsi="宋体" w:eastAsia="宋体" w:cs="宋体"/>
          <w:b w:val="0"/>
          <w:bCs w:val="0"/>
          <w:color w:val="auto"/>
          <w:spacing w:val="-6"/>
          <w:sz w:val="24"/>
          <w:szCs w:val="24"/>
        </w:rPr>
        <w:t>（http://www.ccgp-shaanxi.gov.cn/zcdservice/zcd/shanxi/）</w:t>
      </w:r>
      <w:r>
        <w:rPr>
          <w:rFonts w:hint="eastAsia" w:ascii="宋体" w:hAnsi="宋体" w:eastAsia="宋体" w:cs="宋体"/>
          <w:b w:val="0"/>
          <w:bCs w:val="0"/>
          <w:color w:val="auto"/>
          <w:sz w:val="24"/>
          <w:szCs w:val="24"/>
          <w:lang w:val="en-US" w:eastAsia="zh-CN"/>
        </w:rPr>
        <w:t>或中征平台（https://www.crcrfsp.com）</w:t>
      </w:r>
      <w:r>
        <w:rPr>
          <w:rFonts w:hint="eastAsia" w:ascii="宋体" w:hAnsi="宋体" w:eastAsia="宋体" w:cs="宋体"/>
          <w:b w:val="0"/>
          <w:bCs w:val="0"/>
          <w:color w:val="auto"/>
          <w:sz w:val="24"/>
          <w:szCs w:val="24"/>
        </w:rPr>
        <w:t>在线申请，依法参加政府采购信用融资活动。</w:t>
      </w:r>
    </w:p>
    <w:tbl>
      <w:tblPr>
        <w:tblStyle w:val="25"/>
        <w:tblpPr w:leftFromText="180" w:rightFromText="180" w:vertAnchor="page" w:horzAnchor="page" w:tblpX="1471" w:tblpY="4277"/>
        <w:tblOverlap w:val="never"/>
        <w:tblW w:w="95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056"/>
        <w:gridCol w:w="1068"/>
        <w:gridCol w:w="1104"/>
        <w:gridCol w:w="1116"/>
        <w:gridCol w:w="1392"/>
        <w:gridCol w:w="1104"/>
        <w:gridCol w:w="2052"/>
      </w:tblGrid>
      <w:tr w14:paraId="190B8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6" w:type="dxa"/>
            <w:tcBorders>
              <w:top w:val="nil"/>
              <w:left w:val="nil"/>
              <w:bottom w:val="nil"/>
              <w:right w:val="nil"/>
            </w:tcBorders>
            <w:noWrap/>
            <w:vAlign w:val="center"/>
          </w:tcPr>
          <w:p w14:paraId="417DB593">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1"/>
                <w:szCs w:val="21"/>
                <w:u w:val="none"/>
                <w:lang w:val="en-US" w:eastAsia="zh-CN" w:bidi="ar"/>
              </w:rPr>
            </w:pPr>
          </w:p>
        </w:tc>
        <w:tc>
          <w:tcPr>
            <w:tcW w:w="8892" w:type="dxa"/>
            <w:gridSpan w:val="7"/>
            <w:tcBorders>
              <w:top w:val="nil"/>
              <w:left w:val="nil"/>
              <w:bottom w:val="nil"/>
              <w:right w:val="nil"/>
            </w:tcBorders>
            <w:noWrap/>
            <w:vAlign w:val="center"/>
          </w:tcPr>
          <w:p w14:paraId="3869306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榆林市“政采贷”业务办理银行联系表</w:t>
            </w:r>
          </w:p>
        </w:tc>
      </w:tr>
      <w:tr w14:paraId="768A4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CD30DE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序号</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2FC61A5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银行名称</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36026E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产品名称</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8E94F3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贷款额度</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0ED3AE4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贷款期限</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1C4AA0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贷款利率</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FF2A33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办理时效</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4CF9ACA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联系人</w:t>
            </w:r>
          </w:p>
        </w:tc>
      </w:tr>
      <w:tr w14:paraId="1BA7F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53250C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67971C3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长安银行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3BE0360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3F5B83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E8ADB4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5EC49C9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E2F581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14:paraId="2ABC198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魏  众15109123951</w:t>
            </w:r>
          </w:p>
        </w:tc>
      </w:tr>
      <w:tr w14:paraId="08CF0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7D5EC8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28F7847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中信银行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3426E7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A44E4A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5DED163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2C0F568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324238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41A72EE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  明18992218795</w:t>
            </w:r>
          </w:p>
        </w:tc>
      </w:tr>
      <w:tr w14:paraId="35104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DC6C51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6938DF2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光大银行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B0B369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D96AFE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0BD94E0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598B299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1B7129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71C1CC9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艾思宇13509127997</w:t>
            </w:r>
          </w:p>
        </w:tc>
      </w:tr>
      <w:tr w14:paraId="0EBD6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D7BE05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58FAF8F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5BDF10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秦政贷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2FDB19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6733F36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9C9470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E0140D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1443EAB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  飞15291296886</w:t>
            </w:r>
          </w:p>
        </w:tc>
      </w:tr>
      <w:tr w14:paraId="74A88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4748267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E744F7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063ECD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C99CD3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67C8AA7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6192CE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02CA0B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14:paraId="263B221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  浩18691230007</w:t>
            </w:r>
          </w:p>
        </w:tc>
      </w:tr>
      <w:tr w14:paraId="73A90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430BA6C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1E67C4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招商银行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2B6834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0336FE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112EBC3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1787DF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4C2469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5FE9FC3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  烨15596100007</w:t>
            </w:r>
          </w:p>
        </w:tc>
      </w:tr>
      <w:tr w14:paraId="77516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2FB373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6F5E77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浦发银行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BFF167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E11225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6B9664E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6FD447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653B22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553FD1A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朱  君15629169158</w:t>
            </w:r>
          </w:p>
        </w:tc>
      </w:tr>
      <w:tr w14:paraId="3EC46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47C33A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E89289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农商银行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C0AB1E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1D3963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7BCA8EA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E59331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3.45%-5.8%</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4531E0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6C0A51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  璐15529875056</w:t>
            </w:r>
          </w:p>
        </w:tc>
      </w:tr>
      <w:tr w14:paraId="41426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A8D940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4496F66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377D16B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5BDCC5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6B3ABFE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8AB84C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3.45%以上</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9C36AE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A14615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米璐洁18966997666</w:t>
            </w:r>
          </w:p>
        </w:tc>
      </w:tr>
      <w:tr w14:paraId="44C57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B4A969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4F91F6E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民生银行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B8713C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E1B36A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7478CB7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BA8107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5DA534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4627DD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郝双双15991225850</w:t>
            </w:r>
          </w:p>
        </w:tc>
      </w:tr>
      <w:tr w14:paraId="03530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939FDC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646D93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兴业银行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7F65A52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C879AF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6A97252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1年期</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5BB093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CA570E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13E87C8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薛万隆18709258523</w:t>
            </w:r>
          </w:p>
        </w:tc>
      </w:tr>
      <w:tr w14:paraId="1E393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C1DDE8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2D09EF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广发银行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468B32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政采通</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9106AC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6FF8824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44D316C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EDBABB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492637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李思嘉15191820101</w:t>
            </w:r>
          </w:p>
        </w:tc>
      </w:tr>
      <w:tr w14:paraId="5CE69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A7EF7B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5A03826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建设银行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B7083E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E政通</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D23DCD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036DD22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E771E6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5857CA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564BB03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张 宇 15929397838</w:t>
            </w:r>
          </w:p>
        </w:tc>
      </w:tr>
    </w:tbl>
    <w:p w14:paraId="0A62E881">
      <w:pPr>
        <w:rPr>
          <w:rFonts w:hint="eastAsia" w:ascii="宋体" w:hAnsi="宋体" w:cs="宋体"/>
          <w:color w:val="auto"/>
          <w:sz w:val="24"/>
          <w:szCs w:val="24"/>
          <w:highlight w:val="none"/>
        </w:rPr>
      </w:pPr>
    </w:p>
    <w:p w14:paraId="51C12DF9">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备注：银行排名不分先后。如产品额度、期限、利率等内容发生改变，以银行解释为准。</w:t>
      </w:r>
    </w:p>
    <w:p w14:paraId="37BC7096">
      <w:pPr>
        <w:rPr>
          <w:rFonts w:hint="eastAsia" w:ascii="宋体" w:hAnsi="宋体" w:cs="宋体"/>
          <w:color w:val="auto"/>
          <w:sz w:val="24"/>
          <w:szCs w:val="24"/>
          <w:highlight w:val="none"/>
        </w:rPr>
        <w:sectPr>
          <w:pgSz w:w="11900" w:h="16838"/>
          <w:pgMar w:top="1429" w:right="1417" w:bottom="1417" w:left="1417" w:header="850" w:footer="850" w:gutter="0"/>
          <w:cols w:space="720" w:num="1"/>
          <w:docGrid w:linePitch="326" w:charSpace="0"/>
        </w:sectPr>
      </w:pPr>
    </w:p>
    <w:p w14:paraId="5C5B5A7A">
      <w:pPr>
        <w:bidi w:val="0"/>
        <w:jc w:val="center"/>
        <w:outlineLvl w:val="0"/>
        <w:rPr>
          <w:b/>
          <w:bCs/>
          <w:color w:val="auto"/>
        </w:rPr>
      </w:pPr>
      <w:bookmarkStart w:id="247" w:name="_Toc608"/>
      <w:bookmarkStart w:id="248" w:name="_Toc26780"/>
      <w:bookmarkStart w:id="249" w:name="_Toc24439"/>
      <w:r>
        <w:rPr>
          <w:rFonts w:hint="eastAsia"/>
          <w:b/>
          <w:bCs/>
          <w:color w:val="auto"/>
          <w:sz w:val="36"/>
          <w:szCs w:val="36"/>
        </w:rPr>
        <w:t>第三章  评标方法</w:t>
      </w:r>
      <w:bookmarkEnd w:id="247"/>
      <w:bookmarkEnd w:id="248"/>
      <w:bookmarkEnd w:id="249"/>
    </w:p>
    <w:bookmarkEnd w:id="244"/>
    <w:bookmarkEnd w:id="246"/>
    <w:p w14:paraId="2E7E1989">
      <w:pPr>
        <w:widowControl/>
        <w:jc w:val="left"/>
        <w:outlineLvl w:val="9"/>
        <w:rPr>
          <w:rFonts w:hint="eastAsia"/>
          <w:color w:val="auto"/>
        </w:rPr>
      </w:pPr>
      <w:bookmarkStart w:id="250" w:name="_Toc6685"/>
      <w:r>
        <w:rPr>
          <w:rFonts w:hint="eastAsia" w:ascii="宋体" w:hAnsi="宋体" w:cs="宋体"/>
          <w:b/>
          <w:bCs/>
          <w:color w:val="auto"/>
          <w:kern w:val="0"/>
          <w:sz w:val="28"/>
          <w:szCs w:val="28"/>
          <w:lang w:bidi="ar"/>
        </w:rPr>
        <w:t>一、评审方法</w:t>
      </w:r>
      <w:bookmarkEnd w:id="250"/>
      <w:r>
        <w:rPr>
          <w:rFonts w:hint="eastAsia" w:ascii="宋体" w:hAnsi="宋体" w:cs="宋体"/>
          <w:b/>
          <w:bCs/>
          <w:color w:val="auto"/>
          <w:kern w:val="0"/>
          <w:sz w:val="28"/>
          <w:szCs w:val="28"/>
          <w:lang w:bidi="ar"/>
        </w:rPr>
        <w:t xml:space="preserve"> </w:t>
      </w:r>
    </w:p>
    <w:p w14:paraId="6B8A5676">
      <w:pPr>
        <w:numPr>
          <w:ilvl w:val="0"/>
          <w:numId w:val="4"/>
        </w:numPr>
        <w:adjustRightInd w:val="0"/>
        <w:snapToGrid w:val="0"/>
        <w:spacing w:line="360" w:lineRule="auto"/>
        <w:ind w:firstLine="480" w:firstLineChars="200"/>
        <w:jc w:val="left"/>
        <w:outlineLvl w:val="9"/>
        <w:rPr>
          <w:rFonts w:hint="eastAsia" w:ascii="宋体" w:hAnsi="宋体" w:cs="宋体"/>
          <w:color w:val="auto"/>
          <w:sz w:val="24"/>
        </w:rPr>
      </w:pPr>
      <w:r>
        <w:rPr>
          <w:rFonts w:hint="eastAsia" w:ascii="宋体" w:hAnsi="宋体" w:cs="宋体"/>
          <w:color w:val="auto"/>
          <w:sz w:val="24"/>
        </w:rPr>
        <w:t>本项目采用</w:t>
      </w:r>
      <w:r>
        <w:rPr>
          <w:rFonts w:hint="eastAsia" w:ascii="宋体" w:hAnsi="宋体" w:cs="宋体"/>
          <w:b/>
          <w:color w:val="auto"/>
          <w:sz w:val="24"/>
        </w:rPr>
        <w:t>综合评分</w:t>
      </w:r>
      <w:r>
        <w:rPr>
          <w:rFonts w:hint="eastAsia" w:ascii="宋体" w:hAnsi="宋体" w:cs="宋体"/>
          <w:color w:val="auto"/>
          <w:sz w:val="24"/>
        </w:rPr>
        <w:t>法进行评审，总分为</w:t>
      </w:r>
      <w:r>
        <w:rPr>
          <w:rFonts w:hint="eastAsia" w:ascii="宋体" w:hAnsi="宋体" w:cs="宋体"/>
          <w:color w:val="auto"/>
          <w:sz w:val="24"/>
          <w:u w:val="single"/>
        </w:rPr>
        <w:t>100</w:t>
      </w:r>
      <w:r>
        <w:rPr>
          <w:rFonts w:hint="eastAsia" w:ascii="宋体" w:hAnsi="宋体" w:cs="宋体"/>
          <w:color w:val="auto"/>
          <w:sz w:val="24"/>
        </w:rPr>
        <w:t>分。</w:t>
      </w:r>
    </w:p>
    <w:p w14:paraId="37C07B65">
      <w:pPr>
        <w:adjustRightInd w:val="0"/>
        <w:snapToGrid w:val="0"/>
        <w:spacing w:line="360" w:lineRule="auto"/>
        <w:ind w:firstLine="480" w:firstLineChars="200"/>
        <w:jc w:val="left"/>
        <w:outlineLvl w:val="9"/>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szCs w:val="24"/>
          <w:lang w:val="en-US" w:eastAsia="zh-CN"/>
        </w:rPr>
        <w:t>磋商小组</w:t>
      </w:r>
      <w:r>
        <w:rPr>
          <w:rFonts w:hint="eastAsia" w:ascii="宋体" w:hAnsi="宋体" w:cs="宋体"/>
          <w:color w:val="auto"/>
          <w:sz w:val="24"/>
        </w:rPr>
        <w:t>应当按照</w:t>
      </w:r>
      <w:r>
        <w:rPr>
          <w:rFonts w:hint="eastAsia" w:ascii="宋体" w:hAnsi="宋体" w:cs="宋体"/>
          <w:bCs/>
          <w:color w:val="auto"/>
          <w:sz w:val="24"/>
          <w:szCs w:val="24"/>
          <w:lang w:val="en-US" w:eastAsia="zh-CN"/>
        </w:rPr>
        <w:t>竞争性磋商</w:t>
      </w:r>
      <w:r>
        <w:rPr>
          <w:rFonts w:hint="eastAsia" w:ascii="宋体" w:hAnsi="宋体" w:cs="宋体"/>
          <w:bCs/>
          <w:color w:val="auto"/>
          <w:sz w:val="24"/>
          <w:szCs w:val="24"/>
        </w:rPr>
        <w:t>文件</w:t>
      </w:r>
      <w:r>
        <w:rPr>
          <w:rFonts w:hint="eastAsia" w:ascii="宋体" w:hAnsi="宋体" w:cs="宋体"/>
          <w:color w:val="auto"/>
          <w:sz w:val="24"/>
        </w:rPr>
        <w:t>中规定的要求，对</w:t>
      </w:r>
      <w:r>
        <w:rPr>
          <w:rFonts w:hint="eastAsia" w:ascii="宋体" w:hAnsi="宋体" w:cs="宋体"/>
          <w:bCs/>
          <w:color w:val="auto"/>
          <w:sz w:val="24"/>
          <w:szCs w:val="24"/>
          <w:lang w:val="en-US" w:eastAsia="zh-CN"/>
        </w:rPr>
        <w:t>竞争性磋商</w:t>
      </w:r>
      <w:r>
        <w:rPr>
          <w:rFonts w:hint="eastAsia" w:ascii="宋体" w:hAnsi="宋体" w:cs="宋体"/>
          <w:bCs/>
          <w:color w:val="auto"/>
          <w:sz w:val="24"/>
          <w:szCs w:val="24"/>
        </w:rPr>
        <w:t>文件</w:t>
      </w:r>
      <w:r>
        <w:rPr>
          <w:rFonts w:hint="eastAsia" w:ascii="宋体" w:hAnsi="宋体" w:cs="宋体"/>
          <w:color w:val="auto"/>
          <w:sz w:val="24"/>
        </w:rPr>
        <w:t>进行资格性和符合性审查，</w:t>
      </w:r>
      <w:r>
        <w:rPr>
          <w:rFonts w:hint="eastAsia" w:ascii="宋体" w:hAnsi="宋体" w:cs="宋体"/>
          <w:color w:val="auto"/>
          <w:sz w:val="24"/>
          <w:lang w:val="en-US" w:eastAsia="zh-CN"/>
        </w:rPr>
        <w:t>通过审查的供应商</w:t>
      </w:r>
      <w:r>
        <w:rPr>
          <w:rFonts w:hint="eastAsia" w:ascii="宋体" w:hAnsi="宋体" w:cs="宋体"/>
          <w:color w:val="auto"/>
          <w:sz w:val="24"/>
        </w:rPr>
        <w:t>进行二次报价（所有报价在公示前均不公开宣布）、综合比较与评价、推荐成交候选供应商名单的工作程序进行评审。在上一步评审中被认定为无效磋商者，不进入下一步的评审。</w:t>
      </w:r>
    </w:p>
    <w:p w14:paraId="520E2374">
      <w:pPr>
        <w:adjustRightInd w:val="0"/>
        <w:snapToGrid w:val="0"/>
        <w:spacing w:line="360" w:lineRule="auto"/>
        <w:ind w:firstLine="480" w:firstLineChars="200"/>
        <w:jc w:val="left"/>
        <w:outlineLvl w:val="9"/>
        <w:rPr>
          <w:rFonts w:hint="eastAsia" w:ascii="宋体" w:hAnsi="宋体" w:cs="宋体"/>
          <w:b/>
          <w:bCs/>
          <w:color w:val="auto"/>
          <w:sz w:val="24"/>
          <w:szCs w:val="24"/>
        </w:rPr>
      </w:pPr>
      <w:r>
        <w:rPr>
          <w:rFonts w:hint="eastAsia" w:ascii="宋体" w:hAnsi="宋体" w:cs="宋体"/>
          <w:bCs/>
          <w:color w:val="auto"/>
          <w:sz w:val="24"/>
        </w:rPr>
        <w:t>3、评审分值：</w:t>
      </w:r>
      <w:r>
        <w:rPr>
          <w:rFonts w:hint="eastAsia" w:ascii="宋体" w:hAnsi="宋体" w:cs="宋体"/>
          <w:b/>
          <w:bCs/>
          <w:color w:val="auto"/>
          <w:sz w:val="24"/>
          <w:szCs w:val="24"/>
        </w:rPr>
        <w:t>评审分值结构表如下</w:t>
      </w:r>
    </w:p>
    <w:p w14:paraId="423856B0">
      <w:pPr>
        <w:adjustRightInd w:val="0"/>
        <w:snapToGrid w:val="0"/>
        <w:spacing w:line="360" w:lineRule="auto"/>
        <w:ind w:firstLine="424" w:firstLineChars="177"/>
        <w:outlineLvl w:val="9"/>
        <w:rPr>
          <w:rFonts w:hint="eastAsia" w:ascii="宋体" w:hAnsi="宋体" w:cs="宋体"/>
          <w:bCs/>
          <w:color w:val="auto"/>
          <w:sz w:val="24"/>
          <w:szCs w:val="24"/>
        </w:rPr>
      </w:pPr>
      <w:r>
        <w:rPr>
          <w:rFonts w:hint="eastAsia" w:ascii="宋体" w:hAnsi="宋体" w:cs="宋体"/>
          <w:bCs/>
          <w:color w:val="auto"/>
          <w:sz w:val="24"/>
          <w:szCs w:val="24"/>
        </w:rPr>
        <w:t>4、</w:t>
      </w:r>
      <w:r>
        <w:rPr>
          <w:rFonts w:hint="eastAsia" w:ascii="宋体" w:hAnsi="宋体" w:cs="宋体"/>
          <w:bCs/>
          <w:color w:val="auto"/>
          <w:sz w:val="24"/>
          <w:szCs w:val="24"/>
          <w:lang w:val="en-US" w:eastAsia="zh-CN"/>
        </w:rPr>
        <w:t>竞争性磋商</w:t>
      </w:r>
      <w:r>
        <w:rPr>
          <w:rFonts w:hint="eastAsia" w:ascii="宋体" w:hAnsi="宋体" w:cs="宋体"/>
          <w:bCs/>
          <w:color w:val="auto"/>
          <w:sz w:val="24"/>
          <w:szCs w:val="24"/>
        </w:rPr>
        <w:t>文件打分表要求提供的证明资料需在投标文件中附响应的复印件或扫描件，以备</w:t>
      </w:r>
      <w:r>
        <w:rPr>
          <w:rFonts w:hint="eastAsia" w:ascii="宋体" w:hAnsi="宋体" w:cs="宋体"/>
          <w:color w:val="auto"/>
          <w:sz w:val="24"/>
          <w:szCs w:val="24"/>
          <w:lang w:val="en-US" w:eastAsia="zh-CN"/>
        </w:rPr>
        <w:t>磋商小组成员</w:t>
      </w:r>
      <w:r>
        <w:rPr>
          <w:rFonts w:hint="eastAsia" w:ascii="宋体" w:hAnsi="宋体" w:cs="宋体"/>
          <w:bCs/>
          <w:color w:val="auto"/>
          <w:sz w:val="24"/>
          <w:szCs w:val="24"/>
        </w:rPr>
        <w:t>审查。</w:t>
      </w:r>
    </w:p>
    <w:p w14:paraId="7A0297C7">
      <w:pPr>
        <w:adjustRightInd w:val="0"/>
        <w:snapToGrid w:val="0"/>
        <w:spacing w:line="360" w:lineRule="auto"/>
        <w:ind w:left="289"/>
        <w:jc w:val="left"/>
        <w:outlineLvl w:val="9"/>
        <w:rPr>
          <w:rFonts w:hint="eastAsia" w:ascii="宋体" w:hAnsi="宋体" w:cs="宋体"/>
          <w:color w:val="auto"/>
          <w:sz w:val="24"/>
        </w:rPr>
      </w:pPr>
      <w:r>
        <w:rPr>
          <w:rFonts w:hint="eastAsia" w:ascii="宋体" w:hAnsi="宋体" w:cs="宋体"/>
          <w:color w:val="auto"/>
          <w:sz w:val="24"/>
        </w:rPr>
        <w:t xml:space="preserve">  5、特殊情况：</w:t>
      </w:r>
    </w:p>
    <w:p w14:paraId="5DDE4E38">
      <w:pPr>
        <w:adjustRightInd w:val="0"/>
        <w:snapToGrid w:val="0"/>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szCs w:val="24"/>
          <w:lang w:val="en-US" w:eastAsia="zh-CN"/>
        </w:rPr>
        <w:t>磋商小组</w:t>
      </w:r>
      <w:r>
        <w:rPr>
          <w:rFonts w:hint="eastAsia" w:ascii="宋体" w:hAnsi="宋体" w:cs="宋体"/>
          <w:color w:val="auto"/>
          <w:sz w:val="24"/>
        </w:rPr>
        <w:t>认为投标人的报价明显低于其他通过符合性审查投标人的报价，有可能影响服务质量或者不能诚信履约的，应当要求其在评标现场合理的时间内提供书面说明，必要时提交相关证明材料；投标人不能证明其报价合理性的，</w:t>
      </w:r>
      <w:r>
        <w:rPr>
          <w:rFonts w:hint="eastAsia" w:ascii="宋体" w:hAnsi="宋体" w:cs="宋体"/>
          <w:color w:val="auto"/>
          <w:sz w:val="24"/>
          <w:szCs w:val="24"/>
          <w:lang w:val="en-US" w:eastAsia="zh-CN"/>
        </w:rPr>
        <w:t>磋商小组成员</w:t>
      </w:r>
      <w:r>
        <w:rPr>
          <w:rFonts w:hint="eastAsia" w:ascii="宋体" w:hAnsi="宋体" w:cs="宋体"/>
          <w:color w:val="auto"/>
          <w:sz w:val="24"/>
        </w:rPr>
        <w:t>应当将其作为无效投标处理。</w:t>
      </w:r>
    </w:p>
    <w:p w14:paraId="3EBD1952">
      <w:pPr>
        <w:adjustRightInd w:val="0"/>
        <w:snapToGrid w:val="0"/>
        <w:spacing w:line="360" w:lineRule="auto"/>
        <w:ind w:firstLine="480" w:firstLineChars="200"/>
        <w:outlineLvl w:val="9"/>
        <w:rPr>
          <w:rFonts w:hint="eastAsia" w:ascii="宋体" w:hAnsi="宋体" w:cs="宋体"/>
          <w:color w:val="auto"/>
          <w:sz w:val="24"/>
          <w:szCs w:val="22"/>
        </w:rPr>
      </w:pPr>
      <w:r>
        <w:rPr>
          <w:rFonts w:hint="eastAsia" w:ascii="宋体" w:hAnsi="宋体" w:cs="宋体"/>
          <w:color w:val="auto"/>
          <w:sz w:val="24"/>
        </w:rPr>
        <w:t>2）得分相同的，按投标报价由低到高顺序排</w:t>
      </w:r>
      <w:r>
        <w:rPr>
          <w:rFonts w:hint="eastAsia" w:ascii="宋体" w:hAnsi="宋体" w:cs="宋体"/>
          <w:color w:val="auto"/>
          <w:sz w:val="24"/>
          <w:szCs w:val="22"/>
        </w:rPr>
        <w:t>列。</w:t>
      </w:r>
    </w:p>
    <w:p w14:paraId="1500408D">
      <w:pPr>
        <w:adjustRightInd w:val="0"/>
        <w:snapToGrid w:val="0"/>
        <w:spacing w:line="360" w:lineRule="auto"/>
        <w:ind w:firstLine="480" w:firstLineChars="200"/>
        <w:outlineLvl w:val="9"/>
        <w:rPr>
          <w:rFonts w:hint="eastAsia" w:ascii="宋体" w:hAnsi="宋体" w:cs="宋体"/>
          <w:color w:val="auto"/>
          <w:sz w:val="24"/>
          <w:szCs w:val="22"/>
        </w:rPr>
      </w:pPr>
      <w:r>
        <w:rPr>
          <w:rFonts w:hint="eastAsia" w:ascii="宋体" w:hAnsi="宋体" w:cs="宋体"/>
          <w:color w:val="auto"/>
          <w:sz w:val="24"/>
          <w:szCs w:val="22"/>
        </w:rPr>
        <w:t>3）得分且投标报价相同的，比较技术得分，此技术得分高者排在前。</w:t>
      </w:r>
    </w:p>
    <w:p w14:paraId="2CAD826C">
      <w:pPr>
        <w:adjustRightInd w:val="0"/>
        <w:snapToGrid w:val="0"/>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szCs w:val="22"/>
        </w:rPr>
        <w:t>4）</w:t>
      </w:r>
      <w:r>
        <w:rPr>
          <w:rFonts w:hint="eastAsia" w:ascii="宋体" w:hAnsi="宋体" w:cs="宋体"/>
          <w:color w:val="auto"/>
          <w:sz w:val="24"/>
          <w:szCs w:val="24"/>
          <w:lang w:val="en-US" w:eastAsia="zh-CN"/>
        </w:rPr>
        <w:t>磋商小组</w:t>
      </w:r>
      <w:r>
        <w:rPr>
          <w:rFonts w:hint="eastAsia" w:ascii="宋体" w:hAnsi="宋体" w:cs="宋体"/>
          <w:color w:val="auto"/>
          <w:sz w:val="24"/>
          <w:szCs w:val="22"/>
        </w:rPr>
        <w:t>评分超出评分标准范围的、各</w:t>
      </w:r>
      <w:r>
        <w:rPr>
          <w:rFonts w:hint="eastAsia" w:ascii="宋体" w:hAnsi="宋体" w:cs="宋体"/>
          <w:color w:val="auto"/>
          <w:sz w:val="24"/>
          <w:szCs w:val="24"/>
          <w:lang w:val="en-US" w:eastAsia="zh-CN"/>
        </w:rPr>
        <w:t>磋商小组</w:t>
      </w:r>
      <w:r>
        <w:rPr>
          <w:rFonts w:hint="eastAsia" w:ascii="宋体" w:hAnsi="宋体" w:cs="宋体"/>
          <w:color w:val="auto"/>
          <w:sz w:val="24"/>
          <w:szCs w:val="22"/>
        </w:rPr>
        <w:t>对客观评审得分不一致的和</w:t>
      </w:r>
      <w:r>
        <w:rPr>
          <w:rFonts w:hint="eastAsia" w:ascii="宋体" w:hAnsi="宋体" w:cs="宋体"/>
          <w:color w:val="auto"/>
          <w:sz w:val="24"/>
          <w:szCs w:val="24"/>
          <w:lang w:val="en-US" w:eastAsia="zh-CN"/>
        </w:rPr>
        <w:t>磋商小组</w:t>
      </w:r>
      <w:r>
        <w:rPr>
          <w:rFonts w:hint="eastAsia" w:ascii="宋体" w:hAnsi="宋体" w:cs="宋体"/>
          <w:color w:val="auto"/>
          <w:sz w:val="24"/>
          <w:szCs w:val="22"/>
        </w:rPr>
        <w:t>认定评分畸高畸低的，</w:t>
      </w:r>
      <w:r>
        <w:rPr>
          <w:rFonts w:hint="eastAsia" w:ascii="宋体" w:hAnsi="宋体" w:cs="宋体"/>
          <w:color w:val="auto"/>
          <w:sz w:val="24"/>
          <w:szCs w:val="24"/>
          <w:lang w:val="en-US" w:eastAsia="zh-CN"/>
        </w:rPr>
        <w:t>磋商小组</w:t>
      </w:r>
      <w:r>
        <w:rPr>
          <w:rFonts w:hint="eastAsia" w:ascii="宋体" w:hAnsi="宋体" w:cs="宋体"/>
          <w:color w:val="auto"/>
          <w:sz w:val="24"/>
          <w:szCs w:val="22"/>
        </w:rPr>
        <w:t>应当当场修改</w:t>
      </w:r>
      <w:r>
        <w:rPr>
          <w:rFonts w:hint="eastAsia" w:ascii="宋体" w:hAnsi="宋体" w:cs="宋体"/>
          <w:color w:val="auto"/>
          <w:sz w:val="24"/>
        </w:rPr>
        <w:t>。</w:t>
      </w:r>
    </w:p>
    <w:p w14:paraId="51BB84DA">
      <w:pPr>
        <w:tabs>
          <w:tab w:val="left" w:pos="1080"/>
        </w:tabs>
        <w:adjustRightInd w:val="0"/>
        <w:snapToGrid w:val="0"/>
        <w:spacing w:line="360" w:lineRule="auto"/>
        <w:ind w:left="465"/>
        <w:outlineLvl w:val="9"/>
        <w:rPr>
          <w:rFonts w:hint="eastAsia" w:ascii="宋体" w:hAnsi="宋体" w:cs="宋体"/>
          <w:color w:val="auto"/>
          <w:sz w:val="24"/>
        </w:rPr>
      </w:pPr>
      <w:r>
        <w:rPr>
          <w:rFonts w:hint="eastAsia" w:ascii="宋体" w:hAnsi="宋体" w:cs="宋体"/>
          <w:color w:val="auto"/>
          <w:sz w:val="24"/>
        </w:rPr>
        <w:t>6、定标</w:t>
      </w:r>
    </w:p>
    <w:p w14:paraId="3CA854F0">
      <w:pPr>
        <w:adjustRightInd w:val="0"/>
        <w:snapToGrid w:val="0"/>
        <w:spacing w:line="360" w:lineRule="auto"/>
        <w:ind w:left="288" w:leftChars="137" w:firstLine="240" w:firstLineChars="100"/>
        <w:jc w:val="left"/>
        <w:outlineLvl w:val="9"/>
        <w:rPr>
          <w:rFonts w:hint="eastAsia" w:ascii="宋体" w:hAnsi="宋体" w:cs="宋体"/>
          <w:color w:val="auto"/>
          <w:sz w:val="24"/>
        </w:rPr>
      </w:pPr>
      <w:r>
        <w:rPr>
          <w:rFonts w:hint="eastAsia" w:ascii="宋体" w:hAnsi="宋体" w:cs="宋体"/>
          <w:color w:val="auto"/>
          <w:sz w:val="24"/>
        </w:rPr>
        <w:t>1）最终得分=取其</w:t>
      </w:r>
      <w:r>
        <w:rPr>
          <w:rFonts w:hint="eastAsia" w:ascii="宋体" w:hAnsi="宋体" w:cs="宋体"/>
          <w:color w:val="auto"/>
          <w:sz w:val="24"/>
          <w:szCs w:val="24"/>
          <w:lang w:val="en-US" w:eastAsia="zh-CN"/>
        </w:rPr>
        <w:t>磋商小组成员</w:t>
      </w:r>
      <w:r>
        <w:rPr>
          <w:rFonts w:hint="eastAsia" w:ascii="宋体" w:hAnsi="宋体" w:cs="宋体"/>
          <w:color w:val="auto"/>
          <w:sz w:val="24"/>
        </w:rPr>
        <w:t>的平均分；按得分由高到低顺序排列，推荐</w:t>
      </w:r>
      <w:r>
        <w:rPr>
          <w:rFonts w:hint="eastAsia" w:ascii="宋体" w:hAnsi="宋体" w:cs="宋体"/>
          <w:color w:val="auto"/>
          <w:sz w:val="24"/>
          <w:lang w:val="en-US" w:eastAsia="zh-CN"/>
        </w:rPr>
        <w:t>不少于3名成交候选供应商，并编制评审报告，</w:t>
      </w:r>
      <w:r>
        <w:rPr>
          <w:rFonts w:hint="eastAsia" w:ascii="宋体" w:hAnsi="宋体" w:cs="宋体"/>
          <w:color w:val="auto"/>
          <w:spacing w:val="4"/>
          <w:sz w:val="24"/>
          <w:szCs w:val="24"/>
        </w:rPr>
        <w:t>评标结果由全体</w:t>
      </w:r>
      <w:r>
        <w:rPr>
          <w:rFonts w:hint="eastAsia" w:ascii="宋体" w:hAnsi="宋体" w:cs="宋体"/>
          <w:color w:val="auto"/>
          <w:sz w:val="24"/>
          <w:szCs w:val="24"/>
          <w:lang w:val="en-US" w:eastAsia="zh-CN"/>
        </w:rPr>
        <w:t>磋商小组成员</w:t>
      </w:r>
      <w:r>
        <w:rPr>
          <w:rFonts w:hint="eastAsia" w:ascii="宋体" w:hAnsi="宋体" w:cs="宋体"/>
          <w:color w:val="auto"/>
          <w:sz w:val="24"/>
        </w:rPr>
        <w:t>签字确认。</w:t>
      </w:r>
    </w:p>
    <w:p w14:paraId="2306540C">
      <w:pPr>
        <w:keepNext w:val="0"/>
        <w:keepLines w:val="0"/>
        <w:pageBreakBefore w:val="0"/>
        <w:widowControl w:val="0"/>
        <w:kinsoku/>
        <w:wordWrap/>
        <w:overflowPunct/>
        <w:topLinePunct w:val="0"/>
        <w:autoSpaceDE/>
        <w:autoSpaceDN/>
        <w:bidi w:val="0"/>
        <w:adjustRightInd/>
        <w:snapToGrid/>
        <w:spacing w:line="360" w:lineRule="auto"/>
        <w:ind w:left="0" w:leftChars="0" w:firstLine="360" w:firstLineChars="150"/>
        <w:jc w:val="left"/>
        <w:textAlignment w:val="auto"/>
        <w:outlineLvl w:val="9"/>
        <w:rPr>
          <w:rFonts w:hint="default" w:ascii="宋体" w:hAnsi="宋体" w:eastAsia="宋体" w:cs="宋体"/>
          <w:color w:val="auto"/>
          <w:sz w:val="24"/>
          <w:lang w:val="en-US" w:eastAsia="zh-CN"/>
        </w:rPr>
      </w:pPr>
      <w:r>
        <w:rPr>
          <w:rFonts w:hint="eastAsia" w:ascii="宋体" w:hAnsi="宋体" w:cs="宋体"/>
          <w:color w:val="auto"/>
          <w:sz w:val="24"/>
          <w:lang w:val="en-US" w:eastAsia="zh-CN"/>
        </w:rPr>
        <w:t>2）符合</w:t>
      </w:r>
      <w:r>
        <w:rPr>
          <w:rFonts w:hint="default" w:ascii="宋体" w:hAnsi="宋体" w:cs="宋体"/>
          <w:color w:val="auto"/>
          <w:sz w:val="24"/>
          <w:lang w:val="en-US" w:eastAsia="zh-CN"/>
        </w:rPr>
        <w:t>①</w:t>
      </w:r>
      <w:r>
        <w:rPr>
          <w:rFonts w:hint="eastAsia" w:ascii="宋体" w:hAnsi="宋体" w:cs="宋体"/>
          <w:color w:val="auto"/>
          <w:sz w:val="24"/>
          <w:lang w:val="en-US" w:eastAsia="zh-CN"/>
        </w:rPr>
        <w:t>市场竞争不</w:t>
      </w:r>
      <w:r>
        <w:rPr>
          <w:rFonts w:hint="eastAsia" w:ascii="宋体" w:hAnsi="宋体" w:eastAsia="宋体" w:cs="宋体"/>
          <w:color w:val="auto"/>
          <w:sz w:val="24"/>
          <w:szCs w:val="24"/>
        </w:rPr>
        <w:t>充分的科研项目，以及需要扶持的科技成果转化项目；</w:t>
      </w:r>
      <w:r>
        <w:rPr>
          <w:rFonts w:hint="default" w:ascii="宋体" w:hAnsi="宋体" w:cs="宋体"/>
          <w:color w:val="auto"/>
          <w:sz w:val="24"/>
          <w:lang w:val="en-US" w:eastAsia="zh-CN"/>
        </w:rPr>
        <w:t>②</w:t>
      </w:r>
      <w:r>
        <w:rPr>
          <w:rFonts w:hint="eastAsia" w:ascii="宋体" w:hAnsi="宋体" w:cs="宋体"/>
          <w:color w:val="auto"/>
          <w:sz w:val="24"/>
          <w:lang w:val="en-US" w:eastAsia="zh-CN"/>
        </w:rPr>
        <w:t>政府购</w:t>
      </w:r>
      <w:r>
        <w:rPr>
          <w:rFonts w:hint="eastAsia" w:ascii="宋体" w:hAnsi="宋体" w:eastAsia="宋体" w:cs="宋体"/>
          <w:color w:val="auto"/>
          <w:sz w:val="24"/>
          <w:szCs w:val="24"/>
        </w:rPr>
        <w:t>买服务项目（含政府和社会资本项目）</w:t>
      </w:r>
      <w:r>
        <w:rPr>
          <w:rFonts w:hint="eastAsia" w:ascii="宋体" w:hAnsi="宋体" w:cs="宋体"/>
          <w:color w:val="auto"/>
          <w:sz w:val="24"/>
          <w:szCs w:val="24"/>
          <w:lang w:eastAsia="zh-CN"/>
        </w:rPr>
        <w:t>的</w:t>
      </w:r>
      <w:r>
        <w:rPr>
          <w:rFonts w:hint="eastAsia" w:ascii="宋体" w:hAnsi="宋体" w:cs="宋体"/>
          <w:color w:val="auto"/>
          <w:sz w:val="24"/>
          <w:szCs w:val="24"/>
          <w:lang w:val="en-US" w:eastAsia="zh-CN"/>
        </w:rPr>
        <w:t>情形，可以推荐2家成交候选供应商</w:t>
      </w:r>
      <w:r>
        <w:rPr>
          <w:rFonts w:hint="eastAsia" w:ascii="宋体" w:hAnsi="宋体" w:eastAsia="宋体" w:cs="宋体"/>
          <w:color w:val="auto"/>
          <w:sz w:val="24"/>
          <w:szCs w:val="24"/>
        </w:rPr>
        <w:t>。</w:t>
      </w:r>
    </w:p>
    <w:p w14:paraId="731DC88E">
      <w:pPr>
        <w:pStyle w:val="13"/>
        <w:ind w:left="0" w:leftChars="0" w:firstLine="480" w:firstLineChars="200"/>
        <w:outlineLvl w:val="9"/>
        <w:rPr>
          <w:rFonts w:hint="eastAsia" w:cs="宋体"/>
          <w:color w:val="auto"/>
        </w:rPr>
        <w:sectPr>
          <w:footerReference r:id="rId11" w:type="default"/>
          <w:pgSz w:w="11906" w:h="16838"/>
          <w:pgMar w:top="1219" w:right="1800" w:bottom="1219" w:left="1800" w:header="851" w:footer="992" w:gutter="0"/>
          <w:pgNumType w:fmt="decimal"/>
          <w:cols w:space="720" w:num="1"/>
          <w:docGrid w:type="lines" w:linePitch="312" w:charSpace="0"/>
        </w:sectPr>
      </w:pPr>
      <w:r>
        <w:rPr>
          <w:rFonts w:hint="eastAsia" w:cs="宋体"/>
          <w:color w:val="auto"/>
          <w:lang w:val="en-US" w:eastAsia="zh-CN"/>
        </w:rPr>
        <w:t>3</w:t>
      </w:r>
      <w:r>
        <w:rPr>
          <w:rFonts w:hint="eastAsia" w:cs="宋体"/>
          <w:color w:val="auto"/>
        </w:rPr>
        <w:t>）采购人根据评标报告中推荐的</w:t>
      </w:r>
      <w:r>
        <w:rPr>
          <w:rFonts w:hint="eastAsia" w:cs="宋体"/>
          <w:color w:val="auto"/>
          <w:lang w:val="en-US" w:eastAsia="zh-CN"/>
        </w:rPr>
        <w:t>成交</w:t>
      </w:r>
      <w:r>
        <w:rPr>
          <w:rFonts w:hint="eastAsia" w:cs="宋体"/>
          <w:color w:val="auto"/>
        </w:rPr>
        <w:t>候选人排列顺序确定</w:t>
      </w:r>
      <w:r>
        <w:rPr>
          <w:rFonts w:hint="eastAsia" w:cs="宋体"/>
          <w:color w:val="auto"/>
          <w:lang w:val="en-US" w:eastAsia="zh-CN"/>
        </w:rPr>
        <w:t>成交供应商</w:t>
      </w:r>
      <w:r>
        <w:rPr>
          <w:rFonts w:hint="eastAsia" w:cs="宋体"/>
          <w:color w:val="auto"/>
        </w:rPr>
        <w:t>，以</w:t>
      </w:r>
      <w:r>
        <w:rPr>
          <w:rFonts w:hint="eastAsia" w:cs="宋体"/>
          <w:color w:val="auto"/>
          <w:lang w:val="en-US" w:eastAsia="zh-CN"/>
        </w:rPr>
        <w:t>成交</w:t>
      </w:r>
      <w:r>
        <w:rPr>
          <w:rFonts w:hint="eastAsia" w:cs="宋体"/>
          <w:color w:val="auto"/>
        </w:rPr>
        <w:t>复函通知采购代理机构。</w:t>
      </w:r>
    </w:p>
    <w:p w14:paraId="50171BBD">
      <w:pPr>
        <w:widowControl/>
        <w:spacing w:line="360" w:lineRule="auto"/>
        <w:jc w:val="left"/>
        <w:outlineLvl w:val="9"/>
        <w:rPr>
          <w:rFonts w:hint="eastAsia" w:ascii="宋体" w:hAnsi="宋体" w:cs="宋体"/>
          <w:b/>
          <w:bCs/>
          <w:color w:val="auto"/>
          <w:kern w:val="0"/>
          <w:sz w:val="28"/>
          <w:szCs w:val="28"/>
          <w:lang w:bidi="ar"/>
        </w:rPr>
      </w:pPr>
      <w:bookmarkStart w:id="251" w:name="_Toc8989"/>
      <w:r>
        <w:rPr>
          <w:rFonts w:hint="eastAsia" w:ascii="宋体" w:hAnsi="宋体" w:cs="宋体"/>
          <w:b/>
          <w:bCs/>
          <w:color w:val="auto"/>
          <w:kern w:val="0"/>
          <w:sz w:val="28"/>
          <w:szCs w:val="28"/>
          <w:lang w:bidi="ar"/>
        </w:rPr>
        <w:t>二、评审程序</w:t>
      </w:r>
      <w:bookmarkEnd w:id="251"/>
      <w:r>
        <w:rPr>
          <w:rFonts w:hint="eastAsia" w:ascii="宋体" w:hAnsi="宋体" w:cs="宋体"/>
          <w:b/>
          <w:bCs/>
          <w:color w:val="auto"/>
          <w:kern w:val="0"/>
          <w:sz w:val="28"/>
          <w:szCs w:val="28"/>
          <w:lang w:bidi="ar"/>
        </w:rPr>
        <w:t xml:space="preserve"> </w:t>
      </w:r>
    </w:p>
    <w:p w14:paraId="457D3600">
      <w:pPr>
        <w:widowControl/>
        <w:spacing w:line="360" w:lineRule="auto"/>
        <w:jc w:val="left"/>
        <w:outlineLvl w:val="9"/>
        <w:rPr>
          <w:rFonts w:hint="eastAsia" w:ascii="宋体" w:hAnsi="宋体" w:cs="宋体"/>
          <w:b/>
          <w:bCs/>
          <w:color w:val="auto"/>
          <w:kern w:val="0"/>
          <w:sz w:val="28"/>
          <w:szCs w:val="28"/>
          <w:lang w:bidi="ar"/>
        </w:rPr>
      </w:pPr>
      <w:r>
        <w:rPr>
          <w:rFonts w:hint="eastAsia" w:ascii="宋体" w:hAnsi="宋体" w:cs="宋体"/>
          <w:b/>
          <w:bCs/>
          <w:color w:val="auto"/>
          <w:kern w:val="0"/>
          <w:sz w:val="28"/>
          <w:szCs w:val="28"/>
          <w:lang w:bidi="ar"/>
        </w:rPr>
        <w:t>1、初步评审</w:t>
      </w:r>
    </w:p>
    <w:p w14:paraId="511E44E4">
      <w:pPr>
        <w:widowControl/>
        <w:jc w:val="left"/>
        <w:outlineLvl w:val="9"/>
        <w:rPr>
          <w:rFonts w:hint="eastAsia" w:ascii="????" w:hAnsi="????" w:eastAsia="????" w:cs="????"/>
          <w:b/>
          <w:bCs/>
          <w:color w:val="auto"/>
          <w:kern w:val="0"/>
          <w:sz w:val="28"/>
          <w:szCs w:val="28"/>
          <w:lang w:bidi="ar"/>
        </w:rPr>
      </w:pPr>
      <w:r>
        <w:rPr>
          <w:rFonts w:hint="eastAsia" w:ascii="宋体" w:hAnsi="宋体" w:cs="宋体"/>
          <w:b/>
          <w:bCs/>
          <w:color w:val="auto"/>
          <w:kern w:val="0"/>
          <w:sz w:val="28"/>
          <w:szCs w:val="28"/>
          <w:lang w:bidi="ar"/>
        </w:rPr>
        <w:t>1）</w:t>
      </w:r>
      <w:r>
        <w:rPr>
          <w:rFonts w:hint="eastAsia" w:ascii="????" w:hAnsi="????" w:eastAsia="????" w:cs="????"/>
          <w:b/>
          <w:bCs/>
          <w:color w:val="auto"/>
          <w:kern w:val="0"/>
          <w:sz w:val="28"/>
          <w:szCs w:val="28"/>
          <w:lang w:bidi="ar"/>
        </w:rPr>
        <w:t>资格性审查</w:t>
      </w:r>
    </w:p>
    <w:tbl>
      <w:tblPr>
        <w:tblStyle w:val="25"/>
        <w:tblW w:w="9797" w:type="dxa"/>
        <w:jc w:val="center"/>
        <w:tblLayout w:type="fixed"/>
        <w:tblCellMar>
          <w:top w:w="0" w:type="dxa"/>
          <w:left w:w="108" w:type="dxa"/>
          <w:bottom w:w="0" w:type="dxa"/>
          <w:right w:w="108" w:type="dxa"/>
        </w:tblCellMar>
      </w:tblPr>
      <w:tblGrid>
        <w:gridCol w:w="705"/>
        <w:gridCol w:w="2734"/>
        <w:gridCol w:w="6358"/>
      </w:tblGrid>
      <w:tr w14:paraId="58657988">
        <w:tblPrEx>
          <w:tblCellMar>
            <w:top w:w="0" w:type="dxa"/>
            <w:left w:w="108" w:type="dxa"/>
            <w:bottom w:w="0" w:type="dxa"/>
            <w:right w:w="108" w:type="dxa"/>
          </w:tblCellMar>
        </w:tblPrEx>
        <w:trPr>
          <w:trHeight w:val="707"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6CC19249">
            <w:pPr>
              <w:spacing w:line="42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07C6B50">
            <w:pPr>
              <w:spacing w:line="42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评审因素</w:t>
            </w:r>
          </w:p>
        </w:tc>
        <w:tc>
          <w:tcPr>
            <w:tcW w:w="6358" w:type="dxa"/>
            <w:tcBorders>
              <w:top w:val="single" w:color="auto" w:sz="4" w:space="0"/>
              <w:left w:val="single" w:color="auto" w:sz="4" w:space="0"/>
              <w:bottom w:val="single" w:color="auto" w:sz="4" w:space="0"/>
              <w:right w:val="single" w:color="auto" w:sz="4" w:space="0"/>
            </w:tcBorders>
            <w:noWrap w:val="0"/>
            <w:vAlign w:val="center"/>
          </w:tcPr>
          <w:p w14:paraId="213195CE">
            <w:pPr>
              <w:widowControl/>
              <w:jc w:val="center"/>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评审标准</w:t>
            </w:r>
          </w:p>
        </w:tc>
      </w:tr>
      <w:tr w14:paraId="7CC1EF00">
        <w:tblPrEx>
          <w:tblCellMar>
            <w:top w:w="0" w:type="dxa"/>
            <w:left w:w="108" w:type="dxa"/>
            <w:bottom w:w="0" w:type="dxa"/>
            <w:right w:w="108" w:type="dxa"/>
          </w:tblCellMar>
        </w:tblPrEx>
        <w:trPr>
          <w:trHeight w:val="707"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3379C68F">
            <w:pPr>
              <w:spacing w:line="42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D4F72E4">
            <w:pPr>
              <w:spacing w:line="420" w:lineRule="exact"/>
              <w:jc w:val="center"/>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有效的主体资格</w:t>
            </w:r>
          </w:p>
          <w:p w14:paraId="240D3847">
            <w:pPr>
              <w:spacing w:line="420" w:lineRule="exact"/>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证明</w:t>
            </w:r>
          </w:p>
        </w:tc>
        <w:tc>
          <w:tcPr>
            <w:tcW w:w="6358" w:type="dxa"/>
            <w:tcBorders>
              <w:top w:val="single" w:color="auto" w:sz="4" w:space="0"/>
              <w:left w:val="single" w:color="auto" w:sz="4" w:space="0"/>
              <w:bottom w:val="single" w:color="auto" w:sz="4" w:space="0"/>
              <w:right w:val="single" w:color="auto" w:sz="4" w:space="0"/>
            </w:tcBorders>
            <w:noWrap w:val="0"/>
            <w:vAlign w:val="center"/>
          </w:tcPr>
          <w:p w14:paraId="5F96A14C">
            <w:pPr>
              <w:pStyle w:val="10"/>
              <w:spacing w:line="360" w:lineRule="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人为具有独立承担民事责任能力的法人、事业法人、其他组织或自然人。企业法人应提供合法有效的标识有统一社会信用代码的营业执照；事业法人应提供事业单位法人证书；其他组织应提供合法登记证明文件；</w:t>
            </w:r>
          </w:p>
        </w:tc>
      </w:tr>
      <w:tr w14:paraId="4F0A5FFF">
        <w:tblPrEx>
          <w:tblCellMar>
            <w:top w:w="0" w:type="dxa"/>
            <w:left w:w="108" w:type="dxa"/>
            <w:bottom w:w="0" w:type="dxa"/>
            <w:right w:w="108" w:type="dxa"/>
          </w:tblCellMar>
        </w:tblPrEx>
        <w:trPr>
          <w:trHeight w:val="707"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57E983CA">
            <w:pPr>
              <w:spacing w:line="420" w:lineRule="exact"/>
              <w:jc w:val="center"/>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797E58B">
            <w:pPr>
              <w:spacing w:line="420" w:lineRule="exact"/>
              <w:jc w:val="center"/>
              <w:outlineLvl w:val="9"/>
              <w:rPr>
                <w:rFonts w:hint="eastAsia" w:ascii="宋体" w:hAnsi="宋体" w:eastAsia="宋体" w:cs="宋体"/>
                <w:color w:val="auto"/>
                <w:kern w:val="2"/>
                <w:sz w:val="24"/>
                <w:szCs w:val="24"/>
                <w:shd w:val="clear" w:color="auto" w:fill="auto"/>
                <w:lang w:val="en-US" w:eastAsia="zh-CN" w:bidi="ar-SA"/>
              </w:rPr>
            </w:pPr>
            <w:r>
              <w:rPr>
                <w:rFonts w:hint="eastAsia" w:ascii="宋体" w:hAnsi="宋体" w:cs="宋体"/>
                <w:color w:val="auto"/>
                <w:sz w:val="24"/>
                <w:szCs w:val="24"/>
                <w:lang w:val="en-US" w:eastAsia="zh-CN"/>
              </w:rPr>
              <w:t>资质</w:t>
            </w:r>
          </w:p>
        </w:tc>
        <w:tc>
          <w:tcPr>
            <w:tcW w:w="6358" w:type="dxa"/>
            <w:tcBorders>
              <w:top w:val="single" w:color="auto" w:sz="4" w:space="0"/>
              <w:left w:val="single" w:color="auto" w:sz="4" w:space="0"/>
              <w:bottom w:val="single" w:color="auto" w:sz="4" w:space="0"/>
              <w:right w:val="single" w:color="auto" w:sz="4" w:space="0"/>
            </w:tcBorders>
            <w:noWrap w:val="0"/>
            <w:vAlign w:val="center"/>
          </w:tcPr>
          <w:p w14:paraId="18EFDCE5">
            <w:pPr>
              <w:widowControl/>
              <w:tabs>
                <w:tab w:val="left" w:pos="1620"/>
              </w:tabs>
              <w:adjustRightInd w:val="0"/>
              <w:snapToGrid w:val="0"/>
              <w:spacing w:line="360" w:lineRule="auto"/>
              <w:jc w:val="left"/>
              <w:outlineLvl w:val="9"/>
              <w:rPr>
                <w:rFonts w:hint="eastAsia" w:ascii="宋体" w:hAnsi="宋体" w:eastAsia="宋体" w:cs="宋体"/>
                <w:color w:val="auto"/>
                <w:kern w:val="2"/>
                <w:sz w:val="24"/>
                <w:szCs w:val="24"/>
                <w:shd w:val="clear" w:color="auto" w:fill="auto"/>
                <w:lang w:val="en-US" w:eastAsia="zh-CN" w:bidi="ar-SA"/>
              </w:rPr>
            </w:pPr>
            <w:r>
              <w:rPr>
                <w:rFonts w:hint="eastAsia" w:ascii="宋体" w:hAnsi="宋体" w:cs="宋体"/>
                <w:color w:val="auto"/>
                <w:kern w:val="2"/>
                <w:sz w:val="24"/>
                <w:szCs w:val="24"/>
                <w:shd w:val="clear" w:color="auto" w:fill="auto"/>
                <w:lang w:val="en-US" w:eastAsia="zh-CN" w:bidi="ar-SA"/>
              </w:rPr>
              <w:t>具备公路工程施工总承包三级（含三级）以上资质，具备有效的安全生产许可证；</w:t>
            </w:r>
          </w:p>
        </w:tc>
      </w:tr>
      <w:tr w14:paraId="04F6C15F">
        <w:tblPrEx>
          <w:tblCellMar>
            <w:top w:w="0" w:type="dxa"/>
            <w:left w:w="108" w:type="dxa"/>
            <w:bottom w:w="0" w:type="dxa"/>
            <w:right w:w="108" w:type="dxa"/>
          </w:tblCellMar>
        </w:tblPrEx>
        <w:trPr>
          <w:trHeight w:val="707"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4FF1C4FA">
            <w:pPr>
              <w:spacing w:line="420" w:lineRule="exact"/>
              <w:jc w:val="center"/>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651D0FD">
            <w:pPr>
              <w:spacing w:line="420" w:lineRule="exact"/>
              <w:jc w:val="center"/>
              <w:outlineLvl w:val="9"/>
              <w:rPr>
                <w:rFonts w:hint="eastAsia" w:ascii="宋体" w:hAnsi="宋体" w:eastAsia="宋体" w:cs="宋体"/>
                <w:color w:val="auto"/>
                <w:kern w:val="0"/>
                <w:sz w:val="24"/>
                <w:szCs w:val="24"/>
              </w:rPr>
            </w:pPr>
            <w:r>
              <w:rPr>
                <w:rFonts w:hint="eastAsia" w:ascii="宋体" w:hAnsi="宋体" w:eastAsia="宋体" w:cs="宋体"/>
                <w:color w:val="auto"/>
                <w:sz w:val="24"/>
                <w:lang w:val="en-US" w:eastAsia="zh-CN"/>
              </w:rPr>
              <w:t>项目经理</w:t>
            </w:r>
          </w:p>
        </w:tc>
        <w:tc>
          <w:tcPr>
            <w:tcW w:w="6358" w:type="dxa"/>
            <w:tcBorders>
              <w:top w:val="single" w:color="auto" w:sz="4" w:space="0"/>
              <w:left w:val="single" w:color="auto" w:sz="4" w:space="0"/>
              <w:bottom w:val="single" w:color="auto" w:sz="4" w:space="0"/>
              <w:right w:val="single" w:color="auto" w:sz="4" w:space="0"/>
            </w:tcBorders>
            <w:noWrap w:val="0"/>
            <w:vAlign w:val="center"/>
          </w:tcPr>
          <w:p w14:paraId="4136BAAE">
            <w:pPr>
              <w:widowControl/>
              <w:tabs>
                <w:tab w:val="left" w:pos="1620"/>
              </w:tabs>
              <w:adjustRightInd w:val="0"/>
              <w:snapToGrid w:val="0"/>
              <w:spacing w:line="360" w:lineRule="auto"/>
              <w:jc w:val="left"/>
              <w:outlineLvl w:val="9"/>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拟派往本项目的建造师必须为本企业注册的建造师，具备公路工程专业二级及以上注册建造师执业资格和有效的安全生产考核合格证书(B证)，且未担任其它在建工程的建造师（提供无在建工程声明）；</w:t>
            </w:r>
          </w:p>
        </w:tc>
      </w:tr>
      <w:tr w14:paraId="21FDA1A9">
        <w:tblPrEx>
          <w:tblCellMar>
            <w:top w:w="0" w:type="dxa"/>
            <w:left w:w="108" w:type="dxa"/>
            <w:bottom w:w="0" w:type="dxa"/>
            <w:right w:w="108" w:type="dxa"/>
          </w:tblCellMar>
        </w:tblPrEx>
        <w:trPr>
          <w:trHeight w:val="707"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3CF69D95">
            <w:pPr>
              <w:spacing w:line="420" w:lineRule="exact"/>
              <w:jc w:val="center"/>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9383B88">
            <w:pPr>
              <w:spacing w:line="420" w:lineRule="exact"/>
              <w:jc w:val="center"/>
              <w:outlineLvl w:val="9"/>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sz w:val="24"/>
                <w:szCs w:val="24"/>
              </w:rPr>
              <w:t>税收缴纳证明</w:t>
            </w:r>
          </w:p>
        </w:tc>
        <w:tc>
          <w:tcPr>
            <w:tcW w:w="6358" w:type="dxa"/>
            <w:tcBorders>
              <w:top w:val="single" w:color="auto" w:sz="4" w:space="0"/>
              <w:left w:val="single" w:color="auto" w:sz="4" w:space="0"/>
              <w:bottom w:val="single" w:color="auto" w:sz="4" w:space="0"/>
              <w:right w:val="single" w:color="auto" w:sz="4" w:space="0"/>
            </w:tcBorders>
            <w:noWrap w:val="0"/>
            <w:vAlign w:val="center"/>
          </w:tcPr>
          <w:p w14:paraId="136DB974">
            <w:pPr>
              <w:widowControl/>
              <w:tabs>
                <w:tab w:val="left" w:pos="1620"/>
              </w:tabs>
              <w:adjustRightInd w:val="0"/>
              <w:snapToGrid w:val="0"/>
              <w:spacing w:line="360" w:lineRule="auto"/>
              <w:jc w:val="left"/>
              <w:outlineLvl w:val="9"/>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sz w:val="24"/>
                <w:szCs w:val="24"/>
              </w:rPr>
              <w:t>提供</w:t>
            </w:r>
            <w:r>
              <w:rPr>
                <w:rFonts w:hint="eastAsia" w:ascii="宋体" w:hAnsi="宋体" w:cs="宋体"/>
                <w:color w:val="auto"/>
                <w:sz w:val="24"/>
                <w:szCs w:val="24"/>
                <w:lang w:eastAsia="zh-CN"/>
              </w:rPr>
              <w:t>2025年1月至今</w:t>
            </w:r>
            <w:r>
              <w:rPr>
                <w:rFonts w:hint="eastAsia" w:ascii="宋体" w:hAnsi="宋体" w:eastAsia="宋体" w:cs="宋体"/>
                <w:color w:val="auto"/>
                <w:sz w:val="24"/>
                <w:szCs w:val="24"/>
              </w:rPr>
              <w:t>至少1个月的纳税证明（银行缴费凭证）或完税证明，依法免税的单位应提供相关证明材料；  </w:t>
            </w:r>
          </w:p>
        </w:tc>
      </w:tr>
      <w:tr w14:paraId="0F750BF8">
        <w:tblPrEx>
          <w:tblCellMar>
            <w:top w:w="0" w:type="dxa"/>
            <w:left w:w="108" w:type="dxa"/>
            <w:bottom w:w="0" w:type="dxa"/>
            <w:right w:w="108" w:type="dxa"/>
          </w:tblCellMar>
        </w:tblPrEx>
        <w:trPr>
          <w:trHeight w:val="955"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45C55765">
            <w:pPr>
              <w:spacing w:line="400" w:lineRule="exact"/>
              <w:jc w:val="center"/>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5EB10A6">
            <w:pPr>
              <w:spacing w:line="40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社会保障资金缴纳证明</w:t>
            </w:r>
          </w:p>
        </w:tc>
        <w:tc>
          <w:tcPr>
            <w:tcW w:w="6358" w:type="dxa"/>
            <w:tcBorders>
              <w:top w:val="single" w:color="auto" w:sz="4" w:space="0"/>
              <w:left w:val="single" w:color="auto" w:sz="4" w:space="0"/>
              <w:bottom w:val="single" w:color="auto" w:sz="4" w:space="0"/>
              <w:right w:val="single" w:color="auto" w:sz="4" w:space="0"/>
            </w:tcBorders>
            <w:noWrap w:val="0"/>
            <w:vAlign w:val="top"/>
          </w:tcPr>
          <w:p w14:paraId="5F9A9270">
            <w:pPr>
              <w:spacing w:line="400" w:lineRule="exact"/>
              <w:jc w:val="left"/>
              <w:outlineLvl w:val="9"/>
              <w:rPr>
                <w:rFonts w:hint="eastAsia" w:ascii="宋体" w:hAnsi="宋体" w:eastAsia="宋体" w:cs="宋体"/>
                <w:snapToGrid w:val="0"/>
                <w:color w:val="auto"/>
                <w:kern w:val="0"/>
                <w:sz w:val="24"/>
                <w:szCs w:val="24"/>
                <w:lang w:eastAsia="zh-CN"/>
              </w:rPr>
            </w:pPr>
            <w:r>
              <w:rPr>
                <w:rFonts w:hint="eastAsia" w:ascii="宋体" w:hAnsi="宋体" w:eastAsia="宋体" w:cs="宋体"/>
                <w:color w:val="auto"/>
                <w:sz w:val="24"/>
                <w:szCs w:val="24"/>
              </w:rPr>
              <w:t>提供</w:t>
            </w:r>
            <w:r>
              <w:rPr>
                <w:rFonts w:hint="eastAsia" w:ascii="宋体" w:hAnsi="宋体" w:cs="宋体"/>
                <w:color w:val="auto"/>
                <w:sz w:val="24"/>
                <w:szCs w:val="24"/>
                <w:lang w:eastAsia="zh-CN"/>
              </w:rPr>
              <w:t>2025年1月至今</w:t>
            </w:r>
            <w:r>
              <w:rPr>
                <w:rFonts w:hint="eastAsia" w:ascii="宋体" w:hAnsi="宋体" w:eastAsia="宋体" w:cs="宋体"/>
                <w:color w:val="auto"/>
                <w:sz w:val="24"/>
                <w:szCs w:val="24"/>
              </w:rPr>
              <w:t>至少1个月的社会保障资金银行缴费单据或社保机构开具的社会保险参保缴费情况证明，依法不需要缴纳社会保障资金的单位应提供相关证明材料；  </w:t>
            </w:r>
          </w:p>
        </w:tc>
      </w:tr>
      <w:tr w14:paraId="4A6AF91A">
        <w:tblPrEx>
          <w:tblCellMar>
            <w:top w:w="0" w:type="dxa"/>
            <w:left w:w="108" w:type="dxa"/>
            <w:bottom w:w="0" w:type="dxa"/>
            <w:right w:w="108" w:type="dxa"/>
          </w:tblCellMar>
        </w:tblPrEx>
        <w:trPr>
          <w:trHeight w:val="955"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11B875DC">
            <w:pPr>
              <w:spacing w:line="400" w:lineRule="exact"/>
              <w:jc w:val="center"/>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A177C58">
            <w:pPr>
              <w:spacing w:line="40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财务要求</w:t>
            </w:r>
          </w:p>
        </w:tc>
        <w:tc>
          <w:tcPr>
            <w:tcW w:w="6358" w:type="dxa"/>
            <w:tcBorders>
              <w:top w:val="single" w:color="auto" w:sz="4" w:space="0"/>
              <w:left w:val="single" w:color="auto" w:sz="4" w:space="0"/>
              <w:bottom w:val="single" w:color="auto" w:sz="4" w:space="0"/>
              <w:right w:val="single" w:color="auto" w:sz="4" w:space="0"/>
            </w:tcBorders>
            <w:noWrap w:val="0"/>
            <w:vAlign w:val="top"/>
          </w:tcPr>
          <w:p w14:paraId="2D054807">
            <w:pPr>
              <w:spacing w:line="400" w:lineRule="exact"/>
              <w:jc w:val="left"/>
              <w:outlineLvl w:val="9"/>
              <w:rPr>
                <w:rFonts w:hint="eastAsia" w:ascii="宋体" w:hAnsi="宋体" w:cs="宋体"/>
                <w:color w:val="auto"/>
                <w:sz w:val="24"/>
                <w:szCs w:val="24"/>
                <w:shd w:val="clear" w:color="auto" w:fill="auto"/>
                <w:lang w:eastAsia="zh-CN"/>
              </w:rPr>
            </w:pPr>
            <w:r>
              <w:rPr>
                <w:rFonts w:hint="eastAsia" w:ascii="宋体" w:hAnsi="宋体" w:cs="宋体"/>
                <w:color w:val="auto"/>
                <w:sz w:val="24"/>
                <w:szCs w:val="24"/>
                <w:shd w:val="clear" w:color="auto" w:fill="auto"/>
                <w:lang w:eastAsia="zh-CN"/>
              </w:rPr>
              <w:t>提供202</w:t>
            </w:r>
            <w:r>
              <w:rPr>
                <w:rFonts w:hint="eastAsia" w:ascii="宋体" w:hAnsi="宋体" w:cs="宋体"/>
                <w:color w:val="auto"/>
                <w:sz w:val="24"/>
                <w:szCs w:val="24"/>
                <w:shd w:val="clear" w:color="auto" w:fill="auto"/>
                <w:lang w:val="en-US" w:eastAsia="zh-CN"/>
              </w:rPr>
              <w:t>4</w:t>
            </w:r>
            <w:r>
              <w:rPr>
                <w:rFonts w:hint="eastAsia" w:ascii="宋体" w:hAnsi="宋体" w:cs="宋体"/>
                <w:color w:val="auto"/>
                <w:sz w:val="24"/>
                <w:szCs w:val="24"/>
                <w:shd w:val="clear" w:color="auto" w:fill="auto"/>
                <w:lang w:eastAsia="zh-CN"/>
              </w:rPr>
              <w:t>年度财务审计报告；公司成立至开标日期不足一年的提供自成立以来的财务报表（至少包含资产负债表、利润表、现金流量表）或公司基本账户开户行出具自成立以来的资信证明及基本账户开户证明；</w:t>
            </w:r>
          </w:p>
        </w:tc>
      </w:tr>
      <w:tr w14:paraId="30D13A52">
        <w:tblPrEx>
          <w:tblCellMar>
            <w:top w:w="0" w:type="dxa"/>
            <w:left w:w="108" w:type="dxa"/>
            <w:bottom w:w="0" w:type="dxa"/>
            <w:right w:w="108" w:type="dxa"/>
          </w:tblCellMar>
        </w:tblPrEx>
        <w:trPr>
          <w:trHeight w:val="499"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0A77B2DB">
            <w:pPr>
              <w:spacing w:line="420" w:lineRule="exact"/>
              <w:jc w:val="center"/>
              <w:outlineLvl w:val="9"/>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901CC4F">
            <w:pPr>
              <w:spacing w:line="42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无</w:t>
            </w:r>
            <w:r>
              <w:rPr>
                <w:rFonts w:hint="eastAsia" w:ascii="宋体" w:hAnsi="宋体" w:eastAsia="宋体" w:cs="宋体"/>
                <w:color w:val="auto"/>
                <w:sz w:val="24"/>
                <w:szCs w:val="24"/>
              </w:rPr>
              <w:t>重大违法记录的书面声明</w:t>
            </w:r>
          </w:p>
        </w:tc>
        <w:tc>
          <w:tcPr>
            <w:tcW w:w="6358" w:type="dxa"/>
            <w:tcBorders>
              <w:top w:val="single" w:color="auto" w:sz="4" w:space="0"/>
              <w:left w:val="single" w:color="auto" w:sz="4" w:space="0"/>
              <w:bottom w:val="single" w:color="auto" w:sz="4" w:space="0"/>
              <w:right w:val="single" w:color="auto" w:sz="4" w:space="0"/>
            </w:tcBorders>
            <w:noWrap w:val="0"/>
            <w:vAlign w:val="center"/>
          </w:tcPr>
          <w:p w14:paraId="1419D06F">
            <w:pPr>
              <w:spacing w:line="360" w:lineRule="auto"/>
              <w:jc w:val="left"/>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参加政府采购活动前三年内，在经营活动中没有重大违法记录的书面声明；</w:t>
            </w:r>
          </w:p>
        </w:tc>
      </w:tr>
      <w:tr w14:paraId="53BC51F2">
        <w:tblPrEx>
          <w:tblCellMar>
            <w:top w:w="0" w:type="dxa"/>
            <w:left w:w="108" w:type="dxa"/>
            <w:bottom w:w="0" w:type="dxa"/>
            <w:right w:w="108" w:type="dxa"/>
          </w:tblCellMar>
        </w:tblPrEx>
        <w:trPr>
          <w:trHeight w:val="499"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1A946CD9">
            <w:pPr>
              <w:spacing w:line="420" w:lineRule="exact"/>
              <w:jc w:val="center"/>
              <w:outlineLvl w:val="9"/>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8</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7EA066B">
            <w:pPr>
              <w:spacing w:line="420" w:lineRule="exact"/>
              <w:jc w:val="center"/>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设备和专业技术能力</w:t>
            </w:r>
          </w:p>
        </w:tc>
        <w:tc>
          <w:tcPr>
            <w:tcW w:w="6358" w:type="dxa"/>
            <w:tcBorders>
              <w:top w:val="single" w:color="auto" w:sz="4" w:space="0"/>
              <w:left w:val="single" w:color="auto" w:sz="4" w:space="0"/>
              <w:bottom w:val="single" w:color="auto" w:sz="4" w:space="0"/>
              <w:right w:val="single" w:color="auto" w:sz="4" w:space="0"/>
            </w:tcBorders>
            <w:noWrap w:val="0"/>
            <w:vAlign w:val="center"/>
          </w:tcPr>
          <w:p w14:paraId="39454BAE">
            <w:pPr>
              <w:spacing w:line="360" w:lineRule="auto"/>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提供具有履行合同所必需的设备和专业技术能力的证明资料或承诺书；</w:t>
            </w:r>
          </w:p>
        </w:tc>
      </w:tr>
      <w:tr w14:paraId="17C8B85E">
        <w:tblPrEx>
          <w:tblCellMar>
            <w:top w:w="0" w:type="dxa"/>
            <w:left w:w="108" w:type="dxa"/>
            <w:bottom w:w="0" w:type="dxa"/>
            <w:right w:w="108" w:type="dxa"/>
          </w:tblCellMar>
        </w:tblPrEx>
        <w:trPr>
          <w:trHeight w:val="499"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3392D9DD">
            <w:pPr>
              <w:spacing w:line="400" w:lineRule="exact"/>
              <w:jc w:val="center"/>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E2957BE">
            <w:pPr>
              <w:spacing w:line="420" w:lineRule="exact"/>
              <w:jc w:val="center"/>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信誉</w:t>
            </w:r>
            <w:r>
              <w:rPr>
                <w:rFonts w:hint="eastAsia" w:ascii="宋体" w:hAnsi="宋体" w:eastAsia="宋体" w:cs="宋体"/>
                <w:color w:val="auto"/>
                <w:sz w:val="24"/>
                <w:szCs w:val="24"/>
                <w:lang w:val="en-US" w:eastAsia="zh-CN"/>
              </w:rPr>
              <w:t>截图</w:t>
            </w:r>
          </w:p>
        </w:tc>
        <w:tc>
          <w:tcPr>
            <w:tcW w:w="6358" w:type="dxa"/>
            <w:tcBorders>
              <w:top w:val="single" w:color="auto" w:sz="4" w:space="0"/>
              <w:left w:val="single" w:color="auto" w:sz="4" w:space="0"/>
              <w:bottom w:val="single" w:color="auto" w:sz="4" w:space="0"/>
              <w:right w:val="single" w:color="auto" w:sz="4" w:space="0"/>
            </w:tcBorders>
            <w:noWrap w:val="0"/>
            <w:vAlign w:val="center"/>
          </w:tcPr>
          <w:p w14:paraId="50F91CE0">
            <w:pPr>
              <w:pStyle w:val="35"/>
              <w:spacing w:line="360" w:lineRule="auto"/>
              <w:ind w:firstLine="0" w:firstLine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对列入“信用中国”网站(www.creditchina.gov.cn)“失信被执行人、严重失信主体名单、异常经营名录”记录名单；中国政府采购网(www.ccgp.gov.cn)“政府采购严重违法失信行为信息记录”的单位，应当拒绝参与政府采购活动（附投标截止日前的查询结果但以投标截止日当天查询结果为准）。</w:t>
            </w:r>
          </w:p>
        </w:tc>
      </w:tr>
      <w:tr w14:paraId="285360D9">
        <w:tblPrEx>
          <w:tblCellMar>
            <w:top w:w="0" w:type="dxa"/>
            <w:left w:w="108" w:type="dxa"/>
            <w:bottom w:w="0" w:type="dxa"/>
            <w:right w:w="108" w:type="dxa"/>
          </w:tblCellMar>
        </w:tblPrEx>
        <w:trPr>
          <w:trHeight w:val="499"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47C64412">
            <w:pPr>
              <w:spacing w:line="420" w:lineRule="exact"/>
              <w:jc w:val="center"/>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E468EE">
            <w:pPr>
              <w:spacing w:line="400" w:lineRule="exact"/>
              <w:jc w:val="center"/>
              <w:outlineLvl w:val="9"/>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自主上报信用承诺书</w:t>
            </w:r>
          </w:p>
        </w:tc>
        <w:tc>
          <w:tcPr>
            <w:tcW w:w="6358" w:type="dxa"/>
            <w:tcBorders>
              <w:top w:val="single" w:color="auto" w:sz="4" w:space="0"/>
              <w:left w:val="single" w:color="auto" w:sz="4" w:space="0"/>
              <w:bottom w:val="single" w:color="auto" w:sz="4" w:space="0"/>
              <w:right w:val="single" w:color="auto" w:sz="4" w:space="0"/>
            </w:tcBorders>
            <w:noWrap w:val="0"/>
            <w:vAlign w:val="center"/>
          </w:tcPr>
          <w:p w14:paraId="6D6B42C0">
            <w:pPr>
              <w:keepNext w:val="0"/>
              <w:keepLines w:val="0"/>
              <w:pageBreakBefore w:val="0"/>
              <w:widowControl w:val="0"/>
              <w:kinsoku w:val="0"/>
              <w:wordWrap/>
              <w:overflowPunct w:val="0"/>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投标人及其授权委托人应在“信用中国（陕西榆林）”网站(www.ylcredit.gov.cn)进行注册、登录、自主上报信用承诺书，包括：《</w:t>
            </w:r>
            <w:r>
              <w:rPr>
                <w:rFonts w:hint="eastAsia" w:ascii="宋体" w:hAnsi="宋体" w:eastAsia="宋体" w:cs="宋体"/>
                <w:i w:val="0"/>
                <w:iCs w:val="0"/>
                <w:caps w:val="0"/>
                <w:color w:val="auto"/>
                <w:spacing w:val="0"/>
                <w:sz w:val="24"/>
                <w:szCs w:val="24"/>
                <w:shd w:val="clear" w:color="auto" w:fill="FFFFFF"/>
                <w:lang w:eastAsia="zh-CN"/>
              </w:rPr>
              <w:t>榆林市政府采购</w:t>
            </w:r>
            <w:r>
              <w:rPr>
                <w:rFonts w:hint="eastAsia" w:ascii="宋体" w:hAnsi="宋体" w:eastAsia="宋体" w:cs="宋体"/>
                <w:i w:val="0"/>
                <w:iCs w:val="0"/>
                <w:caps w:val="0"/>
                <w:color w:val="auto"/>
                <w:spacing w:val="0"/>
                <w:sz w:val="24"/>
                <w:szCs w:val="24"/>
                <w:shd w:val="clear" w:color="auto" w:fill="FFFFFF"/>
                <w:lang w:val="en-US" w:eastAsia="zh-CN"/>
              </w:rPr>
              <w:t>工程</w:t>
            </w:r>
            <w:r>
              <w:rPr>
                <w:rFonts w:hint="eastAsia" w:ascii="宋体" w:hAnsi="宋体" w:eastAsia="宋体" w:cs="宋体"/>
                <w:i w:val="0"/>
                <w:iCs w:val="0"/>
                <w:caps w:val="0"/>
                <w:color w:val="auto"/>
                <w:spacing w:val="0"/>
                <w:sz w:val="24"/>
                <w:szCs w:val="24"/>
                <w:shd w:val="clear" w:color="auto" w:fill="FFFFFF"/>
                <w:lang w:eastAsia="zh-CN"/>
              </w:rPr>
              <w:t>类项目供应商信用承诺书</w:t>
            </w:r>
            <w:r>
              <w:rPr>
                <w:rFonts w:hint="eastAsia" w:ascii="宋体" w:hAnsi="宋体" w:eastAsia="宋体" w:cs="宋体"/>
                <w:i w:val="0"/>
                <w:iCs w:val="0"/>
                <w:caps w:val="0"/>
                <w:color w:val="auto"/>
                <w:spacing w:val="0"/>
                <w:sz w:val="24"/>
                <w:szCs w:val="24"/>
                <w:shd w:val="clear" w:color="auto" w:fill="FFFFFF"/>
              </w:rPr>
              <w:t>》、《投标人信用承诺》、《投标人委托代理人员信用承诺书》(如有)、《投标信用承诺书》。</w:t>
            </w:r>
          </w:p>
        </w:tc>
      </w:tr>
      <w:tr w14:paraId="7DE1A38F">
        <w:tblPrEx>
          <w:tblCellMar>
            <w:top w:w="0" w:type="dxa"/>
            <w:left w:w="108" w:type="dxa"/>
            <w:bottom w:w="0" w:type="dxa"/>
            <w:right w:w="108" w:type="dxa"/>
          </w:tblCellMar>
        </w:tblPrEx>
        <w:trPr>
          <w:trHeight w:val="570"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1B2BF5A1">
            <w:pPr>
              <w:snapToGrid w:val="0"/>
              <w:spacing w:line="276" w:lineRule="auto"/>
              <w:jc w:val="center"/>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11</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7FF6F73">
            <w:pPr>
              <w:snapToGrid w:val="0"/>
              <w:spacing w:line="276" w:lineRule="auto"/>
              <w:jc w:val="center"/>
              <w:outlineLvl w:val="9"/>
              <w:rPr>
                <w:rFonts w:hint="eastAsia" w:ascii="宋体" w:hAnsi="宋体" w:eastAsia="宋体" w:cs="宋体"/>
                <w:color w:val="auto"/>
                <w:sz w:val="24"/>
                <w:szCs w:val="24"/>
              </w:rPr>
            </w:pPr>
            <w:r>
              <w:rPr>
                <w:rFonts w:hint="eastAsia" w:ascii="宋体" w:hAnsi="宋体" w:cs="宋体"/>
                <w:color w:val="auto"/>
                <w:sz w:val="24"/>
                <w:szCs w:val="24"/>
              </w:rPr>
              <w:t>中小企业声明函</w:t>
            </w:r>
          </w:p>
        </w:tc>
        <w:tc>
          <w:tcPr>
            <w:tcW w:w="6358" w:type="dxa"/>
            <w:tcBorders>
              <w:top w:val="single" w:color="auto" w:sz="4" w:space="0"/>
              <w:left w:val="single" w:color="auto" w:sz="4" w:space="0"/>
              <w:bottom w:val="single" w:color="auto" w:sz="4" w:space="0"/>
              <w:right w:val="single" w:color="auto" w:sz="4" w:space="0"/>
            </w:tcBorders>
            <w:noWrap w:val="0"/>
            <w:vAlign w:val="center"/>
          </w:tcPr>
          <w:p w14:paraId="7B19B284">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本项目专门面向</w:t>
            </w:r>
            <w:r>
              <w:rPr>
                <w:rFonts w:hint="eastAsia" w:ascii="宋体" w:hAnsi="宋体" w:cs="宋体"/>
                <w:color w:val="auto"/>
                <w:sz w:val="24"/>
                <w:szCs w:val="24"/>
                <w:lang w:val="en-US" w:eastAsia="zh-CN"/>
              </w:rPr>
              <w:t>中小</w:t>
            </w:r>
            <w:r>
              <w:rPr>
                <w:rFonts w:hint="eastAsia" w:ascii="宋体" w:hAnsi="宋体" w:eastAsia="宋体" w:cs="宋体"/>
                <w:color w:val="auto"/>
                <w:sz w:val="24"/>
                <w:szCs w:val="24"/>
              </w:rPr>
              <w:t>企业（提供中小企业声明函）；</w:t>
            </w:r>
          </w:p>
        </w:tc>
      </w:tr>
      <w:tr w14:paraId="3F8E13EA">
        <w:tblPrEx>
          <w:tblCellMar>
            <w:top w:w="0" w:type="dxa"/>
            <w:left w:w="108" w:type="dxa"/>
            <w:bottom w:w="0" w:type="dxa"/>
            <w:right w:w="108" w:type="dxa"/>
          </w:tblCellMar>
        </w:tblPrEx>
        <w:trPr>
          <w:trHeight w:val="815"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32E3FB8E">
            <w:pPr>
              <w:snapToGrid w:val="0"/>
              <w:spacing w:line="276" w:lineRule="auto"/>
              <w:jc w:val="center"/>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DF30F14">
            <w:pPr>
              <w:snapToGrid w:val="0"/>
              <w:spacing w:line="276" w:lineRule="auto"/>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非联合体投标声明</w:t>
            </w:r>
          </w:p>
        </w:tc>
        <w:tc>
          <w:tcPr>
            <w:tcW w:w="6358" w:type="dxa"/>
            <w:tcBorders>
              <w:top w:val="single" w:color="auto" w:sz="4" w:space="0"/>
              <w:left w:val="single" w:color="auto" w:sz="4" w:space="0"/>
              <w:bottom w:val="single" w:color="auto" w:sz="4" w:space="0"/>
              <w:right w:val="single" w:color="auto" w:sz="4" w:space="0"/>
            </w:tcBorders>
            <w:noWrap w:val="0"/>
            <w:vAlign w:val="center"/>
          </w:tcPr>
          <w:p w14:paraId="789DAFB9">
            <w:pPr>
              <w:pStyle w:val="10"/>
              <w:tabs>
                <w:tab w:val="left" w:pos="6060"/>
              </w:tabs>
              <w:adjustRightInd w:val="0"/>
              <w:snapToGrid w:val="0"/>
              <w:spacing w:line="360" w:lineRule="auto"/>
              <w:outlineLvl w:val="9"/>
              <w:rPr>
                <w:rFonts w:hint="eastAsia" w:ascii="宋体" w:hAnsi="宋体" w:eastAsia="宋体" w:cs="宋体"/>
                <w:bCs/>
                <w:color w:val="auto"/>
                <w:sz w:val="24"/>
                <w:szCs w:val="24"/>
              </w:rPr>
            </w:pPr>
            <w:r>
              <w:rPr>
                <w:rFonts w:hint="eastAsia" w:ascii="宋体" w:hAnsi="宋体" w:eastAsia="宋体" w:cs="宋体"/>
                <w:color w:val="auto"/>
                <w:sz w:val="24"/>
                <w:szCs w:val="24"/>
              </w:rPr>
              <w:t>本项目不接受联合体投标，单位负责人为同一人或者存在直接控股、管理关系的不同投标人，不得参加同一合同项下的政府采购活动</w:t>
            </w:r>
            <w:r>
              <w:rPr>
                <w:rFonts w:hint="eastAsia" w:ascii="宋体" w:hAnsi="宋体" w:cs="宋体"/>
                <w:color w:val="auto"/>
                <w:sz w:val="24"/>
                <w:szCs w:val="24"/>
                <w:lang w:eastAsia="zh-CN"/>
              </w:rPr>
              <w:t>（</w:t>
            </w:r>
            <w:r>
              <w:rPr>
                <w:rFonts w:hint="eastAsia" w:ascii="宋体" w:hAnsi="宋体" w:cs="宋体"/>
                <w:color w:val="auto"/>
                <w:sz w:val="24"/>
                <w:szCs w:val="24"/>
                <w:shd w:val="clear" w:color="auto" w:fill="auto"/>
                <w:lang w:val="en-US" w:eastAsia="zh-CN"/>
              </w:rPr>
              <w:t>提供非联合体投标声明）</w:t>
            </w:r>
            <w:r>
              <w:rPr>
                <w:rFonts w:hint="eastAsia" w:ascii="宋体" w:hAnsi="宋体" w:eastAsia="宋体" w:cs="宋体"/>
                <w:color w:val="auto"/>
                <w:sz w:val="24"/>
                <w:szCs w:val="24"/>
              </w:rPr>
              <w:t>。</w:t>
            </w:r>
          </w:p>
        </w:tc>
      </w:tr>
    </w:tbl>
    <w:p w14:paraId="6E0FD372">
      <w:pPr>
        <w:widowControl/>
        <w:jc w:val="left"/>
        <w:outlineLvl w:val="9"/>
        <w:rPr>
          <w:color w:val="auto"/>
          <w:sz w:val="28"/>
          <w:szCs w:val="28"/>
        </w:rPr>
      </w:pPr>
      <w:r>
        <w:rPr>
          <w:rFonts w:hint="eastAsia" w:ascii="宋体" w:hAnsi="宋体" w:cs="宋体"/>
          <w:b/>
          <w:bCs/>
          <w:color w:val="auto"/>
          <w:kern w:val="0"/>
          <w:sz w:val="28"/>
          <w:szCs w:val="28"/>
          <w:lang w:bidi="ar"/>
        </w:rPr>
        <w:t>2）投标文件有效性、完整性检查（符合性审查）</w:t>
      </w:r>
    </w:p>
    <w:p w14:paraId="260E9BE0">
      <w:pPr>
        <w:adjustRightInd w:val="0"/>
        <w:snapToGrid w:val="0"/>
        <w:spacing w:line="240" w:lineRule="auto"/>
        <w:jc w:val="left"/>
        <w:outlineLvl w:val="9"/>
        <w:rPr>
          <w:rFonts w:hint="eastAsia" w:ascii="宋体" w:hAnsi="宋体" w:cs="宋体"/>
          <w:color w:val="auto"/>
          <w:sz w:val="24"/>
        </w:rPr>
      </w:pPr>
      <w:r>
        <w:rPr>
          <w:rFonts w:hint="eastAsia" w:ascii="宋体" w:hAnsi="宋体" w:cs="宋体"/>
          <w:color w:val="auto"/>
          <w:sz w:val="24"/>
        </w:rPr>
        <w:t>按照以下内容对投标文件进行符合性审查，一项不合格其投标即为无效投标。</w:t>
      </w:r>
    </w:p>
    <w:tbl>
      <w:tblPr>
        <w:tblStyle w:val="25"/>
        <w:tblpPr w:leftFromText="180" w:rightFromText="180" w:vertAnchor="text" w:horzAnchor="page" w:tblpX="1396" w:tblpY="265"/>
        <w:tblOverlap w:val="never"/>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23"/>
        <w:gridCol w:w="6593"/>
      </w:tblGrid>
      <w:tr w14:paraId="42D8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17" w:type="dxa"/>
            <w:noWrap w:val="0"/>
            <w:vAlign w:val="center"/>
          </w:tcPr>
          <w:p w14:paraId="55FE3733">
            <w:pPr>
              <w:widowControl/>
              <w:jc w:val="center"/>
              <w:outlineLvl w:val="9"/>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2123" w:type="dxa"/>
            <w:noWrap w:val="0"/>
            <w:vAlign w:val="center"/>
          </w:tcPr>
          <w:p w14:paraId="06847BC3">
            <w:pPr>
              <w:widowControl/>
              <w:jc w:val="center"/>
              <w:outlineLvl w:val="9"/>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bidi="ar"/>
              </w:rPr>
              <w:t>评审因素</w:t>
            </w:r>
          </w:p>
        </w:tc>
        <w:tc>
          <w:tcPr>
            <w:tcW w:w="6593" w:type="dxa"/>
            <w:noWrap w:val="0"/>
            <w:vAlign w:val="center"/>
          </w:tcPr>
          <w:p w14:paraId="66A6D01B">
            <w:pPr>
              <w:widowControl/>
              <w:jc w:val="center"/>
              <w:outlineLvl w:val="9"/>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bidi="ar"/>
              </w:rPr>
              <w:t>评审标准</w:t>
            </w:r>
          </w:p>
        </w:tc>
      </w:tr>
      <w:tr w14:paraId="3720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17" w:type="dxa"/>
            <w:noWrap w:val="0"/>
            <w:vAlign w:val="center"/>
          </w:tcPr>
          <w:p w14:paraId="180EFDFD">
            <w:pPr>
              <w:pStyle w:val="23"/>
              <w:ind w:firstLine="0"/>
              <w:jc w:val="center"/>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2123" w:type="dxa"/>
            <w:noWrap w:val="0"/>
            <w:vAlign w:val="center"/>
          </w:tcPr>
          <w:p w14:paraId="32033023">
            <w:pPr>
              <w:keepNext w:val="0"/>
              <w:keepLines w:val="0"/>
              <w:suppressLineNumbers w:val="0"/>
              <w:spacing w:before="0" w:beforeAutospacing="0" w:after="0" w:afterAutospacing="0"/>
              <w:ind w:left="0" w:leftChars="0" w:right="0" w:rightChars="0"/>
              <w:jc w:val="left"/>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响应文件项目名称、项目编号</w:t>
            </w:r>
          </w:p>
        </w:tc>
        <w:tc>
          <w:tcPr>
            <w:tcW w:w="6593" w:type="dxa"/>
            <w:noWrap w:val="0"/>
            <w:vAlign w:val="center"/>
          </w:tcPr>
          <w:p w14:paraId="20BAFE25">
            <w:pPr>
              <w:spacing w:line="360" w:lineRule="auto"/>
              <w:jc w:val="left"/>
              <w:outlineLvl w:val="9"/>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响应</w:t>
            </w:r>
            <w:r>
              <w:rPr>
                <w:rFonts w:hint="eastAsia" w:ascii="宋体" w:hAnsi="宋体" w:cs="宋体"/>
                <w:color w:val="auto"/>
                <w:sz w:val="24"/>
                <w:szCs w:val="24"/>
              </w:rPr>
              <w:t>文件的项目名称、项目编号与本项目完全一致，且无遗漏。</w:t>
            </w:r>
          </w:p>
        </w:tc>
      </w:tr>
      <w:tr w14:paraId="06B6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17" w:type="dxa"/>
            <w:noWrap w:val="0"/>
            <w:vAlign w:val="center"/>
          </w:tcPr>
          <w:p w14:paraId="08175087">
            <w:pPr>
              <w:pStyle w:val="23"/>
              <w:ind w:firstLine="0"/>
              <w:jc w:val="center"/>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2123" w:type="dxa"/>
            <w:noWrap w:val="0"/>
            <w:vAlign w:val="center"/>
          </w:tcPr>
          <w:p w14:paraId="2DDFB1B3">
            <w:pPr>
              <w:widowControl/>
              <w:jc w:val="center"/>
              <w:outlineLvl w:val="9"/>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投标函</w:t>
            </w:r>
          </w:p>
        </w:tc>
        <w:tc>
          <w:tcPr>
            <w:tcW w:w="6593" w:type="dxa"/>
            <w:noWrap w:val="0"/>
            <w:vAlign w:val="center"/>
          </w:tcPr>
          <w:p w14:paraId="48273226">
            <w:pPr>
              <w:adjustRightInd w:val="0"/>
              <w:snapToGrid w:val="0"/>
              <w:outlineLvl w:val="9"/>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加盖投标人公章，且经法定代表人或其授权代表签字或盖章。</w:t>
            </w:r>
          </w:p>
        </w:tc>
      </w:tr>
      <w:tr w14:paraId="4643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17" w:type="dxa"/>
            <w:noWrap w:val="0"/>
            <w:vAlign w:val="center"/>
          </w:tcPr>
          <w:p w14:paraId="1DF21DC9">
            <w:pPr>
              <w:pStyle w:val="23"/>
              <w:ind w:firstLine="0"/>
              <w:jc w:val="center"/>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2123" w:type="dxa"/>
            <w:noWrap w:val="0"/>
            <w:vAlign w:val="center"/>
          </w:tcPr>
          <w:p w14:paraId="28B40969">
            <w:pPr>
              <w:keepNext w:val="0"/>
              <w:keepLines w:val="0"/>
              <w:suppressLineNumbers w:val="0"/>
              <w:spacing w:before="0" w:beforeAutospacing="0" w:after="0" w:afterAutospacing="0"/>
              <w:ind w:left="0" w:leftChars="0" w:right="0" w:rightChars="0"/>
              <w:jc w:val="center"/>
              <w:outlineLvl w:val="9"/>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法定代表人授权书</w:t>
            </w:r>
          </w:p>
        </w:tc>
        <w:tc>
          <w:tcPr>
            <w:tcW w:w="6593" w:type="dxa"/>
            <w:noWrap w:val="0"/>
            <w:vAlign w:val="center"/>
          </w:tcPr>
          <w:p w14:paraId="147CF5AA">
            <w:pPr>
              <w:keepNext w:val="0"/>
              <w:keepLines w:val="0"/>
              <w:suppressLineNumbers w:val="0"/>
              <w:spacing w:before="0" w:beforeAutospacing="0" w:after="0" w:afterAutospacing="0"/>
              <w:ind w:left="0" w:leftChars="0" w:right="0" w:rightChars="0"/>
              <w:outlineLvl w:val="9"/>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响应</w:t>
            </w:r>
            <w:r>
              <w:rPr>
                <w:rFonts w:hint="eastAsia" w:ascii="宋体" w:hAnsi="宋体" w:cs="宋体"/>
                <w:color w:val="auto"/>
                <w:sz w:val="24"/>
                <w:szCs w:val="24"/>
              </w:rPr>
              <w:t>文件有法定代表人授权书（法人直接投标除外）且授权书的合法性和有效性符合竞争性</w:t>
            </w:r>
            <w:r>
              <w:rPr>
                <w:rFonts w:hint="eastAsia" w:ascii="宋体" w:hAnsi="宋体" w:cs="宋体"/>
                <w:color w:val="auto"/>
                <w:sz w:val="24"/>
                <w:szCs w:val="24"/>
                <w:lang w:val="en-US" w:eastAsia="zh-CN"/>
              </w:rPr>
              <w:t>磋商</w:t>
            </w:r>
            <w:r>
              <w:rPr>
                <w:rFonts w:hint="eastAsia" w:ascii="宋体" w:hAnsi="宋体" w:cs="宋体"/>
                <w:color w:val="auto"/>
                <w:sz w:val="24"/>
                <w:szCs w:val="24"/>
              </w:rPr>
              <w:t>文件规定的。</w:t>
            </w:r>
          </w:p>
        </w:tc>
      </w:tr>
      <w:tr w14:paraId="4546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17" w:type="dxa"/>
            <w:noWrap w:val="0"/>
            <w:vAlign w:val="center"/>
          </w:tcPr>
          <w:p w14:paraId="48AC731B">
            <w:pPr>
              <w:pStyle w:val="23"/>
              <w:ind w:firstLine="0"/>
              <w:jc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p>
        </w:tc>
        <w:tc>
          <w:tcPr>
            <w:tcW w:w="2123" w:type="dxa"/>
            <w:noWrap w:val="0"/>
            <w:vAlign w:val="center"/>
          </w:tcPr>
          <w:p w14:paraId="7706CC79">
            <w:pPr>
              <w:keepNext w:val="0"/>
              <w:keepLines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响应文件签署、盖章</w:t>
            </w:r>
          </w:p>
        </w:tc>
        <w:tc>
          <w:tcPr>
            <w:tcW w:w="6593" w:type="dxa"/>
            <w:noWrap w:val="0"/>
            <w:vAlign w:val="center"/>
          </w:tcPr>
          <w:p w14:paraId="63FC1B95">
            <w:pPr>
              <w:keepNext w:val="0"/>
              <w:keepLines w:val="0"/>
              <w:suppressLineNumbers w:val="0"/>
              <w:spacing w:before="0" w:beforeAutospacing="0" w:after="0" w:afterAutospacing="0"/>
              <w:ind w:left="0" w:leftChars="0" w:right="0" w:rightChars="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签署、盖章符合</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rPr>
              <w:t>文件要求，且无遗漏</w:t>
            </w:r>
            <w:r>
              <w:rPr>
                <w:rFonts w:hint="eastAsia" w:ascii="宋体" w:hAnsi="宋体" w:eastAsia="宋体" w:cs="宋体"/>
                <w:color w:val="auto"/>
                <w:sz w:val="24"/>
                <w:szCs w:val="24"/>
                <w:lang w:eastAsia="zh-CN"/>
              </w:rPr>
              <w:t>。</w:t>
            </w:r>
          </w:p>
        </w:tc>
      </w:tr>
      <w:tr w14:paraId="0751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14:paraId="3F6DD811">
            <w:pPr>
              <w:pStyle w:val="23"/>
              <w:ind w:firstLine="0"/>
              <w:jc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2123" w:type="dxa"/>
            <w:noWrap w:val="0"/>
            <w:vAlign w:val="center"/>
          </w:tcPr>
          <w:p w14:paraId="148D6817">
            <w:pPr>
              <w:keepNext w:val="0"/>
              <w:keepLines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响应文件有效期</w:t>
            </w:r>
          </w:p>
        </w:tc>
        <w:tc>
          <w:tcPr>
            <w:tcW w:w="6593" w:type="dxa"/>
            <w:noWrap w:val="0"/>
            <w:vAlign w:val="center"/>
          </w:tcPr>
          <w:p w14:paraId="430F6A3F">
            <w:pPr>
              <w:keepNext w:val="0"/>
              <w:keepLines w:val="0"/>
              <w:suppressLineNumbers w:val="0"/>
              <w:spacing w:before="0" w:beforeAutospacing="0" w:after="0" w:afterAutospacing="0"/>
              <w:ind w:left="0" w:leftChars="0" w:right="0" w:rightChars="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rPr>
              <w:t>文件的要求。</w:t>
            </w:r>
          </w:p>
        </w:tc>
      </w:tr>
      <w:tr w14:paraId="61AD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817" w:type="dxa"/>
            <w:noWrap w:val="0"/>
            <w:vAlign w:val="center"/>
          </w:tcPr>
          <w:p w14:paraId="3597F489">
            <w:pPr>
              <w:pStyle w:val="23"/>
              <w:ind w:firstLine="0"/>
              <w:jc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2123" w:type="dxa"/>
            <w:noWrap w:val="0"/>
            <w:vAlign w:val="center"/>
          </w:tcPr>
          <w:p w14:paraId="027A9DCB">
            <w:pPr>
              <w:keepNext w:val="0"/>
              <w:keepLines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报价</w:t>
            </w:r>
          </w:p>
        </w:tc>
        <w:tc>
          <w:tcPr>
            <w:tcW w:w="6593" w:type="dxa"/>
            <w:noWrap w:val="0"/>
            <w:vAlign w:val="center"/>
          </w:tcPr>
          <w:p w14:paraId="67463B21">
            <w:pPr>
              <w:keepNext w:val="0"/>
              <w:keepLines w:val="0"/>
              <w:suppressLineNumbers w:val="0"/>
              <w:spacing w:before="0" w:beforeAutospacing="0" w:after="0" w:afterAutospacing="0" w:line="360" w:lineRule="auto"/>
              <w:ind w:left="0" w:right="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同时满足以下条款：</w:t>
            </w:r>
          </w:p>
          <w:p w14:paraId="33A7A4B5">
            <w:pPr>
              <w:keepNext w:val="0"/>
              <w:keepLines w:val="0"/>
              <w:suppressLineNumbers w:val="0"/>
              <w:spacing w:before="0" w:beforeAutospacing="0" w:after="0" w:afterAutospacing="0" w:line="360" w:lineRule="auto"/>
              <w:ind w:left="0" w:right="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报价符合唯一性要求；</w:t>
            </w:r>
          </w:p>
          <w:p w14:paraId="63175D8F">
            <w:pPr>
              <w:keepNext w:val="0"/>
              <w:keepLines w:val="0"/>
              <w:suppressLineNumbers w:val="0"/>
              <w:spacing w:before="0" w:beforeAutospacing="0" w:after="0" w:afterAutospacing="0" w:line="360" w:lineRule="auto"/>
              <w:ind w:left="0" w:right="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（2）第一次</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报价表填写符合要求；</w:t>
            </w:r>
          </w:p>
          <w:p w14:paraId="2A6C0B26">
            <w:pPr>
              <w:keepNext w:val="0"/>
              <w:keepLines w:val="0"/>
              <w:suppressLineNumbers w:val="0"/>
              <w:spacing w:before="0" w:beforeAutospacing="0" w:after="0" w:afterAutospacing="0" w:line="360" w:lineRule="auto"/>
              <w:ind w:left="0" w:right="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（3）报价货币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符合</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文件要求；</w:t>
            </w:r>
          </w:p>
          <w:p w14:paraId="56F311A3">
            <w:pPr>
              <w:keepNext w:val="0"/>
              <w:keepLines w:val="0"/>
              <w:suppressLineNumbers w:val="0"/>
              <w:spacing w:before="0" w:beforeAutospacing="0" w:after="0" w:afterAutospacing="0" w:line="360" w:lineRule="auto"/>
              <w:ind w:left="0" w:leftChars="0" w:right="0" w:rightChars="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（4）未超出采购预算或</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文件规定的最高限价；</w:t>
            </w:r>
          </w:p>
        </w:tc>
      </w:tr>
      <w:tr w14:paraId="2F5F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7" w:type="dxa"/>
            <w:noWrap w:val="0"/>
            <w:vAlign w:val="center"/>
          </w:tcPr>
          <w:p w14:paraId="3DCDF240">
            <w:pPr>
              <w:pStyle w:val="23"/>
              <w:ind w:firstLine="0"/>
              <w:jc w:val="center"/>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2123" w:type="dxa"/>
            <w:noWrap w:val="0"/>
            <w:vAlign w:val="center"/>
          </w:tcPr>
          <w:p w14:paraId="17F063E9">
            <w:pPr>
              <w:keepNext w:val="0"/>
              <w:keepLines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响应文件编写</w:t>
            </w:r>
          </w:p>
        </w:tc>
        <w:tc>
          <w:tcPr>
            <w:tcW w:w="6593" w:type="dxa"/>
            <w:noWrap w:val="0"/>
            <w:vAlign w:val="center"/>
          </w:tcPr>
          <w:p w14:paraId="172B623F">
            <w:pPr>
              <w:keepNext w:val="0"/>
              <w:keepLines w:val="0"/>
              <w:suppressLineNumbers w:val="0"/>
              <w:spacing w:before="0" w:beforeAutospacing="0" w:after="0" w:afterAutospacing="0"/>
              <w:ind w:left="0" w:leftChars="0" w:right="0" w:rightChars="0"/>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响应文件按照竞争性</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文件要求的格式编写及</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响应文件的关键内容字迹清晰、可辨认的。</w:t>
            </w:r>
          </w:p>
        </w:tc>
      </w:tr>
      <w:tr w14:paraId="1972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17" w:type="dxa"/>
            <w:noWrap w:val="0"/>
            <w:vAlign w:val="center"/>
          </w:tcPr>
          <w:p w14:paraId="22A8E461">
            <w:pPr>
              <w:pStyle w:val="23"/>
              <w:ind w:firstLine="0"/>
              <w:jc w:val="center"/>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2123" w:type="dxa"/>
            <w:noWrap w:val="0"/>
            <w:vAlign w:val="center"/>
          </w:tcPr>
          <w:p w14:paraId="63C56D24">
            <w:pPr>
              <w:keepNext w:val="0"/>
              <w:keepLines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4"/>
                <w:szCs w:val="24"/>
              </w:rPr>
            </w:pPr>
            <w:r>
              <w:rPr>
                <w:rFonts w:hint="eastAsia" w:ascii="宋体" w:hAnsi="宋体" w:cs="宋体"/>
                <w:color w:val="auto"/>
                <w:sz w:val="24"/>
                <w:szCs w:val="24"/>
              </w:rPr>
              <w:t>商务要求</w:t>
            </w:r>
          </w:p>
        </w:tc>
        <w:tc>
          <w:tcPr>
            <w:tcW w:w="6593" w:type="dxa"/>
            <w:noWrap w:val="0"/>
            <w:vAlign w:val="center"/>
          </w:tcPr>
          <w:p w14:paraId="1D0A4DA5">
            <w:pPr>
              <w:keepNext w:val="0"/>
              <w:keepLines w:val="0"/>
              <w:suppressLineNumbers w:val="0"/>
              <w:spacing w:before="0" w:beforeAutospacing="0" w:after="0" w:afterAutospacing="0"/>
              <w:ind w:left="0" w:leftChars="0" w:right="0" w:rightChars="0"/>
              <w:outlineLvl w:val="9"/>
              <w:rPr>
                <w:rFonts w:hint="eastAsia" w:ascii="宋体" w:hAnsi="宋体" w:eastAsia="宋体" w:cs="宋体"/>
                <w:color w:val="auto"/>
                <w:sz w:val="24"/>
                <w:szCs w:val="24"/>
                <w:lang w:eastAsia="zh-CN"/>
              </w:rPr>
            </w:pPr>
            <w:r>
              <w:rPr>
                <w:rFonts w:hint="eastAsia" w:ascii="宋体" w:hAnsi="宋体" w:cs="宋体"/>
                <w:color w:val="auto"/>
                <w:sz w:val="24"/>
                <w:szCs w:val="24"/>
              </w:rPr>
              <w:t>商务要求逐条响应并满足竞争性</w:t>
            </w:r>
            <w:r>
              <w:rPr>
                <w:rFonts w:hint="eastAsia" w:ascii="宋体" w:hAnsi="宋体" w:cs="宋体"/>
                <w:color w:val="auto"/>
                <w:sz w:val="24"/>
                <w:szCs w:val="24"/>
                <w:lang w:val="en-US" w:eastAsia="zh-CN"/>
              </w:rPr>
              <w:t>磋商</w:t>
            </w:r>
            <w:r>
              <w:rPr>
                <w:rFonts w:hint="eastAsia" w:ascii="宋体" w:hAnsi="宋体" w:cs="宋体"/>
                <w:color w:val="auto"/>
                <w:sz w:val="24"/>
                <w:szCs w:val="24"/>
              </w:rPr>
              <w:t>文件要求</w:t>
            </w:r>
            <w:r>
              <w:rPr>
                <w:rFonts w:hint="eastAsia" w:ascii="宋体" w:hAnsi="宋体" w:cs="宋体"/>
                <w:color w:val="auto"/>
                <w:sz w:val="24"/>
                <w:szCs w:val="24"/>
                <w:lang w:eastAsia="zh-CN"/>
              </w:rPr>
              <w:t>；</w:t>
            </w:r>
            <w:r>
              <w:rPr>
                <w:rFonts w:hint="eastAsia" w:ascii="宋体" w:hAnsi="宋体" w:eastAsia="宋体" w:cs="宋体"/>
                <w:color w:val="auto"/>
                <w:sz w:val="24"/>
                <w:szCs w:val="24"/>
              </w:rPr>
              <w:t>投标文件在商务响应方面未附加采购单位难以接受的条件</w:t>
            </w:r>
            <w:r>
              <w:rPr>
                <w:rFonts w:hint="eastAsia" w:ascii="宋体" w:hAnsi="宋体" w:eastAsia="宋体" w:cs="宋体"/>
                <w:color w:val="auto"/>
                <w:sz w:val="24"/>
                <w:szCs w:val="24"/>
                <w:lang w:eastAsia="zh-CN"/>
              </w:rPr>
              <w:t>。</w:t>
            </w:r>
          </w:p>
        </w:tc>
      </w:tr>
      <w:tr w14:paraId="67E7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7" w:type="dxa"/>
            <w:noWrap w:val="0"/>
            <w:vAlign w:val="center"/>
          </w:tcPr>
          <w:p w14:paraId="250BED5F">
            <w:pPr>
              <w:pStyle w:val="23"/>
              <w:ind w:firstLine="0"/>
              <w:jc w:val="center"/>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2123" w:type="dxa"/>
            <w:noWrap w:val="0"/>
            <w:vAlign w:val="center"/>
          </w:tcPr>
          <w:p w14:paraId="19E460A3">
            <w:pPr>
              <w:keepNext w:val="0"/>
              <w:keepLines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4"/>
                <w:szCs w:val="24"/>
              </w:rPr>
            </w:pPr>
            <w:r>
              <w:rPr>
                <w:rFonts w:hint="eastAsia" w:ascii="宋体" w:hAnsi="宋体" w:cs="宋体"/>
                <w:color w:val="auto"/>
                <w:sz w:val="24"/>
                <w:szCs w:val="24"/>
              </w:rPr>
              <w:t>其他要求</w:t>
            </w:r>
          </w:p>
        </w:tc>
        <w:tc>
          <w:tcPr>
            <w:tcW w:w="6593" w:type="dxa"/>
            <w:noWrap w:val="0"/>
            <w:vAlign w:val="center"/>
          </w:tcPr>
          <w:p w14:paraId="78EAAE03">
            <w:pPr>
              <w:keepNext w:val="0"/>
              <w:keepLines w:val="0"/>
              <w:suppressLineNumbers w:val="0"/>
              <w:spacing w:before="0" w:beforeAutospacing="0" w:after="0" w:afterAutospacing="0" w:line="360" w:lineRule="auto"/>
              <w:ind w:left="0" w:leftChars="0" w:right="0" w:rightChars="0"/>
              <w:outlineLvl w:val="9"/>
              <w:rPr>
                <w:rFonts w:hint="eastAsia" w:ascii="宋体" w:hAnsi="宋体" w:eastAsia="宋体" w:cs="宋体"/>
                <w:color w:val="auto"/>
                <w:sz w:val="24"/>
                <w:szCs w:val="24"/>
              </w:rPr>
            </w:pPr>
            <w:r>
              <w:rPr>
                <w:rFonts w:hint="eastAsia" w:ascii="宋体" w:hAnsi="宋体" w:cs="宋体"/>
                <w:color w:val="auto"/>
                <w:sz w:val="24"/>
                <w:szCs w:val="24"/>
              </w:rPr>
              <w:t>完全理解并接受法律法规和</w:t>
            </w:r>
            <w:r>
              <w:rPr>
                <w:rFonts w:hint="eastAsia" w:ascii="宋体" w:hAnsi="宋体" w:cs="宋体"/>
                <w:color w:val="auto"/>
                <w:sz w:val="24"/>
                <w:szCs w:val="24"/>
                <w:lang w:val="en-US" w:eastAsia="zh-CN"/>
              </w:rPr>
              <w:t>磋商</w:t>
            </w:r>
            <w:r>
              <w:rPr>
                <w:rFonts w:hint="eastAsia" w:ascii="宋体" w:hAnsi="宋体" w:cs="宋体"/>
                <w:color w:val="auto"/>
                <w:sz w:val="24"/>
                <w:szCs w:val="24"/>
              </w:rPr>
              <w:t>文件对供应商的各项须知、规约要求和责任义务，没有出现法律法规或</w:t>
            </w:r>
            <w:r>
              <w:rPr>
                <w:rFonts w:hint="eastAsia" w:ascii="宋体" w:hAnsi="宋体" w:cs="宋体"/>
                <w:color w:val="auto"/>
                <w:sz w:val="24"/>
                <w:szCs w:val="24"/>
                <w:lang w:val="en-US" w:eastAsia="zh-CN"/>
              </w:rPr>
              <w:t>磋商</w:t>
            </w:r>
            <w:r>
              <w:rPr>
                <w:rFonts w:hint="eastAsia" w:ascii="宋体" w:hAnsi="宋体" w:cs="宋体"/>
                <w:color w:val="auto"/>
                <w:sz w:val="24"/>
                <w:szCs w:val="24"/>
              </w:rPr>
              <w:t>文件明确规定的其他被视为“无效响应”的情形。</w:t>
            </w:r>
          </w:p>
        </w:tc>
      </w:tr>
    </w:tbl>
    <w:p w14:paraId="592295B2">
      <w:pPr>
        <w:widowControl/>
        <w:numPr>
          <w:ilvl w:val="0"/>
          <w:numId w:val="4"/>
        </w:numPr>
        <w:ind w:left="0" w:leftChars="0" w:firstLine="562" w:firstLineChars="200"/>
        <w:jc w:val="left"/>
        <w:outlineLvl w:val="9"/>
        <w:rPr>
          <w:rFonts w:hint="eastAsia"/>
          <w:color w:val="auto"/>
        </w:rPr>
      </w:pPr>
      <w:r>
        <w:rPr>
          <w:rFonts w:hint="eastAsia" w:ascii="宋体" w:hAnsi="宋体" w:cs="宋体"/>
          <w:b/>
          <w:bCs/>
          <w:color w:val="auto"/>
          <w:kern w:val="0"/>
          <w:sz w:val="28"/>
          <w:szCs w:val="28"/>
          <w:lang w:bidi="ar"/>
        </w:rPr>
        <w:t>详细评审</w:t>
      </w:r>
    </w:p>
    <w:tbl>
      <w:tblPr>
        <w:tblStyle w:val="25"/>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241"/>
        <w:gridCol w:w="6767"/>
      </w:tblGrid>
      <w:tr w14:paraId="1B5C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781" w:type="dxa"/>
            <w:gridSpan w:val="3"/>
            <w:noWrap w:val="0"/>
            <w:vAlign w:val="center"/>
          </w:tcPr>
          <w:p w14:paraId="70FDFF53">
            <w:pPr>
              <w:spacing w:line="360" w:lineRule="auto"/>
              <w:ind w:firstLine="480" w:firstLineChars="200"/>
              <w:jc w:val="center"/>
              <w:outlineLvl w:val="9"/>
              <w:rPr>
                <w:rFonts w:hint="eastAsia" w:ascii="宋体" w:hAnsi="宋体" w:eastAsia="宋体" w:cs="宋体"/>
                <w:b w:val="0"/>
                <w:bCs/>
                <w:color w:val="auto"/>
                <w:kern w:val="0"/>
                <w:sz w:val="21"/>
                <w:szCs w:val="21"/>
                <w:lang w:val="en-US" w:eastAsia="zh-CN" w:bidi="ar"/>
              </w:rPr>
            </w:pPr>
            <w:r>
              <w:rPr>
                <w:rFonts w:hint="eastAsia" w:ascii="宋体" w:hAnsi="宋体" w:eastAsia="宋体" w:cs="宋体"/>
                <w:b w:val="0"/>
                <w:bCs/>
                <w:color w:val="auto"/>
                <w:kern w:val="0"/>
                <w:sz w:val="24"/>
                <w:szCs w:val="24"/>
                <w:lang w:val="en-US" w:eastAsia="zh-CN" w:bidi="ar"/>
              </w:rPr>
              <w:t>评审分值结构表</w:t>
            </w:r>
          </w:p>
        </w:tc>
      </w:tr>
      <w:tr w14:paraId="1E3F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73" w:type="dxa"/>
            <w:noWrap w:val="0"/>
            <w:vAlign w:val="center"/>
          </w:tcPr>
          <w:p w14:paraId="0F2F3BB7">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outlineLvl w:val="9"/>
              <w:rPr>
                <w:rFonts w:hint="default" w:ascii="宋体" w:hAnsi="宋体" w:eastAsia="宋体" w:cs="宋体"/>
                <w:b w:val="0"/>
                <w:bCs/>
                <w:color w:val="auto"/>
                <w:kern w:val="2"/>
                <w:sz w:val="24"/>
                <w:szCs w:val="24"/>
                <w:lang w:val="en-US" w:eastAsia="zh-CN" w:bidi="ar-SA"/>
              </w:rPr>
            </w:pPr>
            <w:r>
              <w:rPr>
                <w:rFonts w:hint="eastAsia" w:ascii="宋体" w:hAnsi="宋体" w:cs="宋体"/>
                <w:b w:val="0"/>
                <w:bCs/>
                <w:color w:val="auto"/>
                <w:kern w:val="2"/>
                <w:sz w:val="24"/>
                <w:szCs w:val="24"/>
                <w:lang w:val="en-US" w:eastAsia="zh-CN" w:bidi="ar-SA"/>
              </w:rPr>
              <w:t>序号</w:t>
            </w:r>
          </w:p>
        </w:tc>
        <w:tc>
          <w:tcPr>
            <w:tcW w:w="2241" w:type="dxa"/>
            <w:noWrap w:val="0"/>
            <w:vAlign w:val="center"/>
          </w:tcPr>
          <w:p w14:paraId="72C04EA9">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outlineLvl w:val="9"/>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rPr>
              <w:t>评分项</w:t>
            </w:r>
          </w:p>
        </w:tc>
        <w:tc>
          <w:tcPr>
            <w:tcW w:w="6767" w:type="dxa"/>
            <w:noWrap w:val="0"/>
            <w:vAlign w:val="center"/>
          </w:tcPr>
          <w:p w14:paraId="05CFEAF8">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outlineLvl w:val="9"/>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rPr>
              <w:t>评分标准</w:t>
            </w:r>
          </w:p>
        </w:tc>
      </w:tr>
      <w:tr w14:paraId="18C3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773" w:type="dxa"/>
            <w:noWrap w:val="0"/>
            <w:vAlign w:val="center"/>
          </w:tcPr>
          <w:p w14:paraId="3D312384">
            <w:pPr>
              <w:spacing w:line="360" w:lineRule="auto"/>
              <w:ind w:left="-118" w:leftChars="-56" w:right="-94" w:rightChars="-45"/>
              <w:jc w:val="center"/>
              <w:outlineLvl w:val="9"/>
              <w:rPr>
                <w:rFonts w:hint="default"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1</w:t>
            </w:r>
          </w:p>
        </w:tc>
        <w:tc>
          <w:tcPr>
            <w:tcW w:w="2241" w:type="dxa"/>
            <w:noWrap w:val="0"/>
            <w:vAlign w:val="center"/>
          </w:tcPr>
          <w:p w14:paraId="2A854FB5">
            <w:pPr>
              <w:spacing w:line="440" w:lineRule="exact"/>
              <w:jc w:val="center"/>
              <w:outlineLvl w:val="9"/>
              <w:rPr>
                <w:rFonts w:hint="eastAsia" w:ascii="Times New Roman" w:hAnsi="Times New Roman" w:eastAsia="宋体" w:cs="Times New Roman"/>
                <w:b w:val="0"/>
                <w:bCs/>
                <w:color w:val="auto"/>
                <w:sz w:val="24"/>
                <w:szCs w:val="22"/>
                <w:lang w:val="en-US" w:eastAsia="zh-CN"/>
              </w:rPr>
            </w:pPr>
            <w:r>
              <w:rPr>
                <w:rFonts w:hint="eastAsia" w:ascii="Times New Roman" w:hAnsi="Times New Roman" w:eastAsia="宋体" w:cs="Times New Roman"/>
                <w:b w:val="0"/>
                <w:bCs/>
                <w:color w:val="auto"/>
                <w:sz w:val="24"/>
                <w:szCs w:val="22"/>
                <w:lang w:val="en-US" w:eastAsia="zh-CN"/>
              </w:rPr>
              <w:t>投标报价</w:t>
            </w:r>
          </w:p>
          <w:p w14:paraId="4471E78E">
            <w:pPr>
              <w:spacing w:line="440" w:lineRule="exact"/>
              <w:jc w:val="center"/>
              <w:outlineLvl w:val="9"/>
              <w:rPr>
                <w:rFonts w:hint="eastAsia" w:ascii="宋体" w:hAnsi="宋体" w:eastAsia="宋体" w:cs="宋体"/>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4"/>
                <w:szCs w:val="22"/>
                <w:lang w:val="en-US" w:eastAsia="zh-CN"/>
              </w:rPr>
              <w:t>（30分）</w:t>
            </w:r>
          </w:p>
        </w:tc>
        <w:tc>
          <w:tcPr>
            <w:tcW w:w="6767" w:type="dxa"/>
            <w:noWrap w:val="0"/>
            <w:tcMar>
              <w:top w:w="0" w:type="dxa"/>
              <w:left w:w="113" w:type="dxa"/>
              <w:bottom w:w="0" w:type="dxa"/>
              <w:right w:w="113" w:type="dxa"/>
            </w:tcMar>
            <w:vAlign w:val="center"/>
          </w:tcPr>
          <w:p w14:paraId="4F2185A1">
            <w:pPr>
              <w:spacing w:line="360" w:lineRule="auto"/>
              <w:outlineLvl w:val="9"/>
              <w:rPr>
                <w:rFonts w:ascii="宋体" w:hAnsi="宋体" w:cs="宋体"/>
                <w:b w:val="0"/>
                <w:bCs/>
                <w:color w:val="auto"/>
                <w:sz w:val="24"/>
                <w:szCs w:val="24"/>
              </w:rPr>
            </w:pPr>
            <w:r>
              <w:rPr>
                <w:rFonts w:hint="eastAsia" w:ascii="宋体" w:hAnsi="宋体" w:cs="宋体"/>
                <w:b w:val="0"/>
                <w:bCs/>
                <w:color w:val="auto"/>
                <w:sz w:val="24"/>
                <w:szCs w:val="24"/>
              </w:rPr>
              <w:t>按照财政部《关于加强政府采购货物和服务项目价格评审管理的通知》（财库[2007]2号）的有关规定：价格分采用低价优先法计算，即满足招标文件要求且投标报价最低的投标报价为评标基准价，其价格分为满分。其他投标单位的价格分统一按照下列公式计算：投标报价=（评标基准价/投标报价）×价格权值×100</w:t>
            </w:r>
          </w:p>
          <w:p w14:paraId="6EC7316E">
            <w:pPr>
              <w:adjustRightInd w:val="0"/>
              <w:snapToGrid w:val="0"/>
              <w:spacing w:line="360" w:lineRule="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 w:val="24"/>
                <w:lang w:val="en-US" w:eastAsia="zh-CN"/>
              </w:rPr>
              <w:t>本项目专门面向小微企业采购，故不再执行价格评审优惠；</w:t>
            </w:r>
          </w:p>
        </w:tc>
      </w:tr>
      <w:tr w14:paraId="4804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773" w:type="dxa"/>
            <w:noWrap w:val="0"/>
            <w:vAlign w:val="center"/>
          </w:tcPr>
          <w:p w14:paraId="41051D1B">
            <w:pPr>
              <w:spacing w:line="360" w:lineRule="auto"/>
              <w:ind w:right="-94" w:rightChars="-45"/>
              <w:jc w:val="center"/>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p>
        </w:tc>
        <w:tc>
          <w:tcPr>
            <w:tcW w:w="2241" w:type="dxa"/>
            <w:noWrap w:val="0"/>
            <w:tcMar>
              <w:top w:w="0" w:type="dxa"/>
              <w:left w:w="113" w:type="dxa"/>
              <w:bottom w:w="0" w:type="dxa"/>
              <w:right w:w="113" w:type="dxa"/>
            </w:tcMar>
            <w:vAlign w:val="center"/>
          </w:tcPr>
          <w:p w14:paraId="7EB6DFB1">
            <w:pPr>
              <w:spacing w:line="440" w:lineRule="exact"/>
              <w:jc w:val="center"/>
              <w:outlineLvl w:val="9"/>
              <w:rPr>
                <w:rFonts w:hint="default" w:ascii="Times New Roman" w:hAnsi="Times New Roman" w:eastAsia="宋体" w:cs="Times New Roman"/>
                <w:b w:val="0"/>
                <w:bCs/>
                <w:color w:val="auto"/>
                <w:sz w:val="24"/>
                <w:szCs w:val="22"/>
                <w:lang w:val="en-US" w:eastAsia="zh-CN"/>
              </w:rPr>
            </w:pPr>
            <w:r>
              <w:rPr>
                <w:rFonts w:hint="eastAsia" w:ascii="宋体" w:hAnsi="宋体" w:cs="宋体"/>
                <w:color w:val="auto"/>
                <w:sz w:val="24"/>
                <w:lang w:val="en-US" w:eastAsia="zh-CN"/>
              </w:rPr>
              <w:t>主要施工方案与技术措施</w:t>
            </w:r>
            <w:r>
              <w:rPr>
                <w:rFonts w:hint="eastAsia" w:cs="Times New Roman"/>
                <w:b w:val="0"/>
                <w:bCs/>
                <w:color w:val="auto"/>
                <w:sz w:val="24"/>
                <w:szCs w:val="22"/>
                <w:lang w:val="en-US" w:eastAsia="zh-CN"/>
              </w:rPr>
              <w:t>（6分）</w:t>
            </w:r>
          </w:p>
        </w:tc>
        <w:tc>
          <w:tcPr>
            <w:tcW w:w="6767" w:type="dxa"/>
            <w:noWrap w:val="0"/>
            <w:tcMar>
              <w:top w:w="0" w:type="dxa"/>
              <w:left w:w="113" w:type="dxa"/>
              <w:bottom w:w="0" w:type="dxa"/>
              <w:right w:w="113" w:type="dxa"/>
            </w:tcMar>
            <w:vAlign w:val="center"/>
          </w:tcPr>
          <w:p w14:paraId="5BAB8AA4">
            <w:pPr>
              <w:spacing w:line="360" w:lineRule="auto"/>
              <w:rPr>
                <w:rFonts w:hint="eastAsia" w:ascii="宋体" w:hAnsi="宋体" w:eastAsia="宋体" w:cs="宋体"/>
                <w:b w:val="0"/>
                <w:bCs/>
                <w:color w:val="auto"/>
                <w:kern w:val="2"/>
                <w:sz w:val="24"/>
                <w:szCs w:val="24"/>
                <w:lang w:val="en-US" w:eastAsia="zh-CN" w:bidi="ar-SA"/>
              </w:rPr>
            </w:pPr>
            <w:r>
              <w:rPr>
                <w:rFonts w:ascii="宋体" w:hAnsi="宋体" w:cs="宋体"/>
                <w:color w:val="auto"/>
                <w:sz w:val="24"/>
              </w:rPr>
              <w:t>根据供应商提供的</w:t>
            </w:r>
            <w:r>
              <w:rPr>
                <w:rFonts w:hint="eastAsia" w:ascii="宋体" w:hAnsi="宋体" w:cs="宋体"/>
                <w:color w:val="auto"/>
                <w:sz w:val="24"/>
                <w:lang w:val="en-US" w:eastAsia="zh-CN"/>
              </w:rPr>
              <w:t>主要施工方案与技术措施</w:t>
            </w:r>
            <w:r>
              <w:rPr>
                <w:rFonts w:hint="eastAsia" w:ascii="宋体" w:hAnsi="宋体" w:cs="宋体"/>
                <w:color w:val="auto"/>
                <w:sz w:val="24"/>
              </w:rPr>
              <w:t>进行评审</w:t>
            </w:r>
            <w:r>
              <w:rPr>
                <w:rFonts w:hint="eastAsia" w:ascii="宋体" w:hAnsi="宋体" w:cs="宋体"/>
                <w:color w:val="auto"/>
                <w:sz w:val="24"/>
                <w:lang w:eastAsia="zh-CN"/>
              </w:rPr>
              <w:t>，</w:t>
            </w:r>
            <w:r>
              <w:rPr>
                <w:rFonts w:hint="eastAsia" w:ascii="Times New Roman" w:hAnsi="Times New Roman" w:eastAsia="宋体" w:cs="Times New Roman"/>
                <w:b w:val="0"/>
                <w:bCs/>
                <w:color w:val="auto"/>
                <w:sz w:val="24"/>
                <w:szCs w:val="22"/>
                <w:lang w:val="en-US" w:eastAsia="zh-CN"/>
              </w:rPr>
              <w:t>方案中存在缺陷的，每有1处扣1分，每项最多扣6分，扣完为止。内容缺陷是指：非专门针对本项目或不适用项目特性的情形、内容不完整或缺少关键节点、套用其他项目方案、内容前后矛盾、涉及的规范或标准错误、不利于项目实施、不可能实现的情形等任意一种情形。</w:t>
            </w:r>
          </w:p>
        </w:tc>
      </w:tr>
      <w:tr w14:paraId="4EA3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773" w:type="dxa"/>
            <w:noWrap w:val="0"/>
            <w:vAlign w:val="center"/>
          </w:tcPr>
          <w:p w14:paraId="4E173C44">
            <w:pPr>
              <w:spacing w:line="360" w:lineRule="auto"/>
              <w:ind w:right="-94" w:rightChars="-45"/>
              <w:jc w:val="center"/>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p>
        </w:tc>
        <w:tc>
          <w:tcPr>
            <w:tcW w:w="2241" w:type="dxa"/>
            <w:noWrap w:val="0"/>
            <w:tcMar>
              <w:top w:w="0" w:type="dxa"/>
              <w:left w:w="113" w:type="dxa"/>
              <w:bottom w:w="0" w:type="dxa"/>
              <w:right w:w="113" w:type="dxa"/>
            </w:tcMar>
            <w:vAlign w:val="center"/>
          </w:tcPr>
          <w:p w14:paraId="4B24C2C0">
            <w:pPr>
              <w:spacing w:line="440" w:lineRule="exact"/>
              <w:jc w:val="center"/>
              <w:outlineLvl w:val="9"/>
              <w:rPr>
                <w:rFonts w:hint="eastAsia" w:cs="Times New Roman"/>
                <w:b w:val="0"/>
                <w:bCs/>
                <w:color w:val="auto"/>
                <w:sz w:val="24"/>
                <w:szCs w:val="22"/>
                <w:lang w:val="en-US" w:eastAsia="zh-CN"/>
              </w:rPr>
            </w:pPr>
            <w:r>
              <w:rPr>
                <w:rFonts w:hint="eastAsia" w:cs="Times New Roman"/>
                <w:b w:val="0"/>
                <w:bCs/>
                <w:color w:val="auto"/>
                <w:sz w:val="24"/>
                <w:szCs w:val="22"/>
                <w:lang w:val="en-US" w:eastAsia="zh-CN"/>
              </w:rPr>
              <w:t>质量保证体系及措施（6分）</w:t>
            </w:r>
          </w:p>
        </w:tc>
        <w:tc>
          <w:tcPr>
            <w:tcW w:w="6767" w:type="dxa"/>
            <w:noWrap w:val="0"/>
            <w:tcMar>
              <w:top w:w="0" w:type="dxa"/>
              <w:left w:w="113" w:type="dxa"/>
              <w:bottom w:w="0" w:type="dxa"/>
              <w:right w:w="113" w:type="dxa"/>
            </w:tcMar>
            <w:vAlign w:val="center"/>
          </w:tcPr>
          <w:p w14:paraId="026113FF">
            <w:pPr>
              <w:spacing w:line="360" w:lineRule="auto"/>
              <w:rPr>
                <w:rFonts w:hint="eastAsia" w:ascii="Times New Roman" w:hAnsi="Times New Roman" w:eastAsia="宋体" w:cs="Times New Roman"/>
                <w:b w:val="0"/>
                <w:bCs/>
                <w:color w:val="auto"/>
                <w:sz w:val="24"/>
                <w:szCs w:val="22"/>
                <w:lang w:val="en-US" w:eastAsia="zh-CN"/>
              </w:rPr>
            </w:pPr>
            <w:r>
              <w:rPr>
                <w:rFonts w:ascii="宋体" w:hAnsi="宋体" w:cs="宋体"/>
                <w:color w:val="auto"/>
                <w:sz w:val="24"/>
              </w:rPr>
              <w:t>根据供应商提供的</w:t>
            </w:r>
            <w:r>
              <w:rPr>
                <w:rFonts w:hint="eastAsia" w:cs="Times New Roman"/>
                <w:b w:val="0"/>
                <w:bCs/>
                <w:color w:val="auto"/>
                <w:sz w:val="24"/>
                <w:szCs w:val="22"/>
                <w:lang w:val="en-US" w:eastAsia="zh-CN"/>
              </w:rPr>
              <w:t>质量保证体系及措施</w:t>
            </w:r>
            <w:r>
              <w:rPr>
                <w:rFonts w:hint="eastAsia" w:ascii="宋体" w:hAnsi="宋体" w:cs="宋体"/>
                <w:color w:val="auto"/>
                <w:sz w:val="24"/>
              </w:rPr>
              <w:t>进行评审</w:t>
            </w:r>
            <w:r>
              <w:rPr>
                <w:rFonts w:hint="eastAsia" w:ascii="宋体" w:hAnsi="宋体" w:cs="宋体"/>
                <w:color w:val="auto"/>
                <w:sz w:val="24"/>
                <w:lang w:eastAsia="zh-CN"/>
              </w:rPr>
              <w:t>，</w:t>
            </w:r>
            <w:r>
              <w:rPr>
                <w:rFonts w:hint="eastAsia" w:ascii="Times New Roman" w:hAnsi="Times New Roman" w:eastAsia="宋体" w:cs="Times New Roman"/>
                <w:b w:val="0"/>
                <w:bCs/>
                <w:color w:val="auto"/>
                <w:sz w:val="24"/>
                <w:szCs w:val="22"/>
                <w:lang w:val="en-US" w:eastAsia="zh-CN"/>
              </w:rPr>
              <w:t>方案中存在缺陷的，每有1处扣1分，每项最多扣6分，扣完为止。内容缺陷是指：非专门针对本项目或不适用项目特性的情形、内容不完整或缺少关键节点、套用其他项目方案、内容前后矛盾、涉及的规范或标准错误、不利于项目实施、不可能实现的情形等任意一种情形。</w:t>
            </w:r>
          </w:p>
        </w:tc>
      </w:tr>
      <w:tr w14:paraId="639E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773" w:type="dxa"/>
            <w:noWrap w:val="0"/>
            <w:vAlign w:val="center"/>
          </w:tcPr>
          <w:p w14:paraId="68745843">
            <w:pPr>
              <w:spacing w:line="360" w:lineRule="auto"/>
              <w:ind w:right="-94" w:rightChars="-45"/>
              <w:jc w:val="center"/>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w:t>
            </w:r>
          </w:p>
        </w:tc>
        <w:tc>
          <w:tcPr>
            <w:tcW w:w="2241" w:type="dxa"/>
            <w:noWrap w:val="0"/>
            <w:tcMar>
              <w:top w:w="0" w:type="dxa"/>
              <w:left w:w="113" w:type="dxa"/>
              <w:bottom w:w="0" w:type="dxa"/>
              <w:right w:w="113" w:type="dxa"/>
            </w:tcMar>
            <w:vAlign w:val="center"/>
          </w:tcPr>
          <w:p w14:paraId="08B4124A">
            <w:pPr>
              <w:spacing w:line="440" w:lineRule="exact"/>
              <w:jc w:val="center"/>
              <w:outlineLvl w:val="9"/>
              <w:rPr>
                <w:rFonts w:hint="eastAsia" w:cs="Times New Roman"/>
                <w:b w:val="0"/>
                <w:bCs/>
                <w:color w:val="auto"/>
                <w:sz w:val="24"/>
                <w:szCs w:val="22"/>
                <w:lang w:val="en-US" w:eastAsia="zh-CN"/>
              </w:rPr>
            </w:pPr>
            <w:r>
              <w:rPr>
                <w:rFonts w:hint="eastAsia" w:cs="Times New Roman"/>
                <w:b w:val="0"/>
                <w:bCs/>
                <w:color w:val="auto"/>
                <w:sz w:val="24"/>
                <w:szCs w:val="22"/>
                <w:lang w:val="en-US" w:eastAsia="zh-CN"/>
              </w:rPr>
              <w:t>安全生产保证措施（6分）</w:t>
            </w:r>
          </w:p>
        </w:tc>
        <w:tc>
          <w:tcPr>
            <w:tcW w:w="6767" w:type="dxa"/>
            <w:noWrap w:val="0"/>
            <w:tcMar>
              <w:top w:w="0" w:type="dxa"/>
              <w:left w:w="113" w:type="dxa"/>
              <w:bottom w:w="0" w:type="dxa"/>
              <w:right w:w="113" w:type="dxa"/>
            </w:tcMar>
            <w:vAlign w:val="center"/>
          </w:tcPr>
          <w:p w14:paraId="19F59B61">
            <w:pPr>
              <w:spacing w:line="360" w:lineRule="auto"/>
              <w:rPr>
                <w:rFonts w:hint="eastAsia" w:ascii="Times New Roman" w:hAnsi="Times New Roman" w:eastAsia="宋体" w:cs="Times New Roman"/>
                <w:b w:val="0"/>
                <w:bCs/>
                <w:color w:val="auto"/>
                <w:sz w:val="24"/>
                <w:szCs w:val="22"/>
                <w:lang w:val="en-US" w:eastAsia="zh-CN"/>
              </w:rPr>
            </w:pPr>
            <w:r>
              <w:rPr>
                <w:rFonts w:ascii="宋体" w:hAnsi="宋体" w:cs="宋体"/>
                <w:color w:val="auto"/>
                <w:sz w:val="24"/>
              </w:rPr>
              <w:t>根据供应商提供的</w:t>
            </w:r>
            <w:r>
              <w:rPr>
                <w:rFonts w:hint="eastAsia" w:cs="Times New Roman"/>
                <w:b w:val="0"/>
                <w:bCs/>
                <w:color w:val="auto"/>
                <w:sz w:val="24"/>
                <w:szCs w:val="22"/>
                <w:lang w:val="en-US" w:eastAsia="zh-CN"/>
              </w:rPr>
              <w:t>安全生产保证措施</w:t>
            </w:r>
            <w:r>
              <w:rPr>
                <w:rFonts w:hint="eastAsia" w:ascii="宋体" w:hAnsi="宋体" w:cs="宋体"/>
                <w:color w:val="auto"/>
                <w:sz w:val="24"/>
              </w:rPr>
              <w:t>进行评审</w:t>
            </w:r>
            <w:r>
              <w:rPr>
                <w:rFonts w:hint="eastAsia" w:ascii="宋体" w:hAnsi="宋体" w:cs="宋体"/>
                <w:color w:val="auto"/>
                <w:sz w:val="24"/>
                <w:lang w:eastAsia="zh-CN"/>
              </w:rPr>
              <w:t>，</w:t>
            </w:r>
            <w:r>
              <w:rPr>
                <w:rFonts w:hint="eastAsia" w:ascii="Times New Roman" w:hAnsi="Times New Roman" w:eastAsia="宋体" w:cs="Times New Roman"/>
                <w:b w:val="0"/>
                <w:bCs/>
                <w:color w:val="auto"/>
                <w:sz w:val="24"/>
                <w:szCs w:val="22"/>
                <w:lang w:val="en-US" w:eastAsia="zh-CN"/>
              </w:rPr>
              <w:t>方案中存在缺陷的，每有1处扣1分，每项最多扣6分，扣完为止。内容缺陷是指：非专门针对本项目或不适用项目特性的情形、内容不完整或缺少关键节点、套用其他项目方案、内容前后矛盾、涉及的规范或标准错误、不利于项目实施、不可能实现的情形等任意一种情形。</w:t>
            </w:r>
          </w:p>
        </w:tc>
      </w:tr>
      <w:tr w14:paraId="5586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773" w:type="dxa"/>
            <w:noWrap w:val="0"/>
            <w:vAlign w:val="center"/>
          </w:tcPr>
          <w:p w14:paraId="12A28ED6">
            <w:pPr>
              <w:spacing w:line="360" w:lineRule="auto"/>
              <w:ind w:right="-94" w:rightChars="-45"/>
              <w:jc w:val="center"/>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w:t>
            </w:r>
          </w:p>
        </w:tc>
        <w:tc>
          <w:tcPr>
            <w:tcW w:w="2241" w:type="dxa"/>
            <w:noWrap w:val="0"/>
            <w:tcMar>
              <w:top w:w="0" w:type="dxa"/>
              <w:left w:w="113" w:type="dxa"/>
              <w:bottom w:w="0" w:type="dxa"/>
              <w:right w:w="113" w:type="dxa"/>
            </w:tcMar>
            <w:vAlign w:val="center"/>
          </w:tcPr>
          <w:p w14:paraId="2B4D0140">
            <w:pPr>
              <w:spacing w:line="440" w:lineRule="exact"/>
              <w:jc w:val="center"/>
              <w:outlineLvl w:val="9"/>
              <w:rPr>
                <w:rFonts w:hint="eastAsia" w:cs="Times New Roman"/>
                <w:b w:val="0"/>
                <w:bCs/>
                <w:color w:val="auto"/>
                <w:sz w:val="24"/>
                <w:szCs w:val="22"/>
                <w:lang w:val="en-US" w:eastAsia="zh-CN"/>
              </w:rPr>
            </w:pPr>
            <w:r>
              <w:rPr>
                <w:rFonts w:hint="eastAsia" w:cs="Times New Roman"/>
                <w:b w:val="0"/>
                <w:bCs/>
                <w:color w:val="auto"/>
                <w:sz w:val="24"/>
                <w:szCs w:val="22"/>
                <w:lang w:val="en-US" w:eastAsia="zh-CN"/>
              </w:rPr>
              <w:t>确保文明</w:t>
            </w:r>
            <w:r>
              <w:rPr>
                <w:rFonts w:hint="eastAsia" w:ascii="Times New Roman" w:hAnsi="Times New Roman" w:eastAsia="宋体" w:cs="Times New Roman"/>
                <w:b w:val="0"/>
                <w:bCs/>
                <w:color w:val="auto"/>
                <w:sz w:val="24"/>
                <w:szCs w:val="22"/>
                <w:lang w:val="en-US" w:eastAsia="zh-CN"/>
              </w:rPr>
              <w:t>施工、环境保护的组织措施</w:t>
            </w:r>
            <w:r>
              <w:rPr>
                <w:rFonts w:hint="eastAsia" w:cs="Times New Roman"/>
                <w:b w:val="0"/>
                <w:bCs/>
                <w:color w:val="auto"/>
                <w:sz w:val="24"/>
                <w:szCs w:val="22"/>
                <w:lang w:val="en-US" w:eastAsia="zh-CN"/>
              </w:rPr>
              <w:t>（6分）</w:t>
            </w:r>
          </w:p>
        </w:tc>
        <w:tc>
          <w:tcPr>
            <w:tcW w:w="6767" w:type="dxa"/>
            <w:noWrap w:val="0"/>
            <w:tcMar>
              <w:top w:w="0" w:type="dxa"/>
              <w:left w:w="113" w:type="dxa"/>
              <w:bottom w:w="0" w:type="dxa"/>
              <w:right w:w="113" w:type="dxa"/>
            </w:tcMar>
            <w:vAlign w:val="center"/>
          </w:tcPr>
          <w:p w14:paraId="6DC5DA9E">
            <w:pPr>
              <w:spacing w:line="360" w:lineRule="auto"/>
              <w:rPr>
                <w:rFonts w:hint="eastAsia" w:ascii="Times New Roman" w:hAnsi="Times New Roman" w:eastAsia="宋体" w:cs="Times New Roman"/>
                <w:b w:val="0"/>
                <w:bCs/>
                <w:color w:val="auto"/>
                <w:sz w:val="24"/>
                <w:szCs w:val="22"/>
                <w:lang w:val="en-US" w:eastAsia="zh-CN"/>
              </w:rPr>
            </w:pPr>
            <w:r>
              <w:rPr>
                <w:rFonts w:ascii="宋体" w:hAnsi="宋体" w:cs="宋体"/>
                <w:color w:val="auto"/>
                <w:sz w:val="24"/>
              </w:rPr>
              <w:t>根据供应商提供的</w:t>
            </w:r>
            <w:r>
              <w:rPr>
                <w:rFonts w:hint="eastAsia" w:cs="Times New Roman"/>
                <w:b w:val="0"/>
                <w:bCs/>
                <w:color w:val="auto"/>
                <w:sz w:val="24"/>
                <w:szCs w:val="22"/>
                <w:lang w:val="en-US" w:eastAsia="zh-CN"/>
              </w:rPr>
              <w:t>确保文明</w:t>
            </w:r>
            <w:r>
              <w:rPr>
                <w:rFonts w:hint="eastAsia" w:ascii="Times New Roman" w:hAnsi="Times New Roman" w:eastAsia="宋体" w:cs="Times New Roman"/>
                <w:b w:val="0"/>
                <w:bCs/>
                <w:color w:val="auto"/>
                <w:sz w:val="24"/>
                <w:szCs w:val="22"/>
                <w:lang w:val="en-US" w:eastAsia="zh-CN"/>
              </w:rPr>
              <w:t>施工、环境保护的组织措施</w:t>
            </w:r>
            <w:r>
              <w:rPr>
                <w:rFonts w:hint="eastAsia" w:ascii="宋体" w:hAnsi="宋体" w:cs="宋体"/>
                <w:color w:val="auto"/>
                <w:sz w:val="24"/>
              </w:rPr>
              <w:t>进行评审</w:t>
            </w:r>
            <w:r>
              <w:rPr>
                <w:rFonts w:hint="eastAsia" w:ascii="宋体" w:hAnsi="宋体" w:cs="宋体"/>
                <w:color w:val="auto"/>
                <w:sz w:val="24"/>
                <w:lang w:eastAsia="zh-CN"/>
              </w:rPr>
              <w:t>，</w:t>
            </w:r>
            <w:r>
              <w:rPr>
                <w:rFonts w:hint="eastAsia" w:ascii="Times New Roman" w:hAnsi="Times New Roman" w:eastAsia="宋体" w:cs="Times New Roman"/>
                <w:b w:val="0"/>
                <w:bCs/>
                <w:color w:val="auto"/>
                <w:sz w:val="24"/>
                <w:szCs w:val="22"/>
                <w:lang w:val="en-US" w:eastAsia="zh-CN"/>
              </w:rPr>
              <w:t>方案中存在缺陷的，每有1处扣1分，每项最多扣6分，扣完为止。内容缺陷是指：非专门针对本项目或不适用项目特性的情形、内容不完整或缺少关键节点、套用其他项目方案、内容前后矛盾、涉及的规范或标准错误、不利于项目实施、不可能实现的情形等任意一种情形。</w:t>
            </w:r>
          </w:p>
        </w:tc>
      </w:tr>
      <w:tr w14:paraId="2729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773" w:type="dxa"/>
            <w:noWrap w:val="0"/>
            <w:vAlign w:val="center"/>
          </w:tcPr>
          <w:p w14:paraId="3814EA0D">
            <w:pPr>
              <w:spacing w:line="360" w:lineRule="auto"/>
              <w:ind w:right="-94" w:rightChars="-45"/>
              <w:jc w:val="center"/>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6</w:t>
            </w:r>
          </w:p>
        </w:tc>
        <w:tc>
          <w:tcPr>
            <w:tcW w:w="2241" w:type="dxa"/>
            <w:noWrap w:val="0"/>
            <w:tcMar>
              <w:top w:w="0" w:type="dxa"/>
              <w:left w:w="113" w:type="dxa"/>
              <w:bottom w:w="0" w:type="dxa"/>
              <w:right w:w="113" w:type="dxa"/>
            </w:tcMar>
            <w:vAlign w:val="center"/>
          </w:tcPr>
          <w:p w14:paraId="434667BF">
            <w:pPr>
              <w:spacing w:line="440" w:lineRule="exact"/>
              <w:jc w:val="center"/>
              <w:outlineLvl w:val="9"/>
              <w:rPr>
                <w:rFonts w:hint="eastAsia" w:cs="Times New Roman"/>
                <w:b w:val="0"/>
                <w:bCs/>
                <w:color w:val="auto"/>
                <w:sz w:val="24"/>
                <w:szCs w:val="22"/>
                <w:lang w:val="en-US" w:eastAsia="zh-CN"/>
              </w:rPr>
            </w:pPr>
            <w:r>
              <w:rPr>
                <w:rFonts w:hint="eastAsia" w:ascii="Times New Roman" w:hAnsi="Times New Roman" w:eastAsia="宋体" w:cs="Times New Roman"/>
                <w:b w:val="0"/>
                <w:bCs/>
                <w:color w:val="auto"/>
                <w:sz w:val="24"/>
                <w:szCs w:val="22"/>
                <w:lang w:val="en-US" w:eastAsia="zh-CN"/>
              </w:rPr>
              <w:t>施工进度计划及保证措施</w:t>
            </w:r>
            <w:r>
              <w:rPr>
                <w:rFonts w:hint="eastAsia" w:cs="Times New Roman"/>
                <w:b w:val="0"/>
                <w:bCs/>
                <w:color w:val="auto"/>
                <w:sz w:val="24"/>
                <w:szCs w:val="22"/>
                <w:lang w:val="en-US" w:eastAsia="zh-CN"/>
              </w:rPr>
              <w:t>（6分）</w:t>
            </w:r>
          </w:p>
        </w:tc>
        <w:tc>
          <w:tcPr>
            <w:tcW w:w="6767" w:type="dxa"/>
            <w:noWrap w:val="0"/>
            <w:tcMar>
              <w:top w:w="0" w:type="dxa"/>
              <w:left w:w="113" w:type="dxa"/>
              <w:bottom w:w="0" w:type="dxa"/>
              <w:right w:w="113" w:type="dxa"/>
            </w:tcMar>
            <w:vAlign w:val="center"/>
          </w:tcPr>
          <w:p w14:paraId="05ED5B99">
            <w:pPr>
              <w:spacing w:line="360" w:lineRule="auto"/>
              <w:rPr>
                <w:rFonts w:hint="eastAsia" w:ascii="Times New Roman" w:hAnsi="Times New Roman" w:eastAsia="宋体" w:cs="Times New Roman"/>
                <w:b w:val="0"/>
                <w:bCs/>
                <w:color w:val="auto"/>
                <w:sz w:val="24"/>
                <w:szCs w:val="22"/>
                <w:lang w:val="en-US" w:eastAsia="zh-CN"/>
              </w:rPr>
            </w:pPr>
            <w:r>
              <w:rPr>
                <w:rFonts w:ascii="宋体" w:hAnsi="宋体" w:cs="宋体"/>
                <w:color w:val="auto"/>
                <w:sz w:val="24"/>
              </w:rPr>
              <w:t>根据供应商提供的</w:t>
            </w:r>
            <w:r>
              <w:rPr>
                <w:rFonts w:hint="eastAsia" w:ascii="Times New Roman" w:hAnsi="Times New Roman" w:eastAsia="宋体" w:cs="Times New Roman"/>
                <w:b w:val="0"/>
                <w:bCs/>
                <w:color w:val="auto"/>
                <w:sz w:val="24"/>
                <w:szCs w:val="22"/>
                <w:lang w:val="en-US" w:eastAsia="zh-CN"/>
              </w:rPr>
              <w:t>施工进度计划及保证措施</w:t>
            </w:r>
            <w:r>
              <w:rPr>
                <w:rFonts w:hint="eastAsia" w:ascii="宋体" w:hAnsi="宋体" w:cs="宋体"/>
                <w:color w:val="auto"/>
                <w:sz w:val="24"/>
              </w:rPr>
              <w:t>进行评审</w:t>
            </w:r>
            <w:r>
              <w:rPr>
                <w:rFonts w:hint="eastAsia" w:ascii="宋体" w:hAnsi="宋体" w:cs="宋体"/>
                <w:color w:val="auto"/>
                <w:sz w:val="24"/>
                <w:lang w:eastAsia="zh-CN"/>
              </w:rPr>
              <w:t>，</w:t>
            </w:r>
            <w:r>
              <w:rPr>
                <w:rFonts w:hint="eastAsia" w:ascii="Times New Roman" w:hAnsi="Times New Roman" w:eastAsia="宋体" w:cs="Times New Roman"/>
                <w:b w:val="0"/>
                <w:bCs/>
                <w:color w:val="auto"/>
                <w:sz w:val="24"/>
                <w:szCs w:val="22"/>
                <w:lang w:val="en-US" w:eastAsia="zh-CN"/>
              </w:rPr>
              <w:t>方案中存在缺陷的，每有1处扣1分，每项最多扣6分，扣完为止。内容缺陷是指：非专门针对本项目或不适用项目特性的情形、内容不完整或缺少关键节点、套用其他项目方案、内容前后矛盾、涉及的规范或标准错误、不利于项目实施、不可能实现的情形等任意一种情形。</w:t>
            </w:r>
          </w:p>
        </w:tc>
      </w:tr>
      <w:tr w14:paraId="4818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773" w:type="dxa"/>
            <w:noWrap w:val="0"/>
            <w:vAlign w:val="center"/>
          </w:tcPr>
          <w:p w14:paraId="1CED7100">
            <w:pPr>
              <w:spacing w:line="360" w:lineRule="auto"/>
              <w:ind w:right="-94" w:rightChars="-45"/>
              <w:jc w:val="center"/>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7</w:t>
            </w:r>
          </w:p>
        </w:tc>
        <w:tc>
          <w:tcPr>
            <w:tcW w:w="2241" w:type="dxa"/>
            <w:noWrap w:val="0"/>
            <w:tcMar>
              <w:top w:w="0" w:type="dxa"/>
              <w:left w:w="113" w:type="dxa"/>
              <w:bottom w:w="0" w:type="dxa"/>
              <w:right w:w="113" w:type="dxa"/>
            </w:tcMar>
            <w:vAlign w:val="center"/>
          </w:tcPr>
          <w:p w14:paraId="0D1A12DF">
            <w:pPr>
              <w:spacing w:line="440" w:lineRule="exact"/>
              <w:jc w:val="center"/>
              <w:outlineLvl w:val="9"/>
              <w:rPr>
                <w:rFonts w:hint="eastAsia" w:cs="Times New Roman"/>
                <w:b w:val="0"/>
                <w:bCs/>
                <w:color w:val="auto"/>
                <w:sz w:val="24"/>
                <w:szCs w:val="22"/>
                <w:lang w:val="en-US" w:eastAsia="zh-CN"/>
              </w:rPr>
            </w:pPr>
            <w:r>
              <w:rPr>
                <w:rFonts w:hint="eastAsia" w:ascii="Times New Roman" w:hAnsi="Times New Roman" w:eastAsia="宋体" w:cs="Times New Roman"/>
                <w:b w:val="0"/>
                <w:bCs/>
                <w:color w:val="auto"/>
                <w:sz w:val="24"/>
                <w:szCs w:val="22"/>
                <w:lang w:val="en-US" w:eastAsia="zh-CN"/>
              </w:rPr>
              <w:t>劳动力计划、设备配备情况</w:t>
            </w:r>
            <w:r>
              <w:rPr>
                <w:rFonts w:hint="eastAsia" w:cs="Times New Roman"/>
                <w:b w:val="0"/>
                <w:bCs/>
                <w:color w:val="auto"/>
                <w:sz w:val="24"/>
                <w:szCs w:val="22"/>
                <w:lang w:val="en-US" w:eastAsia="zh-CN"/>
              </w:rPr>
              <w:t>（6分）</w:t>
            </w:r>
          </w:p>
        </w:tc>
        <w:tc>
          <w:tcPr>
            <w:tcW w:w="6767" w:type="dxa"/>
            <w:noWrap w:val="0"/>
            <w:tcMar>
              <w:top w:w="0" w:type="dxa"/>
              <w:left w:w="113" w:type="dxa"/>
              <w:bottom w:w="0" w:type="dxa"/>
              <w:right w:w="113" w:type="dxa"/>
            </w:tcMar>
            <w:vAlign w:val="center"/>
          </w:tcPr>
          <w:p w14:paraId="3AA08890">
            <w:pPr>
              <w:spacing w:line="360" w:lineRule="auto"/>
              <w:rPr>
                <w:rFonts w:hint="eastAsia" w:ascii="Times New Roman" w:hAnsi="Times New Roman" w:eastAsia="宋体" w:cs="Times New Roman"/>
                <w:b w:val="0"/>
                <w:bCs/>
                <w:color w:val="auto"/>
                <w:sz w:val="24"/>
                <w:szCs w:val="22"/>
                <w:lang w:val="en-US" w:eastAsia="zh-CN"/>
              </w:rPr>
            </w:pPr>
            <w:r>
              <w:rPr>
                <w:rFonts w:ascii="宋体" w:hAnsi="宋体" w:cs="宋体"/>
                <w:color w:val="auto"/>
                <w:sz w:val="24"/>
              </w:rPr>
              <w:t>根据供应商提供的</w:t>
            </w:r>
            <w:r>
              <w:rPr>
                <w:rFonts w:hint="eastAsia" w:ascii="Times New Roman" w:hAnsi="Times New Roman" w:eastAsia="宋体" w:cs="Times New Roman"/>
                <w:b w:val="0"/>
                <w:bCs/>
                <w:color w:val="auto"/>
                <w:sz w:val="24"/>
                <w:szCs w:val="22"/>
                <w:lang w:val="en-US" w:eastAsia="zh-CN"/>
              </w:rPr>
              <w:t>劳动力计划、设备配备情况</w:t>
            </w:r>
            <w:r>
              <w:rPr>
                <w:rFonts w:hint="eastAsia" w:ascii="宋体" w:hAnsi="宋体" w:cs="宋体"/>
                <w:color w:val="auto"/>
                <w:sz w:val="24"/>
              </w:rPr>
              <w:t>进行评审</w:t>
            </w:r>
            <w:r>
              <w:rPr>
                <w:rFonts w:hint="eastAsia" w:ascii="宋体" w:hAnsi="宋体" w:cs="宋体"/>
                <w:color w:val="auto"/>
                <w:sz w:val="24"/>
                <w:lang w:eastAsia="zh-CN"/>
              </w:rPr>
              <w:t>，</w:t>
            </w:r>
            <w:r>
              <w:rPr>
                <w:rFonts w:hint="eastAsia" w:ascii="Times New Roman" w:hAnsi="Times New Roman" w:eastAsia="宋体" w:cs="Times New Roman"/>
                <w:b w:val="0"/>
                <w:bCs/>
                <w:color w:val="auto"/>
                <w:sz w:val="24"/>
                <w:szCs w:val="22"/>
                <w:lang w:val="en-US" w:eastAsia="zh-CN"/>
              </w:rPr>
              <w:t>方案中存在缺陷的，每有1处扣1分，每项最多扣6分，扣完为止。内容缺陷是指：非专门针对本项目或不适用项目特性的情形、内容不完整或缺少关键节点、套用其他项目方案、内容前后矛盾、涉及的规范或标准错误、不利于项目实施、不可能实现的情形等任意一种情形。</w:t>
            </w:r>
          </w:p>
        </w:tc>
      </w:tr>
      <w:tr w14:paraId="4BD0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773" w:type="dxa"/>
            <w:noWrap w:val="0"/>
            <w:vAlign w:val="center"/>
          </w:tcPr>
          <w:p w14:paraId="50D3FB75">
            <w:pPr>
              <w:spacing w:line="360" w:lineRule="auto"/>
              <w:ind w:right="-94" w:rightChars="-45"/>
              <w:jc w:val="center"/>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8</w:t>
            </w:r>
          </w:p>
        </w:tc>
        <w:tc>
          <w:tcPr>
            <w:tcW w:w="2241" w:type="dxa"/>
            <w:noWrap w:val="0"/>
            <w:tcMar>
              <w:top w:w="0" w:type="dxa"/>
              <w:left w:w="113" w:type="dxa"/>
              <w:bottom w:w="0" w:type="dxa"/>
              <w:right w:w="113" w:type="dxa"/>
            </w:tcMar>
            <w:vAlign w:val="center"/>
          </w:tcPr>
          <w:p w14:paraId="0BBC69AA">
            <w:pPr>
              <w:spacing w:line="440" w:lineRule="exact"/>
              <w:jc w:val="center"/>
              <w:outlineLvl w:val="9"/>
              <w:rPr>
                <w:rFonts w:hint="eastAsia" w:cs="Times New Roman"/>
                <w:b w:val="0"/>
                <w:bCs/>
                <w:color w:val="auto"/>
                <w:sz w:val="24"/>
                <w:szCs w:val="22"/>
                <w:lang w:val="en-US" w:eastAsia="zh-CN"/>
              </w:rPr>
            </w:pPr>
            <w:r>
              <w:rPr>
                <w:rFonts w:hint="eastAsia" w:ascii="Times New Roman" w:hAnsi="Times New Roman" w:eastAsia="宋体" w:cs="Times New Roman"/>
                <w:b w:val="0"/>
                <w:bCs/>
                <w:color w:val="auto"/>
                <w:sz w:val="24"/>
                <w:szCs w:val="22"/>
                <w:lang w:val="en-US" w:eastAsia="zh-CN"/>
              </w:rPr>
              <w:t>紧急情况应对措施</w:t>
            </w:r>
            <w:r>
              <w:rPr>
                <w:rFonts w:hint="eastAsia" w:cs="Times New Roman"/>
                <w:b w:val="0"/>
                <w:bCs/>
                <w:color w:val="auto"/>
                <w:sz w:val="24"/>
                <w:szCs w:val="22"/>
                <w:lang w:val="en-US" w:eastAsia="zh-CN"/>
              </w:rPr>
              <w:t>（6分）</w:t>
            </w:r>
          </w:p>
        </w:tc>
        <w:tc>
          <w:tcPr>
            <w:tcW w:w="6767" w:type="dxa"/>
            <w:noWrap w:val="0"/>
            <w:tcMar>
              <w:top w:w="0" w:type="dxa"/>
              <w:left w:w="113" w:type="dxa"/>
              <w:bottom w:w="0" w:type="dxa"/>
              <w:right w:w="113" w:type="dxa"/>
            </w:tcMar>
            <w:vAlign w:val="center"/>
          </w:tcPr>
          <w:p w14:paraId="3AFA5604">
            <w:pPr>
              <w:spacing w:line="360" w:lineRule="auto"/>
              <w:rPr>
                <w:rFonts w:hint="eastAsia" w:ascii="Times New Roman" w:hAnsi="Times New Roman" w:eastAsia="宋体" w:cs="Times New Roman"/>
                <w:b w:val="0"/>
                <w:bCs/>
                <w:color w:val="auto"/>
                <w:sz w:val="24"/>
                <w:szCs w:val="22"/>
                <w:lang w:val="en-US" w:eastAsia="zh-CN"/>
              </w:rPr>
            </w:pPr>
            <w:r>
              <w:rPr>
                <w:rFonts w:ascii="宋体" w:hAnsi="宋体" w:cs="宋体"/>
                <w:color w:val="auto"/>
                <w:sz w:val="24"/>
              </w:rPr>
              <w:t>根据供应商提供的</w:t>
            </w:r>
            <w:r>
              <w:rPr>
                <w:rFonts w:hint="eastAsia" w:ascii="Times New Roman" w:hAnsi="Times New Roman" w:eastAsia="宋体" w:cs="Times New Roman"/>
                <w:b w:val="0"/>
                <w:bCs/>
                <w:color w:val="auto"/>
                <w:sz w:val="24"/>
                <w:szCs w:val="22"/>
                <w:lang w:val="en-US" w:eastAsia="zh-CN"/>
              </w:rPr>
              <w:t>紧急情况应对措施</w:t>
            </w:r>
            <w:r>
              <w:rPr>
                <w:rFonts w:hint="eastAsia" w:ascii="宋体" w:hAnsi="宋体" w:cs="宋体"/>
                <w:color w:val="auto"/>
                <w:sz w:val="24"/>
              </w:rPr>
              <w:t>进行评审</w:t>
            </w:r>
            <w:r>
              <w:rPr>
                <w:rFonts w:hint="eastAsia" w:ascii="宋体" w:hAnsi="宋体" w:cs="宋体"/>
                <w:color w:val="auto"/>
                <w:sz w:val="24"/>
                <w:lang w:eastAsia="zh-CN"/>
              </w:rPr>
              <w:t>，</w:t>
            </w:r>
            <w:r>
              <w:rPr>
                <w:rFonts w:hint="eastAsia" w:ascii="Times New Roman" w:hAnsi="Times New Roman" w:eastAsia="宋体" w:cs="Times New Roman"/>
                <w:b w:val="0"/>
                <w:bCs/>
                <w:color w:val="auto"/>
                <w:sz w:val="24"/>
                <w:szCs w:val="22"/>
                <w:lang w:val="en-US" w:eastAsia="zh-CN"/>
              </w:rPr>
              <w:t>方案中存在缺陷的，每有1处扣1分，每项最多扣6分，扣完为止。内容缺陷是指：非专门针对本项目或不适用项目特性的情形、内容不完整或缺少关键节点、套用其他项目方案、内容前后矛盾、涉及的规范或标准错误、不利于项目实施、不可能实现的情形等任意一种情形。</w:t>
            </w:r>
          </w:p>
        </w:tc>
      </w:tr>
      <w:tr w14:paraId="4E8D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773" w:type="dxa"/>
            <w:noWrap w:val="0"/>
            <w:vAlign w:val="center"/>
          </w:tcPr>
          <w:p w14:paraId="2E5AD0E4">
            <w:pPr>
              <w:spacing w:line="360" w:lineRule="auto"/>
              <w:ind w:right="-94" w:rightChars="-45"/>
              <w:jc w:val="center"/>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9</w:t>
            </w:r>
          </w:p>
        </w:tc>
        <w:tc>
          <w:tcPr>
            <w:tcW w:w="2241" w:type="dxa"/>
            <w:noWrap w:val="0"/>
            <w:tcMar>
              <w:top w:w="0" w:type="dxa"/>
              <w:left w:w="113" w:type="dxa"/>
              <w:bottom w:w="0" w:type="dxa"/>
              <w:right w:w="113" w:type="dxa"/>
            </w:tcMar>
            <w:vAlign w:val="center"/>
          </w:tcPr>
          <w:p w14:paraId="76C81B0F">
            <w:pPr>
              <w:spacing w:line="440" w:lineRule="exact"/>
              <w:jc w:val="center"/>
              <w:outlineLvl w:val="9"/>
              <w:rPr>
                <w:rFonts w:hint="eastAsia" w:cs="Times New Roman"/>
                <w:b w:val="0"/>
                <w:bCs/>
                <w:color w:val="auto"/>
                <w:sz w:val="24"/>
                <w:szCs w:val="22"/>
                <w:lang w:val="en-US" w:eastAsia="zh-CN"/>
              </w:rPr>
            </w:pPr>
            <w:r>
              <w:rPr>
                <w:rFonts w:hint="eastAsia" w:ascii="Times New Roman" w:hAnsi="Times New Roman" w:eastAsia="宋体" w:cs="Times New Roman"/>
                <w:b w:val="0"/>
                <w:bCs/>
                <w:color w:val="auto"/>
                <w:sz w:val="24"/>
                <w:szCs w:val="22"/>
                <w:lang w:val="en-US" w:eastAsia="zh-CN"/>
              </w:rPr>
              <w:t>成品保护和工程保修管理措施</w:t>
            </w:r>
            <w:r>
              <w:rPr>
                <w:rFonts w:hint="eastAsia" w:cs="Times New Roman"/>
                <w:b w:val="0"/>
                <w:bCs/>
                <w:color w:val="auto"/>
                <w:sz w:val="24"/>
                <w:szCs w:val="22"/>
                <w:lang w:val="en-US" w:eastAsia="zh-CN"/>
              </w:rPr>
              <w:t>（6分）</w:t>
            </w:r>
          </w:p>
        </w:tc>
        <w:tc>
          <w:tcPr>
            <w:tcW w:w="6767" w:type="dxa"/>
            <w:noWrap w:val="0"/>
            <w:tcMar>
              <w:top w:w="0" w:type="dxa"/>
              <w:left w:w="113" w:type="dxa"/>
              <w:bottom w:w="0" w:type="dxa"/>
              <w:right w:w="113" w:type="dxa"/>
            </w:tcMar>
            <w:vAlign w:val="center"/>
          </w:tcPr>
          <w:p w14:paraId="5DFACEBB">
            <w:pPr>
              <w:spacing w:line="360" w:lineRule="auto"/>
              <w:rPr>
                <w:rFonts w:hint="eastAsia" w:ascii="Times New Roman" w:hAnsi="Times New Roman" w:eastAsia="宋体" w:cs="Times New Roman"/>
                <w:b w:val="0"/>
                <w:bCs/>
                <w:color w:val="auto"/>
                <w:sz w:val="24"/>
                <w:szCs w:val="22"/>
                <w:lang w:val="en-US" w:eastAsia="zh-CN"/>
              </w:rPr>
            </w:pPr>
            <w:r>
              <w:rPr>
                <w:rFonts w:ascii="宋体" w:hAnsi="宋体" w:cs="宋体"/>
                <w:color w:val="auto"/>
                <w:sz w:val="24"/>
              </w:rPr>
              <w:t>根据供应商提供的</w:t>
            </w:r>
            <w:r>
              <w:rPr>
                <w:rFonts w:hint="eastAsia" w:ascii="Times New Roman" w:hAnsi="Times New Roman" w:eastAsia="宋体" w:cs="Times New Roman"/>
                <w:b w:val="0"/>
                <w:bCs/>
                <w:color w:val="auto"/>
                <w:sz w:val="24"/>
                <w:szCs w:val="22"/>
                <w:lang w:val="en-US" w:eastAsia="zh-CN"/>
              </w:rPr>
              <w:t>成品保护和工程保修管理措施</w:t>
            </w:r>
            <w:r>
              <w:rPr>
                <w:rFonts w:hint="eastAsia" w:ascii="宋体" w:hAnsi="宋体" w:cs="宋体"/>
                <w:color w:val="auto"/>
                <w:sz w:val="24"/>
              </w:rPr>
              <w:t>进行评审</w:t>
            </w:r>
            <w:r>
              <w:rPr>
                <w:rFonts w:hint="eastAsia" w:ascii="宋体" w:hAnsi="宋体" w:cs="宋体"/>
                <w:color w:val="auto"/>
                <w:sz w:val="24"/>
                <w:lang w:eastAsia="zh-CN"/>
              </w:rPr>
              <w:t>，</w:t>
            </w:r>
            <w:r>
              <w:rPr>
                <w:rFonts w:hint="eastAsia" w:ascii="Times New Roman" w:hAnsi="Times New Roman" w:eastAsia="宋体" w:cs="Times New Roman"/>
                <w:b w:val="0"/>
                <w:bCs/>
                <w:color w:val="auto"/>
                <w:sz w:val="24"/>
                <w:szCs w:val="22"/>
                <w:lang w:val="en-US" w:eastAsia="zh-CN"/>
              </w:rPr>
              <w:t>方案中存在缺陷的，每有1处扣1分，每项最多扣6分，扣完为止。内容缺陷是指：非专门针对本项目或不适用项目特性的情形、内容不完整或缺少关键节点、套用其他项目方案、内容前后矛盾、涉及的规范或标准错误、不利于项目实施、不可能实现的情形等任意一种情形。</w:t>
            </w:r>
          </w:p>
        </w:tc>
      </w:tr>
      <w:tr w14:paraId="179B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773" w:type="dxa"/>
            <w:noWrap w:val="0"/>
            <w:vAlign w:val="center"/>
          </w:tcPr>
          <w:p w14:paraId="6F6D25A7">
            <w:pPr>
              <w:spacing w:line="360" w:lineRule="auto"/>
              <w:ind w:right="-94" w:rightChars="-45"/>
              <w:jc w:val="center"/>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10</w:t>
            </w:r>
          </w:p>
        </w:tc>
        <w:tc>
          <w:tcPr>
            <w:tcW w:w="2241" w:type="dxa"/>
            <w:noWrap w:val="0"/>
            <w:tcMar>
              <w:top w:w="0" w:type="dxa"/>
              <w:left w:w="113" w:type="dxa"/>
              <w:bottom w:w="0" w:type="dxa"/>
              <w:right w:w="113" w:type="dxa"/>
            </w:tcMar>
            <w:vAlign w:val="center"/>
          </w:tcPr>
          <w:p w14:paraId="080501B6">
            <w:pPr>
              <w:spacing w:line="440" w:lineRule="exact"/>
              <w:jc w:val="center"/>
              <w:outlineLvl w:val="9"/>
              <w:rPr>
                <w:rFonts w:hint="eastAsia" w:cs="Times New Roman"/>
                <w:b w:val="0"/>
                <w:bCs/>
                <w:color w:val="auto"/>
                <w:sz w:val="24"/>
                <w:szCs w:val="22"/>
                <w:lang w:val="en-US" w:eastAsia="zh-CN"/>
              </w:rPr>
            </w:pPr>
            <w:r>
              <w:rPr>
                <w:rFonts w:hint="eastAsia" w:ascii="Times New Roman" w:hAnsi="Times New Roman" w:eastAsia="宋体" w:cs="Times New Roman"/>
                <w:b w:val="0"/>
                <w:bCs/>
                <w:color w:val="auto"/>
                <w:sz w:val="24"/>
                <w:szCs w:val="22"/>
                <w:lang w:val="en-US" w:eastAsia="zh-CN"/>
              </w:rPr>
              <w:t>对本工程的重点难点分析及对策</w:t>
            </w:r>
            <w:r>
              <w:rPr>
                <w:rFonts w:hint="eastAsia" w:cs="Times New Roman"/>
                <w:b w:val="0"/>
                <w:bCs/>
                <w:color w:val="auto"/>
                <w:sz w:val="24"/>
                <w:szCs w:val="22"/>
                <w:lang w:val="en-US" w:eastAsia="zh-CN"/>
              </w:rPr>
              <w:t>（6分）</w:t>
            </w:r>
          </w:p>
        </w:tc>
        <w:tc>
          <w:tcPr>
            <w:tcW w:w="6767" w:type="dxa"/>
            <w:noWrap w:val="0"/>
            <w:tcMar>
              <w:top w:w="0" w:type="dxa"/>
              <w:left w:w="113" w:type="dxa"/>
              <w:bottom w:w="0" w:type="dxa"/>
              <w:right w:w="113" w:type="dxa"/>
            </w:tcMar>
            <w:vAlign w:val="center"/>
          </w:tcPr>
          <w:p w14:paraId="57D61463">
            <w:pPr>
              <w:spacing w:line="360" w:lineRule="auto"/>
              <w:rPr>
                <w:rFonts w:hint="eastAsia" w:ascii="Times New Roman" w:hAnsi="Times New Roman" w:eastAsia="宋体" w:cs="Times New Roman"/>
                <w:b w:val="0"/>
                <w:bCs/>
                <w:color w:val="auto"/>
                <w:sz w:val="24"/>
                <w:szCs w:val="22"/>
                <w:lang w:val="en-US" w:eastAsia="zh-CN"/>
              </w:rPr>
            </w:pPr>
            <w:r>
              <w:rPr>
                <w:rFonts w:ascii="宋体" w:hAnsi="宋体" w:cs="宋体"/>
                <w:color w:val="auto"/>
                <w:sz w:val="24"/>
              </w:rPr>
              <w:t>根据供应商提供的</w:t>
            </w:r>
            <w:r>
              <w:rPr>
                <w:rFonts w:hint="eastAsia" w:ascii="Times New Roman" w:hAnsi="Times New Roman" w:eastAsia="宋体" w:cs="Times New Roman"/>
                <w:b w:val="0"/>
                <w:bCs/>
                <w:color w:val="auto"/>
                <w:sz w:val="24"/>
                <w:szCs w:val="22"/>
                <w:lang w:val="en-US" w:eastAsia="zh-CN"/>
              </w:rPr>
              <w:t>对本工程的重点难点分析及对策</w:t>
            </w:r>
            <w:r>
              <w:rPr>
                <w:rFonts w:hint="eastAsia" w:ascii="宋体" w:hAnsi="宋体" w:cs="宋体"/>
                <w:color w:val="auto"/>
                <w:sz w:val="24"/>
              </w:rPr>
              <w:t>进行评审</w:t>
            </w:r>
            <w:r>
              <w:rPr>
                <w:rFonts w:hint="eastAsia" w:ascii="宋体" w:hAnsi="宋体" w:cs="宋体"/>
                <w:color w:val="auto"/>
                <w:sz w:val="24"/>
                <w:lang w:eastAsia="zh-CN"/>
              </w:rPr>
              <w:t>，</w:t>
            </w:r>
            <w:r>
              <w:rPr>
                <w:rFonts w:hint="eastAsia" w:ascii="Times New Roman" w:hAnsi="Times New Roman" w:eastAsia="宋体" w:cs="Times New Roman"/>
                <w:b w:val="0"/>
                <w:bCs/>
                <w:color w:val="auto"/>
                <w:sz w:val="24"/>
                <w:szCs w:val="22"/>
                <w:lang w:val="en-US" w:eastAsia="zh-CN"/>
              </w:rPr>
              <w:t>方案中存在缺陷的，每有1处扣1分，每项最多扣6分，扣完为止。内容缺陷是指：非专门针对本项目或不适用项目特性的情形、内容不完整或缺少关键节点、套用其他项目方案、内容前后矛盾、涉及的规范或标准错误、不利于项目实施、不可能实现的情形等任意一种情形。</w:t>
            </w:r>
          </w:p>
        </w:tc>
      </w:tr>
      <w:tr w14:paraId="0609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773" w:type="dxa"/>
            <w:noWrap w:val="0"/>
            <w:vAlign w:val="center"/>
          </w:tcPr>
          <w:p w14:paraId="6C0185A5">
            <w:pPr>
              <w:spacing w:line="360" w:lineRule="auto"/>
              <w:ind w:right="-94" w:rightChars="-45"/>
              <w:jc w:val="center"/>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w:t>
            </w:r>
          </w:p>
        </w:tc>
        <w:tc>
          <w:tcPr>
            <w:tcW w:w="2241" w:type="dxa"/>
            <w:noWrap w:val="0"/>
            <w:tcMar>
              <w:top w:w="0" w:type="dxa"/>
              <w:left w:w="113" w:type="dxa"/>
              <w:bottom w:w="0" w:type="dxa"/>
              <w:right w:w="113" w:type="dxa"/>
            </w:tcMar>
            <w:vAlign w:val="center"/>
          </w:tcPr>
          <w:p w14:paraId="2E66B3F7">
            <w:pPr>
              <w:spacing w:line="440" w:lineRule="exact"/>
              <w:jc w:val="center"/>
              <w:outlineLvl w:val="9"/>
              <w:rPr>
                <w:rFonts w:hint="eastAsia" w:cs="Times New Roman"/>
                <w:b w:val="0"/>
                <w:bCs/>
                <w:color w:val="auto"/>
                <w:sz w:val="24"/>
                <w:szCs w:val="22"/>
                <w:lang w:val="en-US" w:eastAsia="zh-CN"/>
              </w:rPr>
            </w:pPr>
            <w:r>
              <w:rPr>
                <w:rFonts w:hint="eastAsia" w:cs="宋体"/>
                <w:b w:val="0"/>
                <w:bCs/>
                <w:color w:val="auto"/>
                <w:kern w:val="2"/>
                <w:sz w:val="24"/>
                <w:szCs w:val="24"/>
                <w:lang w:val="en-US" w:eastAsia="zh-CN" w:bidi="ar-SA"/>
              </w:rPr>
              <w:t>新技术、新产品、新工艺、新材料应用</w:t>
            </w:r>
            <w:r>
              <w:rPr>
                <w:rFonts w:hint="eastAsia" w:cs="Times New Roman"/>
                <w:b w:val="0"/>
                <w:bCs/>
                <w:color w:val="auto"/>
                <w:sz w:val="24"/>
                <w:szCs w:val="22"/>
                <w:lang w:val="en-US" w:eastAsia="zh-CN"/>
              </w:rPr>
              <w:t>（6分）</w:t>
            </w:r>
          </w:p>
        </w:tc>
        <w:tc>
          <w:tcPr>
            <w:tcW w:w="6767" w:type="dxa"/>
            <w:noWrap w:val="0"/>
            <w:tcMar>
              <w:top w:w="0" w:type="dxa"/>
              <w:left w:w="113" w:type="dxa"/>
              <w:bottom w:w="0" w:type="dxa"/>
              <w:right w:w="113" w:type="dxa"/>
            </w:tcMar>
            <w:vAlign w:val="center"/>
          </w:tcPr>
          <w:p w14:paraId="666AF3AB">
            <w:pPr>
              <w:spacing w:line="360" w:lineRule="auto"/>
              <w:rPr>
                <w:rFonts w:hint="eastAsia" w:ascii="Times New Roman" w:hAnsi="Times New Roman" w:eastAsia="宋体" w:cs="Times New Roman"/>
                <w:b w:val="0"/>
                <w:bCs/>
                <w:color w:val="auto"/>
                <w:sz w:val="24"/>
                <w:szCs w:val="22"/>
                <w:lang w:val="en-US" w:eastAsia="zh-CN"/>
              </w:rPr>
            </w:pPr>
            <w:r>
              <w:rPr>
                <w:rFonts w:ascii="宋体" w:hAnsi="宋体" w:cs="宋体"/>
                <w:color w:val="auto"/>
                <w:sz w:val="24"/>
              </w:rPr>
              <w:t>根据供应商提供的</w:t>
            </w:r>
            <w:r>
              <w:rPr>
                <w:rFonts w:hint="eastAsia" w:cs="宋体"/>
                <w:b w:val="0"/>
                <w:bCs/>
                <w:color w:val="auto"/>
                <w:kern w:val="2"/>
                <w:sz w:val="24"/>
                <w:szCs w:val="24"/>
                <w:lang w:val="en-US" w:eastAsia="zh-CN" w:bidi="ar-SA"/>
              </w:rPr>
              <w:t>新技术、新产品、新工艺、新材料应用</w:t>
            </w:r>
            <w:r>
              <w:rPr>
                <w:rFonts w:hint="eastAsia" w:ascii="宋体" w:hAnsi="宋体" w:cs="宋体"/>
                <w:color w:val="auto"/>
                <w:sz w:val="24"/>
              </w:rPr>
              <w:t>进行评审</w:t>
            </w:r>
            <w:r>
              <w:rPr>
                <w:rFonts w:hint="eastAsia" w:ascii="宋体" w:hAnsi="宋体" w:cs="宋体"/>
                <w:color w:val="auto"/>
                <w:sz w:val="24"/>
                <w:lang w:eastAsia="zh-CN"/>
              </w:rPr>
              <w:t>，</w:t>
            </w:r>
            <w:r>
              <w:rPr>
                <w:rFonts w:hint="eastAsia" w:ascii="Times New Roman" w:hAnsi="Times New Roman" w:eastAsia="宋体" w:cs="Times New Roman"/>
                <w:b w:val="0"/>
                <w:bCs/>
                <w:color w:val="auto"/>
                <w:sz w:val="24"/>
                <w:szCs w:val="22"/>
                <w:lang w:val="en-US" w:eastAsia="zh-CN"/>
              </w:rPr>
              <w:t>方案中存在缺陷的，每有1处扣1分，每项最多扣6分，扣完为止。内容缺陷是指：非专门针对本项目或不适用项目特性的情形、内容不完整或缺少关键节点、套用其他项目方案、内容前后矛盾、涉及的规范或标准错误、不利于项目实施、不可能实现的情形等任意一种情形。</w:t>
            </w:r>
          </w:p>
        </w:tc>
      </w:tr>
      <w:tr w14:paraId="116A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14:paraId="732676AE">
            <w:pPr>
              <w:spacing w:line="360" w:lineRule="auto"/>
              <w:ind w:right="-94" w:rightChars="-45"/>
              <w:jc w:val="center"/>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w:t>
            </w:r>
          </w:p>
        </w:tc>
        <w:tc>
          <w:tcPr>
            <w:tcW w:w="2241" w:type="dxa"/>
            <w:noWrap w:val="0"/>
            <w:tcMar>
              <w:top w:w="0" w:type="dxa"/>
              <w:left w:w="113" w:type="dxa"/>
              <w:bottom w:w="0" w:type="dxa"/>
              <w:right w:w="113" w:type="dxa"/>
            </w:tcMar>
            <w:vAlign w:val="center"/>
          </w:tcPr>
          <w:p w14:paraId="22DE93C7">
            <w:pPr>
              <w:pStyle w:val="22"/>
              <w:keepNext w:val="0"/>
              <w:keepLines w:val="0"/>
              <w:widowControl/>
              <w:suppressLineNumbers w:val="0"/>
              <w:spacing w:before="0" w:beforeAutospacing="0" w:after="0" w:afterAutospacing="0"/>
              <w:ind w:left="0" w:right="0" w:firstLine="0"/>
              <w:jc w:val="center"/>
              <w:outlineLvl w:val="9"/>
              <w:rPr>
                <w:rFonts w:hint="eastAsia" w:ascii="Times New Roman" w:hAnsi="Times New Roman" w:cs="Times New Roman"/>
                <w:b w:val="0"/>
                <w:bCs/>
                <w:color w:val="auto"/>
                <w:kern w:val="2"/>
                <w:sz w:val="24"/>
                <w:szCs w:val="22"/>
                <w:lang w:val="en-US" w:eastAsia="zh-CN" w:bidi="ar-SA"/>
              </w:rPr>
            </w:pPr>
            <w:r>
              <w:rPr>
                <w:rFonts w:hint="eastAsia" w:ascii="Times New Roman" w:hAnsi="Times New Roman" w:cs="Times New Roman"/>
                <w:b w:val="0"/>
                <w:bCs/>
                <w:color w:val="auto"/>
                <w:kern w:val="2"/>
                <w:sz w:val="24"/>
                <w:szCs w:val="22"/>
                <w:lang w:val="en-US" w:eastAsia="zh-CN" w:bidi="ar-SA"/>
              </w:rPr>
              <w:t>类似业绩</w:t>
            </w:r>
          </w:p>
          <w:p w14:paraId="645DC1DA">
            <w:pPr>
              <w:pStyle w:val="22"/>
              <w:keepNext w:val="0"/>
              <w:keepLines w:val="0"/>
              <w:widowControl/>
              <w:suppressLineNumbers w:val="0"/>
              <w:spacing w:before="0" w:beforeAutospacing="0" w:after="0" w:afterAutospacing="0"/>
              <w:ind w:left="0" w:right="0" w:firstLine="0"/>
              <w:jc w:val="center"/>
              <w:outlineLvl w:val="9"/>
              <w:rPr>
                <w:rFonts w:hint="default" w:ascii="Times New Roman" w:hAnsi="Times New Roman" w:eastAsia="宋体" w:cs="Times New Roman"/>
                <w:b w:val="0"/>
                <w:bCs/>
                <w:color w:val="auto"/>
                <w:kern w:val="2"/>
                <w:sz w:val="24"/>
                <w:szCs w:val="22"/>
                <w:lang w:val="en-US" w:eastAsia="zh-CN" w:bidi="ar-SA"/>
              </w:rPr>
            </w:pPr>
            <w:r>
              <w:rPr>
                <w:rFonts w:hint="eastAsia" w:cs="Times New Roman"/>
                <w:b w:val="0"/>
                <w:bCs/>
                <w:color w:val="auto"/>
                <w:sz w:val="24"/>
                <w:szCs w:val="22"/>
                <w:lang w:val="en-US" w:eastAsia="zh-CN"/>
              </w:rPr>
              <w:t>（10分）</w:t>
            </w:r>
          </w:p>
        </w:tc>
        <w:tc>
          <w:tcPr>
            <w:tcW w:w="6767" w:type="dxa"/>
            <w:noWrap w:val="0"/>
            <w:tcMar>
              <w:top w:w="0" w:type="dxa"/>
              <w:left w:w="113" w:type="dxa"/>
              <w:bottom w:w="0" w:type="dxa"/>
              <w:right w:w="113" w:type="dxa"/>
            </w:tcMar>
            <w:vAlign w:val="center"/>
          </w:tcPr>
          <w:p w14:paraId="3E8106C1">
            <w:pPr>
              <w:pStyle w:val="22"/>
              <w:keepNext w:val="0"/>
              <w:keepLines w:val="0"/>
              <w:widowControl/>
              <w:suppressLineNumbers w:val="0"/>
              <w:spacing w:before="0" w:beforeAutospacing="0" w:after="0" w:afterAutospacing="0" w:line="360" w:lineRule="auto"/>
              <w:ind w:left="0" w:right="0" w:firstLine="0"/>
              <w:outlineLvl w:val="9"/>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近</w:t>
            </w:r>
            <w:r>
              <w:rPr>
                <w:rFonts w:hint="eastAsia" w:cs="宋体"/>
                <w:b w:val="0"/>
                <w:bCs/>
                <w:color w:val="auto"/>
                <w:kern w:val="2"/>
                <w:sz w:val="24"/>
                <w:szCs w:val="24"/>
                <w:lang w:val="en-US" w:eastAsia="zh-CN" w:bidi="ar-SA"/>
              </w:rPr>
              <w:t>三</w:t>
            </w:r>
            <w:r>
              <w:rPr>
                <w:rFonts w:hint="eastAsia" w:ascii="宋体" w:hAnsi="宋体" w:eastAsia="宋体" w:cs="宋体"/>
                <w:b w:val="0"/>
                <w:bCs/>
                <w:color w:val="auto"/>
                <w:kern w:val="2"/>
                <w:sz w:val="24"/>
                <w:szCs w:val="24"/>
                <w:lang w:val="en-US" w:eastAsia="zh-CN" w:bidi="ar-SA"/>
              </w:rPr>
              <w:t>年（20</w:t>
            </w:r>
            <w:r>
              <w:rPr>
                <w:rFonts w:hint="eastAsia" w:cs="宋体"/>
                <w:b w:val="0"/>
                <w:bCs/>
                <w:color w:val="auto"/>
                <w:kern w:val="2"/>
                <w:sz w:val="24"/>
                <w:szCs w:val="24"/>
                <w:lang w:val="en-US" w:eastAsia="zh-CN" w:bidi="ar-SA"/>
              </w:rPr>
              <w:t>22</w:t>
            </w:r>
            <w:r>
              <w:rPr>
                <w:rFonts w:hint="eastAsia" w:ascii="宋体" w:hAnsi="宋体" w:eastAsia="宋体" w:cs="宋体"/>
                <w:b w:val="0"/>
                <w:bCs/>
                <w:color w:val="auto"/>
                <w:kern w:val="2"/>
                <w:sz w:val="24"/>
                <w:szCs w:val="24"/>
                <w:lang w:val="en-US" w:eastAsia="zh-CN" w:bidi="ar-SA"/>
              </w:rPr>
              <w:t>年0</w:t>
            </w:r>
            <w:r>
              <w:rPr>
                <w:rFonts w:hint="eastAsia" w:cs="宋体"/>
                <w:b w:val="0"/>
                <w:bCs/>
                <w:color w:val="auto"/>
                <w:kern w:val="2"/>
                <w:sz w:val="24"/>
                <w:szCs w:val="24"/>
                <w:lang w:val="en-US" w:eastAsia="zh-CN" w:bidi="ar-SA"/>
              </w:rPr>
              <w:t>1</w:t>
            </w:r>
            <w:r>
              <w:rPr>
                <w:rFonts w:hint="eastAsia" w:ascii="宋体" w:hAnsi="宋体" w:eastAsia="宋体" w:cs="宋体"/>
                <w:b w:val="0"/>
                <w:bCs/>
                <w:color w:val="auto"/>
                <w:kern w:val="2"/>
                <w:sz w:val="24"/>
                <w:szCs w:val="24"/>
                <w:lang w:val="en-US" w:eastAsia="zh-CN" w:bidi="ar-SA"/>
              </w:rPr>
              <w:t>月01日至今）已完成的类似业绩。每提供一个得</w:t>
            </w:r>
            <w:r>
              <w:rPr>
                <w:rFonts w:hint="eastAsia" w:cs="宋体"/>
                <w:b w:val="0"/>
                <w:bCs/>
                <w:color w:val="auto"/>
                <w:kern w:val="2"/>
                <w:sz w:val="24"/>
                <w:szCs w:val="24"/>
                <w:lang w:val="en-US" w:eastAsia="zh-CN" w:bidi="ar-SA"/>
              </w:rPr>
              <w:t>5</w:t>
            </w:r>
            <w:r>
              <w:rPr>
                <w:rFonts w:hint="eastAsia" w:ascii="宋体" w:hAnsi="宋体" w:eastAsia="宋体" w:cs="宋体"/>
                <w:b w:val="0"/>
                <w:bCs/>
                <w:color w:val="auto"/>
                <w:kern w:val="2"/>
                <w:sz w:val="24"/>
                <w:szCs w:val="24"/>
                <w:lang w:val="en-US" w:eastAsia="zh-CN" w:bidi="ar-SA"/>
              </w:rPr>
              <w:t xml:space="preserve"> 分，最高不超过</w:t>
            </w:r>
            <w:r>
              <w:rPr>
                <w:rFonts w:hint="eastAsia" w:cs="宋体"/>
                <w:b w:val="0"/>
                <w:bCs/>
                <w:color w:val="auto"/>
                <w:kern w:val="2"/>
                <w:sz w:val="24"/>
                <w:szCs w:val="24"/>
                <w:lang w:val="en-US" w:eastAsia="zh-CN" w:bidi="ar-SA"/>
              </w:rPr>
              <w:t>10</w:t>
            </w:r>
            <w:r>
              <w:rPr>
                <w:rFonts w:hint="eastAsia" w:ascii="宋体" w:hAnsi="宋体" w:eastAsia="宋体" w:cs="宋体"/>
                <w:b w:val="0"/>
                <w:bCs/>
                <w:color w:val="auto"/>
                <w:kern w:val="2"/>
                <w:sz w:val="24"/>
                <w:szCs w:val="24"/>
                <w:lang w:val="en-US" w:eastAsia="zh-CN" w:bidi="ar-SA"/>
              </w:rPr>
              <w:t>分。需提供合同签订的首页、合同 金额所在页、合同内容页、签字盖章页作为证明。</w:t>
            </w:r>
          </w:p>
        </w:tc>
      </w:tr>
    </w:tbl>
    <w:p w14:paraId="2CD89F8C">
      <w:pPr>
        <w:pStyle w:val="10"/>
        <w:outlineLvl w:val="9"/>
        <w:rPr>
          <w:rFonts w:hint="eastAsia" w:ascii="宋体" w:hAnsi="宋体" w:cs="宋体"/>
          <w:color w:val="auto"/>
        </w:rPr>
      </w:pPr>
    </w:p>
    <w:p w14:paraId="4D86719C">
      <w:pPr>
        <w:outlineLvl w:val="9"/>
        <w:rPr>
          <w:rFonts w:hint="eastAsia" w:ascii="宋体" w:hAnsi="宋体" w:cs="宋体"/>
          <w:color w:val="auto"/>
        </w:rPr>
        <w:sectPr>
          <w:pgSz w:w="11906" w:h="16838"/>
          <w:pgMar w:top="1219" w:right="1800" w:bottom="1219" w:left="1800" w:header="851" w:footer="992" w:gutter="0"/>
          <w:pgNumType w:fmt="decimal"/>
          <w:cols w:space="720" w:num="1"/>
          <w:docGrid w:type="lines" w:linePitch="312" w:charSpace="0"/>
        </w:sectPr>
      </w:pPr>
    </w:p>
    <w:bookmarkEnd w:id="245"/>
    <w:p w14:paraId="77680836">
      <w:pPr>
        <w:bidi w:val="0"/>
        <w:jc w:val="center"/>
        <w:outlineLvl w:val="0"/>
        <w:rPr>
          <w:rFonts w:hint="eastAsia"/>
          <w:b/>
          <w:bCs/>
          <w:color w:val="auto"/>
          <w:sz w:val="36"/>
          <w:szCs w:val="36"/>
        </w:rPr>
      </w:pPr>
      <w:bookmarkStart w:id="252" w:name="_Toc29384"/>
      <w:bookmarkStart w:id="253" w:name="_Toc15260"/>
      <w:bookmarkStart w:id="254" w:name="_Toc10531"/>
      <w:bookmarkStart w:id="255" w:name="_Toc2619"/>
      <w:bookmarkStart w:id="256" w:name="_Toc14711"/>
      <w:bookmarkStart w:id="257" w:name="_Toc557"/>
      <w:r>
        <w:rPr>
          <w:rFonts w:hint="eastAsia"/>
          <w:b/>
          <w:bCs/>
          <w:color w:val="auto"/>
          <w:sz w:val="36"/>
          <w:szCs w:val="36"/>
          <w:lang w:val="en-US" w:eastAsia="zh-CN"/>
        </w:rPr>
        <w:t>第四章  商务要求</w:t>
      </w:r>
      <w:bookmarkEnd w:id="252"/>
      <w:bookmarkEnd w:id="253"/>
      <w:bookmarkEnd w:id="254"/>
    </w:p>
    <w:p w14:paraId="319D5A28">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jc w:val="left"/>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rPr>
        <w:t>一、</w:t>
      </w:r>
      <w:r>
        <w:rPr>
          <w:rFonts w:hint="eastAsia" w:ascii="宋体" w:hAnsi="宋体" w:eastAsia="宋体" w:cs="宋体"/>
          <w:b/>
          <w:bCs w:val="0"/>
          <w:color w:val="auto"/>
          <w:sz w:val="24"/>
          <w:szCs w:val="24"/>
          <w:lang w:val="en-US" w:eastAsia="zh-CN"/>
        </w:rPr>
        <w:t>工期：</w:t>
      </w:r>
      <w:r>
        <w:rPr>
          <w:rFonts w:hint="eastAsia" w:ascii="宋体" w:hAnsi="宋体" w:cs="宋体"/>
          <w:b/>
          <w:bCs w:val="0"/>
          <w:color w:val="auto"/>
          <w:sz w:val="24"/>
          <w:szCs w:val="24"/>
          <w:lang w:val="en-US" w:eastAsia="zh-CN"/>
        </w:rPr>
        <w:t>60天</w:t>
      </w:r>
      <w:r>
        <w:rPr>
          <w:rFonts w:hint="eastAsia" w:ascii="宋体" w:hAnsi="宋体" w:eastAsia="宋体" w:cs="宋体"/>
          <w:b/>
          <w:bCs w:val="0"/>
          <w:color w:val="auto"/>
          <w:sz w:val="24"/>
          <w:szCs w:val="24"/>
          <w:lang w:val="en-US" w:eastAsia="zh-CN"/>
        </w:rPr>
        <w:t>。</w:t>
      </w:r>
    </w:p>
    <w:p w14:paraId="07A1168D">
      <w:pPr>
        <w:spacing w:line="360" w:lineRule="auto"/>
        <w:ind w:firstLine="482" w:firstLineChars="200"/>
        <w:jc w:val="left"/>
        <w:outlineLvl w:val="9"/>
        <w:rPr>
          <w:rFonts w:hint="default" w:ascii="宋体" w:hAnsi="宋体"/>
          <w:b/>
          <w:bCs/>
          <w:color w:val="auto"/>
          <w:sz w:val="24"/>
          <w:highlight w:val="none"/>
          <w:lang w:val="en-US" w:eastAsia="zh-CN"/>
        </w:rPr>
      </w:pPr>
      <w:r>
        <w:rPr>
          <w:rFonts w:hint="eastAsia" w:ascii="宋体" w:hAnsi="宋体" w:cs="宋体"/>
          <w:b/>
          <w:bCs/>
          <w:color w:val="auto"/>
          <w:sz w:val="24"/>
          <w:highlight w:val="none"/>
          <w:lang w:val="en-US" w:eastAsia="zh-CN"/>
        </w:rPr>
        <w:t xml:space="preserve">  </w:t>
      </w:r>
      <w:r>
        <w:rPr>
          <w:rFonts w:hint="eastAsia" w:ascii="宋体" w:hAnsi="宋体"/>
          <w:b/>
          <w:bCs/>
          <w:color w:val="auto"/>
          <w:sz w:val="24"/>
          <w:highlight w:val="none"/>
          <w:lang w:val="en-US" w:eastAsia="zh-CN"/>
        </w:rPr>
        <w:t>质保期：验收合格后1年</w:t>
      </w:r>
    </w:p>
    <w:p w14:paraId="5E9BB727">
      <w:pPr>
        <w:spacing w:line="360" w:lineRule="auto"/>
        <w:ind w:firstLine="482" w:firstLineChars="200"/>
        <w:jc w:val="left"/>
        <w:outlineLvl w:val="9"/>
        <w:rPr>
          <w:rFonts w:hint="default" w:ascii="宋体" w:hAnsi="宋体"/>
          <w:b/>
          <w:bCs/>
          <w:color w:val="auto"/>
          <w:sz w:val="24"/>
          <w:highlight w:val="none"/>
          <w:lang w:val="en-US" w:eastAsia="zh-CN"/>
        </w:rPr>
      </w:pPr>
      <w:r>
        <w:rPr>
          <w:rFonts w:hint="eastAsia" w:ascii="宋体" w:hAnsi="宋体"/>
          <w:b/>
          <w:bCs/>
          <w:color w:val="auto"/>
          <w:sz w:val="24"/>
          <w:highlight w:val="none"/>
          <w:lang w:val="en-US" w:eastAsia="zh-CN"/>
        </w:rPr>
        <w:t xml:space="preserve">  工程质量：合格</w:t>
      </w:r>
    </w:p>
    <w:p w14:paraId="42CAFA69">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241" w:firstLineChars="100"/>
        <w:jc w:val="left"/>
        <w:textAlignment w:val="auto"/>
        <w:outlineLvl w:val="9"/>
        <w:rPr>
          <w:rFonts w:hint="eastAsia" w:ascii="Times New Roman" w:hAnsi="Times New Roman" w:eastAsia="宋体" w:cs="Times New Roman"/>
          <w:color w:val="auto"/>
          <w:kern w:val="2"/>
          <w:sz w:val="24"/>
          <w:szCs w:val="16"/>
          <w:lang w:val="en-US" w:eastAsia="zh-CN" w:bidi="ar-SA"/>
        </w:rPr>
      </w:pPr>
      <w:r>
        <w:rPr>
          <w:rFonts w:hint="eastAsia" w:ascii="宋体" w:hAnsi="宋体" w:cs="宋体"/>
          <w:b/>
          <w:bCs w:val="0"/>
          <w:color w:val="auto"/>
          <w:sz w:val="24"/>
          <w:szCs w:val="24"/>
          <w:lang w:val="en-US" w:eastAsia="zh-CN"/>
        </w:rPr>
        <w:t>施工地点：</w:t>
      </w:r>
      <w:r>
        <w:rPr>
          <w:rFonts w:hint="eastAsia" w:cs="Times New Roman"/>
          <w:b/>
          <w:bCs/>
          <w:color w:val="auto"/>
          <w:kern w:val="2"/>
          <w:sz w:val="24"/>
          <w:szCs w:val="16"/>
          <w:lang w:val="en-US" w:eastAsia="zh-CN" w:bidi="ar-SA"/>
        </w:rPr>
        <w:t>采购人指定地点</w:t>
      </w:r>
    </w:p>
    <w:p w14:paraId="67F4F9D0">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241" w:firstLineChars="100"/>
        <w:jc w:val="left"/>
        <w:textAlignment w:val="auto"/>
        <w:outlineLvl w:val="9"/>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合同价款</w:t>
      </w:r>
    </w:p>
    <w:p w14:paraId="459D6D24">
      <w:pPr>
        <w:spacing w:line="360" w:lineRule="auto"/>
        <w:ind w:firstLine="480" w:firstLineChars="200"/>
        <w:jc w:val="left"/>
        <w:outlineLvl w:val="9"/>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olor w:val="auto"/>
          <w:sz w:val="24"/>
          <w:highlight w:val="none"/>
        </w:rPr>
        <w:t>投标报价应为本次投标项目所包含的一切相关费用。</w:t>
      </w:r>
    </w:p>
    <w:p w14:paraId="4192F90C">
      <w:pPr>
        <w:spacing w:line="360" w:lineRule="auto"/>
        <w:ind w:firstLine="480" w:firstLineChars="200"/>
        <w:jc w:val="left"/>
        <w:outlineLvl w:val="9"/>
        <w:rPr>
          <w:rFonts w:hint="eastAsia" w:ascii="宋体" w:hAnsi="宋体" w:cs="宋体"/>
          <w:color w:val="auto"/>
          <w:sz w:val="24"/>
          <w:highlight w:val="none"/>
        </w:rPr>
      </w:pPr>
      <w:r>
        <w:rPr>
          <w:rFonts w:hint="eastAsia" w:ascii="宋体" w:hAnsi="宋体" w:cs="宋体"/>
          <w:color w:val="auto"/>
          <w:sz w:val="24"/>
          <w:highlight w:val="none"/>
        </w:rPr>
        <w:t>2、合同总价一次包死，不受市场价变化的影响。</w:t>
      </w:r>
    </w:p>
    <w:p w14:paraId="38504FEC">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jc w:val="left"/>
        <w:textAlignment w:val="auto"/>
        <w:outlineLvl w:val="9"/>
        <w:rPr>
          <w:rFonts w:hint="eastAsia" w:ascii="宋体" w:hAnsi="宋体" w:cs="宋体"/>
          <w:b/>
          <w:bCs w:val="0"/>
          <w:color w:val="auto"/>
          <w:sz w:val="24"/>
          <w:szCs w:val="24"/>
          <w:lang w:val="en-US" w:eastAsia="zh-CN"/>
        </w:rPr>
      </w:pPr>
      <w:bookmarkStart w:id="258" w:name="_Toc16112"/>
      <w:r>
        <w:rPr>
          <w:rFonts w:hint="eastAsia" w:ascii="宋体" w:hAnsi="宋体" w:cs="宋体"/>
          <w:b/>
          <w:bCs w:val="0"/>
          <w:color w:val="auto"/>
          <w:sz w:val="24"/>
          <w:szCs w:val="24"/>
          <w:lang w:val="en-US" w:eastAsia="zh-CN"/>
        </w:rPr>
        <w:t>四、</w:t>
      </w:r>
      <w:bookmarkEnd w:id="258"/>
      <w:r>
        <w:rPr>
          <w:rFonts w:hint="eastAsia" w:ascii="宋体" w:hAnsi="宋体" w:cs="宋体"/>
          <w:b/>
          <w:bCs w:val="0"/>
          <w:color w:val="auto"/>
          <w:sz w:val="24"/>
          <w:szCs w:val="24"/>
          <w:lang w:val="en-US" w:eastAsia="zh-CN"/>
        </w:rPr>
        <w:t xml:space="preserve">付款： </w:t>
      </w:r>
    </w:p>
    <w:p w14:paraId="026A34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1、合同总价即成交价，不受市场价变化或实际工作量变化的影响。 </w:t>
      </w:r>
    </w:p>
    <w:p w14:paraId="6869E2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2、付款方式和程序： </w:t>
      </w:r>
    </w:p>
    <w:p w14:paraId="5E2BD9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2.1 由采购人负责结算，在付款前，供应商必须开具全额发票给采购人 （附详细清单）。 </w:t>
      </w:r>
    </w:p>
    <w:p w14:paraId="52FDFB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b w:val="0"/>
          <w:bCs/>
          <w:color w:val="auto"/>
          <w:sz w:val="24"/>
          <w:szCs w:val="24"/>
          <w:shd w:val="clear"/>
          <w:lang w:val="en-US" w:eastAsia="zh-CN"/>
        </w:rPr>
      </w:pPr>
      <w:r>
        <w:rPr>
          <w:rFonts w:hint="eastAsia" w:ascii="宋体" w:hAnsi="宋体" w:eastAsia="宋体" w:cs="宋体"/>
          <w:b w:val="0"/>
          <w:bCs/>
          <w:color w:val="auto"/>
          <w:sz w:val="24"/>
          <w:szCs w:val="24"/>
          <w:lang w:val="en-US" w:eastAsia="zh-CN"/>
        </w:rPr>
        <w:t>2.2</w:t>
      </w:r>
      <w:r>
        <w:rPr>
          <w:rFonts w:hint="eastAsia" w:ascii="宋体" w:hAnsi="宋体" w:eastAsia="宋体" w:cs="宋体"/>
          <w:b w:val="0"/>
          <w:bCs/>
          <w:color w:val="auto"/>
          <w:sz w:val="24"/>
          <w:szCs w:val="24"/>
          <w:shd w:val="clear"/>
          <w:lang w:val="en-US" w:eastAsia="zh-CN"/>
        </w:rPr>
        <w:t xml:space="preserve"> 付款方式：</w:t>
      </w:r>
      <w:r>
        <w:rPr>
          <w:rFonts w:hint="eastAsia" w:ascii="宋体" w:hAnsi="宋体" w:cs="宋体"/>
          <w:b w:val="0"/>
          <w:bCs/>
          <w:color w:val="auto"/>
          <w:sz w:val="24"/>
          <w:szCs w:val="24"/>
          <w:lang w:val="en-US" w:eastAsia="zh-CN"/>
        </w:rPr>
        <w:t>合同签订开工后支付40％，项目完成80%以上支付30%，剩余资金决算审计后付清。</w:t>
      </w:r>
    </w:p>
    <w:p w14:paraId="1A49503F">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jc w:val="left"/>
        <w:textAlignment w:val="auto"/>
        <w:outlineLvl w:val="9"/>
        <w:rPr>
          <w:rFonts w:hint="eastAsia" w:ascii="宋体" w:hAnsi="宋体" w:cs="宋体"/>
          <w:b/>
          <w:bCs w:val="0"/>
          <w:color w:val="auto"/>
          <w:sz w:val="24"/>
          <w:szCs w:val="24"/>
        </w:rPr>
      </w:pPr>
      <w:r>
        <w:rPr>
          <w:rFonts w:hint="eastAsia" w:ascii="宋体" w:hAnsi="宋体" w:cs="宋体"/>
          <w:b/>
          <w:bCs w:val="0"/>
          <w:color w:val="auto"/>
          <w:sz w:val="24"/>
          <w:szCs w:val="24"/>
        </w:rPr>
        <w:t>五、</w:t>
      </w:r>
      <w:r>
        <w:rPr>
          <w:rFonts w:ascii="宋体" w:hAnsi="宋体" w:eastAsia="宋体" w:cs="宋体"/>
          <w:b/>
          <w:bCs w:val="0"/>
          <w:color w:val="auto"/>
          <w:sz w:val="24"/>
          <w:szCs w:val="24"/>
        </w:rPr>
        <w:t>服务保证</w:t>
      </w:r>
    </w:p>
    <w:p w14:paraId="0F8B584C">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ascii="宋体" w:hAnsi="宋体" w:eastAsia="宋体" w:cs="宋体"/>
          <w:b w:val="0"/>
          <w:bCs w:val="0"/>
          <w:color w:val="auto"/>
          <w:sz w:val="24"/>
          <w:szCs w:val="24"/>
        </w:rPr>
      </w:pPr>
      <w:r>
        <w:rPr>
          <w:rFonts w:ascii="宋体" w:hAnsi="宋体" w:eastAsia="宋体" w:cs="宋体"/>
          <w:b w:val="0"/>
          <w:bCs w:val="0"/>
          <w:color w:val="auto"/>
          <w:sz w:val="24"/>
          <w:szCs w:val="24"/>
        </w:rPr>
        <w:t>供应商交付的服务及材料必须保证质量可靠，应全面满足</w:t>
      </w:r>
      <w:r>
        <w:rPr>
          <w:rFonts w:hint="eastAsia" w:ascii="宋体" w:hAnsi="宋体" w:eastAsia="宋体" w:cs="宋体"/>
          <w:b w:val="0"/>
          <w:bCs w:val="0"/>
          <w:color w:val="auto"/>
          <w:sz w:val="24"/>
          <w:szCs w:val="24"/>
          <w:lang w:val="en-US" w:eastAsia="zh-CN"/>
        </w:rPr>
        <w:t>招标</w:t>
      </w:r>
      <w:r>
        <w:rPr>
          <w:rFonts w:ascii="宋体" w:hAnsi="宋体" w:eastAsia="宋体" w:cs="宋体"/>
          <w:b w:val="0"/>
          <w:bCs w:val="0"/>
          <w:color w:val="auto"/>
          <w:sz w:val="24"/>
          <w:szCs w:val="24"/>
        </w:rPr>
        <w:t>文件的要求，采购文件未明确要求的内容，供应商按磋商服务要求或以采购人的补充要求为准。所供服务及材料应严格按照国家最新发布的规范标准执行，如发生问题由供应商承担全部责任。</w:t>
      </w:r>
    </w:p>
    <w:p w14:paraId="755D748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41" w:firstLineChars="100"/>
        <w:textAlignment w:val="auto"/>
        <w:outlineLvl w:val="9"/>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六、违约责任</w:t>
      </w:r>
    </w:p>
    <w:p w14:paraId="192714C0">
      <w:pPr>
        <w:bidi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按《中华人民共和国政府采购法》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《中华人民共和国民法典》中的相关条款执行。 </w:t>
      </w:r>
    </w:p>
    <w:p w14:paraId="58C2EA35">
      <w:pPr>
        <w:bidi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未按合同或</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 xml:space="preserve">文件要求提供服务或供应的服务质量不能满足采购人技术要求，采购单位有权终止合同，甚至对供应商违约行为进行追究。 </w:t>
      </w:r>
    </w:p>
    <w:p w14:paraId="37150D66">
      <w:pPr>
        <w:bidi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供应商的响应文件为签订正式书面合同书不可分割的部分，供应商应履行相应的责任。</w:t>
      </w:r>
    </w:p>
    <w:p w14:paraId="791452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color w:val="auto"/>
        </w:rPr>
      </w:pPr>
      <w:r>
        <w:rPr>
          <w:rFonts w:hint="eastAsia" w:ascii="宋体" w:hAnsi="宋体" w:cs="宋体"/>
          <w:b/>
          <w:bCs/>
          <w:color w:val="auto"/>
          <w:sz w:val="24"/>
          <w:szCs w:val="24"/>
          <w:lang w:val="en-US" w:eastAsia="zh-CN"/>
        </w:rPr>
        <w:t>七</w:t>
      </w:r>
      <w:r>
        <w:rPr>
          <w:rFonts w:hint="eastAsia" w:ascii="宋体" w:hAnsi="宋体" w:eastAsia="宋体" w:cs="宋体"/>
          <w:b/>
          <w:bCs/>
          <w:color w:val="auto"/>
          <w:sz w:val="24"/>
          <w:szCs w:val="24"/>
          <w:lang w:val="en-US" w:eastAsia="zh-CN"/>
        </w:rPr>
        <w:t>、验收标准</w:t>
      </w:r>
    </w:p>
    <w:p w14:paraId="117640FC">
      <w:pPr>
        <w:bidi w:val="0"/>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按照采购合同的约定和现行国家标准、行业标准以及企业标准对每一项技术、服务、安全标准的履约情况进行确认。                                                                                                                                                                                                                                                                                                                                                                                                                                                                                                                                                                                                                                                                                                                                                                                                                                                                                                                                                                                                                                                                                                                                                                                                                                                                                                                                                                                                                                                                                                                                                                                                                                                                                                                                                                                                                                                                                                                                                                                                                                                                                                                                                                                                                                                                                                                                                                                                                                                                                                                                                                                                                                                                                                                                                                                                      </w:t>
      </w:r>
    </w:p>
    <w:p w14:paraId="68461A16">
      <w:pPr>
        <w:bidi w:val="0"/>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验收依据：</w:t>
      </w:r>
      <w:r>
        <w:rPr>
          <w:rFonts w:hint="eastAsia" w:ascii="宋体" w:hAnsi="宋体" w:eastAsia="宋体" w:cs="宋体"/>
          <w:color w:val="auto"/>
          <w:sz w:val="24"/>
          <w:szCs w:val="24"/>
        </w:rPr>
        <w:t>合同文本、磋商文件、磋商响应文件；国家或行业标准、规范等规定的标准和方法。</w:t>
      </w:r>
    </w:p>
    <w:p w14:paraId="56B61E6A">
      <w:pPr>
        <w:bidi w:val="0"/>
        <w:spacing w:line="360" w:lineRule="auto"/>
        <w:ind w:firstLine="480" w:firstLineChars="200"/>
        <w:outlineLvl w:val="9"/>
        <w:rPr>
          <w:rFonts w:hint="eastAsia" w:ascii="宋体" w:hAnsi="宋体" w:eastAsia="宋体" w:cs="宋体"/>
          <w:color w:val="auto"/>
          <w:sz w:val="24"/>
          <w:szCs w:val="24"/>
        </w:rPr>
        <w:sectPr>
          <w:pgSz w:w="11906" w:h="16838"/>
          <w:pgMar w:top="1219" w:right="1800" w:bottom="1219" w:left="1800" w:header="851" w:footer="992" w:gutter="0"/>
          <w:pgNumType w:fmt="decimal"/>
          <w:cols w:space="720" w:num="1"/>
          <w:docGrid w:type="lines" w:linePitch="312" w:charSpace="0"/>
        </w:sectPr>
      </w:pPr>
    </w:p>
    <w:bookmarkEnd w:id="255"/>
    <w:bookmarkEnd w:id="256"/>
    <w:bookmarkEnd w:id="257"/>
    <w:p w14:paraId="70BA0A69">
      <w:pPr>
        <w:bidi w:val="0"/>
        <w:jc w:val="center"/>
        <w:outlineLvl w:val="0"/>
        <w:rPr>
          <w:rFonts w:hint="eastAsia"/>
          <w:b/>
          <w:bCs/>
          <w:color w:val="auto"/>
          <w:sz w:val="36"/>
          <w:szCs w:val="36"/>
          <w:lang w:eastAsia="zh-CN"/>
        </w:rPr>
      </w:pPr>
      <w:bookmarkStart w:id="259" w:name="_Toc31409"/>
      <w:bookmarkStart w:id="260" w:name="_Toc28604"/>
      <w:bookmarkStart w:id="261" w:name="_Toc25814"/>
      <w:bookmarkStart w:id="262" w:name="_Toc25333"/>
      <w:bookmarkStart w:id="263" w:name="_Toc17980"/>
      <w:bookmarkStart w:id="264" w:name="_Toc14444"/>
      <w:bookmarkStart w:id="265" w:name="_Toc30843"/>
      <w:bookmarkStart w:id="266" w:name="_Toc28897"/>
      <w:bookmarkStart w:id="267" w:name="_Toc13059"/>
      <w:bookmarkStart w:id="268" w:name="_Toc6363"/>
      <w:bookmarkStart w:id="269" w:name="_Toc3752"/>
      <w:bookmarkStart w:id="270" w:name="_Toc3157"/>
      <w:bookmarkStart w:id="271" w:name="_Toc1581"/>
      <w:bookmarkStart w:id="272" w:name="_Toc24168"/>
      <w:bookmarkStart w:id="273" w:name="_Toc26171"/>
      <w:bookmarkStart w:id="274" w:name="_Toc474770760"/>
      <w:bookmarkStart w:id="275" w:name="_Toc510859905"/>
      <w:bookmarkStart w:id="276" w:name="_Toc6072"/>
      <w:bookmarkStart w:id="277" w:name="_Toc504605199"/>
      <w:r>
        <w:rPr>
          <w:rFonts w:hint="eastAsia"/>
          <w:b/>
          <w:bCs/>
          <w:color w:val="auto"/>
          <w:sz w:val="36"/>
          <w:szCs w:val="36"/>
          <w:lang w:val="en-US" w:eastAsia="zh-CN"/>
        </w:rPr>
        <w:t>第五章</w:t>
      </w:r>
      <w:r>
        <w:rPr>
          <w:rFonts w:hint="eastAsia"/>
          <w:b/>
          <w:bCs/>
          <w:color w:val="auto"/>
          <w:sz w:val="36"/>
          <w:szCs w:val="36"/>
        </w:rPr>
        <w:t xml:space="preserve"> </w:t>
      </w:r>
      <w:r>
        <w:rPr>
          <w:rFonts w:hint="eastAsia"/>
          <w:b/>
          <w:bCs/>
          <w:color w:val="auto"/>
          <w:sz w:val="36"/>
          <w:szCs w:val="36"/>
          <w:lang w:val="en-US" w:eastAsia="zh-CN"/>
        </w:rPr>
        <w:t xml:space="preserve"> </w:t>
      </w:r>
      <w:bookmarkEnd w:id="259"/>
      <w:r>
        <w:rPr>
          <w:rFonts w:hint="eastAsia"/>
          <w:b/>
          <w:bCs/>
          <w:color w:val="auto"/>
          <w:sz w:val="36"/>
          <w:szCs w:val="36"/>
        </w:rPr>
        <w:t>政府采购合同</w:t>
      </w:r>
      <w:bookmarkEnd w:id="260"/>
      <w:bookmarkEnd w:id="261"/>
      <w:bookmarkEnd w:id="262"/>
    </w:p>
    <w:bookmarkEnd w:id="263"/>
    <w:bookmarkEnd w:id="264"/>
    <w:bookmarkEnd w:id="265"/>
    <w:bookmarkEnd w:id="266"/>
    <w:bookmarkEnd w:id="267"/>
    <w:bookmarkEnd w:id="268"/>
    <w:bookmarkEnd w:id="269"/>
    <w:bookmarkEnd w:id="270"/>
    <w:bookmarkEnd w:id="271"/>
    <w:bookmarkEnd w:id="272"/>
    <w:bookmarkEnd w:id="273"/>
    <w:p w14:paraId="1A94AF3A">
      <w:pPr>
        <w:spacing w:before="120" w:line="360" w:lineRule="auto"/>
        <w:ind w:firstLine="3064" w:firstLineChars="1090"/>
        <w:outlineLvl w:val="9"/>
        <w:rPr>
          <w:rFonts w:hint="eastAsia" w:ascii="宋体" w:hAnsi="宋体" w:cs="宋体"/>
          <w:b/>
          <w:bCs/>
          <w:color w:val="auto"/>
          <w:sz w:val="28"/>
          <w:szCs w:val="28"/>
        </w:rPr>
      </w:pPr>
      <w:bookmarkStart w:id="278" w:name="_Toc20301"/>
      <w:bookmarkStart w:id="279" w:name="_Toc15910"/>
    </w:p>
    <w:p w14:paraId="61251A85">
      <w:pPr>
        <w:spacing w:before="120" w:line="360" w:lineRule="auto"/>
        <w:ind w:firstLine="3064" w:firstLineChars="1090"/>
        <w:outlineLvl w:val="9"/>
        <w:rPr>
          <w:rFonts w:hint="eastAsia" w:ascii="宋体" w:hAnsi="宋体" w:cs="宋体"/>
          <w:b/>
          <w:bCs/>
          <w:color w:val="auto"/>
          <w:sz w:val="28"/>
          <w:szCs w:val="28"/>
        </w:rPr>
      </w:pPr>
    </w:p>
    <w:p w14:paraId="365F01B4">
      <w:pPr>
        <w:spacing w:before="120" w:line="360" w:lineRule="auto"/>
        <w:ind w:firstLine="3064" w:firstLineChars="1090"/>
        <w:outlineLvl w:val="9"/>
        <w:rPr>
          <w:rFonts w:hint="eastAsia" w:ascii="宋体" w:hAnsi="宋体" w:cs="宋体"/>
          <w:color w:val="auto"/>
          <w:sz w:val="28"/>
          <w:szCs w:val="28"/>
        </w:rPr>
      </w:pPr>
      <w:r>
        <w:rPr>
          <w:rFonts w:hint="eastAsia" w:ascii="宋体" w:hAnsi="宋体" w:cs="宋体"/>
          <w:b/>
          <w:bCs/>
          <w:color w:val="auto"/>
          <w:sz w:val="28"/>
          <w:szCs w:val="28"/>
        </w:rPr>
        <w:t>合同编号：</w:t>
      </w:r>
      <w:r>
        <w:rPr>
          <w:rFonts w:hint="eastAsia" w:ascii="宋体" w:hAnsi="宋体" w:cs="宋体"/>
          <w:b/>
          <w:bCs/>
          <w:color w:val="auto"/>
          <w:sz w:val="28"/>
          <w:szCs w:val="28"/>
          <w:u w:val="single"/>
        </w:rPr>
        <w:t xml:space="preserve">            </w:t>
      </w:r>
      <w:r>
        <w:rPr>
          <w:rFonts w:hint="eastAsia" w:ascii="宋体" w:hAnsi="宋体" w:cs="宋体"/>
          <w:color w:val="auto"/>
          <w:sz w:val="28"/>
          <w:szCs w:val="28"/>
        </w:rPr>
        <w:t xml:space="preserve">        </w:t>
      </w:r>
    </w:p>
    <w:p w14:paraId="59D445A5">
      <w:pPr>
        <w:spacing w:before="120" w:line="360" w:lineRule="auto"/>
        <w:outlineLvl w:val="9"/>
        <w:rPr>
          <w:rFonts w:hint="eastAsia" w:ascii="宋体" w:hAnsi="宋体" w:cs="宋体"/>
          <w:color w:val="auto"/>
          <w:sz w:val="28"/>
          <w:szCs w:val="28"/>
        </w:rPr>
      </w:pPr>
    </w:p>
    <w:p w14:paraId="41E3143B">
      <w:pPr>
        <w:spacing w:before="120" w:line="360" w:lineRule="auto"/>
        <w:outlineLvl w:val="9"/>
        <w:rPr>
          <w:rFonts w:hint="eastAsia" w:ascii="宋体" w:hAnsi="宋体" w:cs="宋体"/>
          <w:color w:val="auto"/>
          <w:sz w:val="28"/>
          <w:szCs w:val="28"/>
        </w:rPr>
      </w:pPr>
    </w:p>
    <w:p w14:paraId="75F9CCEA">
      <w:pPr>
        <w:spacing w:before="120" w:line="360" w:lineRule="auto"/>
        <w:outlineLvl w:val="9"/>
        <w:rPr>
          <w:rFonts w:hint="eastAsia" w:ascii="宋体" w:hAnsi="宋体" w:cs="宋体"/>
          <w:color w:val="auto"/>
          <w:sz w:val="28"/>
          <w:szCs w:val="28"/>
        </w:rPr>
      </w:pPr>
    </w:p>
    <w:p w14:paraId="24B0F503">
      <w:pPr>
        <w:spacing w:before="120" w:line="360" w:lineRule="auto"/>
        <w:outlineLvl w:val="9"/>
        <w:rPr>
          <w:rFonts w:hint="eastAsia" w:ascii="宋体" w:hAnsi="宋体" w:cs="宋体"/>
          <w:color w:val="auto"/>
          <w:sz w:val="28"/>
          <w:szCs w:val="28"/>
        </w:rPr>
      </w:pPr>
    </w:p>
    <w:p w14:paraId="7811853F">
      <w:pPr>
        <w:pStyle w:val="10"/>
        <w:outlineLvl w:val="9"/>
        <w:rPr>
          <w:rFonts w:hint="eastAsia" w:ascii="宋体" w:hAnsi="宋体" w:cs="宋体"/>
          <w:color w:val="auto"/>
          <w:sz w:val="28"/>
          <w:szCs w:val="28"/>
        </w:rPr>
      </w:pPr>
    </w:p>
    <w:p w14:paraId="6AB13806">
      <w:pPr>
        <w:outlineLvl w:val="9"/>
        <w:rPr>
          <w:rFonts w:hint="eastAsia" w:ascii="宋体" w:hAnsi="宋体" w:cs="宋体"/>
          <w:color w:val="auto"/>
          <w:sz w:val="28"/>
          <w:szCs w:val="28"/>
        </w:rPr>
      </w:pPr>
    </w:p>
    <w:p w14:paraId="63398FB8">
      <w:pPr>
        <w:pStyle w:val="10"/>
        <w:outlineLvl w:val="9"/>
        <w:rPr>
          <w:rFonts w:hint="eastAsia" w:ascii="宋体" w:hAnsi="宋体" w:cs="宋体"/>
          <w:color w:val="auto"/>
          <w:sz w:val="28"/>
          <w:szCs w:val="28"/>
        </w:rPr>
      </w:pPr>
    </w:p>
    <w:p w14:paraId="039AC9FE">
      <w:pPr>
        <w:outlineLvl w:val="9"/>
        <w:rPr>
          <w:rFonts w:hint="eastAsia" w:ascii="宋体" w:hAnsi="宋体" w:cs="宋体"/>
          <w:color w:val="auto"/>
          <w:sz w:val="28"/>
          <w:szCs w:val="28"/>
        </w:rPr>
      </w:pPr>
    </w:p>
    <w:p w14:paraId="1B74C3EA">
      <w:pPr>
        <w:pStyle w:val="10"/>
        <w:outlineLvl w:val="9"/>
        <w:rPr>
          <w:rFonts w:hint="eastAsia"/>
          <w:color w:val="auto"/>
        </w:rPr>
      </w:pPr>
    </w:p>
    <w:p w14:paraId="23BBA06A">
      <w:pPr>
        <w:spacing w:before="120" w:line="360" w:lineRule="auto"/>
        <w:outlineLvl w:val="9"/>
        <w:rPr>
          <w:rFonts w:hint="eastAsia" w:ascii="宋体" w:hAnsi="宋体" w:cs="宋体"/>
          <w:color w:val="auto"/>
          <w:sz w:val="28"/>
          <w:szCs w:val="28"/>
        </w:rPr>
      </w:pPr>
    </w:p>
    <w:p w14:paraId="717AFE49">
      <w:pPr>
        <w:spacing w:before="120" w:line="360" w:lineRule="auto"/>
        <w:outlineLvl w:val="9"/>
        <w:rPr>
          <w:rFonts w:hint="eastAsia" w:ascii="宋体" w:hAnsi="宋体" w:cs="宋体"/>
          <w:color w:val="auto"/>
          <w:sz w:val="28"/>
          <w:szCs w:val="28"/>
        </w:rPr>
      </w:pPr>
    </w:p>
    <w:p w14:paraId="4C3006EF">
      <w:pPr>
        <w:pStyle w:val="10"/>
        <w:outlineLvl w:val="9"/>
        <w:rPr>
          <w:rFonts w:hint="eastAsia" w:ascii="宋体" w:hAnsi="宋体" w:cs="宋体"/>
          <w:color w:val="auto"/>
          <w:szCs w:val="28"/>
        </w:rPr>
      </w:pPr>
    </w:p>
    <w:p w14:paraId="589F2257">
      <w:pPr>
        <w:spacing w:before="120" w:line="360" w:lineRule="auto"/>
        <w:outlineLvl w:val="9"/>
        <w:rPr>
          <w:rFonts w:hint="eastAsia" w:ascii="宋体" w:hAnsi="宋体" w:cs="宋体"/>
          <w:color w:val="auto"/>
          <w:sz w:val="28"/>
          <w:szCs w:val="28"/>
        </w:rPr>
      </w:pPr>
    </w:p>
    <w:p w14:paraId="1B383383">
      <w:pPr>
        <w:pStyle w:val="7"/>
        <w:ind w:firstLine="0" w:firstLineChars="0"/>
        <w:outlineLvl w:val="9"/>
        <w:rPr>
          <w:rFonts w:hint="eastAsia" w:ascii="宋体" w:hAnsi="宋体" w:cs="宋体"/>
          <w:b/>
          <w:bCs/>
          <w:color w:val="auto"/>
          <w:sz w:val="28"/>
          <w:szCs w:val="28"/>
        </w:rPr>
      </w:pPr>
    </w:p>
    <w:p w14:paraId="5E73BDC0">
      <w:pPr>
        <w:pStyle w:val="7"/>
        <w:ind w:firstLine="562"/>
        <w:outlineLvl w:val="9"/>
        <w:rPr>
          <w:rFonts w:hint="eastAsia" w:ascii="宋体" w:hAnsi="宋体" w:cs="宋体"/>
          <w:b/>
          <w:bCs/>
          <w:color w:val="auto"/>
          <w:sz w:val="28"/>
          <w:szCs w:val="28"/>
        </w:rPr>
      </w:pPr>
    </w:p>
    <w:p w14:paraId="39C06DB5">
      <w:pPr>
        <w:spacing w:before="120" w:line="360" w:lineRule="auto"/>
        <w:ind w:left="960"/>
        <w:outlineLvl w:val="9"/>
        <w:rPr>
          <w:rFonts w:hint="eastAsia" w:ascii="宋体" w:hAnsi="宋体" w:cs="宋体"/>
          <w:b/>
          <w:bCs/>
          <w:color w:val="auto"/>
          <w:sz w:val="28"/>
          <w:szCs w:val="28"/>
        </w:rPr>
      </w:pPr>
      <w:r>
        <w:rPr>
          <w:rFonts w:hint="eastAsia" w:ascii="宋体" w:hAnsi="宋体" w:cs="宋体"/>
          <w:b/>
          <w:bCs/>
          <w:color w:val="auto"/>
          <w:sz w:val="28"/>
          <w:szCs w:val="28"/>
        </w:rPr>
        <w:t>采购项目名称：</w:t>
      </w:r>
      <w:r>
        <w:rPr>
          <w:rFonts w:hint="eastAsia" w:ascii="宋体" w:hAnsi="宋体" w:cs="宋体"/>
          <w:b/>
          <w:bCs/>
          <w:color w:val="auto"/>
          <w:sz w:val="28"/>
          <w:szCs w:val="28"/>
          <w:u w:val="single"/>
        </w:rPr>
        <w:t xml:space="preserve">                                 </w:t>
      </w:r>
    </w:p>
    <w:p w14:paraId="2DDD1D82">
      <w:pPr>
        <w:spacing w:before="120" w:line="360" w:lineRule="auto"/>
        <w:ind w:left="960"/>
        <w:outlineLvl w:val="9"/>
        <w:rPr>
          <w:rFonts w:hint="eastAsia" w:ascii="宋体" w:hAnsi="宋体" w:cs="宋体"/>
          <w:b/>
          <w:bCs/>
          <w:color w:val="auto"/>
          <w:sz w:val="28"/>
          <w:szCs w:val="28"/>
        </w:rPr>
      </w:pPr>
      <w:r>
        <w:rPr>
          <w:rFonts w:hint="eastAsia" w:ascii="宋体" w:hAnsi="宋体" w:cs="宋体"/>
          <w:b/>
          <w:bCs/>
          <w:color w:val="auto"/>
          <w:sz w:val="28"/>
          <w:szCs w:val="28"/>
        </w:rPr>
        <w:t>采  购  人：</w:t>
      </w:r>
      <w:r>
        <w:rPr>
          <w:rFonts w:hint="eastAsia" w:ascii="宋体" w:hAnsi="宋体" w:cs="宋体"/>
          <w:b/>
          <w:bCs/>
          <w:color w:val="auto"/>
          <w:sz w:val="28"/>
          <w:szCs w:val="28"/>
          <w:u w:val="single"/>
        </w:rPr>
        <w:t xml:space="preserve">                                    </w:t>
      </w:r>
    </w:p>
    <w:p w14:paraId="7CD92E1B">
      <w:pPr>
        <w:spacing w:before="120" w:line="360" w:lineRule="auto"/>
        <w:ind w:left="960"/>
        <w:outlineLvl w:val="9"/>
        <w:rPr>
          <w:rFonts w:hint="eastAsia" w:ascii="宋体" w:hAnsi="宋体" w:cs="宋体"/>
          <w:b/>
          <w:bCs/>
          <w:color w:val="auto"/>
          <w:sz w:val="28"/>
          <w:szCs w:val="28"/>
          <w:u w:val="single"/>
        </w:rPr>
      </w:pPr>
      <w:r>
        <w:rPr>
          <w:rFonts w:hint="eastAsia" w:ascii="宋体" w:hAnsi="宋体" w:cs="宋体"/>
          <w:b/>
          <w:bCs/>
          <w:color w:val="auto"/>
          <w:sz w:val="28"/>
          <w:szCs w:val="28"/>
        </w:rPr>
        <w:t>供  应  商：</w:t>
      </w:r>
      <w:r>
        <w:rPr>
          <w:rFonts w:hint="eastAsia" w:ascii="宋体" w:hAnsi="宋体" w:cs="宋体"/>
          <w:b/>
          <w:bCs/>
          <w:color w:val="auto"/>
          <w:sz w:val="28"/>
          <w:szCs w:val="28"/>
          <w:u w:val="single"/>
        </w:rPr>
        <w:t xml:space="preserve">                                   </w:t>
      </w:r>
    </w:p>
    <w:p w14:paraId="07FE0667">
      <w:pPr>
        <w:spacing w:line="360" w:lineRule="auto"/>
        <w:ind w:firstLine="981" w:firstLineChars="349"/>
        <w:outlineLvl w:val="9"/>
        <w:rPr>
          <w:rFonts w:hint="eastAsia" w:ascii="宋体" w:hAnsi="宋体" w:cs="宋体"/>
          <w:b/>
          <w:bCs/>
          <w:color w:val="auto"/>
          <w:sz w:val="24"/>
          <w:szCs w:val="24"/>
          <w:u w:val="single"/>
        </w:rPr>
      </w:pPr>
      <w:r>
        <w:rPr>
          <w:rFonts w:hint="eastAsia" w:ascii="宋体" w:hAnsi="宋体" w:cs="宋体"/>
          <w:b/>
          <w:bCs/>
          <w:color w:val="auto"/>
          <w:sz w:val="28"/>
          <w:szCs w:val="28"/>
        </w:rPr>
        <w:t>签署日期：</w:t>
      </w:r>
      <w:r>
        <w:rPr>
          <w:rFonts w:hint="eastAsia" w:ascii="宋体" w:hAnsi="宋体" w:cs="宋体"/>
          <w:b/>
          <w:bCs/>
          <w:color w:val="auto"/>
          <w:sz w:val="24"/>
          <w:szCs w:val="24"/>
          <w:u w:val="single"/>
        </w:rPr>
        <w:t>　　　　　　　　　　　　　             　　</w:t>
      </w:r>
    </w:p>
    <w:p w14:paraId="370B6581">
      <w:pPr>
        <w:spacing w:line="360" w:lineRule="auto"/>
        <w:ind w:firstLine="643" w:firstLineChars="200"/>
        <w:jc w:val="center"/>
        <w:outlineLvl w:val="9"/>
        <w:rPr>
          <w:rFonts w:hint="eastAsia" w:ascii="宋体" w:hAnsi="宋体"/>
          <w:b/>
          <w:bCs/>
          <w:color w:val="auto"/>
          <w:sz w:val="32"/>
          <w:szCs w:val="32"/>
        </w:rPr>
        <w:sectPr>
          <w:headerReference r:id="rId12" w:type="default"/>
          <w:footerReference r:id="rId13" w:type="default"/>
          <w:pgSz w:w="11906" w:h="16838"/>
          <w:pgMar w:top="1383" w:right="1383" w:bottom="1383" w:left="1383" w:header="851" w:footer="992" w:gutter="0"/>
          <w:pgNumType w:fmt="decimal"/>
          <w:cols w:space="720" w:num="1"/>
          <w:docGrid w:linePitch="312" w:charSpace="0"/>
        </w:sectPr>
      </w:pPr>
    </w:p>
    <w:p w14:paraId="6123078C">
      <w:pPr>
        <w:spacing w:line="360" w:lineRule="auto"/>
        <w:ind w:firstLine="643" w:firstLineChars="200"/>
        <w:jc w:val="center"/>
        <w:outlineLvl w:val="9"/>
        <w:rPr>
          <w:rFonts w:hint="eastAsia" w:ascii="宋体" w:hAnsi="宋体"/>
          <w:b/>
          <w:bCs/>
          <w:color w:val="auto"/>
          <w:sz w:val="32"/>
          <w:szCs w:val="32"/>
        </w:rPr>
      </w:pPr>
      <w:r>
        <w:rPr>
          <w:rFonts w:hint="eastAsia" w:ascii="宋体" w:hAnsi="宋体"/>
          <w:b/>
          <w:bCs/>
          <w:color w:val="auto"/>
          <w:sz w:val="32"/>
          <w:szCs w:val="32"/>
        </w:rPr>
        <w:t>建设工程施工合同</w:t>
      </w:r>
    </w:p>
    <w:p w14:paraId="30AEEF15">
      <w:pPr>
        <w:spacing w:line="360" w:lineRule="auto"/>
        <w:ind w:firstLine="480" w:firstLineChars="200"/>
        <w:outlineLvl w:val="9"/>
        <w:rPr>
          <w:rFonts w:hint="eastAsia" w:ascii="宋体" w:hAnsi="宋体"/>
          <w:color w:val="auto"/>
          <w:sz w:val="24"/>
        </w:rPr>
      </w:pPr>
    </w:p>
    <w:p w14:paraId="2D80A622">
      <w:pPr>
        <w:spacing w:line="360" w:lineRule="auto"/>
        <w:ind w:firstLine="480" w:firstLineChars="200"/>
        <w:outlineLvl w:val="9"/>
        <w:rPr>
          <w:rFonts w:hint="eastAsia" w:ascii="宋体" w:hAnsi="宋体"/>
          <w:color w:val="auto"/>
          <w:sz w:val="24"/>
        </w:rPr>
      </w:pPr>
      <w:r>
        <w:rPr>
          <w:rFonts w:hint="eastAsia" w:ascii="宋体" w:hAnsi="宋体"/>
          <w:color w:val="auto"/>
          <w:sz w:val="24"/>
        </w:rPr>
        <w:t>甲方：                        （简称甲方）</w:t>
      </w:r>
    </w:p>
    <w:p w14:paraId="051AE7D8">
      <w:pPr>
        <w:spacing w:line="360" w:lineRule="auto"/>
        <w:ind w:firstLine="480" w:firstLineChars="200"/>
        <w:outlineLvl w:val="9"/>
        <w:rPr>
          <w:rFonts w:hint="eastAsia" w:ascii="宋体" w:hAnsi="宋体"/>
          <w:color w:val="auto"/>
          <w:sz w:val="24"/>
        </w:rPr>
      </w:pPr>
      <w:r>
        <w:rPr>
          <w:rFonts w:hint="eastAsia" w:ascii="宋体" w:hAnsi="宋体"/>
          <w:color w:val="auto"/>
          <w:sz w:val="24"/>
        </w:rPr>
        <w:t>乙方：                        （简称乙方）</w:t>
      </w:r>
    </w:p>
    <w:p w14:paraId="495772A1">
      <w:pPr>
        <w:spacing w:line="360" w:lineRule="auto"/>
        <w:ind w:firstLine="480" w:firstLineChars="200"/>
        <w:outlineLvl w:val="9"/>
        <w:rPr>
          <w:rFonts w:hint="eastAsia" w:ascii="宋体" w:hAnsi="宋体"/>
          <w:color w:val="auto"/>
          <w:sz w:val="24"/>
        </w:rPr>
      </w:pPr>
      <w:r>
        <w:rPr>
          <w:rFonts w:hint="eastAsia" w:ascii="宋体" w:hAnsi="宋体"/>
          <w:color w:val="auto"/>
          <w:sz w:val="24"/>
        </w:rPr>
        <w:t xml:space="preserve">    依照《中华人民共和国合同法》、《中华人民共和国建筑法》及其他法律、行政法规，遵循平等、自愿、公平诚实信用的原则，双方就本建筑工程施工协商一致，订立本合同。</w:t>
      </w:r>
    </w:p>
    <w:p w14:paraId="467070C1">
      <w:pPr>
        <w:spacing w:line="360" w:lineRule="auto"/>
        <w:ind w:firstLine="480" w:firstLineChars="200"/>
        <w:outlineLvl w:val="9"/>
        <w:rPr>
          <w:rFonts w:hint="eastAsia" w:ascii="宋体" w:hAnsi="宋体"/>
          <w:color w:val="auto"/>
          <w:sz w:val="24"/>
        </w:rPr>
      </w:pPr>
      <w:r>
        <w:rPr>
          <w:rFonts w:hint="eastAsia" w:ascii="宋体" w:hAnsi="宋体"/>
          <w:color w:val="auto"/>
          <w:sz w:val="24"/>
        </w:rPr>
        <w:t>工程名称：</w:t>
      </w:r>
    </w:p>
    <w:p w14:paraId="4E5014F0">
      <w:pPr>
        <w:spacing w:line="360" w:lineRule="auto"/>
        <w:ind w:firstLine="480" w:firstLineChars="200"/>
        <w:outlineLvl w:val="9"/>
        <w:rPr>
          <w:rFonts w:hint="eastAsia" w:ascii="宋体" w:hAnsi="宋体"/>
          <w:color w:val="auto"/>
          <w:sz w:val="24"/>
        </w:rPr>
      </w:pPr>
      <w:r>
        <w:rPr>
          <w:rFonts w:hint="eastAsia" w:ascii="宋体" w:hAnsi="宋体"/>
          <w:color w:val="auto"/>
          <w:sz w:val="24"/>
        </w:rPr>
        <w:t>工程地点：</w:t>
      </w:r>
    </w:p>
    <w:p w14:paraId="4F612F7C">
      <w:pPr>
        <w:spacing w:line="360" w:lineRule="auto"/>
        <w:ind w:firstLine="480" w:firstLineChars="200"/>
        <w:outlineLvl w:val="9"/>
        <w:rPr>
          <w:rFonts w:hint="eastAsia" w:ascii="宋体" w:hAnsi="宋体"/>
          <w:color w:val="auto"/>
          <w:sz w:val="24"/>
        </w:rPr>
      </w:pPr>
      <w:r>
        <w:rPr>
          <w:rFonts w:hint="eastAsia" w:ascii="宋体" w:hAnsi="宋体"/>
          <w:color w:val="auto"/>
          <w:sz w:val="24"/>
        </w:rPr>
        <w:t>三、工程内容：严格按照设计要求予以完成。</w:t>
      </w:r>
    </w:p>
    <w:p w14:paraId="5482A7B4">
      <w:pPr>
        <w:spacing w:line="360" w:lineRule="auto"/>
        <w:ind w:firstLine="480" w:firstLineChars="200"/>
        <w:outlineLvl w:val="9"/>
        <w:rPr>
          <w:rFonts w:hint="eastAsia" w:ascii="宋体" w:hAnsi="宋体"/>
          <w:color w:val="auto"/>
          <w:sz w:val="24"/>
        </w:rPr>
      </w:pPr>
      <w:r>
        <w:rPr>
          <w:rFonts w:hint="eastAsia" w:ascii="宋体" w:hAnsi="宋体"/>
          <w:color w:val="auto"/>
          <w:sz w:val="24"/>
        </w:rPr>
        <w:t>四、工程承包范围：</w:t>
      </w:r>
    </w:p>
    <w:p w14:paraId="1CD3DF57">
      <w:pPr>
        <w:spacing w:line="360" w:lineRule="auto"/>
        <w:ind w:firstLine="480" w:firstLineChars="200"/>
        <w:outlineLvl w:val="9"/>
        <w:rPr>
          <w:rFonts w:hint="eastAsia" w:ascii="宋体" w:hAnsi="宋体"/>
          <w:color w:val="auto"/>
          <w:sz w:val="24"/>
        </w:rPr>
      </w:pPr>
      <w:r>
        <w:rPr>
          <w:rFonts w:hint="eastAsia" w:ascii="宋体" w:hAnsi="宋体"/>
          <w:color w:val="auto"/>
          <w:sz w:val="24"/>
        </w:rPr>
        <w:t>五、工程造价及付款方式：工程成交价为     元（￥    元）。</w:t>
      </w:r>
      <w:r>
        <w:rPr>
          <w:rFonts w:hint="eastAsia" w:ascii="宋体" w:hAnsi="宋体" w:cs="宋体"/>
          <w:color w:val="auto"/>
          <w:sz w:val="24"/>
          <w:szCs w:val="24"/>
          <w:lang w:eastAsia="zh-CN"/>
        </w:rPr>
        <w:t>合同签订后支付</w:t>
      </w:r>
      <w:r>
        <w:rPr>
          <w:rFonts w:hint="eastAsia" w:ascii="宋体" w:hAnsi="宋体" w:cs="宋体"/>
          <w:color w:val="auto"/>
          <w:sz w:val="24"/>
          <w:szCs w:val="24"/>
          <w:u w:val="single"/>
          <w:lang w:val="en-US" w:eastAsia="zh-CN"/>
        </w:rPr>
        <w:t xml:space="preserve">                                           </w:t>
      </w:r>
      <w:r>
        <w:rPr>
          <w:rFonts w:hint="eastAsia" w:ascii="宋体" w:hAnsi="宋体"/>
          <w:color w:val="auto"/>
          <w:sz w:val="24"/>
          <w:lang w:eastAsia="zh-CN"/>
        </w:rPr>
        <w:t>。</w:t>
      </w:r>
    </w:p>
    <w:p w14:paraId="18C29AEB">
      <w:pPr>
        <w:spacing w:line="360" w:lineRule="auto"/>
        <w:ind w:firstLine="480" w:firstLineChars="200"/>
        <w:outlineLvl w:val="9"/>
        <w:rPr>
          <w:rFonts w:hint="eastAsia" w:ascii="宋体" w:hAnsi="宋体"/>
          <w:color w:val="auto"/>
          <w:sz w:val="24"/>
        </w:rPr>
      </w:pPr>
      <w:r>
        <w:rPr>
          <w:rFonts w:hint="eastAsia" w:ascii="宋体" w:hAnsi="宋体"/>
          <w:color w:val="auto"/>
          <w:sz w:val="24"/>
        </w:rPr>
        <w:t>六、工程期限：</w:t>
      </w:r>
    </w:p>
    <w:p w14:paraId="61080CC4">
      <w:pPr>
        <w:spacing w:line="360" w:lineRule="auto"/>
        <w:ind w:firstLine="480" w:firstLineChars="200"/>
        <w:outlineLvl w:val="9"/>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年   月  日至   月  日，共计  天。</w:t>
      </w:r>
    </w:p>
    <w:p w14:paraId="6E7BD3F5">
      <w:pPr>
        <w:spacing w:line="360" w:lineRule="auto"/>
        <w:ind w:firstLine="480" w:firstLineChars="200"/>
        <w:outlineLvl w:val="9"/>
        <w:rPr>
          <w:rFonts w:hint="eastAsia" w:ascii="宋体" w:hAnsi="宋体"/>
          <w:color w:val="auto"/>
          <w:sz w:val="24"/>
        </w:rPr>
      </w:pPr>
      <w:r>
        <w:rPr>
          <w:rFonts w:hint="eastAsia" w:ascii="宋体" w:hAnsi="宋体"/>
          <w:color w:val="auto"/>
          <w:sz w:val="24"/>
          <w:lang w:val="en-US" w:eastAsia="zh-CN"/>
        </w:rPr>
        <w:t>七、</w:t>
      </w:r>
      <w:r>
        <w:rPr>
          <w:rFonts w:hint="eastAsia" w:ascii="宋体" w:hAnsi="宋体"/>
          <w:color w:val="auto"/>
          <w:sz w:val="24"/>
        </w:rPr>
        <w:t>双方责任;</w:t>
      </w:r>
    </w:p>
    <w:p w14:paraId="38103231">
      <w:pPr>
        <w:spacing w:line="360" w:lineRule="auto"/>
        <w:ind w:firstLine="480" w:firstLineChars="200"/>
        <w:outlineLvl w:val="9"/>
        <w:rPr>
          <w:rFonts w:hint="eastAsia" w:ascii="宋体" w:hAnsi="宋体"/>
          <w:color w:val="auto"/>
          <w:sz w:val="24"/>
        </w:rPr>
      </w:pPr>
      <w:r>
        <w:rPr>
          <w:rFonts w:hint="eastAsia" w:ascii="宋体" w:hAnsi="宋体"/>
          <w:color w:val="auto"/>
          <w:sz w:val="24"/>
        </w:rPr>
        <w:t>甲方：</w:t>
      </w:r>
    </w:p>
    <w:p w14:paraId="2E55C9E3">
      <w:pPr>
        <w:spacing w:line="360" w:lineRule="auto"/>
        <w:ind w:firstLine="480" w:firstLineChars="200"/>
        <w:outlineLvl w:val="9"/>
        <w:rPr>
          <w:rFonts w:hint="eastAsia" w:ascii="宋体" w:hAnsi="宋体"/>
          <w:color w:val="auto"/>
          <w:sz w:val="24"/>
        </w:rPr>
      </w:pPr>
      <w:r>
        <w:rPr>
          <w:rFonts w:hint="eastAsia" w:ascii="宋体" w:hAnsi="宋体"/>
          <w:color w:val="auto"/>
          <w:sz w:val="24"/>
        </w:rPr>
        <w:t>设专人负责管理工程质量安全，并及时沟通解决现场具体问题。</w:t>
      </w:r>
    </w:p>
    <w:p w14:paraId="38CCF482">
      <w:pPr>
        <w:spacing w:line="360" w:lineRule="auto"/>
        <w:ind w:firstLine="480" w:firstLineChars="200"/>
        <w:outlineLvl w:val="9"/>
        <w:rPr>
          <w:rFonts w:hint="eastAsia" w:ascii="宋体" w:hAnsi="宋体"/>
          <w:color w:val="auto"/>
          <w:sz w:val="24"/>
        </w:rPr>
      </w:pPr>
      <w:r>
        <w:rPr>
          <w:rFonts w:hint="eastAsia" w:ascii="宋体" w:hAnsi="宋体"/>
          <w:color w:val="auto"/>
          <w:sz w:val="24"/>
        </w:rPr>
        <w:t>按时付款。</w:t>
      </w:r>
    </w:p>
    <w:p w14:paraId="3AE7F3E0">
      <w:pPr>
        <w:spacing w:line="360" w:lineRule="auto"/>
        <w:ind w:firstLine="480" w:firstLineChars="200"/>
        <w:outlineLvl w:val="9"/>
        <w:rPr>
          <w:rFonts w:hint="eastAsia" w:ascii="宋体" w:hAnsi="宋体"/>
          <w:color w:val="auto"/>
          <w:sz w:val="24"/>
        </w:rPr>
      </w:pPr>
      <w:r>
        <w:rPr>
          <w:rFonts w:hint="eastAsia" w:ascii="宋体" w:hAnsi="宋体"/>
          <w:color w:val="auto"/>
          <w:sz w:val="24"/>
        </w:rPr>
        <w:t>乙方：</w:t>
      </w:r>
    </w:p>
    <w:p w14:paraId="2D1C56D3">
      <w:pPr>
        <w:spacing w:line="360" w:lineRule="auto"/>
        <w:ind w:firstLine="480" w:firstLineChars="200"/>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1、施工单位必须严格按国家施工规范及技术标准进行施工，施工质量必须达到合格标准，质量维修期执行《建设工程质量管理条例》及有关规定。</w:t>
      </w:r>
    </w:p>
    <w:p w14:paraId="274D7390">
      <w:pPr>
        <w:spacing w:line="360" w:lineRule="auto"/>
        <w:ind w:firstLine="480" w:firstLineChars="200"/>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2、施工所涉及到的所有材料必须符合国家强制标准。</w:t>
      </w:r>
    </w:p>
    <w:p w14:paraId="396ADDBB">
      <w:pPr>
        <w:spacing w:line="360" w:lineRule="auto"/>
        <w:ind w:firstLine="480" w:firstLineChars="200"/>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3、施工人员必须严格遵守有关安全规定，文明施工，如在施工过程中出现安全事故，均由乙方全权负责，甲方概不承担任何责任。</w:t>
      </w:r>
    </w:p>
    <w:p w14:paraId="17C7CA91">
      <w:pPr>
        <w:spacing w:line="360" w:lineRule="auto"/>
        <w:ind w:firstLine="480" w:firstLineChars="200"/>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4、及时向甲方通报工程进度，做好施工记录。</w:t>
      </w:r>
    </w:p>
    <w:p w14:paraId="60555A5C">
      <w:pPr>
        <w:spacing w:line="360" w:lineRule="auto"/>
        <w:ind w:firstLine="480" w:firstLineChars="200"/>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5、精心施工，确保工程质量和进度。因施工技术造成的工程质量问题均有乙方承担。</w:t>
      </w:r>
    </w:p>
    <w:p w14:paraId="3D2CAD8D">
      <w:pPr>
        <w:spacing w:line="360" w:lineRule="auto"/>
        <w:ind w:firstLine="480" w:firstLineChars="200"/>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6、 工程竣工后，现场应打扫干净，垃圾由施工方负责清运。</w:t>
      </w:r>
    </w:p>
    <w:p w14:paraId="7B2C5B91">
      <w:pPr>
        <w:spacing w:line="360" w:lineRule="auto"/>
        <w:ind w:firstLine="480" w:firstLineChars="200"/>
        <w:outlineLvl w:val="9"/>
        <w:rPr>
          <w:rFonts w:hint="eastAsia" w:ascii="宋体" w:hAnsi="宋体" w:eastAsia="宋体" w:cs="Times New Roman"/>
          <w:color w:val="auto"/>
          <w:sz w:val="24"/>
          <w:lang w:val="en-US" w:eastAsia="zh-CN"/>
        </w:rPr>
      </w:pPr>
    </w:p>
    <w:p w14:paraId="55935C9A">
      <w:pPr>
        <w:spacing w:line="360" w:lineRule="auto"/>
        <w:ind w:firstLine="480" w:firstLineChars="200"/>
        <w:outlineLvl w:val="9"/>
        <w:rPr>
          <w:rFonts w:hint="eastAsia" w:ascii="宋体" w:hAnsi="宋体"/>
          <w:color w:val="auto"/>
          <w:sz w:val="24"/>
        </w:rPr>
      </w:pPr>
      <w:r>
        <w:rPr>
          <w:rFonts w:hint="eastAsia" w:ascii="宋体" w:hAnsi="宋体"/>
          <w:color w:val="auto"/>
          <w:sz w:val="24"/>
        </w:rPr>
        <w:t>八、工程验收：</w:t>
      </w:r>
    </w:p>
    <w:p w14:paraId="14EA95DD">
      <w:pPr>
        <w:spacing w:line="360" w:lineRule="auto"/>
        <w:ind w:firstLine="480" w:firstLineChars="200"/>
        <w:outlineLvl w:val="9"/>
        <w:rPr>
          <w:rFonts w:hint="eastAsia" w:ascii="宋体" w:hAnsi="宋体"/>
          <w:color w:val="auto"/>
          <w:sz w:val="24"/>
        </w:rPr>
      </w:pPr>
      <w:r>
        <w:rPr>
          <w:rFonts w:hint="eastAsia" w:ascii="宋体" w:hAnsi="宋体"/>
          <w:color w:val="auto"/>
          <w:sz w:val="24"/>
        </w:rPr>
        <w:t>工程达到设计要求且符合合同规定技术标准，甲方组织相关人员办理验收手续。</w:t>
      </w:r>
    </w:p>
    <w:p w14:paraId="4350D000">
      <w:pPr>
        <w:spacing w:line="360" w:lineRule="auto"/>
        <w:ind w:firstLine="480" w:firstLineChars="200"/>
        <w:outlineLvl w:val="9"/>
        <w:rPr>
          <w:rFonts w:hint="eastAsia" w:ascii="宋体" w:hAnsi="宋体"/>
          <w:color w:val="auto"/>
          <w:sz w:val="24"/>
        </w:rPr>
      </w:pPr>
      <w:r>
        <w:rPr>
          <w:rFonts w:hint="eastAsia" w:ascii="宋体" w:hAnsi="宋体"/>
          <w:color w:val="auto"/>
          <w:sz w:val="24"/>
        </w:rPr>
        <w:t>九、争议解决：</w:t>
      </w:r>
    </w:p>
    <w:p w14:paraId="48783548">
      <w:pPr>
        <w:spacing w:line="360" w:lineRule="auto"/>
        <w:ind w:firstLine="480" w:firstLineChars="200"/>
        <w:outlineLvl w:val="9"/>
        <w:rPr>
          <w:rFonts w:hint="eastAsia" w:ascii="宋体" w:hAnsi="宋体"/>
          <w:color w:val="auto"/>
          <w:sz w:val="24"/>
        </w:rPr>
      </w:pPr>
      <w:r>
        <w:rPr>
          <w:rFonts w:hint="eastAsia" w:ascii="宋体" w:hAnsi="宋体"/>
          <w:color w:val="auto"/>
          <w:sz w:val="24"/>
        </w:rPr>
        <w:t>本规划设计合同在履行过程中发生纠纷，双方应及时协商解决；协商不成时，按下列方式(2)解决：</w:t>
      </w:r>
    </w:p>
    <w:p w14:paraId="7662A384">
      <w:pPr>
        <w:spacing w:line="360" w:lineRule="auto"/>
        <w:ind w:firstLine="480" w:firstLineChars="200"/>
        <w:outlineLvl w:val="9"/>
        <w:rPr>
          <w:rFonts w:hint="eastAsia" w:ascii="宋体" w:hAnsi="宋体"/>
          <w:color w:val="auto"/>
          <w:sz w:val="24"/>
        </w:rPr>
      </w:pPr>
      <w:r>
        <w:rPr>
          <w:rFonts w:hint="eastAsia" w:ascii="宋体" w:hAnsi="宋体"/>
          <w:color w:val="auto"/>
          <w:sz w:val="24"/>
        </w:rPr>
        <w:t>1、提交甲方所在地仲裁委员会仲裁。</w:t>
      </w:r>
    </w:p>
    <w:p w14:paraId="34C2BCF8">
      <w:pPr>
        <w:spacing w:line="360" w:lineRule="auto"/>
        <w:ind w:firstLine="480" w:firstLineChars="200"/>
        <w:outlineLvl w:val="9"/>
        <w:rPr>
          <w:rFonts w:hint="eastAsia" w:ascii="宋体" w:hAnsi="宋体"/>
          <w:color w:val="auto"/>
          <w:sz w:val="24"/>
        </w:rPr>
      </w:pPr>
      <w:r>
        <w:rPr>
          <w:rFonts w:hint="eastAsia" w:ascii="宋体" w:hAnsi="宋体"/>
          <w:color w:val="auto"/>
          <w:sz w:val="24"/>
        </w:rPr>
        <w:t>2、向甲方所在地有管辖权的人民法院起诉。</w:t>
      </w:r>
    </w:p>
    <w:p w14:paraId="39E0E4F7">
      <w:pPr>
        <w:spacing w:line="360" w:lineRule="auto"/>
        <w:ind w:firstLine="480" w:firstLineChars="200"/>
        <w:outlineLvl w:val="9"/>
        <w:rPr>
          <w:rFonts w:hint="eastAsia" w:ascii="宋体" w:hAnsi="宋体"/>
          <w:color w:val="auto"/>
          <w:sz w:val="24"/>
        </w:rPr>
      </w:pPr>
      <w:r>
        <w:rPr>
          <w:rFonts w:hint="eastAsia" w:ascii="宋体" w:hAnsi="宋体"/>
          <w:color w:val="auto"/>
          <w:sz w:val="24"/>
        </w:rPr>
        <w:t>十、违约责任：</w:t>
      </w:r>
    </w:p>
    <w:p w14:paraId="29D921C8">
      <w:pPr>
        <w:spacing w:line="360" w:lineRule="auto"/>
        <w:ind w:firstLine="480" w:firstLineChars="200"/>
        <w:outlineLvl w:val="9"/>
        <w:rPr>
          <w:rFonts w:hint="eastAsia" w:ascii="宋体" w:hAnsi="宋体"/>
          <w:color w:val="auto"/>
          <w:sz w:val="24"/>
        </w:rPr>
      </w:pPr>
      <w:r>
        <w:rPr>
          <w:rFonts w:hint="eastAsia" w:ascii="宋体" w:hAnsi="宋体"/>
          <w:color w:val="auto"/>
          <w:sz w:val="24"/>
        </w:rPr>
        <w:t>1、违约的处理：合同双方之任何一方不能全面履行合同条款，均属违约。</w:t>
      </w:r>
    </w:p>
    <w:p w14:paraId="38146A49">
      <w:pPr>
        <w:spacing w:line="360" w:lineRule="auto"/>
        <w:ind w:firstLine="480" w:firstLineChars="200"/>
        <w:outlineLvl w:val="9"/>
        <w:rPr>
          <w:rFonts w:hint="eastAsia" w:ascii="宋体" w:hAnsi="宋体"/>
          <w:color w:val="auto"/>
          <w:sz w:val="24"/>
        </w:rPr>
      </w:pPr>
      <w:r>
        <w:rPr>
          <w:rFonts w:hint="eastAsia" w:ascii="宋体" w:hAnsi="宋体"/>
          <w:color w:val="auto"/>
          <w:sz w:val="24"/>
        </w:rPr>
        <w:t>2、违约所造成的经济损失，概由违约方承担赔偿。违约造成工期延误责任分担：甲方违约，工期相应顺延，乙方违约，工期不得顺延。</w:t>
      </w:r>
    </w:p>
    <w:p w14:paraId="41ECB61F">
      <w:pPr>
        <w:spacing w:line="360" w:lineRule="auto"/>
        <w:ind w:firstLine="480" w:firstLineChars="200"/>
        <w:outlineLvl w:val="9"/>
        <w:rPr>
          <w:rFonts w:hint="eastAsia" w:ascii="宋体" w:hAnsi="宋体" w:eastAsia="宋体" w:cs="Times New Roman"/>
          <w:color w:val="auto"/>
          <w:sz w:val="24"/>
        </w:rPr>
      </w:pPr>
      <w:r>
        <w:rPr>
          <w:rFonts w:hint="eastAsia" w:ascii="宋体" w:hAnsi="宋体" w:eastAsia="宋体" w:cs="Times New Roman"/>
          <w:color w:val="auto"/>
          <w:sz w:val="24"/>
        </w:rPr>
        <w:t>3、违约标准：合同履行中任何一方无正当理由而单方面提出终止合同均属单方毁约，毁约方承担赔偿因此造成对方的全部经济损失。</w:t>
      </w:r>
    </w:p>
    <w:p w14:paraId="6EA12784">
      <w:pPr>
        <w:spacing w:line="360" w:lineRule="auto"/>
        <w:ind w:firstLine="480" w:firstLineChars="200"/>
        <w:outlineLvl w:val="9"/>
        <w:rPr>
          <w:rFonts w:hint="eastAsia" w:ascii="宋体" w:hAnsi="宋体"/>
          <w:color w:val="auto"/>
          <w:sz w:val="24"/>
        </w:rPr>
      </w:pPr>
      <w:r>
        <w:rPr>
          <w:rFonts w:hint="eastAsia" w:ascii="宋体" w:hAnsi="宋体" w:eastAsia="宋体" w:cs="Times New Roman"/>
          <w:color w:val="auto"/>
          <w:sz w:val="24"/>
        </w:rPr>
        <w:t>十一、本合同一式肆份</w:t>
      </w:r>
      <w:r>
        <w:rPr>
          <w:rFonts w:hint="eastAsia" w:ascii="宋体" w:hAnsi="宋体"/>
          <w:color w:val="auto"/>
          <w:sz w:val="24"/>
        </w:rPr>
        <w:t>，甲乙双方各执两份，从签字之日起生效。</w:t>
      </w:r>
    </w:p>
    <w:p w14:paraId="25F3A2F5">
      <w:pPr>
        <w:spacing w:line="360" w:lineRule="auto"/>
        <w:ind w:firstLine="480" w:firstLineChars="200"/>
        <w:outlineLvl w:val="9"/>
        <w:rPr>
          <w:rFonts w:hint="eastAsia" w:ascii="宋体" w:hAnsi="宋体"/>
          <w:color w:val="auto"/>
          <w:sz w:val="24"/>
        </w:rPr>
      </w:pPr>
    </w:p>
    <w:p w14:paraId="78FCA8D6">
      <w:pPr>
        <w:spacing w:line="360" w:lineRule="auto"/>
        <w:ind w:firstLine="480" w:firstLineChars="200"/>
        <w:outlineLvl w:val="9"/>
        <w:rPr>
          <w:rFonts w:hint="eastAsia" w:ascii="宋体" w:hAnsi="宋体"/>
          <w:color w:val="auto"/>
          <w:sz w:val="24"/>
        </w:rPr>
      </w:pPr>
    </w:p>
    <w:p w14:paraId="37ACC1D8">
      <w:pPr>
        <w:spacing w:line="360" w:lineRule="auto"/>
        <w:ind w:firstLine="480" w:firstLineChars="200"/>
        <w:outlineLvl w:val="9"/>
        <w:rPr>
          <w:rFonts w:hint="eastAsia" w:ascii="宋体" w:hAnsi="宋体"/>
          <w:color w:val="auto"/>
          <w:sz w:val="24"/>
        </w:rPr>
      </w:pPr>
    </w:p>
    <w:p w14:paraId="07A4B463">
      <w:pPr>
        <w:spacing w:line="360" w:lineRule="auto"/>
        <w:ind w:firstLine="480" w:firstLineChars="200"/>
        <w:outlineLvl w:val="9"/>
        <w:rPr>
          <w:rFonts w:hint="eastAsia" w:ascii="宋体" w:hAnsi="宋体"/>
          <w:color w:val="auto"/>
          <w:sz w:val="24"/>
        </w:rPr>
      </w:pPr>
      <w:r>
        <w:rPr>
          <w:rFonts w:hint="eastAsia" w:ascii="宋体" w:hAnsi="宋体"/>
          <w:color w:val="auto"/>
          <w:sz w:val="24"/>
        </w:rPr>
        <w:t>甲方：（盖章）                   乙方：（盖章）</w:t>
      </w:r>
    </w:p>
    <w:p w14:paraId="79DCC121">
      <w:pPr>
        <w:spacing w:line="360" w:lineRule="auto"/>
        <w:ind w:firstLine="480" w:firstLineChars="200"/>
        <w:outlineLvl w:val="9"/>
        <w:rPr>
          <w:rFonts w:hint="eastAsia" w:ascii="宋体" w:hAnsi="宋体"/>
          <w:color w:val="auto"/>
          <w:sz w:val="24"/>
        </w:rPr>
      </w:pPr>
    </w:p>
    <w:p w14:paraId="38F4BDDB">
      <w:pPr>
        <w:spacing w:line="360" w:lineRule="auto"/>
        <w:ind w:firstLine="480" w:firstLineChars="200"/>
        <w:outlineLvl w:val="9"/>
        <w:rPr>
          <w:rFonts w:hint="eastAsia" w:ascii="宋体" w:hAnsi="宋体"/>
          <w:color w:val="auto"/>
          <w:sz w:val="24"/>
        </w:rPr>
      </w:pPr>
    </w:p>
    <w:p w14:paraId="23F7A2B3">
      <w:pPr>
        <w:spacing w:line="360" w:lineRule="auto"/>
        <w:ind w:firstLine="480" w:firstLineChars="200"/>
        <w:outlineLvl w:val="9"/>
        <w:rPr>
          <w:rFonts w:hint="eastAsia" w:ascii="宋体" w:hAnsi="宋体"/>
          <w:color w:val="auto"/>
          <w:sz w:val="24"/>
        </w:rPr>
      </w:pPr>
      <w:r>
        <w:rPr>
          <w:rFonts w:hint="eastAsia" w:ascii="宋体" w:hAnsi="宋体"/>
          <w:color w:val="auto"/>
          <w:sz w:val="24"/>
        </w:rPr>
        <w:t>法人或代表：（签字）          法人或代表：（签字）</w:t>
      </w:r>
    </w:p>
    <w:p w14:paraId="4AB43E53">
      <w:pPr>
        <w:spacing w:line="360" w:lineRule="auto"/>
        <w:ind w:firstLine="480" w:firstLineChars="200"/>
        <w:outlineLvl w:val="9"/>
        <w:rPr>
          <w:rFonts w:hint="eastAsia" w:ascii="宋体" w:hAnsi="宋体"/>
          <w:color w:val="auto"/>
          <w:sz w:val="24"/>
        </w:rPr>
      </w:pPr>
    </w:p>
    <w:p w14:paraId="5EB61441">
      <w:pPr>
        <w:spacing w:line="360" w:lineRule="auto"/>
        <w:ind w:firstLine="480" w:firstLineChars="200"/>
        <w:outlineLvl w:val="9"/>
        <w:rPr>
          <w:rFonts w:hint="eastAsia" w:ascii="宋体" w:hAnsi="宋体"/>
          <w:color w:val="auto"/>
          <w:sz w:val="24"/>
        </w:rPr>
      </w:pPr>
    </w:p>
    <w:p w14:paraId="168E6A6B">
      <w:pPr>
        <w:spacing w:line="360" w:lineRule="auto"/>
        <w:ind w:firstLine="5040" w:firstLineChars="2100"/>
        <w:outlineLvl w:val="9"/>
        <w:rPr>
          <w:rFonts w:hint="eastAsia" w:ascii="宋体" w:hAnsi="宋体"/>
          <w:color w:val="auto"/>
          <w:sz w:val="24"/>
        </w:rPr>
      </w:pPr>
      <w:r>
        <w:rPr>
          <w:rFonts w:hint="eastAsia" w:ascii="宋体" w:hAnsi="宋体"/>
          <w:color w:val="auto"/>
          <w:sz w:val="24"/>
        </w:rPr>
        <w:t>年     月     日</w:t>
      </w:r>
    </w:p>
    <w:p w14:paraId="03A7909D">
      <w:pPr>
        <w:bidi w:val="0"/>
        <w:outlineLvl w:val="9"/>
        <w:rPr>
          <w:rFonts w:hint="eastAsia"/>
          <w:color w:val="auto"/>
          <w:sz w:val="36"/>
          <w:szCs w:val="36"/>
          <w:lang w:val="en-US" w:eastAsia="zh-CN"/>
        </w:rPr>
        <w:sectPr>
          <w:pgSz w:w="11906" w:h="16838"/>
          <w:pgMar w:top="1383" w:right="1383" w:bottom="1383" w:left="1383" w:header="851" w:footer="992" w:gutter="0"/>
          <w:pgNumType w:fmt="decimal"/>
          <w:cols w:space="720" w:num="1"/>
          <w:docGrid w:linePitch="312" w:charSpace="0"/>
        </w:sectPr>
      </w:pPr>
    </w:p>
    <w:bookmarkEnd w:id="278"/>
    <w:bookmarkEnd w:id="279"/>
    <w:p w14:paraId="682B9A0B">
      <w:pPr>
        <w:numPr>
          <w:ilvl w:val="0"/>
          <w:numId w:val="6"/>
        </w:numPr>
        <w:bidi w:val="0"/>
        <w:jc w:val="center"/>
        <w:outlineLvl w:val="0"/>
        <w:rPr>
          <w:rFonts w:hint="eastAsia"/>
          <w:b/>
          <w:bCs/>
          <w:color w:val="auto"/>
          <w:sz w:val="36"/>
          <w:szCs w:val="36"/>
          <w:lang w:eastAsia="zh-CN"/>
        </w:rPr>
      </w:pPr>
      <w:bookmarkStart w:id="280" w:name="_Toc22985"/>
      <w:r>
        <w:rPr>
          <w:rFonts w:hint="eastAsia"/>
          <w:b/>
          <w:bCs/>
          <w:color w:val="auto"/>
          <w:sz w:val="36"/>
          <w:szCs w:val="36"/>
          <w:lang w:eastAsia="zh-CN"/>
        </w:rPr>
        <w:t>工程量清单</w:t>
      </w:r>
      <w:bookmarkEnd w:id="280"/>
    </w:p>
    <w:p w14:paraId="6EF58B5C">
      <w:pPr>
        <w:numPr>
          <w:ilvl w:val="0"/>
          <w:numId w:val="0"/>
        </w:numPr>
        <w:outlineLvl w:val="9"/>
        <w:rPr>
          <w:rFonts w:hint="eastAsia"/>
          <w:color w:val="auto"/>
          <w:lang w:eastAsia="zh-CN"/>
        </w:rPr>
      </w:pPr>
    </w:p>
    <w:p w14:paraId="69ACB3B7">
      <w:pPr>
        <w:keepNext w:val="0"/>
        <w:keepLines w:val="0"/>
        <w:pageBreakBefore w:val="0"/>
        <w:kinsoku/>
        <w:wordWrap/>
        <w:overflowPunct/>
        <w:topLinePunct w:val="0"/>
        <w:autoSpaceDE/>
        <w:autoSpaceDN/>
        <w:bidi w:val="0"/>
        <w:adjustRightInd/>
        <w:spacing w:line="360" w:lineRule="auto"/>
        <w:ind w:firstLine="562" w:firstLineChars="200"/>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编制说明</w:t>
      </w:r>
    </w:p>
    <w:p w14:paraId="6AA7204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一、编制依据</w:t>
      </w:r>
    </w:p>
    <w:p w14:paraId="209B11CC">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陕西省建设工程造价管理办法》，依据交通部2019年颁布的JTG/T3832-2018《公路工程预算定额》、JTG3830-2018《公路工程基本建设项目概预算编制办法》、JTG/T3833-2018《公路工程机械台班费用定额》；陕交发[2019]93号文颁发的陕西省交通运输厅关于印发《（公路工程建设项目投资估算编制办法）、（公路工程项目概算预算编制办法）的补充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交发〔2012〕40号文颁发的《陕西省公路养护工程预算编制办法》、《陕西省公路养护工程预算定额》及《陕西省公路养护工程机械台班费用定额》。交通部部公路工程定额站公字〔1999〕1340号文关于转发交通部公路司《关于转（国家计委加强对基本建设大中型项目概算中“差价预备费”管理）有关问题的通知》，以下自称“1999差价预备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陕西省交通厅陕交发〔2008〕117号文件关于执行《交通部公路工程概算预算定额编制办法的通知》、交通运输部办公厅交办公路〔2016〕66号关于印发《公路工程营业税改增值税计价依据调整方案》的通知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陕西省交通厅陕交函〔2016〕475号文“关于执行交通运输部《公路工程营业税改增值税计价依据调整方案》的通知”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国家发改委、建设部发改价格〔2007〕670号文颁发的“国家发展委、建设部关于印发《建设工程监理与相关服务收费管理规定》的通知”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中华人民共和国财政部、国家发展和改革委员会财综〔2008〕78号文《关于公布取消和停止征收100项行政事业性收费项目》的通知</w:t>
      </w:r>
      <w:r>
        <w:rPr>
          <w:rFonts w:hint="eastAsia" w:ascii="宋体" w:hAnsi="宋体" w:eastAsia="宋体" w:cs="宋体"/>
          <w:color w:val="auto"/>
          <w:sz w:val="24"/>
          <w:szCs w:val="24"/>
          <w:lang w:val="en-US" w:eastAsia="zh-CN"/>
        </w:rPr>
        <w:t>、</w:t>
      </w:r>
    </w:p>
    <w:p w14:paraId="21ED77C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二、其他说明</w:t>
      </w:r>
    </w:p>
    <w:p w14:paraId="080181C1">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1、材料价按</w:t>
      </w:r>
      <w:r>
        <w:rPr>
          <w:rFonts w:hint="eastAsia" w:ascii="宋体" w:hAnsi="宋体" w:eastAsia="宋体" w:cs="宋体"/>
          <w:color w:val="auto"/>
          <w:sz w:val="24"/>
          <w:szCs w:val="24"/>
        </w:rPr>
        <w:t>榆林市建设工程材料价格信息20</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第2期</w:t>
      </w:r>
      <w:r>
        <w:rPr>
          <w:rFonts w:hint="eastAsia" w:ascii="宋体" w:hAnsi="宋体" w:eastAsia="宋体" w:cs="宋体"/>
          <w:color w:val="auto"/>
          <w:sz w:val="24"/>
          <w:szCs w:val="24"/>
        </w:rPr>
        <w:t>、陕西工程</w:t>
      </w:r>
      <w:r>
        <w:rPr>
          <w:rFonts w:hint="eastAsia" w:ascii="宋体" w:hAnsi="宋体" w:eastAsia="宋体" w:cs="宋体"/>
          <w:color w:val="auto"/>
          <w:sz w:val="24"/>
          <w:szCs w:val="24"/>
          <w:lang w:eastAsia="zh-CN"/>
        </w:rPr>
        <w:t>造价管理信息材料信息价、市场调</w:t>
      </w:r>
      <w:r>
        <w:rPr>
          <w:rFonts w:hint="eastAsia" w:ascii="宋体" w:hAnsi="宋体" w:eastAsia="宋体" w:cs="宋体"/>
          <w:color w:val="auto"/>
          <w:sz w:val="24"/>
          <w:szCs w:val="24"/>
          <w:lang w:val="en-US" w:eastAsia="zh-CN"/>
        </w:rPr>
        <w:t>研价及相关的配套文件</w:t>
      </w:r>
    </w:p>
    <w:p w14:paraId="5F9AF07A">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2、安全生产费按1.5%计取</w:t>
      </w:r>
    </w:p>
    <w:p w14:paraId="3AF01B70">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14:paraId="092546B7">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drawing>
          <wp:inline distT="0" distB="0" distL="114300" distR="114300">
            <wp:extent cx="5796915" cy="8202295"/>
            <wp:effectExtent l="0" t="0" r="13335" b="8255"/>
            <wp:docPr id="5" name="图片 5" descr="子洲县2024年森林防火道路建设工程（苗家坪镇田山渠村）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子洲县2024年森林防火道路建设工程（苗家坪镇田山渠村）_01"/>
                    <pic:cNvPicPr>
                      <a:picLocks noChangeAspect="1"/>
                    </pic:cNvPicPr>
                  </pic:nvPicPr>
                  <pic:blipFill>
                    <a:blip r:embed="rId18"/>
                    <a:stretch>
                      <a:fillRect/>
                    </a:stretch>
                  </pic:blipFill>
                  <pic:spPr>
                    <a:xfrm>
                      <a:off x="0" y="0"/>
                      <a:ext cx="5796915" cy="8202295"/>
                    </a:xfrm>
                    <a:prstGeom prst="rect">
                      <a:avLst/>
                    </a:prstGeom>
                  </pic:spPr>
                </pic:pic>
              </a:graphicData>
            </a:graphic>
          </wp:inline>
        </w:drawing>
      </w:r>
      <w:r>
        <w:rPr>
          <w:rFonts w:hint="eastAsia" w:ascii="宋体" w:hAnsi="宋体" w:eastAsia="宋体" w:cs="宋体"/>
          <w:color w:val="auto"/>
          <w:sz w:val="24"/>
          <w:szCs w:val="24"/>
          <w:lang w:val="en-US" w:eastAsia="zh-CN"/>
        </w:rPr>
        <w:drawing>
          <wp:inline distT="0" distB="0" distL="114300" distR="114300">
            <wp:extent cx="5796915" cy="8202295"/>
            <wp:effectExtent l="0" t="0" r="13335" b="8255"/>
            <wp:docPr id="4" name="图片 4" descr="子洲县2024年森林防火道路建设工程（苗家坪镇田山渠村）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子洲县2024年森林防火道路建设工程（苗家坪镇田山渠村）_02"/>
                    <pic:cNvPicPr>
                      <a:picLocks noChangeAspect="1"/>
                    </pic:cNvPicPr>
                  </pic:nvPicPr>
                  <pic:blipFill>
                    <a:blip r:embed="rId19"/>
                    <a:stretch>
                      <a:fillRect/>
                    </a:stretch>
                  </pic:blipFill>
                  <pic:spPr>
                    <a:xfrm>
                      <a:off x="0" y="0"/>
                      <a:ext cx="5796915" cy="8202295"/>
                    </a:xfrm>
                    <a:prstGeom prst="rect">
                      <a:avLst/>
                    </a:prstGeom>
                  </pic:spPr>
                </pic:pic>
              </a:graphicData>
            </a:graphic>
          </wp:inline>
        </w:drawing>
      </w:r>
      <w:r>
        <w:rPr>
          <w:rFonts w:hint="eastAsia" w:ascii="宋体" w:hAnsi="宋体" w:eastAsia="宋体" w:cs="宋体"/>
          <w:color w:val="auto"/>
          <w:sz w:val="24"/>
          <w:szCs w:val="24"/>
          <w:lang w:val="en-US" w:eastAsia="zh-CN"/>
        </w:rPr>
        <w:drawing>
          <wp:inline distT="0" distB="0" distL="114300" distR="114300">
            <wp:extent cx="5796915" cy="8202295"/>
            <wp:effectExtent l="0" t="0" r="13335" b="8255"/>
            <wp:docPr id="3" name="图片 3" descr="子洲县2024年森林防火道路建设工程（苗家坪镇田山渠村）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子洲县2024年森林防火道路建设工程（苗家坪镇田山渠村）_03"/>
                    <pic:cNvPicPr>
                      <a:picLocks noChangeAspect="1"/>
                    </pic:cNvPicPr>
                  </pic:nvPicPr>
                  <pic:blipFill>
                    <a:blip r:embed="rId20"/>
                    <a:stretch>
                      <a:fillRect/>
                    </a:stretch>
                  </pic:blipFill>
                  <pic:spPr>
                    <a:xfrm>
                      <a:off x="0" y="0"/>
                      <a:ext cx="5796915" cy="8202295"/>
                    </a:xfrm>
                    <a:prstGeom prst="rect">
                      <a:avLst/>
                    </a:prstGeom>
                  </pic:spPr>
                </pic:pic>
              </a:graphicData>
            </a:graphic>
          </wp:inline>
        </w:drawing>
      </w:r>
      <w:r>
        <w:rPr>
          <w:rFonts w:hint="eastAsia" w:ascii="宋体" w:hAnsi="宋体" w:eastAsia="宋体" w:cs="宋体"/>
          <w:color w:val="auto"/>
          <w:sz w:val="24"/>
          <w:szCs w:val="24"/>
          <w:lang w:val="en-US" w:eastAsia="zh-CN"/>
        </w:rPr>
        <w:drawing>
          <wp:inline distT="0" distB="0" distL="114300" distR="114300">
            <wp:extent cx="5796915" cy="8202295"/>
            <wp:effectExtent l="0" t="0" r="13335" b="8255"/>
            <wp:docPr id="2" name="图片 2" descr="子洲县2024年森林防火道路建设工程（苗家坪镇田山渠村）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子洲县2024年森林防火道路建设工程（苗家坪镇田山渠村）_04"/>
                    <pic:cNvPicPr>
                      <a:picLocks noChangeAspect="1"/>
                    </pic:cNvPicPr>
                  </pic:nvPicPr>
                  <pic:blipFill>
                    <a:blip r:embed="rId21"/>
                    <a:stretch>
                      <a:fillRect/>
                    </a:stretch>
                  </pic:blipFill>
                  <pic:spPr>
                    <a:xfrm>
                      <a:off x="0" y="0"/>
                      <a:ext cx="5796915" cy="8202295"/>
                    </a:xfrm>
                    <a:prstGeom prst="rect">
                      <a:avLst/>
                    </a:prstGeom>
                  </pic:spPr>
                </pic:pic>
              </a:graphicData>
            </a:graphic>
          </wp:inline>
        </w:drawing>
      </w:r>
      <w:r>
        <w:rPr>
          <w:rFonts w:hint="eastAsia" w:ascii="宋体" w:hAnsi="宋体" w:eastAsia="宋体" w:cs="宋体"/>
          <w:color w:val="auto"/>
          <w:sz w:val="24"/>
          <w:szCs w:val="24"/>
          <w:lang w:val="en-US" w:eastAsia="zh-CN"/>
        </w:rPr>
        <w:drawing>
          <wp:inline distT="0" distB="0" distL="114300" distR="114300">
            <wp:extent cx="5796915" cy="8202295"/>
            <wp:effectExtent l="0" t="0" r="13335" b="8255"/>
            <wp:docPr id="1" name="图片 1" descr="子洲县2024年森林防火道路建设工程（苗家坪镇田山渠村）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子洲县2024年森林防火道路建设工程（苗家坪镇田山渠村）_05"/>
                    <pic:cNvPicPr>
                      <a:picLocks noChangeAspect="1"/>
                    </pic:cNvPicPr>
                  </pic:nvPicPr>
                  <pic:blipFill>
                    <a:blip r:embed="rId22"/>
                    <a:stretch>
                      <a:fillRect/>
                    </a:stretch>
                  </pic:blipFill>
                  <pic:spPr>
                    <a:xfrm>
                      <a:off x="0" y="0"/>
                      <a:ext cx="5796915" cy="8202295"/>
                    </a:xfrm>
                    <a:prstGeom prst="rect">
                      <a:avLst/>
                    </a:prstGeom>
                  </pic:spPr>
                </pic:pic>
              </a:graphicData>
            </a:graphic>
          </wp:inline>
        </w:drawing>
      </w:r>
    </w:p>
    <w:p w14:paraId="79CCDF91">
      <w:pPr>
        <w:numPr>
          <w:ilvl w:val="0"/>
          <w:numId w:val="0"/>
        </w:numPr>
        <w:spacing w:line="360" w:lineRule="auto"/>
        <w:ind w:firstLine="480" w:firstLineChars="200"/>
        <w:rPr>
          <w:rFonts w:hint="eastAsia" w:ascii="宋体" w:hAnsi="宋体" w:eastAsia="宋体" w:cs="宋体"/>
          <w:color w:val="auto"/>
          <w:sz w:val="24"/>
          <w:szCs w:val="24"/>
          <w:lang w:val="en-US" w:eastAsia="zh-CN"/>
        </w:rPr>
      </w:pPr>
    </w:p>
    <w:p w14:paraId="217D93C0">
      <w:pPr>
        <w:numPr>
          <w:ilvl w:val="0"/>
          <w:numId w:val="0"/>
        </w:numPr>
        <w:spacing w:line="360" w:lineRule="auto"/>
        <w:outlineLvl w:val="9"/>
        <w:rPr>
          <w:rFonts w:hint="eastAsia" w:ascii="宋体" w:hAnsi="宋体" w:eastAsia="宋体" w:cs="宋体"/>
          <w:color w:val="auto"/>
          <w:sz w:val="24"/>
          <w:szCs w:val="24"/>
          <w:lang w:eastAsia="zh-CN"/>
        </w:rPr>
        <w:sectPr>
          <w:pgSz w:w="11906" w:h="16838"/>
          <w:pgMar w:top="1383" w:right="1383" w:bottom="1383" w:left="1383" w:header="851" w:footer="992" w:gutter="0"/>
          <w:pgNumType w:fmt="decimal"/>
          <w:cols w:space="720" w:num="1"/>
          <w:docGrid w:linePitch="312" w:charSpace="0"/>
        </w:sectPr>
      </w:pPr>
    </w:p>
    <w:bookmarkEnd w:id="274"/>
    <w:bookmarkEnd w:id="275"/>
    <w:bookmarkEnd w:id="276"/>
    <w:p w14:paraId="518118FF">
      <w:pPr>
        <w:jc w:val="center"/>
        <w:rPr>
          <w:rFonts w:hint="eastAsia" w:hAnsi="宋体"/>
          <w:b/>
          <w:bCs/>
          <w:color w:val="auto"/>
          <w:szCs w:val="44"/>
          <w:lang w:eastAsia="zh-CN"/>
        </w:rPr>
      </w:pPr>
      <w:bookmarkStart w:id="281" w:name="_Toc4993"/>
      <w:bookmarkStart w:id="282" w:name="_Toc14374"/>
      <w:bookmarkStart w:id="283" w:name="_Toc21629"/>
      <w:bookmarkStart w:id="284" w:name="_Toc513557045"/>
      <w:r>
        <w:rPr>
          <w:rFonts w:hint="eastAsia"/>
          <w:b/>
          <w:bCs/>
          <w:color w:val="auto"/>
          <w:sz w:val="36"/>
          <w:szCs w:val="36"/>
          <w:lang w:eastAsia="zh-CN"/>
        </w:rPr>
        <w:t>第</w:t>
      </w:r>
      <w:r>
        <w:rPr>
          <w:rFonts w:hint="eastAsia"/>
          <w:b/>
          <w:bCs/>
          <w:color w:val="auto"/>
          <w:sz w:val="36"/>
          <w:szCs w:val="36"/>
          <w:lang w:val="en-US" w:eastAsia="zh-CN"/>
        </w:rPr>
        <w:t>七</w:t>
      </w:r>
      <w:r>
        <w:rPr>
          <w:rFonts w:hint="eastAsia"/>
          <w:b/>
          <w:bCs/>
          <w:color w:val="auto"/>
          <w:sz w:val="36"/>
          <w:szCs w:val="36"/>
          <w:lang w:eastAsia="zh-CN"/>
        </w:rPr>
        <w:t>章  竞争性磋商响应文件格式</w:t>
      </w:r>
      <w:bookmarkEnd w:id="281"/>
      <w:bookmarkEnd w:id="282"/>
    </w:p>
    <w:p w14:paraId="00E61825">
      <w:pPr>
        <w:spacing w:line="360" w:lineRule="auto"/>
        <w:jc w:val="both"/>
        <w:outlineLvl w:val="9"/>
        <w:rPr>
          <w:rFonts w:hint="eastAsia" w:hAnsi="宋体"/>
          <w:b/>
          <w:color w:val="auto"/>
          <w:sz w:val="44"/>
          <w:szCs w:val="44"/>
          <w:lang w:eastAsia="zh-CN"/>
        </w:rPr>
      </w:pPr>
    </w:p>
    <w:p w14:paraId="2BB6499A">
      <w:pPr>
        <w:spacing w:line="360" w:lineRule="auto"/>
        <w:jc w:val="left"/>
        <w:outlineLvl w:val="9"/>
        <w:rPr>
          <w:rFonts w:hint="eastAsia" w:ascii="宋体" w:hAnsi="宋体" w:cs="仿宋_GB2312"/>
          <w:b/>
          <w:color w:val="auto"/>
          <w:sz w:val="32"/>
          <w:szCs w:val="22"/>
          <w:lang w:eastAsia="zh-CN"/>
        </w:rPr>
      </w:pPr>
      <w:bookmarkStart w:id="285" w:name="_Toc18625"/>
      <w:bookmarkStart w:id="286" w:name="_Toc31931"/>
      <w:bookmarkStart w:id="287" w:name="_Toc11120"/>
      <w:bookmarkStart w:id="288" w:name="_Toc20828"/>
      <w:bookmarkStart w:id="289" w:name="_Toc1997"/>
      <w:r>
        <w:rPr>
          <w:rFonts w:hint="eastAsia" w:ascii="宋体" w:hAnsi="宋体" w:cs="仿宋_GB2312"/>
          <w:b/>
          <w:color w:val="auto"/>
          <w:sz w:val="32"/>
          <w:szCs w:val="22"/>
          <w:lang w:eastAsia="zh-CN"/>
        </w:rPr>
        <w:t>采购项目编号：</w:t>
      </w:r>
      <w:r>
        <w:rPr>
          <w:rFonts w:hint="eastAsia" w:ascii="宋体" w:hAnsi="宋体" w:cs="仿宋_GB2312"/>
          <w:b/>
          <w:color w:val="auto"/>
          <w:sz w:val="32"/>
          <w:szCs w:val="22"/>
          <w:lang w:val="en-US" w:eastAsia="zh-CN"/>
        </w:rPr>
        <w:t xml:space="preserve"> </w:t>
      </w:r>
      <w:r>
        <w:rPr>
          <w:rFonts w:hint="eastAsia" w:ascii="宋体" w:hAnsi="宋体" w:cs="仿宋_GB2312"/>
          <w:b/>
          <w:color w:val="auto"/>
          <w:sz w:val="32"/>
          <w:szCs w:val="22"/>
          <w:lang w:eastAsia="zh-CN"/>
        </w:rPr>
        <w:t xml:space="preserve">            </w:t>
      </w:r>
      <w:r>
        <w:rPr>
          <w:rFonts w:hint="eastAsia" w:ascii="宋体" w:hAnsi="宋体" w:cs="仿宋_GB2312"/>
          <w:b/>
          <w:color w:val="auto"/>
          <w:sz w:val="32"/>
          <w:szCs w:val="22"/>
          <w:lang w:val="en-US" w:eastAsia="zh-CN"/>
        </w:rPr>
        <w:t xml:space="preserve">                 </w:t>
      </w:r>
      <w:r>
        <w:rPr>
          <w:rFonts w:hint="eastAsia" w:ascii="宋体" w:hAnsi="宋体" w:cs="仿宋_GB2312"/>
          <w:b/>
          <w:color w:val="auto"/>
          <w:sz w:val="32"/>
          <w:szCs w:val="22"/>
          <w:lang w:eastAsia="zh-CN"/>
        </w:rPr>
        <w:t>（正/副本）</w:t>
      </w:r>
      <w:bookmarkEnd w:id="285"/>
      <w:bookmarkEnd w:id="286"/>
      <w:bookmarkEnd w:id="287"/>
      <w:bookmarkEnd w:id="288"/>
      <w:bookmarkEnd w:id="289"/>
    </w:p>
    <w:p w14:paraId="712217CA">
      <w:pPr>
        <w:spacing w:line="360" w:lineRule="auto"/>
        <w:jc w:val="left"/>
        <w:outlineLvl w:val="9"/>
        <w:rPr>
          <w:rFonts w:hint="eastAsia" w:hAnsi="宋体"/>
          <w:b/>
          <w:color w:val="auto"/>
          <w:sz w:val="32"/>
          <w:szCs w:val="32"/>
          <w:lang w:eastAsia="zh-CN"/>
        </w:rPr>
      </w:pPr>
    </w:p>
    <w:p w14:paraId="16DD0C91">
      <w:pPr>
        <w:spacing w:line="360" w:lineRule="auto"/>
        <w:jc w:val="left"/>
        <w:outlineLvl w:val="9"/>
        <w:rPr>
          <w:rFonts w:hint="eastAsia" w:hAnsi="宋体"/>
          <w:b/>
          <w:color w:val="auto"/>
          <w:sz w:val="32"/>
          <w:szCs w:val="32"/>
          <w:lang w:eastAsia="zh-CN"/>
        </w:rPr>
      </w:pPr>
    </w:p>
    <w:p w14:paraId="6D35D192">
      <w:pPr>
        <w:pStyle w:val="10"/>
        <w:jc w:val="center"/>
        <w:outlineLvl w:val="9"/>
        <w:rPr>
          <w:color w:val="auto"/>
        </w:rPr>
      </w:pPr>
      <w:r>
        <w:rPr>
          <w:rFonts w:hint="eastAsia" w:hAnsi="宋体"/>
          <w:b/>
          <w:color w:val="auto"/>
          <w:sz w:val="44"/>
          <w:szCs w:val="44"/>
          <w:u w:val="single"/>
          <w:lang w:val="en-US" w:eastAsia="zh-CN"/>
        </w:rPr>
        <w:t xml:space="preserve">                            </w:t>
      </w:r>
      <w:r>
        <w:rPr>
          <w:rFonts w:hint="eastAsia" w:hAnsi="宋体"/>
          <w:b/>
          <w:color w:val="auto"/>
          <w:sz w:val="44"/>
          <w:szCs w:val="44"/>
          <w:lang w:eastAsia="zh-CN"/>
        </w:rPr>
        <w:t>采购项目</w:t>
      </w:r>
    </w:p>
    <w:p w14:paraId="4C9F35D9">
      <w:pPr>
        <w:pStyle w:val="10"/>
        <w:outlineLvl w:val="9"/>
        <w:rPr>
          <w:color w:val="auto"/>
        </w:rPr>
      </w:pPr>
    </w:p>
    <w:p w14:paraId="4B324498">
      <w:pPr>
        <w:jc w:val="both"/>
        <w:outlineLvl w:val="9"/>
        <w:rPr>
          <w:rFonts w:hAnsi="宋体"/>
          <w:b/>
          <w:color w:val="auto"/>
          <w:sz w:val="52"/>
          <w:szCs w:val="52"/>
        </w:rPr>
      </w:pPr>
    </w:p>
    <w:p w14:paraId="2FAE45C6">
      <w:pPr>
        <w:jc w:val="center"/>
        <w:outlineLvl w:val="9"/>
        <w:rPr>
          <w:rFonts w:hint="eastAsia" w:hAnsi="宋体"/>
          <w:b/>
          <w:color w:val="auto"/>
          <w:sz w:val="52"/>
          <w:szCs w:val="52"/>
        </w:rPr>
      </w:pPr>
    </w:p>
    <w:p w14:paraId="094EA641">
      <w:pPr>
        <w:jc w:val="center"/>
        <w:outlineLvl w:val="9"/>
        <w:rPr>
          <w:rFonts w:hint="eastAsia" w:hAnsi="宋体"/>
          <w:b/>
          <w:color w:val="auto"/>
          <w:sz w:val="52"/>
          <w:szCs w:val="52"/>
        </w:rPr>
      </w:pPr>
    </w:p>
    <w:p w14:paraId="711A0D19">
      <w:pPr>
        <w:jc w:val="center"/>
        <w:outlineLvl w:val="9"/>
        <w:rPr>
          <w:rFonts w:hAnsi="宋体"/>
          <w:b/>
          <w:color w:val="auto"/>
          <w:sz w:val="72"/>
          <w:szCs w:val="72"/>
        </w:rPr>
      </w:pPr>
      <w:r>
        <w:rPr>
          <w:rFonts w:hint="eastAsia" w:hAnsi="宋体"/>
          <w:b/>
          <w:color w:val="auto"/>
          <w:sz w:val="72"/>
          <w:szCs w:val="72"/>
        </w:rPr>
        <w:t>竞争性磋商响应文件</w:t>
      </w:r>
    </w:p>
    <w:p w14:paraId="622E3223">
      <w:pPr>
        <w:outlineLvl w:val="9"/>
        <w:rPr>
          <w:rFonts w:hAnsi="宋体"/>
          <w:b/>
          <w:color w:val="auto"/>
          <w:sz w:val="36"/>
          <w:szCs w:val="36"/>
        </w:rPr>
      </w:pPr>
      <w:r>
        <w:rPr>
          <w:rFonts w:hint="eastAsia" w:hAnsi="宋体"/>
          <w:b/>
          <w:color w:val="auto"/>
          <w:sz w:val="36"/>
          <w:szCs w:val="36"/>
        </w:rPr>
        <w:t xml:space="preserve">               </w:t>
      </w:r>
    </w:p>
    <w:p w14:paraId="7973E840">
      <w:pPr>
        <w:jc w:val="center"/>
        <w:outlineLvl w:val="9"/>
        <w:rPr>
          <w:rFonts w:hAnsi="宋体"/>
          <w:b/>
          <w:color w:val="auto"/>
          <w:sz w:val="36"/>
          <w:szCs w:val="36"/>
        </w:rPr>
      </w:pPr>
    </w:p>
    <w:p w14:paraId="7196F148">
      <w:pPr>
        <w:jc w:val="center"/>
        <w:outlineLvl w:val="9"/>
        <w:rPr>
          <w:rFonts w:hAnsi="宋体"/>
          <w:b/>
          <w:color w:val="auto"/>
          <w:sz w:val="36"/>
          <w:szCs w:val="36"/>
        </w:rPr>
      </w:pPr>
    </w:p>
    <w:p w14:paraId="2FA29D80">
      <w:pPr>
        <w:pStyle w:val="10"/>
        <w:outlineLvl w:val="9"/>
        <w:rPr>
          <w:color w:val="auto"/>
        </w:rPr>
      </w:pPr>
    </w:p>
    <w:p w14:paraId="3B3A78F9">
      <w:pPr>
        <w:pStyle w:val="10"/>
        <w:outlineLvl w:val="9"/>
        <w:rPr>
          <w:color w:val="auto"/>
        </w:rPr>
      </w:pPr>
    </w:p>
    <w:p w14:paraId="2FA29129">
      <w:pPr>
        <w:pStyle w:val="10"/>
        <w:outlineLvl w:val="9"/>
        <w:rPr>
          <w:color w:val="auto"/>
        </w:rPr>
      </w:pPr>
    </w:p>
    <w:p w14:paraId="5EFEE5E7">
      <w:pPr>
        <w:outlineLvl w:val="9"/>
        <w:rPr>
          <w:rFonts w:hAnsi="宋体"/>
          <w:b/>
          <w:color w:val="auto"/>
          <w:sz w:val="36"/>
          <w:szCs w:val="36"/>
        </w:rPr>
      </w:pPr>
    </w:p>
    <w:p w14:paraId="2401B4E5">
      <w:pPr>
        <w:tabs>
          <w:tab w:val="center" w:pos="5346"/>
        </w:tabs>
        <w:spacing w:line="480" w:lineRule="auto"/>
        <w:ind w:firstLine="1928" w:firstLineChars="600"/>
        <w:outlineLvl w:val="9"/>
        <w:rPr>
          <w:rFonts w:hAnsi="宋体"/>
          <w:b/>
          <w:color w:val="auto"/>
          <w:sz w:val="32"/>
          <w:szCs w:val="32"/>
          <w:u w:val="single"/>
        </w:rPr>
      </w:pPr>
      <w:bookmarkStart w:id="290" w:name="_Toc393"/>
      <w:bookmarkStart w:id="291" w:name="_Toc4952"/>
      <w:bookmarkStart w:id="292" w:name="_Toc26671"/>
      <w:bookmarkStart w:id="293" w:name="_Toc6010"/>
      <w:bookmarkStart w:id="294" w:name="_Toc17368"/>
      <w:r>
        <w:rPr>
          <w:rFonts w:hint="eastAsia" w:hAnsi="宋体"/>
          <w:b/>
          <w:color w:val="auto"/>
          <w:sz w:val="32"/>
          <w:szCs w:val="32"/>
        </w:rPr>
        <w:t>供应商名称（公章）</w:t>
      </w:r>
      <w:bookmarkEnd w:id="290"/>
      <w:bookmarkEnd w:id="291"/>
      <w:bookmarkEnd w:id="292"/>
      <w:bookmarkEnd w:id="293"/>
      <w:bookmarkEnd w:id="294"/>
      <w:r>
        <w:rPr>
          <w:rFonts w:hint="eastAsia" w:hAnsi="宋体"/>
          <w:b/>
          <w:color w:val="auto"/>
          <w:sz w:val="32"/>
          <w:szCs w:val="32"/>
          <w:u w:val="single"/>
        </w:rPr>
        <w:t xml:space="preserve">                  </w:t>
      </w:r>
    </w:p>
    <w:p w14:paraId="1FF5BBFD">
      <w:pPr>
        <w:pStyle w:val="10"/>
        <w:outlineLvl w:val="9"/>
        <w:rPr>
          <w:color w:val="auto"/>
        </w:rPr>
      </w:pPr>
    </w:p>
    <w:p w14:paraId="428D6E5E">
      <w:pPr>
        <w:tabs>
          <w:tab w:val="center" w:pos="5346"/>
        </w:tabs>
        <w:spacing w:line="480" w:lineRule="auto"/>
        <w:ind w:firstLine="1928" w:firstLineChars="600"/>
        <w:outlineLvl w:val="9"/>
        <w:rPr>
          <w:rFonts w:hAnsi="宋体"/>
          <w:b/>
          <w:color w:val="auto"/>
          <w:sz w:val="32"/>
          <w:szCs w:val="32"/>
          <w:u w:val="single"/>
        </w:rPr>
      </w:pPr>
      <w:bookmarkStart w:id="295" w:name="_Toc5300"/>
      <w:bookmarkStart w:id="296" w:name="_Toc20251"/>
      <w:bookmarkStart w:id="297" w:name="_Toc1193"/>
      <w:bookmarkStart w:id="298" w:name="_Toc18783"/>
      <w:bookmarkStart w:id="299" w:name="_Toc22265"/>
      <w:bookmarkStart w:id="300" w:name="_Toc28374"/>
      <w:r>
        <w:rPr>
          <w:rFonts w:hint="eastAsia" w:hAnsi="宋体"/>
          <w:b/>
          <w:color w:val="auto"/>
          <w:sz w:val="32"/>
          <w:szCs w:val="32"/>
        </w:rPr>
        <w:t>法人或授权人签字或盖章：</w:t>
      </w:r>
      <w:bookmarkEnd w:id="295"/>
      <w:bookmarkEnd w:id="296"/>
      <w:bookmarkEnd w:id="297"/>
      <w:bookmarkEnd w:id="298"/>
      <w:bookmarkEnd w:id="299"/>
      <w:bookmarkEnd w:id="300"/>
      <w:r>
        <w:rPr>
          <w:rFonts w:hint="eastAsia" w:hAnsi="宋体"/>
          <w:b/>
          <w:color w:val="auto"/>
          <w:sz w:val="32"/>
          <w:szCs w:val="32"/>
          <w:u w:val="single"/>
        </w:rPr>
        <w:t xml:space="preserve">            </w:t>
      </w:r>
    </w:p>
    <w:p w14:paraId="1FFBE744">
      <w:pPr>
        <w:spacing w:line="360" w:lineRule="auto"/>
        <w:jc w:val="center"/>
        <w:outlineLvl w:val="9"/>
        <w:rPr>
          <w:rFonts w:hint="eastAsia" w:hAnsi="宋体"/>
          <w:b/>
          <w:color w:val="auto"/>
          <w:sz w:val="32"/>
          <w:szCs w:val="32"/>
          <w:lang w:val="en-US" w:eastAsia="zh-CN"/>
        </w:rPr>
      </w:pPr>
      <w:r>
        <w:rPr>
          <w:rFonts w:hint="eastAsia" w:hAnsi="宋体"/>
          <w:b/>
          <w:color w:val="auto"/>
          <w:sz w:val="32"/>
          <w:szCs w:val="32"/>
          <w:u w:val="single"/>
          <w:lang w:val="en-US" w:eastAsia="zh-CN"/>
        </w:rPr>
        <w:t xml:space="preserve">     </w:t>
      </w:r>
      <w:r>
        <w:rPr>
          <w:rFonts w:hint="eastAsia" w:hAnsi="宋体"/>
          <w:b/>
          <w:color w:val="auto"/>
          <w:sz w:val="32"/>
          <w:szCs w:val="32"/>
        </w:rPr>
        <w:t>年</w:t>
      </w:r>
      <w:r>
        <w:rPr>
          <w:rFonts w:hint="eastAsia" w:hAnsi="宋体"/>
          <w:b/>
          <w:color w:val="auto"/>
          <w:sz w:val="32"/>
          <w:szCs w:val="32"/>
          <w:u w:val="single"/>
        </w:rPr>
        <w:t xml:space="preserve">   </w:t>
      </w:r>
      <w:r>
        <w:rPr>
          <w:rFonts w:hint="eastAsia" w:hAnsi="宋体"/>
          <w:b/>
          <w:color w:val="auto"/>
          <w:sz w:val="32"/>
          <w:szCs w:val="32"/>
        </w:rPr>
        <w:t>月</w:t>
      </w:r>
      <w:r>
        <w:rPr>
          <w:rFonts w:hint="eastAsia" w:hAnsi="宋体"/>
          <w:b/>
          <w:color w:val="auto"/>
          <w:sz w:val="32"/>
          <w:szCs w:val="32"/>
          <w:u w:val="single"/>
        </w:rPr>
        <w:t xml:space="preserve">   </w:t>
      </w:r>
      <w:bookmarkStart w:id="301" w:name="_Toc344572156"/>
      <w:r>
        <w:rPr>
          <w:rFonts w:hint="eastAsia" w:hAnsi="宋体"/>
          <w:b/>
          <w:color w:val="auto"/>
          <w:sz w:val="32"/>
          <w:szCs w:val="32"/>
          <w:lang w:val="en-US" w:eastAsia="zh-CN"/>
        </w:rPr>
        <w:t>日</w:t>
      </w:r>
    </w:p>
    <w:p w14:paraId="3A704A82">
      <w:pPr>
        <w:spacing w:line="360" w:lineRule="auto"/>
        <w:jc w:val="center"/>
        <w:outlineLvl w:val="9"/>
        <w:rPr>
          <w:rFonts w:hint="eastAsia" w:hAnsi="宋体"/>
          <w:b/>
          <w:color w:val="auto"/>
          <w:sz w:val="32"/>
          <w:szCs w:val="32"/>
          <w:lang w:val="en-US" w:eastAsia="zh-CN"/>
        </w:rPr>
      </w:pPr>
    </w:p>
    <w:p w14:paraId="4AAA0236">
      <w:pPr>
        <w:spacing w:line="360" w:lineRule="auto"/>
        <w:jc w:val="center"/>
        <w:outlineLvl w:val="9"/>
        <w:rPr>
          <w:rFonts w:hint="eastAsia" w:hAnsi="宋体"/>
          <w:b/>
          <w:color w:val="auto"/>
          <w:sz w:val="32"/>
          <w:szCs w:val="32"/>
          <w:lang w:val="en-US" w:eastAsia="zh-CN"/>
        </w:rPr>
      </w:pPr>
    </w:p>
    <w:p w14:paraId="09500568">
      <w:pPr>
        <w:spacing w:line="360" w:lineRule="auto"/>
        <w:jc w:val="center"/>
        <w:outlineLvl w:val="9"/>
        <w:rPr>
          <w:rFonts w:hint="eastAsia" w:hAnsi="宋体"/>
          <w:b/>
          <w:color w:val="auto"/>
          <w:sz w:val="32"/>
          <w:szCs w:val="32"/>
          <w:lang w:val="en-US" w:eastAsia="zh-CN"/>
        </w:rPr>
      </w:pPr>
    </w:p>
    <w:p w14:paraId="2503A8BB">
      <w:pPr>
        <w:spacing w:line="360" w:lineRule="auto"/>
        <w:jc w:val="center"/>
        <w:outlineLvl w:val="9"/>
        <w:rPr>
          <w:b/>
          <w:color w:val="auto"/>
          <w:sz w:val="44"/>
        </w:rPr>
      </w:pPr>
      <w:r>
        <w:rPr>
          <w:rFonts w:hint="eastAsia"/>
          <w:b/>
          <w:color w:val="auto"/>
          <w:sz w:val="44"/>
        </w:rPr>
        <w:t>目  录</w:t>
      </w:r>
    </w:p>
    <w:p w14:paraId="38B7B6D4">
      <w:pPr>
        <w:spacing w:line="360" w:lineRule="auto"/>
        <w:ind w:firstLine="3520" w:firstLineChars="1100"/>
        <w:outlineLvl w:val="9"/>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须自动索引</w:t>
      </w:r>
      <w:r>
        <w:rPr>
          <w:rFonts w:hint="eastAsia" w:ascii="宋体" w:hAnsi="宋体" w:eastAsia="宋体" w:cs="宋体"/>
          <w:color w:val="auto"/>
          <w:sz w:val="32"/>
          <w:szCs w:val="32"/>
          <w:lang w:eastAsia="zh-CN"/>
        </w:rPr>
        <w:t>）</w:t>
      </w:r>
    </w:p>
    <w:p w14:paraId="7A097403">
      <w:pPr>
        <w:pStyle w:val="7"/>
        <w:spacing w:line="360" w:lineRule="auto"/>
        <w:ind w:firstLine="400"/>
        <w:jc w:val="center"/>
        <w:outlineLvl w:val="9"/>
        <w:rPr>
          <w:color w:val="auto"/>
        </w:rPr>
      </w:pPr>
      <w:r>
        <w:rPr>
          <w:rFonts w:hint="eastAsia" w:ascii="宋体" w:hAnsi="宋体" w:eastAsia="宋体" w:cs="宋体"/>
          <w:color w:val="auto"/>
        </w:rPr>
        <w:br w:type="page"/>
      </w:r>
    </w:p>
    <w:bookmarkEnd w:id="301"/>
    <w:p w14:paraId="66E91D9F">
      <w:pPr>
        <w:spacing w:line="360" w:lineRule="auto"/>
        <w:jc w:val="center"/>
        <w:outlineLvl w:val="1"/>
        <w:rPr>
          <w:rFonts w:hint="eastAsia" w:ascii="宋体" w:hAnsi="宋体" w:eastAsia="宋体" w:cs="宋体"/>
          <w:b/>
          <w:color w:val="auto"/>
          <w:sz w:val="32"/>
          <w:szCs w:val="32"/>
        </w:rPr>
      </w:pPr>
      <w:bookmarkStart w:id="302" w:name="_Toc403077648"/>
      <w:bookmarkStart w:id="303" w:name="_Toc363474027"/>
      <w:bookmarkStart w:id="304" w:name="_Toc15830"/>
      <w:bookmarkStart w:id="305" w:name="_Toc19670"/>
      <w:bookmarkStart w:id="306" w:name="_Toc15940"/>
      <w:bookmarkStart w:id="307" w:name="_Toc24357"/>
      <w:bookmarkStart w:id="308" w:name="_Toc20261"/>
      <w:bookmarkStart w:id="309" w:name="_Toc1246"/>
      <w:bookmarkStart w:id="310" w:name="_Toc204524343"/>
      <w:r>
        <w:rPr>
          <w:rFonts w:hint="eastAsia" w:ascii="宋体" w:hAnsi="宋体" w:cs="宋体"/>
          <w:b/>
          <w:color w:val="auto"/>
          <w:sz w:val="32"/>
          <w:szCs w:val="32"/>
          <w:lang w:val="en-US" w:eastAsia="zh-CN"/>
        </w:rPr>
        <w:t>一、</w:t>
      </w:r>
      <w:bookmarkEnd w:id="302"/>
      <w:bookmarkEnd w:id="303"/>
      <w:r>
        <w:rPr>
          <w:rFonts w:hint="eastAsia" w:ascii="宋体" w:hAnsi="宋体" w:eastAsia="宋体" w:cs="宋体"/>
          <w:b/>
          <w:color w:val="auto"/>
          <w:sz w:val="32"/>
          <w:szCs w:val="32"/>
        </w:rPr>
        <w:t>响应函</w:t>
      </w:r>
      <w:bookmarkEnd w:id="304"/>
      <w:bookmarkEnd w:id="305"/>
      <w:bookmarkEnd w:id="306"/>
      <w:bookmarkEnd w:id="307"/>
      <w:bookmarkEnd w:id="308"/>
      <w:bookmarkEnd w:id="309"/>
    </w:p>
    <w:p w14:paraId="12FBF7D4">
      <w:pPr>
        <w:spacing w:line="360" w:lineRule="auto"/>
        <w:jc w:val="left"/>
        <w:outlineLvl w:val="9"/>
        <w:rPr>
          <w:rFonts w:hint="eastAsia" w:hAnsi="宋体" w:eastAsia="宋体"/>
          <w:color w:val="auto"/>
          <w:spacing w:val="4"/>
          <w:sz w:val="24"/>
          <w:szCs w:val="24"/>
          <w:lang w:eastAsia="zh-CN"/>
        </w:rPr>
      </w:pPr>
      <w:r>
        <w:rPr>
          <w:rFonts w:hint="eastAsia" w:hAnsi="宋体"/>
          <w:color w:val="auto"/>
          <w:spacing w:val="4"/>
          <w:sz w:val="24"/>
          <w:szCs w:val="24"/>
        </w:rPr>
        <w:t>致：</w:t>
      </w:r>
      <w:r>
        <w:rPr>
          <w:rFonts w:hint="eastAsia" w:hAnsi="宋体"/>
          <w:color w:val="auto"/>
          <w:spacing w:val="4"/>
          <w:sz w:val="24"/>
          <w:szCs w:val="24"/>
          <w:lang w:eastAsia="zh-CN"/>
        </w:rPr>
        <w:t>陕安项目管理有限公司</w:t>
      </w:r>
    </w:p>
    <w:p w14:paraId="376D7BDF">
      <w:pPr>
        <w:spacing w:line="360" w:lineRule="auto"/>
        <w:ind w:firstLine="496" w:firstLineChars="200"/>
        <w:outlineLvl w:val="9"/>
        <w:rPr>
          <w:rFonts w:hint="eastAsia" w:hAnsi="宋体" w:eastAsia="宋体"/>
          <w:color w:val="auto"/>
          <w:spacing w:val="4"/>
          <w:sz w:val="24"/>
          <w:szCs w:val="24"/>
          <w:u w:val="single"/>
          <w:lang w:eastAsia="zh-CN"/>
        </w:rPr>
      </w:pPr>
      <w:r>
        <w:rPr>
          <w:rFonts w:hint="eastAsia" w:hAnsi="宋体"/>
          <w:color w:val="auto"/>
          <w:spacing w:val="4"/>
          <w:sz w:val="24"/>
          <w:szCs w:val="24"/>
        </w:rPr>
        <w:t>根据贵方“</w:t>
      </w:r>
      <w:r>
        <w:rPr>
          <w:rFonts w:hint="eastAsia" w:hAnsi="宋体"/>
          <w:color w:val="auto"/>
          <w:spacing w:val="4"/>
          <w:sz w:val="24"/>
          <w:szCs w:val="24"/>
          <w:u w:val="single"/>
        </w:rPr>
        <w:t xml:space="preserve">          </w:t>
      </w:r>
      <w:r>
        <w:rPr>
          <w:rFonts w:hint="eastAsia" w:hAnsi="宋体"/>
          <w:color w:val="auto"/>
          <w:spacing w:val="4"/>
          <w:sz w:val="24"/>
          <w:szCs w:val="24"/>
        </w:rPr>
        <w:t>”项目的磋商文件</w:t>
      </w:r>
      <w:r>
        <w:rPr>
          <w:rFonts w:hint="eastAsia" w:hAnsi="宋体"/>
          <w:color w:val="auto"/>
          <w:spacing w:val="4"/>
          <w:sz w:val="24"/>
          <w:szCs w:val="24"/>
          <w:u w:val="single"/>
        </w:rPr>
        <w:t>(编号：      )</w:t>
      </w:r>
      <w:r>
        <w:rPr>
          <w:rFonts w:hint="eastAsia" w:hAnsi="宋体"/>
          <w:color w:val="auto"/>
          <w:spacing w:val="4"/>
          <w:sz w:val="24"/>
          <w:szCs w:val="24"/>
        </w:rPr>
        <w:t>，签字代表</w:t>
      </w:r>
      <w:r>
        <w:rPr>
          <w:rFonts w:hint="eastAsia" w:hAnsi="宋体"/>
          <w:color w:val="auto"/>
          <w:spacing w:val="4"/>
          <w:sz w:val="24"/>
          <w:szCs w:val="24"/>
          <w:u w:val="single"/>
        </w:rPr>
        <w:t>（全名、职务）</w:t>
      </w:r>
      <w:r>
        <w:rPr>
          <w:rFonts w:hint="eastAsia" w:hAnsi="宋体"/>
          <w:color w:val="auto"/>
          <w:spacing w:val="4"/>
          <w:sz w:val="24"/>
          <w:szCs w:val="24"/>
        </w:rPr>
        <w:t>经正式授权并代表供应商</w:t>
      </w:r>
      <w:r>
        <w:rPr>
          <w:rFonts w:hint="eastAsia" w:hAnsi="宋体"/>
          <w:color w:val="auto"/>
          <w:spacing w:val="4"/>
          <w:sz w:val="24"/>
          <w:szCs w:val="24"/>
          <w:u w:val="single"/>
        </w:rPr>
        <w:t>(供应商名称、地址、统一社会信用代码)</w:t>
      </w:r>
      <w:r>
        <w:rPr>
          <w:rFonts w:hint="eastAsia" w:hAnsi="宋体"/>
          <w:color w:val="auto"/>
          <w:spacing w:val="4"/>
          <w:sz w:val="24"/>
          <w:szCs w:val="24"/>
        </w:rPr>
        <w:t xml:space="preserve"> 提交竞争性磋商响应文件</w:t>
      </w:r>
      <w:r>
        <w:rPr>
          <w:rFonts w:hint="eastAsia" w:hAnsi="宋体"/>
          <w:color w:val="auto"/>
          <w:spacing w:val="4"/>
          <w:sz w:val="24"/>
          <w:szCs w:val="24"/>
          <w:lang w:eastAsia="zh-CN"/>
        </w:rPr>
        <w:t>。</w:t>
      </w:r>
    </w:p>
    <w:p w14:paraId="4B05754B">
      <w:pPr>
        <w:spacing w:line="360" w:lineRule="auto"/>
        <w:ind w:left="549" w:leftChars="251" w:hanging="22" w:hangingChars="9"/>
        <w:jc w:val="left"/>
        <w:outlineLvl w:val="9"/>
        <w:rPr>
          <w:rFonts w:hAnsi="宋体"/>
          <w:color w:val="auto"/>
          <w:spacing w:val="4"/>
          <w:sz w:val="24"/>
          <w:szCs w:val="24"/>
        </w:rPr>
      </w:pPr>
      <w:r>
        <w:rPr>
          <w:rFonts w:hint="eastAsia" w:hAnsi="宋体"/>
          <w:color w:val="auto"/>
          <w:spacing w:val="4"/>
          <w:sz w:val="24"/>
          <w:szCs w:val="24"/>
        </w:rPr>
        <w:t>我方承诺如下：</w:t>
      </w:r>
    </w:p>
    <w:p w14:paraId="74FAA577">
      <w:pPr>
        <w:tabs>
          <w:tab w:val="left" w:pos="2160"/>
        </w:tabs>
        <w:spacing w:line="360" w:lineRule="auto"/>
        <w:ind w:firstLine="496" w:firstLineChars="200"/>
        <w:jc w:val="left"/>
        <w:outlineLvl w:val="9"/>
        <w:rPr>
          <w:rFonts w:hAnsi="宋体"/>
          <w:color w:val="auto"/>
          <w:spacing w:val="4"/>
          <w:sz w:val="24"/>
          <w:szCs w:val="24"/>
        </w:rPr>
      </w:pPr>
      <w:r>
        <w:rPr>
          <w:rFonts w:hint="eastAsia" w:hAnsi="宋体"/>
          <w:color w:val="auto"/>
          <w:spacing w:val="4"/>
          <w:sz w:val="24"/>
          <w:szCs w:val="24"/>
        </w:rPr>
        <w:t xml:space="preserve">1）磋商总价为 </w:t>
      </w:r>
      <w:r>
        <w:rPr>
          <w:rFonts w:hint="eastAsia" w:hAnsi="宋体"/>
          <w:color w:val="auto"/>
          <w:spacing w:val="4"/>
          <w:sz w:val="24"/>
          <w:szCs w:val="24"/>
          <w:u w:val="single"/>
        </w:rPr>
        <w:t xml:space="preserve">        </w:t>
      </w:r>
      <w:r>
        <w:rPr>
          <w:rFonts w:hint="eastAsia" w:hAnsi="宋体"/>
          <w:color w:val="auto"/>
          <w:spacing w:val="4"/>
          <w:sz w:val="24"/>
          <w:szCs w:val="24"/>
        </w:rPr>
        <w:t>（人民币）（用文字和数字表示的磋商总价）。</w:t>
      </w:r>
    </w:p>
    <w:p w14:paraId="48DA0DDE">
      <w:pPr>
        <w:tabs>
          <w:tab w:val="left" w:pos="2160"/>
        </w:tabs>
        <w:spacing w:line="360" w:lineRule="auto"/>
        <w:ind w:firstLine="496" w:firstLineChars="200"/>
        <w:jc w:val="left"/>
        <w:outlineLvl w:val="9"/>
        <w:rPr>
          <w:rFonts w:hAnsi="宋体"/>
          <w:color w:val="auto"/>
          <w:spacing w:val="4"/>
          <w:sz w:val="24"/>
          <w:szCs w:val="24"/>
        </w:rPr>
      </w:pPr>
      <w:r>
        <w:rPr>
          <w:rFonts w:hint="eastAsia" w:hAnsi="宋体"/>
          <w:color w:val="auto"/>
          <w:spacing w:val="4"/>
          <w:sz w:val="24"/>
          <w:szCs w:val="24"/>
        </w:rPr>
        <w:t>2）如果成交，我们根据竞争性磋商文件的规定，履行合同的责任和义务。</w:t>
      </w:r>
    </w:p>
    <w:p w14:paraId="08A1EB7C">
      <w:pPr>
        <w:tabs>
          <w:tab w:val="left" w:pos="2160"/>
        </w:tabs>
        <w:spacing w:line="360" w:lineRule="auto"/>
        <w:ind w:firstLine="496" w:firstLineChars="200"/>
        <w:jc w:val="left"/>
        <w:outlineLvl w:val="9"/>
        <w:rPr>
          <w:rFonts w:hAnsi="宋体"/>
          <w:color w:val="auto"/>
          <w:spacing w:val="4"/>
          <w:sz w:val="24"/>
          <w:szCs w:val="24"/>
        </w:rPr>
      </w:pPr>
      <w:r>
        <w:rPr>
          <w:rFonts w:hint="eastAsia" w:hAnsi="宋体"/>
          <w:color w:val="auto"/>
          <w:spacing w:val="4"/>
          <w:sz w:val="24"/>
          <w:szCs w:val="24"/>
        </w:rPr>
        <w:t>3）我们已详细阅读和审核全部竞争性磋商文件（含修改部分，如有的话），及有关附件，我们知道必须放弃提出含糊不清或误解的问题的权利。</w:t>
      </w:r>
    </w:p>
    <w:p w14:paraId="596B1FCF">
      <w:pPr>
        <w:tabs>
          <w:tab w:val="left" w:pos="2160"/>
        </w:tabs>
        <w:spacing w:line="360" w:lineRule="auto"/>
        <w:ind w:firstLine="496" w:firstLineChars="200"/>
        <w:jc w:val="left"/>
        <w:outlineLvl w:val="9"/>
        <w:rPr>
          <w:rFonts w:hAnsi="宋体"/>
          <w:color w:val="auto"/>
          <w:spacing w:val="4"/>
          <w:sz w:val="24"/>
          <w:szCs w:val="24"/>
        </w:rPr>
      </w:pPr>
      <w:r>
        <w:rPr>
          <w:rFonts w:hint="eastAsia" w:hAnsi="宋体"/>
          <w:color w:val="auto"/>
          <w:spacing w:val="4"/>
          <w:sz w:val="24"/>
          <w:szCs w:val="24"/>
        </w:rPr>
        <w:t>4）我们同意在磋商有效期内（</w:t>
      </w:r>
      <w:r>
        <w:rPr>
          <w:rFonts w:hint="eastAsia" w:hAnsi="宋体"/>
          <w:color w:val="auto"/>
          <w:spacing w:val="4"/>
          <w:sz w:val="24"/>
          <w:szCs w:val="24"/>
          <w:u w:val="single"/>
        </w:rPr>
        <w:t xml:space="preserve">自磋商之日起 </w:t>
      </w:r>
      <w:r>
        <w:rPr>
          <w:rFonts w:hint="eastAsia" w:hAnsi="宋体"/>
          <w:color w:val="auto"/>
          <w:spacing w:val="4"/>
          <w:sz w:val="24"/>
          <w:szCs w:val="24"/>
          <w:u w:val="single"/>
          <w:lang w:val="en-US" w:eastAsia="zh-CN"/>
        </w:rPr>
        <w:t xml:space="preserve"> </w:t>
      </w:r>
      <w:r>
        <w:rPr>
          <w:rFonts w:hint="eastAsia" w:hAnsi="宋体"/>
          <w:color w:val="auto"/>
          <w:spacing w:val="4"/>
          <w:sz w:val="24"/>
          <w:szCs w:val="24"/>
          <w:u w:val="single"/>
        </w:rPr>
        <w:t>天内</w:t>
      </w:r>
      <w:r>
        <w:rPr>
          <w:rFonts w:hint="eastAsia" w:hAnsi="宋体"/>
          <w:color w:val="auto"/>
          <w:spacing w:val="4"/>
          <w:sz w:val="24"/>
          <w:szCs w:val="24"/>
        </w:rPr>
        <w:t>），本磋商响应函对我方具有约束力。</w:t>
      </w:r>
    </w:p>
    <w:p w14:paraId="4F4E797C">
      <w:pPr>
        <w:tabs>
          <w:tab w:val="left" w:pos="2160"/>
        </w:tabs>
        <w:spacing w:line="360" w:lineRule="auto"/>
        <w:ind w:firstLine="496" w:firstLineChars="200"/>
        <w:jc w:val="left"/>
        <w:outlineLvl w:val="9"/>
        <w:rPr>
          <w:rFonts w:hint="eastAsia" w:ascii="Times New Roman" w:hAnsi="宋体" w:eastAsia="宋体" w:cs="Times New Roman"/>
          <w:color w:val="auto"/>
          <w:spacing w:val="4"/>
          <w:sz w:val="24"/>
          <w:szCs w:val="24"/>
        </w:rPr>
      </w:pPr>
      <w:r>
        <w:rPr>
          <w:rFonts w:hint="eastAsia" w:hAnsi="宋体"/>
          <w:color w:val="auto"/>
          <w:spacing w:val="4"/>
          <w:sz w:val="24"/>
          <w:szCs w:val="24"/>
        </w:rPr>
        <w:t>5）如果在磋商后规定的磋商有效</w:t>
      </w:r>
      <w:r>
        <w:rPr>
          <w:rFonts w:hint="eastAsia" w:ascii="Times New Roman" w:hAnsi="宋体" w:eastAsia="宋体" w:cs="Times New Roman"/>
          <w:color w:val="auto"/>
          <w:spacing w:val="4"/>
          <w:sz w:val="24"/>
          <w:szCs w:val="24"/>
        </w:rPr>
        <w:t>期内撤销磋商文件，我们</w:t>
      </w:r>
      <w:r>
        <w:rPr>
          <w:rFonts w:hint="eastAsia" w:ascii="Times New Roman" w:hAnsi="宋体" w:eastAsia="宋体" w:cs="Times New Roman"/>
          <w:color w:val="auto"/>
          <w:spacing w:val="4"/>
          <w:sz w:val="24"/>
          <w:szCs w:val="24"/>
          <w:lang w:val="en-US" w:eastAsia="zh-CN"/>
        </w:rPr>
        <w:t>自愿根据投标信用承诺书有关规定执行。</w:t>
      </w:r>
    </w:p>
    <w:p w14:paraId="159C635C">
      <w:pPr>
        <w:tabs>
          <w:tab w:val="left" w:pos="2160"/>
        </w:tabs>
        <w:spacing w:line="360" w:lineRule="auto"/>
        <w:ind w:firstLine="496" w:firstLineChars="200"/>
        <w:jc w:val="left"/>
        <w:outlineLvl w:val="9"/>
        <w:rPr>
          <w:rFonts w:hAnsi="宋体"/>
          <w:color w:val="auto"/>
          <w:spacing w:val="4"/>
          <w:sz w:val="24"/>
          <w:szCs w:val="24"/>
        </w:rPr>
      </w:pPr>
      <w:r>
        <w:rPr>
          <w:rFonts w:hint="eastAsia" w:hAnsi="宋体"/>
          <w:color w:val="auto"/>
          <w:spacing w:val="4"/>
          <w:sz w:val="24"/>
          <w:szCs w:val="24"/>
        </w:rPr>
        <w:t xml:space="preserve">6）同意提供贵方可能另外要求的与本磋商有关的任何证据和资料。 </w:t>
      </w:r>
    </w:p>
    <w:p w14:paraId="06CBCBF7">
      <w:pPr>
        <w:tabs>
          <w:tab w:val="left" w:pos="2160"/>
        </w:tabs>
        <w:spacing w:line="360" w:lineRule="auto"/>
        <w:ind w:firstLine="496" w:firstLineChars="200"/>
        <w:jc w:val="left"/>
        <w:outlineLvl w:val="9"/>
        <w:rPr>
          <w:rFonts w:hAnsi="宋体"/>
          <w:color w:val="auto"/>
          <w:spacing w:val="4"/>
          <w:sz w:val="24"/>
          <w:szCs w:val="24"/>
        </w:rPr>
      </w:pPr>
      <w:r>
        <w:rPr>
          <w:rFonts w:hint="eastAsia" w:hAnsi="宋体"/>
          <w:color w:val="auto"/>
          <w:spacing w:val="4"/>
          <w:sz w:val="24"/>
          <w:szCs w:val="24"/>
          <w:lang w:val="en-US" w:eastAsia="zh-CN"/>
        </w:rPr>
        <w:t>7</w:t>
      </w:r>
      <w:r>
        <w:rPr>
          <w:rFonts w:hint="eastAsia" w:hAnsi="宋体"/>
          <w:color w:val="auto"/>
          <w:spacing w:val="4"/>
          <w:sz w:val="24"/>
          <w:szCs w:val="24"/>
        </w:rPr>
        <w:t>）与本磋商有关的一切正式往来通讯为：</w:t>
      </w:r>
    </w:p>
    <w:p w14:paraId="234F8AE7">
      <w:pPr>
        <w:spacing w:line="360" w:lineRule="auto"/>
        <w:ind w:firstLine="1240" w:firstLineChars="500"/>
        <w:jc w:val="left"/>
        <w:outlineLvl w:val="9"/>
        <w:rPr>
          <w:rFonts w:hint="eastAsia" w:hAnsi="宋体"/>
          <w:color w:val="auto"/>
          <w:spacing w:val="4"/>
          <w:sz w:val="24"/>
          <w:szCs w:val="24"/>
        </w:rPr>
      </w:pPr>
    </w:p>
    <w:p w14:paraId="3BE3CA5F">
      <w:pPr>
        <w:spacing w:line="360" w:lineRule="auto"/>
        <w:ind w:firstLine="1240" w:firstLineChars="500"/>
        <w:jc w:val="left"/>
        <w:outlineLvl w:val="9"/>
        <w:rPr>
          <w:rFonts w:hAnsi="宋体"/>
          <w:color w:val="auto"/>
          <w:spacing w:val="4"/>
          <w:sz w:val="24"/>
          <w:szCs w:val="24"/>
        </w:rPr>
      </w:pPr>
      <w:r>
        <w:rPr>
          <w:rFonts w:hint="eastAsia" w:hAnsi="宋体"/>
          <w:color w:val="auto"/>
          <w:spacing w:val="4"/>
          <w:sz w:val="24"/>
          <w:szCs w:val="24"/>
        </w:rPr>
        <w:t>联系地址：</w:t>
      </w:r>
    </w:p>
    <w:p w14:paraId="6087DEB4">
      <w:pPr>
        <w:spacing w:line="360" w:lineRule="auto"/>
        <w:ind w:firstLine="1240" w:firstLineChars="500"/>
        <w:jc w:val="left"/>
        <w:outlineLvl w:val="9"/>
        <w:rPr>
          <w:rFonts w:hAnsi="宋体"/>
          <w:color w:val="auto"/>
          <w:spacing w:val="4"/>
          <w:sz w:val="24"/>
          <w:szCs w:val="24"/>
        </w:rPr>
      </w:pPr>
      <w:r>
        <w:rPr>
          <w:rFonts w:hint="eastAsia" w:hAnsi="宋体"/>
          <w:color w:val="auto"/>
          <w:spacing w:val="4"/>
          <w:sz w:val="24"/>
          <w:szCs w:val="24"/>
        </w:rPr>
        <w:t>邮政编码：</w:t>
      </w:r>
    </w:p>
    <w:p w14:paraId="562A2B78">
      <w:pPr>
        <w:spacing w:line="360" w:lineRule="auto"/>
        <w:ind w:firstLine="1240" w:firstLineChars="500"/>
        <w:jc w:val="left"/>
        <w:outlineLvl w:val="9"/>
        <w:rPr>
          <w:rFonts w:hAnsi="宋体"/>
          <w:color w:val="auto"/>
          <w:spacing w:val="4"/>
          <w:sz w:val="24"/>
          <w:szCs w:val="24"/>
        </w:rPr>
      </w:pPr>
      <w:r>
        <w:rPr>
          <w:rFonts w:hint="eastAsia" w:hAnsi="宋体"/>
          <w:color w:val="auto"/>
          <w:spacing w:val="4"/>
          <w:sz w:val="24"/>
          <w:szCs w:val="24"/>
        </w:rPr>
        <w:t>电    话：</w:t>
      </w:r>
    </w:p>
    <w:p w14:paraId="6580B9D9">
      <w:pPr>
        <w:spacing w:line="360" w:lineRule="auto"/>
        <w:ind w:firstLine="1240" w:firstLineChars="500"/>
        <w:jc w:val="left"/>
        <w:outlineLvl w:val="9"/>
        <w:rPr>
          <w:rFonts w:hAnsi="宋体"/>
          <w:color w:val="auto"/>
          <w:spacing w:val="4"/>
          <w:sz w:val="24"/>
          <w:szCs w:val="24"/>
        </w:rPr>
      </w:pPr>
      <w:r>
        <w:rPr>
          <w:rFonts w:hint="eastAsia" w:hAnsi="宋体"/>
          <w:color w:val="auto"/>
          <w:spacing w:val="4"/>
          <w:sz w:val="24"/>
          <w:szCs w:val="24"/>
        </w:rPr>
        <w:t>传    真：</w:t>
      </w:r>
    </w:p>
    <w:p w14:paraId="5D656695">
      <w:pPr>
        <w:spacing w:line="360" w:lineRule="auto"/>
        <w:ind w:firstLine="1240" w:firstLineChars="500"/>
        <w:jc w:val="left"/>
        <w:outlineLvl w:val="9"/>
        <w:rPr>
          <w:rFonts w:hAnsi="宋体"/>
          <w:color w:val="auto"/>
          <w:spacing w:val="4"/>
          <w:sz w:val="24"/>
          <w:szCs w:val="24"/>
        </w:rPr>
      </w:pPr>
      <w:r>
        <w:rPr>
          <w:rFonts w:hint="eastAsia" w:hAnsi="宋体"/>
          <w:color w:val="auto"/>
          <w:spacing w:val="4"/>
          <w:sz w:val="24"/>
          <w:szCs w:val="24"/>
        </w:rPr>
        <w:t>供应商名称（盖章）：</w:t>
      </w:r>
    </w:p>
    <w:p w14:paraId="0A8CA4E7">
      <w:pPr>
        <w:spacing w:line="360" w:lineRule="auto"/>
        <w:ind w:firstLine="1240" w:firstLineChars="500"/>
        <w:jc w:val="left"/>
        <w:outlineLvl w:val="9"/>
        <w:rPr>
          <w:rFonts w:hAnsi="宋体"/>
          <w:color w:val="auto"/>
          <w:spacing w:val="4"/>
          <w:sz w:val="24"/>
          <w:szCs w:val="24"/>
        </w:rPr>
      </w:pPr>
      <w:r>
        <w:rPr>
          <w:rFonts w:hint="eastAsia" w:hAnsi="宋体"/>
          <w:color w:val="auto"/>
          <w:spacing w:val="4"/>
          <w:sz w:val="24"/>
          <w:szCs w:val="24"/>
        </w:rPr>
        <w:t>供应商法定代表人签字</w:t>
      </w:r>
      <w:r>
        <w:rPr>
          <w:rFonts w:hint="eastAsia" w:hAnsi="宋体"/>
          <w:color w:val="auto"/>
          <w:spacing w:val="4"/>
          <w:sz w:val="24"/>
          <w:szCs w:val="24"/>
          <w:lang w:val="en-US" w:eastAsia="zh-CN"/>
        </w:rPr>
        <w:t>或盖章</w:t>
      </w:r>
      <w:r>
        <w:rPr>
          <w:rFonts w:hint="eastAsia" w:hAnsi="宋体"/>
          <w:color w:val="auto"/>
          <w:spacing w:val="4"/>
          <w:sz w:val="24"/>
          <w:szCs w:val="24"/>
        </w:rPr>
        <w:t>：</w:t>
      </w:r>
    </w:p>
    <w:p w14:paraId="38002010">
      <w:pPr>
        <w:spacing w:line="360" w:lineRule="auto"/>
        <w:ind w:firstLine="1240" w:firstLineChars="500"/>
        <w:jc w:val="left"/>
        <w:outlineLvl w:val="9"/>
        <w:rPr>
          <w:rFonts w:hAnsi="宋体"/>
          <w:color w:val="auto"/>
          <w:spacing w:val="4"/>
          <w:sz w:val="24"/>
          <w:szCs w:val="24"/>
        </w:rPr>
      </w:pPr>
      <w:r>
        <w:rPr>
          <w:rFonts w:hint="eastAsia" w:hAnsi="宋体"/>
          <w:color w:val="auto"/>
          <w:spacing w:val="4"/>
          <w:sz w:val="24"/>
          <w:szCs w:val="24"/>
        </w:rPr>
        <w:t>日    期：</w:t>
      </w:r>
    </w:p>
    <w:p w14:paraId="2E0CF6CF">
      <w:pPr>
        <w:spacing w:before="312" w:beforeLines="100"/>
        <w:jc w:val="center"/>
        <w:outlineLvl w:val="1"/>
        <w:rPr>
          <w:rFonts w:hint="eastAsia" w:eastAsia="宋体"/>
          <w:color w:val="auto"/>
          <w:sz w:val="30"/>
          <w:szCs w:val="30"/>
          <w:lang w:eastAsia="zh-CN"/>
        </w:rPr>
      </w:pPr>
      <w:r>
        <w:rPr>
          <w:rFonts w:hint="eastAsia"/>
          <w:color w:val="auto"/>
        </w:rPr>
        <w:br w:type="page"/>
      </w:r>
      <w:bookmarkStart w:id="311" w:name="_Toc4703"/>
      <w:bookmarkStart w:id="312" w:name="_Toc31101"/>
      <w:bookmarkStart w:id="313" w:name="_Toc363474028"/>
      <w:bookmarkStart w:id="314" w:name="_Toc403077649"/>
      <w:bookmarkStart w:id="315" w:name="_Toc18764"/>
      <w:r>
        <w:rPr>
          <w:rFonts w:hint="eastAsia" w:ascii="宋体" w:hAnsi="宋体" w:eastAsia="宋体" w:cs="宋体"/>
          <w:b/>
          <w:color w:val="auto"/>
          <w:sz w:val="32"/>
          <w:szCs w:val="32"/>
          <w:lang w:val="en-US" w:eastAsia="zh-CN"/>
        </w:rPr>
        <w:t>二、第一次</w:t>
      </w:r>
      <w:r>
        <w:rPr>
          <w:rFonts w:hint="eastAsia" w:ascii="宋体" w:hAnsi="宋体" w:eastAsia="宋体" w:cs="宋体"/>
          <w:b/>
          <w:color w:val="auto"/>
          <w:sz w:val="32"/>
          <w:szCs w:val="32"/>
          <w:lang w:eastAsia="zh-CN"/>
        </w:rPr>
        <w:t>磋商报价表</w:t>
      </w:r>
      <w:bookmarkEnd w:id="311"/>
      <w:bookmarkEnd w:id="312"/>
    </w:p>
    <w:p w14:paraId="5C3BA801">
      <w:pPr>
        <w:spacing w:line="360" w:lineRule="auto"/>
        <w:outlineLvl w:val="9"/>
        <w:rPr>
          <w:rFonts w:hint="eastAsia" w:ascii="宋体" w:hAnsi="宋体" w:cs="宋体"/>
          <w:b/>
          <w:bCs/>
          <w:color w:val="auto"/>
          <w:sz w:val="28"/>
          <w:szCs w:val="28"/>
        </w:rPr>
      </w:pPr>
      <w:r>
        <w:rPr>
          <w:rFonts w:hint="eastAsia" w:ascii="宋体" w:hAnsi="宋体" w:cs="宋体"/>
          <w:b/>
          <w:bCs/>
          <w:color w:val="auto"/>
          <w:sz w:val="28"/>
          <w:szCs w:val="28"/>
        </w:rPr>
        <w:t>项目编号：</w:t>
      </w:r>
    </w:p>
    <w:p w14:paraId="34959C01">
      <w:pPr>
        <w:pStyle w:val="10"/>
        <w:spacing w:line="360" w:lineRule="auto"/>
        <w:outlineLvl w:val="9"/>
        <w:rPr>
          <w:rFonts w:hint="eastAsia" w:ascii="宋体" w:hAnsi="宋体" w:cs="宋体"/>
          <w:color w:val="auto"/>
        </w:rPr>
      </w:pPr>
      <w:r>
        <w:rPr>
          <w:rFonts w:hint="eastAsia" w:ascii="宋体" w:hAnsi="宋体" w:eastAsia="宋体" w:cs="宋体"/>
          <w:b/>
          <w:bCs/>
          <w:color w:val="auto"/>
          <w:kern w:val="2"/>
          <w:sz w:val="28"/>
          <w:szCs w:val="28"/>
          <w:lang w:val="en-US" w:eastAsia="zh-CN" w:bidi="ar-SA"/>
        </w:rPr>
        <w:t>项目名称：</w:t>
      </w:r>
    </w:p>
    <w:tbl>
      <w:tblPr>
        <w:tblStyle w:val="25"/>
        <w:tblW w:w="92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7560"/>
      </w:tblGrid>
      <w:tr w14:paraId="79995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jc w:val="center"/>
        </w:trPr>
        <w:tc>
          <w:tcPr>
            <w:tcW w:w="1679" w:type="dxa"/>
            <w:noWrap w:val="0"/>
            <w:vAlign w:val="center"/>
          </w:tcPr>
          <w:p w14:paraId="246C034F">
            <w:pPr>
              <w:spacing w:line="360" w:lineRule="auto"/>
              <w:jc w:val="center"/>
              <w:outlineLvl w:val="9"/>
              <w:rPr>
                <w:rFonts w:hint="eastAsia" w:ascii="宋体" w:hAnsi="宋体" w:cs="宋体"/>
                <w:b/>
                <w:bCs/>
                <w:color w:val="auto"/>
                <w:sz w:val="24"/>
                <w:szCs w:val="24"/>
              </w:rPr>
            </w:pPr>
            <w:r>
              <w:rPr>
                <w:rFonts w:hint="eastAsia" w:ascii="宋体" w:hAnsi="宋体" w:cs="宋体"/>
                <w:b/>
                <w:bCs/>
                <w:color w:val="auto"/>
                <w:sz w:val="24"/>
                <w:szCs w:val="24"/>
              </w:rPr>
              <w:t>投标总价</w:t>
            </w:r>
          </w:p>
          <w:p w14:paraId="06853F85">
            <w:pPr>
              <w:spacing w:line="360" w:lineRule="auto"/>
              <w:jc w:val="center"/>
              <w:outlineLvl w:val="9"/>
              <w:rPr>
                <w:rFonts w:hint="eastAsia" w:ascii="宋体" w:hAnsi="宋体" w:cs="宋体"/>
                <w:b/>
                <w:bCs/>
                <w:color w:val="auto"/>
                <w:sz w:val="24"/>
                <w:szCs w:val="24"/>
              </w:rPr>
            </w:pPr>
            <w:r>
              <w:rPr>
                <w:rFonts w:hint="eastAsia" w:ascii="宋体" w:hAnsi="宋体" w:cs="宋体"/>
                <w:b/>
                <w:bCs/>
                <w:color w:val="auto"/>
                <w:sz w:val="24"/>
                <w:szCs w:val="24"/>
              </w:rPr>
              <w:t>（人民币）</w:t>
            </w:r>
          </w:p>
        </w:tc>
        <w:tc>
          <w:tcPr>
            <w:tcW w:w="7560" w:type="dxa"/>
            <w:noWrap w:val="0"/>
            <w:vAlign w:val="center"/>
          </w:tcPr>
          <w:p w14:paraId="272A7CCF">
            <w:pPr>
              <w:spacing w:line="360" w:lineRule="auto"/>
              <w:outlineLvl w:val="9"/>
              <w:rPr>
                <w:rFonts w:hint="eastAsia" w:ascii="宋体" w:hAnsi="宋体" w:cs="宋体"/>
                <w:b/>
                <w:bCs/>
                <w:color w:val="auto"/>
                <w:sz w:val="24"/>
                <w:szCs w:val="24"/>
              </w:rPr>
            </w:pPr>
            <w:r>
              <w:rPr>
                <w:rFonts w:hint="eastAsia" w:ascii="宋体" w:hAnsi="宋体" w:cs="宋体"/>
                <w:b/>
                <w:bCs/>
                <w:color w:val="auto"/>
                <w:sz w:val="24"/>
                <w:szCs w:val="24"/>
              </w:rPr>
              <w:t>小写金额：</w:t>
            </w:r>
            <w:r>
              <w:rPr>
                <w:rFonts w:hint="eastAsia" w:ascii="宋体" w:hAnsi="宋体" w:cs="宋体"/>
                <w:b/>
                <w:bCs/>
                <w:color w:val="auto"/>
                <w:sz w:val="24"/>
                <w:szCs w:val="24"/>
                <w:u w:val="single"/>
              </w:rPr>
              <w:t xml:space="preserve">                        </w:t>
            </w:r>
            <w:r>
              <w:rPr>
                <w:rFonts w:hint="eastAsia" w:ascii="宋体" w:hAnsi="宋体" w:cs="宋体"/>
                <w:b/>
                <w:bCs/>
                <w:color w:val="auto"/>
                <w:sz w:val="24"/>
                <w:szCs w:val="24"/>
              </w:rPr>
              <w:t xml:space="preserve"> </w:t>
            </w:r>
          </w:p>
          <w:p w14:paraId="68F09646">
            <w:pPr>
              <w:spacing w:line="360" w:lineRule="auto"/>
              <w:outlineLvl w:val="9"/>
              <w:rPr>
                <w:rFonts w:hint="eastAsia" w:ascii="宋体" w:hAnsi="宋体" w:cs="宋体"/>
                <w:color w:val="auto"/>
                <w:sz w:val="24"/>
                <w:szCs w:val="24"/>
              </w:rPr>
            </w:pPr>
            <w:r>
              <w:rPr>
                <w:rFonts w:hint="eastAsia" w:ascii="宋体" w:hAnsi="宋体" w:cs="宋体"/>
                <w:b/>
                <w:bCs/>
                <w:color w:val="auto"/>
                <w:sz w:val="24"/>
                <w:szCs w:val="24"/>
              </w:rPr>
              <w:t>大写金额：</w:t>
            </w:r>
            <w:r>
              <w:rPr>
                <w:rFonts w:hint="eastAsia" w:ascii="宋体" w:hAnsi="宋体" w:cs="宋体"/>
                <w:b/>
                <w:bCs/>
                <w:color w:val="auto"/>
                <w:sz w:val="24"/>
                <w:szCs w:val="24"/>
                <w:u w:val="single"/>
              </w:rPr>
              <w:t xml:space="preserve">                        </w:t>
            </w:r>
          </w:p>
        </w:tc>
      </w:tr>
      <w:tr w14:paraId="2ED3D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19" w:hRule="atLeast"/>
          <w:jc w:val="center"/>
        </w:trPr>
        <w:tc>
          <w:tcPr>
            <w:tcW w:w="1679" w:type="dxa"/>
            <w:noWrap w:val="0"/>
            <w:vAlign w:val="center"/>
          </w:tcPr>
          <w:p w14:paraId="7B237FA3">
            <w:pPr>
              <w:spacing w:line="360" w:lineRule="auto"/>
              <w:jc w:val="center"/>
              <w:outlineLvl w:val="9"/>
              <w:rPr>
                <w:rFonts w:hint="eastAsia" w:ascii="宋体" w:hAnsi="宋体" w:cs="宋体"/>
                <w:b/>
                <w:bCs/>
                <w:color w:val="auto"/>
                <w:sz w:val="24"/>
                <w:szCs w:val="24"/>
              </w:rPr>
            </w:pPr>
            <w:r>
              <w:rPr>
                <w:rFonts w:hint="eastAsia" w:ascii="宋体" w:hAnsi="宋体" w:cs="宋体"/>
                <w:b/>
                <w:bCs/>
                <w:color w:val="auto"/>
                <w:sz w:val="24"/>
                <w:szCs w:val="24"/>
              </w:rPr>
              <w:t>投标人</w:t>
            </w:r>
          </w:p>
          <w:p w14:paraId="6D6A4A5F">
            <w:pPr>
              <w:spacing w:line="360" w:lineRule="auto"/>
              <w:jc w:val="center"/>
              <w:outlineLvl w:val="9"/>
              <w:rPr>
                <w:rFonts w:hint="eastAsia" w:ascii="宋体" w:hAnsi="宋体" w:cs="宋体"/>
                <w:b/>
                <w:bCs/>
                <w:color w:val="auto"/>
                <w:sz w:val="24"/>
                <w:szCs w:val="24"/>
              </w:rPr>
            </w:pPr>
            <w:r>
              <w:rPr>
                <w:rFonts w:hint="eastAsia" w:ascii="宋体" w:hAnsi="宋体" w:cs="宋体"/>
                <w:b/>
                <w:bCs/>
                <w:color w:val="auto"/>
                <w:sz w:val="24"/>
                <w:szCs w:val="24"/>
              </w:rPr>
              <w:t>（公司名称）</w:t>
            </w:r>
          </w:p>
        </w:tc>
        <w:tc>
          <w:tcPr>
            <w:tcW w:w="7560" w:type="dxa"/>
            <w:noWrap w:val="0"/>
            <w:vAlign w:val="center"/>
          </w:tcPr>
          <w:p w14:paraId="5526CE71">
            <w:pPr>
              <w:spacing w:line="360" w:lineRule="auto"/>
              <w:outlineLvl w:val="9"/>
              <w:rPr>
                <w:rFonts w:hint="eastAsia" w:ascii="宋体" w:hAnsi="宋体" w:cs="宋体"/>
                <w:color w:val="auto"/>
                <w:sz w:val="24"/>
                <w:szCs w:val="24"/>
              </w:rPr>
            </w:pPr>
          </w:p>
        </w:tc>
      </w:tr>
      <w:tr w14:paraId="282BF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41" w:hRule="atLeast"/>
          <w:jc w:val="center"/>
        </w:trPr>
        <w:tc>
          <w:tcPr>
            <w:tcW w:w="1679" w:type="dxa"/>
            <w:noWrap w:val="0"/>
            <w:vAlign w:val="center"/>
          </w:tcPr>
          <w:p w14:paraId="7F629528">
            <w:pPr>
              <w:spacing w:line="360" w:lineRule="auto"/>
              <w:jc w:val="center"/>
              <w:outlineLvl w:val="9"/>
              <w:rPr>
                <w:rFonts w:hint="eastAsia" w:ascii="宋体" w:hAnsi="宋体" w:eastAsia="宋体"/>
                <w:b/>
                <w:color w:val="auto"/>
                <w:sz w:val="24"/>
                <w:szCs w:val="24"/>
                <w:lang w:eastAsia="zh-CN"/>
              </w:rPr>
            </w:pPr>
            <w:r>
              <w:rPr>
                <w:rFonts w:hint="eastAsia" w:ascii="宋体" w:hAnsi="宋体"/>
                <w:b/>
                <w:color w:val="auto"/>
                <w:sz w:val="24"/>
                <w:szCs w:val="24"/>
                <w:lang w:val="en-US" w:eastAsia="zh-CN"/>
              </w:rPr>
              <w:t>工期</w:t>
            </w:r>
          </w:p>
        </w:tc>
        <w:tc>
          <w:tcPr>
            <w:tcW w:w="7560" w:type="dxa"/>
            <w:noWrap w:val="0"/>
            <w:vAlign w:val="center"/>
          </w:tcPr>
          <w:p w14:paraId="4FDDEF09">
            <w:pPr>
              <w:spacing w:line="360" w:lineRule="auto"/>
              <w:outlineLvl w:val="9"/>
              <w:rPr>
                <w:rFonts w:hint="eastAsia" w:ascii="宋体" w:hAnsi="宋体" w:cs="宋体"/>
                <w:color w:val="auto"/>
                <w:sz w:val="24"/>
                <w:szCs w:val="24"/>
              </w:rPr>
            </w:pPr>
          </w:p>
        </w:tc>
      </w:tr>
      <w:tr w14:paraId="35E76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41" w:hRule="atLeast"/>
          <w:jc w:val="center"/>
        </w:trPr>
        <w:tc>
          <w:tcPr>
            <w:tcW w:w="1679" w:type="dxa"/>
            <w:noWrap w:val="0"/>
            <w:vAlign w:val="center"/>
          </w:tcPr>
          <w:p w14:paraId="719D2588">
            <w:pPr>
              <w:spacing w:line="360" w:lineRule="auto"/>
              <w:jc w:val="center"/>
              <w:outlineLvl w:val="9"/>
              <w:rPr>
                <w:rFonts w:hint="default" w:ascii="宋体" w:hAnsi="宋体"/>
                <w:b/>
                <w:color w:val="auto"/>
                <w:sz w:val="24"/>
                <w:szCs w:val="24"/>
                <w:lang w:val="en-US" w:eastAsia="zh-CN"/>
              </w:rPr>
            </w:pPr>
            <w:r>
              <w:rPr>
                <w:rFonts w:hint="eastAsia" w:ascii="宋体" w:hAnsi="宋体"/>
                <w:b/>
                <w:color w:val="auto"/>
                <w:sz w:val="24"/>
                <w:szCs w:val="24"/>
                <w:lang w:val="en-US" w:eastAsia="zh-CN"/>
              </w:rPr>
              <w:t>质保期</w:t>
            </w:r>
          </w:p>
        </w:tc>
        <w:tc>
          <w:tcPr>
            <w:tcW w:w="7560" w:type="dxa"/>
            <w:noWrap w:val="0"/>
            <w:vAlign w:val="center"/>
          </w:tcPr>
          <w:p w14:paraId="0BFA3ABD">
            <w:pPr>
              <w:spacing w:line="360" w:lineRule="auto"/>
              <w:outlineLvl w:val="9"/>
              <w:rPr>
                <w:rFonts w:hint="eastAsia" w:ascii="宋体" w:hAnsi="宋体" w:cs="宋体"/>
                <w:color w:val="auto"/>
                <w:sz w:val="24"/>
                <w:szCs w:val="24"/>
              </w:rPr>
            </w:pPr>
          </w:p>
        </w:tc>
      </w:tr>
      <w:tr w14:paraId="36212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41" w:hRule="atLeast"/>
          <w:jc w:val="center"/>
        </w:trPr>
        <w:tc>
          <w:tcPr>
            <w:tcW w:w="1679" w:type="dxa"/>
            <w:noWrap w:val="0"/>
            <w:vAlign w:val="center"/>
          </w:tcPr>
          <w:p w14:paraId="4E9B26A6">
            <w:pPr>
              <w:spacing w:line="360" w:lineRule="auto"/>
              <w:jc w:val="center"/>
              <w:outlineLvl w:val="9"/>
              <w:rPr>
                <w:rFonts w:hint="default" w:ascii="宋体" w:hAnsi="宋体"/>
                <w:b/>
                <w:color w:val="auto"/>
                <w:sz w:val="24"/>
                <w:szCs w:val="24"/>
                <w:lang w:val="en-US" w:eastAsia="zh-CN"/>
              </w:rPr>
            </w:pPr>
            <w:r>
              <w:rPr>
                <w:rFonts w:hint="eastAsia" w:ascii="宋体" w:hAnsi="宋体"/>
                <w:b/>
                <w:color w:val="auto"/>
                <w:sz w:val="24"/>
                <w:szCs w:val="24"/>
                <w:lang w:val="en-US" w:eastAsia="zh-CN"/>
              </w:rPr>
              <w:t>工程质量</w:t>
            </w:r>
          </w:p>
        </w:tc>
        <w:tc>
          <w:tcPr>
            <w:tcW w:w="7560" w:type="dxa"/>
            <w:noWrap w:val="0"/>
            <w:vAlign w:val="center"/>
          </w:tcPr>
          <w:p w14:paraId="06C24390">
            <w:pPr>
              <w:spacing w:line="360" w:lineRule="auto"/>
              <w:outlineLvl w:val="9"/>
              <w:rPr>
                <w:rFonts w:hint="eastAsia" w:ascii="宋体" w:hAnsi="宋体" w:cs="宋体"/>
                <w:color w:val="auto"/>
                <w:sz w:val="24"/>
                <w:szCs w:val="24"/>
              </w:rPr>
            </w:pPr>
          </w:p>
        </w:tc>
      </w:tr>
      <w:tr w14:paraId="01D41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5" w:hRule="atLeast"/>
          <w:jc w:val="center"/>
        </w:trPr>
        <w:tc>
          <w:tcPr>
            <w:tcW w:w="1679" w:type="dxa"/>
            <w:noWrap w:val="0"/>
            <w:vAlign w:val="center"/>
          </w:tcPr>
          <w:p w14:paraId="28711ACB">
            <w:pPr>
              <w:spacing w:line="360" w:lineRule="auto"/>
              <w:jc w:val="center"/>
              <w:outlineLvl w:val="9"/>
              <w:rPr>
                <w:rFonts w:hint="eastAsia" w:ascii="宋体" w:hAnsi="宋体" w:cs="宋体"/>
                <w:b/>
                <w:bCs/>
                <w:color w:val="auto"/>
                <w:sz w:val="24"/>
              </w:rPr>
            </w:pPr>
            <w:r>
              <w:rPr>
                <w:rFonts w:hint="eastAsia" w:ascii="宋体" w:hAnsi="宋体" w:cs="宋体"/>
                <w:b/>
                <w:bCs/>
                <w:color w:val="auto"/>
                <w:sz w:val="24"/>
              </w:rPr>
              <w:t>投标声明</w:t>
            </w:r>
          </w:p>
        </w:tc>
        <w:tc>
          <w:tcPr>
            <w:tcW w:w="7560" w:type="dxa"/>
            <w:noWrap w:val="0"/>
            <w:vAlign w:val="center"/>
          </w:tcPr>
          <w:p w14:paraId="5740848F">
            <w:pPr>
              <w:spacing w:line="360" w:lineRule="auto"/>
              <w:outlineLvl w:val="9"/>
              <w:rPr>
                <w:rFonts w:hint="eastAsia" w:ascii="宋体" w:hAnsi="宋体" w:cs="宋体"/>
                <w:color w:val="auto"/>
                <w:sz w:val="24"/>
                <w:szCs w:val="24"/>
              </w:rPr>
            </w:pPr>
          </w:p>
        </w:tc>
      </w:tr>
    </w:tbl>
    <w:p w14:paraId="638D83C0">
      <w:pPr>
        <w:outlineLvl w:val="9"/>
        <w:rPr>
          <w:rFonts w:hint="eastAsia" w:ascii="宋体" w:hAnsi="宋体" w:cs="宋体"/>
          <w:color w:val="auto"/>
        </w:rPr>
      </w:pPr>
    </w:p>
    <w:p w14:paraId="5D9D486C">
      <w:pPr>
        <w:spacing w:line="360" w:lineRule="auto"/>
        <w:outlineLvl w:val="9"/>
        <w:rPr>
          <w:rFonts w:hint="eastAsia" w:ascii="宋体" w:hAnsi="宋体" w:cs="宋体"/>
          <w:color w:val="auto"/>
          <w:sz w:val="24"/>
        </w:rPr>
      </w:pPr>
    </w:p>
    <w:p w14:paraId="0C9A2D4F">
      <w:pPr>
        <w:widowControl/>
        <w:jc w:val="right"/>
        <w:outlineLvl w:val="9"/>
        <w:rPr>
          <w:color w:val="auto"/>
        </w:rPr>
      </w:pPr>
      <w:r>
        <w:rPr>
          <w:rFonts w:hint="eastAsia" w:ascii="宋体" w:hAnsi="宋体" w:cs="宋体"/>
          <w:color w:val="auto"/>
          <w:sz w:val="24"/>
          <w:szCs w:val="24"/>
        </w:rPr>
        <w:t xml:space="preserve">  法人代表或被授权代表：</w:t>
      </w:r>
      <w:r>
        <w:rPr>
          <w:rFonts w:hint="eastAsia" w:ascii="宋体" w:hAnsi="宋体" w:cs="宋体"/>
          <w:color w:val="auto"/>
          <w:sz w:val="24"/>
          <w:szCs w:val="24"/>
          <w:u w:val="single"/>
        </w:rPr>
        <w:t xml:space="preserve">                      </w:t>
      </w:r>
      <w:r>
        <w:rPr>
          <w:rFonts w:hint="eastAsia" w:ascii="宋体" w:hAnsi="宋体" w:cs="宋体"/>
          <w:color w:val="auto"/>
          <w:kern w:val="0"/>
          <w:sz w:val="24"/>
          <w:szCs w:val="24"/>
          <w:lang w:bidi="ar"/>
        </w:rPr>
        <w:t xml:space="preserve">（盖章或签字） </w:t>
      </w:r>
    </w:p>
    <w:p w14:paraId="2E9AEEFD">
      <w:pPr>
        <w:ind w:right="-161"/>
        <w:outlineLvl w:val="9"/>
        <w:rPr>
          <w:rFonts w:hint="eastAsia" w:ascii="宋体" w:hAnsi="宋体" w:cs="宋体"/>
          <w:color w:val="auto"/>
          <w:sz w:val="24"/>
          <w:szCs w:val="24"/>
          <w:u w:val="single"/>
        </w:rPr>
      </w:pPr>
    </w:p>
    <w:p w14:paraId="18EB947D">
      <w:pPr>
        <w:widowControl/>
        <w:spacing w:line="360" w:lineRule="auto"/>
        <w:jc w:val="center"/>
        <w:outlineLvl w:val="9"/>
        <w:rPr>
          <w:color w:val="auto"/>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投   标   人  ：</w:t>
      </w:r>
      <w:r>
        <w:rPr>
          <w:rFonts w:hint="eastAsia" w:ascii="宋体" w:hAnsi="宋体" w:cs="宋体"/>
          <w:color w:val="auto"/>
          <w:sz w:val="24"/>
          <w:szCs w:val="24"/>
          <w:u w:val="single"/>
        </w:rPr>
        <w:t xml:space="preserve">                             </w:t>
      </w:r>
      <w:r>
        <w:rPr>
          <w:rFonts w:hint="eastAsia" w:ascii="宋体" w:hAnsi="宋体" w:cs="宋体"/>
          <w:color w:val="auto"/>
          <w:kern w:val="0"/>
          <w:sz w:val="24"/>
          <w:szCs w:val="24"/>
          <w:lang w:bidi="ar"/>
        </w:rPr>
        <w:t xml:space="preserve">（盖单位章） </w:t>
      </w:r>
    </w:p>
    <w:p w14:paraId="508421E7">
      <w:pPr>
        <w:ind w:right="-161" w:firstLine="2160" w:firstLineChars="900"/>
        <w:outlineLvl w:val="9"/>
        <w:rPr>
          <w:rFonts w:hint="eastAsia" w:ascii="宋体" w:hAnsi="宋体" w:cs="宋体"/>
          <w:color w:val="auto"/>
          <w:sz w:val="24"/>
          <w:szCs w:val="24"/>
          <w:u w:val="single"/>
        </w:rPr>
      </w:pPr>
      <w:r>
        <w:rPr>
          <w:rFonts w:hint="eastAsia" w:ascii="宋体" w:hAnsi="宋体" w:cs="宋体"/>
          <w:color w:val="auto"/>
          <w:sz w:val="24"/>
          <w:szCs w:val="24"/>
        </w:rPr>
        <w:t>日                 期：</w:t>
      </w:r>
      <w:r>
        <w:rPr>
          <w:rFonts w:hint="eastAsia" w:ascii="宋体" w:hAnsi="宋体" w:cs="宋体"/>
          <w:color w:val="auto"/>
          <w:sz w:val="24"/>
          <w:szCs w:val="24"/>
          <w:u w:val="single"/>
        </w:rPr>
        <w:t xml:space="preserve">                      </w:t>
      </w:r>
    </w:p>
    <w:p w14:paraId="26A7DBDA">
      <w:pPr>
        <w:ind w:right="-161" w:firstLine="2640" w:firstLineChars="1100"/>
        <w:outlineLvl w:val="9"/>
        <w:rPr>
          <w:rFonts w:hint="eastAsia" w:ascii="宋体" w:hAnsi="宋体" w:cs="宋体"/>
          <w:color w:val="auto"/>
          <w:sz w:val="24"/>
          <w:szCs w:val="24"/>
          <w:u w:val="single"/>
        </w:rPr>
      </w:pPr>
    </w:p>
    <w:p w14:paraId="1287F009">
      <w:pPr>
        <w:spacing w:line="120" w:lineRule="exact"/>
        <w:outlineLvl w:val="9"/>
        <w:rPr>
          <w:rFonts w:ascii="宋体" w:hAnsi="宋体" w:cs="宋体"/>
          <w:color w:val="auto"/>
          <w:sz w:val="24"/>
          <w:szCs w:val="24"/>
        </w:rPr>
      </w:pPr>
    </w:p>
    <w:p w14:paraId="3F7E9C5F">
      <w:pPr>
        <w:pStyle w:val="10"/>
        <w:outlineLvl w:val="9"/>
        <w:rPr>
          <w:color w:val="auto"/>
        </w:rPr>
      </w:pPr>
    </w:p>
    <w:p w14:paraId="2251E5B9">
      <w:pPr>
        <w:spacing w:line="480" w:lineRule="auto"/>
        <w:ind w:right="-161"/>
        <w:jc w:val="center"/>
        <w:outlineLvl w:val="9"/>
        <w:rPr>
          <w:rFonts w:hint="eastAsia"/>
          <w:b/>
          <w:bCs/>
          <w:color w:val="auto"/>
          <w:sz w:val="36"/>
          <w:szCs w:val="16"/>
        </w:rPr>
        <w:sectPr>
          <w:pgSz w:w="11906" w:h="16838"/>
          <w:pgMar w:top="1383" w:right="1383" w:bottom="1383" w:left="1383" w:header="851" w:footer="992" w:gutter="0"/>
          <w:pgNumType w:fmt="decimal"/>
          <w:cols w:space="720" w:num="1"/>
          <w:docGrid w:linePitch="312" w:charSpace="0"/>
        </w:sectPr>
      </w:pPr>
      <w:bookmarkStart w:id="316" w:name="_Toc1408"/>
      <w:bookmarkStart w:id="317" w:name="_Toc21755"/>
      <w:bookmarkStart w:id="318" w:name="_Toc859"/>
      <w:bookmarkStart w:id="319" w:name="_Toc776"/>
      <w:bookmarkStart w:id="320" w:name="_Toc16078"/>
      <w:bookmarkStart w:id="321" w:name="_Toc8483"/>
      <w:bookmarkStart w:id="322" w:name="_Toc5971"/>
      <w:bookmarkStart w:id="323" w:name="_Toc26878"/>
      <w:bookmarkStart w:id="324" w:name="_Toc30603"/>
      <w:bookmarkStart w:id="325" w:name="_Toc3758"/>
      <w:bookmarkStart w:id="326" w:name="_Toc27665"/>
      <w:bookmarkStart w:id="327" w:name="_Toc9067"/>
      <w:bookmarkStart w:id="328" w:name="_Toc29346"/>
      <w:bookmarkStart w:id="329" w:name="_Toc1083"/>
      <w:bookmarkStart w:id="330" w:name="_Toc14005"/>
    </w:p>
    <w:p w14:paraId="52E69901">
      <w:pPr>
        <w:snapToGrid w:val="0"/>
        <w:spacing w:line="360" w:lineRule="auto"/>
        <w:jc w:val="center"/>
        <w:outlineLvl w:val="1"/>
        <w:rPr>
          <w:rFonts w:ascii="宋体" w:hAnsi="宋体" w:cs="宋体"/>
          <w:b/>
          <w:color w:val="auto"/>
          <w:sz w:val="32"/>
          <w:szCs w:val="32"/>
        </w:rPr>
      </w:pPr>
      <w:bookmarkStart w:id="331" w:name="_Toc17745"/>
      <w:r>
        <w:rPr>
          <w:rFonts w:hint="eastAsia" w:ascii="宋体" w:hAnsi="宋体" w:cs="宋体"/>
          <w:b/>
          <w:color w:val="auto"/>
          <w:sz w:val="32"/>
          <w:szCs w:val="32"/>
          <w:lang w:val="en-US" w:eastAsia="zh-CN"/>
        </w:rPr>
        <w:t>三、</w:t>
      </w:r>
      <w:r>
        <w:rPr>
          <w:rFonts w:hint="eastAsia" w:ascii="宋体" w:hAnsi="宋体" w:cs="宋体"/>
          <w:b/>
          <w:color w:val="auto"/>
          <w:sz w:val="32"/>
          <w:szCs w:val="32"/>
        </w:rPr>
        <w:t>磋商分项报价表</w:t>
      </w:r>
      <w:bookmarkEnd w:id="331"/>
    </w:p>
    <w:p w14:paraId="1CCD75C0">
      <w:pPr>
        <w:jc w:val="center"/>
        <w:outlineLvl w:val="9"/>
        <w:rPr>
          <w:color w:val="auto"/>
        </w:rPr>
      </w:pPr>
    </w:p>
    <w:p w14:paraId="63A24FAD">
      <w:pPr>
        <w:spacing w:line="480" w:lineRule="auto"/>
        <w:ind w:right="-161"/>
        <w:jc w:val="center"/>
        <w:outlineLvl w:val="9"/>
        <w:rPr>
          <w:rFonts w:hint="eastAsia" w:eastAsia="宋体"/>
          <w:b w:val="0"/>
          <w:bCs w:val="0"/>
          <w:color w:val="auto"/>
          <w:sz w:val="24"/>
          <w:szCs w:val="24"/>
          <w:lang w:eastAsia="zh-CN"/>
        </w:rPr>
      </w:pPr>
      <w:r>
        <w:rPr>
          <w:rFonts w:hint="eastAsia"/>
          <w:b w:val="0"/>
          <w:bCs w:val="0"/>
          <w:color w:val="auto"/>
          <w:sz w:val="24"/>
          <w:szCs w:val="24"/>
          <w:lang w:eastAsia="zh-CN"/>
        </w:rPr>
        <w:t>（</w:t>
      </w:r>
      <w:r>
        <w:rPr>
          <w:rFonts w:hint="eastAsia"/>
          <w:b w:val="0"/>
          <w:bCs w:val="0"/>
          <w:color w:val="auto"/>
          <w:sz w:val="24"/>
          <w:szCs w:val="24"/>
          <w:lang w:val="en-US" w:eastAsia="zh-CN"/>
        </w:rPr>
        <w:t>以软件生成为准</w:t>
      </w:r>
      <w:r>
        <w:rPr>
          <w:rFonts w:hint="eastAsia"/>
          <w:b w:val="0"/>
          <w:bCs w:val="0"/>
          <w:color w:val="auto"/>
          <w:sz w:val="24"/>
          <w:szCs w:val="24"/>
          <w:lang w:eastAsia="zh-CN"/>
        </w:rPr>
        <w:t>）</w:t>
      </w:r>
    </w:p>
    <w:p w14:paraId="47BAACCC">
      <w:pPr>
        <w:outlineLvl w:val="9"/>
        <w:rPr>
          <w:rFonts w:hint="eastAsia"/>
          <w:color w:val="auto"/>
        </w:rPr>
      </w:pPr>
    </w:p>
    <w:p w14:paraId="4612EA0F">
      <w:pPr>
        <w:spacing w:line="480" w:lineRule="auto"/>
        <w:ind w:right="-161"/>
        <w:jc w:val="center"/>
        <w:outlineLvl w:val="9"/>
        <w:rPr>
          <w:rFonts w:hint="eastAsia"/>
          <w:b/>
          <w:bCs/>
          <w:color w:val="auto"/>
          <w:sz w:val="36"/>
          <w:szCs w:val="16"/>
          <w:lang w:val="en-US" w:eastAsia="zh-CN"/>
        </w:rPr>
        <w:sectPr>
          <w:pgSz w:w="11906" w:h="16838"/>
          <w:pgMar w:top="1383" w:right="1383" w:bottom="1383" w:left="1383" w:header="851" w:footer="992" w:gutter="0"/>
          <w:pgNumType w:fmt="decimal"/>
          <w:cols w:space="720" w:num="1"/>
          <w:docGrid w:linePitch="312" w:charSpace="0"/>
        </w:sectPr>
      </w:pPr>
    </w:p>
    <w:p w14:paraId="608B4DAA">
      <w:pPr>
        <w:spacing w:line="480" w:lineRule="auto"/>
        <w:ind w:right="-161"/>
        <w:jc w:val="center"/>
        <w:outlineLvl w:val="1"/>
        <w:rPr>
          <w:rFonts w:hint="eastAsia" w:ascii="宋体" w:hAnsi="宋体" w:cs="宋体"/>
          <w:b/>
          <w:bCs/>
          <w:color w:val="auto"/>
          <w:sz w:val="24"/>
          <w:szCs w:val="24"/>
          <w:u w:val="single"/>
        </w:rPr>
      </w:pPr>
      <w:bookmarkStart w:id="332" w:name="_Toc17162"/>
      <w:r>
        <w:rPr>
          <w:rFonts w:hint="eastAsia"/>
          <w:b/>
          <w:bCs/>
          <w:color w:val="auto"/>
          <w:sz w:val="36"/>
          <w:szCs w:val="16"/>
          <w:lang w:val="en-US" w:eastAsia="zh-CN"/>
        </w:rPr>
        <w:t>四</w:t>
      </w:r>
      <w:r>
        <w:rPr>
          <w:rFonts w:hint="eastAsia"/>
          <w:b/>
          <w:bCs/>
          <w:color w:val="auto"/>
          <w:sz w:val="36"/>
          <w:szCs w:val="16"/>
        </w:rPr>
        <w:t>、资格证明文件</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2"/>
    </w:p>
    <w:p w14:paraId="14495D7C">
      <w:pPr>
        <w:spacing w:before="120" w:beforeLines="50" w:line="400" w:lineRule="exact"/>
        <w:ind w:left="-141" w:leftChars="-67" w:firstLine="480" w:firstLineChars="200"/>
        <w:outlineLvl w:val="9"/>
        <w:rPr>
          <w:rFonts w:hint="eastAsia" w:ascii="宋体" w:hAnsi="宋体" w:eastAsia="宋体" w:cs="宋体"/>
          <w:color w:val="auto"/>
          <w:sz w:val="24"/>
          <w:szCs w:val="24"/>
        </w:rPr>
        <w:sectPr>
          <w:pgSz w:w="11906" w:h="16838"/>
          <w:pgMar w:top="1440" w:right="1287" w:bottom="1440" w:left="1440" w:header="850" w:footer="992" w:gutter="0"/>
          <w:pgNumType w:fmt="decimal"/>
          <w:cols w:space="720" w:num="1"/>
          <w:titlePg/>
          <w:docGrid w:linePitch="360" w:charSpace="0"/>
        </w:sectPr>
      </w:pP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按“第</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 xml:space="preserve">章 </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lang w:val="en-US" w:eastAsia="zh-CN"/>
        </w:rPr>
        <w:t>公告 二、申请人的资格要求 3.本项目的特定资格要求</w:t>
      </w:r>
      <w:r>
        <w:rPr>
          <w:rFonts w:hint="eastAsia" w:ascii="宋体" w:hAnsi="宋体" w:eastAsia="宋体" w:cs="宋体"/>
          <w:color w:val="auto"/>
          <w:sz w:val="24"/>
          <w:szCs w:val="24"/>
        </w:rPr>
        <w:t>”逐一提供全部资料，缺少其中任何一项，其投标文件将被视为无效文件。其中，《</w:t>
      </w:r>
      <w:r>
        <w:rPr>
          <w:rFonts w:hint="eastAsia" w:ascii="宋体" w:hAnsi="宋体" w:eastAsia="宋体" w:cs="宋体"/>
          <w:color w:val="auto"/>
          <w:sz w:val="24"/>
          <w:szCs w:val="24"/>
          <w:lang w:eastAsia="zh-CN"/>
        </w:rPr>
        <w:t>榆林市政府采购工程类项目供应商信用承诺书</w:t>
      </w:r>
      <w:r>
        <w:rPr>
          <w:rFonts w:hint="eastAsia" w:ascii="宋体" w:hAnsi="宋体" w:eastAsia="宋体" w:cs="宋体"/>
          <w:color w:val="auto"/>
          <w:sz w:val="24"/>
          <w:szCs w:val="24"/>
        </w:rPr>
        <w:t>》、《投标人信用承诺》、《投标信用承诺》、《投标人委托代理人员信用承诺书》（如有）应按下文给定格式填写，否则</w:t>
      </w:r>
      <w:r>
        <w:rPr>
          <w:rFonts w:hint="eastAsia" w:ascii="宋体" w:hAnsi="宋体" w:eastAsia="宋体" w:cs="宋体"/>
          <w:b/>
          <w:bCs/>
          <w:color w:val="auto"/>
          <w:sz w:val="24"/>
          <w:szCs w:val="24"/>
        </w:rPr>
        <w:t>按无效处理</w:t>
      </w:r>
      <w:r>
        <w:rPr>
          <w:rFonts w:hint="eastAsia" w:ascii="宋体" w:hAnsi="宋体" w:eastAsia="宋体" w:cs="宋体"/>
          <w:color w:val="auto"/>
          <w:sz w:val="24"/>
          <w:szCs w:val="24"/>
        </w:rPr>
        <w:t>。</w:t>
      </w:r>
    </w:p>
    <w:p w14:paraId="4E77A3A6">
      <w:pPr>
        <w:keepNext w:val="0"/>
        <w:keepLines w:val="0"/>
        <w:pageBreakBefore w:val="0"/>
        <w:widowControl w:val="0"/>
        <w:kinsoku/>
        <w:wordWrap/>
        <w:autoSpaceDE/>
        <w:autoSpaceDN/>
        <w:bidi w:val="0"/>
        <w:adjustRightInd/>
        <w:snapToGrid/>
        <w:spacing w:line="360" w:lineRule="auto"/>
        <w:jc w:val="center"/>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榆林市政府采购工程类项目供应商信用承诺书</w:t>
      </w:r>
    </w:p>
    <w:p w14:paraId="0863F4C6">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p>
    <w:p w14:paraId="0CDBB993">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市场主体名称：</w:t>
      </w:r>
    </w:p>
    <w:p w14:paraId="649159D3">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证件类型：统一社会信用代码</w:t>
      </w:r>
    </w:p>
    <w:p w14:paraId="1E185E2C">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证件号码：</w:t>
      </w:r>
    </w:p>
    <w:p w14:paraId="27F5BB76">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法人代表：</w:t>
      </w:r>
    </w:p>
    <w:p w14:paraId="0F0ADDBB">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承诺有效期限：    年    月    日—    年    月    日</w:t>
      </w:r>
    </w:p>
    <w:p w14:paraId="746EC80E">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承诺内容：</w:t>
      </w:r>
    </w:p>
    <w:p w14:paraId="537894A6">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为维护公开、公平、公正的政府采购市场秩序，树立诚实守信的政府采购供应商形象，本单位自愿做出以下承诺：</w:t>
      </w:r>
    </w:p>
    <w:p w14:paraId="0AFE4F3A">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一、承诺本单位严格遵守国家法律、法规和规章，全面履行应尽的责任和义务，全面做到履约守信，具备《政府采购法》第二十二条第一款规定的条件;</w:t>
      </w:r>
    </w:p>
    <w:p w14:paraId="2AAA0993">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二、承诺本单位提供给注册登记部门、行业管理部门、司法部门、行业组织以及在政府采购活动中提交的所有资料均合法、真实、有效，无任何伪造、修改、虚假成份，并对所提供资料的真实性负责；</w:t>
      </w:r>
    </w:p>
    <w:p w14:paraId="6A1512C7">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三、承诺本单位严格依法开展生产经营活动，主动接受行业监管，自愿接受依法开展的日常检查；违法失信经营后将自愿接受约束和惩戒，并依法承担相应责任；</w:t>
      </w:r>
    </w:p>
    <w:p w14:paraId="462BF447">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四、承诺本单位自觉接受行政管理部门、行业组织、社会公众、新闻舆论的监督；</w:t>
      </w:r>
    </w:p>
    <w:p w14:paraId="0A821237">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五、承诺本单位自我约束、自我管理，重合同、守信用，不制假售假、商标侵权、虚假宣传、违约毁约、恶意逃债、偷税漏税、价格欺诈、垄断和不正当竞争，维护经营者、消费者的合法权益；</w:t>
      </w:r>
    </w:p>
    <w:p w14:paraId="28774C6C">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六、承诺本单位提出政府采购质疑和投诉坚持依法依规、诚实信用原则，在全国范围12个月内没有三次以上查无实据的政府采购投诉；</w:t>
      </w:r>
    </w:p>
    <w:p w14:paraId="42E5E800">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七、根据政府采购相关法律法规的规定需要作出的其他诺：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46CC7854">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0A676760">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p>
    <w:p w14:paraId="0EABBA90">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承诺单位（盖章）：</w:t>
      </w:r>
    </w:p>
    <w:p w14:paraId="0910C39A">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法定代表人（负责人）：</w:t>
      </w:r>
    </w:p>
    <w:p w14:paraId="58BEE73F">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法定代表人（负责人）身份证号：</w:t>
      </w:r>
    </w:p>
    <w:p w14:paraId="5D51CD22">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承诺日期：</w:t>
      </w:r>
    </w:p>
    <w:p w14:paraId="6E6D9005">
      <w:pPr>
        <w:pStyle w:val="53"/>
        <w:keepNext w:val="0"/>
        <w:keepLines w:val="0"/>
        <w:pageBreakBefore w:val="0"/>
        <w:widowControl w:val="0"/>
        <w:kinsoku/>
        <w:wordWrap/>
        <w:autoSpaceDE/>
        <w:autoSpaceDN/>
        <w:bidi w:val="0"/>
        <w:adjustRightInd/>
        <w:snapToGrid/>
        <w:spacing w:line="360" w:lineRule="auto"/>
        <w:ind w:firstLine="0" w:firstLineChars="0"/>
        <w:textAlignment w:val="auto"/>
        <w:outlineLvl w:val="9"/>
        <w:rPr>
          <w:rFonts w:hint="eastAsia" w:ascii="宋体" w:hAnsi="宋体" w:eastAsia="宋体" w:cs="宋体"/>
          <w:b/>
          <w:bCs/>
          <w:color w:val="auto"/>
          <w:sz w:val="24"/>
          <w:szCs w:val="24"/>
        </w:rPr>
      </w:pPr>
    </w:p>
    <w:p w14:paraId="7C6C0575">
      <w:pPr>
        <w:pStyle w:val="53"/>
        <w:keepNext w:val="0"/>
        <w:keepLines w:val="0"/>
        <w:pageBreakBefore w:val="0"/>
        <w:widowControl w:val="0"/>
        <w:kinsoku/>
        <w:wordWrap/>
        <w:autoSpaceDE/>
        <w:autoSpaceDN/>
        <w:bidi w:val="0"/>
        <w:adjustRightInd/>
        <w:snapToGrid/>
        <w:spacing w:line="360" w:lineRule="auto"/>
        <w:ind w:firstLine="0" w:firstLineChars="0"/>
        <w:textAlignment w:val="auto"/>
        <w:outlineLvl w:val="9"/>
        <w:rPr>
          <w:rFonts w:hint="eastAsia" w:ascii="宋体" w:hAnsi="宋体" w:eastAsia="宋体" w:cs="宋体"/>
          <w:b/>
          <w:bCs/>
          <w:color w:val="auto"/>
          <w:sz w:val="24"/>
          <w:szCs w:val="24"/>
        </w:rPr>
      </w:pPr>
    </w:p>
    <w:p w14:paraId="6949A9E7">
      <w:pPr>
        <w:pStyle w:val="5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color w:val="auto"/>
          <w:kern w:val="2"/>
          <w:sz w:val="21"/>
          <w:szCs w:val="21"/>
          <w:lang w:val="en-US" w:eastAsia="zh-CN" w:bidi="ar-SA"/>
        </w:rPr>
        <w:t>注：此承诺书除附在投标文件中外还须上传至“信用中国（陕西榆林）”网站投标人自主上报信用承诺书附件。（承诺有效期为1年，承诺起始时间为提交投标文件截止之日，须后附截图。）法定代表人或负责人、主体名称发生变更的应当重新做出承诺。</w:t>
      </w:r>
      <w:r>
        <w:rPr>
          <w:rFonts w:hint="eastAsia" w:ascii="宋体" w:hAnsi="宋体" w:eastAsia="宋体" w:cs="宋体"/>
          <w:color w:val="auto"/>
          <w:kern w:val="2"/>
          <w:sz w:val="21"/>
          <w:szCs w:val="21"/>
          <w:lang w:val="en-US" w:eastAsia="zh-CN" w:bidi="ar-SA"/>
        </w:rPr>
        <w:br w:type="page"/>
      </w:r>
      <w:r>
        <w:rPr>
          <w:rFonts w:hint="eastAsia" w:ascii="宋体" w:hAnsi="宋体" w:eastAsia="宋体" w:cs="宋体"/>
          <w:b/>
          <w:bCs/>
          <w:color w:val="auto"/>
          <w:sz w:val="24"/>
          <w:szCs w:val="24"/>
        </w:rPr>
        <w:t>投标人信用承诺</w:t>
      </w:r>
    </w:p>
    <w:p w14:paraId="7D878ECA">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w:t>
      </w:r>
    </w:p>
    <w:p w14:paraId="0C2CBB42">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统一社会信用代码：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法人代表：</w:t>
      </w:r>
      <w:r>
        <w:rPr>
          <w:rFonts w:hint="eastAsia" w:ascii="宋体" w:hAnsi="宋体" w:eastAsia="宋体" w:cs="宋体"/>
          <w:color w:val="auto"/>
          <w:sz w:val="24"/>
          <w:szCs w:val="24"/>
          <w:u w:val="single"/>
        </w:rPr>
        <w:t xml:space="preserve">                  </w:t>
      </w:r>
    </w:p>
    <w:p w14:paraId="4AE38427">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承诺有效期限：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3A7D3F8D">
      <w:pPr>
        <w:keepNext w:val="0"/>
        <w:keepLines w:val="0"/>
        <w:pageBreakBefore w:val="0"/>
        <w:widowControl/>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项目招投标活动中，我公司（单位）郑重作出以下信用承诺：</w:t>
      </w:r>
    </w:p>
    <w:p w14:paraId="03CE69FF">
      <w:pPr>
        <w:keepNext w:val="0"/>
        <w:keepLines w:val="0"/>
        <w:pageBreakBefore w:val="0"/>
        <w:widowControl/>
        <w:kinsoku/>
        <w:wordWrap/>
        <w:overflowPunct/>
        <w:topLinePunct w:val="0"/>
        <w:autoSpaceDE/>
        <w:autoSpaceDN/>
        <w:bidi w:val="0"/>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能严格遵守法律法规、职业道德和行业规范，具有独立承担民事责任的能力；符合依法依规应当具备的相关资质（资格）条件；具有独立承担中标项目的履约能力；具有良好的商业信誉和健全的财务会计制度；有依法缴纳税收和社会保障资金的良好记录；无法律法规规定禁止开展从业活动情形。所递交文件资料合法、真实、准确、完整、有效。</w:t>
      </w:r>
    </w:p>
    <w:p w14:paraId="0A77EB74">
      <w:pPr>
        <w:keepNext w:val="0"/>
        <w:keepLines w:val="0"/>
        <w:pageBreakBefore w:val="0"/>
        <w:widowControl/>
        <w:kinsoku/>
        <w:wordWrap/>
        <w:overflowPunct/>
        <w:topLinePunct w:val="0"/>
        <w:autoSpaceDE/>
        <w:autoSpaceDN/>
        <w:bidi w:val="0"/>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和投标文件与招标人签订合同；在签订合同时向招标人提出附加条件、或者改变投标文件的实质性内容；放弃中标；不按照</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的规定提交履约保证金。5.招投标法规定的其它违法违规行为。</w:t>
      </w:r>
    </w:p>
    <w:p w14:paraId="290B21DB">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（三）自愿接受招投标监督部门和有关行政监督部门的依法检查。</w:t>
      </w:r>
    </w:p>
    <w:p w14:paraId="356FBF94">
      <w:pPr>
        <w:keepNext w:val="0"/>
        <w:keepLines w:val="0"/>
        <w:pageBreakBefore w:val="0"/>
        <w:widowControl/>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（四）同意将此信用承诺纳入陕西省公共信用信息平台和榆林市公共信用信息共享平台，并上网公示，接受社会监督。</w:t>
      </w:r>
    </w:p>
    <w:p w14:paraId="59E4ADC5">
      <w:pPr>
        <w:keepNext w:val="0"/>
        <w:keepLines w:val="0"/>
        <w:pageBreakBefore w:val="0"/>
        <w:widowControl/>
        <w:kinsoku/>
        <w:wordWrap/>
        <w:overflowPunct/>
        <w:topLinePunct w:val="0"/>
        <w:autoSpaceDE/>
        <w:autoSpaceDN/>
        <w:bidi w:val="0"/>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若我公司（单位）及相关参与人员违背以上承诺事项，即被视为失信企业（法人），依据《关于对公共资源交易领域严重失信主体开展联合惩戒的备忘录》（发改法规[2018]457号），自愿接受失信联合惩戒和依法给予的行政处罚（处理），并依法承担赔偿责任和刑事责任。</w:t>
      </w:r>
    </w:p>
    <w:p w14:paraId="1FD1AB6F">
      <w:pPr>
        <w:keepNext w:val="0"/>
        <w:keepLines w:val="0"/>
        <w:pageBreakBefore w:val="0"/>
        <w:widowControl/>
        <w:tabs>
          <w:tab w:val="left" w:pos="4395"/>
        </w:tabs>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法定代表人（签章）：                           投标人（盖章）：</w:t>
      </w:r>
    </w:p>
    <w:p w14:paraId="1FC2D0C3">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4"/>
          <w:szCs w:val="24"/>
        </w:rPr>
      </w:pPr>
    </w:p>
    <w:p w14:paraId="0E274A56">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承诺时间：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3B3D72CF">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1"/>
          <w:szCs w:val="21"/>
        </w:rPr>
        <w:t>注：</w:t>
      </w:r>
      <w:r>
        <w:rPr>
          <w:rFonts w:hint="eastAsia" w:ascii="宋体" w:hAnsi="宋体" w:eastAsia="宋体" w:cs="宋体"/>
          <w:color w:val="auto"/>
          <w:sz w:val="21"/>
          <w:szCs w:val="21"/>
        </w:rPr>
        <w:t>此承诺书除附在投标文件中外还须上传至“信用中国（陕西榆林）”网站投标人自主上报信用承诺书附件。（承诺有效期同投标有效期，承诺起始时间为提交投标文件截止之日，须后附截图。）</w:t>
      </w:r>
      <w:r>
        <w:rPr>
          <w:rFonts w:hint="eastAsia" w:ascii="宋体" w:hAnsi="宋体" w:eastAsia="宋体" w:cs="宋体"/>
          <w:color w:val="auto"/>
          <w:sz w:val="21"/>
          <w:szCs w:val="21"/>
        </w:rPr>
        <w:br w:type="page"/>
      </w:r>
      <w:r>
        <w:rPr>
          <w:rFonts w:hint="eastAsia" w:ascii="宋体" w:hAnsi="宋体" w:eastAsia="宋体" w:cs="宋体"/>
          <w:b/>
          <w:bCs/>
          <w:color w:val="auto"/>
          <w:sz w:val="24"/>
          <w:szCs w:val="24"/>
        </w:rPr>
        <w:t>投标信用承诺书</w:t>
      </w:r>
    </w:p>
    <w:p w14:paraId="2D941859">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rPr>
      </w:pPr>
    </w:p>
    <w:p w14:paraId="1AD65DD5">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项目标段：</w:t>
      </w:r>
      <w:r>
        <w:rPr>
          <w:rFonts w:hint="eastAsia" w:ascii="宋体" w:hAnsi="宋体" w:eastAsia="宋体" w:cs="宋体"/>
          <w:color w:val="auto"/>
          <w:sz w:val="24"/>
          <w:szCs w:val="24"/>
          <w:u w:val="single"/>
        </w:rPr>
        <w:t xml:space="preserve">                                                                  </w:t>
      </w:r>
    </w:p>
    <w:p w14:paraId="0A7EC440">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w:t>
      </w:r>
    </w:p>
    <w:p w14:paraId="51881639">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统一社会信用代码：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法人代表：</w:t>
      </w:r>
      <w:r>
        <w:rPr>
          <w:rFonts w:hint="eastAsia" w:ascii="宋体" w:hAnsi="宋体" w:eastAsia="宋体" w:cs="宋体"/>
          <w:color w:val="auto"/>
          <w:sz w:val="24"/>
          <w:szCs w:val="24"/>
          <w:u w:val="single"/>
        </w:rPr>
        <w:t xml:space="preserve">                 </w:t>
      </w:r>
    </w:p>
    <w:p w14:paraId="437E5AE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在本项目标段招投标活动中，我公司（单位）自愿作出以下投标信用承诺：</w:t>
      </w:r>
    </w:p>
    <w:p w14:paraId="2C0F2FE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（一）能严格遵守法律法规、职业道德和行业规范。</w:t>
      </w:r>
    </w:p>
    <w:p w14:paraId="7ACDFFC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和投标文件与招标人签订合同；在签订合同时向招标人提出附加条件、或者改变投标文件的实质性内容；放弃中标；不按照</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的规定提交履约保证金。5.招投标法规定的其它违法违规行为。</w:t>
      </w:r>
    </w:p>
    <w:p w14:paraId="425717E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若我公司（单位）及相关参与人员违背以上承诺事项，即被视为失信企业（法人），依据《关于对公共资源交易领域严重失信主体开展联合惩戒的备忘录》（发改法规[2018]457号），自愿接受1至3年内限制参与公共资源交易活动。</w:t>
      </w:r>
    </w:p>
    <w:p w14:paraId="3177BE9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auto"/>
          <w:sz w:val="24"/>
          <w:szCs w:val="24"/>
        </w:rPr>
      </w:pPr>
    </w:p>
    <w:p w14:paraId="675E57E5">
      <w:pPr>
        <w:keepNext w:val="0"/>
        <w:keepLines w:val="0"/>
        <w:pageBreakBefore w:val="0"/>
        <w:widowControl/>
        <w:tabs>
          <w:tab w:val="left" w:pos="4395"/>
        </w:tabs>
        <w:kinsoku/>
        <w:wordWrap/>
        <w:overflowPunct/>
        <w:topLinePunct w:val="0"/>
        <w:autoSpaceDE/>
        <w:autoSpaceDN/>
        <w:bidi w:val="0"/>
        <w:adjustRightInd w:val="0"/>
        <w:snapToGrid w:val="0"/>
        <w:spacing w:line="360" w:lineRule="auto"/>
        <w:ind w:firstLine="720" w:firstLineChars="3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法定代表人（签章）：                           投标人（盖章）：</w:t>
      </w:r>
    </w:p>
    <w:p w14:paraId="751AEACB">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szCs w:val="24"/>
        </w:rPr>
      </w:pPr>
    </w:p>
    <w:p w14:paraId="2F3A17E1">
      <w:pPr>
        <w:keepNext w:val="0"/>
        <w:keepLines w:val="0"/>
        <w:pageBreakBefore w:val="0"/>
        <w:kinsoku/>
        <w:wordWrap/>
        <w:overflowPunct/>
        <w:topLinePunct w:val="0"/>
        <w:autoSpaceDE/>
        <w:autoSpaceDN/>
        <w:bidi w:val="0"/>
        <w:adjustRightInd w:val="0"/>
        <w:snapToGrid w:val="0"/>
        <w:spacing w:line="360" w:lineRule="auto"/>
        <w:jc w:val="righ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承诺时间：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539A47B2">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szCs w:val="24"/>
        </w:rPr>
      </w:pPr>
    </w:p>
    <w:p w14:paraId="0B472DD4">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b/>
          <w:color w:val="auto"/>
          <w:sz w:val="24"/>
          <w:szCs w:val="24"/>
        </w:rPr>
      </w:pPr>
    </w:p>
    <w:p w14:paraId="46685BE4">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b/>
          <w:color w:val="auto"/>
          <w:sz w:val="24"/>
          <w:szCs w:val="24"/>
        </w:rPr>
      </w:pPr>
    </w:p>
    <w:p w14:paraId="7F7D79E9">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b/>
          <w:color w:val="auto"/>
          <w:sz w:val="24"/>
          <w:szCs w:val="24"/>
        </w:rPr>
      </w:pPr>
    </w:p>
    <w:p w14:paraId="39D62818">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sz w:val="21"/>
          <w:szCs w:val="21"/>
        </w:rPr>
        <w:t>说明：本承诺书效力和作用等同投标保证金，其有效期与投标有效期一致。</w:t>
      </w:r>
      <w:r>
        <w:rPr>
          <w:rFonts w:hint="eastAsia" w:ascii="宋体" w:hAnsi="宋体" w:eastAsia="宋体" w:cs="宋体"/>
          <w:color w:val="auto"/>
          <w:sz w:val="21"/>
          <w:szCs w:val="21"/>
        </w:rPr>
        <w:t xml:space="preserve"> </w:t>
      </w:r>
    </w:p>
    <w:p w14:paraId="0B00B9CE">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1"/>
          <w:szCs w:val="21"/>
        </w:rPr>
      </w:pPr>
    </w:p>
    <w:p w14:paraId="12E85400">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1"/>
          <w:szCs w:val="21"/>
        </w:rPr>
        <w:sectPr>
          <w:pgSz w:w="11906" w:h="16838"/>
          <w:pgMar w:top="1440" w:right="1287" w:bottom="1440" w:left="1440" w:header="850" w:footer="992" w:gutter="0"/>
          <w:pgNumType w:fmt="decimal"/>
          <w:cols w:space="720" w:num="1"/>
          <w:titlePg/>
          <w:docGrid w:linePitch="360" w:charSpace="0"/>
        </w:sectPr>
      </w:pPr>
      <w:r>
        <w:rPr>
          <w:rFonts w:hint="eastAsia" w:ascii="宋体" w:hAnsi="宋体" w:eastAsia="宋体" w:cs="宋体"/>
          <w:b/>
          <w:bCs/>
          <w:color w:val="auto"/>
          <w:sz w:val="21"/>
          <w:szCs w:val="21"/>
        </w:rPr>
        <w:t>注：</w:t>
      </w:r>
      <w:r>
        <w:rPr>
          <w:rFonts w:hint="eastAsia" w:ascii="宋体" w:hAnsi="宋体" w:eastAsia="宋体" w:cs="宋体"/>
          <w:color w:val="auto"/>
          <w:sz w:val="21"/>
          <w:szCs w:val="21"/>
        </w:rPr>
        <w:t>此承诺书除附在投标文件中外还须上传至“信用中国（陕西榆林）”网站投标人自主上报信用承诺书附件。（须后附截图）</w:t>
      </w:r>
    </w:p>
    <w:p w14:paraId="3D76092D">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投标人委托代理人员信用承诺书</w:t>
      </w:r>
    </w:p>
    <w:p w14:paraId="5AEA02F3">
      <w:pPr>
        <w:keepNext w:val="0"/>
        <w:keepLines w:val="0"/>
        <w:pageBreakBefore w:val="0"/>
        <w:widowControl/>
        <w:kinsoku/>
        <w:wordWrap/>
        <w:overflowPunct/>
        <w:topLinePunct w:val="0"/>
        <w:autoSpaceDE/>
        <w:autoSpaceDN/>
        <w:bidi w:val="0"/>
        <w:snapToGrid/>
        <w:spacing w:line="360" w:lineRule="auto"/>
        <w:ind w:firstLine="480" w:firstLineChars="200"/>
        <w:jc w:val="left"/>
        <w:outlineLvl w:val="9"/>
        <w:rPr>
          <w:rFonts w:hint="eastAsia" w:ascii="宋体" w:hAnsi="宋体" w:eastAsia="宋体" w:cs="宋体"/>
          <w:color w:val="auto"/>
          <w:sz w:val="24"/>
          <w:szCs w:val="24"/>
        </w:rPr>
      </w:pPr>
    </w:p>
    <w:p w14:paraId="34EAFB86">
      <w:pPr>
        <w:keepNext w:val="0"/>
        <w:keepLines w:val="0"/>
        <w:pageBreakBefore w:val="0"/>
        <w:widowControl/>
        <w:kinsoku/>
        <w:wordWrap/>
        <w:overflowPunct/>
        <w:topLinePunct w:val="0"/>
        <w:autoSpaceDE/>
        <w:autoSpaceDN/>
        <w:bidi w:val="0"/>
        <w:snapToGrid/>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项目招投标活动中，我个人郑重作出以下信用承诺：</w:t>
      </w:r>
    </w:p>
    <w:p w14:paraId="0D118139">
      <w:pPr>
        <w:keepNext w:val="0"/>
        <w:keepLines w:val="0"/>
        <w:pageBreakBefore w:val="0"/>
        <w:widowControl/>
        <w:kinsoku/>
        <w:wordWrap/>
        <w:overflowPunct/>
        <w:topLinePunct w:val="0"/>
        <w:autoSpaceDE/>
        <w:autoSpaceDN/>
        <w:bidi w:val="0"/>
        <w:snapToGrid/>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（一）能严格遵守法律法规、职业道德和行业规范，具有独立承担民事责任的能力；无法律法规规定禁止开展从业活动情形。我所递交的文件资料合法、真实、准确、完整、有效，无弄虚作假等情形。</w:t>
      </w:r>
    </w:p>
    <w:p w14:paraId="54D27E51">
      <w:pPr>
        <w:keepNext w:val="0"/>
        <w:keepLines w:val="0"/>
        <w:pageBreakBefore w:val="0"/>
        <w:widowControl/>
        <w:kinsoku/>
        <w:wordWrap/>
        <w:overflowPunct/>
        <w:topLinePunct w:val="0"/>
        <w:autoSpaceDE/>
        <w:autoSpaceDN/>
        <w:bidi w:val="0"/>
        <w:snapToGrid/>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和投标文件与招标人签订合同；在签订合同时向招标人提出附加条件、或者改变投标文件的实质性内容；放弃中标；不按照</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的规定提交履约保证金。5.招投标法规定的其它违法违规行为。</w:t>
      </w:r>
    </w:p>
    <w:p w14:paraId="5624B8CC">
      <w:pPr>
        <w:keepNext w:val="0"/>
        <w:keepLines w:val="0"/>
        <w:pageBreakBefore w:val="0"/>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（三）自愿接受招投标监督部门和有关行政监督部门的依法检查。</w:t>
      </w:r>
    </w:p>
    <w:p w14:paraId="6217D2F4">
      <w:pPr>
        <w:keepNext w:val="0"/>
        <w:keepLines w:val="0"/>
        <w:pageBreakBefore w:val="0"/>
        <w:widowControl/>
        <w:kinsoku/>
        <w:wordWrap/>
        <w:overflowPunct/>
        <w:topLinePunct w:val="0"/>
        <w:autoSpaceDE/>
        <w:autoSpaceDN/>
        <w:bidi w:val="0"/>
        <w:snapToGrid/>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（四）同意将此信用承诺纳入陕西省公共信用信息平台和榆林市公共信用信息共享平台，并接受社会监督。</w:t>
      </w:r>
    </w:p>
    <w:p w14:paraId="74DA8061">
      <w:pPr>
        <w:keepNext w:val="0"/>
        <w:keepLines w:val="0"/>
        <w:pageBreakBefore w:val="0"/>
        <w:widowControl/>
        <w:kinsoku/>
        <w:wordWrap/>
        <w:overflowPunct/>
        <w:topLinePunct w:val="0"/>
        <w:autoSpaceDE/>
        <w:autoSpaceDN/>
        <w:bidi w:val="0"/>
        <w:snapToGrid/>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若我违背以上承诺事项，即被视为失信人，依据《关于对公共资源交易领域严重失信主体开展联合惩戒的备忘录》（发改法规[2018]457号），自愿接受失信联合惩戒和依法给予的行政处罚（处理），并依法承担赔偿责任和刑事责任。</w:t>
      </w:r>
    </w:p>
    <w:p w14:paraId="08F98848">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color w:val="auto"/>
          <w:sz w:val="24"/>
          <w:szCs w:val="24"/>
        </w:rPr>
      </w:pPr>
    </w:p>
    <w:p w14:paraId="62A017E9">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承诺有效期限：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08CDCB3B">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w:t>
      </w:r>
    </w:p>
    <w:p w14:paraId="123CD1E7">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承诺人（签字）：</w:t>
      </w:r>
      <w:r>
        <w:rPr>
          <w:rFonts w:hint="eastAsia" w:ascii="宋体" w:hAnsi="宋体" w:eastAsia="宋体" w:cs="宋体"/>
          <w:color w:val="auto"/>
          <w:sz w:val="24"/>
          <w:szCs w:val="24"/>
          <w:u w:val="single"/>
        </w:rPr>
        <w:t xml:space="preserve">                 </w:t>
      </w:r>
    </w:p>
    <w:p w14:paraId="034A946A">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承诺时间：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52BDF8DA">
      <w:pPr>
        <w:pStyle w:val="23"/>
        <w:keepNext w:val="0"/>
        <w:keepLines w:val="0"/>
        <w:pageBreakBefore w:val="0"/>
        <w:kinsoku/>
        <w:wordWrap/>
        <w:overflowPunct/>
        <w:topLinePunct w:val="0"/>
        <w:autoSpaceDE/>
        <w:autoSpaceDN/>
        <w:bidi w:val="0"/>
        <w:snapToGrid/>
        <w:spacing w:line="360" w:lineRule="auto"/>
        <w:ind w:firstLine="180"/>
        <w:outlineLvl w:val="9"/>
        <w:rPr>
          <w:rFonts w:hint="eastAsia" w:ascii="宋体" w:hAnsi="宋体" w:eastAsia="宋体" w:cs="宋体"/>
          <w:color w:val="auto"/>
          <w:sz w:val="24"/>
          <w:szCs w:val="24"/>
        </w:rPr>
      </w:pPr>
    </w:p>
    <w:p w14:paraId="30B41C80">
      <w:pPr>
        <w:keepNext w:val="0"/>
        <w:keepLines w:val="0"/>
        <w:pageBreakBefore w:val="0"/>
        <w:kinsoku/>
        <w:wordWrap/>
        <w:overflowPunct/>
        <w:topLinePunct w:val="0"/>
        <w:autoSpaceDE/>
        <w:autoSpaceDN/>
        <w:bidi w:val="0"/>
        <w:snapToGrid/>
        <w:spacing w:line="360" w:lineRule="auto"/>
        <w:outlineLvl w:val="9"/>
        <w:rPr>
          <w:rFonts w:hint="eastAsia" w:ascii="宋体" w:hAnsi="宋体" w:eastAsia="宋体" w:cs="宋体"/>
          <w:b/>
          <w:bCs/>
          <w:color w:val="auto"/>
          <w:sz w:val="24"/>
          <w:szCs w:val="24"/>
        </w:rPr>
      </w:pPr>
    </w:p>
    <w:p w14:paraId="2ADD55AF">
      <w:pPr>
        <w:pStyle w:val="10"/>
        <w:keepNext w:val="0"/>
        <w:keepLines w:val="0"/>
        <w:pageBreakBefore w:val="0"/>
        <w:kinsoku/>
        <w:wordWrap/>
        <w:overflowPunct/>
        <w:topLinePunct w:val="0"/>
        <w:autoSpaceDE/>
        <w:autoSpaceDN/>
        <w:bidi w:val="0"/>
        <w:snapToGrid/>
        <w:spacing w:line="360" w:lineRule="auto"/>
        <w:outlineLvl w:val="9"/>
        <w:rPr>
          <w:rFonts w:hint="eastAsia" w:ascii="宋体" w:hAnsi="宋体" w:eastAsia="宋体" w:cs="宋体"/>
          <w:color w:val="auto"/>
          <w:lang w:eastAsia="zh-CN"/>
        </w:rPr>
      </w:pPr>
      <w:r>
        <w:rPr>
          <w:rFonts w:hint="eastAsia" w:ascii="宋体" w:hAnsi="宋体" w:eastAsia="宋体" w:cs="宋体"/>
          <w:b/>
          <w:bCs/>
          <w:color w:val="auto"/>
          <w:sz w:val="21"/>
          <w:szCs w:val="21"/>
        </w:rPr>
        <w:t>注：</w:t>
      </w:r>
      <w:r>
        <w:rPr>
          <w:rFonts w:hint="eastAsia" w:ascii="宋体" w:hAnsi="宋体" w:eastAsia="宋体" w:cs="宋体"/>
          <w:color w:val="auto"/>
          <w:sz w:val="21"/>
          <w:szCs w:val="21"/>
        </w:rPr>
        <w:t>法定代表人直接参与投标的无须上报和提供此附件；如由委托代理人参与投标的，此承诺书除附在投标文件中外还须上传至“信用中国（陕西榆林）”网站授权委托人自主上报信用承诺书附件。（承诺有效期同投标有效期，承诺起始时间为提交投标文件截止之日，须后附截图。）</w:t>
      </w:r>
    </w:p>
    <w:p w14:paraId="5D23642F">
      <w:pPr>
        <w:outlineLvl w:val="9"/>
        <w:rPr>
          <w:rFonts w:hint="eastAsia" w:ascii="宋体" w:hAnsi="宋体" w:eastAsia="宋体" w:cs="宋体"/>
          <w:color w:val="auto"/>
          <w:lang w:eastAsia="zh-CN"/>
        </w:rPr>
        <w:sectPr>
          <w:pgSz w:w="11906" w:h="16838"/>
          <w:pgMar w:top="1440" w:right="1287" w:bottom="1440" w:left="1440" w:header="850" w:footer="992" w:gutter="0"/>
          <w:pgNumType w:fmt="decimal"/>
          <w:cols w:space="720" w:num="1"/>
          <w:titlePg/>
          <w:docGrid w:linePitch="360" w:charSpace="0"/>
        </w:sectPr>
      </w:pPr>
    </w:p>
    <w:p w14:paraId="661FDA79">
      <w:pPr>
        <w:spacing w:line="360" w:lineRule="atLeast"/>
        <w:ind w:firstLine="723" w:firstLineChars="200"/>
        <w:jc w:val="center"/>
        <w:outlineLvl w:val="1"/>
        <w:rPr>
          <w:rFonts w:hint="eastAsia" w:ascii="宋体" w:hAnsi="宋体" w:cs="宋体"/>
          <w:b/>
          <w:bCs/>
          <w:color w:val="auto"/>
          <w:sz w:val="36"/>
          <w:szCs w:val="36"/>
        </w:rPr>
      </w:pPr>
      <w:bookmarkStart w:id="333" w:name="_Toc19298"/>
      <w:bookmarkStart w:id="334" w:name="_Toc10654"/>
      <w:r>
        <w:rPr>
          <w:rFonts w:hint="eastAsia" w:ascii="宋体" w:hAnsi="宋体" w:cs="宋体"/>
          <w:b/>
          <w:bCs/>
          <w:color w:val="auto"/>
          <w:sz w:val="36"/>
          <w:szCs w:val="36"/>
          <w:lang w:val="en-US" w:eastAsia="zh-CN"/>
        </w:rPr>
        <w:t>五</w:t>
      </w:r>
      <w:r>
        <w:rPr>
          <w:rFonts w:hint="eastAsia" w:ascii="宋体" w:hAnsi="宋体" w:cs="宋体"/>
          <w:b/>
          <w:bCs/>
          <w:color w:val="auto"/>
          <w:sz w:val="36"/>
          <w:szCs w:val="36"/>
        </w:rPr>
        <w:t>、供应商参加政府采购活动承诺书</w:t>
      </w:r>
      <w:bookmarkEnd w:id="333"/>
      <w:bookmarkEnd w:id="334"/>
    </w:p>
    <w:p w14:paraId="30DA6FB3">
      <w:pPr>
        <w:pStyle w:val="49"/>
        <w:outlineLvl w:val="9"/>
        <w:rPr>
          <w:rFonts w:hint="eastAsia" w:ascii="宋体" w:hAnsi="宋体" w:cs="宋体"/>
          <w:color w:val="auto"/>
        </w:rPr>
      </w:pPr>
    </w:p>
    <w:p w14:paraId="67FC904C">
      <w:pPr>
        <w:pStyle w:val="14"/>
        <w:spacing w:line="360" w:lineRule="auto"/>
        <w:jc w:val="center"/>
        <w:outlineLvl w:val="9"/>
        <w:rPr>
          <w:rFonts w:hAnsi="宋体" w:cs="宋体"/>
          <w:b/>
          <w:color w:val="auto"/>
          <w:sz w:val="32"/>
        </w:rPr>
      </w:pPr>
      <w:r>
        <w:rPr>
          <w:rFonts w:hAnsi="宋体" w:cs="宋体"/>
          <w:b/>
          <w:color w:val="auto"/>
          <w:sz w:val="32"/>
        </w:rPr>
        <w:t>承诺书</w:t>
      </w:r>
      <w:r>
        <w:rPr>
          <w:rFonts w:hAnsi="宋体" w:cs="宋体"/>
          <w:b/>
          <w:color w:val="auto"/>
          <w:sz w:val="32"/>
          <w:szCs w:val="32"/>
        </w:rPr>
        <w:t>Ⅰ</w:t>
      </w:r>
    </w:p>
    <w:p w14:paraId="6BE5BAED">
      <w:pPr>
        <w:outlineLvl w:val="9"/>
        <w:rPr>
          <w:rFonts w:hint="eastAsia" w:ascii="宋体" w:hAnsi="宋体" w:cs="宋体"/>
          <w:color w:val="auto"/>
        </w:rPr>
      </w:pPr>
    </w:p>
    <w:p w14:paraId="6E14F295">
      <w:pPr>
        <w:widowControl/>
        <w:spacing w:line="360" w:lineRule="auto"/>
        <w:ind w:left="239" w:leftChars="114" w:firstLine="470" w:firstLineChars="196"/>
        <w:jc w:val="left"/>
        <w:outlineLvl w:val="9"/>
        <w:rPr>
          <w:rFonts w:hint="eastAsia" w:ascii="宋体" w:hAnsi="宋体" w:eastAsia="宋体" w:cs="宋体"/>
          <w:color w:val="auto"/>
          <w:kern w:val="0"/>
          <w:sz w:val="24"/>
          <w:lang w:eastAsia="zh-CN"/>
        </w:rPr>
      </w:pPr>
      <w:r>
        <w:rPr>
          <w:rFonts w:hint="eastAsia" w:ascii="宋体" w:hAnsi="宋体" w:eastAsia="宋体" w:cs="宋体"/>
          <w:color w:val="auto"/>
          <w:kern w:val="0"/>
          <w:sz w:val="24"/>
        </w:rPr>
        <w:t>为响应党中央、国务院关于治理政府采购领域商业贿赂行为的号召，我公司在此庄严承诺：</w:t>
      </w:r>
    </w:p>
    <w:p w14:paraId="75203757">
      <w:pPr>
        <w:widowControl/>
        <w:spacing w:line="360" w:lineRule="auto"/>
        <w:ind w:left="239" w:leftChars="114" w:firstLine="470" w:firstLineChars="196"/>
        <w:jc w:val="left"/>
        <w:outlineLvl w:val="9"/>
        <w:rPr>
          <w:rFonts w:hint="eastAsia" w:ascii="宋体" w:hAnsi="宋体" w:eastAsia="宋体" w:cs="宋体"/>
          <w:color w:val="auto"/>
          <w:kern w:val="0"/>
          <w:sz w:val="24"/>
          <w:lang w:eastAsia="zh-CN"/>
        </w:rPr>
      </w:pPr>
      <w:r>
        <w:rPr>
          <w:rFonts w:hint="eastAsia" w:ascii="宋体" w:hAnsi="宋体" w:eastAsia="宋体" w:cs="宋体"/>
          <w:color w:val="auto"/>
          <w:kern w:val="0"/>
          <w:sz w:val="24"/>
        </w:rPr>
        <w:t>1、在参与政府采购活动中遵纪守法、诚信经营、公平竞标。</w:t>
      </w:r>
    </w:p>
    <w:p w14:paraId="400D392B">
      <w:pPr>
        <w:widowControl/>
        <w:spacing w:line="360" w:lineRule="auto"/>
        <w:ind w:left="239" w:leftChars="114" w:firstLine="470" w:firstLineChars="196"/>
        <w:jc w:val="left"/>
        <w:outlineLvl w:val="9"/>
        <w:rPr>
          <w:rFonts w:hint="eastAsia" w:ascii="宋体" w:hAnsi="宋体" w:eastAsia="宋体" w:cs="宋体"/>
          <w:color w:val="auto"/>
          <w:kern w:val="0"/>
          <w:sz w:val="24"/>
          <w:lang w:eastAsia="zh-CN"/>
        </w:rPr>
      </w:pPr>
      <w:r>
        <w:rPr>
          <w:rFonts w:hint="eastAsia" w:ascii="宋体" w:hAnsi="宋体" w:eastAsia="宋体" w:cs="宋体"/>
          <w:color w:val="auto"/>
          <w:kern w:val="0"/>
          <w:sz w:val="24"/>
        </w:rPr>
        <w:t>2、不向政府采购人、采购代理机构和政府采购评审专家进行任何形式的商业贿赂以谋取交易机会。</w:t>
      </w:r>
    </w:p>
    <w:p w14:paraId="0ED6FDC2">
      <w:pPr>
        <w:widowControl/>
        <w:spacing w:line="360" w:lineRule="auto"/>
        <w:ind w:left="239" w:leftChars="114" w:firstLine="470" w:firstLineChars="196"/>
        <w:jc w:val="left"/>
        <w:outlineLvl w:val="9"/>
        <w:rPr>
          <w:rFonts w:hint="eastAsia" w:ascii="宋体" w:hAnsi="宋体" w:eastAsia="宋体" w:cs="宋体"/>
          <w:color w:val="auto"/>
          <w:kern w:val="0"/>
          <w:sz w:val="24"/>
          <w:lang w:eastAsia="zh-CN"/>
        </w:rPr>
      </w:pPr>
      <w:r>
        <w:rPr>
          <w:rFonts w:hint="eastAsia" w:ascii="宋体" w:hAnsi="宋体" w:eastAsia="宋体" w:cs="宋体"/>
          <w:color w:val="auto"/>
          <w:kern w:val="0"/>
          <w:sz w:val="24"/>
        </w:rPr>
        <w:t>3、不向政府采购代理机构和采购人提供虚假资质文件或采用虚假应标方式参与政府采购市场竞争并谋取中标、成交。</w:t>
      </w:r>
    </w:p>
    <w:p w14:paraId="305294BF">
      <w:pPr>
        <w:widowControl/>
        <w:spacing w:line="360" w:lineRule="auto"/>
        <w:ind w:left="239" w:leftChars="114" w:firstLine="470" w:firstLineChars="196"/>
        <w:jc w:val="left"/>
        <w:outlineLvl w:val="9"/>
        <w:rPr>
          <w:rFonts w:hint="eastAsia" w:ascii="宋体" w:hAnsi="宋体" w:eastAsia="宋体" w:cs="宋体"/>
          <w:color w:val="auto"/>
          <w:kern w:val="0"/>
          <w:sz w:val="24"/>
          <w:lang w:eastAsia="zh-CN"/>
        </w:rPr>
      </w:pPr>
      <w:r>
        <w:rPr>
          <w:rFonts w:hint="eastAsia" w:ascii="宋体" w:hAnsi="宋体" w:eastAsia="宋体" w:cs="宋体"/>
          <w:color w:val="auto"/>
          <w:kern w:val="0"/>
          <w:sz w:val="24"/>
        </w:rPr>
        <w:t>4、不采取“围标、陪标”等商业欺诈手段获得政府采购定单。</w:t>
      </w:r>
    </w:p>
    <w:p w14:paraId="0A58D027">
      <w:pPr>
        <w:widowControl/>
        <w:spacing w:line="360" w:lineRule="auto"/>
        <w:ind w:left="239" w:leftChars="114" w:firstLine="470" w:firstLineChars="196"/>
        <w:jc w:val="left"/>
        <w:outlineLvl w:val="9"/>
        <w:rPr>
          <w:rFonts w:hint="eastAsia" w:ascii="宋体" w:hAnsi="宋体" w:eastAsia="宋体" w:cs="宋体"/>
          <w:color w:val="auto"/>
          <w:kern w:val="0"/>
          <w:sz w:val="24"/>
          <w:lang w:eastAsia="zh-CN"/>
        </w:rPr>
      </w:pPr>
      <w:r>
        <w:rPr>
          <w:rFonts w:hint="eastAsia" w:ascii="宋体" w:hAnsi="宋体" w:eastAsia="宋体" w:cs="宋体"/>
          <w:color w:val="auto"/>
          <w:kern w:val="0"/>
          <w:sz w:val="24"/>
        </w:rPr>
        <w:t>5、不采取不正当手段诋毁、排挤其他供应商。</w:t>
      </w:r>
    </w:p>
    <w:p w14:paraId="6B918F19">
      <w:pPr>
        <w:widowControl/>
        <w:spacing w:line="360" w:lineRule="auto"/>
        <w:ind w:left="239" w:leftChars="114" w:firstLine="470" w:firstLineChars="196"/>
        <w:jc w:val="left"/>
        <w:outlineLvl w:val="9"/>
        <w:rPr>
          <w:rFonts w:hint="eastAsia" w:ascii="宋体" w:hAnsi="宋体" w:eastAsia="宋体" w:cs="宋体"/>
          <w:color w:val="auto"/>
          <w:kern w:val="0"/>
          <w:sz w:val="24"/>
          <w:lang w:eastAsia="zh-CN"/>
        </w:rPr>
      </w:pPr>
      <w:r>
        <w:rPr>
          <w:rFonts w:hint="eastAsia" w:ascii="宋体" w:hAnsi="宋体" w:eastAsia="宋体" w:cs="宋体"/>
          <w:color w:val="auto"/>
          <w:kern w:val="0"/>
          <w:sz w:val="24"/>
        </w:rPr>
        <w:t>6、不在提供商品和服务时“偷梁换柱、以次充好”损害采购人的合法权益。</w:t>
      </w:r>
    </w:p>
    <w:p w14:paraId="40526BC8">
      <w:pPr>
        <w:widowControl/>
        <w:spacing w:line="360" w:lineRule="auto"/>
        <w:ind w:left="239" w:leftChars="114" w:firstLine="470" w:firstLineChars="196"/>
        <w:jc w:val="left"/>
        <w:outlineLvl w:val="9"/>
        <w:rPr>
          <w:rFonts w:hint="eastAsia" w:ascii="宋体" w:hAnsi="宋体" w:eastAsia="宋体" w:cs="宋体"/>
          <w:color w:val="auto"/>
          <w:kern w:val="0"/>
          <w:sz w:val="24"/>
          <w:lang w:eastAsia="zh-CN"/>
        </w:rPr>
      </w:pPr>
      <w:r>
        <w:rPr>
          <w:rFonts w:hint="eastAsia" w:ascii="宋体" w:hAnsi="宋体" w:eastAsia="宋体" w:cs="宋体"/>
          <w:color w:val="auto"/>
          <w:kern w:val="0"/>
          <w:sz w:val="24"/>
        </w:rPr>
        <w:t>7、不与采购人、采购代理机构政府采购评审专家或其它供应商恶意串通，进行质疑和投诉，维护政府采购市场秩序。</w:t>
      </w:r>
    </w:p>
    <w:p w14:paraId="1C59902C">
      <w:pPr>
        <w:widowControl/>
        <w:spacing w:line="360" w:lineRule="auto"/>
        <w:ind w:left="239" w:leftChars="114" w:firstLine="470" w:firstLineChars="196"/>
        <w:jc w:val="left"/>
        <w:outlineLvl w:val="9"/>
        <w:rPr>
          <w:rFonts w:hint="eastAsia" w:ascii="宋体" w:hAnsi="宋体" w:eastAsia="宋体" w:cs="宋体"/>
          <w:color w:val="auto"/>
          <w:kern w:val="0"/>
          <w:sz w:val="24"/>
          <w:lang w:eastAsia="zh-CN"/>
        </w:rPr>
      </w:pPr>
      <w:r>
        <w:rPr>
          <w:rFonts w:hint="eastAsia" w:ascii="宋体" w:hAnsi="宋体" w:eastAsia="宋体" w:cs="宋体"/>
          <w:color w:val="auto"/>
          <w:kern w:val="0"/>
          <w:sz w:val="24"/>
        </w:rPr>
        <w:t>8、尊重和接受政府采购监督管理部门的监督和政府采购代理机构招标采购要求，承担因违约行为给采购人造成的损失。</w:t>
      </w:r>
    </w:p>
    <w:p w14:paraId="1FF78AEC">
      <w:pPr>
        <w:widowControl/>
        <w:spacing w:line="360" w:lineRule="auto"/>
        <w:ind w:left="239" w:leftChars="114" w:firstLine="470" w:firstLineChars="196"/>
        <w:jc w:val="left"/>
        <w:outlineLvl w:val="9"/>
        <w:rPr>
          <w:rFonts w:hint="eastAsia" w:ascii="宋体" w:hAnsi="宋体" w:eastAsia="宋体" w:cs="宋体"/>
          <w:color w:val="auto"/>
          <w:kern w:val="0"/>
          <w:sz w:val="24"/>
          <w:lang w:eastAsia="zh-CN"/>
        </w:rPr>
      </w:pPr>
      <w:r>
        <w:rPr>
          <w:rFonts w:hint="eastAsia" w:ascii="宋体" w:hAnsi="宋体" w:eastAsia="宋体" w:cs="宋体"/>
          <w:color w:val="auto"/>
          <w:kern w:val="0"/>
          <w:sz w:val="24"/>
        </w:rPr>
        <w:t>9、不发生其他有悖于政府采购公开、公平、公正和诚信原则的行为。</w:t>
      </w:r>
    </w:p>
    <w:p w14:paraId="0EB3B9B5">
      <w:pPr>
        <w:pStyle w:val="10"/>
        <w:outlineLvl w:val="9"/>
        <w:rPr>
          <w:rFonts w:hint="eastAsia"/>
          <w:color w:val="auto"/>
          <w:lang w:eastAsia="zh-CN"/>
        </w:rPr>
      </w:pPr>
    </w:p>
    <w:p w14:paraId="573D49FC">
      <w:pPr>
        <w:widowControl/>
        <w:spacing w:line="360" w:lineRule="auto"/>
        <w:ind w:left="239" w:leftChars="114"/>
        <w:jc w:val="left"/>
        <w:outlineLvl w:val="9"/>
        <w:rPr>
          <w:rFonts w:hint="eastAsia" w:ascii="宋体" w:hAnsi="宋体" w:eastAsia="宋体" w:cs="宋体"/>
          <w:color w:val="auto"/>
          <w:kern w:val="0"/>
          <w:sz w:val="24"/>
          <w:lang w:eastAsia="zh-CN"/>
        </w:rPr>
      </w:pPr>
      <w:r>
        <w:rPr>
          <w:rFonts w:hint="eastAsia" w:ascii="宋体" w:hAnsi="宋体" w:eastAsia="宋体" w:cs="宋体"/>
          <w:color w:val="auto"/>
          <w:kern w:val="0"/>
          <w:sz w:val="24"/>
        </w:rPr>
        <w:t>承诺单位名称：</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（盖章）</w:t>
      </w:r>
    </w:p>
    <w:p w14:paraId="4B7A005A">
      <w:pPr>
        <w:widowControl/>
        <w:spacing w:line="360" w:lineRule="auto"/>
        <w:ind w:left="239" w:leftChars="114"/>
        <w:jc w:val="left"/>
        <w:outlineLvl w:val="9"/>
        <w:rPr>
          <w:rFonts w:hint="eastAsia" w:ascii="宋体" w:hAnsi="宋体" w:eastAsia="宋体" w:cs="宋体"/>
          <w:color w:val="auto"/>
          <w:kern w:val="0"/>
          <w:sz w:val="24"/>
          <w:lang w:eastAsia="zh-CN"/>
        </w:rPr>
      </w:pPr>
      <w:r>
        <w:rPr>
          <w:rFonts w:hint="eastAsia" w:ascii="宋体" w:hAnsi="宋体" w:eastAsia="宋体" w:cs="宋体"/>
          <w:color w:val="auto"/>
          <w:sz w:val="24"/>
          <w:szCs w:val="24"/>
        </w:rPr>
        <w:t>法定代表人/单位负责人/或被授权人签字：</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kern w:val="0"/>
          <w:sz w:val="24"/>
        </w:rPr>
        <w:t>（签字）</w:t>
      </w:r>
    </w:p>
    <w:p w14:paraId="65A03FBD">
      <w:pPr>
        <w:widowControl/>
        <w:spacing w:line="360" w:lineRule="auto"/>
        <w:ind w:left="239" w:leftChars="114"/>
        <w:jc w:val="left"/>
        <w:outlineLvl w:val="9"/>
        <w:rPr>
          <w:rFonts w:hint="eastAsia" w:ascii="宋体" w:hAnsi="宋体" w:eastAsia="宋体" w:cs="宋体"/>
          <w:color w:val="auto"/>
          <w:kern w:val="0"/>
          <w:sz w:val="24"/>
        </w:rPr>
      </w:pPr>
      <w:r>
        <w:rPr>
          <w:rFonts w:hint="eastAsia" w:ascii="宋体" w:hAnsi="宋体" w:eastAsia="宋体" w:cs="宋体"/>
          <w:color w:val="auto"/>
          <w:kern w:val="0"/>
          <w:sz w:val="24"/>
        </w:rPr>
        <w:t>地  址：</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w:t>
      </w:r>
    </w:p>
    <w:p w14:paraId="576C1FA0">
      <w:pPr>
        <w:widowControl/>
        <w:spacing w:line="360" w:lineRule="auto"/>
        <w:ind w:left="239" w:leftChars="114"/>
        <w:jc w:val="left"/>
        <w:outlineLvl w:val="9"/>
        <w:rPr>
          <w:rFonts w:hint="eastAsia" w:ascii="宋体" w:hAnsi="宋体" w:eastAsia="宋体" w:cs="宋体"/>
          <w:color w:val="auto"/>
          <w:kern w:val="0"/>
          <w:sz w:val="24"/>
          <w:lang w:eastAsia="zh-CN"/>
        </w:rPr>
      </w:pPr>
      <w:r>
        <w:rPr>
          <w:rFonts w:hint="eastAsia" w:ascii="宋体" w:hAnsi="宋体" w:eastAsia="宋体" w:cs="宋体"/>
          <w:color w:val="auto"/>
          <w:kern w:val="0"/>
          <w:sz w:val="24"/>
        </w:rPr>
        <w:t>邮  编：</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xml:space="preserve">        </w:t>
      </w:r>
    </w:p>
    <w:p w14:paraId="0C801D72">
      <w:pPr>
        <w:widowControl/>
        <w:spacing w:line="360" w:lineRule="auto"/>
        <w:ind w:left="239" w:leftChars="114"/>
        <w:jc w:val="left"/>
        <w:outlineLvl w:val="9"/>
        <w:rPr>
          <w:rFonts w:hint="eastAsia" w:ascii="宋体" w:hAnsi="宋体" w:eastAsia="宋体" w:cs="宋体"/>
          <w:color w:val="auto"/>
          <w:kern w:val="0"/>
          <w:sz w:val="24"/>
        </w:rPr>
      </w:pPr>
      <w:r>
        <w:rPr>
          <w:rFonts w:hint="eastAsia" w:ascii="宋体" w:hAnsi="宋体" w:eastAsia="宋体" w:cs="宋体"/>
          <w:color w:val="auto"/>
          <w:kern w:val="0"/>
          <w:sz w:val="24"/>
        </w:rPr>
        <w:t>电  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w:t>
      </w:r>
    </w:p>
    <w:p w14:paraId="4E4FC130">
      <w:pPr>
        <w:spacing w:line="360" w:lineRule="atLeast"/>
        <w:ind w:firstLine="240" w:firstLineChars="100"/>
        <w:jc w:val="both"/>
        <w:outlineLvl w:val="9"/>
        <w:rPr>
          <w:rFonts w:hint="eastAsia" w:ascii="宋体" w:hAnsi="宋体" w:cs="宋体"/>
          <w:b/>
          <w:color w:val="auto"/>
          <w:sz w:val="32"/>
          <w:szCs w:val="32"/>
        </w:rPr>
      </w:pPr>
      <w:r>
        <w:rPr>
          <w:rFonts w:hint="eastAsia" w:ascii="宋体" w:hAnsi="宋体" w:cs="宋体"/>
          <w:color w:val="auto"/>
          <w:kern w:val="0"/>
          <w:sz w:val="24"/>
          <w:lang w:val="en-US" w:eastAsia="zh-CN"/>
        </w:rPr>
        <w:t>日    期：</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            </w:t>
      </w:r>
    </w:p>
    <w:p w14:paraId="2C93939E">
      <w:pPr>
        <w:spacing w:line="360" w:lineRule="atLeast"/>
        <w:jc w:val="center"/>
        <w:outlineLvl w:val="9"/>
        <w:rPr>
          <w:rFonts w:hint="eastAsia" w:ascii="宋体" w:hAnsi="宋体" w:cs="宋体"/>
          <w:b/>
          <w:color w:val="auto"/>
          <w:sz w:val="32"/>
          <w:szCs w:val="32"/>
        </w:rPr>
      </w:pPr>
    </w:p>
    <w:p w14:paraId="63BDF567">
      <w:pPr>
        <w:spacing w:line="360" w:lineRule="atLeast"/>
        <w:jc w:val="center"/>
        <w:outlineLvl w:val="9"/>
        <w:rPr>
          <w:rFonts w:hint="eastAsia" w:ascii="宋体" w:hAnsi="宋体" w:cs="宋体"/>
          <w:b/>
          <w:color w:val="auto"/>
          <w:sz w:val="32"/>
          <w:szCs w:val="32"/>
        </w:rPr>
      </w:pPr>
    </w:p>
    <w:p w14:paraId="0259B318">
      <w:pPr>
        <w:spacing w:line="360" w:lineRule="atLeast"/>
        <w:jc w:val="center"/>
        <w:outlineLvl w:val="9"/>
        <w:rPr>
          <w:rFonts w:hint="eastAsia" w:ascii="宋体" w:hAnsi="宋体" w:cs="宋体"/>
          <w:b/>
          <w:color w:val="auto"/>
          <w:sz w:val="32"/>
          <w:szCs w:val="32"/>
        </w:rPr>
      </w:pPr>
    </w:p>
    <w:p w14:paraId="2A6F34A7">
      <w:pPr>
        <w:spacing w:line="360" w:lineRule="atLeast"/>
        <w:jc w:val="center"/>
        <w:outlineLvl w:val="9"/>
        <w:rPr>
          <w:rFonts w:hint="eastAsia" w:ascii="宋体" w:hAnsi="宋体" w:cs="宋体"/>
          <w:b/>
          <w:color w:val="auto"/>
          <w:sz w:val="32"/>
          <w:szCs w:val="32"/>
        </w:rPr>
      </w:pPr>
    </w:p>
    <w:p w14:paraId="35D13473">
      <w:pPr>
        <w:spacing w:line="360" w:lineRule="atLeast"/>
        <w:jc w:val="center"/>
        <w:outlineLvl w:val="9"/>
        <w:rPr>
          <w:rFonts w:hint="eastAsia" w:ascii="宋体" w:hAnsi="宋体" w:cs="宋体"/>
          <w:b/>
          <w:color w:val="auto"/>
          <w:sz w:val="32"/>
          <w:szCs w:val="32"/>
        </w:rPr>
      </w:pPr>
    </w:p>
    <w:p w14:paraId="4537597E">
      <w:pPr>
        <w:spacing w:line="360" w:lineRule="atLeast"/>
        <w:jc w:val="center"/>
        <w:outlineLvl w:val="9"/>
        <w:rPr>
          <w:rFonts w:hint="eastAsia" w:ascii="宋体" w:hAnsi="宋体" w:cs="宋体"/>
          <w:b/>
          <w:color w:val="auto"/>
          <w:sz w:val="32"/>
          <w:szCs w:val="32"/>
        </w:rPr>
      </w:pPr>
      <w:r>
        <w:rPr>
          <w:rFonts w:hint="eastAsia" w:ascii="宋体" w:hAnsi="宋体" w:cs="宋体"/>
          <w:b/>
          <w:color w:val="auto"/>
          <w:sz w:val="32"/>
          <w:szCs w:val="32"/>
        </w:rPr>
        <w:t>承诺书Ⅱ</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5706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53F88795">
            <w:pPr>
              <w:spacing w:line="360" w:lineRule="atLeast"/>
              <w:outlineLvl w:val="9"/>
              <w:rPr>
                <w:rFonts w:hint="eastAsia" w:ascii="宋体" w:hAnsi="宋体" w:eastAsia="宋体" w:cs="宋体"/>
                <w:color w:val="auto"/>
                <w:sz w:val="24"/>
                <w:lang w:eastAsia="zh-CN"/>
              </w:rPr>
            </w:pPr>
            <w:r>
              <w:rPr>
                <w:rFonts w:hint="eastAsia" w:ascii="宋体" w:hAnsi="宋体" w:cs="宋体"/>
                <w:color w:val="auto"/>
                <w:sz w:val="24"/>
              </w:rPr>
              <w:t>致：</w:t>
            </w:r>
            <w:r>
              <w:rPr>
                <w:rFonts w:hint="eastAsia" w:ascii="宋体" w:hAnsi="宋体" w:cs="宋体"/>
                <w:color w:val="auto"/>
                <w:sz w:val="24"/>
                <w:lang w:eastAsia="zh-CN"/>
              </w:rPr>
              <w:t>陕安项目管理有限公司</w:t>
            </w:r>
          </w:p>
        </w:tc>
      </w:tr>
      <w:tr w14:paraId="12F2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4F094FCD">
            <w:pPr>
              <w:spacing w:line="360" w:lineRule="atLeast"/>
              <w:ind w:firstLine="480" w:firstLineChars="200"/>
              <w:outlineLvl w:val="9"/>
              <w:rPr>
                <w:rFonts w:hint="eastAsia" w:ascii="宋体" w:hAnsi="宋体" w:cs="宋体"/>
                <w:color w:val="auto"/>
                <w:sz w:val="24"/>
              </w:rPr>
            </w:pPr>
            <w:r>
              <w:rPr>
                <w:rFonts w:hint="eastAsia" w:ascii="宋体" w:hAnsi="宋体" w:cs="宋体"/>
                <w:color w:val="auto"/>
                <w:sz w:val="24"/>
              </w:rPr>
              <w:t>作为参加贵公司组织的招标采购项目的投标单位，本公司承诺：在参加本项目招标之前不存在被依法禁止经营行为、财产被接管或冻结的情况，如有隐瞒实情，愿承担一切责任及后果。</w:t>
            </w:r>
          </w:p>
        </w:tc>
      </w:tr>
      <w:tr w14:paraId="637A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67DFA1D7">
            <w:pPr>
              <w:spacing w:line="360" w:lineRule="atLeast"/>
              <w:jc w:val="center"/>
              <w:outlineLvl w:val="9"/>
              <w:rPr>
                <w:rFonts w:hint="eastAsia" w:ascii="宋体" w:hAnsi="宋体" w:cs="宋体"/>
                <w:color w:val="auto"/>
                <w:sz w:val="24"/>
              </w:rPr>
            </w:pPr>
            <w:r>
              <w:rPr>
                <w:rFonts w:hint="eastAsia" w:ascii="宋体" w:hAnsi="宋体" w:cs="宋体"/>
                <w:color w:val="auto"/>
                <w:sz w:val="24"/>
              </w:rPr>
              <w:t>投标单位</w:t>
            </w:r>
          </w:p>
        </w:tc>
        <w:tc>
          <w:tcPr>
            <w:tcW w:w="3420" w:type="dxa"/>
            <w:noWrap w:val="0"/>
            <w:vAlign w:val="center"/>
          </w:tcPr>
          <w:p w14:paraId="7ACC9C8C">
            <w:pPr>
              <w:spacing w:line="360" w:lineRule="atLeast"/>
              <w:jc w:val="center"/>
              <w:outlineLvl w:val="9"/>
              <w:rPr>
                <w:rFonts w:hint="eastAsia" w:ascii="宋体" w:hAnsi="宋体" w:cs="宋体"/>
                <w:color w:val="auto"/>
                <w:sz w:val="24"/>
              </w:rPr>
            </w:pPr>
            <w:r>
              <w:rPr>
                <w:rFonts w:hint="eastAsia" w:ascii="宋体" w:hAnsi="宋体" w:cs="宋体"/>
                <w:color w:val="auto"/>
                <w:sz w:val="24"/>
              </w:rPr>
              <w:t>法定代表人</w:t>
            </w:r>
          </w:p>
        </w:tc>
        <w:tc>
          <w:tcPr>
            <w:tcW w:w="2340" w:type="dxa"/>
            <w:noWrap w:val="0"/>
            <w:vAlign w:val="center"/>
          </w:tcPr>
          <w:p w14:paraId="1F3D7EE2">
            <w:pPr>
              <w:spacing w:line="360" w:lineRule="atLeast"/>
              <w:jc w:val="center"/>
              <w:outlineLvl w:val="9"/>
              <w:rPr>
                <w:rFonts w:hint="eastAsia" w:ascii="宋体" w:hAnsi="宋体" w:cs="宋体"/>
                <w:color w:val="auto"/>
                <w:sz w:val="24"/>
              </w:rPr>
            </w:pPr>
            <w:r>
              <w:rPr>
                <w:rFonts w:hint="eastAsia" w:ascii="宋体" w:hAnsi="宋体" w:cs="宋体"/>
                <w:color w:val="auto"/>
                <w:sz w:val="24"/>
              </w:rPr>
              <w:t>日  期</w:t>
            </w:r>
          </w:p>
        </w:tc>
      </w:tr>
      <w:tr w14:paraId="3BF4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5CB44576">
            <w:pPr>
              <w:spacing w:line="360" w:lineRule="atLeast"/>
              <w:jc w:val="center"/>
              <w:outlineLvl w:val="9"/>
              <w:rPr>
                <w:rFonts w:hint="eastAsia" w:ascii="宋体" w:hAnsi="宋体" w:cs="宋体"/>
                <w:color w:val="auto"/>
                <w:sz w:val="24"/>
              </w:rPr>
            </w:pPr>
            <w:r>
              <w:rPr>
                <w:rFonts w:hint="eastAsia" w:ascii="宋体" w:hAnsi="宋体" w:cs="宋体"/>
                <w:color w:val="auto"/>
                <w:sz w:val="24"/>
              </w:rPr>
              <w:t>（公章）</w:t>
            </w:r>
          </w:p>
        </w:tc>
        <w:tc>
          <w:tcPr>
            <w:tcW w:w="3420" w:type="dxa"/>
            <w:noWrap w:val="0"/>
            <w:vAlign w:val="center"/>
          </w:tcPr>
          <w:p w14:paraId="5225E4F3">
            <w:pPr>
              <w:spacing w:line="360" w:lineRule="atLeast"/>
              <w:jc w:val="center"/>
              <w:outlineLvl w:val="9"/>
              <w:rPr>
                <w:rFonts w:hint="eastAsia" w:ascii="宋体" w:hAnsi="宋体" w:cs="宋体"/>
                <w:color w:val="auto"/>
                <w:sz w:val="24"/>
              </w:rPr>
            </w:pPr>
            <w:r>
              <w:rPr>
                <w:rFonts w:hint="eastAsia" w:ascii="宋体" w:hAnsi="宋体" w:cs="宋体"/>
                <w:color w:val="auto"/>
                <w:sz w:val="24"/>
              </w:rPr>
              <w:t>（签字或盖章）</w:t>
            </w:r>
          </w:p>
        </w:tc>
        <w:tc>
          <w:tcPr>
            <w:tcW w:w="2340" w:type="dxa"/>
            <w:noWrap w:val="0"/>
            <w:vAlign w:val="center"/>
          </w:tcPr>
          <w:p w14:paraId="318C6897">
            <w:pPr>
              <w:spacing w:line="360" w:lineRule="atLeast"/>
              <w:ind w:firstLine="240" w:firstLineChars="100"/>
              <w:jc w:val="center"/>
              <w:outlineLvl w:val="9"/>
              <w:rPr>
                <w:rFonts w:hint="eastAsia" w:ascii="宋体" w:hAnsi="宋体" w:cs="宋体"/>
                <w:color w:val="auto"/>
                <w:sz w:val="24"/>
              </w:rPr>
            </w:pPr>
            <w:r>
              <w:rPr>
                <w:rFonts w:hint="eastAsia" w:ascii="宋体" w:hAnsi="宋体" w:cs="宋体"/>
                <w:color w:val="auto"/>
                <w:sz w:val="24"/>
              </w:rPr>
              <w:t>年  月  日</w:t>
            </w:r>
          </w:p>
        </w:tc>
      </w:tr>
    </w:tbl>
    <w:p w14:paraId="0AD00173">
      <w:pPr>
        <w:spacing w:line="360" w:lineRule="atLeast"/>
        <w:outlineLvl w:val="9"/>
        <w:rPr>
          <w:rFonts w:hint="eastAsia" w:ascii="宋体" w:hAnsi="宋体" w:cs="宋体"/>
          <w:b/>
          <w:color w:val="auto"/>
          <w:sz w:val="42"/>
          <w:szCs w:val="42"/>
        </w:rPr>
      </w:pPr>
    </w:p>
    <w:p w14:paraId="588D7820">
      <w:pPr>
        <w:outlineLvl w:val="9"/>
        <w:rPr>
          <w:rFonts w:hint="eastAsia" w:ascii="宋体" w:hAnsi="宋体" w:cs="宋体"/>
          <w:b/>
          <w:color w:val="auto"/>
          <w:sz w:val="42"/>
          <w:szCs w:val="42"/>
        </w:rPr>
      </w:pPr>
    </w:p>
    <w:p w14:paraId="5A0B2B76">
      <w:pPr>
        <w:spacing w:line="360" w:lineRule="atLeast"/>
        <w:jc w:val="center"/>
        <w:outlineLvl w:val="9"/>
        <w:rPr>
          <w:rFonts w:hint="eastAsia" w:ascii="宋体" w:hAnsi="宋体" w:cs="宋体"/>
          <w:b/>
          <w:color w:val="auto"/>
          <w:sz w:val="32"/>
          <w:szCs w:val="32"/>
        </w:rPr>
      </w:pPr>
      <w:r>
        <w:rPr>
          <w:rFonts w:hint="eastAsia" w:ascii="宋体" w:hAnsi="宋体" w:cs="宋体"/>
          <w:b/>
          <w:color w:val="auto"/>
          <w:sz w:val="32"/>
          <w:szCs w:val="32"/>
        </w:rPr>
        <w:t>承诺书Ⅲ</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73EE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471452F0">
            <w:pPr>
              <w:spacing w:line="360" w:lineRule="atLeast"/>
              <w:outlineLvl w:val="9"/>
              <w:rPr>
                <w:rFonts w:hint="eastAsia" w:ascii="宋体" w:hAnsi="宋体" w:eastAsia="宋体" w:cs="宋体"/>
                <w:color w:val="auto"/>
                <w:sz w:val="24"/>
                <w:lang w:eastAsia="zh-CN"/>
              </w:rPr>
            </w:pPr>
            <w:r>
              <w:rPr>
                <w:rFonts w:hint="eastAsia" w:ascii="宋体" w:hAnsi="宋体" w:cs="宋体"/>
                <w:color w:val="auto"/>
                <w:sz w:val="24"/>
              </w:rPr>
              <w:t>致：</w:t>
            </w:r>
            <w:r>
              <w:rPr>
                <w:rFonts w:hint="eastAsia" w:ascii="宋体" w:hAnsi="宋体" w:cs="宋体"/>
                <w:color w:val="auto"/>
                <w:sz w:val="24"/>
                <w:lang w:eastAsia="zh-CN"/>
              </w:rPr>
              <w:t>陕安项目管理有限公司</w:t>
            </w:r>
          </w:p>
        </w:tc>
      </w:tr>
      <w:tr w14:paraId="2714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4360064D">
            <w:pPr>
              <w:spacing w:line="360" w:lineRule="atLeast"/>
              <w:ind w:firstLine="480" w:firstLineChars="200"/>
              <w:outlineLvl w:val="9"/>
              <w:rPr>
                <w:rFonts w:hint="eastAsia" w:ascii="宋体" w:hAnsi="宋体" w:cs="宋体"/>
                <w:color w:val="auto"/>
                <w:sz w:val="24"/>
              </w:rPr>
            </w:pPr>
            <w:r>
              <w:rPr>
                <w:rFonts w:hint="eastAsia" w:ascii="宋体" w:hAnsi="宋体" w:cs="宋体"/>
                <w:color w:val="auto"/>
                <w:sz w:val="24"/>
              </w:rPr>
              <w:t>作为参加贵公司组织的招标采购项目的投标单位，本公司郑重申告并承诺：近三年受到有关行政主管部门的行政处理、不良行为记录为</w:t>
            </w:r>
            <w:r>
              <w:rPr>
                <w:rFonts w:hint="eastAsia" w:ascii="宋体" w:hAnsi="宋体" w:cs="宋体"/>
                <w:color w:val="auto"/>
                <w:sz w:val="24"/>
                <w:u w:val="single"/>
              </w:rPr>
              <w:t xml:space="preserve">    </w:t>
            </w:r>
            <w:r>
              <w:rPr>
                <w:rFonts w:hint="eastAsia" w:ascii="宋体" w:hAnsi="宋体" w:cs="宋体"/>
                <w:color w:val="auto"/>
                <w:sz w:val="24"/>
              </w:rPr>
              <w:t>次（没有填零），如有隐瞒实情，愿承担一切责任及后果。</w:t>
            </w:r>
          </w:p>
        </w:tc>
      </w:tr>
      <w:tr w14:paraId="7AB6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0ED164A0">
            <w:pPr>
              <w:spacing w:line="360" w:lineRule="atLeast"/>
              <w:jc w:val="center"/>
              <w:outlineLvl w:val="9"/>
              <w:rPr>
                <w:rFonts w:hint="eastAsia" w:ascii="宋体" w:hAnsi="宋体" w:cs="宋体"/>
                <w:color w:val="auto"/>
                <w:sz w:val="24"/>
              </w:rPr>
            </w:pPr>
            <w:r>
              <w:rPr>
                <w:rFonts w:hint="eastAsia" w:ascii="宋体" w:hAnsi="宋体" w:cs="宋体"/>
                <w:color w:val="auto"/>
                <w:sz w:val="24"/>
              </w:rPr>
              <w:t>投标单位</w:t>
            </w:r>
          </w:p>
        </w:tc>
        <w:tc>
          <w:tcPr>
            <w:tcW w:w="3420" w:type="dxa"/>
            <w:noWrap w:val="0"/>
            <w:vAlign w:val="center"/>
          </w:tcPr>
          <w:p w14:paraId="4C8ED727">
            <w:pPr>
              <w:spacing w:line="360" w:lineRule="atLeast"/>
              <w:jc w:val="center"/>
              <w:outlineLvl w:val="9"/>
              <w:rPr>
                <w:rFonts w:hint="eastAsia" w:ascii="宋体" w:hAnsi="宋体" w:cs="宋体"/>
                <w:color w:val="auto"/>
                <w:sz w:val="24"/>
              </w:rPr>
            </w:pPr>
            <w:r>
              <w:rPr>
                <w:rFonts w:hint="eastAsia" w:ascii="宋体" w:hAnsi="宋体" w:cs="宋体"/>
                <w:color w:val="auto"/>
                <w:sz w:val="24"/>
              </w:rPr>
              <w:t>法定代表人</w:t>
            </w:r>
          </w:p>
        </w:tc>
        <w:tc>
          <w:tcPr>
            <w:tcW w:w="2340" w:type="dxa"/>
            <w:noWrap w:val="0"/>
            <w:vAlign w:val="center"/>
          </w:tcPr>
          <w:p w14:paraId="7DEEA3DA">
            <w:pPr>
              <w:spacing w:line="360" w:lineRule="atLeast"/>
              <w:jc w:val="center"/>
              <w:outlineLvl w:val="9"/>
              <w:rPr>
                <w:rFonts w:hint="eastAsia" w:ascii="宋体" w:hAnsi="宋体" w:cs="宋体"/>
                <w:color w:val="auto"/>
                <w:sz w:val="24"/>
              </w:rPr>
            </w:pPr>
            <w:r>
              <w:rPr>
                <w:rFonts w:hint="eastAsia" w:ascii="宋体" w:hAnsi="宋体" w:cs="宋体"/>
                <w:color w:val="auto"/>
                <w:sz w:val="24"/>
              </w:rPr>
              <w:t>日  期</w:t>
            </w:r>
          </w:p>
        </w:tc>
      </w:tr>
      <w:tr w14:paraId="0A94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65BD515C">
            <w:pPr>
              <w:spacing w:line="360" w:lineRule="atLeast"/>
              <w:jc w:val="center"/>
              <w:outlineLvl w:val="9"/>
              <w:rPr>
                <w:rFonts w:hint="eastAsia" w:ascii="宋体" w:hAnsi="宋体" w:cs="宋体"/>
                <w:color w:val="auto"/>
                <w:sz w:val="24"/>
              </w:rPr>
            </w:pPr>
            <w:r>
              <w:rPr>
                <w:rFonts w:hint="eastAsia" w:ascii="宋体" w:hAnsi="宋体" w:cs="宋体"/>
                <w:color w:val="auto"/>
                <w:sz w:val="24"/>
              </w:rPr>
              <w:t>（公章）</w:t>
            </w:r>
          </w:p>
        </w:tc>
        <w:tc>
          <w:tcPr>
            <w:tcW w:w="3420" w:type="dxa"/>
            <w:noWrap w:val="0"/>
            <w:vAlign w:val="center"/>
          </w:tcPr>
          <w:p w14:paraId="11F878F3">
            <w:pPr>
              <w:spacing w:line="360" w:lineRule="atLeast"/>
              <w:jc w:val="center"/>
              <w:outlineLvl w:val="9"/>
              <w:rPr>
                <w:rFonts w:hint="eastAsia" w:ascii="宋体" w:hAnsi="宋体" w:cs="宋体"/>
                <w:color w:val="auto"/>
                <w:sz w:val="24"/>
              </w:rPr>
            </w:pPr>
            <w:r>
              <w:rPr>
                <w:rFonts w:hint="eastAsia" w:ascii="宋体" w:hAnsi="宋体" w:cs="宋体"/>
                <w:color w:val="auto"/>
                <w:sz w:val="24"/>
              </w:rPr>
              <w:t>（签字或盖章）</w:t>
            </w:r>
          </w:p>
        </w:tc>
        <w:tc>
          <w:tcPr>
            <w:tcW w:w="2340" w:type="dxa"/>
            <w:noWrap w:val="0"/>
            <w:vAlign w:val="center"/>
          </w:tcPr>
          <w:p w14:paraId="27F35987">
            <w:pPr>
              <w:spacing w:line="360" w:lineRule="atLeast"/>
              <w:ind w:firstLine="240" w:firstLineChars="100"/>
              <w:jc w:val="center"/>
              <w:outlineLvl w:val="9"/>
              <w:rPr>
                <w:rFonts w:hint="eastAsia" w:ascii="宋体" w:hAnsi="宋体" w:cs="宋体"/>
                <w:color w:val="auto"/>
                <w:sz w:val="24"/>
              </w:rPr>
            </w:pPr>
            <w:r>
              <w:rPr>
                <w:rFonts w:hint="eastAsia" w:ascii="宋体" w:hAnsi="宋体" w:cs="宋体"/>
                <w:color w:val="auto"/>
                <w:sz w:val="24"/>
              </w:rPr>
              <w:t>年  月  日</w:t>
            </w:r>
          </w:p>
        </w:tc>
      </w:tr>
    </w:tbl>
    <w:p w14:paraId="0BB7240E">
      <w:pPr>
        <w:spacing w:line="360" w:lineRule="atLeast"/>
        <w:outlineLvl w:val="9"/>
        <w:rPr>
          <w:rFonts w:hint="eastAsia" w:ascii="宋体" w:hAnsi="宋体" w:cs="宋体"/>
          <w:b/>
          <w:color w:val="auto"/>
          <w:sz w:val="32"/>
          <w:szCs w:val="32"/>
        </w:rPr>
      </w:pPr>
    </w:p>
    <w:p w14:paraId="0EAD2A7B">
      <w:pPr>
        <w:pStyle w:val="10"/>
        <w:outlineLvl w:val="9"/>
        <w:rPr>
          <w:rFonts w:hint="eastAsia" w:ascii="宋体" w:hAnsi="宋体" w:cs="宋体"/>
          <w:color w:val="auto"/>
          <w:sz w:val="32"/>
          <w:szCs w:val="32"/>
        </w:rPr>
      </w:pPr>
    </w:p>
    <w:p w14:paraId="3D81F204">
      <w:pPr>
        <w:spacing w:line="360" w:lineRule="atLeast"/>
        <w:jc w:val="center"/>
        <w:outlineLvl w:val="9"/>
        <w:rPr>
          <w:rFonts w:hint="eastAsia" w:ascii="宋体" w:hAnsi="宋体" w:cs="宋体"/>
          <w:b/>
          <w:color w:val="auto"/>
          <w:sz w:val="32"/>
          <w:szCs w:val="32"/>
        </w:rPr>
      </w:pPr>
    </w:p>
    <w:p w14:paraId="3DE94E35">
      <w:pPr>
        <w:spacing w:line="360" w:lineRule="atLeast"/>
        <w:jc w:val="center"/>
        <w:outlineLvl w:val="9"/>
        <w:rPr>
          <w:rFonts w:hint="eastAsia" w:ascii="宋体" w:hAnsi="宋体" w:cs="宋体"/>
          <w:b/>
          <w:color w:val="auto"/>
          <w:sz w:val="32"/>
          <w:szCs w:val="32"/>
        </w:rPr>
      </w:pPr>
    </w:p>
    <w:p w14:paraId="519492EC">
      <w:pPr>
        <w:spacing w:line="360" w:lineRule="atLeast"/>
        <w:jc w:val="center"/>
        <w:outlineLvl w:val="9"/>
        <w:rPr>
          <w:rFonts w:hint="eastAsia" w:ascii="宋体" w:hAnsi="宋体" w:cs="宋体"/>
          <w:b/>
          <w:color w:val="auto"/>
          <w:sz w:val="32"/>
          <w:szCs w:val="32"/>
        </w:rPr>
      </w:pPr>
      <w:r>
        <w:rPr>
          <w:rFonts w:hint="eastAsia" w:ascii="宋体" w:hAnsi="宋体" w:cs="宋体"/>
          <w:b/>
          <w:color w:val="auto"/>
          <w:sz w:val="32"/>
          <w:szCs w:val="32"/>
        </w:rPr>
        <w:t>承诺书Ⅳ</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27C2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317881CA">
            <w:pPr>
              <w:spacing w:line="360" w:lineRule="atLeast"/>
              <w:outlineLvl w:val="9"/>
              <w:rPr>
                <w:rFonts w:hint="eastAsia" w:ascii="宋体" w:hAnsi="宋体" w:eastAsia="宋体" w:cs="宋体"/>
                <w:color w:val="auto"/>
                <w:sz w:val="24"/>
                <w:lang w:eastAsia="zh-CN"/>
              </w:rPr>
            </w:pPr>
            <w:r>
              <w:rPr>
                <w:rFonts w:hint="eastAsia" w:ascii="宋体" w:hAnsi="宋体" w:cs="宋体"/>
                <w:color w:val="auto"/>
                <w:sz w:val="24"/>
              </w:rPr>
              <w:t>致：</w:t>
            </w:r>
            <w:r>
              <w:rPr>
                <w:rFonts w:hint="eastAsia" w:ascii="宋体" w:hAnsi="宋体" w:cs="宋体"/>
                <w:color w:val="auto"/>
                <w:sz w:val="24"/>
                <w:lang w:eastAsia="zh-CN"/>
              </w:rPr>
              <w:t>陕安项目管理有限公司</w:t>
            </w:r>
          </w:p>
        </w:tc>
      </w:tr>
      <w:tr w14:paraId="2148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480D94AD">
            <w:pPr>
              <w:spacing w:line="360" w:lineRule="atLeast"/>
              <w:ind w:firstLine="480" w:firstLineChars="200"/>
              <w:outlineLvl w:val="9"/>
              <w:rPr>
                <w:rFonts w:hint="eastAsia" w:ascii="宋体" w:hAnsi="宋体" w:cs="宋体"/>
                <w:color w:val="auto"/>
                <w:sz w:val="24"/>
              </w:rPr>
            </w:pPr>
            <w:r>
              <w:rPr>
                <w:rFonts w:hint="eastAsia" w:ascii="宋体" w:hAnsi="宋体" w:cs="宋体"/>
                <w:color w:val="auto"/>
                <w:sz w:val="24"/>
              </w:rPr>
              <w:t>作为参加贵公司组织的招标采购项目的投标单位，本公司郑重申告：近三年因项目质量问题的不法行为记录为</w:t>
            </w:r>
            <w:r>
              <w:rPr>
                <w:rFonts w:hint="eastAsia" w:ascii="宋体" w:hAnsi="宋体" w:cs="宋体"/>
                <w:color w:val="auto"/>
                <w:sz w:val="24"/>
                <w:u w:val="single"/>
              </w:rPr>
              <w:t xml:space="preserve">   </w:t>
            </w:r>
            <w:r>
              <w:rPr>
                <w:rFonts w:hint="eastAsia" w:ascii="宋体" w:hAnsi="宋体" w:cs="宋体"/>
                <w:color w:val="auto"/>
                <w:sz w:val="24"/>
              </w:rPr>
              <w:t>次（没有填零），如有隐瞒实情，愿承担一切责任及后果。</w:t>
            </w:r>
          </w:p>
        </w:tc>
      </w:tr>
      <w:tr w14:paraId="7641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5B32521D">
            <w:pPr>
              <w:spacing w:line="360" w:lineRule="atLeast"/>
              <w:jc w:val="center"/>
              <w:outlineLvl w:val="9"/>
              <w:rPr>
                <w:rFonts w:hint="eastAsia" w:ascii="宋体" w:hAnsi="宋体" w:cs="宋体"/>
                <w:color w:val="auto"/>
                <w:sz w:val="24"/>
              </w:rPr>
            </w:pPr>
            <w:r>
              <w:rPr>
                <w:rFonts w:hint="eastAsia" w:ascii="宋体" w:hAnsi="宋体" w:cs="宋体"/>
                <w:color w:val="auto"/>
                <w:sz w:val="24"/>
              </w:rPr>
              <w:t>投标单位</w:t>
            </w:r>
          </w:p>
        </w:tc>
        <w:tc>
          <w:tcPr>
            <w:tcW w:w="3420" w:type="dxa"/>
            <w:noWrap w:val="0"/>
            <w:vAlign w:val="center"/>
          </w:tcPr>
          <w:p w14:paraId="6AFCC550">
            <w:pPr>
              <w:spacing w:line="360" w:lineRule="atLeast"/>
              <w:jc w:val="center"/>
              <w:outlineLvl w:val="9"/>
              <w:rPr>
                <w:rFonts w:hint="eastAsia" w:ascii="宋体" w:hAnsi="宋体" w:cs="宋体"/>
                <w:color w:val="auto"/>
                <w:sz w:val="24"/>
              </w:rPr>
            </w:pPr>
            <w:r>
              <w:rPr>
                <w:rFonts w:hint="eastAsia" w:ascii="宋体" w:hAnsi="宋体" w:cs="宋体"/>
                <w:color w:val="auto"/>
                <w:sz w:val="24"/>
              </w:rPr>
              <w:t>法定代表人</w:t>
            </w:r>
          </w:p>
        </w:tc>
        <w:tc>
          <w:tcPr>
            <w:tcW w:w="2340" w:type="dxa"/>
            <w:noWrap w:val="0"/>
            <w:vAlign w:val="center"/>
          </w:tcPr>
          <w:p w14:paraId="6955A62D">
            <w:pPr>
              <w:spacing w:line="360" w:lineRule="atLeast"/>
              <w:jc w:val="center"/>
              <w:outlineLvl w:val="9"/>
              <w:rPr>
                <w:rFonts w:hint="eastAsia" w:ascii="宋体" w:hAnsi="宋体" w:cs="宋体"/>
                <w:color w:val="auto"/>
                <w:sz w:val="24"/>
              </w:rPr>
            </w:pPr>
            <w:r>
              <w:rPr>
                <w:rFonts w:hint="eastAsia" w:ascii="宋体" w:hAnsi="宋体" w:cs="宋体"/>
                <w:color w:val="auto"/>
                <w:sz w:val="24"/>
              </w:rPr>
              <w:t>日   期</w:t>
            </w:r>
          </w:p>
        </w:tc>
      </w:tr>
      <w:tr w14:paraId="15D9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44EB7358">
            <w:pPr>
              <w:spacing w:line="360" w:lineRule="atLeast"/>
              <w:jc w:val="center"/>
              <w:outlineLvl w:val="9"/>
              <w:rPr>
                <w:rFonts w:hint="eastAsia" w:ascii="宋体" w:hAnsi="宋体" w:cs="宋体"/>
                <w:color w:val="auto"/>
                <w:sz w:val="24"/>
              </w:rPr>
            </w:pPr>
            <w:r>
              <w:rPr>
                <w:rFonts w:hint="eastAsia" w:ascii="宋体" w:hAnsi="宋体" w:cs="宋体"/>
                <w:color w:val="auto"/>
                <w:sz w:val="24"/>
              </w:rPr>
              <w:t>（公章）</w:t>
            </w:r>
          </w:p>
        </w:tc>
        <w:tc>
          <w:tcPr>
            <w:tcW w:w="3420" w:type="dxa"/>
            <w:noWrap w:val="0"/>
            <w:vAlign w:val="center"/>
          </w:tcPr>
          <w:p w14:paraId="45D91AB1">
            <w:pPr>
              <w:spacing w:line="360" w:lineRule="atLeast"/>
              <w:jc w:val="center"/>
              <w:outlineLvl w:val="9"/>
              <w:rPr>
                <w:rFonts w:hint="eastAsia" w:ascii="宋体" w:hAnsi="宋体" w:cs="宋体"/>
                <w:color w:val="auto"/>
                <w:sz w:val="24"/>
              </w:rPr>
            </w:pPr>
            <w:r>
              <w:rPr>
                <w:rFonts w:hint="eastAsia" w:ascii="宋体" w:hAnsi="宋体" w:cs="宋体"/>
                <w:color w:val="auto"/>
                <w:sz w:val="24"/>
              </w:rPr>
              <w:t>（签字或盖章）</w:t>
            </w:r>
          </w:p>
        </w:tc>
        <w:tc>
          <w:tcPr>
            <w:tcW w:w="2340" w:type="dxa"/>
            <w:noWrap w:val="0"/>
            <w:vAlign w:val="center"/>
          </w:tcPr>
          <w:p w14:paraId="1B6AFCD2">
            <w:pPr>
              <w:spacing w:line="360" w:lineRule="atLeast"/>
              <w:ind w:firstLine="240" w:firstLineChars="100"/>
              <w:jc w:val="center"/>
              <w:outlineLvl w:val="9"/>
              <w:rPr>
                <w:rFonts w:hint="eastAsia" w:ascii="宋体" w:hAnsi="宋体" w:cs="宋体"/>
                <w:color w:val="auto"/>
                <w:sz w:val="24"/>
              </w:rPr>
            </w:pPr>
            <w:r>
              <w:rPr>
                <w:rFonts w:hint="eastAsia" w:ascii="宋体" w:hAnsi="宋体" w:cs="宋体"/>
                <w:color w:val="auto"/>
                <w:sz w:val="24"/>
              </w:rPr>
              <w:t>年  月  日</w:t>
            </w:r>
          </w:p>
        </w:tc>
      </w:tr>
    </w:tbl>
    <w:p w14:paraId="4F61D166">
      <w:pPr>
        <w:spacing w:line="360" w:lineRule="auto"/>
        <w:ind w:right="480"/>
        <w:outlineLvl w:val="9"/>
        <w:rPr>
          <w:rFonts w:hint="eastAsia" w:ascii="宋体" w:hAnsi="宋体" w:cs="宋体"/>
          <w:color w:val="auto"/>
          <w:sz w:val="24"/>
          <w:szCs w:val="28"/>
        </w:rPr>
      </w:pPr>
    </w:p>
    <w:p w14:paraId="632C9A37">
      <w:pPr>
        <w:spacing w:line="360" w:lineRule="atLeast"/>
        <w:jc w:val="center"/>
        <w:outlineLvl w:val="9"/>
        <w:rPr>
          <w:rFonts w:hint="eastAsia" w:ascii="宋体" w:hAnsi="宋体" w:cs="宋体"/>
          <w:b/>
          <w:color w:val="auto"/>
          <w:sz w:val="32"/>
          <w:szCs w:val="32"/>
        </w:rPr>
      </w:pPr>
      <w:bookmarkStart w:id="335" w:name="_Toc27080"/>
      <w:r>
        <w:rPr>
          <w:rFonts w:hint="eastAsia" w:ascii="宋体" w:hAnsi="宋体" w:cs="宋体"/>
          <w:b/>
          <w:color w:val="auto"/>
          <w:sz w:val="32"/>
          <w:szCs w:val="32"/>
        </w:rPr>
        <w:t>承诺书</w:t>
      </w:r>
      <w:r>
        <w:rPr>
          <w:rFonts w:hint="eastAsia" w:ascii="宋体" w:hAnsi="宋体" w:cs="宋体"/>
          <w:b/>
          <w:color w:val="auto"/>
          <w:sz w:val="36"/>
          <w:szCs w:val="36"/>
        </w:rPr>
        <w:fldChar w:fldCharType="begin"/>
      </w:r>
      <w:r>
        <w:rPr>
          <w:rFonts w:hint="eastAsia" w:ascii="宋体" w:hAnsi="宋体" w:cs="宋体"/>
          <w:b/>
          <w:color w:val="auto"/>
          <w:sz w:val="36"/>
          <w:szCs w:val="36"/>
        </w:rPr>
        <w:instrText xml:space="preserve"> = 5 \* ROMAN </w:instrText>
      </w:r>
      <w:r>
        <w:rPr>
          <w:rFonts w:hint="eastAsia" w:ascii="宋体" w:hAnsi="宋体" w:cs="宋体"/>
          <w:b/>
          <w:color w:val="auto"/>
          <w:sz w:val="36"/>
          <w:szCs w:val="36"/>
        </w:rPr>
        <w:fldChar w:fldCharType="separate"/>
      </w:r>
      <w:r>
        <w:rPr>
          <w:rFonts w:hint="eastAsia" w:ascii="宋体" w:hAnsi="宋体" w:cs="宋体"/>
          <w:b/>
          <w:color w:val="auto"/>
          <w:sz w:val="36"/>
          <w:szCs w:val="36"/>
        </w:rPr>
        <w:t>V</w:t>
      </w:r>
      <w:r>
        <w:rPr>
          <w:rFonts w:hint="eastAsia" w:ascii="宋体" w:hAnsi="宋体" w:cs="宋体"/>
          <w:b/>
          <w:color w:val="auto"/>
          <w:sz w:val="36"/>
          <w:szCs w:val="36"/>
        </w:rPr>
        <w:fldChar w:fldCharType="end"/>
      </w:r>
      <w:bookmarkEnd w:id="335"/>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066A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44DC1564">
            <w:pPr>
              <w:spacing w:line="360" w:lineRule="atLeast"/>
              <w:outlineLvl w:val="9"/>
              <w:rPr>
                <w:rFonts w:hint="eastAsia" w:ascii="宋体" w:hAnsi="宋体" w:eastAsia="宋体" w:cs="宋体"/>
                <w:color w:val="auto"/>
                <w:sz w:val="24"/>
                <w:lang w:eastAsia="zh-CN"/>
              </w:rPr>
            </w:pPr>
            <w:r>
              <w:rPr>
                <w:rFonts w:hint="eastAsia" w:ascii="宋体" w:hAnsi="宋体" w:cs="宋体"/>
                <w:color w:val="auto"/>
                <w:sz w:val="24"/>
              </w:rPr>
              <w:t>致：</w:t>
            </w:r>
            <w:r>
              <w:rPr>
                <w:rFonts w:hint="eastAsia" w:ascii="宋体" w:hAnsi="宋体" w:cs="宋体"/>
                <w:color w:val="auto"/>
                <w:sz w:val="24"/>
                <w:lang w:eastAsia="zh-CN"/>
              </w:rPr>
              <w:t>陕安项目管理有限公司</w:t>
            </w:r>
          </w:p>
        </w:tc>
      </w:tr>
      <w:tr w14:paraId="7F43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179A4D20">
            <w:pPr>
              <w:spacing w:line="360" w:lineRule="atLeast"/>
              <w:ind w:firstLine="480" w:firstLineChars="200"/>
              <w:outlineLvl w:val="9"/>
              <w:rPr>
                <w:rFonts w:hint="eastAsia" w:ascii="宋体" w:hAnsi="宋体" w:cs="宋体"/>
                <w:color w:val="auto"/>
                <w:sz w:val="24"/>
              </w:rPr>
            </w:pPr>
            <w:r>
              <w:rPr>
                <w:rFonts w:hint="eastAsia" w:ascii="宋体" w:hAnsi="宋体" w:cs="宋体"/>
                <w:color w:val="auto"/>
                <w:sz w:val="24"/>
              </w:rPr>
              <w:t>作为参加贵公司组织的招标采购项目的投标单位，本公司承诺：参加本次投标提交的所有资质证明文件及业绩证明是真实的、有效的，如有隐瞒实情，愿承担一切责任及后果。</w:t>
            </w:r>
          </w:p>
        </w:tc>
      </w:tr>
      <w:tr w14:paraId="0DA9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112DF7E7">
            <w:pPr>
              <w:spacing w:line="360" w:lineRule="atLeast"/>
              <w:jc w:val="center"/>
              <w:outlineLvl w:val="9"/>
              <w:rPr>
                <w:rFonts w:hint="eastAsia" w:ascii="宋体" w:hAnsi="宋体" w:cs="宋体"/>
                <w:color w:val="auto"/>
                <w:sz w:val="24"/>
              </w:rPr>
            </w:pPr>
            <w:r>
              <w:rPr>
                <w:rFonts w:hint="eastAsia" w:ascii="宋体" w:hAnsi="宋体" w:cs="宋体"/>
                <w:color w:val="auto"/>
                <w:sz w:val="24"/>
              </w:rPr>
              <w:t>投标单位</w:t>
            </w:r>
          </w:p>
        </w:tc>
        <w:tc>
          <w:tcPr>
            <w:tcW w:w="3420" w:type="dxa"/>
            <w:noWrap w:val="0"/>
            <w:vAlign w:val="center"/>
          </w:tcPr>
          <w:p w14:paraId="5EA81F05">
            <w:pPr>
              <w:spacing w:line="360" w:lineRule="atLeast"/>
              <w:jc w:val="center"/>
              <w:outlineLvl w:val="9"/>
              <w:rPr>
                <w:rFonts w:hint="eastAsia" w:ascii="宋体" w:hAnsi="宋体" w:cs="宋体"/>
                <w:color w:val="auto"/>
                <w:sz w:val="24"/>
              </w:rPr>
            </w:pPr>
            <w:r>
              <w:rPr>
                <w:rFonts w:hint="eastAsia" w:ascii="宋体" w:hAnsi="宋体" w:cs="宋体"/>
                <w:color w:val="auto"/>
                <w:sz w:val="24"/>
              </w:rPr>
              <w:t>法定代表人</w:t>
            </w:r>
          </w:p>
        </w:tc>
        <w:tc>
          <w:tcPr>
            <w:tcW w:w="2340" w:type="dxa"/>
            <w:noWrap w:val="0"/>
            <w:vAlign w:val="center"/>
          </w:tcPr>
          <w:p w14:paraId="40797A96">
            <w:pPr>
              <w:spacing w:line="360" w:lineRule="atLeast"/>
              <w:jc w:val="center"/>
              <w:outlineLvl w:val="9"/>
              <w:rPr>
                <w:rFonts w:hint="eastAsia" w:ascii="宋体" w:hAnsi="宋体" w:cs="宋体"/>
                <w:color w:val="auto"/>
                <w:sz w:val="24"/>
              </w:rPr>
            </w:pPr>
            <w:r>
              <w:rPr>
                <w:rFonts w:hint="eastAsia" w:ascii="宋体" w:hAnsi="宋体" w:cs="宋体"/>
                <w:color w:val="auto"/>
                <w:sz w:val="24"/>
              </w:rPr>
              <w:t>日   期</w:t>
            </w:r>
          </w:p>
        </w:tc>
      </w:tr>
      <w:tr w14:paraId="568C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1101FC1A">
            <w:pPr>
              <w:spacing w:line="360" w:lineRule="atLeast"/>
              <w:jc w:val="center"/>
              <w:outlineLvl w:val="9"/>
              <w:rPr>
                <w:rFonts w:hint="eastAsia" w:ascii="宋体" w:hAnsi="宋体" w:cs="宋体"/>
                <w:color w:val="auto"/>
                <w:sz w:val="24"/>
              </w:rPr>
            </w:pPr>
            <w:r>
              <w:rPr>
                <w:rFonts w:hint="eastAsia" w:ascii="宋体" w:hAnsi="宋体" w:cs="宋体"/>
                <w:color w:val="auto"/>
                <w:sz w:val="24"/>
              </w:rPr>
              <w:t>（公章）</w:t>
            </w:r>
          </w:p>
        </w:tc>
        <w:tc>
          <w:tcPr>
            <w:tcW w:w="3420" w:type="dxa"/>
            <w:noWrap w:val="0"/>
            <w:vAlign w:val="center"/>
          </w:tcPr>
          <w:p w14:paraId="44EA026A">
            <w:pPr>
              <w:spacing w:line="360" w:lineRule="atLeast"/>
              <w:jc w:val="center"/>
              <w:outlineLvl w:val="9"/>
              <w:rPr>
                <w:rFonts w:hint="eastAsia" w:ascii="宋体" w:hAnsi="宋体" w:cs="宋体"/>
                <w:color w:val="auto"/>
                <w:sz w:val="24"/>
              </w:rPr>
            </w:pPr>
            <w:r>
              <w:rPr>
                <w:rFonts w:hint="eastAsia" w:ascii="宋体" w:hAnsi="宋体" w:cs="宋体"/>
                <w:color w:val="auto"/>
                <w:sz w:val="24"/>
              </w:rPr>
              <w:t>（签字或盖章）</w:t>
            </w:r>
          </w:p>
        </w:tc>
        <w:tc>
          <w:tcPr>
            <w:tcW w:w="2340" w:type="dxa"/>
            <w:noWrap w:val="0"/>
            <w:vAlign w:val="center"/>
          </w:tcPr>
          <w:p w14:paraId="3424E02A">
            <w:pPr>
              <w:spacing w:line="360" w:lineRule="atLeast"/>
              <w:ind w:firstLine="240" w:firstLineChars="100"/>
              <w:jc w:val="center"/>
              <w:outlineLvl w:val="9"/>
              <w:rPr>
                <w:rFonts w:hint="eastAsia" w:ascii="宋体" w:hAnsi="宋体" w:cs="宋体"/>
                <w:color w:val="auto"/>
                <w:sz w:val="24"/>
              </w:rPr>
            </w:pPr>
            <w:r>
              <w:rPr>
                <w:rFonts w:hint="eastAsia" w:ascii="宋体" w:hAnsi="宋体" w:cs="宋体"/>
                <w:color w:val="auto"/>
                <w:sz w:val="24"/>
              </w:rPr>
              <w:t>年  月  日</w:t>
            </w:r>
          </w:p>
        </w:tc>
      </w:tr>
    </w:tbl>
    <w:p w14:paraId="01C2D819">
      <w:pPr>
        <w:outlineLvl w:val="9"/>
        <w:rPr>
          <w:rFonts w:ascii="宋体" w:hAnsi="宋体" w:cs="宋体"/>
          <w:b/>
          <w:color w:val="auto"/>
          <w:sz w:val="24"/>
          <w:szCs w:val="24"/>
          <w:u w:val="single"/>
        </w:rPr>
      </w:pPr>
    </w:p>
    <w:p w14:paraId="2346E1E3">
      <w:pPr>
        <w:pStyle w:val="10"/>
        <w:outlineLvl w:val="9"/>
        <w:rPr>
          <w:rFonts w:hint="eastAsia" w:ascii="宋体" w:hAnsi="宋体" w:cs="宋体"/>
          <w:b w:val="0"/>
          <w:color w:val="auto"/>
          <w:sz w:val="24"/>
          <w:szCs w:val="24"/>
          <w:u w:val="single"/>
        </w:rPr>
      </w:pPr>
    </w:p>
    <w:p w14:paraId="1F5B54CC">
      <w:pPr>
        <w:outlineLvl w:val="9"/>
        <w:rPr>
          <w:rFonts w:hint="eastAsia" w:ascii="宋体" w:hAnsi="宋体" w:cs="宋体"/>
          <w:b/>
          <w:color w:val="auto"/>
          <w:sz w:val="24"/>
          <w:szCs w:val="24"/>
          <w:u w:val="single"/>
        </w:rPr>
      </w:pPr>
    </w:p>
    <w:p w14:paraId="261FEE37">
      <w:pPr>
        <w:pStyle w:val="10"/>
        <w:outlineLvl w:val="9"/>
        <w:rPr>
          <w:rFonts w:hint="eastAsia" w:ascii="宋体" w:hAnsi="宋体" w:cs="宋体"/>
          <w:b w:val="0"/>
          <w:color w:val="auto"/>
          <w:sz w:val="24"/>
          <w:szCs w:val="24"/>
          <w:u w:val="single"/>
        </w:rPr>
      </w:pPr>
    </w:p>
    <w:p w14:paraId="4C16763E">
      <w:pPr>
        <w:outlineLvl w:val="9"/>
        <w:rPr>
          <w:rFonts w:hint="eastAsia" w:ascii="宋体" w:hAnsi="宋体" w:cs="宋体"/>
          <w:b/>
          <w:color w:val="auto"/>
          <w:sz w:val="24"/>
          <w:szCs w:val="24"/>
          <w:u w:val="single"/>
        </w:rPr>
      </w:pPr>
    </w:p>
    <w:p w14:paraId="5B6C2436">
      <w:pPr>
        <w:spacing w:line="360" w:lineRule="auto"/>
        <w:jc w:val="center"/>
        <w:outlineLvl w:val="9"/>
        <w:rPr>
          <w:rFonts w:hint="eastAsia" w:ascii="宋体" w:hAnsi="宋体" w:cs="宋体"/>
          <w:b/>
          <w:color w:val="auto"/>
          <w:sz w:val="32"/>
          <w:szCs w:val="32"/>
        </w:rPr>
        <w:sectPr>
          <w:pgSz w:w="11906" w:h="16838"/>
          <w:pgMar w:top="1383" w:right="1383" w:bottom="1383" w:left="1383" w:header="851" w:footer="992" w:gutter="0"/>
          <w:pgNumType w:fmt="decimal"/>
          <w:cols w:space="720" w:num="1"/>
          <w:docGrid w:linePitch="312" w:charSpace="0"/>
        </w:sectPr>
      </w:pPr>
    </w:p>
    <w:p w14:paraId="08D59D7F">
      <w:pPr>
        <w:spacing w:line="360" w:lineRule="auto"/>
        <w:jc w:val="center"/>
        <w:outlineLvl w:val="1"/>
        <w:rPr>
          <w:rFonts w:hint="eastAsia" w:ascii="宋体" w:hAnsi="宋体" w:cs="宋体"/>
          <w:b/>
          <w:color w:val="auto"/>
          <w:sz w:val="32"/>
          <w:szCs w:val="32"/>
        </w:rPr>
      </w:pPr>
      <w:bookmarkStart w:id="336" w:name="_Toc21718"/>
      <w:bookmarkStart w:id="337" w:name="_Toc7749"/>
      <w:r>
        <w:rPr>
          <w:rFonts w:hint="eastAsia" w:ascii="宋体" w:hAnsi="宋体" w:cs="宋体"/>
          <w:b/>
          <w:color w:val="auto"/>
          <w:sz w:val="32"/>
          <w:szCs w:val="32"/>
          <w:lang w:val="en-US" w:eastAsia="zh-CN"/>
        </w:rPr>
        <w:t>六</w:t>
      </w:r>
      <w:r>
        <w:rPr>
          <w:rFonts w:hint="eastAsia" w:ascii="宋体" w:hAnsi="宋体" w:cs="宋体"/>
          <w:b/>
          <w:color w:val="auto"/>
          <w:sz w:val="32"/>
          <w:szCs w:val="32"/>
        </w:rPr>
        <w:t>、投标方案</w:t>
      </w:r>
      <w:bookmarkEnd w:id="336"/>
      <w:bookmarkEnd w:id="337"/>
    </w:p>
    <w:p w14:paraId="7177BEAE">
      <w:pPr>
        <w:spacing w:line="360" w:lineRule="auto"/>
        <w:ind w:firstLine="241" w:firstLineChars="100"/>
        <w:jc w:val="both"/>
        <w:outlineLvl w:val="9"/>
        <w:rPr>
          <w:rFonts w:hint="eastAsia" w:ascii="宋体" w:hAnsi="宋体" w:eastAsia="宋体" w:cs="宋体"/>
          <w:b/>
          <w:bCs/>
          <w:color w:val="auto"/>
          <w:sz w:val="24"/>
          <w:lang w:val="en-US" w:eastAsia="zh-CN"/>
        </w:rPr>
      </w:pPr>
      <w:r>
        <w:rPr>
          <w:rFonts w:hint="eastAsia" w:ascii="宋体" w:hAnsi="宋体" w:eastAsia="宋体" w:cs="宋体"/>
          <w:b/>
          <w:bCs/>
          <w:color w:val="auto"/>
          <w:sz w:val="24"/>
        </w:rPr>
        <w:t>各投标人根据采购内容及评审办法自主编</w:t>
      </w:r>
      <w:r>
        <w:rPr>
          <w:rFonts w:hint="eastAsia" w:ascii="宋体" w:hAnsi="宋体" w:eastAsia="宋体" w:cs="宋体"/>
          <w:b/>
          <w:bCs/>
          <w:color w:val="auto"/>
          <w:sz w:val="24"/>
          <w:lang w:val="en-US" w:eastAsia="zh-CN"/>
        </w:rPr>
        <w:t>写。</w:t>
      </w:r>
    </w:p>
    <w:p w14:paraId="31326630">
      <w:pPr>
        <w:pStyle w:val="35"/>
        <w:outlineLvl w:val="9"/>
        <w:rPr>
          <w:rFonts w:hint="eastAsia" w:ascii="宋体" w:hAnsi="宋体" w:eastAsia="宋体" w:cs="宋体"/>
          <w:b/>
          <w:bCs/>
          <w:color w:val="auto"/>
          <w:sz w:val="24"/>
          <w:lang w:val="en-US" w:eastAsia="zh-CN"/>
        </w:rPr>
      </w:pPr>
    </w:p>
    <w:p w14:paraId="5E7C4A82">
      <w:pPr>
        <w:pStyle w:val="35"/>
        <w:outlineLvl w:val="9"/>
        <w:rPr>
          <w:rFonts w:hint="eastAsia" w:ascii="宋体" w:hAnsi="宋体" w:eastAsia="宋体" w:cs="宋体"/>
          <w:b/>
          <w:bCs/>
          <w:color w:val="auto"/>
          <w:sz w:val="24"/>
          <w:lang w:val="en-US" w:eastAsia="zh-CN"/>
        </w:rPr>
      </w:pPr>
    </w:p>
    <w:p w14:paraId="3F0096AF">
      <w:pPr>
        <w:pStyle w:val="35"/>
        <w:outlineLvl w:val="9"/>
        <w:rPr>
          <w:rFonts w:hint="eastAsia" w:ascii="宋体" w:hAnsi="宋体" w:eastAsia="宋体" w:cs="宋体"/>
          <w:b/>
          <w:bCs/>
          <w:color w:val="auto"/>
          <w:sz w:val="24"/>
          <w:lang w:val="en-US" w:eastAsia="zh-CN"/>
        </w:rPr>
      </w:pPr>
    </w:p>
    <w:p w14:paraId="564AC31D">
      <w:pPr>
        <w:pStyle w:val="35"/>
        <w:outlineLvl w:val="9"/>
        <w:rPr>
          <w:rFonts w:hint="eastAsia" w:ascii="宋体" w:hAnsi="宋体" w:eastAsia="宋体" w:cs="宋体"/>
          <w:b/>
          <w:bCs/>
          <w:color w:val="auto"/>
          <w:sz w:val="24"/>
          <w:lang w:val="en-US" w:eastAsia="zh-CN"/>
        </w:rPr>
      </w:pPr>
    </w:p>
    <w:p w14:paraId="6DCF1FF4">
      <w:pPr>
        <w:pStyle w:val="35"/>
        <w:outlineLvl w:val="9"/>
        <w:rPr>
          <w:rFonts w:hint="eastAsia" w:ascii="宋体" w:hAnsi="宋体" w:eastAsia="宋体" w:cs="宋体"/>
          <w:b/>
          <w:bCs/>
          <w:color w:val="auto"/>
          <w:sz w:val="24"/>
          <w:lang w:val="en-US" w:eastAsia="zh-CN"/>
        </w:rPr>
      </w:pPr>
    </w:p>
    <w:p w14:paraId="36F469F4">
      <w:pPr>
        <w:pStyle w:val="35"/>
        <w:outlineLvl w:val="9"/>
        <w:rPr>
          <w:rFonts w:hint="eastAsia" w:ascii="宋体" w:hAnsi="宋体" w:eastAsia="宋体" w:cs="宋体"/>
          <w:b/>
          <w:bCs/>
          <w:color w:val="auto"/>
          <w:sz w:val="24"/>
          <w:lang w:val="en-US" w:eastAsia="zh-CN"/>
        </w:rPr>
      </w:pPr>
    </w:p>
    <w:p w14:paraId="7B31B8AC">
      <w:pPr>
        <w:pStyle w:val="35"/>
        <w:outlineLvl w:val="9"/>
        <w:rPr>
          <w:rFonts w:hint="eastAsia" w:ascii="宋体" w:hAnsi="宋体" w:eastAsia="宋体" w:cs="宋体"/>
          <w:b/>
          <w:bCs/>
          <w:color w:val="auto"/>
          <w:sz w:val="24"/>
          <w:lang w:val="en-US" w:eastAsia="zh-CN"/>
        </w:rPr>
      </w:pPr>
    </w:p>
    <w:p w14:paraId="30B178F1">
      <w:pPr>
        <w:pStyle w:val="35"/>
        <w:outlineLvl w:val="9"/>
        <w:rPr>
          <w:rFonts w:hint="eastAsia" w:ascii="宋体" w:hAnsi="宋体" w:eastAsia="宋体" w:cs="宋体"/>
          <w:b/>
          <w:bCs/>
          <w:color w:val="auto"/>
          <w:sz w:val="24"/>
          <w:lang w:val="en-US" w:eastAsia="zh-CN"/>
        </w:rPr>
      </w:pPr>
    </w:p>
    <w:p w14:paraId="6084CC8A">
      <w:pPr>
        <w:pStyle w:val="35"/>
        <w:outlineLvl w:val="9"/>
        <w:rPr>
          <w:rFonts w:hint="eastAsia" w:ascii="宋体" w:hAnsi="宋体" w:eastAsia="宋体" w:cs="宋体"/>
          <w:b/>
          <w:bCs/>
          <w:color w:val="auto"/>
          <w:sz w:val="24"/>
          <w:lang w:val="en-US" w:eastAsia="zh-CN"/>
        </w:rPr>
      </w:pPr>
    </w:p>
    <w:p w14:paraId="128D8136">
      <w:pPr>
        <w:pStyle w:val="35"/>
        <w:outlineLvl w:val="9"/>
        <w:rPr>
          <w:rFonts w:hint="eastAsia" w:ascii="宋体" w:hAnsi="宋体" w:eastAsia="宋体" w:cs="宋体"/>
          <w:b/>
          <w:bCs/>
          <w:color w:val="auto"/>
          <w:sz w:val="24"/>
          <w:lang w:val="en-US" w:eastAsia="zh-CN"/>
        </w:rPr>
      </w:pPr>
    </w:p>
    <w:p w14:paraId="69C04A4D">
      <w:pPr>
        <w:pStyle w:val="35"/>
        <w:outlineLvl w:val="9"/>
        <w:rPr>
          <w:rFonts w:hint="eastAsia" w:ascii="宋体" w:hAnsi="宋体" w:eastAsia="宋体" w:cs="宋体"/>
          <w:b/>
          <w:bCs/>
          <w:color w:val="auto"/>
          <w:sz w:val="24"/>
          <w:lang w:val="en-US" w:eastAsia="zh-CN"/>
        </w:rPr>
      </w:pPr>
    </w:p>
    <w:p w14:paraId="38655C2A">
      <w:pPr>
        <w:pStyle w:val="35"/>
        <w:outlineLvl w:val="9"/>
        <w:rPr>
          <w:rFonts w:hint="eastAsia" w:ascii="宋体" w:hAnsi="宋体" w:eastAsia="宋体" w:cs="宋体"/>
          <w:b/>
          <w:bCs/>
          <w:color w:val="auto"/>
          <w:sz w:val="24"/>
          <w:lang w:val="en-US" w:eastAsia="zh-CN"/>
        </w:rPr>
      </w:pPr>
    </w:p>
    <w:p w14:paraId="62F7342F">
      <w:pPr>
        <w:pStyle w:val="35"/>
        <w:outlineLvl w:val="9"/>
        <w:rPr>
          <w:rFonts w:hint="eastAsia" w:ascii="宋体" w:hAnsi="宋体" w:eastAsia="宋体" w:cs="宋体"/>
          <w:b/>
          <w:bCs/>
          <w:color w:val="auto"/>
          <w:sz w:val="24"/>
          <w:lang w:val="en-US" w:eastAsia="zh-CN"/>
        </w:rPr>
      </w:pPr>
    </w:p>
    <w:p w14:paraId="63F743B0">
      <w:pPr>
        <w:pStyle w:val="35"/>
        <w:outlineLvl w:val="9"/>
        <w:rPr>
          <w:rFonts w:hint="eastAsia" w:ascii="宋体" w:hAnsi="宋体" w:eastAsia="宋体" w:cs="宋体"/>
          <w:b/>
          <w:bCs/>
          <w:color w:val="auto"/>
          <w:sz w:val="24"/>
          <w:lang w:val="en-US" w:eastAsia="zh-CN"/>
        </w:rPr>
      </w:pPr>
    </w:p>
    <w:p w14:paraId="0930B60B">
      <w:pPr>
        <w:pStyle w:val="35"/>
        <w:outlineLvl w:val="9"/>
        <w:rPr>
          <w:rFonts w:hint="eastAsia" w:ascii="宋体" w:hAnsi="宋体" w:eastAsia="宋体" w:cs="宋体"/>
          <w:b/>
          <w:bCs/>
          <w:color w:val="auto"/>
          <w:sz w:val="24"/>
          <w:lang w:val="en-US" w:eastAsia="zh-CN"/>
        </w:rPr>
      </w:pPr>
    </w:p>
    <w:p w14:paraId="4B0DB814">
      <w:pPr>
        <w:pStyle w:val="35"/>
        <w:outlineLvl w:val="9"/>
        <w:rPr>
          <w:rFonts w:hint="eastAsia" w:ascii="宋体" w:hAnsi="宋体" w:eastAsia="宋体" w:cs="宋体"/>
          <w:b/>
          <w:bCs/>
          <w:color w:val="auto"/>
          <w:sz w:val="24"/>
          <w:lang w:val="en-US" w:eastAsia="zh-CN"/>
        </w:rPr>
      </w:pPr>
    </w:p>
    <w:p w14:paraId="314C382E">
      <w:pPr>
        <w:pStyle w:val="35"/>
        <w:outlineLvl w:val="9"/>
        <w:rPr>
          <w:rFonts w:hint="eastAsia" w:ascii="宋体" w:hAnsi="宋体" w:eastAsia="宋体" w:cs="宋体"/>
          <w:b/>
          <w:bCs/>
          <w:color w:val="auto"/>
          <w:sz w:val="24"/>
          <w:lang w:val="en-US" w:eastAsia="zh-CN"/>
        </w:rPr>
      </w:pPr>
    </w:p>
    <w:p w14:paraId="5041E3E3">
      <w:pPr>
        <w:pStyle w:val="35"/>
        <w:outlineLvl w:val="9"/>
        <w:rPr>
          <w:rFonts w:hint="eastAsia" w:ascii="宋体" w:hAnsi="宋体" w:eastAsia="宋体" w:cs="宋体"/>
          <w:b/>
          <w:bCs/>
          <w:color w:val="auto"/>
          <w:sz w:val="24"/>
          <w:lang w:val="en-US" w:eastAsia="zh-CN"/>
        </w:rPr>
      </w:pPr>
    </w:p>
    <w:p w14:paraId="1EC6912C">
      <w:pPr>
        <w:pStyle w:val="35"/>
        <w:outlineLvl w:val="9"/>
        <w:rPr>
          <w:rFonts w:hint="eastAsia" w:ascii="宋体" w:hAnsi="宋体" w:eastAsia="宋体" w:cs="宋体"/>
          <w:b/>
          <w:bCs/>
          <w:color w:val="auto"/>
          <w:sz w:val="24"/>
          <w:lang w:val="en-US" w:eastAsia="zh-CN"/>
        </w:rPr>
      </w:pPr>
    </w:p>
    <w:p w14:paraId="29CD74A9">
      <w:pPr>
        <w:pStyle w:val="35"/>
        <w:outlineLvl w:val="9"/>
        <w:rPr>
          <w:rFonts w:hint="eastAsia" w:ascii="宋体" w:hAnsi="宋体" w:eastAsia="宋体" w:cs="宋体"/>
          <w:b/>
          <w:bCs/>
          <w:color w:val="auto"/>
          <w:sz w:val="24"/>
          <w:lang w:val="en-US" w:eastAsia="zh-CN"/>
        </w:rPr>
      </w:pPr>
    </w:p>
    <w:p w14:paraId="3E8F8FE1">
      <w:pPr>
        <w:pStyle w:val="35"/>
        <w:outlineLvl w:val="9"/>
        <w:rPr>
          <w:rFonts w:hint="eastAsia" w:ascii="宋体" w:hAnsi="宋体" w:eastAsia="宋体" w:cs="宋体"/>
          <w:b/>
          <w:bCs/>
          <w:color w:val="auto"/>
          <w:sz w:val="24"/>
          <w:lang w:val="en-US" w:eastAsia="zh-CN"/>
        </w:rPr>
      </w:pPr>
    </w:p>
    <w:p w14:paraId="43DDD33C">
      <w:pPr>
        <w:pStyle w:val="35"/>
        <w:outlineLvl w:val="9"/>
        <w:rPr>
          <w:rFonts w:hint="eastAsia" w:ascii="宋体" w:hAnsi="宋体" w:eastAsia="宋体" w:cs="宋体"/>
          <w:b/>
          <w:bCs/>
          <w:color w:val="auto"/>
          <w:sz w:val="24"/>
          <w:lang w:val="en-US" w:eastAsia="zh-CN"/>
        </w:rPr>
      </w:pPr>
    </w:p>
    <w:p w14:paraId="4DAB991D">
      <w:pPr>
        <w:pStyle w:val="35"/>
        <w:outlineLvl w:val="9"/>
        <w:rPr>
          <w:rFonts w:hint="eastAsia" w:ascii="宋体" w:hAnsi="宋体" w:eastAsia="宋体" w:cs="宋体"/>
          <w:b/>
          <w:bCs/>
          <w:color w:val="auto"/>
          <w:sz w:val="24"/>
          <w:lang w:val="en-US" w:eastAsia="zh-CN"/>
        </w:rPr>
      </w:pPr>
    </w:p>
    <w:p w14:paraId="1225B814">
      <w:pPr>
        <w:pStyle w:val="35"/>
        <w:outlineLvl w:val="9"/>
        <w:rPr>
          <w:rFonts w:hint="eastAsia" w:ascii="宋体" w:hAnsi="宋体" w:eastAsia="宋体" w:cs="宋体"/>
          <w:b/>
          <w:bCs/>
          <w:color w:val="auto"/>
          <w:sz w:val="24"/>
          <w:lang w:val="en-US" w:eastAsia="zh-CN"/>
        </w:rPr>
      </w:pPr>
    </w:p>
    <w:p w14:paraId="6FCC7B44">
      <w:pPr>
        <w:pStyle w:val="35"/>
        <w:outlineLvl w:val="9"/>
        <w:rPr>
          <w:rFonts w:hint="eastAsia" w:ascii="宋体" w:hAnsi="宋体" w:eastAsia="宋体" w:cs="宋体"/>
          <w:b/>
          <w:bCs/>
          <w:color w:val="auto"/>
          <w:sz w:val="24"/>
          <w:lang w:val="en-US" w:eastAsia="zh-CN"/>
        </w:rPr>
      </w:pPr>
    </w:p>
    <w:p w14:paraId="72887FD2">
      <w:pPr>
        <w:pStyle w:val="35"/>
        <w:outlineLvl w:val="9"/>
        <w:rPr>
          <w:rFonts w:hint="eastAsia" w:ascii="宋体" w:hAnsi="宋体" w:eastAsia="宋体" w:cs="宋体"/>
          <w:b/>
          <w:bCs/>
          <w:color w:val="auto"/>
          <w:sz w:val="24"/>
          <w:lang w:val="en-US" w:eastAsia="zh-CN"/>
        </w:rPr>
      </w:pPr>
    </w:p>
    <w:p w14:paraId="119DDA11">
      <w:pPr>
        <w:pStyle w:val="35"/>
        <w:outlineLvl w:val="9"/>
        <w:rPr>
          <w:rFonts w:hint="eastAsia" w:ascii="宋体" w:hAnsi="宋体" w:eastAsia="宋体" w:cs="宋体"/>
          <w:b/>
          <w:bCs/>
          <w:color w:val="auto"/>
          <w:sz w:val="24"/>
          <w:lang w:val="en-US" w:eastAsia="zh-CN"/>
        </w:rPr>
      </w:pPr>
    </w:p>
    <w:p w14:paraId="55842DEC">
      <w:pPr>
        <w:pStyle w:val="35"/>
        <w:outlineLvl w:val="9"/>
        <w:rPr>
          <w:rFonts w:hint="eastAsia" w:ascii="宋体" w:hAnsi="宋体" w:eastAsia="宋体" w:cs="宋体"/>
          <w:b/>
          <w:bCs/>
          <w:color w:val="auto"/>
          <w:sz w:val="24"/>
          <w:lang w:val="en-US" w:eastAsia="zh-CN"/>
        </w:rPr>
      </w:pPr>
    </w:p>
    <w:p w14:paraId="4ECB93E8">
      <w:pPr>
        <w:pStyle w:val="35"/>
        <w:outlineLvl w:val="9"/>
        <w:rPr>
          <w:rFonts w:hint="eastAsia" w:ascii="宋体" w:hAnsi="宋体" w:eastAsia="宋体" w:cs="宋体"/>
          <w:b/>
          <w:bCs/>
          <w:color w:val="auto"/>
          <w:sz w:val="24"/>
          <w:lang w:val="en-US" w:eastAsia="zh-CN"/>
        </w:rPr>
      </w:pPr>
    </w:p>
    <w:p w14:paraId="1D348C91">
      <w:pPr>
        <w:pStyle w:val="35"/>
        <w:outlineLvl w:val="9"/>
        <w:rPr>
          <w:rFonts w:hint="eastAsia" w:ascii="宋体" w:hAnsi="宋体" w:eastAsia="宋体" w:cs="宋体"/>
          <w:b/>
          <w:bCs/>
          <w:color w:val="auto"/>
          <w:sz w:val="24"/>
          <w:lang w:val="en-US" w:eastAsia="zh-CN"/>
        </w:rPr>
      </w:pPr>
    </w:p>
    <w:p w14:paraId="1D2D8919">
      <w:pPr>
        <w:pStyle w:val="35"/>
        <w:outlineLvl w:val="9"/>
        <w:rPr>
          <w:rFonts w:hint="eastAsia" w:ascii="宋体" w:hAnsi="宋体" w:eastAsia="宋体" w:cs="宋体"/>
          <w:b/>
          <w:bCs/>
          <w:color w:val="auto"/>
          <w:sz w:val="24"/>
          <w:lang w:val="en-US" w:eastAsia="zh-CN"/>
        </w:rPr>
      </w:pPr>
    </w:p>
    <w:p w14:paraId="49E52C40">
      <w:pPr>
        <w:pStyle w:val="35"/>
        <w:outlineLvl w:val="9"/>
        <w:rPr>
          <w:rFonts w:hint="eastAsia" w:ascii="宋体" w:hAnsi="宋体" w:eastAsia="宋体" w:cs="宋体"/>
          <w:b/>
          <w:bCs/>
          <w:color w:val="auto"/>
          <w:sz w:val="24"/>
          <w:lang w:val="en-US" w:eastAsia="zh-CN"/>
        </w:rPr>
      </w:pPr>
    </w:p>
    <w:p w14:paraId="19574BC4">
      <w:pPr>
        <w:pStyle w:val="35"/>
        <w:outlineLvl w:val="9"/>
        <w:rPr>
          <w:rFonts w:hint="eastAsia" w:ascii="宋体" w:hAnsi="宋体" w:eastAsia="宋体" w:cs="宋体"/>
          <w:b/>
          <w:bCs/>
          <w:color w:val="auto"/>
          <w:sz w:val="24"/>
          <w:lang w:val="en-US" w:eastAsia="zh-CN"/>
        </w:rPr>
      </w:pPr>
    </w:p>
    <w:p w14:paraId="59092655">
      <w:pPr>
        <w:pStyle w:val="35"/>
        <w:outlineLvl w:val="9"/>
        <w:rPr>
          <w:rFonts w:hint="eastAsia" w:ascii="宋体" w:hAnsi="宋体" w:eastAsia="宋体" w:cs="宋体"/>
          <w:b/>
          <w:bCs/>
          <w:color w:val="auto"/>
          <w:sz w:val="24"/>
          <w:lang w:val="en-US" w:eastAsia="zh-CN"/>
        </w:rPr>
      </w:pPr>
    </w:p>
    <w:p w14:paraId="7D557187">
      <w:pPr>
        <w:pStyle w:val="35"/>
        <w:outlineLvl w:val="9"/>
        <w:rPr>
          <w:rFonts w:hint="eastAsia" w:ascii="宋体" w:hAnsi="宋体" w:eastAsia="宋体" w:cs="宋体"/>
          <w:b/>
          <w:bCs/>
          <w:color w:val="auto"/>
          <w:sz w:val="24"/>
          <w:lang w:val="en-US" w:eastAsia="zh-CN"/>
        </w:rPr>
      </w:pPr>
    </w:p>
    <w:p w14:paraId="698BF556">
      <w:pPr>
        <w:pStyle w:val="35"/>
        <w:outlineLvl w:val="9"/>
        <w:rPr>
          <w:rFonts w:hint="eastAsia" w:ascii="宋体" w:hAnsi="宋体" w:eastAsia="宋体" w:cs="宋体"/>
          <w:b/>
          <w:bCs/>
          <w:color w:val="auto"/>
          <w:sz w:val="24"/>
          <w:lang w:val="en-US" w:eastAsia="zh-CN"/>
        </w:rPr>
      </w:pPr>
    </w:p>
    <w:p w14:paraId="3C8C27F2">
      <w:pPr>
        <w:pStyle w:val="35"/>
        <w:outlineLvl w:val="9"/>
        <w:rPr>
          <w:rFonts w:hint="eastAsia" w:ascii="宋体" w:hAnsi="宋体" w:eastAsia="宋体" w:cs="宋体"/>
          <w:b/>
          <w:bCs/>
          <w:color w:val="auto"/>
          <w:sz w:val="24"/>
          <w:lang w:val="en-US" w:eastAsia="zh-CN"/>
        </w:rPr>
      </w:pPr>
    </w:p>
    <w:p w14:paraId="68995F8B">
      <w:pPr>
        <w:pStyle w:val="35"/>
        <w:outlineLvl w:val="9"/>
        <w:rPr>
          <w:rFonts w:hint="eastAsia" w:ascii="宋体" w:hAnsi="宋体" w:eastAsia="宋体" w:cs="宋体"/>
          <w:b/>
          <w:bCs/>
          <w:color w:val="auto"/>
          <w:sz w:val="24"/>
          <w:lang w:val="en-US" w:eastAsia="zh-CN"/>
        </w:rPr>
      </w:pPr>
    </w:p>
    <w:p w14:paraId="24F89E1E">
      <w:pPr>
        <w:pStyle w:val="35"/>
        <w:outlineLvl w:val="9"/>
        <w:rPr>
          <w:rFonts w:hint="eastAsia" w:ascii="宋体" w:hAnsi="宋体" w:eastAsia="宋体" w:cs="宋体"/>
          <w:b/>
          <w:bCs/>
          <w:color w:val="auto"/>
          <w:sz w:val="24"/>
          <w:lang w:val="en-US" w:eastAsia="zh-CN"/>
        </w:rPr>
      </w:pPr>
    </w:p>
    <w:bookmarkEnd w:id="277"/>
    <w:bookmarkEnd w:id="283"/>
    <w:bookmarkEnd w:id="284"/>
    <w:bookmarkEnd w:id="310"/>
    <w:bookmarkEnd w:id="313"/>
    <w:bookmarkEnd w:id="314"/>
    <w:bookmarkEnd w:id="315"/>
    <w:p w14:paraId="69F345F0">
      <w:pPr>
        <w:numPr>
          <w:ilvl w:val="0"/>
          <w:numId w:val="0"/>
        </w:numPr>
        <w:spacing w:line="360" w:lineRule="auto"/>
        <w:jc w:val="center"/>
        <w:outlineLvl w:val="1"/>
        <w:rPr>
          <w:rFonts w:hint="eastAsia" w:ascii="宋体" w:hAnsi="宋体" w:cs="宋体"/>
          <w:b/>
          <w:color w:val="auto"/>
          <w:sz w:val="36"/>
          <w:szCs w:val="24"/>
          <w:lang w:val="en-US" w:eastAsia="zh-CN"/>
        </w:rPr>
        <w:sectPr>
          <w:pgSz w:w="11906" w:h="16838"/>
          <w:pgMar w:top="1417" w:right="1669" w:bottom="1361" w:left="1417" w:header="851" w:footer="992" w:gutter="0"/>
          <w:pgNumType w:fmt="decimal"/>
          <w:cols w:space="720" w:num="1"/>
          <w:docGrid w:linePitch="312" w:charSpace="0"/>
        </w:sectPr>
      </w:pPr>
      <w:bookmarkStart w:id="338" w:name="_Toc4907"/>
      <w:bookmarkStart w:id="339" w:name="_Toc26336"/>
      <w:bookmarkStart w:id="340" w:name="_Toc7932"/>
    </w:p>
    <w:p w14:paraId="77D93DEF">
      <w:pPr>
        <w:numPr>
          <w:ilvl w:val="0"/>
          <w:numId w:val="0"/>
        </w:numPr>
        <w:spacing w:line="360" w:lineRule="auto"/>
        <w:jc w:val="center"/>
        <w:outlineLvl w:val="1"/>
        <w:rPr>
          <w:rFonts w:hint="eastAsia" w:ascii="宋体" w:hAnsi="宋体" w:eastAsia="宋体" w:cs="宋体"/>
          <w:b/>
          <w:color w:val="auto"/>
          <w:sz w:val="36"/>
          <w:szCs w:val="24"/>
        </w:rPr>
      </w:pPr>
      <w:bookmarkStart w:id="341" w:name="_Toc20616"/>
      <w:r>
        <w:rPr>
          <w:rFonts w:hint="eastAsia" w:ascii="宋体" w:hAnsi="宋体" w:cs="宋体"/>
          <w:b/>
          <w:color w:val="auto"/>
          <w:sz w:val="36"/>
          <w:szCs w:val="24"/>
          <w:lang w:val="en-US" w:eastAsia="zh-CN"/>
        </w:rPr>
        <w:t>七、</w:t>
      </w:r>
      <w:r>
        <w:rPr>
          <w:rFonts w:hint="eastAsia" w:ascii="宋体" w:hAnsi="宋体" w:eastAsia="宋体" w:cs="宋体"/>
          <w:b/>
          <w:color w:val="auto"/>
          <w:sz w:val="36"/>
          <w:szCs w:val="24"/>
        </w:rPr>
        <w:t>商务偏离表</w:t>
      </w:r>
      <w:bookmarkEnd w:id="338"/>
      <w:bookmarkEnd w:id="339"/>
      <w:bookmarkEnd w:id="340"/>
      <w:bookmarkEnd w:id="341"/>
    </w:p>
    <w:p w14:paraId="290A4031">
      <w:pPr>
        <w:spacing w:line="360" w:lineRule="auto"/>
        <w:outlineLvl w:val="9"/>
        <w:rPr>
          <w:rFonts w:hint="eastAsia"/>
          <w:color w:val="auto"/>
        </w:rPr>
      </w:pPr>
      <w:r>
        <w:rPr>
          <w:rFonts w:hint="eastAsia" w:ascii="宋体" w:hAnsi="宋体" w:cs="宋体"/>
          <w:color w:val="auto"/>
          <w:sz w:val="24"/>
        </w:rPr>
        <w:t>供应商名称：</w:t>
      </w:r>
      <w:r>
        <w:rPr>
          <w:rFonts w:hint="eastAsia" w:ascii="宋体" w:hAnsi="宋体" w:cs="宋体"/>
          <w:color w:val="auto"/>
          <w:sz w:val="24"/>
          <w:u w:val="single"/>
        </w:rPr>
        <w:t xml:space="preserve">               </w:t>
      </w:r>
      <w:r>
        <w:rPr>
          <w:rFonts w:hint="eastAsia" w:ascii="宋体" w:hAnsi="宋体" w:cs="宋体"/>
          <w:color w:val="auto"/>
          <w:sz w:val="24"/>
        </w:rPr>
        <w:t xml:space="preserve">            采购项目编号：</w:t>
      </w:r>
      <w:r>
        <w:rPr>
          <w:rFonts w:hint="eastAsia" w:ascii="宋体" w:hAnsi="宋体" w:cs="宋体"/>
          <w:color w:val="auto"/>
          <w:sz w:val="24"/>
          <w:u w:val="single"/>
        </w:rPr>
        <w:t xml:space="preserve">                   </w:t>
      </w:r>
    </w:p>
    <w:tbl>
      <w:tblPr>
        <w:tblStyle w:val="25"/>
        <w:tblW w:w="9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51"/>
        <w:gridCol w:w="2931"/>
        <w:gridCol w:w="3231"/>
        <w:gridCol w:w="1202"/>
        <w:gridCol w:w="1350"/>
      </w:tblGrid>
      <w:tr w14:paraId="2ACA7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751" w:type="dxa"/>
            <w:noWrap w:val="0"/>
            <w:vAlign w:val="top"/>
          </w:tcPr>
          <w:p w14:paraId="488B75CD">
            <w:pPr>
              <w:spacing w:line="360" w:lineRule="auto"/>
              <w:jc w:val="center"/>
              <w:outlineLvl w:val="9"/>
              <w:rPr>
                <w:rFonts w:hint="eastAsia" w:ascii="宋体" w:hAnsi="宋体" w:cs="宋体"/>
                <w:b/>
                <w:color w:val="auto"/>
                <w:sz w:val="24"/>
              </w:rPr>
            </w:pPr>
            <w:r>
              <w:rPr>
                <w:rFonts w:hint="eastAsia" w:ascii="宋体" w:hAnsi="宋体" w:cs="宋体"/>
                <w:b/>
                <w:color w:val="auto"/>
                <w:sz w:val="24"/>
              </w:rPr>
              <w:t>序号</w:t>
            </w:r>
          </w:p>
        </w:tc>
        <w:tc>
          <w:tcPr>
            <w:tcW w:w="2931" w:type="dxa"/>
            <w:noWrap w:val="0"/>
            <w:vAlign w:val="top"/>
          </w:tcPr>
          <w:p w14:paraId="4494FAC1">
            <w:pPr>
              <w:spacing w:line="360" w:lineRule="auto"/>
              <w:jc w:val="center"/>
              <w:outlineLvl w:val="9"/>
              <w:rPr>
                <w:rFonts w:hint="eastAsia" w:ascii="宋体" w:hAnsi="宋体" w:cs="宋体"/>
                <w:b/>
                <w:color w:val="auto"/>
                <w:sz w:val="24"/>
              </w:rPr>
            </w:pPr>
            <w:r>
              <w:rPr>
                <w:rFonts w:hint="eastAsia" w:ascii="宋体" w:hAnsi="宋体" w:cs="宋体"/>
                <w:b/>
                <w:color w:val="auto"/>
                <w:sz w:val="24"/>
              </w:rPr>
              <w:t>竞争性磋商文件商务要求</w:t>
            </w:r>
          </w:p>
        </w:tc>
        <w:tc>
          <w:tcPr>
            <w:tcW w:w="3231" w:type="dxa"/>
            <w:noWrap w:val="0"/>
            <w:vAlign w:val="top"/>
          </w:tcPr>
          <w:p w14:paraId="55CF49F5">
            <w:pPr>
              <w:spacing w:line="360" w:lineRule="auto"/>
              <w:jc w:val="center"/>
              <w:outlineLvl w:val="9"/>
              <w:rPr>
                <w:rFonts w:hint="eastAsia" w:ascii="宋体" w:hAnsi="宋体" w:cs="宋体"/>
                <w:b/>
                <w:color w:val="auto"/>
                <w:sz w:val="24"/>
              </w:rPr>
            </w:pPr>
            <w:r>
              <w:rPr>
                <w:rFonts w:hint="eastAsia" w:ascii="宋体" w:hAnsi="宋体" w:cs="宋体"/>
                <w:b/>
                <w:color w:val="auto"/>
                <w:sz w:val="24"/>
              </w:rPr>
              <w:t>竞争性磋商响应文件商务响应</w:t>
            </w:r>
          </w:p>
        </w:tc>
        <w:tc>
          <w:tcPr>
            <w:tcW w:w="1202" w:type="dxa"/>
            <w:noWrap w:val="0"/>
            <w:vAlign w:val="top"/>
          </w:tcPr>
          <w:p w14:paraId="1A94F074">
            <w:pPr>
              <w:spacing w:line="360" w:lineRule="auto"/>
              <w:jc w:val="center"/>
              <w:outlineLvl w:val="9"/>
              <w:rPr>
                <w:rFonts w:hint="eastAsia" w:ascii="宋体" w:hAnsi="宋体" w:cs="宋体"/>
                <w:b/>
                <w:color w:val="auto"/>
                <w:sz w:val="24"/>
              </w:rPr>
            </w:pPr>
            <w:r>
              <w:rPr>
                <w:rFonts w:hint="eastAsia" w:ascii="宋体" w:hAnsi="宋体" w:cs="宋体"/>
                <w:b/>
                <w:color w:val="auto"/>
                <w:sz w:val="24"/>
              </w:rPr>
              <w:t>偏离情况</w:t>
            </w:r>
          </w:p>
        </w:tc>
        <w:tc>
          <w:tcPr>
            <w:tcW w:w="1350" w:type="dxa"/>
            <w:noWrap w:val="0"/>
            <w:vAlign w:val="top"/>
          </w:tcPr>
          <w:p w14:paraId="40DB27AC">
            <w:pPr>
              <w:spacing w:line="360" w:lineRule="auto"/>
              <w:jc w:val="center"/>
              <w:outlineLvl w:val="9"/>
              <w:rPr>
                <w:rFonts w:hint="eastAsia" w:ascii="宋体" w:hAnsi="宋体" w:cs="宋体"/>
                <w:b/>
                <w:color w:val="auto"/>
                <w:sz w:val="24"/>
              </w:rPr>
            </w:pPr>
            <w:r>
              <w:rPr>
                <w:rFonts w:hint="eastAsia" w:ascii="宋体" w:hAnsi="宋体" w:cs="宋体"/>
                <w:b/>
                <w:color w:val="auto"/>
                <w:sz w:val="24"/>
              </w:rPr>
              <w:t>响应说明</w:t>
            </w:r>
          </w:p>
        </w:tc>
      </w:tr>
      <w:tr w14:paraId="18DFB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51" w:type="dxa"/>
            <w:noWrap w:val="0"/>
            <w:vAlign w:val="top"/>
          </w:tcPr>
          <w:p w14:paraId="3305E2B6">
            <w:pPr>
              <w:spacing w:line="360" w:lineRule="auto"/>
              <w:jc w:val="center"/>
              <w:outlineLvl w:val="9"/>
              <w:rPr>
                <w:rFonts w:hint="eastAsia" w:ascii="宋体" w:hAnsi="宋体" w:cs="宋体"/>
                <w:color w:val="auto"/>
                <w:sz w:val="24"/>
              </w:rPr>
            </w:pPr>
          </w:p>
        </w:tc>
        <w:tc>
          <w:tcPr>
            <w:tcW w:w="2931" w:type="dxa"/>
            <w:noWrap w:val="0"/>
            <w:vAlign w:val="top"/>
          </w:tcPr>
          <w:p w14:paraId="1574668B">
            <w:pPr>
              <w:spacing w:line="360" w:lineRule="auto"/>
              <w:jc w:val="center"/>
              <w:outlineLvl w:val="9"/>
              <w:rPr>
                <w:rFonts w:hint="eastAsia" w:ascii="宋体" w:hAnsi="宋体" w:cs="宋体"/>
                <w:color w:val="auto"/>
                <w:sz w:val="24"/>
              </w:rPr>
            </w:pPr>
          </w:p>
        </w:tc>
        <w:tc>
          <w:tcPr>
            <w:tcW w:w="3231" w:type="dxa"/>
            <w:noWrap w:val="0"/>
            <w:vAlign w:val="top"/>
          </w:tcPr>
          <w:p w14:paraId="548FE909">
            <w:pPr>
              <w:spacing w:line="360" w:lineRule="auto"/>
              <w:jc w:val="center"/>
              <w:outlineLvl w:val="9"/>
              <w:rPr>
                <w:rFonts w:hint="eastAsia" w:ascii="宋体" w:hAnsi="宋体" w:cs="宋体"/>
                <w:color w:val="auto"/>
                <w:sz w:val="24"/>
              </w:rPr>
            </w:pPr>
          </w:p>
        </w:tc>
        <w:tc>
          <w:tcPr>
            <w:tcW w:w="1202" w:type="dxa"/>
            <w:noWrap w:val="0"/>
            <w:vAlign w:val="top"/>
          </w:tcPr>
          <w:p w14:paraId="65495BEA">
            <w:pPr>
              <w:spacing w:line="360" w:lineRule="auto"/>
              <w:jc w:val="center"/>
              <w:outlineLvl w:val="9"/>
              <w:rPr>
                <w:rFonts w:hint="eastAsia" w:ascii="宋体" w:hAnsi="宋体" w:cs="宋体"/>
                <w:color w:val="auto"/>
                <w:sz w:val="24"/>
              </w:rPr>
            </w:pPr>
          </w:p>
        </w:tc>
        <w:tc>
          <w:tcPr>
            <w:tcW w:w="1350" w:type="dxa"/>
            <w:noWrap w:val="0"/>
            <w:vAlign w:val="top"/>
          </w:tcPr>
          <w:p w14:paraId="7D65AB33">
            <w:pPr>
              <w:spacing w:line="360" w:lineRule="auto"/>
              <w:jc w:val="center"/>
              <w:outlineLvl w:val="9"/>
              <w:rPr>
                <w:rFonts w:hint="eastAsia" w:ascii="宋体" w:hAnsi="宋体" w:cs="宋体"/>
                <w:color w:val="auto"/>
                <w:sz w:val="24"/>
              </w:rPr>
            </w:pPr>
          </w:p>
        </w:tc>
      </w:tr>
      <w:tr w14:paraId="62821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51" w:type="dxa"/>
            <w:noWrap w:val="0"/>
            <w:vAlign w:val="top"/>
          </w:tcPr>
          <w:p w14:paraId="4C6DA586">
            <w:pPr>
              <w:spacing w:line="360" w:lineRule="auto"/>
              <w:jc w:val="center"/>
              <w:outlineLvl w:val="9"/>
              <w:rPr>
                <w:rFonts w:hint="eastAsia" w:ascii="宋体" w:hAnsi="宋体" w:cs="宋体"/>
                <w:color w:val="auto"/>
                <w:sz w:val="24"/>
              </w:rPr>
            </w:pPr>
          </w:p>
        </w:tc>
        <w:tc>
          <w:tcPr>
            <w:tcW w:w="2931" w:type="dxa"/>
            <w:noWrap w:val="0"/>
            <w:vAlign w:val="top"/>
          </w:tcPr>
          <w:p w14:paraId="61AE3180">
            <w:pPr>
              <w:spacing w:line="360" w:lineRule="auto"/>
              <w:jc w:val="center"/>
              <w:outlineLvl w:val="9"/>
              <w:rPr>
                <w:rFonts w:hint="eastAsia" w:ascii="宋体" w:hAnsi="宋体" w:cs="宋体"/>
                <w:color w:val="auto"/>
                <w:sz w:val="24"/>
              </w:rPr>
            </w:pPr>
          </w:p>
        </w:tc>
        <w:tc>
          <w:tcPr>
            <w:tcW w:w="3231" w:type="dxa"/>
            <w:noWrap w:val="0"/>
            <w:vAlign w:val="top"/>
          </w:tcPr>
          <w:p w14:paraId="2F05CF3A">
            <w:pPr>
              <w:spacing w:line="360" w:lineRule="auto"/>
              <w:jc w:val="center"/>
              <w:outlineLvl w:val="9"/>
              <w:rPr>
                <w:rFonts w:hint="eastAsia" w:ascii="宋体" w:hAnsi="宋体" w:cs="宋体"/>
                <w:color w:val="auto"/>
                <w:sz w:val="24"/>
              </w:rPr>
            </w:pPr>
          </w:p>
        </w:tc>
        <w:tc>
          <w:tcPr>
            <w:tcW w:w="1202" w:type="dxa"/>
            <w:noWrap w:val="0"/>
            <w:vAlign w:val="top"/>
          </w:tcPr>
          <w:p w14:paraId="7F7443C7">
            <w:pPr>
              <w:spacing w:line="360" w:lineRule="auto"/>
              <w:jc w:val="center"/>
              <w:outlineLvl w:val="9"/>
              <w:rPr>
                <w:rFonts w:hint="eastAsia" w:ascii="宋体" w:hAnsi="宋体" w:cs="宋体"/>
                <w:color w:val="auto"/>
                <w:sz w:val="24"/>
              </w:rPr>
            </w:pPr>
          </w:p>
        </w:tc>
        <w:tc>
          <w:tcPr>
            <w:tcW w:w="1350" w:type="dxa"/>
            <w:noWrap w:val="0"/>
            <w:vAlign w:val="top"/>
          </w:tcPr>
          <w:p w14:paraId="289B6F4C">
            <w:pPr>
              <w:spacing w:line="360" w:lineRule="auto"/>
              <w:jc w:val="center"/>
              <w:outlineLvl w:val="9"/>
              <w:rPr>
                <w:rFonts w:hint="eastAsia" w:ascii="宋体" w:hAnsi="宋体" w:cs="宋体"/>
                <w:color w:val="auto"/>
                <w:sz w:val="24"/>
              </w:rPr>
            </w:pPr>
          </w:p>
        </w:tc>
      </w:tr>
      <w:tr w14:paraId="2775B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51" w:type="dxa"/>
            <w:noWrap w:val="0"/>
            <w:vAlign w:val="top"/>
          </w:tcPr>
          <w:p w14:paraId="6AC5CCC9">
            <w:pPr>
              <w:spacing w:line="360" w:lineRule="auto"/>
              <w:jc w:val="center"/>
              <w:outlineLvl w:val="9"/>
              <w:rPr>
                <w:rFonts w:hint="eastAsia" w:ascii="宋体" w:hAnsi="宋体" w:cs="宋体"/>
                <w:color w:val="auto"/>
                <w:sz w:val="24"/>
              </w:rPr>
            </w:pPr>
          </w:p>
        </w:tc>
        <w:tc>
          <w:tcPr>
            <w:tcW w:w="2931" w:type="dxa"/>
            <w:noWrap w:val="0"/>
            <w:vAlign w:val="top"/>
          </w:tcPr>
          <w:p w14:paraId="39A38E36">
            <w:pPr>
              <w:spacing w:line="360" w:lineRule="auto"/>
              <w:jc w:val="center"/>
              <w:outlineLvl w:val="9"/>
              <w:rPr>
                <w:rFonts w:hint="eastAsia" w:ascii="宋体" w:hAnsi="宋体" w:cs="宋体"/>
                <w:color w:val="auto"/>
                <w:sz w:val="24"/>
              </w:rPr>
            </w:pPr>
          </w:p>
        </w:tc>
        <w:tc>
          <w:tcPr>
            <w:tcW w:w="3231" w:type="dxa"/>
            <w:noWrap w:val="0"/>
            <w:vAlign w:val="top"/>
          </w:tcPr>
          <w:p w14:paraId="7B7C21BE">
            <w:pPr>
              <w:spacing w:line="360" w:lineRule="auto"/>
              <w:jc w:val="center"/>
              <w:outlineLvl w:val="9"/>
              <w:rPr>
                <w:rFonts w:hint="eastAsia" w:ascii="宋体" w:hAnsi="宋体" w:cs="宋体"/>
                <w:color w:val="auto"/>
                <w:sz w:val="24"/>
              </w:rPr>
            </w:pPr>
          </w:p>
        </w:tc>
        <w:tc>
          <w:tcPr>
            <w:tcW w:w="1202" w:type="dxa"/>
            <w:noWrap w:val="0"/>
            <w:vAlign w:val="top"/>
          </w:tcPr>
          <w:p w14:paraId="3A594E7F">
            <w:pPr>
              <w:spacing w:line="360" w:lineRule="auto"/>
              <w:jc w:val="center"/>
              <w:outlineLvl w:val="9"/>
              <w:rPr>
                <w:rFonts w:hint="eastAsia" w:ascii="宋体" w:hAnsi="宋体" w:cs="宋体"/>
                <w:color w:val="auto"/>
                <w:sz w:val="24"/>
              </w:rPr>
            </w:pPr>
          </w:p>
        </w:tc>
        <w:tc>
          <w:tcPr>
            <w:tcW w:w="1350" w:type="dxa"/>
            <w:noWrap w:val="0"/>
            <w:vAlign w:val="top"/>
          </w:tcPr>
          <w:p w14:paraId="35DAFEE6">
            <w:pPr>
              <w:spacing w:line="360" w:lineRule="auto"/>
              <w:jc w:val="center"/>
              <w:outlineLvl w:val="9"/>
              <w:rPr>
                <w:rFonts w:hint="eastAsia" w:ascii="宋体" w:hAnsi="宋体" w:cs="宋体"/>
                <w:color w:val="auto"/>
                <w:sz w:val="24"/>
              </w:rPr>
            </w:pPr>
          </w:p>
        </w:tc>
      </w:tr>
      <w:tr w14:paraId="2D109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51" w:type="dxa"/>
            <w:noWrap w:val="0"/>
            <w:vAlign w:val="top"/>
          </w:tcPr>
          <w:p w14:paraId="007A7665">
            <w:pPr>
              <w:spacing w:line="360" w:lineRule="auto"/>
              <w:jc w:val="center"/>
              <w:outlineLvl w:val="9"/>
              <w:rPr>
                <w:rFonts w:hint="eastAsia" w:ascii="宋体" w:hAnsi="宋体" w:cs="宋体"/>
                <w:color w:val="auto"/>
                <w:sz w:val="24"/>
              </w:rPr>
            </w:pPr>
          </w:p>
        </w:tc>
        <w:tc>
          <w:tcPr>
            <w:tcW w:w="2931" w:type="dxa"/>
            <w:noWrap w:val="0"/>
            <w:vAlign w:val="top"/>
          </w:tcPr>
          <w:p w14:paraId="45CAD6E0">
            <w:pPr>
              <w:spacing w:line="360" w:lineRule="auto"/>
              <w:jc w:val="center"/>
              <w:outlineLvl w:val="9"/>
              <w:rPr>
                <w:rFonts w:hint="eastAsia" w:ascii="宋体" w:hAnsi="宋体" w:cs="宋体"/>
                <w:color w:val="auto"/>
                <w:sz w:val="24"/>
              </w:rPr>
            </w:pPr>
          </w:p>
        </w:tc>
        <w:tc>
          <w:tcPr>
            <w:tcW w:w="3231" w:type="dxa"/>
            <w:noWrap w:val="0"/>
            <w:vAlign w:val="top"/>
          </w:tcPr>
          <w:p w14:paraId="01085D3D">
            <w:pPr>
              <w:spacing w:line="360" w:lineRule="auto"/>
              <w:jc w:val="center"/>
              <w:outlineLvl w:val="9"/>
              <w:rPr>
                <w:rFonts w:hint="eastAsia" w:ascii="宋体" w:hAnsi="宋体" w:cs="宋体"/>
                <w:color w:val="auto"/>
                <w:sz w:val="24"/>
              </w:rPr>
            </w:pPr>
          </w:p>
        </w:tc>
        <w:tc>
          <w:tcPr>
            <w:tcW w:w="1202" w:type="dxa"/>
            <w:noWrap w:val="0"/>
            <w:vAlign w:val="top"/>
          </w:tcPr>
          <w:p w14:paraId="1EADF671">
            <w:pPr>
              <w:spacing w:line="360" w:lineRule="auto"/>
              <w:jc w:val="center"/>
              <w:outlineLvl w:val="9"/>
              <w:rPr>
                <w:rFonts w:hint="eastAsia" w:ascii="宋体" w:hAnsi="宋体" w:cs="宋体"/>
                <w:color w:val="auto"/>
                <w:sz w:val="24"/>
              </w:rPr>
            </w:pPr>
          </w:p>
        </w:tc>
        <w:tc>
          <w:tcPr>
            <w:tcW w:w="1350" w:type="dxa"/>
            <w:noWrap w:val="0"/>
            <w:vAlign w:val="top"/>
          </w:tcPr>
          <w:p w14:paraId="558BCE14">
            <w:pPr>
              <w:spacing w:line="360" w:lineRule="auto"/>
              <w:jc w:val="center"/>
              <w:outlineLvl w:val="9"/>
              <w:rPr>
                <w:rFonts w:hint="eastAsia" w:ascii="宋体" w:hAnsi="宋体" w:cs="宋体"/>
                <w:color w:val="auto"/>
                <w:sz w:val="24"/>
              </w:rPr>
            </w:pPr>
          </w:p>
        </w:tc>
      </w:tr>
      <w:tr w14:paraId="3C360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51" w:type="dxa"/>
            <w:noWrap w:val="0"/>
            <w:vAlign w:val="top"/>
          </w:tcPr>
          <w:p w14:paraId="783DBCFA">
            <w:pPr>
              <w:spacing w:line="360" w:lineRule="auto"/>
              <w:jc w:val="center"/>
              <w:outlineLvl w:val="9"/>
              <w:rPr>
                <w:rFonts w:hint="eastAsia" w:ascii="宋体" w:hAnsi="宋体" w:cs="宋体"/>
                <w:color w:val="auto"/>
                <w:sz w:val="24"/>
              </w:rPr>
            </w:pPr>
          </w:p>
        </w:tc>
        <w:tc>
          <w:tcPr>
            <w:tcW w:w="2931" w:type="dxa"/>
            <w:noWrap w:val="0"/>
            <w:vAlign w:val="top"/>
          </w:tcPr>
          <w:p w14:paraId="614376C8">
            <w:pPr>
              <w:spacing w:line="360" w:lineRule="auto"/>
              <w:jc w:val="center"/>
              <w:outlineLvl w:val="9"/>
              <w:rPr>
                <w:rFonts w:hint="eastAsia" w:ascii="宋体" w:hAnsi="宋体" w:cs="宋体"/>
                <w:color w:val="auto"/>
                <w:sz w:val="24"/>
              </w:rPr>
            </w:pPr>
          </w:p>
        </w:tc>
        <w:tc>
          <w:tcPr>
            <w:tcW w:w="3231" w:type="dxa"/>
            <w:noWrap w:val="0"/>
            <w:vAlign w:val="top"/>
          </w:tcPr>
          <w:p w14:paraId="608D513B">
            <w:pPr>
              <w:spacing w:line="360" w:lineRule="auto"/>
              <w:jc w:val="center"/>
              <w:outlineLvl w:val="9"/>
              <w:rPr>
                <w:rFonts w:hint="eastAsia" w:ascii="宋体" w:hAnsi="宋体" w:cs="宋体"/>
                <w:color w:val="auto"/>
                <w:sz w:val="24"/>
              </w:rPr>
            </w:pPr>
          </w:p>
        </w:tc>
        <w:tc>
          <w:tcPr>
            <w:tcW w:w="1202" w:type="dxa"/>
            <w:noWrap w:val="0"/>
            <w:vAlign w:val="top"/>
          </w:tcPr>
          <w:p w14:paraId="43824C54">
            <w:pPr>
              <w:spacing w:line="360" w:lineRule="auto"/>
              <w:jc w:val="center"/>
              <w:outlineLvl w:val="9"/>
              <w:rPr>
                <w:rFonts w:hint="eastAsia" w:ascii="宋体" w:hAnsi="宋体" w:cs="宋体"/>
                <w:color w:val="auto"/>
                <w:sz w:val="24"/>
              </w:rPr>
            </w:pPr>
          </w:p>
        </w:tc>
        <w:tc>
          <w:tcPr>
            <w:tcW w:w="1350" w:type="dxa"/>
            <w:noWrap w:val="0"/>
            <w:vAlign w:val="top"/>
          </w:tcPr>
          <w:p w14:paraId="6454D0F0">
            <w:pPr>
              <w:spacing w:line="360" w:lineRule="auto"/>
              <w:jc w:val="center"/>
              <w:outlineLvl w:val="9"/>
              <w:rPr>
                <w:rFonts w:hint="eastAsia" w:ascii="宋体" w:hAnsi="宋体" w:cs="宋体"/>
                <w:color w:val="auto"/>
                <w:sz w:val="24"/>
              </w:rPr>
            </w:pPr>
          </w:p>
        </w:tc>
      </w:tr>
      <w:tr w14:paraId="7351B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51" w:type="dxa"/>
            <w:noWrap w:val="0"/>
            <w:vAlign w:val="top"/>
          </w:tcPr>
          <w:p w14:paraId="356045C0">
            <w:pPr>
              <w:spacing w:line="360" w:lineRule="auto"/>
              <w:jc w:val="center"/>
              <w:outlineLvl w:val="9"/>
              <w:rPr>
                <w:rFonts w:hint="eastAsia" w:ascii="宋体" w:hAnsi="宋体" w:cs="宋体"/>
                <w:color w:val="auto"/>
                <w:sz w:val="24"/>
              </w:rPr>
            </w:pPr>
          </w:p>
        </w:tc>
        <w:tc>
          <w:tcPr>
            <w:tcW w:w="2931" w:type="dxa"/>
            <w:noWrap w:val="0"/>
            <w:vAlign w:val="top"/>
          </w:tcPr>
          <w:p w14:paraId="17683E46">
            <w:pPr>
              <w:spacing w:line="360" w:lineRule="auto"/>
              <w:jc w:val="center"/>
              <w:outlineLvl w:val="9"/>
              <w:rPr>
                <w:rFonts w:hint="eastAsia" w:ascii="宋体" w:hAnsi="宋体" w:cs="宋体"/>
                <w:color w:val="auto"/>
                <w:sz w:val="24"/>
              </w:rPr>
            </w:pPr>
          </w:p>
        </w:tc>
        <w:tc>
          <w:tcPr>
            <w:tcW w:w="3231" w:type="dxa"/>
            <w:noWrap w:val="0"/>
            <w:vAlign w:val="top"/>
          </w:tcPr>
          <w:p w14:paraId="0BC63340">
            <w:pPr>
              <w:spacing w:line="360" w:lineRule="auto"/>
              <w:jc w:val="center"/>
              <w:outlineLvl w:val="9"/>
              <w:rPr>
                <w:rFonts w:hint="eastAsia" w:ascii="宋体" w:hAnsi="宋体" w:cs="宋体"/>
                <w:color w:val="auto"/>
                <w:sz w:val="24"/>
              </w:rPr>
            </w:pPr>
          </w:p>
        </w:tc>
        <w:tc>
          <w:tcPr>
            <w:tcW w:w="1202" w:type="dxa"/>
            <w:noWrap w:val="0"/>
            <w:vAlign w:val="top"/>
          </w:tcPr>
          <w:p w14:paraId="2BE37E8D">
            <w:pPr>
              <w:spacing w:line="360" w:lineRule="auto"/>
              <w:jc w:val="center"/>
              <w:outlineLvl w:val="9"/>
              <w:rPr>
                <w:rFonts w:hint="eastAsia" w:ascii="宋体" w:hAnsi="宋体" w:cs="宋体"/>
                <w:color w:val="auto"/>
                <w:sz w:val="24"/>
              </w:rPr>
            </w:pPr>
          </w:p>
        </w:tc>
        <w:tc>
          <w:tcPr>
            <w:tcW w:w="1350" w:type="dxa"/>
            <w:noWrap w:val="0"/>
            <w:vAlign w:val="top"/>
          </w:tcPr>
          <w:p w14:paraId="3D697EA7">
            <w:pPr>
              <w:spacing w:line="360" w:lineRule="auto"/>
              <w:jc w:val="center"/>
              <w:outlineLvl w:val="9"/>
              <w:rPr>
                <w:rFonts w:hint="eastAsia" w:ascii="宋体" w:hAnsi="宋体" w:cs="宋体"/>
                <w:color w:val="auto"/>
                <w:sz w:val="24"/>
              </w:rPr>
            </w:pPr>
          </w:p>
        </w:tc>
      </w:tr>
      <w:tr w14:paraId="2D541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51" w:type="dxa"/>
            <w:noWrap w:val="0"/>
            <w:vAlign w:val="top"/>
          </w:tcPr>
          <w:p w14:paraId="6A6947D6">
            <w:pPr>
              <w:spacing w:line="360" w:lineRule="auto"/>
              <w:jc w:val="center"/>
              <w:outlineLvl w:val="9"/>
              <w:rPr>
                <w:rFonts w:hint="eastAsia" w:ascii="宋体" w:hAnsi="宋体" w:cs="宋体"/>
                <w:color w:val="auto"/>
                <w:sz w:val="24"/>
              </w:rPr>
            </w:pPr>
          </w:p>
        </w:tc>
        <w:tc>
          <w:tcPr>
            <w:tcW w:w="2931" w:type="dxa"/>
            <w:noWrap w:val="0"/>
            <w:vAlign w:val="top"/>
          </w:tcPr>
          <w:p w14:paraId="6FF2AC1F">
            <w:pPr>
              <w:spacing w:line="360" w:lineRule="auto"/>
              <w:jc w:val="center"/>
              <w:outlineLvl w:val="9"/>
              <w:rPr>
                <w:rFonts w:hint="eastAsia" w:ascii="宋体" w:hAnsi="宋体" w:cs="宋体"/>
                <w:color w:val="auto"/>
                <w:sz w:val="24"/>
              </w:rPr>
            </w:pPr>
          </w:p>
        </w:tc>
        <w:tc>
          <w:tcPr>
            <w:tcW w:w="3231" w:type="dxa"/>
            <w:noWrap w:val="0"/>
            <w:vAlign w:val="top"/>
          </w:tcPr>
          <w:p w14:paraId="240D629B">
            <w:pPr>
              <w:spacing w:line="360" w:lineRule="auto"/>
              <w:jc w:val="center"/>
              <w:outlineLvl w:val="9"/>
              <w:rPr>
                <w:rFonts w:hint="eastAsia" w:ascii="宋体" w:hAnsi="宋体" w:cs="宋体"/>
                <w:color w:val="auto"/>
                <w:sz w:val="24"/>
              </w:rPr>
            </w:pPr>
          </w:p>
        </w:tc>
        <w:tc>
          <w:tcPr>
            <w:tcW w:w="1202" w:type="dxa"/>
            <w:noWrap w:val="0"/>
            <w:vAlign w:val="top"/>
          </w:tcPr>
          <w:p w14:paraId="7E23D813">
            <w:pPr>
              <w:spacing w:line="360" w:lineRule="auto"/>
              <w:jc w:val="center"/>
              <w:outlineLvl w:val="9"/>
              <w:rPr>
                <w:rFonts w:hint="eastAsia" w:ascii="宋体" w:hAnsi="宋体" w:cs="宋体"/>
                <w:color w:val="auto"/>
                <w:sz w:val="24"/>
              </w:rPr>
            </w:pPr>
          </w:p>
        </w:tc>
        <w:tc>
          <w:tcPr>
            <w:tcW w:w="1350" w:type="dxa"/>
            <w:noWrap w:val="0"/>
            <w:vAlign w:val="top"/>
          </w:tcPr>
          <w:p w14:paraId="7AB472D4">
            <w:pPr>
              <w:spacing w:line="360" w:lineRule="auto"/>
              <w:jc w:val="center"/>
              <w:outlineLvl w:val="9"/>
              <w:rPr>
                <w:rFonts w:hint="eastAsia" w:ascii="宋体" w:hAnsi="宋体" w:cs="宋体"/>
                <w:color w:val="auto"/>
                <w:sz w:val="24"/>
              </w:rPr>
            </w:pPr>
          </w:p>
        </w:tc>
      </w:tr>
      <w:tr w14:paraId="3F2AE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51" w:type="dxa"/>
            <w:noWrap w:val="0"/>
            <w:vAlign w:val="top"/>
          </w:tcPr>
          <w:p w14:paraId="4149C4EF">
            <w:pPr>
              <w:spacing w:line="360" w:lineRule="auto"/>
              <w:jc w:val="center"/>
              <w:outlineLvl w:val="9"/>
              <w:rPr>
                <w:rFonts w:hint="eastAsia" w:ascii="宋体" w:hAnsi="宋体" w:cs="宋体"/>
                <w:color w:val="auto"/>
                <w:sz w:val="24"/>
              </w:rPr>
            </w:pPr>
          </w:p>
        </w:tc>
        <w:tc>
          <w:tcPr>
            <w:tcW w:w="2931" w:type="dxa"/>
            <w:noWrap w:val="0"/>
            <w:vAlign w:val="top"/>
          </w:tcPr>
          <w:p w14:paraId="6EC7C755">
            <w:pPr>
              <w:spacing w:line="360" w:lineRule="auto"/>
              <w:jc w:val="center"/>
              <w:outlineLvl w:val="9"/>
              <w:rPr>
                <w:rFonts w:hint="eastAsia" w:ascii="宋体" w:hAnsi="宋体" w:cs="宋体"/>
                <w:color w:val="auto"/>
                <w:sz w:val="24"/>
              </w:rPr>
            </w:pPr>
          </w:p>
        </w:tc>
        <w:tc>
          <w:tcPr>
            <w:tcW w:w="3231" w:type="dxa"/>
            <w:noWrap w:val="0"/>
            <w:vAlign w:val="top"/>
          </w:tcPr>
          <w:p w14:paraId="2F05820D">
            <w:pPr>
              <w:spacing w:line="360" w:lineRule="auto"/>
              <w:jc w:val="center"/>
              <w:outlineLvl w:val="9"/>
              <w:rPr>
                <w:rFonts w:hint="eastAsia" w:ascii="宋体" w:hAnsi="宋体" w:cs="宋体"/>
                <w:color w:val="auto"/>
                <w:sz w:val="24"/>
              </w:rPr>
            </w:pPr>
          </w:p>
        </w:tc>
        <w:tc>
          <w:tcPr>
            <w:tcW w:w="1202" w:type="dxa"/>
            <w:noWrap w:val="0"/>
            <w:vAlign w:val="top"/>
          </w:tcPr>
          <w:p w14:paraId="5B129F5F">
            <w:pPr>
              <w:spacing w:line="360" w:lineRule="auto"/>
              <w:jc w:val="center"/>
              <w:outlineLvl w:val="9"/>
              <w:rPr>
                <w:rFonts w:hint="eastAsia" w:ascii="宋体" w:hAnsi="宋体" w:cs="宋体"/>
                <w:color w:val="auto"/>
                <w:sz w:val="24"/>
              </w:rPr>
            </w:pPr>
          </w:p>
        </w:tc>
        <w:tc>
          <w:tcPr>
            <w:tcW w:w="1350" w:type="dxa"/>
            <w:noWrap w:val="0"/>
            <w:vAlign w:val="top"/>
          </w:tcPr>
          <w:p w14:paraId="16E05DA2">
            <w:pPr>
              <w:spacing w:line="360" w:lineRule="auto"/>
              <w:jc w:val="center"/>
              <w:outlineLvl w:val="9"/>
              <w:rPr>
                <w:rFonts w:hint="eastAsia" w:ascii="宋体" w:hAnsi="宋体" w:cs="宋体"/>
                <w:color w:val="auto"/>
                <w:sz w:val="24"/>
              </w:rPr>
            </w:pPr>
          </w:p>
        </w:tc>
      </w:tr>
      <w:tr w14:paraId="1DE47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51" w:type="dxa"/>
            <w:noWrap w:val="0"/>
            <w:vAlign w:val="top"/>
          </w:tcPr>
          <w:p w14:paraId="144AC8BD">
            <w:pPr>
              <w:spacing w:line="360" w:lineRule="auto"/>
              <w:jc w:val="center"/>
              <w:outlineLvl w:val="9"/>
              <w:rPr>
                <w:rFonts w:hint="eastAsia" w:ascii="宋体" w:hAnsi="宋体" w:cs="宋体"/>
                <w:color w:val="auto"/>
                <w:sz w:val="24"/>
              </w:rPr>
            </w:pPr>
          </w:p>
        </w:tc>
        <w:tc>
          <w:tcPr>
            <w:tcW w:w="2931" w:type="dxa"/>
            <w:noWrap w:val="0"/>
            <w:vAlign w:val="top"/>
          </w:tcPr>
          <w:p w14:paraId="56318B08">
            <w:pPr>
              <w:spacing w:line="360" w:lineRule="auto"/>
              <w:jc w:val="center"/>
              <w:outlineLvl w:val="9"/>
              <w:rPr>
                <w:rFonts w:hint="eastAsia" w:ascii="宋体" w:hAnsi="宋体" w:cs="宋体"/>
                <w:color w:val="auto"/>
                <w:sz w:val="24"/>
              </w:rPr>
            </w:pPr>
          </w:p>
        </w:tc>
        <w:tc>
          <w:tcPr>
            <w:tcW w:w="3231" w:type="dxa"/>
            <w:noWrap w:val="0"/>
            <w:vAlign w:val="top"/>
          </w:tcPr>
          <w:p w14:paraId="49D22AC4">
            <w:pPr>
              <w:spacing w:line="360" w:lineRule="auto"/>
              <w:jc w:val="center"/>
              <w:outlineLvl w:val="9"/>
              <w:rPr>
                <w:rFonts w:hint="eastAsia" w:ascii="宋体" w:hAnsi="宋体" w:cs="宋体"/>
                <w:color w:val="auto"/>
                <w:sz w:val="24"/>
              </w:rPr>
            </w:pPr>
          </w:p>
        </w:tc>
        <w:tc>
          <w:tcPr>
            <w:tcW w:w="1202" w:type="dxa"/>
            <w:noWrap w:val="0"/>
            <w:vAlign w:val="top"/>
          </w:tcPr>
          <w:p w14:paraId="009546FE">
            <w:pPr>
              <w:spacing w:line="360" w:lineRule="auto"/>
              <w:jc w:val="center"/>
              <w:outlineLvl w:val="9"/>
              <w:rPr>
                <w:rFonts w:hint="eastAsia" w:ascii="宋体" w:hAnsi="宋体" w:cs="宋体"/>
                <w:color w:val="auto"/>
                <w:sz w:val="24"/>
              </w:rPr>
            </w:pPr>
          </w:p>
        </w:tc>
        <w:tc>
          <w:tcPr>
            <w:tcW w:w="1350" w:type="dxa"/>
            <w:noWrap w:val="0"/>
            <w:vAlign w:val="top"/>
          </w:tcPr>
          <w:p w14:paraId="1F7C83B8">
            <w:pPr>
              <w:spacing w:line="360" w:lineRule="auto"/>
              <w:jc w:val="center"/>
              <w:outlineLvl w:val="9"/>
              <w:rPr>
                <w:rFonts w:hint="eastAsia" w:ascii="宋体" w:hAnsi="宋体" w:cs="宋体"/>
                <w:color w:val="auto"/>
                <w:sz w:val="24"/>
              </w:rPr>
            </w:pPr>
          </w:p>
        </w:tc>
      </w:tr>
      <w:tr w14:paraId="21DDF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51" w:type="dxa"/>
            <w:noWrap w:val="0"/>
            <w:vAlign w:val="top"/>
          </w:tcPr>
          <w:p w14:paraId="23AEAFFB">
            <w:pPr>
              <w:spacing w:line="360" w:lineRule="auto"/>
              <w:jc w:val="center"/>
              <w:outlineLvl w:val="9"/>
              <w:rPr>
                <w:rFonts w:hint="eastAsia" w:ascii="宋体" w:hAnsi="宋体" w:cs="宋体"/>
                <w:color w:val="auto"/>
                <w:sz w:val="24"/>
              </w:rPr>
            </w:pPr>
          </w:p>
        </w:tc>
        <w:tc>
          <w:tcPr>
            <w:tcW w:w="2931" w:type="dxa"/>
            <w:noWrap w:val="0"/>
            <w:vAlign w:val="top"/>
          </w:tcPr>
          <w:p w14:paraId="172AEFAE">
            <w:pPr>
              <w:spacing w:line="360" w:lineRule="auto"/>
              <w:jc w:val="center"/>
              <w:outlineLvl w:val="9"/>
              <w:rPr>
                <w:rFonts w:hint="eastAsia" w:ascii="宋体" w:hAnsi="宋体" w:cs="宋体"/>
                <w:color w:val="auto"/>
                <w:sz w:val="24"/>
              </w:rPr>
            </w:pPr>
          </w:p>
        </w:tc>
        <w:tc>
          <w:tcPr>
            <w:tcW w:w="3231" w:type="dxa"/>
            <w:noWrap w:val="0"/>
            <w:vAlign w:val="top"/>
          </w:tcPr>
          <w:p w14:paraId="66658252">
            <w:pPr>
              <w:spacing w:line="360" w:lineRule="auto"/>
              <w:jc w:val="center"/>
              <w:outlineLvl w:val="9"/>
              <w:rPr>
                <w:rFonts w:hint="eastAsia" w:ascii="宋体" w:hAnsi="宋体" w:cs="宋体"/>
                <w:color w:val="auto"/>
                <w:sz w:val="24"/>
              </w:rPr>
            </w:pPr>
          </w:p>
        </w:tc>
        <w:tc>
          <w:tcPr>
            <w:tcW w:w="1202" w:type="dxa"/>
            <w:noWrap w:val="0"/>
            <w:vAlign w:val="top"/>
          </w:tcPr>
          <w:p w14:paraId="0ADF70C1">
            <w:pPr>
              <w:spacing w:line="360" w:lineRule="auto"/>
              <w:jc w:val="center"/>
              <w:outlineLvl w:val="9"/>
              <w:rPr>
                <w:rFonts w:hint="eastAsia" w:ascii="宋体" w:hAnsi="宋体" w:cs="宋体"/>
                <w:color w:val="auto"/>
                <w:sz w:val="24"/>
              </w:rPr>
            </w:pPr>
          </w:p>
        </w:tc>
        <w:tc>
          <w:tcPr>
            <w:tcW w:w="1350" w:type="dxa"/>
            <w:noWrap w:val="0"/>
            <w:vAlign w:val="top"/>
          </w:tcPr>
          <w:p w14:paraId="23788CF4">
            <w:pPr>
              <w:spacing w:line="360" w:lineRule="auto"/>
              <w:jc w:val="center"/>
              <w:outlineLvl w:val="9"/>
              <w:rPr>
                <w:rFonts w:hint="eastAsia" w:ascii="宋体" w:hAnsi="宋体" w:cs="宋体"/>
                <w:color w:val="auto"/>
                <w:sz w:val="24"/>
              </w:rPr>
            </w:pPr>
          </w:p>
        </w:tc>
      </w:tr>
      <w:tr w14:paraId="3A69C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51" w:type="dxa"/>
            <w:noWrap w:val="0"/>
            <w:vAlign w:val="top"/>
          </w:tcPr>
          <w:p w14:paraId="51D89DAA">
            <w:pPr>
              <w:spacing w:line="360" w:lineRule="auto"/>
              <w:jc w:val="center"/>
              <w:outlineLvl w:val="9"/>
              <w:rPr>
                <w:rFonts w:hint="eastAsia" w:ascii="宋体" w:hAnsi="宋体" w:cs="宋体"/>
                <w:color w:val="auto"/>
                <w:sz w:val="24"/>
              </w:rPr>
            </w:pPr>
          </w:p>
        </w:tc>
        <w:tc>
          <w:tcPr>
            <w:tcW w:w="2931" w:type="dxa"/>
            <w:noWrap w:val="0"/>
            <w:vAlign w:val="top"/>
          </w:tcPr>
          <w:p w14:paraId="16C16683">
            <w:pPr>
              <w:spacing w:line="360" w:lineRule="auto"/>
              <w:jc w:val="center"/>
              <w:outlineLvl w:val="9"/>
              <w:rPr>
                <w:rFonts w:hint="eastAsia" w:ascii="宋体" w:hAnsi="宋体" w:cs="宋体"/>
                <w:color w:val="auto"/>
                <w:sz w:val="24"/>
              </w:rPr>
            </w:pPr>
          </w:p>
        </w:tc>
        <w:tc>
          <w:tcPr>
            <w:tcW w:w="3231" w:type="dxa"/>
            <w:noWrap w:val="0"/>
            <w:vAlign w:val="top"/>
          </w:tcPr>
          <w:p w14:paraId="655FCBBF">
            <w:pPr>
              <w:spacing w:line="360" w:lineRule="auto"/>
              <w:jc w:val="center"/>
              <w:outlineLvl w:val="9"/>
              <w:rPr>
                <w:rFonts w:hint="eastAsia" w:ascii="宋体" w:hAnsi="宋体" w:cs="宋体"/>
                <w:color w:val="auto"/>
                <w:sz w:val="24"/>
              </w:rPr>
            </w:pPr>
          </w:p>
        </w:tc>
        <w:tc>
          <w:tcPr>
            <w:tcW w:w="1202" w:type="dxa"/>
            <w:noWrap w:val="0"/>
            <w:vAlign w:val="top"/>
          </w:tcPr>
          <w:p w14:paraId="0B9685C0">
            <w:pPr>
              <w:spacing w:line="360" w:lineRule="auto"/>
              <w:jc w:val="center"/>
              <w:outlineLvl w:val="9"/>
              <w:rPr>
                <w:rFonts w:hint="eastAsia" w:ascii="宋体" w:hAnsi="宋体" w:cs="宋体"/>
                <w:color w:val="auto"/>
                <w:sz w:val="24"/>
              </w:rPr>
            </w:pPr>
          </w:p>
        </w:tc>
        <w:tc>
          <w:tcPr>
            <w:tcW w:w="1350" w:type="dxa"/>
            <w:noWrap w:val="0"/>
            <w:vAlign w:val="top"/>
          </w:tcPr>
          <w:p w14:paraId="2A3D601B">
            <w:pPr>
              <w:spacing w:line="360" w:lineRule="auto"/>
              <w:jc w:val="center"/>
              <w:outlineLvl w:val="9"/>
              <w:rPr>
                <w:rFonts w:hint="eastAsia" w:ascii="宋体" w:hAnsi="宋体" w:cs="宋体"/>
                <w:color w:val="auto"/>
                <w:sz w:val="24"/>
              </w:rPr>
            </w:pPr>
          </w:p>
        </w:tc>
      </w:tr>
      <w:tr w14:paraId="0F64E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51" w:type="dxa"/>
            <w:noWrap w:val="0"/>
            <w:vAlign w:val="top"/>
          </w:tcPr>
          <w:p w14:paraId="672EBC7D">
            <w:pPr>
              <w:spacing w:line="360" w:lineRule="auto"/>
              <w:jc w:val="center"/>
              <w:outlineLvl w:val="9"/>
              <w:rPr>
                <w:rFonts w:hint="eastAsia" w:ascii="宋体" w:hAnsi="宋体" w:cs="宋体"/>
                <w:color w:val="auto"/>
                <w:sz w:val="24"/>
              </w:rPr>
            </w:pPr>
          </w:p>
        </w:tc>
        <w:tc>
          <w:tcPr>
            <w:tcW w:w="2931" w:type="dxa"/>
            <w:noWrap w:val="0"/>
            <w:vAlign w:val="top"/>
          </w:tcPr>
          <w:p w14:paraId="054FFB58">
            <w:pPr>
              <w:spacing w:line="360" w:lineRule="auto"/>
              <w:jc w:val="center"/>
              <w:outlineLvl w:val="9"/>
              <w:rPr>
                <w:rFonts w:hint="eastAsia" w:ascii="宋体" w:hAnsi="宋体" w:cs="宋体"/>
                <w:color w:val="auto"/>
                <w:sz w:val="24"/>
              </w:rPr>
            </w:pPr>
          </w:p>
        </w:tc>
        <w:tc>
          <w:tcPr>
            <w:tcW w:w="3231" w:type="dxa"/>
            <w:noWrap w:val="0"/>
            <w:vAlign w:val="top"/>
          </w:tcPr>
          <w:p w14:paraId="22BF4BD9">
            <w:pPr>
              <w:spacing w:line="360" w:lineRule="auto"/>
              <w:jc w:val="center"/>
              <w:outlineLvl w:val="9"/>
              <w:rPr>
                <w:rFonts w:hint="eastAsia" w:ascii="宋体" w:hAnsi="宋体" w:cs="宋体"/>
                <w:color w:val="auto"/>
                <w:sz w:val="24"/>
              </w:rPr>
            </w:pPr>
          </w:p>
        </w:tc>
        <w:tc>
          <w:tcPr>
            <w:tcW w:w="1202" w:type="dxa"/>
            <w:noWrap w:val="0"/>
            <w:vAlign w:val="top"/>
          </w:tcPr>
          <w:p w14:paraId="161A317B">
            <w:pPr>
              <w:spacing w:line="360" w:lineRule="auto"/>
              <w:jc w:val="center"/>
              <w:outlineLvl w:val="9"/>
              <w:rPr>
                <w:rFonts w:hint="eastAsia" w:ascii="宋体" w:hAnsi="宋体" w:cs="宋体"/>
                <w:color w:val="auto"/>
                <w:sz w:val="24"/>
              </w:rPr>
            </w:pPr>
          </w:p>
        </w:tc>
        <w:tc>
          <w:tcPr>
            <w:tcW w:w="1350" w:type="dxa"/>
            <w:noWrap w:val="0"/>
            <w:vAlign w:val="top"/>
          </w:tcPr>
          <w:p w14:paraId="241DA53E">
            <w:pPr>
              <w:spacing w:line="360" w:lineRule="auto"/>
              <w:jc w:val="center"/>
              <w:outlineLvl w:val="9"/>
              <w:rPr>
                <w:rFonts w:hint="eastAsia" w:ascii="宋体" w:hAnsi="宋体" w:cs="宋体"/>
                <w:color w:val="auto"/>
                <w:sz w:val="24"/>
              </w:rPr>
            </w:pPr>
          </w:p>
        </w:tc>
      </w:tr>
    </w:tbl>
    <w:p w14:paraId="701E1D0A">
      <w:pPr>
        <w:spacing w:line="360" w:lineRule="auto"/>
        <w:ind w:right="-161"/>
        <w:outlineLvl w:val="9"/>
        <w:rPr>
          <w:rFonts w:hint="eastAsia" w:ascii="宋体" w:hAnsi="宋体" w:cs="宋体"/>
          <w:color w:val="auto"/>
          <w:sz w:val="24"/>
        </w:rPr>
      </w:pPr>
      <w:r>
        <w:rPr>
          <w:rFonts w:hint="eastAsia" w:ascii="宋体" w:hAnsi="宋体" w:cs="宋体"/>
          <w:color w:val="auto"/>
          <w:sz w:val="24"/>
        </w:rPr>
        <w:t>说明：</w:t>
      </w:r>
    </w:p>
    <w:p w14:paraId="5A2117B1">
      <w:pPr>
        <w:spacing w:line="360" w:lineRule="auto"/>
        <w:ind w:right="-161" w:firstLine="480" w:firstLineChars="200"/>
        <w:outlineLvl w:val="9"/>
        <w:rPr>
          <w:rFonts w:ascii="宋体" w:hAnsi="宋体" w:cs="宋体"/>
          <w:color w:val="auto"/>
          <w:sz w:val="24"/>
        </w:rPr>
      </w:pPr>
      <w:r>
        <w:rPr>
          <w:rFonts w:hint="eastAsia" w:ascii="宋体" w:hAnsi="宋体" w:cs="宋体"/>
          <w:color w:val="auto"/>
          <w:sz w:val="24"/>
        </w:rPr>
        <w:t>1、竞争性磋商响应文件根据磋商文件的商务要求</w:t>
      </w:r>
      <w:r>
        <w:rPr>
          <w:rFonts w:hint="eastAsia" w:ascii="宋体" w:hAnsi="宋体" w:cs="宋体"/>
          <w:color w:val="auto"/>
          <w:sz w:val="24"/>
          <w:szCs w:val="22"/>
        </w:rPr>
        <w:t>如</w:t>
      </w:r>
      <w:r>
        <w:rPr>
          <w:rFonts w:hint="eastAsia" w:ascii="宋体" w:hAnsi="宋体" w:cs="宋体"/>
          <w:color w:val="auto"/>
          <w:sz w:val="24"/>
        </w:rPr>
        <w:t>实填写。</w:t>
      </w:r>
    </w:p>
    <w:p w14:paraId="45BE7D2A">
      <w:pPr>
        <w:spacing w:line="360" w:lineRule="auto"/>
        <w:ind w:right="-161" w:firstLine="480" w:firstLineChars="200"/>
        <w:outlineLvl w:val="9"/>
        <w:rPr>
          <w:rFonts w:ascii="宋体" w:hAnsi="宋体" w:cs="宋体"/>
          <w:color w:val="auto"/>
          <w:sz w:val="24"/>
        </w:rPr>
      </w:pPr>
      <w:r>
        <w:rPr>
          <w:rFonts w:hint="eastAsia" w:ascii="宋体" w:hAnsi="宋体" w:cs="宋体"/>
          <w:color w:val="auto"/>
          <w:sz w:val="24"/>
        </w:rPr>
        <w:t>2、偏离情况填写：正偏离、无偏离、负偏离。</w:t>
      </w:r>
    </w:p>
    <w:p w14:paraId="4BA4A821">
      <w:pPr>
        <w:spacing w:line="360" w:lineRule="auto"/>
        <w:ind w:firstLine="480" w:firstLineChars="200"/>
        <w:outlineLvl w:val="9"/>
        <w:rPr>
          <w:rFonts w:ascii="宋体" w:hAnsi="宋体" w:cs="宋体"/>
          <w:color w:val="auto"/>
          <w:sz w:val="24"/>
        </w:rPr>
      </w:pPr>
      <w:r>
        <w:rPr>
          <w:rFonts w:hint="eastAsia" w:ascii="宋体" w:hAnsi="宋体" w:cs="宋体"/>
          <w:color w:val="auto"/>
          <w:sz w:val="24"/>
        </w:rPr>
        <w:t>3、响应说明填写：优于、相同、低于并对偏离情况做出详细的说明。</w:t>
      </w:r>
    </w:p>
    <w:p w14:paraId="3DB975CB">
      <w:pPr>
        <w:spacing w:line="360" w:lineRule="auto"/>
        <w:ind w:right="-161" w:firstLine="2640" w:firstLineChars="1100"/>
        <w:outlineLvl w:val="9"/>
        <w:rPr>
          <w:rFonts w:hint="eastAsia" w:ascii="宋体" w:hAnsi="宋体" w:cs="宋体"/>
          <w:color w:val="auto"/>
          <w:sz w:val="24"/>
          <w:szCs w:val="24"/>
        </w:rPr>
      </w:pPr>
    </w:p>
    <w:p w14:paraId="1D9B21F0">
      <w:pPr>
        <w:spacing w:line="360" w:lineRule="auto"/>
        <w:ind w:right="-161"/>
        <w:jc w:val="right"/>
        <w:outlineLvl w:val="9"/>
        <w:rPr>
          <w:rFonts w:hint="eastAsia" w:ascii="宋体" w:hAnsi="宋体" w:cs="宋体"/>
          <w:color w:val="auto"/>
          <w:sz w:val="24"/>
          <w:szCs w:val="24"/>
          <w:u w:val="single"/>
        </w:rPr>
      </w:pPr>
      <w:r>
        <w:rPr>
          <w:rFonts w:hint="eastAsia" w:ascii="宋体" w:hAnsi="宋体" w:cs="宋体"/>
          <w:color w:val="auto"/>
          <w:sz w:val="24"/>
          <w:szCs w:val="24"/>
        </w:rPr>
        <w:t xml:space="preserve">   法人代表或被授权代表：</w:t>
      </w:r>
      <w:r>
        <w:rPr>
          <w:rFonts w:hint="eastAsia" w:ascii="宋体" w:hAnsi="宋体" w:cs="宋体"/>
          <w:color w:val="auto"/>
          <w:sz w:val="24"/>
          <w:szCs w:val="24"/>
          <w:u w:val="single"/>
        </w:rPr>
        <w:t xml:space="preserve">                      </w:t>
      </w:r>
      <w:r>
        <w:rPr>
          <w:rFonts w:hint="eastAsia" w:ascii="宋体" w:hAnsi="宋体" w:cs="宋体"/>
          <w:color w:val="auto"/>
          <w:kern w:val="0"/>
          <w:sz w:val="24"/>
          <w:szCs w:val="24"/>
          <w:lang w:bidi="ar"/>
        </w:rPr>
        <w:t>（盖章或签字）</w:t>
      </w:r>
    </w:p>
    <w:p w14:paraId="59785B5F">
      <w:pPr>
        <w:widowControl/>
        <w:spacing w:line="360" w:lineRule="auto"/>
        <w:jc w:val="center"/>
        <w:outlineLvl w:val="9"/>
        <w:rPr>
          <w:rFonts w:hint="eastAsia" w:ascii="宋体" w:hAnsi="宋体" w:cs="宋体"/>
          <w:color w:val="auto"/>
          <w:sz w:val="24"/>
          <w:szCs w:val="24"/>
          <w:u w:val="single"/>
        </w:rPr>
      </w:pPr>
      <w:r>
        <w:rPr>
          <w:rFonts w:hint="eastAsia" w:ascii="宋体" w:hAnsi="宋体" w:cs="宋体"/>
          <w:color w:val="auto"/>
          <w:sz w:val="24"/>
          <w:szCs w:val="24"/>
        </w:rPr>
        <w:t xml:space="preserve">            投   标   人  ：</w:t>
      </w:r>
      <w:r>
        <w:rPr>
          <w:rFonts w:hint="eastAsia" w:ascii="宋体" w:hAnsi="宋体" w:cs="宋体"/>
          <w:color w:val="auto"/>
          <w:sz w:val="24"/>
          <w:szCs w:val="24"/>
          <w:u w:val="single"/>
        </w:rPr>
        <w:t xml:space="preserve">                      </w:t>
      </w:r>
      <w:r>
        <w:rPr>
          <w:rFonts w:hint="eastAsia" w:ascii="宋体" w:hAnsi="宋体" w:cs="宋体"/>
          <w:color w:val="auto"/>
          <w:kern w:val="0"/>
          <w:sz w:val="24"/>
          <w:szCs w:val="24"/>
          <w:lang w:bidi="ar"/>
        </w:rPr>
        <w:t xml:space="preserve">（盖单位章） </w:t>
      </w:r>
    </w:p>
    <w:p w14:paraId="326BC28F">
      <w:pPr>
        <w:spacing w:line="360" w:lineRule="auto"/>
        <w:ind w:firstLine="2160" w:firstLineChars="900"/>
        <w:outlineLvl w:val="9"/>
        <w:rPr>
          <w:rFonts w:hint="eastAsia" w:ascii="宋体" w:hAnsi="宋体" w:cs="宋体"/>
          <w:b/>
          <w:color w:val="auto"/>
          <w:sz w:val="32"/>
          <w:szCs w:val="22"/>
        </w:rPr>
      </w:pPr>
      <w:r>
        <w:rPr>
          <w:rFonts w:hint="eastAsia" w:ascii="宋体" w:hAnsi="宋体" w:cs="宋体"/>
          <w:color w:val="auto"/>
          <w:sz w:val="24"/>
          <w:szCs w:val="24"/>
        </w:rPr>
        <w:t>日                 期：</w:t>
      </w:r>
      <w:r>
        <w:rPr>
          <w:rFonts w:hint="eastAsia" w:ascii="宋体" w:hAnsi="宋体" w:cs="宋体"/>
          <w:color w:val="auto"/>
          <w:sz w:val="24"/>
          <w:szCs w:val="24"/>
          <w:u w:val="single"/>
        </w:rPr>
        <w:t xml:space="preserve">                      </w:t>
      </w:r>
    </w:p>
    <w:p w14:paraId="75625287">
      <w:pPr>
        <w:spacing w:line="360" w:lineRule="auto"/>
        <w:jc w:val="center"/>
        <w:outlineLvl w:val="9"/>
        <w:rPr>
          <w:rFonts w:hint="eastAsia" w:ascii="宋体" w:hAnsi="宋体" w:eastAsia="宋体" w:cs="宋体"/>
          <w:b/>
          <w:color w:val="auto"/>
          <w:sz w:val="32"/>
          <w:szCs w:val="32"/>
          <w:lang w:eastAsia="zh-CN"/>
        </w:rPr>
        <w:sectPr>
          <w:pgSz w:w="11906" w:h="16838"/>
          <w:pgMar w:top="1417" w:right="1669" w:bottom="1361" w:left="1417" w:header="851" w:footer="992" w:gutter="0"/>
          <w:pgNumType w:fmt="decimal"/>
          <w:cols w:space="720" w:num="1"/>
          <w:docGrid w:linePitch="312" w:charSpace="0"/>
        </w:sectPr>
      </w:pPr>
      <w:bookmarkStart w:id="342" w:name="_Toc29582"/>
      <w:bookmarkStart w:id="343" w:name="_Toc20312"/>
      <w:bookmarkStart w:id="344" w:name="_Toc1722"/>
      <w:bookmarkStart w:id="345" w:name="_Toc10877"/>
      <w:bookmarkStart w:id="346" w:name="_Toc18580"/>
      <w:bookmarkStart w:id="347" w:name="_Toc25773"/>
      <w:bookmarkStart w:id="348" w:name="_Toc16973"/>
      <w:bookmarkStart w:id="349" w:name="_Toc14309"/>
      <w:bookmarkStart w:id="350" w:name="_Toc6574"/>
      <w:bookmarkStart w:id="351" w:name="_Toc16651"/>
    </w:p>
    <w:p w14:paraId="2DF1A030">
      <w:pPr>
        <w:spacing w:line="360" w:lineRule="auto"/>
        <w:jc w:val="center"/>
        <w:outlineLvl w:val="1"/>
        <w:rPr>
          <w:rFonts w:hint="eastAsia"/>
          <w:b/>
          <w:bCs/>
          <w:color w:val="auto"/>
          <w:sz w:val="36"/>
          <w:szCs w:val="16"/>
        </w:rPr>
      </w:pPr>
      <w:bookmarkStart w:id="352" w:name="_Toc9935"/>
      <w:bookmarkStart w:id="353" w:name="_Toc28299"/>
      <w:bookmarkStart w:id="354" w:name="_Toc22784"/>
      <w:bookmarkStart w:id="355" w:name="_Toc11498"/>
      <w:bookmarkStart w:id="356" w:name="_Toc21191"/>
      <w:bookmarkStart w:id="357" w:name="_Toc5129"/>
      <w:bookmarkStart w:id="358" w:name="_Toc5757"/>
      <w:r>
        <w:rPr>
          <w:rFonts w:hint="eastAsia"/>
          <w:b/>
          <w:bCs/>
          <w:color w:val="auto"/>
          <w:sz w:val="36"/>
          <w:szCs w:val="16"/>
          <w:lang w:val="en-US" w:eastAsia="zh-CN"/>
        </w:rPr>
        <w:t>八</w:t>
      </w:r>
      <w:r>
        <w:rPr>
          <w:rFonts w:hint="eastAsia"/>
          <w:b/>
          <w:bCs/>
          <w:color w:val="auto"/>
          <w:sz w:val="36"/>
          <w:szCs w:val="16"/>
        </w:rPr>
        <w:t>、法定代表人证明书及法定代表人授权书</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BB4FA1F">
      <w:pPr>
        <w:pStyle w:val="10"/>
        <w:spacing w:line="360" w:lineRule="auto"/>
        <w:ind w:left="372" w:leftChars="177"/>
        <w:jc w:val="center"/>
        <w:outlineLvl w:val="9"/>
        <w:rPr>
          <w:rFonts w:hint="eastAsia" w:ascii="宋体" w:hAnsi="宋体" w:cs="宋体"/>
          <w:b/>
          <w:bCs/>
          <w:color w:val="auto"/>
          <w:kern w:val="0"/>
          <w:sz w:val="36"/>
          <w:szCs w:val="36"/>
        </w:rPr>
      </w:pPr>
      <w:r>
        <w:rPr>
          <w:rFonts w:hint="eastAsia"/>
          <w:b/>
          <w:bCs/>
          <w:color w:val="auto"/>
          <w:sz w:val="36"/>
          <w:szCs w:val="36"/>
        </w:rPr>
        <w:t>（一）</w:t>
      </w:r>
      <w:r>
        <w:rPr>
          <w:rFonts w:hint="eastAsia" w:ascii="宋体" w:hAnsi="宋体" w:cs="宋体"/>
          <w:b/>
          <w:bCs/>
          <w:color w:val="auto"/>
          <w:sz w:val="36"/>
          <w:szCs w:val="36"/>
        </w:rPr>
        <w:t>法定代表人证明书</w:t>
      </w:r>
    </w:p>
    <w:tbl>
      <w:tblPr>
        <w:tblStyle w:val="25"/>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067"/>
        <w:gridCol w:w="2551"/>
        <w:gridCol w:w="2346"/>
        <w:gridCol w:w="2328"/>
      </w:tblGrid>
      <w:tr w14:paraId="134E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900" w:type="dxa"/>
            <w:gridSpan w:val="5"/>
            <w:noWrap w:val="0"/>
            <w:vAlign w:val="center"/>
          </w:tcPr>
          <w:p w14:paraId="534DE6DD">
            <w:pPr>
              <w:tabs>
                <w:tab w:val="left" w:pos="210"/>
              </w:tabs>
              <w:spacing w:line="320" w:lineRule="exact"/>
              <w:outlineLvl w:val="9"/>
              <w:rPr>
                <w:rFonts w:hint="eastAsia" w:ascii="宋体" w:hAnsi="宋体" w:eastAsia="宋体" w:cs="宋体"/>
                <w:color w:val="auto"/>
                <w:kern w:val="0"/>
                <w:sz w:val="24"/>
                <w:lang w:eastAsia="zh-CN"/>
              </w:rPr>
            </w:pPr>
            <w:r>
              <w:rPr>
                <w:rFonts w:hint="eastAsia" w:ascii="宋体" w:hAnsi="宋体" w:cs="宋体"/>
                <w:color w:val="auto"/>
                <w:kern w:val="0"/>
                <w:sz w:val="24"/>
              </w:rPr>
              <w:t>致：</w:t>
            </w:r>
            <w:r>
              <w:rPr>
                <w:rFonts w:hint="eastAsia" w:ascii="宋体" w:hAnsi="宋体" w:cs="宋体"/>
                <w:color w:val="auto"/>
                <w:kern w:val="0"/>
                <w:sz w:val="24"/>
                <w:lang w:eastAsia="zh-CN"/>
              </w:rPr>
              <w:t>陕安项目管理有限公司</w:t>
            </w:r>
          </w:p>
        </w:tc>
      </w:tr>
      <w:tr w14:paraId="6FB5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8" w:type="dxa"/>
            <w:vMerge w:val="restart"/>
            <w:noWrap w:val="0"/>
            <w:vAlign w:val="center"/>
          </w:tcPr>
          <w:p w14:paraId="6DD53B29">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企</w:t>
            </w:r>
          </w:p>
          <w:p w14:paraId="4630B021">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业</w:t>
            </w:r>
          </w:p>
          <w:p w14:paraId="2D13C82E">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法</w:t>
            </w:r>
          </w:p>
          <w:p w14:paraId="78CAA613">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人</w:t>
            </w:r>
          </w:p>
        </w:tc>
        <w:tc>
          <w:tcPr>
            <w:tcW w:w="2067" w:type="dxa"/>
            <w:noWrap w:val="0"/>
            <w:vAlign w:val="center"/>
          </w:tcPr>
          <w:p w14:paraId="31B6EC04">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企业名称</w:t>
            </w:r>
          </w:p>
        </w:tc>
        <w:tc>
          <w:tcPr>
            <w:tcW w:w="7225" w:type="dxa"/>
            <w:gridSpan w:val="3"/>
            <w:noWrap w:val="0"/>
            <w:vAlign w:val="center"/>
          </w:tcPr>
          <w:p w14:paraId="39B2E992">
            <w:pPr>
              <w:tabs>
                <w:tab w:val="left" w:pos="210"/>
              </w:tabs>
              <w:spacing w:line="320" w:lineRule="exact"/>
              <w:jc w:val="center"/>
              <w:outlineLvl w:val="9"/>
              <w:rPr>
                <w:rFonts w:hint="eastAsia" w:ascii="宋体" w:hAnsi="宋体" w:cs="宋体"/>
                <w:color w:val="auto"/>
                <w:kern w:val="0"/>
                <w:sz w:val="24"/>
              </w:rPr>
            </w:pPr>
          </w:p>
        </w:tc>
      </w:tr>
      <w:tr w14:paraId="45B0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8" w:type="dxa"/>
            <w:vMerge w:val="continue"/>
            <w:noWrap w:val="0"/>
            <w:vAlign w:val="center"/>
          </w:tcPr>
          <w:p w14:paraId="5D11C953">
            <w:pPr>
              <w:tabs>
                <w:tab w:val="left" w:pos="210"/>
              </w:tabs>
              <w:spacing w:line="320" w:lineRule="exact"/>
              <w:jc w:val="center"/>
              <w:outlineLvl w:val="9"/>
              <w:rPr>
                <w:rFonts w:hint="eastAsia" w:ascii="宋体" w:hAnsi="宋体" w:cs="宋体"/>
                <w:color w:val="auto"/>
                <w:kern w:val="0"/>
                <w:sz w:val="24"/>
              </w:rPr>
            </w:pPr>
          </w:p>
        </w:tc>
        <w:tc>
          <w:tcPr>
            <w:tcW w:w="2067" w:type="dxa"/>
            <w:noWrap w:val="0"/>
            <w:vAlign w:val="center"/>
          </w:tcPr>
          <w:p w14:paraId="2D2940F4">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法定地址</w:t>
            </w:r>
          </w:p>
        </w:tc>
        <w:tc>
          <w:tcPr>
            <w:tcW w:w="7225" w:type="dxa"/>
            <w:gridSpan w:val="3"/>
            <w:noWrap w:val="0"/>
            <w:vAlign w:val="center"/>
          </w:tcPr>
          <w:p w14:paraId="72D8E290">
            <w:pPr>
              <w:tabs>
                <w:tab w:val="left" w:pos="210"/>
              </w:tabs>
              <w:spacing w:line="320" w:lineRule="exact"/>
              <w:jc w:val="center"/>
              <w:outlineLvl w:val="9"/>
              <w:rPr>
                <w:rFonts w:hint="eastAsia" w:ascii="宋体" w:hAnsi="宋体" w:cs="宋体"/>
                <w:color w:val="auto"/>
                <w:kern w:val="0"/>
                <w:sz w:val="24"/>
              </w:rPr>
            </w:pPr>
          </w:p>
        </w:tc>
      </w:tr>
      <w:tr w14:paraId="114F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8" w:type="dxa"/>
            <w:vMerge w:val="continue"/>
            <w:noWrap w:val="0"/>
            <w:vAlign w:val="center"/>
          </w:tcPr>
          <w:p w14:paraId="3AF6BE89">
            <w:pPr>
              <w:tabs>
                <w:tab w:val="left" w:pos="210"/>
              </w:tabs>
              <w:spacing w:line="320" w:lineRule="exact"/>
              <w:jc w:val="center"/>
              <w:outlineLvl w:val="9"/>
              <w:rPr>
                <w:rFonts w:hint="eastAsia" w:ascii="宋体" w:hAnsi="宋体" w:cs="宋体"/>
                <w:color w:val="auto"/>
                <w:kern w:val="0"/>
                <w:sz w:val="24"/>
              </w:rPr>
            </w:pPr>
          </w:p>
        </w:tc>
        <w:tc>
          <w:tcPr>
            <w:tcW w:w="2067" w:type="dxa"/>
            <w:noWrap w:val="0"/>
            <w:vAlign w:val="center"/>
          </w:tcPr>
          <w:p w14:paraId="0AD9835A">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邮政编码</w:t>
            </w:r>
          </w:p>
        </w:tc>
        <w:tc>
          <w:tcPr>
            <w:tcW w:w="7225" w:type="dxa"/>
            <w:gridSpan w:val="3"/>
            <w:noWrap w:val="0"/>
            <w:vAlign w:val="center"/>
          </w:tcPr>
          <w:p w14:paraId="3F80EBD2">
            <w:pPr>
              <w:tabs>
                <w:tab w:val="left" w:pos="210"/>
              </w:tabs>
              <w:spacing w:line="320" w:lineRule="exact"/>
              <w:jc w:val="center"/>
              <w:outlineLvl w:val="9"/>
              <w:rPr>
                <w:rFonts w:hint="eastAsia" w:ascii="宋体" w:hAnsi="宋体" w:cs="宋体"/>
                <w:color w:val="auto"/>
                <w:kern w:val="0"/>
                <w:sz w:val="24"/>
              </w:rPr>
            </w:pPr>
          </w:p>
        </w:tc>
      </w:tr>
      <w:tr w14:paraId="217F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8" w:type="dxa"/>
            <w:vMerge w:val="continue"/>
            <w:noWrap w:val="0"/>
            <w:vAlign w:val="center"/>
          </w:tcPr>
          <w:p w14:paraId="2893DFF5">
            <w:pPr>
              <w:tabs>
                <w:tab w:val="left" w:pos="210"/>
              </w:tabs>
              <w:spacing w:line="320" w:lineRule="exact"/>
              <w:jc w:val="center"/>
              <w:outlineLvl w:val="9"/>
              <w:rPr>
                <w:rFonts w:hint="eastAsia" w:ascii="宋体" w:hAnsi="宋体" w:cs="宋体"/>
                <w:color w:val="auto"/>
                <w:kern w:val="0"/>
                <w:sz w:val="24"/>
              </w:rPr>
            </w:pPr>
          </w:p>
        </w:tc>
        <w:tc>
          <w:tcPr>
            <w:tcW w:w="2067" w:type="dxa"/>
            <w:noWrap w:val="0"/>
            <w:vAlign w:val="center"/>
          </w:tcPr>
          <w:p w14:paraId="036A1033">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工商登记机关</w:t>
            </w:r>
          </w:p>
        </w:tc>
        <w:tc>
          <w:tcPr>
            <w:tcW w:w="7225" w:type="dxa"/>
            <w:gridSpan w:val="3"/>
            <w:noWrap w:val="0"/>
            <w:vAlign w:val="center"/>
          </w:tcPr>
          <w:p w14:paraId="22D07814">
            <w:pPr>
              <w:tabs>
                <w:tab w:val="left" w:pos="210"/>
              </w:tabs>
              <w:spacing w:line="320" w:lineRule="exact"/>
              <w:jc w:val="center"/>
              <w:outlineLvl w:val="9"/>
              <w:rPr>
                <w:rFonts w:hint="eastAsia" w:ascii="宋体" w:hAnsi="宋体" w:cs="宋体"/>
                <w:color w:val="auto"/>
                <w:kern w:val="0"/>
                <w:sz w:val="24"/>
              </w:rPr>
            </w:pPr>
          </w:p>
        </w:tc>
      </w:tr>
      <w:tr w14:paraId="646A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8" w:type="dxa"/>
            <w:vMerge w:val="continue"/>
            <w:noWrap w:val="0"/>
            <w:vAlign w:val="center"/>
          </w:tcPr>
          <w:p w14:paraId="3E917202">
            <w:pPr>
              <w:tabs>
                <w:tab w:val="left" w:pos="210"/>
              </w:tabs>
              <w:spacing w:line="320" w:lineRule="exact"/>
              <w:jc w:val="center"/>
              <w:outlineLvl w:val="9"/>
              <w:rPr>
                <w:rFonts w:hint="eastAsia" w:ascii="宋体" w:hAnsi="宋体" w:cs="宋体"/>
                <w:color w:val="auto"/>
                <w:kern w:val="0"/>
                <w:sz w:val="24"/>
              </w:rPr>
            </w:pPr>
          </w:p>
        </w:tc>
        <w:tc>
          <w:tcPr>
            <w:tcW w:w="2067" w:type="dxa"/>
            <w:noWrap w:val="0"/>
            <w:vAlign w:val="center"/>
          </w:tcPr>
          <w:p w14:paraId="5633D48E">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机构代码证号</w:t>
            </w:r>
          </w:p>
        </w:tc>
        <w:tc>
          <w:tcPr>
            <w:tcW w:w="7225" w:type="dxa"/>
            <w:gridSpan w:val="3"/>
            <w:noWrap w:val="0"/>
            <w:vAlign w:val="center"/>
          </w:tcPr>
          <w:p w14:paraId="6DCE3BAD">
            <w:pPr>
              <w:tabs>
                <w:tab w:val="left" w:pos="210"/>
              </w:tabs>
              <w:spacing w:line="320" w:lineRule="exact"/>
              <w:jc w:val="center"/>
              <w:outlineLvl w:val="9"/>
              <w:rPr>
                <w:rFonts w:hint="eastAsia" w:ascii="宋体" w:hAnsi="宋体" w:cs="宋体"/>
                <w:color w:val="auto"/>
                <w:kern w:val="0"/>
                <w:sz w:val="24"/>
              </w:rPr>
            </w:pPr>
          </w:p>
        </w:tc>
      </w:tr>
      <w:tr w14:paraId="3BC1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675" w:type="dxa"/>
            <w:gridSpan w:val="2"/>
            <w:noWrap w:val="0"/>
            <w:vAlign w:val="center"/>
          </w:tcPr>
          <w:p w14:paraId="7486F35E">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sz w:val="24"/>
                <w:szCs w:val="24"/>
              </w:rPr>
              <w:t>项目名称</w:t>
            </w:r>
          </w:p>
        </w:tc>
        <w:tc>
          <w:tcPr>
            <w:tcW w:w="7225" w:type="dxa"/>
            <w:gridSpan w:val="3"/>
            <w:noWrap w:val="0"/>
            <w:vAlign w:val="center"/>
          </w:tcPr>
          <w:p w14:paraId="7A7078E7">
            <w:pPr>
              <w:tabs>
                <w:tab w:val="left" w:pos="210"/>
              </w:tabs>
              <w:spacing w:line="320" w:lineRule="exact"/>
              <w:jc w:val="center"/>
              <w:outlineLvl w:val="9"/>
              <w:rPr>
                <w:rFonts w:hint="eastAsia" w:ascii="宋体" w:hAnsi="宋体" w:cs="宋体"/>
                <w:color w:val="auto"/>
                <w:kern w:val="0"/>
                <w:sz w:val="24"/>
              </w:rPr>
            </w:pPr>
          </w:p>
        </w:tc>
      </w:tr>
      <w:tr w14:paraId="7187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675" w:type="dxa"/>
            <w:gridSpan w:val="2"/>
            <w:noWrap w:val="0"/>
            <w:vAlign w:val="center"/>
          </w:tcPr>
          <w:p w14:paraId="7E40030B">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sz w:val="24"/>
                <w:szCs w:val="24"/>
              </w:rPr>
              <w:t>项目编号</w:t>
            </w:r>
          </w:p>
        </w:tc>
        <w:tc>
          <w:tcPr>
            <w:tcW w:w="7225" w:type="dxa"/>
            <w:gridSpan w:val="3"/>
            <w:noWrap w:val="0"/>
            <w:vAlign w:val="center"/>
          </w:tcPr>
          <w:p w14:paraId="104B1914">
            <w:pPr>
              <w:tabs>
                <w:tab w:val="left" w:pos="210"/>
              </w:tabs>
              <w:spacing w:line="320" w:lineRule="exact"/>
              <w:jc w:val="center"/>
              <w:outlineLvl w:val="9"/>
              <w:rPr>
                <w:rFonts w:hint="eastAsia" w:ascii="宋体" w:hAnsi="宋体" w:cs="宋体"/>
                <w:color w:val="auto"/>
                <w:kern w:val="0"/>
                <w:sz w:val="24"/>
              </w:rPr>
            </w:pPr>
          </w:p>
        </w:tc>
      </w:tr>
      <w:tr w14:paraId="0121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8" w:type="dxa"/>
            <w:vMerge w:val="restart"/>
            <w:noWrap w:val="0"/>
            <w:vAlign w:val="center"/>
          </w:tcPr>
          <w:p w14:paraId="26C2C8AB">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法定代表人</w:t>
            </w:r>
          </w:p>
        </w:tc>
        <w:tc>
          <w:tcPr>
            <w:tcW w:w="2067" w:type="dxa"/>
            <w:noWrap w:val="0"/>
            <w:vAlign w:val="center"/>
          </w:tcPr>
          <w:p w14:paraId="1EA5AC53">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姓名</w:t>
            </w:r>
          </w:p>
        </w:tc>
        <w:tc>
          <w:tcPr>
            <w:tcW w:w="2551" w:type="dxa"/>
            <w:noWrap w:val="0"/>
            <w:vAlign w:val="center"/>
          </w:tcPr>
          <w:p w14:paraId="581E9FA9">
            <w:pPr>
              <w:tabs>
                <w:tab w:val="left" w:pos="210"/>
              </w:tabs>
              <w:spacing w:line="320" w:lineRule="exact"/>
              <w:jc w:val="center"/>
              <w:outlineLvl w:val="9"/>
              <w:rPr>
                <w:rFonts w:hint="eastAsia" w:ascii="宋体" w:hAnsi="宋体" w:cs="宋体"/>
                <w:color w:val="auto"/>
                <w:kern w:val="0"/>
                <w:sz w:val="24"/>
              </w:rPr>
            </w:pPr>
          </w:p>
        </w:tc>
        <w:tc>
          <w:tcPr>
            <w:tcW w:w="2346" w:type="dxa"/>
            <w:noWrap w:val="0"/>
            <w:vAlign w:val="center"/>
          </w:tcPr>
          <w:p w14:paraId="7D7892CC">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性别</w:t>
            </w:r>
          </w:p>
        </w:tc>
        <w:tc>
          <w:tcPr>
            <w:tcW w:w="2328" w:type="dxa"/>
            <w:noWrap w:val="0"/>
            <w:vAlign w:val="center"/>
          </w:tcPr>
          <w:p w14:paraId="02AB06A0">
            <w:pPr>
              <w:tabs>
                <w:tab w:val="left" w:pos="210"/>
              </w:tabs>
              <w:spacing w:line="320" w:lineRule="exact"/>
              <w:jc w:val="center"/>
              <w:outlineLvl w:val="9"/>
              <w:rPr>
                <w:rFonts w:hint="eastAsia" w:ascii="宋体" w:hAnsi="宋体" w:cs="宋体"/>
                <w:color w:val="auto"/>
                <w:kern w:val="0"/>
                <w:sz w:val="24"/>
              </w:rPr>
            </w:pPr>
          </w:p>
        </w:tc>
      </w:tr>
      <w:tr w14:paraId="315D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8" w:type="dxa"/>
            <w:vMerge w:val="continue"/>
            <w:noWrap w:val="0"/>
            <w:vAlign w:val="center"/>
          </w:tcPr>
          <w:p w14:paraId="28918226">
            <w:pPr>
              <w:tabs>
                <w:tab w:val="left" w:pos="210"/>
              </w:tabs>
              <w:spacing w:line="320" w:lineRule="exact"/>
              <w:jc w:val="center"/>
              <w:outlineLvl w:val="9"/>
              <w:rPr>
                <w:rFonts w:hint="eastAsia" w:ascii="宋体" w:hAnsi="宋体" w:cs="宋体"/>
                <w:color w:val="auto"/>
                <w:kern w:val="0"/>
                <w:sz w:val="24"/>
              </w:rPr>
            </w:pPr>
          </w:p>
        </w:tc>
        <w:tc>
          <w:tcPr>
            <w:tcW w:w="2067" w:type="dxa"/>
            <w:noWrap w:val="0"/>
            <w:vAlign w:val="center"/>
          </w:tcPr>
          <w:p w14:paraId="406D131E">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职务</w:t>
            </w:r>
          </w:p>
        </w:tc>
        <w:tc>
          <w:tcPr>
            <w:tcW w:w="2551" w:type="dxa"/>
            <w:noWrap w:val="0"/>
            <w:vAlign w:val="center"/>
          </w:tcPr>
          <w:p w14:paraId="005E46B6">
            <w:pPr>
              <w:tabs>
                <w:tab w:val="left" w:pos="210"/>
              </w:tabs>
              <w:spacing w:line="320" w:lineRule="exact"/>
              <w:jc w:val="center"/>
              <w:outlineLvl w:val="9"/>
              <w:rPr>
                <w:rFonts w:hint="eastAsia" w:ascii="宋体" w:hAnsi="宋体" w:cs="宋体"/>
                <w:color w:val="auto"/>
                <w:kern w:val="0"/>
                <w:sz w:val="24"/>
              </w:rPr>
            </w:pPr>
          </w:p>
        </w:tc>
        <w:tc>
          <w:tcPr>
            <w:tcW w:w="2346" w:type="dxa"/>
            <w:noWrap w:val="0"/>
            <w:vAlign w:val="center"/>
          </w:tcPr>
          <w:p w14:paraId="37489ED9">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联系电话</w:t>
            </w:r>
          </w:p>
        </w:tc>
        <w:tc>
          <w:tcPr>
            <w:tcW w:w="2328" w:type="dxa"/>
            <w:noWrap w:val="0"/>
            <w:vAlign w:val="center"/>
          </w:tcPr>
          <w:p w14:paraId="35028A4B">
            <w:pPr>
              <w:tabs>
                <w:tab w:val="left" w:pos="210"/>
              </w:tabs>
              <w:spacing w:line="320" w:lineRule="exact"/>
              <w:jc w:val="center"/>
              <w:outlineLvl w:val="9"/>
              <w:rPr>
                <w:rFonts w:hint="eastAsia" w:ascii="宋体" w:hAnsi="宋体" w:cs="宋体"/>
                <w:color w:val="auto"/>
                <w:kern w:val="0"/>
                <w:sz w:val="24"/>
              </w:rPr>
            </w:pPr>
          </w:p>
        </w:tc>
      </w:tr>
      <w:tr w14:paraId="5074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08" w:type="dxa"/>
            <w:vMerge w:val="continue"/>
            <w:noWrap w:val="0"/>
            <w:vAlign w:val="center"/>
          </w:tcPr>
          <w:p w14:paraId="2510CE1B">
            <w:pPr>
              <w:tabs>
                <w:tab w:val="left" w:pos="210"/>
              </w:tabs>
              <w:spacing w:line="320" w:lineRule="exact"/>
              <w:jc w:val="center"/>
              <w:outlineLvl w:val="9"/>
              <w:rPr>
                <w:rFonts w:hint="eastAsia" w:ascii="宋体" w:hAnsi="宋体" w:cs="宋体"/>
                <w:color w:val="auto"/>
                <w:kern w:val="0"/>
                <w:sz w:val="24"/>
              </w:rPr>
            </w:pPr>
          </w:p>
        </w:tc>
        <w:tc>
          <w:tcPr>
            <w:tcW w:w="2067" w:type="dxa"/>
            <w:noWrap w:val="0"/>
            <w:vAlign w:val="center"/>
          </w:tcPr>
          <w:p w14:paraId="789A0E5A">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传真</w:t>
            </w:r>
          </w:p>
        </w:tc>
        <w:tc>
          <w:tcPr>
            <w:tcW w:w="7225" w:type="dxa"/>
            <w:gridSpan w:val="3"/>
            <w:noWrap w:val="0"/>
            <w:vAlign w:val="center"/>
          </w:tcPr>
          <w:p w14:paraId="2AAB3B79">
            <w:pPr>
              <w:tabs>
                <w:tab w:val="left" w:pos="210"/>
              </w:tabs>
              <w:spacing w:line="320" w:lineRule="exact"/>
              <w:jc w:val="center"/>
              <w:outlineLvl w:val="9"/>
              <w:rPr>
                <w:rFonts w:hint="eastAsia" w:ascii="宋体" w:hAnsi="宋体" w:cs="宋体"/>
                <w:color w:val="auto"/>
                <w:kern w:val="0"/>
                <w:sz w:val="24"/>
              </w:rPr>
            </w:pPr>
          </w:p>
        </w:tc>
      </w:tr>
      <w:tr w14:paraId="367F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jc w:val="center"/>
        </w:trPr>
        <w:tc>
          <w:tcPr>
            <w:tcW w:w="608" w:type="dxa"/>
            <w:vMerge w:val="restart"/>
            <w:noWrap w:val="0"/>
            <w:vAlign w:val="center"/>
          </w:tcPr>
          <w:p w14:paraId="07C48DB0">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法定代表人身份证复印件</w:t>
            </w:r>
          </w:p>
        </w:tc>
        <w:tc>
          <w:tcPr>
            <w:tcW w:w="4618" w:type="dxa"/>
            <w:gridSpan w:val="2"/>
            <w:vMerge w:val="restart"/>
            <w:noWrap w:val="0"/>
            <w:vAlign w:val="center"/>
          </w:tcPr>
          <w:p w14:paraId="58BAE336">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（粘贴处）</w:t>
            </w:r>
          </w:p>
        </w:tc>
        <w:tc>
          <w:tcPr>
            <w:tcW w:w="4674" w:type="dxa"/>
            <w:gridSpan w:val="2"/>
            <w:noWrap w:val="0"/>
            <w:vAlign w:val="center"/>
          </w:tcPr>
          <w:p w14:paraId="1D4A3A9F">
            <w:pPr>
              <w:tabs>
                <w:tab w:val="left" w:pos="210"/>
              </w:tabs>
              <w:spacing w:line="320" w:lineRule="exact"/>
              <w:jc w:val="center"/>
              <w:outlineLvl w:val="9"/>
              <w:rPr>
                <w:rFonts w:hint="eastAsia" w:ascii="宋体" w:hAnsi="宋体" w:eastAsia="宋体" w:cs="宋体"/>
                <w:color w:val="auto"/>
                <w:kern w:val="0"/>
                <w:sz w:val="24"/>
                <w:lang w:eastAsia="zh-CN"/>
              </w:rPr>
            </w:pPr>
            <w:r>
              <w:rPr>
                <w:rFonts w:hint="eastAsia" w:ascii="宋体" w:hAnsi="宋体" w:cs="Arial"/>
                <w:color w:val="auto"/>
                <w:kern w:val="0"/>
                <w:sz w:val="24"/>
              </w:rPr>
              <w:t>法定代表人签字</w:t>
            </w:r>
            <w:r>
              <w:rPr>
                <w:rFonts w:hint="eastAsia" w:ascii="宋体" w:hAnsi="宋体" w:cs="Arial"/>
                <w:color w:val="auto"/>
                <w:kern w:val="0"/>
                <w:sz w:val="24"/>
                <w:lang w:eastAsia="zh-CN"/>
              </w:rPr>
              <w:t>或盖章</w:t>
            </w:r>
          </w:p>
        </w:tc>
      </w:tr>
      <w:tr w14:paraId="5F48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jc w:val="center"/>
        </w:trPr>
        <w:tc>
          <w:tcPr>
            <w:tcW w:w="608" w:type="dxa"/>
            <w:vMerge w:val="continue"/>
            <w:noWrap w:val="0"/>
            <w:vAlign w:val="center"/>
          </w:tcPr>
          <w:p w14:paraId="31B149DB">
            <w:pPr>
              <w:tabs>
                <w:tab w:val="left" w:pos="210"/>
              </w:tabs>
              <w:spacing w:line="320" w:lineRule="exact"/>
              <w:jc w:val="center"/>
              <w:outlineLvl w:val="9"/>
              <w:rPr>
                <w:rFonts w:hint="eastAsia" w:ascii="宋体" w:hAnsi="宋体" w:cs="宋体"/>
                <w:color w:val="auto"/>
                <w:kern w:val="0"/>
                <w:sz w:val="24"/>
              </w:rPr>
            </w:pPr>
          </w:p>
        </w:tc>
        <w:tc>
          <w:tcPr>
            <w:tcW w:w="4618" w:type="dxa"/>
            <w:gridSpan w:val="2"/>
            <w:vMerge w:val="continue"/>
            <w:noWrap w:val="0"/>
            <w:vAlign w:val="center"/>
          </w:tcPr>
          <w:p w14:paraId="7F86A43D">
            <w:pPr>
              <w:tabs>
                <w:tab w:val="left" w:pos="210"/>
              </w:tabs>
              <w:spacing w:line="320" w:lineRule="exact"/>
              <w:jc w:val="center"/>
              <w:outlineLvl w:val="9"/>
              <w:rPr>
                <w:rFonts w:hint="eastAsia" w:ascii="宋体" w:hAnsi="宋体" w:cs="宋体"/>
                <w:color w:val="auto"/>
                <w:kern w:val="0"/>
                <w:sz w:val="24"/>
              </w:rPr>
            </w:pPr>
          </w:p>
        </w:tc>
        <w:tc>
          <w:tcPr>
            <w:tcW w:w="4674" w:type="dxa"/>
            <w:gridSpan w:val="2"/>
            <w:noWrap w:val="0"/>
            <w:vAlign w:val="bottom"/>
          </w:tcPr>
          <w:p w14:paraId="7D8C03CE">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（公章）</w:t>
            </w:r>
          </w:p>
          <w:p w14:paraId="5C4A1885">
            <w:pPr>
              <w:tabs>
                <w:tab w:val="left" w:pos="210"/>
              </w:tabs>
              <w:spacing w:line="320" w:lineRule="exact"/>
              <w:jc w:val="center"/>
              <w:outlineLvl w:val="9"/>
              <w:rPr>
                <w:rFonts w:hint="eastAsia" w:ascii="宋体" w:hAnsi="宋体" w:cs="宋体"/>
                <w:color w:val="auto"/>
                <w:kern w:val="0"/>
                <w:sz w:val="24"/>
              </w:rPr>
            </w:pPr>
          </w:p>
          <w:p w14:paraId="65C93050">
            <w:pPr>
              <w:tabs>
                <w:tab w:val="left" w:pos="210"/>
              </w:tabs>
              <w:spacing w:line="320" w:lineRule="exact"/>
              <w:jc w:val="center"/>
              <w:outlineLvl w:val="9"/>
              <w:rPr>
                <w:rFonts w:hint="eastAsia" w:ascii="宋体" w:hAnsi="宋体" w:cs="宋体"/>
                <w:color w:val="auto"/>
                <w:kern w:val="0"/>
                <w:sz w:val="24"/>
              </w:rPr>
            </w:pPr>
          </w:p>
          <w:p w14:paraId="0140EF5D">
            <w:pPr>
              <w:tabs>
                <w:tab w:val="left" w:pos="210"/>
              </w:tabs>
              <w:spacing w:line="320" w:lineRule="exact"/>
              <w:jc w:val="center"/>
              <w:outlineLvl w:val="9"/>
              <w:rPr>
                <w:rFonts w:hint="eastAsia" w:ascii="宋体" w:hAnsi="宋体" w:cs="宋体"/>
                <w:color w:val="auto"/>
                <w:kern w:val="0"/>
                <w:sz w:val="24"/>
              </w:rPr>
            </w:pPr>
          </w:p>
          <w:p w14:paraId="0104FC0B">
            <w:pPr>
              <w:tabs>
                <w:tab w:val="left" w:pos="210"/>
              </w:tabs>
              <w:spacing w:line="320" w:lineRule="exact"/>
              <w:jc w:val="right"/>
              <w:outlineLvl w:val="9"/>
              <w:rPr>
                <w:rFonts w:hint="eastAsia" w:ascii="宋体" w:hAnsi="宋体" w:cs="宋体"/>
                <w:color w:val="auto"/>
                <w:kern w:val="0"/>
                <w:sz w:val="24"/>
              </w:rPr>
            </w:pPr>
            <w:r>
              <w:rPr>
                <w:rFonts w:hint="eastAsia" w:ascii="宋体" w:hAnsi="宋体" w:cs="宋体"/>
                <w:color w:val="auto"/>
                <w:kern w:val="0"/>
                <w:sz w:val="24"/>
              </w:rPr>
              <w:t xml:space="preserve">年  月  日 </w:t>
            </w:r>
          </w:p>
        </w:tc>
      </w:tr>
    </w:tbl>
    <w:p w14:paraId="2006D5F4">
      <w:pPr>
        <w:tabs>
          <w:tab w:val="left" w:pos="329"/>
        </w:tabs>
        <w:jc w:val="center"/>
        <w:outlineLvl w:val="9"/>
        <w:rPr>
          <w:rFonts w:hint="eastAsia" w:ascii="宋体" w:hAnsi="宋体" w:cs="宋体"/>
          <w:b/>
          <w:color w:val="auto"/>
          <w:sz w:val="32"/>
          <w:szCs w:val="32"/>
        </w:rPr>
      </w:pPr>
    </w:p>
    <w:p w14:paraId="41298737">
      <w:pPr>
        <w:tabs>
          <w:tab w:val="left" w:pos="329"/>
        </w:tabs>
        <w:jc w:val="center"/>
        <w:outlineLvl w:val="9"/>
        <w:rPr>
          <w:rFonts w:hint="eastAsia" w:ascii="宋体" w:hAnsi="宋体" w:cs="宋体"/>
          <w:color w:val="auto"/>
        </w:rPr>
      </w:pPr>
      <w:r>
        <w:rPr>
          <w:rFonts w:hint="eastAsia" w:ascii="宋体" w:hAnsi="宋体" w:cs="宋体"/>
          <w:b/>
          <w:color w:val="auto"/>
          <w:sz w:val="32"/>
          <w:szCs w:val="32"/>
        </w:rPr>
        <w:t>（二）法定代表人授权书</w:t>
      </w:r>
    </w:p>
    <w:p w14:paraId="39829852">
      <w:pPr>
        <w:tabs>
          <w:tab w:val="left" w:pos="8820"/>
        </w:tabs>
        <w:spacing w:line="360" w:lineRule="auto"/>
        <w:ind w:firstLine="570"/>
        <w:outlineLvl w:val="9"/>
        <w:rPr>
          <w:rFonts w:hint="eastAsia" w:ascii="宋体" w:hAnsi="宋体" w:cs="宋体"/>
          <w:color w:val="auto"/>
          <w:sz w:val="24"/>
          <w:szCs w:val="24"/>
          <w:u w:val="single"/>
        </w:rPr>
      </w:pPr>
      <w:r>
        <w:rPr>
          <w:rFonts w:hint="eastAsia" w:ascii="宋体" w:hAnsi="宋体" w:cs="宋体"/>
          <w:color w:val="auto"/>
          <w:sz w:val="24"/>
          <w:szCs w:val="24"/>
        </w:rPr>
        <w:t>本授权委托书声明：我</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（法定代表人姓名）</w:t>
      </w:r>
      <w:r>
        <w:rPr>
          <w:rFonts w:hint="eastAsia" w:ascii="宋体" w:hAnsi="宋体" w:cs="宋体"/>
          <w:color w:val="auto"/>
          <w:sz w:val="24"/>
          <w:szCs w:val="24"/>
        </w:rPr>
        <w:t>系注册于</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（投标人地址）</w:t>
      </w:r>
      <w:r>
        <w:rPr>
          <w:rFonts w:hint="eastAsia" w:ascii="宋体" w:hAnsi="宋体" w:cs="宋体"/>
          <w:color w:val="auto"/>
          <w:sz w:val="24"/>
          <w:szCs w:val="24"/>
        </w:rPr>
        <w:t>的</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（投标人名称）  </w:t>
      </w:r>
      <w:r>
        <w:rPr>
          <w:rFonts w:hint="eastAsia" w:ascii="宋体" w:hAnsi="宋体" w:cs="宋体"/>
          <w:color w:val="auto"/>
          <w:sz w:val="24"/>
          <w:szCs w:val="24"/>
        </w:rPr>
        <w:t>的法定代表人，现代表公司授权下面签字的</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（被授权人的姓名、职务）</w:t>
      </w:r>
      <w:r>
        <w:rPr>
          <w:rFonts w:hint="eastAsia" w:ascii="宋体" w:hAnsi="宋体" w:cs="宋体"/>
          <w:color w:val="auto"/>
          <w:sz w:val="24"/>
          <w:szCs w:val="24"/>
        </w:rPr>
        <w:t>为我公司合法代理人，代表本公司参加</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（采购项目名称）</w:t>
      </w:r>
      <w:r>
        <w:rPr>
          <w:rFonts w:hint="eastAsia" w:ascii="宋体" w:hAnsi="宋体" w:cs="宋体"/>
          <w:color w:val="auto"/>
          <w:sz w:val="24"/>
          <w:szCs w:val="24"/>
        </w:rPr>
        <w:t>采购项目编号：</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的投标活动。代理人在本次投标中所签署的一切文件和处理的一切有关事务，我公司均予承认。</w:t>
      </w:r>
    </w:p>
    <w:p w14:paraId="4685A70F">
      <w:pPr>
        <w:spacing w:line="360" w:lineRule="auto"/>
        <w:ind w:firstLine="570"/>
        <w:outlineLvl w:val="9"/>
        <w:rPr>
          <w:rFonts w:hint="eastAsia" w:ascii="宋体" w:hAnsi="宋体" w:cs="宋体"/>
          <w:color w:val="auto"/>
          <w:sz w:val="24"/>
          <w:szCs w:val="24"/>
        </w:rPr>
      </w:pPr>
      <w:r>
        <w:rPr>
          <w:rFonts w:hint="eastAsia" w:ascii="宋体" w:hAnsi="宋体" w:cs="宋体"/>
          <w:color w:val="auto"/>
          <w:sz w:val="24"/>
          <w:szCs w:val="24"/>
        </w:rPr>
        <w:t>本授权书于</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日签字（盖章）生效，有效期自开标之日起</w:t>
      </w:r>
      <w:r>
        <w:rPr>
          <w:rFonts w:hint="eastAsia" w:ascii="宋体" w:hAnsi="宋体" w:cs="宋体"/>
          <w:color w:val="auto"/>
          <w:sz w:val="24"/>
          <w:szCs w:val="24"/>
          <w:u w:val="single"/>
        </w:rPr>
        <w:t xml:space="preserve"> </w:t>
      </w:r>
      <w:r>
        <w:rPr>
          <w:rFonts w:hint="eastAsia" w:ascii="宋体" w:hAnsi="宋体" w:cs="宋体"/>
          <w:color w:val="auto"/>
          <w:sz w:val="24"/>
          <w:szCs w:val="24"/>
        </w:rPr>
        <w:t>天；特此声明。</w:t>
      </w:r>
    </w:p>
    <w:tbl>
      <w:tblPr>
        <w:tblStyle w:val="25"/>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470"/>
        <w:gridCol w:w="4470"/>
      </w:tblGrid>
      <w:tr w14:paraId="39175DB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225" w:hRule="atLeast"/>
        </w:trPr>
        <w:tc>
          <w:tcPr>
            <w:tcW w:w="4470" w:type="dxa"/>
            <w:noWrap w:val="0"/>
            <w:vAlign w:val="center"/>
          </w:tcPr>
          <w:p w14:paraId="78D87EC2">
            <w:pPr>
              <w:spacing w:line="360" w:lineRule="auto"/>
              <w:jc w:val="center"/>
              <w:outlineLvl w:val="9"/>
              <w:rPr>
                <w:rFonts w:hint="eastAsia" w:ascii="宋体" w:hAnsi="宋体" w:cs="宋体"/>
                <w:color w:val="auto"/>
                <w:sz w:val="24"/>
                <w:szCs w:val="24"/>
              </w:rPr>
            </w:pPr>
            <w:r>
              <w:rPr>
                <w:rFonts w:hint="eastAsia" w:ascii="宋体" w:hAnsi="宋体" w:cs="宋体"/>
                <w:color w:val="auto"/>
                <w:sz w:val="24"/>
                <w:szCs w:val="24"/>
              </w:rPr>
              <w:t>法定代表人身份证复印件</w:t>
            </w:r>
          </w:p>
          <w:p w14:paraId="13457760">
            <w:pPr>
              <w:spacing w:line="360" w:lineRule="auto"/>
              <w:jc w:val="center"/>
              <w:outlineLvl w:val="9"/>
              <w:rPr>
                <w:rFonts w:hint="eastAsia" w:ascii="宋体" w:hAnsi="宋体" w:cs="宋体"/>
                <w:color w:val="auto"/>
                <w:sz w:val="24"/>
                <w:szCs w:val="24"/>
              </w:rPr>
            </w:pPr>
          </w:p>
        </w:tc>
        <w:tc>
          <w:tcPr>
            <w:tcW w:w="4470" w:type="dxa"/>
            <w:noWrap w:val="0"/>
            <w:vAlign w:val="center"/>
          </w:tcPr>
          <w:p w14:paraId="4E581098">
            <w:pPr>
              <w:spacing w:line="360" w:lineRule="auto"/>
              <w:jc w:val="center"/>
              <w:outlineLvl w:val="9"/>
              <w:rPr>
                <w:rFonts w:hint="eastAsia" w:ascii="宋体" w:hAnsi="宋体" w:cs="宋体"/>
                <w:color w:val="auto"/>
                <w:sz w:val="24"/>
                <w:szCs w:val="24"/>
              </w:rPr>
            </w:pPr>
            <w:r>
              <w:rPr>
                <w:rFonts w:hint="eastAsia" w:ascii="宋体" w:hAnsi="宋体" w:cs="宋体"/>
                <w:color w:val="auto"/>
                <w:sz w:val="24"/>
                <w:szCs w:val="24"/>
              </w:rPr>
              <w:t>授权代表身份证复印件</w:t>
            </w:r>
          </w:p>
          <w:p w14:paraId="3ED5447D">
            <w:pPr>
              <w:spacing w:line="360" w:lineRule="auto"/>
              <w:jc w:val="center"/>
              <w:outlineLvl w:val="9"/>
              <w:rPr>
                <w:rFonts w:hint="eastAsia" w:ascii="宋体" w:hAnsi="宋体" w:cs="宋体"/>
                <w:color w:val="auto"/>
                <w:sz w:val="24"/>
                <w:szCs w:val="24"/>
              </w:rPr>
            </w:pPr>
          </w:p>
        </w:tc>
      </w:tr>
      <w:tr w14:paraId="03FFBAF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976" w:hRule="atLeast"/>
        </w:trPr>
        <w:tc>
          <w:tcPr>
            <w:tcW w:w="4470" w:type="dxa"/>
            <w:noWrap w:val="0"/>
            <w:vAlign w:val="center"/>
          </w:tcPr>
          <w:p w14:paraId="44266890">
            <w:pPr>
              <w:spacing w:line="360" w:lineRule="auto"/>
              <w:jc w:val="center"/>
              <w:outlineLvl w:val="9"/>
              <w:rPr>
                <w:rFonts w:hint="eastAsia" w:ascii="宋体" w:hAnsi="宋体" w:cs="宋体"/>
                <w:color w:val="auto"/>
                <w:sz w:val="24"/>
                <w:szCs w:val="24"/>
              </w:rPr>
            </w:pPr>
            <w:r>
              <w:rPr>
                <w:rFonts w:hint="eastAsia" w:ascii="宋体" w:hAnsi="宋体" w:cs="宋体"/>
                <w:color w:val="auto"/>
                <w:sz w:val="24"/>
                <w:szCs w:val="24"/>
              </w:rPr>
              <w:t>法定代表人身份证复印件</w:t>
            </w:r>
          </w:p>
          <w:p w14:paraId="34D48D3D">
            <w:pPr>
              <w:spacing w:line="360" w:lineRule="auto"/>
              <w:jc w:val="center"/>
              <w:outlineLvl w:val="9"/>
              <w:rPr>
                <w:rFonts w:hint="eastAsia" w:ascii="宋体" w:hAnsi="宋体" w:cs="宋体"/>
                <w:color w:val="auto"/>
                <w:sz w:val="24"/>
                <w:szCs w:val="24"/>
              </w:rPr>
            </w:pPr>
          </w:p>
        </w:tc>
        <w:tc>
          <w:tcPr>
            <w:tcW w:w="4470" w:type="dxa"/>
            <w:noWrap w:val="0"/>
            <w:vAlign w:val="center"/>
          </w:tcPr>
          <w:p w14:paraId="7B73FF72">
            <w:pPr>
              <w:spacing w:line="360" w:lineRule="auto"/>
              <w:jc w:val="center"/>
              <w:outlineLvl w:val="9"/>
              <w:rPr>
                <w:rFonts w:hint="eastAsia" w:ascii="宋体" w:hAnsi="宋体" w:cs="宋体"/>
                <w:color w:val="auto"/>
                <w:sz w:val="24"/>
                <w:szCs w:val="24"/>
              </w:rPr>
            </w:pPr>
            <w:r>
              <w:rPr>
                <w:rFonts w:hint="eastAsia" w:ascii="宋体" w:hAnsi="宋体" w:cs="宋体"/>
                <w:color w:val="auto"/>
                <w:sz w:val="24"/>
                <w:szCs w:val="24"/>
              </w:rPr>
              <w:t>授权代表身份证复印件</w:t>
            </w:r>
          </w:p>
          <w:p w14:paraId="661E9564">
            <w:pPr>
              <w:spacing w:line="360" w:lineRule="auto"/>
              <w:jc w:val="center"/>
              <w:outlineLvl w:val="9"/>
              <w:rPr>
                <w:rFonts w:hint="eastAsia" w:ascii="宋体" w:hAnsi="宋体" w:cs="宋体"/>
                <w:color w:val="auto"/>
                <w:sz w:val="24"/>
                <w:szCs w:val="24"/>
              </w:rPr>
            </w:pPr>
          </w:p>
        </w:tc>
      </w:tr>
    </w:tbl>
    <w:p w14:paraId="24053B20">
      <w:pPr>
        <w:spacing w:line="360" w:lineRule="auto"/>
        <w:ind w:firstLine="482" w:firstLineChars="200"/>
        <w:outlineLvl w:val="9"/>
        <w:rPr>
          <w:rFonts w:hint="eastAsia" w:ascii="宋体" w:hAnsi="宋体" w:cs="宋体"/>
          <w:b/>
          <w:bCs/>
          <w:color w:val="auto"/>
          <w:sz w:val="24"/>
          <w:szCs w:val="22"/>
        </w:rPr>
      </w:pPr>
      <w:r>
        <w:rPr>
          <w:rFonts w:hint="eastAsia" w:ascii="宋体" w:hAnsi="宋体" w:cs="宋体"/>
          <w:b/>
          <w:bCs/>
          <w:color w:val="auto"/>
          <w:sz w:val="24"/>
          <w:szCs w:val="24"/>
        </w:rPr>
        <w:t>注：此授权书的有效期应与投标文件有效期一致。身份证正反面复印件必须依次加盖单位鲜章。</w:t>
      </w:r>
    </w:p>
    <w:p w14:paraId="31C3BE5C">
      <w:pPr>
        <w:spacing w:line="360" w:lineRule="auto"/>
        <w:outlineLvl w:val="9"/>
        <w:rPr>
          <w:rFonts w:hint="eastAsia" w:ascii="宋体" w:hAnsi="宋体" w:cs="宋体"/>
          <w:color w:val="auto"/>
          <w:sz w:val="24"/>
          <w:szCs w:val="24"/>
        </w:rPr>
      </w:pPr>
      <w:r>
        <w:rPr>
          <w:rFonts w:hint="eastAsia" w:ascii="宋体" w:hAnsi="宋体" w:cs="宋体"/>
          <w:color w:val="auto"/>
          <w:sz w:val="24"/>
          <w:szCs w:val="24"/>
        </w:rPr>
        <w:t xml:space="preserve">                       </w:t>
      </w:r>
    </w:p>
    <w:p w14:paraId="398DA396">
      <w:pPr>
        <w:spacing w:line="360" w:lineRule="auto"/>
        <w:ind w:firstLine="3600" w:firstLineChars="1500"/>
        <w:outlineLvl w:val="9"/>
        <w:rPr>
          <w:rFonts w:hint="eastAsia" w:ascii="宋体" w:hAnsi="宋体" w:cs="宋体"/>
          <w:color w:val="auto"/>
          <w:sz w:val="24"/>
          <w:szCs w:val="24"/>
        </w:rPr>
      </w:pPr>
      <w:r>
        <w:rPr>
          <w:rFonts w:hint="eastAsia" w:ascii="宋体" w:hAnsi="宋体" w:cs="宋体"/>
          <w:color w:val="auto"/>
          <w:sz w:val="24"/>
          <w:szCs w:val="24"/>
        </w:rPr>
        <w:t>投标人：</w:t>
      </w:r>
      <w:r>
        <w:rPr>
          <w:rFonts w:hint="eastAsia" w:ascii="宋体" w:hAnsi="宋体" w:cs="宋体"/>
          <w:color w:val="auto"/>
          <w:sz w:val="24"/>
          <w:szCs w:val="24"/>
          <w:u w:val="single"/>
        </w:rPr>
        <w:t xml:space="preserve">                           </w:t>
      </w:r>
      <w:r>
        <w:rPr>
          <w:rFonts w:hint="eastAsia" w:ascii="宋体" w:hAnsi="宋体" w:cs="宋体"/>
          <w:color w:val="auto"/>
          <w:sz w:val="24"/>
          <w:szCs w:val="24"/>
        </w:rPr>
        <w:t>（公章）</w:t>
      </w:r>
    </w:p>
    <w:p w14:paraId="03B3D2BE">
      <w:pPr>
        <w:spacing w:line="360" w:lineRule="auto"/>
        <w:ind w:left="3120" w:hanging="3120" w:hangingChars="1300"/>
        <w:outlineLvl w:val="9"/>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法定代表人：</w:t>
      </w:r>
      <w:r>
        <w:rPr>
          <w:rFonts w:hint="eastAsia" w:ascii="宋体" w:hAnsi="宋体" w:cs="宋体"/>
          <w:color w:val="auto"/>
          <w:sz w:val="24"/>
          <w:szCs w:val="24"/>
          <w:u w:val="single"/>
        </w:rPr>
        <w:t xml:space="preserve">                        </w:t>
      </w:r>
      <w:r>
        <w:rPr>
          <w:rFonts w:hint="eastAsia" w:ascii="宋体" w:hAnsi="宋体" w:cs="宋体"/>
          <w:color w:val="auto"/>
          <w:sz w:val="24"/>
          <w:szCs w:val="24"/>
        </w:rPr>
        <w:t>（签字</w:t>
      </w:r>
      <w:r>
        <w:rPr>
          <w:rFonts w:hint="eastAsia" w:ascii="宋体" w:hAnsi="宋体" w:cs="宋体"/>
          <w:color w:val="auto"/>
          <w:sz w:val="24"/>
          <w:szCs w:val="24"/>
          <w:lang w:eastAsia="zh-CN"/>
        </w:rPr>
        <w:t>或</w:t>
      </w:r>
      <w:r>
        <w:rPr>
          <w:rFonts w:hint="eastAsia" w:ascii="宋体" w:hAnsi="宋体" w:cs="宋体"/>
          <w:color w:val="auto"/>
          <w:sz w:val="24"/>
          <w:szCs w:val="24"/>
        </w:rPr>
        <w:t>盖章）</w:t>
      </w:r>
    </w:p>
    <w:p w14:paraId="01FCE84C">
      <w:pPr>
        <w:pStyle w:val="10"/>
        <w:ind w:firstLine="3360" w:firstLineChars="1400"/>
        <w:outlineLvl w:val="9"/>
        <w:rPr>
          <w:rFonts w:hint="eastAsia" w:eastAsia="宋体"/>
          <w:color w:val="auto"/>
          <w:lang w:eastAsia="zh-CN"/>
        </w:rPr>
      </w:pPr>
      <w:r>
        <w:rPr>
          <w:rFonts w:hint="eastAsia" w:ascii="宋体" w:hAnsi="宋体" w:eastAsia="宋体" w:cs="宋体"/>
          <w:color w:val="auto"/>
          <w:kern w:val="2"/>
          <w:sz w:val="24"/>
          <w:szCs w:val="24"/>
          <w:lang w:val="en-US" w:eastAsia="zh-CN" w:bidi="ar-SA"/>
        </w:rPr>
        <w:t>授权代表</w:t>
      </w:r>
      <w:r>
        <w:rPr>
          <w:rFonts w:hint="eastAsia" w:ascii="宋体" w:hAnsi="宋体" w:cs="宋体"/>
          <w:color w:val="auto"/>
          <w:sz w:val="24"/>
          <w:szCs w:val="24"/>
        </w:rPr>
        <w:t>：</w:t>
      </w:r>
      <w:r>
        <w:rPr>
          <w:rFonts w:hint="eastAsia" w:ascii="宋体" w:hAnsi="宋体" w:cs="宋体"/>
          <w:color w:val="auto"/>
          <w:sz w:val="24"/>
          <w:szCs w:val="24"/>
          <w:u w:val="single"/>
        </w:rPr>
        <w:t xml:space="preserve">                        </w:t>
      </w:r>
      <w:r>
        <w:rPr>
          <w:rFonts w:hint="eastAsia" w:ascii="宋体" w:hAnsi="宋体" w:cs="宋体"/>
          <w:color w:val="auto"/>
          <w:sz w:val="24"/>
          <w:szCs w:val="24"/>
          <w:u w:val="none"/>
          <w:lang w:eastAsia="zh-CN"/>
        </w:rPr>
        <w:t>（</w:t>
      </w:r>
      <w:r>
        <w:rPr>
          <w:rFonts w:hint="eastAsia" w:ascii="宋体" w:hAnsi="宋体" w:cs="宋体"/>
          <w:color w:val="auto"/>
          <w:sz w:val="24"/>
          <w:szCs w:val="24"/>
          <w:u w:val="none"/>
          <w:lang w:val="en-US" w:eastAsia="zh-CN"/>
        </w:rPr>
        <w:t>签字</w:t>
      </w:r>
      <w:r>
        <w:rPr>
          <w:rFonts w:hint="eastAsia" w:ascii="宋体" w:hAnsi="宋体" w:cs="宋体"/>
          <w:color w:val="auto"/>
          <w:sz w:val="24"/>
          <w:szCs w:val="24"/>
          <w:u w:val="none"/>
          <w:lang w:eastAsia="zh-CN"/>
        </w:rPr>
        <w:t>）</w:t>
      </w:r>
    </w:p>
    <w:p w14:paraId="0250B49F">
      <w:pPr>
        <w:pStyle w:val="10"/>
        <w:ind w:firstLine="3360" w:firstLineChars="1400"/>
        <w:outlineLvl w:val="9"/>
        <w:rPr>
          <w:rFonts w:hint="eastAsia" w:ascii="宋体" w:hAnsi="宋体" w:cs="宋体"/>
          <w:color w:val="auto"/>
          <w:sz w:val="24"/>
          <w:szCs w:val="24"/>
          <w:u w:val="single"/>
        </w:rPr>
        <w:sectPr>
          <w:pgSz w:w="11906" w:h="16838"/>
          <w:pgMar w:top="1440" w:right="1531" w:bottom="1440" w:left="1531" w:header="720" w:footer="720" w:gutter="0"/>
          <w:pgNumType w:fmt="decimal"/>
          <w:cols w:space="720" w:num="1"/>
          <w:docGrid w:type="lines" w:linePitch="312" w:charSpace="0"/>
        </w:sectPr>
      </w:pPr>
      <w:r>
        <w:rPr>
          <w:rFonts w:hint="eastAsia" w:ascii="宋体" w:hAnsi="宋体" w:cs="宋体"/>
          <w:color w:val="auto"/>
          <w:sz w:val="24"/>
          <w:szCs w:val="24"/>
        </w:rPr>
        <w:t>日    期：</w:t>
      </w:r>
      <w:r>
        <w:rPr>
          <w:rFonts w:hint="eastAsia" w:ascii="宋体" w:hAnsi="宋体" w:cs="宋体"/>
          <w:color w:val="auto"/>
          <w:sz w:val="24"/>
          <w:szCs w:val="24"/>
          <w:u w:val="single"/>
        </w:rPr>
        <w:t xml:space="preserve">                             </w:t>
      </w:r>
    </w:p>
    <w:p w14:paraId="29BDFEDE">
      <w:pPr>
        <w:spacing w:line="360" w:lineRule="auto"/>
        <w:jc w:val="center"/>
        <w:outlineLvl w:val="1"/>
        <w:rPr>
          <w:rFonts w:hint="eastAsia" w:ascii="宋体" w:hAnsi="宋体" w:eastAsia="宋体" w:cs="宋体"/>
          <w:b/>
          <w:color w:val="auto"/>
          <w:sz w:val="32"/>
          <w:szCs w:val="32"/>
        </w:rPr>
      </w:pPr>
      <w:bookmarkStart w:id="359" w:name="_Toc27147"/>
      <w:bookmarkStart w:id="360" w:name="_Toc28711"/>
      <w:bookmarkStart w:id="361" w:name="_Toc12973"/>
      <w:bookmarkStart w:id="362" w:name="_Toc31996"/>
      <w:bookmarkStart w:id="363" w:name="_Toc4340"/>
      <w:bookmarkStart w:id="364" w:name="_Toc24901"/>
      <w:bookmarkStart w:id="365" w:name="_Toc8820"/>
      <w:r>
        <w:rPr>
          <w:rFonts w:hint="eastAsia" w:ascii="宋体" w:hAnsi="宋体" w:cs="宋体"/>
          <w:b/>
          <w:bCs/>
          <w:color w:val="auto"/>
          <w:kern w:val="0"/>
          <w:sz w:val="36"/>
          <w:szCs w:val="36"/>
          <w:lang w:val="en-US" w:eastAsia="zh-CN" w:bidi="ar"/>
        </w:rPr>
        <w:t>九</w:t>
      </w:r>
      <w:r>
        <w:rPr>
          <w:rFonts w:hint="eastAsia" w:ascii="宋体" w:hAnsi="宋体" w:cs="宋体"/>
          <w:b/>
          <w:bCs/>
          <w:color w:val="auto"/>
          <w:kern w:val="0"/>
          <w:sz w:val="36"/>
          <w:szCs w:val="36"/>
          <w:lang w:bidi="ar"/>
        </w:rPr>
        <w:t>、</w:t>
      </w:r>
      <w:bookmarkEnd w:id="359"/>
      <w:bookmarkEnd w:id="360"/>
      <w:bookmarkEnd w:id="361"/>
      <w:bookmarkEnd w:id="362"/>
      <w:bookmarkEnd w:id="363"/>
      <w:bookmarkEnd w:id="364"/>
      <w:bookmarkStart w:id="366" w:name="_Toc21962"/>
      <w:bookmarkStart w:id="367" w:name="_Toc10427"/>
      <w:bookmarkStart w:id="368" w:name="_Toc2265"/>
      <w:bookmarkStart w:id="369" w:name="_Toc1221"/>
      <w:bookmarkStart w:id="370" w:name="_Toc5108"/>
      <w:r>
        <w:rPr>
          <w:rFonts w:hint="eastAsia" w:ascii="宋体" w:hAnsi="宋体" w:eastAsia="宋体" w:cs="宋体"/>
          <w:b/>
          <w:color w:val="auto"/>
          <w:sz w:val="32"/>
          <w:szCs w:val="32"/>
          <w:lang w:val="en-US" w:eastAsia="zh-CN"/>
        </w:rPr>
        <w:t>中小</w:t>
      </w:r>
      <w:r>
        <w:rPr>
          <w:rFonts w:hint="eastAsia" w:ascii="宋体" w:hAnsi="宋体" w:eastAsia="宋体" w:cs="宋体"/>
          <w:b/>
          <w:color w:val="auto"/>
          <w:sz w:val="32"/>
          <w:szCs w:val="32"/>
        </w:rPr>
        <w:t>企业、监狱企业、残疾人福利单位声明函或证明</w:t>
      </w:r>
      <w:bookmarkEnd w:id="365"/>
    </w:p>
    <w:p w14:paraId="715EE3D7">
      <w:pPr>
        <w:pStyle w:val="10"/>
        <w:outlineLvl w:val="9"/>
        <w:rPr>
          <w:rFonts w:hint="eastAsia" w:ascii="宋体" w:hAnsi="宋体" w:eastAsia="宋体" w:cs="宋体"/>
          <w:color w:val="auto"/>
          <w:lang w:val="en-US"/>
        </w:rPr>
      </w:pPr>
    </w:p>
    <w:p w14:paraId="6BBCB53F">
      <w:pPr>
        <w:spacing w:line="500" w:lineRule="exact"/>
        <w:jc w:val="center"/>
        <w:outlineLvl w:val="9"/>
        <w:rPr>
          <w:rFonts w:hint="eastAsia" w:ascii="宋体" w:hAnsi="宋体" w:eastAsia="宋体" w:cs="宋体"/>
          <w:b/>
          <w:color w:val="auto"/>
          <w:spacing w:val="6"/>
          <w:sz w:val="28"/>
          <w:szCs w:val="28"/>
        </w:rPr>
      </w:pPr>
      <w:bookmarkStart w:id="371" w:name="_Toc25215"/>
      <w:bookmarkStart w:id="372" w:name="_Toc15759"/>
      <w:bookmarkStart w:id="373" w:name="_Toc6863"/>
      <w:bookmarkStart w:id="374" w:name="_Toc8674"/>
      <w:r>
        <w:rPr>
          <w:rFonts w:hint="eastAsia" w:ascii="宋体" w:hAnsi="宋体" w:eastAsia="宋体" w:cs="宋体"/>
          <w:b/>
          <w:color w:val="auto"/>
          <w:spacing w:val="6"/>
          <w:sz w:val="28"/>
          <w:szCs w:val="28"/>
        </w:rPr>
        <w:t>1.</w:t>
      </w:r>
      <w:r>
        <w:rPr>
          <w:rFonts w:hint="eastAsia" w:ascii="宋体" w:hAnsi="宋体" w:eastAsia="宋体" w:cs="宋体"/>
          <w:b/>
          <w:color w:val="auto"/>
          <w:spacing w:val="6"/>
          <w:sz w:val="28"/>
          <w:szCs w:val="28"/>
          <w:lang w:val="en-US" w:eastAsia="zh-CN"/>
        </w:rPr>
        <w:t>中小</w:t>
      </w:r>
      <w:r>
        <w:rPr>
          <w:rFonts w:hint="eastAsia" w:ascii="宋体" w:hAnsi="宋体" w:eastAsia="宋体" w:cs="宋体"/>
          <w:b/>
          <w:color w:val="auto"/>
          <w:spacing w:val="6"/>
          <w:sz w:val="28"/>
          <w:szCs w:val="28"/>
        </w:rPr>
        <w:t>企业声明函</w:t>
      </w:r>
      <w:bookmarkEnd w:id="371"/>
      <w:bookmarkEnd w:id="372"/>
      <w:bookmarkEnd w:id="373"/>
    </w:p>
    <w:p w14:paraId="11069A34">
      <w:pPr>
        <w:spacing w:before="120" w:beforeLines="50"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本公司（联合体）郑重声明，根据《政府采购促进中小企业发展管理办法》（财库﹝2020﹞46 号）的规定，本公司（联合体）参加</w:t>
      </w:r>
      <w:r>
        <w:rPr>
          <w:rFonts w:hint="eastAsia" w:ascii="宋体" w:hAnsi="宋体" w:eastAsia="宋体" w:cs="宋体"/>
          <w:color w:val="auto"/>
          <w:sz w:val="24"/>
          <w:u w:val="single"/>
        </w:rPr>
        <w:t>（单位名称）</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rPr>
        <w:t>采购活动，</w:t>
      </w:r>
      <w:r>
        <w:rPr>
          <w:rFonts w:hint="eastAsia" w:ascii="宋体" w:hAnsi="宋体" w:eastAsia="宋体" w:cs="宋体"/>
          <w:color w:val="auto"/>
          <w:sz w:val="24"/>
          <w:lang w:val="en-US" w:eastAsia="zh-CN"/>
        </w:rPr>
        <w:t>工程的施工单位全部为符合政策要求的中小企业。相关企业（含联合体中的中小企业、签订分包意向协议的中小企业）的具体情 况如下</w:t>
      </w:r>
      <w:r>
        <w:rPr>
          <w:rFonts w:hint="eastAsia" w:ascii="宋体" w:hAnsi="宋体" w:eastAsia="宋体" w:cs="宋体"/>
          <w:color w:val="auto"/>
          <w:sz w:val="24"/>
        </w:rPr>
        <w:t>：</w:t>
      </w:r>
    </w:p>
    <w:p w14:paraId="2C98A9E5">
      <w:pPr>
        <w:spacing w:before="120" w:beforeLines="50"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 xml:space="preserve">1.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 ，属于</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（采购文件中明确的所属行业）；承</w:t>
      </w:r>
      <w:r>
        <w:rPr>
          <w:rFonts w:hint="eastAsia" w:ascii="宋体" w:hAnsi="宋体" w:eastAsia="宋体" w:cs="宋体"/>
          <w:color w:val="auto"/>
          <w:sz w:val="24"/>
          <w:lang w:eastAsia="zh-CN"/>
        </w:rPr>
        <w:t>建</w:t>
      </w:r>
      <w:r>
        <w:rPr>
          <w:rFonts w:hint="eastAsia" w:ascii="宋体" w:hAnsi="宋体" w:eastAsia="宋体" w:cs="宋体"/>
          <w:color w:val="auto"/>
          <w:sz w:val="24"/>
        </w:rPr>
        <w:t>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lang w:val="en-US" w:eastAsia="zh-CN"/>
        </w:rPr>
        <w:t>中型企业、</w:t>
      </w:r>
      <w:r>
        <w:rPr>
          <w:rFonts w:hint="eastAsia" w:ascii="宋体" w:hAnsi="宋体" w:eastAsia="宋体" w:cs="宋体"/>
          <w:color w:val="auto"/>
          <w:sz w:val="24"/>
        </w:rPr>
        <w:t>小型企业、微型企业）；</w:t>
      </w:r>
    </w:p>
    <w:p w14:paraId="4C519BB3">
      <w:pPr>
        <w:spacing w:before="120" w:beforeLines="50"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 xml:space="preserve">2.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 ，属于</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（采购文件中明确的所属行业）；承</w:t>
      </w:r>
      <w:r>
        <w:rPr>
          <w:rFonts w:hint="eastAsia" w:ascii="宋体" w:hAnsi="宋体" w:eastAsia="宋体" w:cs="宋体"/>
          <w:color w:val="auto"/>
          <w:sz w:val="24"/>
          <w:lang w:eastAsia="zh-CN"/>
        </w:rPr>
        <w:t>建</w:t>
      </w:r>
      <w:r>
        <w:rPr>
          <w:rFonts w:hint="eastAsia" w:ascii="宋体" w:hAnsi="宋体" w:eastAsia="宋体" w:cs="宋体"/>
          <w:color w:val="auto"/>
          <w:sz w:val="24"/>
        </w:rPr>
        <w:t>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lang w:val="en-US" w:eastAsia="zh-CN"/>
        </w:rPr>
        <w:t>中型企业、</w:t>
      </w:r>
      <w:r>
        <w:rPr>
          <w:rFonts w:hint="eastAsia" w:ascii="宋体" w:hAnsi="宋体" w:eastAsia="宋体" w:cs="宋体"/>
          <w:color w:val="auto"/>
          <w:sz w:val="24"/>
        </w:rPr>
        <w:t>小型企业、微型企业）；</w:t>
      </w:r>
    </w:p>
    <w:p w14:paraId="042E1B06">
      <w:pPr>
        <w:spacing w:before="120" w:beforeLines="50"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 xml:space="preserve"> ……</w:t>
      </w:r>
    </w:p>
    <w:p w14:paraId="0DDBFCFF">
      <w:pPr>
        <w:spacing w:before="120" w:beforeLines="50"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 xml:space="preserve"> 以上企业，不属于大企业的分支机构，不存在控股股东为大企业的情形，也不存在与大企业的负责人为同一人的情形。</w:t>
      </w:r>
    </w:p>
    <w:p w14:paraId="3A30AF33">
      <w:pPr>
        <w:spacing w:before="120" w:beforeLines="50"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 xml:space="preserve"> 本企业对上述声明内容的真实性负责。如有虚假，将依法承担相应责任。</w:t>
      </w:r>
    </w:p>
    <w:p w14:paraId="2F3A19F8">
      <w:pPr>
        <w:spacing w:before="120" w:beforeLines="50"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 xml:space="preserve">                                      企业名称（盖章）：</w:t>
      </w:r>
    </w:p>
    <w:p w14:paraId="0458B61F">
      <w:pPr>
        <w:spacing w:before="120" w:beforeLines="50"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 xml:space="preserve">                                      日期：</w:t>
      </w:r>
    </w:p>
    <w:p w14:paraId="031F9028">
      <w:pPr>
        <w:tabs>
          <w:tab w:val="left" w:pos="5670"/>
        </w:tabs>
        <w:outlineLvl w:val="9"/>
        <w:rPr>
          <w:rFonts w:hint="eastAsia" w:ascii="宋体" w:hAnsi="宋体" w:eastAsia="宋体" w:cs="宋体"/>
          <w:color w:val="auto"/>
          <w:sz w:val="24"/>
        </w:rPr>
      </w:pPr>
      <w:r>
        <w:rPr>
          <w:rFonts w:hint="eastAsia" w:ascii="宋体" w:hAnsi="宋体" w:eastAsia="宋体" w:cs="宋体"/>
          <w:color w:val="auto"/>
          <w:sz w:val="24"/>
        </w:rPr>
        <w:t>备注：</w:t>
      </w:r>
    </w:p>
    <w:p w14:paraId="0AEE09B3">
      <w:pPr>
        <w:tabs>
          <w:tab w:val="left" w:pos="5670"/>
        </w:tabs>
        <w:outlineLvl w:val="9"/>
        <w:rPr>
          <w:rFonts w:hint="eastAsia" w:ascii="宋体" w:hAnsi="宋体" w:eastAsia="宋体" w:cs="宋体"/>
          <w:color w:val="auto"/>
          <w:sz w:val="24"/>
        </w:rPr>
      </w:pPr>
      <w:r>
        <w:rPr>
          <w:rFonts w:hint="eastAsia" w:ascii="宋体" w:hAnsi="宋体" w:eastAsia="宋体" w:cs="宋体"/>
          <w:color w:val="auto"/>
          <w:sz w:val="24"/>
        </w:rPr>
        <w:t xml:space="preserve">从业人员、营业收入、资产总额填报上一年度数据，无上一年度数据的新成立企业可不填报。 </w:t>
      </w:r>
    </w:p>
    <w:p w14:paraId="286695C9">
      <w:pPr>
        <w:spacing w:line="500" w:lineRule="exact"/>
        <w:jc w:val="center"/>
        <w:outlineLvl w:val="9"/>
        <w:rPr>
          <w:rFonts w:hint="eastAsia" w:ascii="宋体" w:hAnsi="宋体" w:eastAsia="宋体" w:cs="宋体"/>
          <w:b/>
          <w:color w:val="auto"/>
          <w:spacing w:val="6"/>
          <w:sz w:val="28"/>
          <w:szCs w:val="28"/>
        </w:rPr>
        <w:sectPr>
          <w:footerReference r:id="rId14" w:type="default"/>
          <w:pgSz w:w="11906" w:h="16838"/>
          <w:pgMar w:top="1440" w:right="1800" w:bottom="1440" w:left="1800" w:header="851" w:footer="992" w:gutter="0"/>
          <w:pgNumType w:fmt="decimal"/>
          <w:cols w:space="720" w:num="1"/>
          <w:docGrid w:type="lines" w:linePitch="312" w:charSpace="0"/>
        </w:sectPr>
      </w:pPr>
    </w:p>
    <w:p w14:paraId="64AFEB52">
      <w:pPr>
        <w:spacing w:line="500" w:lineRule="exact"/>
        <w:jc w:val="center"/>
        <w:outlineLvl w:val="9"/>
        <w:rPr>
          <w:rFonts w:hint="eastAsia" w:ascii="宋体" w:hAnsi="宋体" w:eastAsia="宋体" w:cs="宋体"/>
          <w:b/>
          <w:color w:val="auto"/>
          <w:spacing w:val="6"/>
          <w:sz w:val="28"/>
          <w:szCs w:val="28"/>
        </w:rPr>
      </w:pPr>
      <w:r>
        <w:rPr>
          <w:rFonts w:hint="eastAsia" w:ascii="宋体" w:hAnsi="宋体" w:eastAsia="宋体" w:cs="宋体"/>
          <w:b/>
          <w:color w:val="auto"/>
          <w:spacing w:val="6"/>
          <w:sz w:val="28"/>
          <w:szCs w:val="28"/>
        </w:rPr>
        <w:t>2.残疾人福利性单位声明函</w:t>
      </w:r>
      <w:bookmarkEnd w:id="374"/>
    </w:p>
    <w:p w14:paraId="038AF577">
      <w:pPr>
        <w:spacing w:line="500" w:lineRule="exact"/>
        <w:ind w:firstLine="1200" w:firstLineChars="500"/>
        <w:outlineLvl w:val="9"/>
        <w:rPr>
          <w:rFonts w:hint="eastAsia" w:ascii="宋体" w:hAnsi="宋体" w:eastAsia="宋体" w:cs="宋体"/>
          <w:color w:val="auto"/>
          <w:sz w:val="24"/>
        </w:rPr>
      </w:pPr>
      <w:r>
        <w:rPr>
          <w:rFonts w:hint="eastAsia" w:ascii="宋体" w:hAnsi="宋体" w:eastAsia="宋体" w:cs="宋体"/>
          <w:color w:val="auto"/>
          <w:sz w:val="24"/>
        </w:rPr>
        <w:t>（注：符合条件的残疾人福利性单位请提供本函，不符合的不提供本函）</w:t>
      </w:r>
    </w:p>
    <w:p w14:paraId="3B974974">
      <w:pPr>
        <w:pStyle w:val="10"/>
        <w:outlineLvl w:val="9"/>
        <w:rPr>
          <w:rFonts w:hint="eastAsia" w:ascii="宋体" w:hAnsi="宋体" w:eastAsia="宋体" w:cs="宋体"/>
          <w:color w:val="auto"/>
        </w:rPr>
      </w:pPr>
    </w:p>
    <w:p w14:paraId="4395028E">
      <w:pPr>
        <w:spacing w:line="500" w:lineRule="exact"/>
        <w:ind w:firstLine="504" w:firstLineChars="200"/>
        <w:outlineLvl w:val="9"/>
        <w:rPr>
          <w:rFonts w:hint="eastAsia" w:ascii="宋体" w:hAnsi="宋体" w:eastAsia="宋体" w:cs="宋体"/>
          <w:color w:val="auto"/>
          <w:spacing w:val="6"/>
          <w:sz w:val="24"/>
        </w:rPr>
      </w:pPr>
      <w:r>
        <w:rPr>
          <w:rFonts w:hint="eastAsia" w:ascii="宋体" w:hAnsi="宋体" w:eastAsia="宋体" w:cs="宋体"/>
          <w:color w:val="auto"/>
          <w:spacing w:val="6"/>
          <w:sz w:val="24"/>
        </w:rPr>
        <w:t>本单位郑重声明，根据《财政部 民政部 中国残疾人联合会关于促进残疾人就业政府采购政策的通知》（财库</w:t>
      </w:r>
      <w:r>
        <w:rPr>
          <w:rFonts w:hint="eastAsia" w:ascii="宋体" w:hAnsi="宋体" w:eastAsia="宋体" w:cs="宋体"/>
          <w:color w:val="auto"/>
          <w:sz w:val="24"/>
        </w:rPr>
        <w:t>〔2017〕 141</w:t>
      </w:r>
      <w:r>
        <w:rPr>
          <w:rFonts w:hint="eastAsia" w:ascii="宋体" w:hAnsi="宋体" w:eastAsia="宋体" w:cs="宋体"/>
          <w:color w:val="auto"/>
          <w:spacing w:val="6"/>
          <w:sz w:val="24"/>
        </w:rPr>
        <w:t>号）的规定，本单位为符合条件的残疾人福利性单位，且本单位参加</w:t>
      </w:r>
      <w:r>
        <w:rPr>
          <w:rFonts w:hint="eastAsia" w:ascii="宋体" w:hAnsi="宋体" w:eastAsia="宋体" w:cs="宋体"/>
          <w:color w:val="auto"/>
          <w:sz w:val="24"/>
          <w:u w:val="single"/>
        </w:rPr>
        <w:t xml:space="preserve">            </w:t>
      </w:r>
      <w:r>
        <w:rPr>
          <w:rFonts w:hint="eastAsia" w:ascii="宋体" w:hAnsi="宋体" w:eastAsia="宋体" w:cs="宋体"/>
          <w:color w:val="auto"/>
          <w:spacing w:val="6"/>
          <w:sz w:val="24"/>
        </w:rPr>
        <w:t>单位的</w:t>
      </w:r>
      <w:r>
        <w:rPr>
          <w:rFonts w:hint="eastAsia" w:ascii="宋体" w:hAnsi="宋体" w:eastAsia="宋体" w:cs="宋体"/>
          <w:b/>
          <w:bCs/>
          <w:color w:val="auto"/>
          <w:spacing w:val="6"/>
          <w:sz w:val="24"/>
          <w:u w:val="single"/>
        </w:rPr>
        <w:t xml:space="preserve">         </w:t>
      </w:r>
      <w:r>
        <w:rPr>
          <w:rFonts w:hint="eastAsia" w:ascii="宋体" w:hAnsi="宋体" w:eastAsia="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14:paraId="5A2FCFD3">
      <w:pPr>
        <w:spacing w:line="500" w:lineRule="exact"/>
        <w:ind w:firstLine="504" w:firstLineChars="200"/>
        <w:outlineLvl w:val="9"/>
        <w:rPr>
          <w:rFonts w:hint="eastAsia" w:ascii="宋体" w:hAnsi="宋体" w:eastAsia="宋体" w:cs="宋体"/>
          <w:color w:val="auto"/>
          <w:spacing w:val="6"/>
          <w:sz w:val="24"/>
        </w:rPr>
      </w:pPr>
      <w:r>
        <w:rPr>
          <w:rFonts w:hint="eastAsia" w:ascii="宋体" w:hAnsi="宋体" w:eastAsia="宋体" w:cs="宋体"/>
          <w:color w:val="auto"/>
          <w:spacing w:val="6"/>
          <w:sz w:val="24"/>
        </w:rPr>
        <w:t>本单位对上述声明的真实性负责。如有虚假，将依法承担相应责任。</w:t>
      </w:r>
    </w:p>
    <w:p w14:paraId="21D0162A">
      <w:pPr>
        <w:spacing w:line="500" w:lineRule="exact"/>
        <w:outlineLvl w:val="9"/>
        <w:rPr>
          <w:rFonts w:hint="eastAsia" w:ascii="宋体" w:hAnsi="宋体" w:eastAsia="宋体" w:cs="宋体"/>
          <w:color w:val="auto"/>
          <w:spacing w:val="6"/>
          <w:sz w:val="24"/>
        </w:rPr>
      </w:pPr>
    </w:p>
    <w:p w14:paraId="1C38AA57">
      <w:pPr>
        <w:tabs>
          <w:tab w:val="left" w:pos="4860"/>
        </w:tabs>
        <w:spacing w:line="500" w:lineRule="exact"/>
        <w:ind w:right="1560" w:firstLine="504" w:firstLineChars="200"/>
        <w:jc w:val="center"/>
        <w:outlineLvl w:val="9"/>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                                  单位名称（盖章）：</w:t>
      </w:r>
    </w:p>
    <w:p w14:paraId="6A9C68C7">
      <w:pPr>
        <w:adjustRightInd w:val="0"/>
        <w:snapToGrid w:val="0"/>
        <w:spacing w:line="500" w:lineRule="exact"/>
        <w:ind w:firstLine="630" w:firstLineChars="250"/>
        <w:outlineLvl w:val="9"/>
        <w:rPr>
          <w:rFonts w:hint="eastAsia" w:ascii="宋体" w:hAnsi="宋体" w:eastAsia="宋体" w:cs="宋体"/>
          <w:color w:val="auto"/>
          <w:szCs w:val="21"/>
        </w:rPr>
      </w:pPr>
      <w:r>
        <w:rPr>
          <w:rFonts w:hint="eastAsia" w:ascii="宋体" w:hAnsi="宋体" w:eastAsia="宋体" w:cs="宋体"/>
          <w:color w:val="auto"/>
          <w:spacing w:val="6"/>
          <w:sz w:val="24"/>
        </w:rPr>
        <w:t xml:space="preserve">                                         日  期：</w:t>
      </w:r>
    </w:p>
    <w:p w14:paraId="28642FB7">
      <w:pPr>
        <w:adjustRightInd w:val="0"/>
        <w:snapToGrid w:val="0"/>
        <w:spacing w:line="500" w:lineRule="exact"/>
        <w:outlineLvl w:val="9"/>
        <w:rPr>
          <w:rFonts w:hint="eastAsia" w:ascii="宋体" w:hAnsi="宋体" w:eastAsia="宋体" w:cs="宋体"/>
          <w:color w:val="auto"/>
          <w:szCs w:val="21"/>
        </w:rPr>
      </w:pPr>
    </w:p>
    <w:p w14:paraId="3B710114">
      <w:pPr>
        <w:tabs>
          <w:tab w:val="left" w:pos="5670"/>
        </w:tabs>
        <w:ind w:firstLine="566"/>
        <w:outlineLvl w:val="9"/>
        <w:rPr>
          <w:rFonts w:hint="eastAsia" w:ascii="宋体" w:hAnsi="宋体" w:eastAsia="宋体" w:cs="宋体"/>
          <w:color w:val="auto"/>
          <w:szCs w:val="21"/>
        </w:rPr>
      </w:pPr>
      <w:r>
        <w:rPr>
          <w:rFonts w:hint="eastAsia" w:ascii="宋体" w:hAnsi="宋体" w:eastAsia="宋体" w:cs="宋体"/>
          <w:b/>
          <w:bCs/>
          <w:color w:val="auto"/>
          <w:szCs w:val="21"/>
        </w:rPr>
        <w:t>备注：</w:t>
      </w:r>
      <w:r>
        <w:rPr>
          <w:rFonts w:hint="eastAsia" w:ascii="宋体" w:hAnsi="宋体" w:eastAsia="宋体" w:cs="宋体"/>
          <w:color w:val="auto"/>
          <w:szCs w:val="21"/>
        </w:rPr>
        <w:t>项目不分标段的，第___标段空白处填写“/”。</w:t>
      </w:r>
    </w:p>
    <w:p w14:paraId="470481D2">
      <w:pPr>
        <w:tabs>
          <w:tab w:val="left" w:pos="5670"/>
        </w:tabs>
        <w:ind w:firstLine="566"/>
        <w:outlineLvl w:val="9"/>
        <w:rPr>
          <w:rFonts w:hint="eastAsia" w:ascii="宋体" w:hAnsi="宋体" w:eastAsia="宋体" w:cs="宋体"/>
          <w:color w:val="auto"/>
          <w:szCs w:val="21"/>
        </w:rPr>
      </w:pPr>
      <w:r>
        <w:rPr>
          <w:rFonts w:hint="eastAsia" w:ascii="宋体" w:hAnsi="宋体" w:eastAsia="宋体" w:cs="宋体"/>
          <w:color w:val="auto"/>
          <w:szCs w:val="21"/>
        </w:rPr>
        <w:t>根据《财政部 民政部 中国残疾人联合会关于促进残疾人就业政府采购政策的通知》（财库〔2017〕141号）的规定：</w:t>
      </w:r>
    </w:p>
    <w:p w14:paraId="5EC89EC2">
      <w:pPr>
        <w:tabs>
          <w:tab w:val="left" w:pos="5670"/>
        </w:tabs>
        <w:ind w:firstLine="420" w:firstLineChars="200"/>
        <w:outlineLvl w:val="9"/>
        <w:rPr>
          <w:rFonts w:hint="eastAsia" w:ascii="宋体" w:hAnsi="宋体" w:eastAsia="宋体" w:cs="宋体"/>
          <w:color w:val="auto"/>
          <w:szCs w:val="21"/>
        </w:rPr>
      </w:pPr>
      <w:r>
        <w:rPr>
          <w:rFonts w:hint="eastAsia" w:ascii="宋体" w:hAnsi="宋体" w:eastAsia="宋体" w:cs="宋体"/>
          <w:color w:val="auto"/>
          <w:szCs w:val="21"/>
        </w:rPr>
        <w:t>一、享受政府采购支持政策的残疾人福利性单位应当同时满足以下条件：</w:t>
      </w:r>
    </w:p>
    <w:p w14:paraId="1A7B14E2">
      <w:pPr>
        <w:tabs>
          <w:tab w:val="left" w:pos="5670"/>
        </w:tabs>
        <w:ind w:firstLine="566"/>
        <w:outlineLvl w:val="9"/>
        <w:rPr>
          <w:rFonts w:hint="eastAsia" w:ascii="宋体" w:hAnsi="宋体" w:eastAsia="宋体" w:cs="宋体"/>
          <w:color w:val="auto"/>
          <w:szCs w:val="21"/>
        </w:rPr>
      </w:pPr>
      <w:r>
        <w:rPr>
          <w:rFonts w:hint="eastAsia" w:ascii="宋体" w:hAnsi="宋体" w:eastAsia="宋体" w:cs="宋体"/>
          <w:color w:val="auto"/>
          <w:szCs w:val="21"/>
        </w:rPr>
        <w:t>（一）安置的残疾人占本单位在职职工人数的比例不低于25%（含25%），并且安置的残疾人人数不少于10人（含10人）；</w:t>
      </w:r>
    </w:p>
    <w:p w14:paraId="47E57288">
      <w:pPr>
        <w:tabs>
          <w:tab w:val="left" w:pos="5670"/>
        </w:tabs>
        <w:ind w:firstLine="566"/>
        <w:outlineLvl w:val="9"/>
        <w:rPr>
          <w:rFonts w:hint="eastAsia" w:ascii="宋体" w:hAnsi="宋体" w:eastAsia="宋体" w:cs="宋体"/>
          <w:color w:val="auto"/>
          <w:szCs w:val="21"/>
        </w:rPr>
      </w:pPr>
      <w:r>
        <w:rPr>
          <w:rFonts w:hint="eastAsia" w:ascii="宋体" w:hAnsi="宋体" w:eastAsia="宋体" w:cs="宋体"/>
          <w:color w:val="auto"/>
          <w:szCs w:val="21"/>
        </w:rPr>
        <w:t>（二）依法与安置的每位残疾人签订了一年以上（含一年）的劳动合同或服务协议；</w:t>
      </w:r>
    </w:p>
    <w:p w14:paraId="202E0848">
      <w:pPr>
        <w:tabs>
          <w:tab w:val="left" w:pos="5670"/>
        </w:tabs>
        <w:ind w:firstLine="566"/>
        <w:outlineLvl w:val="9"/>
        <w:rPr>
          <w:rFonts w:hint="eastAsia" w:ascii="宋体" w:hAnsi="宋体" w:eastAsia="宋体" w:cs="宋体"/>
          <w:color w:val="auto"/>
          <w:szCs w:val="21"/>
        </w:rPr>
      </w:pPr>
      <w:r>
        <w:rPr>
          <w:rFonts w:hint="eastAsia" w:ascii="宋体" w:hAnsi="宋体" w:eastAsia="宋体" w:cs="宋体"/>
          <w:color w:val="auto"/>
          <w:szCs w:val="21"/>
        </w:rPr>
        <w:t>（三）为安置的每位残疾人按月足额缴纳了基本养老保险、基本医疗保险、失业保险、工伤保险和生育保险等社会保险费；</w:t>
      </w:r>
    </w:p>
    <w:p w14:paraId="4AF751FC">
      <w:pPr>
        <w:tabs>
          <w:tab w:val="left" w:pos="5670"/>
        </w:tabs>
        <w:ind w:firstLine="566"/>
        <w:outlineLvl w:val="9"/>
        <w:rPr>
          <w:rFonts w:hint="eastAsia" w:ascii="宋体" w:hAnsi="宋体" w:eastAsia="宋体" w:cs="宋体"/>
          <w:color w:val="auto"/>
          <w:szCs w:val="21"/>
        </w:rPr>
      </w:pPr>
      <w:r>
        <w:rPr>
          <w:rFonts w:hint="eastAsia" w:ascii="宋体" w:hAnsi="宋体" w:eastAsia="宋体" w:cs="宋体"/>
          <w:color w:val="auto"/>
          <w:szCs w:val="21"/>
        </w:rPr>
        <w:t>（四）通过银行等金融机构向安置的每位残疾人，按月支付了不低于单位所在区县适用的经省级人民政府批准的月最低工资标准的工资；</w:t>
      </w:r>
    </w:p>
    <w:p w14:paraId="0352FA04">
      <w:pPr>
        <w:tabs>
          <w:tab w:val="left" w:pos="5670"/>
        </w:tabs>
        <w:ind w:firstLine="566"/>
        <w:outlineLvl w:val="9"/>
        <w:rPr>
          <w:rFonts w:hint="eastAsia" w:ascii="宋体" w:hAnsi="宋体" w:eastAsia="宋体" w:cs="宋体"/>
          <w:color w:val="auto"/>
          <w:szCs w:val="21"/>
        </w:rPr>
      </w:pPr>
      <w:r>
        <w:rPr>
          <w:rFonts w:hint="eastAsia" w:ascii="宋体" w:hAnsi="宋体" w:eastAsia="宋体" w:cs="宋体"/>
          <w:color w:val="auto"/>
          <w:szCs w:val="21"/>
        </w:rPr>
        <w:t>（五）提供本单位承担的服务（以下简称产品），或者提供其他残疾人福利性单位提供的服。</w:t>
      </w:r>
    </w:p>
    <w:p w14:paraId="625B8471">
      <w:pPr>
        <w:tabs>
          <w:tab w:val="left" w:pos="5670"/>
        </w:tabs>
        <w:ind w:firstLine="566"/>
        <w:outlineLvl w:val="9"/>
        <w:rPr>
          <w:rFonts w:hint="eastAsia" w:ascii="宋体" w:hAnsi="宋体" w:eastAsia="宋体" w:cs="宋体"/>
          <w:color w:val="auto"/>
          <w:szCs w:val="21"/>
        </w:rPr>
      </w:pPr>
      <w:r>
        <w:rPr>
          <w:rFonts w:hint="eastAsia" w:ascii="宋体" w:hAnsi="宋体" w:eastAsia="宋体" w:cs="宋体"/>
          <w:color w:val="auto"/>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C9B27EA">
      <w:pPr>
        <w:tabs>
          <w:tab w:val="left" w:pos="5670"/>
        </w:tabs>
        <w:ind w:firstLine="420" w:firstLineChars="200"/>
        <w:outlineLvl w:val="9"/>
        <w:rPr>
          <w:rFonts w:hint="eastAsia" w:ascii="宋体" w:hAnsi="宋体" w:eastAsia="宋体" w:cs="宋体"/>
          <w:color w:val="auto"/>
          <w:szCs w:val="21"/>
        </w:rPr>
      </w:pPr>
      <w:r>
        <w:rPr>
          <w:rFonts w:hint="eastAsia" w:ascii="宋体" w:hAnsi="宋体" w:eastAsia="宋体" w:cs="宋体"/>
          <w:color w:val="auto"/>
          <w:szCs w:val="21"/>
        </w:rPr>
        <w:t>二、中标、成交供应商为残疾人福利性单位的，采购人或者其委托的采购代理机构应当随中标、成交结果同时公告其《残疾人福利性单位声明函》，接受社会监督。</w:t>
      </w:r>
    </w:p>
    <w:p w14:paraId="63C0FEEA">
      <w:pPr>
        <w:tabs>
          <w:tab w:val="left" w:pos="5670"/>
        </w:tabs>
        <w:jc w:val="center"/>
        <w:outlineLvl w:val="9"/>
        <w:rPr>
          <w:rFonts w:hint="eastAsia" w:ascii="宋体" w:hAnsi="宋体" w:eastAsia="宋体" w:cs="宋体"/>
          <w:b/>
          <w:color w:val="auto"/>
          <w:spacing w:val="6"/>
          <w:sz w:val="28"/>
          <w:szCs w:val="28"/>
        </w:rPr>
      </w:pPr>
      <w:r>
        <w:rPr>
          <w:rFonts w:hint="eastAsia" w:ascii="宋体" w:hAnsi="宋体" w:eastAsia="宋体" w:cs="宋体"/>
          <w:b/>
          <w:bCs/>
          <w:color w:val="auto"/>
          <w:sz w:val="36"/>
          <w:szCs w:val="36"/>
        </w:rPr>
        <w:br w:type="page"/>
      </w:r>
      <w:bookmarkStart w:id="375" w:name="_Toc23398"/>
      <w:r>
        <w:rPr>
          <w:rFonts w:hint="eastAsia" w:ascii="宋体" w:hAnsi="宋体" w:eastAsia="宋体" w:cs="宋体"/>
          <w:b/>
          <w:bCs/>
          <w:color w:val="auto"/>
          <w:sz w:val="28"/>
          <w:szCs w:val="28"/>
        </w:rPr>
        <w:t>3.</w:t>
      </w:r>
      <w:r>
        <w:rPr>
          <w:rFonts w:hint="eastAsia" w:ascii="宋体" w:hAnsi="宋体" w:eastAsia="宋体" w:cs="宋体"/>
          <w:b/>
          <w:color w:val="auto"/>
          <w:spacing w:val="6"/>
          <w:sz w:val="28"/>
          <w:szCs w:val="28"/>
        </w:rPr>
        <w:t>监狱企业证明函</w:t>
      </w:r>
      <w:bookmarkEnd w:id="375"/>
    </w:p>
    <w:p w14:paraId="49034D5D">
      <w:pPr>
        <w:jc w:val="center"/>
        <w:outlineLvl w:val="9"/>
        <w:rPr>
          <w:rFonts w:hint="eastAsia" w:ascii="宋体" w:hAnsi="宋体" w:eastAsia="宋体" w:cs="宋体"/>
          <w:color w:val="auto"/>
          <w:sz w:val="24"/>
        </w:rPr>
      </w:pPr>
      <w:r>
        <w:rPr>
          <w:rFonts w:hint="eastAsia" w:ascii="宋体" w:hAnsi="宋体" w:eastAsia="宋体" w:cs="宋体"/>
          <w:color w:val="auto"/>
          <w:sz w:val="24"/>
        </w:rPr>
        <w:t>（注：符合条件的监狱企业请提供本函，不符合的不提供本函）</w:t>
      </w:r>
    </w:p>
    <w:p w14:paraId="5AF84A55">
      <w:pPr>
        <w:outlineLvl w:val="9"/>
        <w:rPr>
          <w:rFonts w:hint="eastAsia" w:ascii="宋体" w:hAnsi="宋体" w:eastAsia="宋体" w:cs="宋体"/>
          <w:color w:val="auto"/>
        </w:rPr>
      </w:pPr>
    </w:p>
    <w:p w14:paraId="11D08E5D">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监狱企业参加政府采购活动，要求享受相关优惠政策的，应当提供由省级以上监狱管理局、戒毒管理局（含新疆生产建设兵团）出具的属于监狱企业的证明文件。</w:t>
      </w:r>
    </w:p>
    <w:p w14:paraId="5E8AE2AA">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备注：财政部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D050DE">
      <w:pPr>
        <w:pStyle w:val="23"/>
        <w:ind w:firstLine="183"/>
        <w:outlineLvl w:val="9"/>
        <w:rPr>
          <w:rFonts w:hint="eastAsia" w:ascii="宋体" w:hAnsi="宋体" w:eastAsia="宋体" w:cs="宋体"/>
          <w:color w:val="auto"/>
        </w:rPr>
      </w:pPr>
    </w:p>
    <w:p w14:paraId="074D7FCF">
      <w:pPr>
        <w:outlineLvl w:val="9"/>
        <w:rPr>
          <w:rFonts w:hint="eastAsia" w:ascii="宋体" w:hAnsi="宋体" w:eastAsia="宋体" w:cs="宋体"/>
          <w:color w:val="auto"/>
        </w:rPr>
      </w:pPr>
    </w:p>
    <w:p w14:paraId="04911CA9">
      <w:pPr>
        <w:outlineLvl w:val="9"/>
        <w:rPr>
          <w:rFonts w:hint="eastAsia" w:ascii="宋体" w:hAnsi="宋体" w:eastAsia="宋体" w:cs="宋体"/>
          <w:color w:val="auto"/>
        </w:rPr>
      </w:pPr>
    </w:p>
    <w:p w14:paraId="603BB7BE">
      <w:pPr>
        <w:outlineLvl w:val="9"/>
        <w:rPr>
          <w:rFonts w:hint="eastAsia" w:ascii="宋体" w:hAnsi="宋体" w:eastAsia="宋体" w:cs="宋体"/>
          <w:color w:val="auto"/>
        </w:rPr>
      </w:pPr>
    </w:p>
    <w:p w14:paraId="7CE5313E">
      <w:pPr>
        <w:outlineLvl w:val="9"/>
        <w:rPr>
          <w:rFonts w:hint="eastAsia" w:ascii="宋体" w:hAnsi="宋体" w:eastAsia="宋体" w:cs="宋体"/>
          <w:color w:val="auto"/>
        </w:rPr>
      </w:pPr>
    </w:p>
    <w:p w14:paraId="2A53AF41">
      <w:pPr>
        <w:outlineLvl w:val="9"/>
        <w:rPr>
          <w:rFonts w:hint="eastAsia" w:ascii="宋体" w:hAnsi="宋体" w:eastAsia="宋体" w:cs="宋体"/>
          <w:color w:val="auto"/>
        </w:rPr>
      </w:pPr>
    </w:p>
    <w:p w14:paraId="252D5BB2">
      <w:pPr>
        <w:outlineLvl w:val="9"/>
        <w:rPr>
          <w:rFonts w:hint="eastAsia" w:ascii="宋体" w:hAnsi="宋体" w:eastAsia="宋体" w:cs="宋体"/>
          <w:color w:val="auto"/>
        </w:rPr>
      </w:pPr>
    </w:p>
    <w:p w14:paraId="0BE7D29A">
      <w:pPr>
        <w:widowControl/>
        <w:jc w:val="left"/>
        <w:outlineLvl w:val="9"/>
        <w:rPr>
          <w:rFonts w:hint="eastAsia" w:ascii="宋体" w:hAnsi="宋体" w:eastAsia="宋体" w:cs="宋体"/>
          <w:color w:val="auto"/>
          <w:kern w:val="0"/>
          <w:sz w:val="24"/>
          <w:u w:val="single"/>
        </w:rPr>
      </w:pPr>
      <w:r>
        <w:rPr>
          <w:rFonts w:hint="eastAsia" w:ascii="宋体" w:hAnsi="宋体" w:eastAsia="宋体" w:cs="宋体"/>
          <w:color w:val="auto"/>
        </w:rPr>
        <w:tab/>
      </w:r>
      <w:r>
        <w:rPr>
          <w:rFonts w:hint="eastAsia" w:ascii="宋体" w:hAnsi="宋体" w:eastAsia="宋体" w:cs="宋体"/>
          <w:color w:val="auto"/>
        </w:rPr>
        <w:t xml:space="preserve"> </w:t>
      </w:r>
      <w:r>
        <w:rPr>
          <w:rFonts w:hint="eastAsia" w:ascii="宋体" w:hAnsi="宋体" w:eastAsia="宋体" w:cs="宋体"/>
          <w:color w:val="auto"/>
          <w:kern w:val="0"/>
          <w:sz w:val="24"/>
        </w:rPr>
        <w:t>供应商（盖章）：</w:t>
      </w:r>
      <w:r>
        <w:rPr>
          <w:rFonts w:hint="eastAsia" w:ascii="宋体" w:hAnsi="宋体" w:eastAsia="宋体" w:cs="宋体"/>
          <w:color w:val="auto"/>
          <w:kern w:val="0"/>
          <w:sz w:val="24"/>
          <w:u w:val="single"/>
        </w:rPr>
        <w:t xml:space="preserve">                    </w:t>
      </w:r>
    </w:p>
    <w:p w14:paraId="556E45E6">
      <w:pPr>
        <w:widowControl/>
        <w:ind w:firstLine="482"/>
        <w:jc w:val="left"/>
        <w:outlineLvl w:val="9"/>
        <w:rPr>
          <w:rFonts w:hint="eastAsia" w:ascii="宋体" w:hAnsi="宋体" w:eastAsia="宋体" w:cs="宋体"/>
          <w:color w:val="auto"/>
          <w:kern w:val="0"/>
          <w:sz w:val="24"/>
        </w:rPr>
      </w:pPr>
    </w:p>
    <w:p w14:paraId="221D1CB7">
      <w:pPr>
        <w:widowControl/>
        <w:ind w:firstLine="480" w:firstLineChars="200"/>
        <w:jc w:val="left"/>
        <w:outlineLvl w:val="9"/>
        <w:rPr>
          <w:rFonts w:hint="eastAsia" w:ascii="宋体" w:hAnsi="宋体" w:eastAsia="宋体" w:cs="宋体"/>
          <w:color w:val="auto"/>
          <w:kern w:val="0"/>
          <w:sz w:val="24"/>
          <w:u w:val="single"/>
        </w:rPr>
      </w:pPr>
      <w:r>
        <w:rPr>
          <w:rFonts w:hint="eastAsia" w:ascii="宋体" w:hAnsi="宋体" w:eastAsia="宋体" w:cs="宋体"/>
          <w:color w:val="auto"/>
          <w:kern w:val="0"/>
          <w:sz w:val="24"/>
        </w:rPr>
        <w:t>承诺人（签字）：</w:t>
      </w:r>
      <w:r>
        <w:rPr>
          <w:rFonts w:hint="eastAsia" w:ascii="宋体" w:hAnsi="宋体" w:eastAsia="宋体" w:cs="宋体"/>
          <w:color w:val="auto"/>
          <w:kern w:val="0"/>
          <w:sz w:val="24"/>
          <w:u w:val="single"/>
        </w:rPr>
        <w:t xml:space="preserve">                 </w:t>
      </w:r>
    </w:p>
    <w:p w14:paraId="1B8917A1">
      <w:pPr>
        <w:widowControl/>
        <w:ind w:firstLine="482"/>
        <w:jc w:val="left"/>
        <w:outlineLvl w:val="9"/>
        <w:rPr>
          <w:rFonts w:hint="eastAsia" w:ascii="宋体" w:hAnsi="宋体" w:eastAsia="宋体" w:cs="宋体"/>
          <w:color w:val="auto"/>
          <w:kern w:val="0"/>
          <w:sz w:val="24"/>
          <w:u w:val="single"/>
        </w:rPr>
      </w:pPr>
    </w:p>
    <w:p w14:paraId="1EF735F8">
      <w:pPr>
        <w:widowControl/>
        <w:ind w:firstLine="480" w:firstLineChars="200"/>
        <w:jc w:val="left"/>
        <w:outlineLvl w:val="9"/>
        <w:rPr>
          <w:rFonts w:hint="eastAsia" w:ascii="宋体" w:hAnsi="宋体" w:eastAsia="宋体" w:cs="宋体"/>
          <w:color w:val="auto"/>
          <w:kern w:val="0"/>
          <w:sz w:val="24"/>
        </w:rPr>
      </w:pPr>
      <w:r>
        <w:rPr>
          <w:rFonts w:hint="eastAsia" w:ascii="宋体" w:hAnsi="宋体" w:eastAsia="宋体" w:cs="宋体"/>
          <w:color w:val="auto"/>
          <w:kern w:val="0"/>
          <w:sz w:val="24"/>
        </w:rPr>
        <w:t>承诺时间：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日</w:t>
      </w:r>
    </w:p>
    <w:p w14:paraId="2FD33ED4">
      <w:pPr>
        <w:pStyle w:val="16"/>
        <w:outlineLvl w:val="9"/>
        <w:rPr>
          <w:rFonts w:hint="eastAsia" w:ascii="宋体" w:hAnsi="宋体" w:eastAsia="宋体" w:cs="宋体"/>
          <w:color w:val="auto"/>
          <w:kern w:val="0"/>
          <w:sz w:val="24"/>
        </w:rPr>
      </w:pPr>
    </w:p>
    <w:p w14:paraId="29C7B5F3">
      <w:pPr>
        <w:kinsoku w:val="0"/>
        <w:spacing w:line="360" w:lineRule="auto"/>
        <w:ind w:firstLine="1205" w:firstLineChars="500"/>
        <w:outlineLvl w:val="9"/>
        <w:rPr>
          <w:rFonts w:hint="eastAsia" w:ascii="宋体" w:hAnsi="宋体" w:cs="宋体"/>
          <w:b/>
          <w:bCs/>
          <w:color w:val="auto"/>
          <w:sz w:val="24"/>
          <w:szCs w:val="24"/>
        </w:rPr>
      </w:pPr>
    </w:p>
    <w:p w14:paraId="691A6DE1">
      <w:pPr>
        <w:spacing w:line="240" w:lineRule="auto"/>
        <w:jc w:val="center"/>
        <w:outlineLvl w:val="9"/>
        <w:rPr>
          <w:rFonts w:hint="eastAsia"/>
          <w:color w:val="auto"/>
          <w:sz w:val="36"/>
          <w:szCs w:val="16"/>
        </w:rPr>
      </w:pPr>
    </w:p>
    <w:p w14:paraId="591C4FD2">
      <w:pPr>
        <w:outlineLvl w:val="9"/>
        <w:rPr>
          <w:rFonts w:hint="eastAsia"/>
          <w:color w:val="auto"/>
          <w:sz w:val="36"/>
          <w:szCs w:val="16"/>
        </w:rPr>
      </w:pPr>
    </w:p>
    <w:p w14:paraId="42063F29">
      <w:pPr>
        <w:pStyle w:val="10"/>
        <w:outlineLvl w:val="9"/>
        <w:rPr>
          <w:rFonts w:hint="eastAsia"/>
          <w:color w:val="auto"/>
          <w:sz w:val="36"/>
          <w:szCs w:val="16"/>
        </w:rPr>
      </w:pPr>
    </w:p>
    <w:bookmarkEnd w:id="366"/>
    <w:bookmarkEnd w:id="367"/>
    <w:bookmarkEnd w:id="368"/>
    <w:bookmarkEnd w:id="369"/>
    <w:bookmarkEnd w:id="370"/>
    <w:p w14:paraId="2DD691A1">
      <w:pPr>
        <w:pStyle w:val="10"/>
        <w:outlineLvl w:val="9"/>
        <w:rPr>
          <w:rFonts w:hint="eastAsia" w:ascii="宋体" w:hAnsi="宋体" w:cs="宋体"/>
          <w:color w:val="auto"/>
          <w:sz w:val="36"/>
          <w:szCs w:val="36"/>
        </w:rPr>
      </w:pPr>
      <w:bookmarkStart w:id="376" w:name="_Toc8066"/>
      <w:bookmarkStart w:id="377" w:name="_Toc2007"/>
      <w:bookmarkStart w:id="378" w:name="_Toc3658"/>
    </w:p>
    <w:p w14:paraId="74EF05ED">
      <w:pPr>
        <w:outlineLvl w:val="9"/>
        <w:rPr>
          <w:rFonts w:hint="eastAsia" w:ascii="宋体" w:hAnsi="宋体" w:cs="宋体"/>
          <w:color w:val="auto"/>
          <w:sz w:val="36"/>
          <w:szCs w:val="36"/>
        </w:rPr>
      </w:pPr>
    </w:p>
    <w:p w14:paraId="44FB4206">
      <w:pPr>
        <w:pStyle w:val="10"/>
        <w:outlineLvl w:val="9"/>
        <w:rPr>
          <w:rFonts w:hint="eastAsia" w:ascii="宋体" w:hAnsi="宋体" w:cs="宋体"/>
          <w:color w:val="auto"/>
          <w:sz w:val="36"/>
          <w:szCs w:val="36"/>
        </w:rPr>
      </w:pPr>
    </w:p>
    <w:bookmarkEnd w:id="376"/>
    <w:bookmarkEnd w:id="377"/>
    <w:bookmarkEnd w:id="378"/>
    <w:p w14:paraId="6F8D52B9">
      <w:pPr>
        <w:rPr>
          <w:rFonts w:hint="eastAsia"/>
          <w:color w:val="auto"/>
          <w:lang w:eastAsia="zh-CN"/>
        </w:rPr>
      </w:pPr>
    </w:p>
    <w:sectPr>
      <w:headerReference r:id="rId15" w:type="default"/>
      <w:footerReference r:id="rId16" w:type="default"/>
      <w:footnotePr>
        <w:pos w:val="beneathText"/>
      </w:footnotePr>
      <w:pgSz w:w="11906" w:h="16838"/>
      <w:pgMar w:top="1440" w:right="1531" w:bottom="1440" w:left="1531" w:header="720" w:footer="720"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思源宋体 CN Light">
    <w:altName w:val="宋体"/>
    <w:panose1 w:val="02020300000000000000"/>
    <w:charset w:val="86"/>
    <w:family w:val="auto"/>
    <w:pitch w:val="default"/>
    <w:sig w:usb0="00000000" w:usb1="00000000" w:usb2="00000016" w:usb3="00000000" w:csb0="60060107" w:csb1="00000000"/>
  </w:font>
  <w:font w:nam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D09CD">
    <w:pPr>
      <w:pStyle w:val="16"/>
      <w:tabs>
        <w:tab w:val="center" w:pos="4365"/>
        <w:tab w:val="clear" w:pos="4153"/>
      </w:tabs>
      <w:ind w:right="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70E5E">
    <w:pPr>
      <w:pStyle w:val="16"/>
      <w:tabs>
        <w:tab w:val="center" w:pos="4365"/>
        <w:tab w:val="clear" w:pos="4153"/>
      </w:tabs>
      <w:ind w:right="360"/>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8A3CB">
    <w:pPr>
      <w:pStyle w:val="16"/>
      <w:jc w:val="center"/>
    </w:pPr>
    <w:r>
      <w:fldChar w:fldCharType="begin"/>
    </w:r>
    <w:r>
      <w:instrText xml:space="preserve">PAGE   \* MERGEFORMAT</w:instrText>
    </w:r>
    <w:r>
      <w:fldChar w:fldCharType="separate"/>
    </w:r>
    <w:r>
      <w:rPr>
        <w:lang w:val="zh-CN"/>
      </w:rPr>
      <w:t>-</w:t>
    </w:r>
    <w:r>
      <w:t xml:space="preserve"> 3 -</w:t>
    </w:r>
    <w:r>
      <w:fldChar w:fldCharType="end"/>
    </w:r>
  </w:p>
  <w:p w14:paraId="175FED12">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4F8A7">
    <w:pPr>
      <w:pStyle w:val="16"/>
      <w:tabs>
        <w:tab w:val="center" w:pos="4365"/>
        <w:tab w:val="clear" w:pos="4153"/>
      </w:tabs>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0402F">
                          <w:pPr>
                            <w:pStyle w:val="1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1240402F">
                    <w:pPr>
                      <w:pStyle w:val="16"/>
                    </w:pPr>
                    <w:r>
                      <w:fldChar w:fldCharType="begin"/>
                    </w:r>
                    <w:r>
                      <w:instrText xml:space="preserve"> PAGE  \* MERGEFORMAT </w:instrText>
                    </w:r>
                    <w:r>
                      <w:fldChar w:fldCharType="separate"/>
                    </w:r>
                    <w:r>
                      <w:t>- 2 -</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600A2">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3E115">
                          <w:pPr>
                            <w:pStyle w:val="16"/>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2263E115">
                    <w:pPr>
                      <w:pStyle w:val="16"/>
                    </w:pPr>
                    <w:r>
                      <w:fldChar w:fldCharType="begin"/>
                    </w:r>
                    <w:r>
                      <w:instrText xml:space="preserve"> PAGE  \* MERGEFORMAT </w:instrText>
                    </w:r>
                    <w:r>
                      <w:fldChar w:fldCharType="separate"/>
                    </w:r>
                    <w:r>
                      <w:t>- 6 -</w:t>
                    </w:r>
                    <w:r>
                      <w:fldChar w:fldCharType="end"/>
                    </w:r>
                  </w:p>
                </w:txbxContent>
              </v:textbox>
            </v:shape>
          </w:pict>
        </mc:Fallback>
      </mc:AlternateContent>
    </w:r>
  </w:p>
  <w:p w14:paraId="0E8C6D76">
    <w:pPr>
      <w:pStyle w:val="1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0BB1">
    <w:pPr>
      <w:pStyle w:val="16"/>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9F772">
                          <w:pPr>
                            <w:pStyle w:val="16"/>
                          </w:pPr>
                          <w:r>
                            <w:fldChar w:fldCharType="begin"/>
                          </w:r>
                          <w:r>
                            <w:instrText xml:space="preserve"> PAGE  \* MERGEFORMAT </w:instrText>
                          </w:r>
                          <w:r>
                            <w:fldChar w:fldCharType="separate"/>
                          </w:r>
                          <w:r>
                            <w:t>- 38 -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74D9F772">
                    <w:pPr>
                      <w:pStyle w:val="16"/>
                    </w:pPr>
                    <w:r>
                      <w:fldChar w:fldCharType="begin"/>
                    </w:r>
                    <w:r>
                      <w:instrText xml:space="preserve"> PAGE  \* MERGEFORMAT </w:instrText>
                    </w:r>
                    <w:r>
                      <w:fldChar w:fldCharType="separate"/>
                    </w:r>
                    <w:r>
                      <w:t>- 38 -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9145B">
    <w:pPr>
      <w:pStyle w:val="16"/>
      <w:ind w:right="360"/>
      <w:rPr>
        <w:rFonts w:ascii="宋体" w:hAns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C0BA3">
                          <w:pPr>
                            <w:pStyle w:val="16"/>
                          </w:pPr>
                          <w:r>
                            <w:fldChar w:fldCharType="begin"/>
                          </w:r>
                          <w:r>
                            <w:instrText xml:space="preserve"> PAGE  \* MERGEFORMAT </w:instrText>
                          </w:r>
                          <w:r>
                            <w:fldChar w:fldCharType="separate"/>
                          </w:r>
                          <w:r>
                            <w:t>- 126 -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7E9C0BA3">
                    <w:pPr>
                      <w:pStyle w:val="16"/>
                    </w:pPr>
                    <w:r>
                      <w:fldChar w:fldCharType="begin"/>
                    </w:r>
                    <w:r>
                      <w:instrText xml:space="preserve"> PAGE  \* MERGEFORMAT </w:instrText>
                    </w:r>
                    <w:r>
                      <w:fldChar w:fldCharType="separate"/>
                    </w:r>
                    <w:r>
                      <w:t>- 126 -</w:t>
                    </w:r>
                    <w:r>
                      <w:fldChar w:fldCharType="end"/>
                    </w:r>
                  </w:p>
                </w:txbxContent>
              </v:textbox>
            </v:shape>
          </w:pict>
        </mc:Fallback>
      </mc:AlternateContent>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EB807">
    <w:pPr>
      <w:pStyle w:val="16"/>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38176">
                          <w:pPr>
                            <w:pStyle w:val="16"/>
                          </w:pPr>
                          <w:r>
                            <w:fldChar w:fldCharType="begin"/>
                          </w:r>
                          <w:r>
                            <w:instrText xml:space="preserve"> PAGE  \* MERGEFORMAT </w:instrText>
                          </w:r>
                          <w:r>
                            <w:fldChar w:fldCharType="separate"/>
                          </w:r>
                          <w:r>
                            <w:t>- 131 -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12D38176">
                    <w:pPr>
                      <w:pStyle w:val="16"/>
                    </w:pPr>
                    <w:r>
                      <w:fldChar w:fldCharType="begin"/>
                    </w:r>
                    <w:r>
                      <w:instrText xml:space="preserve"> PAGE  \* MERGEFORMAT </w:instrText>
                    </w:r>
                    <w:r>
                      <w:fldChar w:fldCharType="separate"/>
                    </w:r>
                    <w:r>
                      <w:t>- 131 -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6626B">
    <w:pPr>
      <w:pStyle w:val="18"/>
      <w:pBdr>
        <w:bottom w:val="none" w:color="auto" w:sz="0" w:space="1"/>
      </w:pBdr>
      <w:jc w:val="right"/>
    </w:pPr>
    <w:r>
      <w:rPr>
        <w:rFonts w:hint="eastAsia"/>
      </w:rPr>
      <w:t xml:space="preserve">                                                      </w:t>
    </w:r>
  </w:p>
  <w:p w14:paraId="08D80D3D">
    <w:pPr>
      <w:pStyle w:val="18"/>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7ADDA">
    <w:pPr>
      <w:pStyle w:val="18"/>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FAC5A">
    <w:pPr>
      <w:pStyle w:val="18"/>
      <w:pBdr>
        <w:bottom w:val="none" w:color="auto" w:sz="0" w:space="1"/>
      </w:pBdr>
      <w:tabs>
        <w:tab w:val="left" w:pos="8097"/>
      </w:tabs>
      <w:jc w:val="left"/>
      <w:rPr>
        <w:highlight w:val="yellow"/>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351D0">
    <w:pPr>
      <w:pStyle w:val="18"/>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93951">
    <w:pPr>
      <w:pStyle w:val="18"/>
      <w:pBdr>
        <w:bottom w:val="none" w:color="auto" w:sz="0" w:space="0"/>
      </w:pBdr>
      <w:jc w:val="right"/>
      <w:rPr>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C9D1F">
    <w:pPr>
      <w:pStyle w:val="18"/>
      <w:pBdr>
        <w:bottom w:val="none" w:color="auto" w:sz="0" w:space="0"/>
      </w:pBdr>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F79D6"/>
    <w:multiLevelType w:val="singleLevel"/>
    <w:tmpl w:val="AE6F79D6"/>
    <w:lvl w:ilvl="0" w:tentative="0">
      <w:start w:val="1"/>
      <w:numFmt w:val="decimal"/>
      <w:suff w:val="nothing"/>
      <w:lvlText w:val="%1）"/>
      <w:lvlJc w:val="left"/>
    </w:lvl>
  </w:abstractNum>
  <w:abstractNum w:abstractNumId="1">
    <w:nsid w:val="C97A92E2"/>
    <w:multiLevelType w:val="singleLevel"/>
    <w:tmpl w:val="C97A92E2"/>
    <w:lvl w:ilvl="0" w:tentative="0">
      <w:start w:val="2"/>
      <w:numFmt w:val="chineseCounting"/>
      <w:suff w:val="nothing"/>
      <w:lvlText w:val="%1、"/>
      <w:lvlJc w:val="left"/>
      <w:rPr>
        <w:rFonts w:hint="eastAsia"/>
      </w:rPr>
    </w:lvl>
  </w:abstractNum>
  <w:abstractNum w:abstractNumId="2">
    <w:nsid w:val="D8A1DD42"/>
    <w:multiLevelType w:val="singleLevel"/>
    <w:tmpl w:val="D8A1DD42"/>
    <w:lvl w:ilvl="0" w:tentative="0">
      <w:start w:val="1"/>
      <w:numFmt w:val="decimal"/>
      <w:suff w:val="nothing"/>
      <w:lvlText w:val="%1、"/>
      <w:lvlJc w:val="left"/>
    </w:lvl>
  </w:abstractNum>
  <w:abstractNum w:abstractNumId="3">
    <w:nsid w:val="08B2D8E5"/>
    <w:multiLevelType w:val="singleLevel"/>
    <w:tmpl w:val="08B2D8E5"/>
    <w:lvl w:ilvl="0" w:tentative="0">
      <w:start w:val="9"/>
      <w:numFmt w:val="decimal"/>
      <w:suff w:val="nothing"/>
      <w:lvlText w:val="%1、"/>
      <w:lvlJc w:val="left"/>
    </w:lvl>
  </w:abstractNum>
  <w:abstractNum w:abstractNumId="4">
    <w:nsid w:val="4670638B"/>
    <w:multiLevelType w:val="singleLevel"/>
    <w:tmpl w:val="4670638B"/>
    <w:lvl w:ilvl="0" w:tentative="0">
      <w:start w:val="6"/>
      <w:numFmt w:val="chineseCounting"/>
      <w:suff w:val="space"/>
      <w:lvlText w:val="第%1章"/>
      <w:lvlJc w:val="left"/>
      <w:rPr>
        <w:rFonts w:hint="eastAsia"/>
      </w:rPr>
    </w:lvl>
  </w:abstractNum>
  <w:abstractNum w:abstractNumId="5">
    <w:nsid w:val="59FB0796"/>
    <w:multiLevelType w:val="singleLevel"/>
    <w:tmpl w:val="59FB0796"/>
    <w:lvl w:ilvl="0" w:tentative="0">
      <w:start w:val="1"/>
      <w:numFmt w:val="decimal"/>
      <w:suff w:val="nothing"/>
      <w:lvlText w:val="%1、"/>
      <w:lvlJc w:val="left"/>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MzI4NDRiNmE3YjkzOTJiMjQ4NDY4ZjAyZDIyNjAifQ=="/>
  </w:docVars>
  <w:rsids>
    <w:rsidRoot w:val="3A3E1146"/>
    <w:rsid w:val="00155E9A"/>
    <w:rsid w:val="00172295"/>
    <w:rsid w:val="001E0333"/>
    <w:rsid w:val="0049132B"/>
    <w:rsid w:val="00494FFB"/>
    <w:rsid w:val="00515C5E"/>
    <w:rsid w:val="005319D6"/>
    <w:rsid w:val="00577718"/>
    <w:rsid w:val="00593490"/>
    <w:rsid w:val="0061348B"/>
    <w:rsid w:val="006C21B0"/>
    <w:rsid w:val="007D3EB8"/>
    <w:rsid w:val="00863B59"/>
    <w:rsid w:val="008E0C60"/>
    <w:rsid w:val="009D3880"/>
    <w:rsid w:val="00A6705F"/>
    <w:rsid w:val="00AF47A5"/>
    <w:rsid w:val="00C11BB0"/>
    <w:rsid w:val="00E46AD2"/>
    <w:rsid w:val="00F931CB"/>
    <w:rsid w:val="0100390C"/>
    <w:rsid w:val="0100630B"/>
    <w:rsid w:val="01156757"/>
    <w:rsid w:val="01477D1C"/>
    <w:rsid w:val="014E7300"/>
    <w:rsid w:val="01541EA9"/>
    <w:rsid w:val="01610878"/>
    <w:rsid w:val="016F283F"/>
    <w:rsid w:val="017460A8"/>
    <w:rsid w:val="018C519F"/>
    <w:rsid w:val="01AD48A5"/>
    <w:rsid w:val="01DA477F"/>
    <w:rsid w:val="01DE1AD3"/>
    <w:rsid w:val="01FD609D"/>
    <w:rsid w:val="021A09FD"/>
    <w:rsid w:val="023B6BC5"/>
    <w:rsid w:val="023D293E"/>
    <w:rsid w:val="02467A44"/>
    <w:rsid w:val="026B74AB"/>
    <w:rsid w:val="02720839"/>
    <w:rsid w:val="02753E85"/>
    <w:rsid w:val="027F153C"/>
    <w:rsid w:val="029B159F"/>
    <w:rsid w:val="02A73BD6"/>
    <w:rsid w:val="02A824AD"/>
    <w:rsid w:val="02B250DA"/>
    <w:rsid w:val="02DA11CE"/>
    <w:rsid w:val="02DF57A3"/>
    <w:rsid w:val="02E4208D"/>
    <w:rsid w:val="02EA3A9D"/>
    <w:rsid w:val="02F76F90"/>
    <w:rsid w:val="030B1CD5"/>
    <w:rsid w:val="030B2A3C"/>
    <w:rsid w:val="03263951"/>
    <w:rsid w:val="034C4B6E"/>
    <w:rsid w:val="03767AF5"/>
    <w:rsid w:val="03870314"/>
    <w:rsid w:val="03B278E6"/>
    <w:rsid w:val="03C6567D"/>
    <w:rsid w:val="03E5590A"/>
    <w:rsid w:val="03E85211"/>
    <w:rsid w:val="040A684F"/>
    <w:rsid w:val="040D0631"/>
    <w:rsid w:val="041575B8"/>
    <w:rsid w:val="04243DB5"/>
    <w:rsid w:val="043438CC"/>
    <w:rsid w:val="046917C8"/>
    <w:rsid w:val="046B5540"/>
    <w:rsid w:val="048B3E34"/>
    <w:rsid w:val="04DA4474"/>
    <w:rsid w:val="05010BC4"/>
    <w:rsid w:val="05101044"/>
    <w:rsid w:val="05175588"/>
    <w:rsid w:val="051F632A"/>
    <w:rsid w:val="05203DC1"/>
    <w:rsid w:val="05235E1B"/>
    <w:rsid w:val="05290E6D"/>
    <w:rsid w:val="052B2F21"/>
    <w:rsid w:val="052F2A11"/>
    <w:rsid w:val="05461B09"/>
    <w:rsid w:val="05812B41"/>
    <w:rsid w:val="05882122"/>
    <w:rsid w:val="05910B93"/>
    <w:rsid w:val="059960DD"/>
    <w:rsid w:val="059E1945"/>
    <w:rsid w:val="05B922DB"/>
    <w:rsid w:val="05C869C2"/>
    <w:rsid w:val="05D666A6"/>
    <w:rsid w:val="05DF774C"/>
    <w:rsid w:val="061301D1"/>
    <w:rsid w:val="062F07EF"/>
    <w:rsid w:val="066E5BC6"/>
    <w:rsid w:val="067A7CBC"/>
    <w:rsid w:val="06916ADF"/>
    <w:rsid w:val="06E11AE9"/>
    <w:rsid w:val="06F63304"/>
    <w:rsid w:val="07181283"/>
    <w:rsid w:val="0749768F"/>
    <w:rsid w:val="07580954"/>
    <w:rsid w:val="075C1AB8"/>
    <w:rsid w:val="07603356"/>
    <w:rsid w:val="076C2DD1"/>
    <w:rsid w:val="077E24E4"/>
    <w:rsid w:val="07834D12"/>
    <w:rsid w:val="078D3673"/>
    <w:rsid w:val="079052BE"/>
    <w:rsid w:val="07B1271A"/>
    <w:rsid w:val="07BB67DE"/>
    <w:rsid w:val="07CA6A21"/>
    <w:rsid w:val="07DA7079"/>
    <w:rsid w:val="07DF3389"/>
    <w:rsid w:val="07FB6BDB"/>
    <w:rsid w:val="08014C21"/>
    <w:rsid w:val="08161480"/>
    <w:rsid w:val="08610359"/>
    <w:rsid w:val="08760957"/>
    <w:rsid w:val="08844E22"/>
    <w:rsid w:val="088A4403"/>
    <w:rsid w:val="08BB6344"/>
    <w:rsid w:val="08CA666F"/>
    <w:rsid w:val="08DD4532"/>
    <w:rsid w:val="08EA726B"/>
    <w:rsid w:val="08F17FDE"/>
    <w:rsid w:val="0911242E"/>
    <w:rsid w:val="09184661"/>
    <w:rsid w:val="091A70EB"/>
    <w:rsid w:val="09206705"/>
    <w:rsid w:val="092B3874"/>
    <w:rsid w:val="0932487E"/>
    <w:rsid w:val="09371E95"/>
    <w:rsid w:val="093F0D49"/>
    <w:rsid w:val="09446F59"/>
    <w:rsid w:val="095D5313"/>
    <w:rsid w:val="097C01EF"/>
    <w:rsid w:val="098A290C"/>
    <w:rsid w:val="09954E0D"/>
    <w:rsid w:val="09C91B1B"/>
    <w:rsid w:val="09DB3168"/>
    <w:rsid w:val="09EF6C13"/>
    <w:rsid w:val="09F00295"/>
    <w:rsid w:val="0A0F4BBF"/>
    <w:rsid w:val="0A117F52"/>
    <w:rsid w:val="0A297BDC"/>
    <w:rsid w:val="0A2F5262"/>
    <w:rsid w:val="0A312D88"/>
    <w:rsid w:val="0A6767AA"/>
    <w:rsid w:val="0A717628"/>
    <w:rsid w:val="0A96708F"/>
    <w:rsid w:val="0A9B3379"/>
    <w:rsid w:val="0AAA2B3A"/>
    <w:rsid w:val="0AAC0660"/>
    <w:rsid w:val="0AD007F3"/>
    <w:rsid w:val="0ADF4592"/>
    <w:rsid w:val="0AEC3153"/>
    <w:rsid w:val="0AF10769"/>
    <w:rsid w:val="0AF225B3"/>
    <w:rsid w:val="0B00285D"/>
    <w:rsid w:val="0B022976"/>
    <w:rsid w:val="0B047D8E"/>
    <w:rsid w:val="0B1B1342"/>
    <w:rsid w:val="0B2B77D7"/>
    <w:rsid w:val="0B2D21BD"/>
    <w:rsid w:val="0B36513E"/>
    <w:rsid w:val="0B381EF4"/>
    <w:rsid w:val="0B5C03AF"/>
    <w:rsid w:val="0B703F6E"/>
    <w:rsid w:val="0B723658"/>
    <w:rsid w:val="0B980BE5"/>
    <w:rsid w:val="0BD32CF6"/>
    <w:rsid w:val="0BDC69EE"/>
    <w:rsid w:val="0BEC07AD"/>
    <w:rsid w:val="0BF12D0A"/>
    <w:rsid w:val="0C101DEE"/>
    <w:rsid w:val="0C225FA5"/>
    <w:rsid w:val="0C4C7576"/>
    <w:rsid w:val="0C52306D"/>
    <w:rsid w:val="0C5C7E64"/>
    <w:rsid w:val="0C72601D"/>
    <w:rsid w:val="0C7B256F"/>
    <w:rsid w:val="0C915D60"/>
    <w:rsid w:val="0C963376"/>
    <w:rsid w:val="0CA43CE5"/>
    <w:rsid w:val="0CC872A8"/>
    <w:rsid w:val="0CCF4ADA"/>
    <w:rsid w:val="0CE17CAE"/>
    <w:rsid w:val="0CE51C08"/>
    <w:rsid w:val="0CFF53BF"/>
    <w:rsid w:val="0D1129FD"/>
    <w:rsid w:val="0D186481"/>
    <w:rsid w:val="0D3A63F7"/>
    <w:rsid w:val="0D3D1A44"/>
    <w:rsid w:val="0D3D37F2"/>
    <w:rsid w:val="0D4B23B2"/>
    <w:rsid w:val="0D682F64"/>
    <w:rsid w:val="0D6C7F50"/>
    <w:rsid w:val="0D74027F"/>
    <w:rsid w:val="0D7A5A18"/>
    <w:rsid w:val="0D7C256C"/>
    <w:rsid w:val="0DA844A6"/>
    <w:rsid w:val="0DC66732"/>
    <w:rsid w:val="0DD7231B"/>
    <w:rsid w:val="0DF02FC6"/>
    <w:rsid w:val="0DFC545B"/>
    <w:rsid w:val="0E601E8E"/>
    <w:rsid w:val="0E721BC1"/>
    <w:rsid w:val="0E794CFD"/>
    <w:rsid w:val="0E7E2314"/>
    <w:rsid w:val="0E925DBF"/>
    <w:rsid w:val="0E991C92"/>
    <w:rsid w:val="0E9F4261"/>
    <w:rsid w:val="0EA07AC5"/>
    <w:rsid w:val="0EC046DA"/>
    <w:rsid w:val="0ECF2DB5"/>
    <w:rsid w:val="0EDE2DB2"/>
    <w:rsid w:val="0EE04D7C"/>
    <w:rsid w:val="0EEA6178"/>
    <w:rsid w:val="0F05649B"/>
    <w:rsid w:val="0F0C5B71"/>
    <w:rsid w:val="0F135152"/>
    <w:rsid w:val="0F145B27"/>
    <w:rsid w:val="0F225629"/>
    <w:rsid w:val="0F227CFE"/>
    <w:rsid w:val="0F377F2C"/>
    <w:rsid w:val="0F381D7B"/>
    <w:rsid w:val="0F475EA9"/>
    <w:rsid w:val="0F4B669A"/>
    <w:rsid w:val="0F517A28"/>
    <w:rsid w:val="0F615EBD"/>
    <w:rsid w:val="0F8200B8"/>
    <w:rsid w:val="0F9207AD"/>
    <w:rsid w:val="0F991365"/>
    <w:rsid w:val="0FA56A89"/>
    <w:rsid w:val="0FD541B5"/>
    <w:rsid w:val="0FF00FEF"/>
    <w:rsid w:val="0FF46A27"/>
    <w:rsid w:val="101C3B92"/>
    <w:rsid w:val="102B7CD1"/>
    <w:rsid w:val="10301ADC"/>
    <w:rsid w:val="1035792C"/>
    <w:rsid w:val="10367256"/>
    <w:rsid w:val="103E61FE"/>
    <w:rsid w:val="10490802"/>
    <w:rsid w:val="10685029"/>
    <w:rsid w:val="106C45FC"/>
    <w:rsid w:val="108A1444"/>
    <w:rsid w:val="10967DE9"/>
    <w:rsid w:val="109B53FF"/>
    <w:rsid w:val="109E41F1"/>
    <w:rsid w:val="10A74BAE"/>
    <w:rsid w:val="10AA4612"/>
    <w:rsid w:val="10B92746"/>
    <w:rsid w:val="10DE353E"/>
    <w:rsid w:val="10F06EDA"/>
    <w:rsid w:val="110D797F"/>
    <w:rsid w:val="111A207B"/>
    <w:rsid w:val="111B209C"/>
    <w:rsid w:val="111E1B8C"/>
    <w:rsid w:val="11333889"/>
    <w:rsid w:val="113C6CB1"/>
    <w:rsid w:val="11427629"/>
    <w:rsid w:val="11643A43"/>
    <w:rsid w:val="1173012A"/>
    <w:rsid w:val="11970B06"/>
    <w:rsid w:val="119F0F1F"/>
    <w:rsid w:val="11BD4180"/>
    <w:rsid w:val="11C10E95"/>
    <w:rsid w:val="11C24C0D"/>
    <w:rsid w:val="11F16D5E"/>
    <w:rsid w:val="11FE3E97"/>
    <w:rsid w:val="12142E4D"/>
    <w:rsid w:val="121865DB"/>
    <w:rsid w:val="1223332E"/>
    <w:rsid w:val="1225502D"/>
    <w:rsid w:val="122574BC"/>
    <w:rsid w:val="12273C58"/>
    <w:rsid w:val="12316C28"/>
    <w:rsid w:val="123A2DE3"/>
    <w:rsid w:val="125B2AB5"/>
    <w:rsid w:val="128D6FC9"/>
    <w:rsid w:val="12AD31C8"/>
    <w:rsid w:val="12BE3627"/>
    <w:rsid w:val="12CB7D62"/>
    <w:rsid w:val="12F36384"/>
    <w:rsid w:val="13365721"/>
    <w:rsid w:val="133833D9"/>
    <w:rsid w:val="13421B62"/>
    <w:rsid w:val="134A310C"/>
    <w:rsid w:val="13617714"/>
    <w:rsid w:val="13631AD8"/>
    <w:rsid w:val="137A57A0"/>
    <w:rsid w:val="137C732D"/>
    <w:rsid w:val="137F7E6F"/>
    <w:rsid w:val="138A0316"/>
    <w:rsid w:val="13AF55AA"/>
    <w:rsid w:val="13B647DF"/>
    <w:rsid w:val="141F00F5"/>
    <w:rsid w:val="144911CC"/>
    <w:rsid w:val="144E4536"/>
    <w:rsid w:val="14504752"/>
    <w:rsid w:val="14556AED"/>
    <w:rsid w:val="145F04F1"/>
    <w:rsid w:val="149C1746"/>
    <w:rsid w:val="149E0624"/>
    <w:rsid w:val="149F4D92"/>
    <w:rsid w:val="14A22887"/>
    <w:rsid w:val="14A22C13"/>
    <w:rsid w:val="14A36A7A"/>
    <w:rsid w:val="14B946FD"/>
    <w:rsid w:val="14BC5944"/>
    <w:rsid w:val="14D6324F"/>
    <w:rsid w:val="15064E11"/>
    <w:rsid w:val="15341A03"/>
    <w:rsid w:val="1545358A"/>
    <w:rsid w:val="154C4D2C"/>
    <w:rsid w:val="15593193"/>
    <w:rsid w:val="156264EB"/>
    <w:rsid w:val="157D50D3"/>
    <w:rsid w:val="1594066F"/>
    <w:rsid w:val="15AA2C29"/>
    <w:rsid w:val="15AB5EBA"/>
    <w:rsid w:val="15AE34DE"/>
    <w:rsid w:val="15C11704"/>
    <w:rsid w:val="15D3423C"/>
    <w:rsid w:val="15DA0777"/>
    <w:rsid w:val="15E42046"/>
    <w:rsid w:val="15FB06EE"/>
    <w:rsid w:val="15FF30BE"/>
    <w:rsid w:val="1604710E"/>
    <w:rsid w:val="160C6457"/>
    <w:rsid w:val="16165636"/>
    <w:rsid w:val="162437A1"/>
    <w:rsid w:val="16293840"/>
    <w:rsid w:val="164107F7"/>
    <w:rsid w:val="16414353"/>
    <w:rsid w:val="167209B0"/>
    <w:rsid w:val="16726C02"/>
    <w:rsid w:val="16921052"/>
    <w:rsid w:val="16950915"/>
    <w:rsid w:val="1695469E"/>
    <w:rsid w:val="169923E1"/>
    <w:rsid w:val="16B03286"/>
    <w:rsid w:val="16B26FFE"/>
    <w:rsid w:val="16F450E7"/>
    <w:rsid w:val="16F81DA0"/>
    <w:rsid w:val="17063BEF"/>
    <w:rsid w:val="17094A74"/>
    <w:rsid w:val="171C60F0"/>
    <w:rsid w:val="171E6442"/>
    <w:rsid w:val="172B3C4A"/>
    <w:rsid w:val="17365E81"/>
    <w:rsid w:val="17695FA4"/>
    <w:rsid w:val="176C53FF"/>
    <w:rsid w:val="179F452E"/>
    <w:rsid w:val="17A03DC0"/>
    <w:rsid w:val="17AA65AD"/>
    <w:rsid w:val="17C249B3"/>
    <w:rsid w:val="17E7717C"/>
    <w:rsid w:val="17FF389C"/>
    <w:rsid w:val="17FF6273"/>
    <w:rsid w:val="181810E3"/>
    <w:rsid w:val="1820443C"/>
    <w:rsid w:val="18383533"/>
    <w:rsid w:val="18510A99"/>
    <w:rsid w:val="18570964"/>
    <w:rsid w:val="18585984"/>
    <w:rsid w:val="18814EDA"/>
    <w:rsid w:val="188C387F"/>
    <w:rsid w:val="18932E60"/>
    <w:rsid w:val="18A10C75"/>
    <w:rsid w:val="18A62B93"/>
    <w:rsid w:val="18B82B11"/>
    <w:rsid w:val="18CE3E98"/>
    <w:rsid w:val="18EE0096"/>
    <w:rsid w:val="190860B0"/>
    <w:rsid w:val="192B4E46"/>
    <w:rsid w:val="192D0BBE"/>
    <w:rsid w:val="19371A3D"/>
    <w:rsid w:val="19834C82"/>
    <w:rsid w:val="198D3D53"/>
    <w:rsid w:val="199826A2"/>
    <w:rsid w:val="199B7755"/>
    <w:rsid w:val="19AA77DF"/>
    <w:rsid w:val="19B25567"/>
    <w:rsid w:val="19DE162A"/>
    <w:rsid w:val="19EF116A"/>
    <w:rsid w:val="19FF6103"/>
    <w:rsid w:val="1A073B05"/>
    <w:rsid w:val="1A3D3083"/>
    <w:rsid w:val="1A424B3D"/>
    <w:rsid w:val="1A515CFE"/>
    <w:rsid w:val="1A5959E3"/>
    <w:rsid w:val="1A5D2E82"/>
    <w:rsid w:val="1A6908FD"/>
    <w:rsid w:val="1A7D4B23"/>
    <w:rsid w:val="1A80748F"/>
    <w:rsid w:val="1A9058A9"/>
    <w:rsid w:val="1A9F3D3E"/>
    <w:rsid w:val="1A9F789A"/>
    <w:rsid w:val="1AC94917"/>
    <w:rsid w:val="1AFC1190"/>
    <w:rsid w:val="1AFF2A2E"/>
    <w:rsid w:val="1B025B91"/>
    <w:rsid w:val="1B0604F0"/>
    <w:rsid w:val="1B1464DA"/>
    <w:rsid w:val="1B1A5C98"/>
    <w:rsid w:val="1B281F85"/>
    <w:rsid w:val="1B553555"/>
    <w:rsid w:val="1B662AAD"/>
    <w:rsid w:val="1B79633D"/>
    <w:rsid w:val="1BA57132"/>
    <w:rsid w:val="1BB05AD7"/>
    <w:rsid w:val="1BDD7243"/>
    <w:rsid w:val="1BF53514"/>
    <w:rsid w:val="1BFC53B5"/>
    <w:rsid w:val="1BFD0D1C"/>
    <w:rsid w:val="1C136791"/>
    <w:rsid w:val="1C1C7C94"/>
    <w:rsid w:val="1C262333"/>
    <w:rsid w:val="1C3362E1"/>
    <w:rsid w:val="1C5514CB"/>
    <w:rsid w:val="1C632B49"/>
    <w:rsid w:val="1C8D362E"/>
    <w:rsid w:val="1C9753F9"/>
    <w:rsid w:val="1CA97058"/>
    <w:rsid w:val="1CB03FE0"/>
    <w:rsid w:val="1CBB4CEA"/>
    <w:rsid w:val="1CC23D13"/>
    <w:rsid w:val="1CD13F56"/>
    <w:rsid w:val="1CE67A02"/>
    <w:rsid w:val="1CED6FE2"/>
    <w:rsid w:val="1CF80B3B"/>
    <w:rsid w:val="1D1C3424"/>
    <w:rsid w:val="1D225130"/>
    <w:rsid w:val="1D4B5FB6"/>
    <w:rsid w:val="1D5A5F73"/>
    <w:rsid w:val="1D5D190B"/>
    <w:rsid w:val="1D5E11F7"/>
    <w:rsid w:val="1D636E5C"/>
    <w:rsid w:val="1D686669"/>
    <w:rsid w:val="1D7F39B2"/>
    <w:rsid w:val="1D850600"/>
    <w:rsid w:val="1DA638ED"/>
    <w:rsid w:val="1DA8115B"/>
    <w:rsid w:val="1DB34AD2"/>
    <w:rsid w:val="1DD54A47"/>
    <w:rsid w:val="1DDB32DF"/>
    <w:rsid w:val="1E05658C"/>
    <w:rsid w:val="1E1D38F7"/>
    <w:rsid w:val="1E276524"/>
    <w:rsid w:val="1E4B75AE"/>
    <w:rsid w:val="1E4D2A45"/>
    <w:rsid w:val="1E585A9B"/>
    <w:rsid w:val="1E605592"/>
    <w:rsid w:val="1E636E30"/>
    <w:rsid w:val="1E796654"/>
    <w:rsid w:val="1E965458"/>
    <w:rsid w:val="1EAE48FD"/>
    <w:rsid w:val="1EBB3A0B"/>
    <w:rsid w:val="1EBF49AE"/>
    <w:rsid w:val="1EC27FFB"/>
    <w:rsid w:val="1EC71AB5"/>
    <w:rsid w:val="1ED55F80"/>
    <w:rsid w:val="1EDB10BC"/>
    <w:rsid w:val="1EE76503"/>
    <w:rsid w:val="1EFD54D7"/>
    <w:rsid w:val="1F1545CE"/>
    <w:rsid w:val="1F274302"/>
    <w:rsid w:val="1F38650F"/>
    <w:rsid w:val="1F4F2B0F"/>
    <w:rsid w:val="1F6E6D87"/>
    <w:rsid w:val="1F841754"/>
    <w:rsid w:val="1F8D685B"/>
    <w:rsid w:val="1FA91635"/>
    <w:rsid w:val="1FB738D7"/>
    <w:rsid w:val="1FBB33C8"/>
    <w:rsid w:val="1FC3402A"/>
    <w:rsid w:val="1FC5177E"/>
    <w:rsid w:val="1FCF6BD7"/>
    <w:rsid w:val="1FE43FA1"/>
    <w:rsid w:val="20271CC8"/>
    <w:rsid w:val="202F16C0"/>
    <w:rsid w:val="20427F48"/>
    <w:rsid w:val="204D457A"/>
    <w:rsid w:val="207417C9"/>
    <w:rsid w:val="207B2B57"/>
    <w:rsid w:val="20B7160C"/>
    <w:rsid w:val="20B91CE4"/>
    <w:rsid w:val="20C756B8"/>
    <w:rsid w:val="20E73D48"/>
    <w:rsid w:val="20EA55E7"/>
    <w:rsid w:val="20F17CC2"/>
    <w:rsid w:val="20FD17BE"/>
    <w:rsid w:val="211F4A87"/>
    <w:rsid w:val="21220FDB"/>
    <w:rsid w:val="21272A34"/>
    <w:rsid w:val="213B68AD"/>
    <w:rsid w:val="21555156"/>
    <w:rsid w:val="21676C37"/>
    <w:rsid w:val="21976E5D"/>
    <w:rsid w:val="2197751D"/>
    <w:rsid w:val="219E6AFD"/>
    <w:rsid w:val="21C61B60"/>
    <w:rsid w:val="21CD1190"/>
    <w:rsid w:val="21DC7625"/>
    <w:rsid w:val="21EB376C"/>
    <w:rsid w:val="22097F72"/>
    <w:rsid w:val="222D1C2F"/>
    <w:rsid w:val="22435342"/>
    <w:rsid w:val="2254540E"/>
    <w:rsid w:val="226118D9"/>
    <w:rsid w:val="22630287"/>
    <w:rsid w:val="22660462"/>
    <w:rsid w:val="227817C2"/>
    <w:rsid w:val="227B299A"/>
    <w:rsid w:val="22A46395"/>
    <w:rsid w:val="22CE3412"/>
    <w:rsid w:val="22F34C27"/>
    <w:rsid w:val="231B6DD4"/>
    <w:rsid w:val="232C2B22"/>
    <w:rsid w:val="233139A1"/>
    <w:rsid w:val="233A0AA7"/>
    <w:rsid w:val="234522A4"/>
    <w:rsid w:val="235B2F2E"/>
    <w:rsid w:val="23645D40"/>
    <w:rsid w:val="23871813"/>
    <w:rsid w:val="23A14CC0"/>
    <w:rsid w:val="23A94E6A"/>
    <w:rsid w:val="23C91E2B"/>
    <w:rsid w:val="23D20CE0"/>
    <w:rsid w:val="23EB4639"/>
    <w:rsid w:val="23F752D7"/>
    <w:rsid w:val="240864B0"/>
    <w:rsid w:val="242157C3"/>
    <w:rsid w:val="24253E98"/>
    <w:rsid w:val="24280900"/>
    <w:rsid w:val="24311EAA"/>
    <w:rsid w:val="246F29D3"/>
    <w:rsid w:val="24727DCD"/>
    <w:rsid w:val="24950F82"/>
    <w:rsid w:val="249661B1"/>
    <w:rsid w:val="249A48C2"/>
    <w:rsid w:val="249D12EE"/>
    <w:rsid w:val="24B403E6"/>
    <w:rsid w:val="24B76319"/>
    <w:rsid w:val="24C74FB8"/>
    <w:rsid w:val="24C76BD4"/>
    <w:rsid w:val="24C90335"/>
    <w:rsid w:val="24D31C46"/>
    <w:rsid w:val="24E16D01"/>
    <w:rsid w:val="24E231A5"/>
    <w:rsid w:val="24ED56A6"/>
    <w:rsid w:val="24F37160"/>
    <w:rsid w:val="24FE78B3"/>
    <w:rsid w:val="25115838"/>
    <w:rsid w:val="25207829"/>
    <w:rsid w:val="252C4420"/>
    <w:rsid w:val="256B319A"/>
    <w:rsid w:val="257D4C7B"/>
    <w:rsid w:val="257F12C3"/>
    <w:rsid w:val="25A246E2"/>
    <w:rsid w:val="25A641D2"/>
    <w:rsid w:val="25B14925"/>
    <w:rsid w:val="25BF34E6"/>
    <w:rsid w:val="25C32FD6"/>
    <w:rsid w:val="25CD5C03"/>
    <w:rsid w:val="25E37751"/>
    <w:rsid w:val="25E82A3D"/>
    <w:rsid w:val="25EA2F9C"/>
    <w:rsid w:val="25FC109E"/>
    <w:rsid w:val="260F3265"/>
    <w:rsid w:val="26255D30"/>
    <w:rsid w:val="2642738C"/>
    <w:rsid w:val="265C708D"/>
    <w:rsid w:val="266B541C"/>
    <w:rsid w:val="266D2A28"/>
    <w:rsid w:val="266E3A32"/>
    <w:rsid w:val="267317BA"/>
    <w:rsid w:val="267A29D7"/>
    <w:rsid w:val="267F648B"/>
    <w:rsid w:val="269A2D75"/>
    <w:rsid w:val="26AE6D2F"/>
    <w:rsid w:val="26DA109E"/>
    <w:rsid w:val="26E256DE"/>
    <w:rsid w:val="26FC7E22"/>
    <w:rsid w:val="270C275B"/>
    <w:rsid w:val="27174C5C"/>
    <w:rsid w:val="273870AC"/>
    <w:rsid w:val="27402404"/>
    <w:rsid w:val="276421E5"/>
    <w:rsid w:val="276854B7"/>
    <w:rsid w:val="276C5573"/>
    <w:rsid w:val="27A85B99"/>
    <w:rsid w:val="27B23977"/>
    <w:rsid w:val="27D52B4D"/>
    <w:rsid w:val="27DE7716"/>
    <w:rsid w:val="27ED0F2C"/>
    <w:rsid w:val="27EE1E60"/>
    <w:rsid w:val="27F356C9"/>
    <w:rsid w:val="27FD412F"/>
    <w:rsid w:val="281C69CE"/>
    <w:rsid w:val="28293BEB"/>
    <w:rsid w:val="28490586"/>
    <w:rsid w:val="28497097"/>
    <w:rsid w:val="285223EF"/>
    <w:rsid w:val="28577471"/>
    <w:rsid w:val="287E36F4"/>
    <w:rsid w:val="287E4F92"/>
    <w:rsid w:val="28950E82"/>
    <w:rsid w:val="28A15125"/>
    <w:rsid w:val="28CA467C"/>
    <w:rsid w:val="28E82D54"/>
    <w:rsid w:val="28EC2844"/>
    <w:rsid w:val="28ED036A"/>
    <w:rsid w:val="29023E15"/>
    <w:rsid w:val="29033504"/>
    <w:rsid w:val="29183639"/>
    <w:rsid w:val="292C2C40"/>
    <w:rsid w:val="293E4316"/>
    <w:rsid w:val="294127D7"/>
    <w:rsid w:val="294E6051"/>
    <w:rsid w:val="29787C34"/>
    <w:rsid w:val="29A547A1"/>
    <w:rsid w:val="29C410CB"/>
    <w:rsid w:val="29C6398F"/>
    <w:rsid w:val="29DF1CCB"/>
    <w:rsid w:val="29E17ECF"/>
    <w:rsid w:val="29E90D1D"/>
    <w:rsid w:val="29FD282F"/>
    <w:rsid w:val="2A020CBF"/>
    <w:rsid w:val="2A11688F"/>
    <w:rsid w:val="2A1B0C69"/>
    <w:rsid w:val="2A27165A"/>
    <w:rsid w:val="2A351FC9"/>
    <w:rsid w:val="2A424D20"/>
    <w:rsid w:val="2A4A2EAA"/>
    <w:rsid w:val="2A510807"/>
    <w:rsid w:val="2A522B7B"/>
    <w:rsid w:val="2A5306A1"/>
    <w:rsid w:val="2A6B1546"/>
    <w:rsid w:val="2A7918AF"/>
    <w:rsid w:val="2A897878"/>
    <w:rsid w:val="2A932D82"/>
    <w:rsid w:val="2AAB4039"/>
    <w:rsid w:val="2AAF3B29"/>
    <w:rsid w:val="2AB07B22"/>
    <w:rsid w:val="2AB654B5"/>
    <w:rsid w:val="2AC4736E"/>
    <w:rsid w:val="2AC94BBC"/>
    <w:rsid w:val="2ACD0453"/>
    <w:rsid w:val="2AD029E2"/>
    <w:rsid w:val="2AED223B"/>
    <w:rsid w:val="2AF7102C"/>
    <w:rsid w:val="2AF861BA"/>
    <w:rsid w:val="2B065713"/>
    <w:rsid w:val="2B0D6AA1"/>
    <w:rsid w:val="2B11417F"/>
    <w:rsid w:val="2B3109E2"/>
    <w:rsid w:val="2B367DA6"/>
    <w:rsid w:val="2B454FC8"/>
    <w:rsid w:val="2B512E32"/>
    <w:rsid w:val="2B522706"/>
    <w:rsid w:val="2B5A7C7C"/>
    <w:rsid w:val="2B63442E"/>
    <w:rsid w:val="2B674404"/>
    <w:rsid w:val="2B6C5576"/>
    <w:rsid w:val="2B6D7311"/>
    <w:rsid w:val="2B7177A9"/>
    <w:rsid w:val="2B74267D"/>
    <w:rsid w:val="2B852ADC"/>
    <w:rsid w:val="2B996587"/>
    <w:rsid w:val="2BC17F83"/>
    <w:rsid w:val="2BC5737C"/>
    <w:rsid w:val="2BC902D5"/>
    <w:rsid w:val="2BD355F5"/>
    <w:rsid w:val="2BE01EB4"/>
    <w:rsid w:val="2BE643B4"/>
    <w:rsid w:val="2BEB6DE3"/>
    <w:rsid w:val="2BED3CB8"/>
    <w:rsid w:val="2BF0264B"/>
    <w:rsid w:val="2BF27BB5"/>
    <w:rsid w:val="2BF33EE9"/>
    <w:rsid w:val="2BF65788"/>
    <w:rsid w:val="2C2E3173"/>
    <w:rsid w:val="2C412EA7"/>
    <w:rsid w:val="2C5030EA"/>
    <w:rsid w:val="2C532BDA"/>
    <w:rsid w:val="2C534988"/>
    <w:rsid w:val="2C5A3F68"/>
    <w:rsid w:val="2C6708D1"/>
    <w:rsid w:val="2C6852A9"/>
    <w:rsid w:val="2C792640"/>
    <w:rsid w:val="2C7C3EDF"/>
    <w:rsid w:val="2C8068DD"/>
    <w:rsid w:val="2C972810"/>
    <w:rsid w:val="2C9F3729"/>
    <w:rsid w:val="2CA3146B"/>
    <w:rsid w:val="2CC633AC"/>
    <w:rsid w:val="2CF577ED"/>
    <w:rsid w:val="2D016192"/>
    <w:rsid w:val="2D17277F"/>
    <w:rsid w:val="2D281971"/>
    <w:rsid w:val="2D410C84"/>
    <w:rsid w:val="2D502C75"/>
    <w:rsid w:val="2D5664DE"/>
    <w:rsid w:val="2D6F535B"/>
    <w:rsid w:val="2D766B80"/>
    <w:rsid w:val="2D7971C6"/>
    <w:rsid w:val="2D8E2DF0"/>
    <w:rsid w:val="2D9A4A11"/>
    <w:rsid w:val="2D9B0395"/>
    <w:rsid w:val="2D9C5EBB"/>
    <w:rsid w:val="2DD13DB6"/>
    <w:rsid w:val="2DFB0E33"/>
    <w:rsid w:val="2E114561"/>
    <w:rsid w:val="2E255193"/>
    <w:rsid w:val="2E2A6AAB"/>
    <w:rsid w:val="2E3305CD"/>
    <w:rsid w:val="2E513149"/>
    <w:rsid w:val="2E7F52E1"/>
    <w:rsid w:val="2E9949CD"/>
    <w:rsid w:val="2EA17C2D"/>
    <w:rsid w:val="2EAB3BA0"/>
    <w:rsid w:val="2EBE07DF"/>
    <w:rsid w:val="2EC549F9"/>
    <w:rsid w:val="2EC5717E"/>
    <w:rsid w:val="2ECA7717"/>
    <w:rsid w:val="2ED406E8"/>
    <w:rsid w:val="2EDC6090"/>
    <w:rsid w:val="2EE63891"/>
    <w:rsid w:val="2EE6563F"/>
    <w:rsid w:val="2EE67D35"/>
    <w:rsid w:val="2F034443"/>
    <w:rsid w:val="2F4607D4"/>
    <w:rsid w:val="2F490108"/>
    <w:rsid w:val="2F544078"/>
    <w:rsid w:val="2F634EE2"/>
    <w:rsid w:val="2F81253B"/>
    <w:rsid w:val="2F9B467C"/>
    <w:rsid w:val="2FA07574"/>
    <w:rsid w:val="2FA554FB"/>
    <w:rsid w:val="2FB709B0"/>
    <w:rsid w:val="2FC96724"/>
    <w:rsid w:val="30032221"/>
    <w:rsid w:val="30105F91"/>
    <w:rsid w:val="30405223"/>
    <w:rsid w:val="30506FE0"/>
    <w:rsid w:val="305674EF"/>
    <w:rsid w:val="306A2B50"/>
    <w:rsid w:val="30782C0F"/>
    <w:rsid w:val="307A6987"/>
    <w:rsid w:val="30843362"/>
    <w:rsid w:val="309E2150"/>
    <w:rsid w:val="30A25EDE"/>
    <w:rsid w:val="30A53990"/>
    <w:rsid w:val="30A91A23"/>
    <w:rsid w:val="30B25424"/>
    <w:rsid w:val="30B5036B"/>
    <w:rsid w:val="30C70546"/>
    <w:rsid w:val="31087379"/>
    <w:rsid w:val="312468F3"/>
    <w:rsid w:val="316E375D"/>
    <w:rsid w:val="31722DE3"/>
    <w:rsid w:val="317A57A7"/>
    <w:rsid w:val="31A17F44"/>
    <w:rsid w:val="31A55C86"/>
    <w:rsid w:val="31A737AC"/>
    <w:rsid w:val="31CB1F89"/>
    <w:rsid w:val="320A7897"/>
    <w:rsid w:val="32130E41"/>
    <w:rsid w:val="321B7CF6"/>
    <w:rsid w:val="321E77E6"/>
    <w:rsid w:val="32297AFD"/>
    <w:rsid w:val="322F3459"/>
    <w:rsid w:val="32346C69"/>
    <w:rsid w:val="32394CA9"/>
    <w:rsid w:val="32435C97"/>
    <w:rsid w:val="32586854"/>
    <w:rsid w:val="32700AC1"/>
    <w:rsid w:val="32721814"/>
    <w:rsid w:val="32806CA0"/>
    <w:rsid w:val="32BA12BD"/>
    <w:rsid w:val="32C15FF8"/>
    <w:rsid w:val="32CC2D9E"/>
    <w:rsid w:val="32D66952"/>
    <w:rsid w:val="32DD3D4A"/>
    <w:rsid w:val="32E96D73"/>
    <w:rsid w:val="32EB483E"/>
    <w:rsid w:val="32F04786"/>
    <w:rsid w:val="331C3D26"/>
    <w:rsid w:val="33291F9F"/>
    <w:rsid w:val="33370FEA"/>
    <w:rsid w:val="333E1EEE"/>
    <w:rsid w:val="335C0083"/>
    <w:rsid w:val="33754C06"/>
    <w:rsid w:val="3378463D"/>
    <w:rsid w:val="337C6572"/>
    <w:rsid w:val="33BC2E13"/>
    <w:rsid w:val="33D463AE"/>
    <w:rsid w:val="33E35BA8"/>
    <w:rsid w:val="34254E5C"/>
    <w:rsid w:val="342804A8"/>
    <w:rsid w:val="346239BA"/>
    <w:rsid w:val="34724719"/>
    <w:rsid w:val="34921223"/>
    <w:rsid w:val="34955FD2"/>
    <w:rsid w:val="3498562E"/>
    <w:rsid w:val="34A30758"/>
    <w:rsid w:val="34BA45C5"/>
    <w:rsid w:val="34BB756E"/>
    <w:rsid w:val="34DC1AF0"/>
    <w:rsid w:val="34E24AFB"/>
    <w:rsid w:val="34FB5BBD"/>
    <w:rsid w:val="34FF56AD"/>
    <w:rsid w:val="351C00C1"/>
    <w:rsid w:val="352E7D40"/>
    <w:rsid w:val="35325A82"/>
    <w:rsid w:val="35337105"/>
    <w:rsid w:val="353C420B"/>
    <w:rsid w:val="355754E9"/>
    <w:rsid w:val="35577297"/>
    <w:rsid w:val="355C7475"/>
    <w:rsid w:val="356D07FD"/>
    <w:rsid w:val="35765431"/>
    <w:rsid w:val="357E0CC8"/>
    <w:rsid w:val="358C3E1D"/>
    <w:rsid w:val="359120CE"/>
    <w:rsid w:val="359C2EFC"/>
    <w:rsid w:val="35A87AF3"/>
    <w:rsid w:val="35C97A69"/>
    <w:rsid w:val="35E36D7D"/>
    <w:rsid w:val="35EF383D"/>
    <w:rsid w:val="36062E3D"/>
    <w:rsid w:val="360C2B63"/>
    <w:rsid w:val="360D5BA8"/>
    <w:rsid w:val="36173C37"/>
    <w:rsid w:val="361A2790"/>
    <w:rsid w:val="364F7F6E"/>
    <w:rsid w:val="365B0D17"/>
    <w:rsid w:val="36653C36"/>
    <w:rsid w:val="3679148F"/>
    <w:rsid w:val="36835E6A"/>
    <w:rsid w:val="368F0E8A"/>
    <w:rsid w:val="36A52284"/>
    <w:rsid w:val="36C941C4"/>
    <w:rsid w:val="36F56D7F"/>
    <w:rsid w:val="371116C7"/>
    <w:rsid w:val="373A0397"/>
    <w:rsid w:val="374C2700"/>
    <w:rsid w:val="37517D16"/>
    <w:rsid w:val="37563943"/>
    <w:rsid w:val="375D1149"/>
    <w:rsid w:val="379C139A"/>
    <w:rsid w:val="37BF18B3"/>
    <w:rsid w:val="37D56B99"/>
    <w:rsid w:val="37F30DCD"/>
    <w:rsid w:val="381807A6"/>
    <w:rsid w:val="382E4232"/>
    <w:rsid w:val="38381034"/>
    <w:rsid w:val="38487848"/>
    <w:rsid w:val="38507FCD"/>
    <w:rsid w:val="38717B72"/>
    <w:rsid w:val="38750761"/>
    <w:rsid w:val="38804D57"/>
    <w:rsid w:val="38B96C99"/>
    <w:rsid w:val="38C84008"/>
    <w:rsid w:val="38F368E2"/>
    <w:rsid w:val="38F92413"/>
    <w:rsid w:val="39406294"/>
    <w:rsid w:val="396E0276"/>
    <w:rsid w:val="397B79C7"/>
    <w:rsid w:val="398C433A"/>
    <w:rsid w:val="39965EB4"/>
    <w:rsid w:val="39972358"/>
    <w:rsid w:val="39987E7E"/>
    <w:rsid w:val="399E5831"/>
    <w:rsid w:val="39C12F31"/>
    <w:rsid w:val="39EB4452"/>
    <w:rsid w:val="39FC040D"/>
    <w:rsid w:val="3A0472C2"/>
    <w:rsid w:val="3A2B0CF2"/>
    <w:rsid w:val="3A303BAF"/>
    <w:rsid w:val="3A321D29"/>
    <w:rsid w:val="3A3E1146"/>
    <w:rsid w:val="3A6D30B9"/>
    <w:rsid w:val="3A790A95"/>
    <w:rsid w:val="3AA02AB4"/>
    <w:rsid w:val="3AAF547F"/>
    <w:rsid w:val="3AD27A96"/>
    <w:rsid w:val="3ADE7B13"/>
    <w:rsid w:val="3AE2791F"/>
    <w:rsid w:val="3AF85078"/>
    <w:rsid w:val="3B0E664A"/>
    <w:rsid w:val="3B0F4119"/>
    <w:rsid w:val="3B4E004F"/>
    <w:rsid w:val="3B5E633C"/>
    <w:rsid w:val="3B6562DF"/>
    <w:rsid w:val="3B7312B9"/>
    <w:rsid w:val="3B847F81"/>
    <w:rsid w:val="3B9E47CD"/>
    <w:rsid w:val="3BB16FD5"/>
    <w:rsid w:val="3BDF7FE6"/>
    <w:rsid w:val="3BF75330"/>
    <w:rsid w:val="3BF770DE"/>
    <w:rsid w:val="3BF84C04"/>
    <w:rsid w:val="3BF87588"/>
    <w:rsid w:val="3C047A4D"/>
    <w:rsid w:val="3C0D06AF"/>
    <w:rsid w:val="3C3420E0"/>
    <w:rsid w:val="3C5A141B"/>
    <w:rsid w:val="3C7C39AC"/>
    <w:rsid w:val="3C8A3384"/>
    <w:rsid w:val="3C9C5234"/>
    <w:rsid w:val="3CA408E8"/>
    <w:rsid w:val="3CA52FDE"/>
    <w:rsid w:val="3CD75376"/>
    <w:rsid w:val="3CEA09F1"/>
    <w:rsid w:val="3CF37BF5"/>
    <w:rsid w:val="3D3F16FF"/>
    <w:rsid w:val="3D485717"/>
    <w:rsid w:val="3D72044D"/>
    <w:rsid w:val="3D90787E"/>
    <w:rsid w:val="3D962926"/>
    <w:rsid w:val="3DBE509A"/>
    <w:rsid w:val="3DC04B01"/>
    <w:rsid w:val="3DD60F75"/>
    <w:rsid w:val="3DE471D9"/>
    <w:rsid w:val="3E1877DF"/>
    <w:rsid w:val="3E2241BA"/>
    <w:rsid w:val="3E2717D1"/>
    <w:rsid w:val="3E38578C"/>
    <w:rsid w:val="3E43485C"/>
    <w:rsid w:val="3E4405D4"/>
    <w:rsid w:val="3E50538B"/>
    <w:rsid w:val="3E543DC7"/>
    <w:rsid w:val="3E5F0F6A"/>
    <w:rsid w:val="3E6842AE"/>
    <w:rsid w:val="3E686071"/>
    <w:rsid w:val="3E6A003B"/>
    <w:rsid w:val="3E774ED1"/>
    <w:rsid w:val="3E7A5DA4"/>
    <w:rsid w:val="3E9560B7"/>
    <w:rsid w:val="3E974BA8"/>
    <w:rsid w:val="3EAD4561"/>
    <w:rsid w:val="3EB5502E"/>
    <w:rsid w:val="3ECA1683"/>
    <w:rsid w:val="3EDA5FC1"/>
    <w:rsid w:val="3F057FEE"/>
    <w:rsid w:val="3F0A35CC"/>
    <w:rsid w:val="3F204B9E"/>
    <w:rsid w:val="3F435726"/>
    <w:rsid w:val="3F591E5E"/>
    <w:rsid w:val="3F5B5BD6"/>
    <w:rsid w:val="3F620D12"/>
    <w:rsid w:val="3F634A8A"/>
    <w:rsid w:val="3F7015CA"/>
    <w:rsid w:val="3F72705C"/>
    <w:rsid w:val="3F781209"/>
    <w:rsid w:val="3F7D78FA"/>
    <w:rsid w:val="3F850EA5"/>
    <w:rsid w:val="3F8714EC"/>
    <w:rsid w:val="3F9F1093"/>
    <w:rsid w:val="3FAC2374"/>
    <w:rsid w:val="3FCC262F"/>
    <w:rsid w:val="3FD33F63"/>
    <w:rsid w:val="3FEC2CD2"/>
    <w:rsid w:val="403D4CF2"/>
    <w:rsid w:val="403E177F"/>
    <w:rsid w:val="40556AC9"/>
    <w:rsid w:val="407C4056"/>
    <w:rsid w:val="4081166C"/>
    <w:rsid w:val="40A435AC"/>
    <w:rsid w:val="40C8729B"/>
    <w:rsid w:val="40D61330"/>
    <w:rsid w:val="411918A4"/>
    <w:rsid w:val="41197C65"/>
    <w:rsid w:val="41214BFD"/>
    <w:rsid w:val="412A1D04"/>
    <w:rsid w:val="413E2C75"/>
    <w:rsid w:val="414C3A28"/>
    <w:rsid w:val="414F52C6"/>
    <w:rsid w:val="417E40C0"/>
    <w:rsid w:val="418A09F4"/>
    <w:rsid w:val="41CA5CC4"/>
    <w:rsid w:val="41F01EAA"/>
    <w:rsid w:val="42297686"/>
    <w:rsid w:val="422B5D33"/>
    <w:rsid w:val="42552980"/>
    <w:rsid w:val="426B25D4"/>
    <w:rsid w:val="426B5681"/>
    <w:rsid w:val="42727268"/>
    <w:rsid w:val="427D5E63"/>
    <w:rsid w:val="42A653BA"/>
    <w:rsid w:val="42C65A5C"/>
    <w:rsid w:val="42C944B4"/>
    <w:rsid w:val="42D02437"/>
    <w:rsid w:val="42F205FF"/>
    <w:rsid w:val="42F23D5F"/>
    <w:rsid w:val="42F44377"/>
    <w:rsid w:val="43071151"/>
    <w:rsid w:val="431247FD"/>
    <w:rsid w:val="431E13F4"/>
    <w:rsid w:val="4326474D"/>
    <w:rsid w:val="436361B0"/>
    <w:rsid w:val="439E42E3"/>
    <w:rsid w:val="43A80903"/>
    <w:rsid w:val="43E20674"/>
    <w:rsid w:val="43EA577A"/>
    <w:rsid w:val="43EB73AA"/>
    <w:rsid w:val="43F565F9"/>
    <w:rsid w:val="44136783"/>
    <w:rsid w:val="44150A49"/>
    <w:rsid w:val="44233E12"/>
    <w:rsid w:val="445350CD"/>
    <w:rsid w:val="446A46FF"/>
    <w:rsid w:val="447D2BAF"/>
    <w:rsid w:val="44833538"/>
    <w:rsid w:val="44935E12"/>
    <w:rsid w:val="44A818BD"/>
    <w:rsid w:val="44C1472D"/>
    <w:rsid w:val="44CD4E80"/>
    <w:rsid w:val="44D22DE7"/>
    <w:rsid w:val="44D426B2"/>
    <w:rsid w:val="44D473C9"/>
    <w:rsid w:val="44E03886"/>
    <w:rsid w:val="44E20B2F"/>
    <w:rsid w:val="44E24DB2"/>
    <w:rsid w:val="44E714C2"/>
    <w:rsid w:val="44EA1B73"/>
    <w:rsid w:val="44EB0FE7"/>
    <w:rsid w:val="44FC39B7"/>
    <w:rsid w:val="450A4C54"/>
    <w:rsid w:val="452A76F8"/>
    <w:rsid w:val="453942C3"/>
    <w:rsid w:val="453A148C"/>
    <w:rsid w:val="45667082"/>
    <w:rsid w:val="456B41CA"/>
    <w:rsid w:val="458B6AE9"/>
    <w:rsid w:val="459C7154"/>
    <w:rsid w:val="45B147A1"/>
    <w:rsid w:val="45CC15DB"/>
    <w:rsid w:val="45CE5353"/>
    <w:rsid w:val="45E36925"/>
    <w:rsid w:val="461B13FB"/>
    <w:rsid w:val="461B710B"/>
    <w:rsid w:val="462676C7"/>
    <w:rsid w:val="466435C2"/>
    <w:rsid w:val="46674E60"/>
    <w:rsid w:val="46732210"/>
    <w:rsid w:val="46771BE6"/>
    <w:rsid w:val="46846EDC"/>
    <w:rsid w:val="46946151"/>
    <w:rsid w:val="46A359CC"/>
    <w:rsid w:val="46B553BE"/>
    <w:rsid w:val="46D01214"/>
    <w:rsid w:val="46D21C8C"/>
    <w:rsid w:val="46D87B0C"/>
    <w:rsid w:val="47134FE8"/>
    <w:rsid w:val="471C1660"/>
    <w:rsid w:val="472E6609"/>
    <w:rsid w:val="47305B9A"/>
    <w:rsid w:val="474D51C6"/>
    <w:rsid w:val="47713C7F"/>
    <w:rsid w:val="477261B2"/>
    <w:rsid w:val="47783365"/>
    <w:rsid w:val="478D6B48"/>
    <w:rsid w:val="478F41FD"/>
    <w:rsid w:val="479640A9"/>
    <w:rsid w:val="47AC3472"/>
    <w:rsid w:val="47D227AD"/>
    <w:rsid w:val="47E10C1D"/>
    <w:rsid w:val="47EC1AC1"/>
    <w:rsid w:val="482079BC"/>
    <w:rsid w:val="4821760A"/>
    <w:rsid w:val="48291245"/>
    <w:rsid w:val="484E254C"/>
    <w:rsid w:val="485B6C46"/>
    <w:rsid w:val="48662BA5"/>
    <w:rsid w:val="48744696"/>
    <w:rsid w:val="48981C49"/>
    <w:rsid w:val="490B41C9"/>
    <w:rsid w:val="490E3CB9"/>
    <w:rsid w:val="49137521"/>
    <w:rsid w:val="491D3164"/>
    <w:rsid w:val="49303C2F"/>
    <w:rsid w:val="494823F1"/>
    <w:rsid w:val="49553696"/>
    <w:rsid w:val="495A05DD"/>
    <w:rsid w:val="495E69EE"/>
    <w:rsid w:val="49610ABA"/>
    <w:rsid w:val="49B04D70"/>
    <w:rsid w:val="49BB74BE"/>
    <w:rsid w:val="49BD7ADA"/>
    <w:rsid w:val="49C83E68"/>
    <w:rsid w:val="49FC1D63"/>
    <w:rsid w:val="4A2E4398"/>
    <w:rsid w:val="4A301A0D"/>
    <w:rsid w:val="4A350BE4"/>
    <w:rsid w:val="4A421E6C"/>
    <w:rsid w:val="4A4756D4"/>
    <w:rsid w:val="4A8204BA"/>
    <w:rsid w:val="4A8775D1"/>
    <w:rsid w:val="4A8A3813"/>
    <w:rsid w:val="4A8C30E7"/>
    <w:rsid w:val="4AA757D8"/>
    <w:rsid w:val="4AB56AE2"/>
    <w:rsid w:val="4AC41B32"/>
    <w:rsid w:val="4AC558EE"/>
    <w:rsid w:val="4ACE3700"/>
    <w:rsid w:val="4AEC1002"/>
    <w:rsid w:val="4AF55130"/>
    <w:rsid w:val="4AF6380F"/>
    <w:rsid w:val="4B047121"/>
    <w:rsid w:val="4B0C5FD6"/>
    <w:rsid w:val="4B17589E"/>
    <w:rsid w:val="4B3113E2"/>
    <w:rsid w:val="4B391DA4"/>
    <w:rsid w:val="4B492A9E"/>
    <w:rsid w:val="4B5E6486"/>
    <w:rsid w:val="4B6127C6"/>
    <w:rsid w:val="4B63568F"/>
    <w:rsid w:val="4B666BB6"/>
    <w:rsid w:val="4B683B54"/>
    <w:rsid w:val="4B8E10E1"/>
    <w:rsid w:val="4B996BD0"/>
    <w:rsid w:val="4B9D5296"/>
    <w:rsid w:val="4BA3693A"/>
    <w:rsid w:val="4BEF1B80"/>
    <w:rsid w:val="4BF03B4A"/>
    <w:rsid w:val="4BF76C86"/>
    <w:rsid w:val="4BFE0015"/>
    <w:rsid w:val="4C2B6930"/>
    <w:rsid w:val="4C35155C"/>
    <w:rsid w:val="4C3D6D8F"/>
    <w:rsid w:val="4C3F5444"/>
    <w:rsid w:val="4C682E9E"/>
    <w:rsid w:val="4C8D3147"/>
    <w:rsid w:val="4CA7245A"/>
    <w:rsid w:val="4CAE6D08"/>
    <w:rsid w:val="4CBD57DA"/>
    <w:rsid w:val="4CDF7E46"/>
    <w:rsid w:val="4CE25C17"/>
    <w:rsid w:val="4CFF4B86"/>
    <w:rsid w:val="4D165792"/>
    <w:rsid w:val="4D2B629C"/>
    <w:rsid w:val="4D505D9D"/>
    <w:rsid w:val="4D50664E"/>
    <w:rsid w:val="4D565C2E"/>
    <w:rsid w:val="4D603FF5"/>
    <w:rsid w:val="4D7367E0"/>
    <w:rsid w:val="4D7544C6"/>
    <w:rsid w:val="4D7B0486"/>
    <w:rsid w:val="4D7B3677"/>
    <w:rsid w:val="4DAD3AA0"/>
    <w:rsid w:val="4DDD0F66"/>
    <w:rsid w:val="4DEC63D5"/>
    <w:rsid w:val="4E071685"/>
    <w:rsid w:val="4E0A4CE6"/>
    <w:rsid w:val="4E0B4C6B"/>
    <w:rsid w:val="4E361CE8"/>
    <w:rsid w:val="4E4C3CE6"/>
    <w:rsid w:val="4E6F0D56"/>
    <w:rsid w:val="4E740A62"/>
    <w:rsid w:val="4E8642F1"/>
    <w:rsid w:val="4E885413"/>
    <w:rsid w:val="4EA772D4"/>
    <w:rsid w:val="4EB946C7"/>
    <w:rsid w:val="4EC512BE"/>
    <w:rsid w:val="4ED14E60"/>
    <w:rsid w:val="4EDD2163"/>
    <w:rsid w:val="4EE15AE8"/>
    <w:rsid w:val="4EE74D90"/>
    <w:rsid w:val="4EFB6A8D"/>
    <w:rsid w:val="4F1C0718"/>
    <w:rsid w:val="4F1F09CE"/>
    <w:rsid w:val="4F2002A2"/>
    <w:rsid w:val="4F367AC5"/>
    <w:rsid w:val="4F461068"/>
    <w:rsid w:val="4F6603AB"/>
    <w:rsid w:val="4F6C0F32"/>
    <w:rsid w:val="4F7D6837"/>
    <w:rsid w:val="4F8151E4"/>
    <w:rsid w:val="4F980780"/>
    <w:rsid w:val="4F9A2A6C"/>
    <w:rsid w:val="4F9A44F8"/>
    <w:rsid w:val="4F9D514F"/>
    <w:rsid w:val="4F9F38BD"/>
    <w:rsid w:val="4FB15CA7"/>
    <w:rsid w:val="4FB25CF5"/>
    <w:rsid w:val="4FB50D87"/>
    <w:rsid w:val="4FB76E58"/>
    <w:rsid w:val="4FC74BC1"/>
    <w:rsid w:val="4FC926E8"/>
    <w:rsid w:val="4FD6333A"/>
    <w:rsid w:val="4FE13ED5"/>
    <w:rsid w:val="4FE95A43"/>
    <w:rsid w:val="50106568"/>
    <w:rsid w:val="501108E6"/>
    <w:rsid w:val="50111814"/>
    <w:rsid w:val="501E106D"/>
    <w:rsid w:val="50383588"/>
    <w:rsid w:val="50476276"/>
    <w:rsid w:val="504D156B"/>
    <w:rsid w:val="5051457C"/>
    <w:rsid w:val="50525383"/>
    <w:rsid w:val="505A4B1C"/>
    <w:rsid w:val="50620693"/>
    <w:rsid w:val="50667CEE"/>
    <w:rsid w:val="506A211C"/>
    <w:rsid w:val="506B19F1"/>
    <w:rsid w:val="5074015B"/>
    <w:rsid w:val="50747B0E"/>
    <w:rsid w:val="50800F31"/>
    <w:rsid w:val="50812FC2"/>
    <w:rsid w:val="5093166F"/>
    <w:rsid w:val="50BC1CEC"/>
    <w:rsid w:val="50BD225A"/>
    <w:rsid w:val="50C35389"/>
    <w:rsid w:val="50F17972"/>
    <w:rsid w:val="511D7E7F"/>
    <w:rsid w:val="513D338D"/>
    <w:rsid w:val="513F75DA"/>
    <w:rsid w:val="51570C6F"/>
    <w:rsid w:val="517321A0"/>
    <w:rsid w:val="517A6D4B"/>
    <w:rsid w:val="51856AE2"/>
    <w:rsid w:val="519A258E"/>
    <w:rsid w:val="519F4486"/>
    <w:rsid w:val="51A72EFC"/>
    <w:rsid w:val="51A74305"/>
    <w:rsid w:val="51A927D1"/>
    <w:rsid w:val="51C4760A"/>
    <w:rsid w:val="51DE67B7"/>
    <w:rsid w:val="51E41A5B"/>
    <w:rsid w:val="51EB0955"/>
    <w:rsid w:val="51F11A9F"/>
    <w:rsid w:val="51F86065"/>
    <w:rsid w:val="520619D1"/>
    <w:rsid w:val="520839FB"/>
    <w:rsid w:val="522925FF"/>
    <w:rsid w:val="522B1438"/>
    <w:rsid w:val="522C1C1A"/>
    <w:rsid w:val="523429E2"/>
    <w:rsid w:val="52362032"/>
    <w:rsid w:val="523E5D6C"/>
    <w:rsid w:val="523F3135"/>
    <w:rsid w:val="52495D62"/>
    <w:rsid w:val="526B27DD"/>
    <w:rsid w:val="5288688A"/>
    <w:rsid w:val="528D161E"/>
    <w:rsid w:val="52A336C4"/>
    <w:rsid w:val="52B92EE7"/>
    <w:rsid w:val="52D7336D"/>
    <w:rsid w:val="52D84868"/>
    <w:rsid w:val="52E53CDC"/>
    <w:rsid w:val="530103EA"/>
    <w:rsid w:val="53195734"/>
    <w:rsid w:val="53235D2E"/>
    <w:rsid w:val="53415339"/>
    <w:rsid w:val="53670B95"/>
    <w:rsid w:val="537C2E9C"/>
    <w:rsid w:val="53A05E55"/>
    <w:rsid w:val="53BD6A07"/>
    <w:rsid w:val="53C37D67"/>
    <w:rsid w:val="53C66F72"/>
    <w:rsid w:val="53E126F6"/>
    <w:rsid w:val="53E27438"/>
    <w:rsid w:val="53F305D5"/>
    <w:rsid w:val="53F57F4F"/>
    <w:rsid w:val="542D67DB"/>
    <w:rsid w:val="54316AAD"/>
    <w:rsid w:val="543C3DD0"/>
    <w:rsid w:val="54554569"/>
    <w:rsid w:val="545F361A"/>
    <w:rsid w:val="546E760A"/>
    <w:rsid w:val="546F6F25"/>
    <w:rsid w:val="547468B2"/>
    <w:rsid w:val="548B667E"/>
    <w:rsid w:val="54A85821"/>
    <w:rsid w:val="54CD4A28"/>
    <w:rsid w:val="54D47B64"/>
    <w:rsid w:val="54DA3940"/>
    <w:rsid w:val="54DA7145"/>
    <w:rsid w:val="54DE6C35"/>
    <w:rsid w:val="54E81862"/>
    <w:rsid w:val="54ED345A"/>
    <w:rsid w:val="54F414A4"/>
    <w:rsid w:val="55074B5A"/>
    <w:rsid w:val="55202DAA"/>
    <w:rsid w:val="55376345"/>
    <w:rsid w:val="553E1482"/>
    <w:rsid w:val="554F7B33"/>
    <w:rsid w:val="55530427"/>
    <w:rsid w:val="555A1DC6"/>
    <w:rsid w:val="5579541F"/>
    <w:rsid w:val="55825812"/>
    <w:rsid w:val="5588094F"/>
    <w:rsid w:val="559B0682"/>
    <w:rsid w:val="55BA31FE"/>
    <w:rsid w:val="55D63DB0"/>
    <w:rsid w:val="55D87B28"/>
    <w:rsid w:val="55DA73FC"/>
    <w:rsid w:val="55E42029"/>
    <w:rsid w:val="55FA3DFE"/>
    <w:rsid w:val="560E52F8"/>
    <w:rsid w:val="561C1DF7"/>
    <w:rsid w:val="561D378D"/>
    <w:rsid w:val="561E0347"/>
    <w:rsid w:val="56262CB0"/>
    <w:rsid w:val="563805C7"/>
    <w:rsid w:val="56474C84"/>
    <w:rsid w:val="56786C15"/>
    <w:rsid w:val="56813D1C"/>
    <w:rsid w:val="56921A85"/>
    <w:rsid w:val="56933A4F"/>
    <w:rsid w:val="56A96DCF"/>
    <w:rsid w:val="56B0733F"/>
    <w:rsid w:val="56C562EE"/>
    <w:rsid w:val="56C6140B"/>
    <w:rsid w:val="56C82710"/>
    <w:rsid w:val="56D06A51"/>
    <w:rsid w:val="56EA18C1"/>
    <w:rsid w:val="56EB5639"/>
    <w:rsid w:val="56FA587C"/>
    <w:rsid w:val="57087F99"/>
    <w:rsid w:val="57106E4E"/>
    <w:rsid w:val="573C60CD"/>
    <w:rsid w:val="575415CB"/>
    <w:rsid w:val="577536F9"/>
    <w:rsid w:val="579E445A"/>
    <w:rsid w:val="57B8376D"/>
    <w:rsid w:val="57BD5228"/>
    <w:rsid w:val="57BF5BC4"/>
    <w:rsid w:val="57C975DB"/>
    <w:rsid w:val="580E5A83"/>
    <w:rsid w:val="58164938"/>
    <w:rsid w:val="58213456"/>
    <w:rsid w:val="58240E03"/>
    <w:rsid w:val="5825158A"/>
    <w:rsid w:val="582E3475"/>
    <w:rsid w:val="58371DB9"/>
    <w:rsid w:val="58466D6B"/>
    <w:rsid w:val="584F7EF2"/>
    <w:rsid w:val="586456A3"/>
    <w:rsid w:val="58837E83"/>
    <w:rsid w:val="58896EB8"/>
    <w:rsid w:val="588B70D4"/>
    <w:rsid w:val="58B37ACE"/>
    <w:rsid w:val="58B73599"/>
    <w:rsid w:val="58B75292"/>
    <w:rsid w:val="58BC4D55"/>
    <w:rsid w:val="58BF6D7E"/>
    <w:rsid w:val="58C05D2A"/>
    <w:rsid w:val="58C61EBA"/>
    <w:rsid w:val="594D5C94"/>
    <w:rsid w:val="59981AA8"/>
    <w:rsid w:val="59B5219E"/>
    <w:rsid w:val="59B82194"/>
    <w:rsid w:val="59D851F4"/>
    <w:rsid w:val="59EC2FB2"/>
    <w:rsid w:val="59EF3692"/>
    <w:rsid w:val="5A0C522A"/>
    <w:rsid w:val="5A1651A2"/>
    <w:rsid w:val="5A1D3D5C"/>
    <w:rsid w:val="5A3317D1"/>
    <w:rsid w:val="5A3A2B60"/>
    <w:rsid w:val="5A427C66"/>
    <w:rsid w:val="5A517EA9"/>
    <w:rsid w:val="5A5D23AA"/>
    <w:rsid w:val="5A6C40FE"/>
    <w:rsid w:val="5A8042EB"/>
    <w:rsid w:val="5A8A7E13"/>
    <w:rsid w:val="5A9E067A"/>
    <w:rsid w:val="5AA26283"/>
    <w:rsid w:val="5AB53F94"/>
    <w:rsid w:val="5AC16DDD"/>
    <w:rsid w:val="5ACB7C5C"/>
    <w:rsid w:val="5ACE005D"/>
    <w:rsid w:val="5AE72210"/>
    <w:rsid w:val="5AF50835"/>
    <w:rsid w:val="5B043D7C"/>
    <w:rsid w:val="5B084A0C"/>
    <w:rsid w:val="5B215ACE"/>
    <w:rsid w:val="5B2345DF"/>
    <w:rsid w:val="5B242EC8"/>
    <w:rsid w:val="5B26198F"/>
    <w:rsid w:val="5B270FCB"/>
    <w:rsid w:val="5B286BC6"/>
    <w:rsid w:val="5B286E5C"/>
    <w:rsid w:val="5B321A89"/>
    <w:rsid w:val="5B6065F6"/>
    <w:rsid w:val="5B8A3673"/>
    <w:rsid w:val="5BBB2923"/>
    <w:rsid w:val="5BCA59B2"/>
    <w:rsid w:val="5BCF1086"/>
    <w:rsid w:val="5BDB0397"/>
    <w:rsid w:val="5BDB3ECE"/>
    <w:rsid w:val="5BE23CB3"/>
    <w:rsid w:val="5BE34E7F"/>
    <w:rsid w:val="5BEC49BF"/>
    <w:rsid w:val="5BF907F8"/>
    <w:rsid w:val="5C294C3A"/>
    <w:rsid w:val="5C341831"/>
    <w:rsid w:val="5C350A03"/>
    <w:rsid w:val="5C540CEB"/>
    <w:rsid w:val="5C6043D4"/>
    <w:rsid w:val="5C7B745F"/>
    <w:rsid w:val="5C874A01"/>
    <w:rsid w:val="5C913694"/>
    <w:rsid w:val="5C96601A"/>
    <w:rsid w:val="5C974299"/>
    <w:rsid w:val="5C9F314E"/>
    <w:rsid w:val="5CA40876"/>
    <w:rsid w:val="5D0E3E30"/>
    <w:rsid w:val="5D186A5C"/>
    <w:rsid w:val="5D2A2CDF"/>
    <w:rsid w:val="5D30024A"/>
    <w:rsid w:val="5D356701"/>
    <w:rsid w:val="5D361F20"/>
    <w:rsid w:val="5D3715D8"/>
    <w:rsid w:val="5D42351E"/>
    <w:rsid w:val="5D4567E9"/>
    <w:rsid w:val="5D4635C9"/>
    <w:rsid w:val="5D4855EF"/>
    <w:rsid w:val="5D5A7075"/>
    <w:rsid w:val="5D753247"/>
    <w:rsid w:val="5D973E25"/>
    <w:rsid w:val="5DB04EE7"/>
    <w:rsid w:val="5DBF512A"/>
    <w:rsid w:val="5DDD2180"/>
    <w:rsid w:val="5DEF5A0F"/>
    <w:rsid w:val="5E113BD7"/>
    <w:rsid w:val="5E5B30A5"/>
    <w:rsid w:val="5E6006BB"/>
    <w:rsid w:val="5E6341DD"/>
    <w:rsid w:val="5E734892"/>
    <w:rsid w:val="5E7973F4"/>
    <w:rsid w:val="5E975130"/>
    <w:rsid w:val="5E990595"/>
    <w:rsid w:val="5E9B5B97"/>
    <w:rsid w:val="5EB8080B"/>
    <w:rsid w:val="5EC96260"/>
    <w:rsid w:val="5EE9110F"/>
    <w:rsid w:val="5EFA0B0F"/>
    <w:rsid w:val="5F053F00"/>
    <w:rsid w:val="5F0D1409"/>
    <w:rsid w:val="5F3F6A72"/>
    <w:rsid w:val="5F4F0039"/>
    <w:rsid w:val="5F5003C9"/>
    <w:rsid w:val="5F506981"/>
    <w:rsid w:val="5F5D2E4C"/>
    <w:rsid w:val="5F697A43"/>
    <w:rsid w:val="5F7E34EF"/>
    <w:rsid w:val="5F881C77"/>
    <w:rsid w:val="5FB24F46"/>
    <w:rsid w:val="5FB756AF"/>
    <w:rsid w:val="5FB76F8F"/>
    <w:rsid w:val="5FDF3861"/>
    <w:rsid w:val="5FEC330E"/>
    <w:rsid w:val="5FF4555F"/>
    <w:rsid w:val="5FFE26B1"/>
    <w:rsid w:val="600664AF"/>
    <w:rsid w:val="60365B77"/>
    <w:rsid w:val="603E48FF"/>
    <w:rsid w:val="6045400C"/>
    <w:rsid w:val="604C0D0F"/>
    <w:rsid w:val="60657D45"/>
    <w:rsid w:val="606F1089"/>
    <w:rsid w:val="606F4BE5"/>
    <w:rsid w:val="60726FC9"/>
    <w:rsid w:val="608A5EC3"/>
    <w:rsid w:val="6098238E"/>
    <w:rsid w:val="60A800F7"/>
    <w:rsid w:val="60B464F7"/>
    <w:rsid w:val="60E07891"/>
    <w:rsid w:val="60E2185B"/>
    <w:rsid w:val="60E43A22"/>
    <w:rsid w:val="60F14772"/>
    <w:rsid w:val="610E08A2"/>
    <w:rsid w:val="6110289B"/>
    <w:rsid w:val="61382BD4"/>
    <w:rsid w:val="61630BEE"/>
    <w:rsid w:val="61642270"/>
    <w:rsid w:val="616D55C9"/>
    <w:rsid w:val="61777FF7"/>
    <w:rsid w:val="617821BF"/>
    <w:rsid w:val="61A42FB4"/>
    <w:rsid w:val="61A439AB"/>
    <w:rsid w:val="61A92379"/>
    <w:rsid w:val="61AD3C17"/>
    <w:rsid w:val="61B2747F"/>
    <w:rsid w:val="61BA6334"/>
    <w:rsid w:val="61ED6B42"/>
    <w:rsid w:val="61F963FD"/>
    <w:rsid w:val="62095AF3"/>
    <w:rsid w:val="621243C2"/>
    <w:rsid w:val="621719D8"/>
    <w:rsid w:val="621E4B15"/>
    <w:rsid w:val="621E5CC2"/>
    <w:rsid w:val="62210161"/>
    <w:rsid w:val="622140C6"/>
    <w:rsid w:val="622163B3"/>
    <w:rsid w:val="62496437"/>
    <w:rsid w:val="626968D5"/>
    <w:rsid w:val="628F77C1"/>
    <w:rsid w:val="62A82630"/>
    <w:rsid w:val="62C3746A"/>
    <w:rsid w:val="62E617AF"/>
    <w:rsid w:val="62FB23EA"/>
    <w:rsid w:val="63086863"/>
    <w:rsid w:val="632919C3"/>
    <w:rsid w:val="63381C06"/>
    <w:rsid w:val="633E13D1"/>
    <w:rsid w:val="63554509"/>
    <w:rsid w:val="636E5628"/>
    <w:rsid w:val="63730918"/>
    <w:rsid w:val="637A5D7B"/>
    <w:rsid w:val="63BD398E"/>
    <w:rsid w:val="63D469BA"/>
    <w:rsid w:val="63D97B78"/>
    <w:rsid w:val="63EC39A0"/>
    <w:rsid w:val="63FB0133"/>
    <w:rsid w:val="63FF248C"/>
    <w:rsid w:val="640B731B"/>
    <w:rsid w:val="640E5125"/>
    <w:rsid w:val="640F72BA"/>
    <w:rsid w:val="6410048D"/>
    <w:rsid w:val="641066DF"/>
    <w:rsid w:val="641B57B0"/>
    <w:rsid w:val="641C7510"/>
    <w:rsid w:val="642A4B6E"/>
    <w:rsid w:val="64303E47"/>
    <w:rsid w:val="6433260C"/>
    <w:rsid w:val="64357D9A"/>
    <w:rsid w:val="64391B01"/>
    <w:rsid w:val="643B477A"/>
    <w:rsid w:val="644C3818"/>
    <w:rsid w:val="64544BA2"/>
    <w:rsid w:val="646A4041"/>
    <w:rsid w:val="64BC0CA6"/>
    <w:rsid w:val="64C179D9"/>
    <w:rsid w:val="64D43BB1"/>
    <w:rsid w:val="64D73EDE"/>
    <w:rsid w:val="64E91A94"/>
    <w:rsid w:val="64F36CAE"/>
    <w:rsid w:val="64F41B5D"/>
    <w:rsid w:val="64F6240E"/>
    <w:rsid w:val="651F1286"/>
    <w:rsid w:val="653D3504"/>
    <w:rsid w:val="653E0219"/>
    <w:rsid w:val="654523B9"/>
    <w:rsid w:val="654E74BF"/>
    <w:rsid w:val="65562818"/>
    <w:rsid w:val="65586590"/>
    <w:rsid w:val="6562704F"/>
    <w:rsid w:val="65B17A4E"/>
    <w:rsid w:val="65DC4ACB"/>
    <w:rsid w:val="65E322FD"/>
    <w:rsid w:val="65E87914"/>
    <w:rsid w:val="65FD18F1"/>
    <w:rsid w:val="660D3A72"/>
    <w:rsid w:val="66214BD4"/>
    <w:rsid w:val="662769A1"/>
    <w:rsid w:val="662A2B0C"/>
    <w:rsid w:val="662B5A52"/>
    <w:rsid w:val="662E56E3"/>
    <w:rsid w:val="663A5C95"/>
    <w:rsid w:val="66567AB6"/>
    <w:rsid w:val="66594AA3"/>
    <w:rsid w:val="665A1E94"/>
    <w:rsid w:val="66612F0E"/>
    <w:rsid w:val="66644AC0"/>
    <w:rsid w:val="66682803"/>
    <w:rsid w:val="666D1BC7"/>
    <w:rsid w:val="6679056C"/>
    <w:rsid w:val="667961B0"/>
    <w:rsid w:val="66815672"/>
    <w:rsid w:val="66A355E9"/>
    <w:rsid w:val="66B21CD0"/>
    <w:rsid w:val="66D74F4C"/>
    <w:rsid w:val="66FE6CC3"/>
    <w:rsid w:val="67136C12"/>
    <w:rsid w:val="67240341"/>
    <w:rsid w:val="672801D6"/>
    <w:rsid w:val="67334DA0"/>
    <w:rsid w:val="673821D5"/>
    <w:rsid w:val="67472418"/>
    <w:rsid w:val="67523C88"/>
    <w:rsid w:val="677A0A3F"/>
    <w:rsid w:val="677B0314"/>
    <w:rsid w:val="6796339F"/>
    <w:rsid w:val="67A71109"/>
    <w:rsid w:val="67A902CE"/>
    <w:rsid w:val="67AB5B9E"/>
    <w:rsid w:val="67AF7FBD"/>
    <w:rsid w:val="67B51A77"/>
    <w:rsid w:val="67D30150"/>
    <w:rsid w:val="67EB7247"/>
    <w:rsid w:val="67FC0B68"/>
    <w:rsid w:val="68060525"/>
    <w:rsid w:val="68103152"/>
    <w:rsid w:val="681F15E7"/>
    <w:rsid w:val="68246BFD"/>
    <w:rsid w:val="68370D4F"/>
    <w:rsid w:val="683740E0"/>
    <w:rsid w:val="68476448"/>
    <w:rsid w:val="68611A0A"/>
    <w:rsid w:val="686D2352"/>
    <w:rsid w:val="68815DFE"/>
    <w:rsid w:val="68831B76"/>
    <w:rsid w:val="6897727D"/>
    <w:rsid w:val="689B650E"/>
    <w:rsid w:val="689C2C37"/>
    <w:rsid w:val="68A06E8C"/>
    <w:rsid w:val="68DB066B"/>
    <w:rsid w:val="68E1689C"/>
    <w:rsid w:val="68FB5BB0"/>
    <w:rsid w:val="690C3919"/>
    <w:rsid w:val="690F3409"/>
    <w:rsid w:val="691240E0"/>
    <w:rsid w:val="691B3B5C"/>
    <w:rsid w:val="691D5B26"/>
    <w:rsid w:val="69280027"/>
    <w:rsid w:val="692E35B4"/>
    <w:rsid w:val="69431F17"/>
    <w:rsid w:val="694E3F32"/>
    <w:rsid w:val="695452C0"/>
    <w:rsid w:val="69561038"/>
    <w:rsid w:val="6959539D"/>
    <w:rsid w:val="69731BEA"/>
    <w:rsid w:val="697509FA"/>
    <w:rsid w:val="69872FA0"/>
    <w:rsid w:val="698776CE"/>
    <w:rsid w:val="69935DE8"/>
    <w:rsid w:val="699A7F63"/>
    <w:rsid w:val="69BE02DB"/>
    <w:rsid w:val="69D41F5D"/>
    <w:rsid w:val="69DB153D"/>
    <w:rsid w:val="69E8675C"/>
    <w:rsid w:val="69F34AD9"/>
    <w:rsid w:val="69F85C4B"/>
    <w:rsid w:val="69FB573C"/>
    <w:rsid w:val="69FE1C76"/>
    <w:rsid w:val="6A0960AB"/>
    <w:rsid w:val="6A0B3BD1"/>
    <w:rsid w:val="6A0E546F"/>
    <w:rsid w:val="6A175A16"/>
    <w:rsid w:val="6A266C5C"/>
    <w:rsid w:val="6A2B4273"/>
    <w:rsid w:val="6A481F03"/>
    <w:rsid w:val="6A9B4D03"/>
    <w:rsid w:val="6AA42BFF"/>
    <w:rsid w:val="6AA67D9D"/>
    <w:rsid w:val="6AAB0F10"/>
    <w:rsid w:val="6AAF6C52"/>
    <w:rsid w:val="6AC41FD2"/>
    <w:rsid w:val="6ADA3A3E"/>
    <w:rsid w:val="6ADD1949"/>
    <w:rsid w:val="6AE461D0"/>
    <w:rsid w:val="6AEA5EDC"/>
    <w:rsid w:val="6AF705F9"/>
    <w:rsid w:val="6B014A19"/>
    <w:rsid w:val="6B160A7F"/>
    <w:rsid w:val="6B273B37"/>
    <w:rsid w:val="6B3B04E6"/>
    <w:rsid w:val="6B572E46"/>
    <w:rsid w:val="6B70570C"/>
    <w:rsid w:val="6B791415"/>
    <w:rsid w:val="6B94551F"/>
    <w:rsid w:val="6BA33A90"/>
    <w:rsid w:val="6BA8544F"/>
    <w:rsid w:val="6BB122F3"/>
    <w:rsid w:val="6BB81B36"/>
    <w:rsid w:val="6BDA5F51"/>
    <w:rsid w:val="6BF52F1B"/>
    <w:rsid w:val="6BFF1513"/>
    <w:rsid w:val="6C186A79"/>
    <w:rsid w:val="6C195BB1"/>
    <w:rsid w:val="6C1A1401"/>
    <w:rsid w:val="6C44161C"/>
    <w:rsid w:val="6C4909E0"/>
    <w:rsid w:val="6C57598C"/>
    <w:rsid w:val="6C812606"/>
    <w:rsid w:val="6C9E6F7E"/>
    <w:rsid w:val="6CA11A31"/>
    <w:rsid w:val="6CA33CEF"/>
    <w:rsid w:val="6CB5251A"/>
    <w:rsid w:val="6CC369E5"/>
    <w:rsid w:val="6CD209D6"/>
    <w:rsid w:val="6CFA7F2C"/>
    <w:rsid w:val="6D011CF4"/>
    <w:rsid w:val="6D062D75"/>
    <w:rsid w:val="6D0D7CC2"/>
    <w:rsid w:val="6D176B31"/>
    <w:rsid w:val="6D4C0636"/>
    <w:rsid w:val="6D617FAC"/>
    <w:rsid w:val="6D723F67"/>
    <w:rsid w:val="6DBE71AC"/>
    <w:rsid w:val="6DC76061"/>
    <w:rsid w:val="6DC9002B"/>
    <w:rsid w:val="6DD644F6"/>
    <w:rsid w:val="6DDD2EE0"/>
    <w:rsid w:val="6E1374F8"/>
    <w:rsid w:val="6E166FE8"/>
    <w:rsid w:val="6E1B5CDB"/>
    <w:rsid w:val="6E2E4332"/>
    <w:rsid w:val="6E30120B"/>
    <w:rsid w:val="6E3630E3"/>
    <w:rsid w:val="6E4B7973"/>
    <w:rsid w:val="6E4C3863"/>
    <w:rsid w:val="6E5B2C4D"/>
    <w:rsid w:val="6E7C5B14"/>
    <w:rsid w:val="6E7F2DDF"/>
    <w:rsid w:val="6E7F693B"/>
    <w:rsid w:val="6E810905"/>
    <w:rsid w:val="6E862D78"/>
    <w:rsid w:val="6EA17E97"/>
    <w:rsid w:val="6EB73CB1"/>
    <w:rsid w:val="6EB83BFB"/>
    <w:rsid w:val="6EC31970"/>
    <w:rsid w:val="6ED0363B"/>
    <w:rsid w:val="6ED749C9"/>
    <w:rsid w:val="6EDC0C2C"/>
    <w:rsid w:val="6EF73894"/>
    <w:rsid w:val="6EF92792"/>
    <w:rsid w:val="6EFC4430"/>
    <w:rsid w:val="6EFF7A7C"/>
    <w:rsid w:val="6F16554D"/>
    <w:rsid w:val="6F1E1004"/>
    <w:rsid w:val="6F2B1FBA"/>
    <w:rsid w:val="6F3040D9"/>
    <w:rsid w:val="6F5C0A2B"/>
    <w:rsid w:val="6F6A3147"/>
    <w:rsid w:val="6F7A60BD"/>
    <w:rsid w:val="6F82445E"/>
    <w:rsid w:val="6F8F7052"/>
    <w:rsid w:val="6FB57A55"/>
    <w:rsid w:val="6FC50CC6"/>
    <w:rsid w:val="6FCD3700"/>
    <w:rsid w:val="6FE0340A"/>
    <w:rsid w:val="702A0B29"/>
    <w:rsid w:val="70657DB3"/>
    <w:rsid w:val="707D6EAA"/>
    <w:rsid w:val="70926DFA"/>
    <w:rsid w:val="70A67F01"/>
    <w:rsid w:val="70AB3A18"/>
    <w:rsid w:val="70E250CE"/>
    <w:rsid w:val="70F27898"/>
    <w:rsid w:val="71193077"/>
    <w:rsid w:val="712B4B58"/>
    <w:rsid w:val="713954C7"/>
    <w:rsid w:val="713C4FB8"/>
    <w:rsid w:val="71791D68"/>
    <w:rsid w:val="71942602"/>
    <w:rsid w:val="719F49E4"/>
    <w:rsid w:val="71A15DCC"/>
    <w:rsid w:val="71CB2A38"/>
    <w:rsid w:val="71D62D16"/>
    <w:rsid w:val="71D84CE0"/>
    <w:rsid w:val="72014BEC"/>
    <w:rsid w:val="72127AC6"/>
    <w:rsid w:val="72181581"/>
    <w:rsid w:val="72226E2C"/>
    <w:rsid w:val="722C0B88"/>
    <w:rsid w:val="722C7F52"/>
    <w:rsid w:val="72444124"/>
    <w:rsid w:val="72491472"/>
    <w:rsid w:val="7249173A"/>
    <w:rsid w:val="72C40DC1"/>
    <w:rsid w:val="72D52FCE"/>
    <w:rsid w:val="72DA4A88"/>
    <w:rsid w:val="72E94CCB"/>
    <w:rsid w:val="73047407"/>
    <w:rsid w:val="730B69EF"/>
    <w:rsid w:val="730C2768"/>
    <w:rsid w:val="73155AC0"/>
    <w:rsid w:val="73247AB1"/>
    <w:rsid w:val="732934A9"/>
    <w:rsid w:val="732B52E4"/>
    <w:rsid w:val="73416AB6"/>
    <w:rsid w:val="73463ECB"/>
    <w:rsid w:val="734F3C71"/>
    <w:rsid w:val="73530396"/>
    <w:rsid w:val="735A1725"/>
    <w:rsid w:val="73685BF0"/>
    <w:rsid w:val="736B3932"/>
    <w:rsid w:val="73774085"/>
    <w:rsid w:val="7379604F"/>
    <w:rsid w:val="739D1E6C"/>
    <w:rsid w:val="73B34D2F"/>
    <w:rsid w:val="73B45214"/>
    <w:rsid w:val="73EB6821"/>
    <w:rsid w:val="73FB4CB6"/>
    <w:rsid w:val="73FC1035"/>
    <w:rsid w:val="74031DBD"/>
    <w:rsid w:val="74082F2F"/>
    <w:rsid w:val="740D2C3B"/>
    <w:rsid w:val="74157ED7"/>
    <w:rsid w:val="741B0EB4"/>
    <w:rsid w:val="741D2E7E"/>
    <w:rsid w:val="7431692A"/>
    <w:rsid w:val="74373814"/>
    <w:rsid w:val="74561B17"/>
    <w:rsid w:val="745D14CD"/>
    <w:rsid w:val="746E2840"/>
    <w:rsid w:val="748839B5"/>
    <w:rsid w:val="749F3E77"/>
    <w:rsid w:val="74A50A66"/>
    <w:rsid w:val="74AE3AD6"/>
    <w:rsid w:val="74BD1F6B"/>
    <w:rsid w:val="74C57072"/>
    <w:rsid w:val="74D80B53"/>
    <w:rsid w:val="74F55BA9"/>
    <w:rsid w:val="75156511"/>
    <w:rsid w:val="75181898"/>
    <w:rsid w:val="751853F4"/>
    <w:rsid w:val="75232716"/>
    <w:rsid w:val="75271ADB"/>
    <w:rsid w:val="75466405"/>
    <w:rsid w:val="75495400"/>
    <w:rsid w:val="756E5C8B"/>
    <w:rsid w:val="758C19CA"/>
    <w:rsid w:val="758C50E7"/>
    <w:rsid w:val="759F5B15"/>
    <w:rsid w:val="75A53232"/>
    <w:rsid w:val="75A949BB"/>
    <w:rsid w:val="75B72E5F"/>
    <w:rsid w:val="75BF7F65"/>
    <w:rsid w:val="75DD38A8"/>
    <w:rsid w:val="75E11C8A"/>
    <w:rsid w:val="75E86E8D"/>
    <w:rsid w:val="75F8130B"/>
    <w:rsid w:val="75FE0A8D"/>
    <w:rsid w:val="75FE68CD"/>
    <w:rsid w:val="76100556"/>
    <w:rsid w:val="76116A13"/>
    <w:rsid w:val="76257DC8"/>
    <w:rsid w:val="76394C4B"/>
    <w:rsid w:val="7643770F"/>
    <w:rsid w:val="764F5021"/>
    <w:rsid w:val="765839BD"/>
    <w:rsid w:val="766052A4"/>
    <w:rsid w:val="76865E18"/>
    <w:rsid w:val="76A258BD"/>
    <w:rsid w:val="76B13D52"/>
    <w:rsid w:val="76B82806"/>
    <w:rsid w:val="76F93003"/>
    <w:rsid w:val="77056897"/>
    <w:rsid w:val="771B5BC5"/>
    <w:rsid w:val="771D13E7"/>
    <w:rsid w:val="77242776"/>
    <w:rsid w:val="7736689E"/>
    <w:rsid w:val="77490794"/>
    <w:rsid w:val="774B1AB0"/>
    <w:rsid w:val="775C2F0E"/>
    <w:rsid w:val="775F730A"/>
    <w:rsid w:val="77770AF7"/>
    <w:rsid w:val="777A4144"/>
    <w:rsid w:val="77903967"/>
    <w:rsid w:val="7791148D"/>
    <w:rsid w:val="77972F48"/>
    <w:rsid w:val="77AB254F"/>
    <w:rsid w:val="77C53203"/>
    <w:rsid w:val="77C74EAF"/>
    <w:rsid w:val="77DE61B1"/>
    <w:rsid w:val="77DF48AB"/>
    <w:rsid w:val="77ED6D6B"/>
    <w:rsid w:val="77F83A9B"/>
    <w:rsid w:val="781520BE"/>
    <w:rsid w:val="783267CC"/>
    <w:rsid w:val="784D1858"/>
    <w:rsid w:val="785E73E8"/>
    <w:rsid w:val="7897512C"/>
    <w:rsid w:val="78A418E3"/>
    <w:rsid w:val="78A47CB4"/>
    <w:rsid w:val="78EE0759"/>
    <w:rsid w:val="78FB5758"/>
    <w:rsid w:val="790A599B"/>
    <w:rsid w:val="79144124"/>
    <w:rsid w:val="79172C15"/>
    <w:rsid w:val="792F71B0"/>
    <w:rsid w:val="79444A09"/>
    <w:rsid w:val="79563D5A"/>
    <w:rsid w:val="796E7CD8"/>
    <w:rsid w:val="79773C4C"/>
    <w:rsid w:val="79880533"/>
    <w:rsid w:val="798B6ADC"/>
    <w:rsid w:val="7993773F"/>
    <w:rsid w:val="799C723E"/>
    <w:rsid w:val="79AC325B"/>
    <w:rsid w:val="79BA116F"/>
    <w:rsid w:val="79C124FE"/>
    <w:rsid w:val="79E26407"/>
    <w:rsid w:val="79EB31D2"/>
    <w:rsid w:val="79EF3BFA"/>
    <w:rsid w:val="7A0A5C53"/>
    <w:rsid w:val="7A105D2C"/>
    <w:rsid w:val="7A1563A6"/>
    <w:rsid w:val="7A346A9C"/>
    <w:rsid w:val="7A48677B"/>
    <w:rsid w:val="7A4A18CD"/>
    <w:rsid w:val="7A6115EB"/>
    <w:rsid w:val="7A7371DA"/>
    <w:rsid w:val="7A7A445B"/>
    <w:rsid w:val="7A811C8D"/>
    <w:rsid w:val="7A872C09"/>
    <w:rsid w:val="7A87426C"/>
    <w:rsid w:val="7A8C2505"/>
    <w:rsid w:val="7A8F02BC"/>
    <w:rsid w:val="7AA716F4"/>
    <w:rsid w:val="7AAA4D40"/>
    <w:rsid w:val="7AB20098"/>
    <w:rsid w:val="7ACA3634"/>
    <w:rsid w:val="7AF52EC8"/>
    <w:rsid w:val="7B004782"/>
    <w:rsid w:val="7B082817"/>
    <w:rsid w:val="7B087FDE"/>
    <w:rsid w:val="7B4052F0"/>
    <w:rsid w:val="7B413E20"/>
    <w:rsid w:val="7B474C85"/>
    <w:rsid w:val="7B5D748F"/>
    <w:rsid w:val="7B66335D"/>
    <w:rsid w:val="7B6F0D05"/>
    <w:rsid w:val="7B792C7F"/>
    <w:rsid w:val="7B841A35"/>
    <w:rsid w:val="7B86755B"/>
    <w:rsid w:val="7BAF32A4"/>
    <w:rsid w:val="7BB128AD"/>
    <w:rsid w:val="7BBD0AA3"/>
    <w:rsid w:val="7BCD094D"/>
    <w:rsid w:val="7BDE7397"/>
    <w:rsid w:val="7BF003F6"/>
    <w:rsid w:val="7BF71835"/>
    <w:rsid w:val="7C042B76"/>
    <w:rsid w:val="7C091F3A"/>
    <w:rsid w:val="7C596A1E"/>
    <w:rsid w:val="7C6F6CE6"/>
    <w:rsid w:val="7C7E46D6"/>
    <w:rsid w:val="7C855D2B"/>
    <w:rsid w:val="7C8B6DF3"/>
    <w:rsid w:val="7C9749CF"/>
    <w:rsid w:val="7CA73C2D"/>
    <w:rsid w:val="7CBB0C65"/>
    <w:rsid w:val="7CC3033B"/>
    <w:rsid w:val="7CFE4D0B"/>
    <w:rsid w:val="7D0D584B"/>
    <w:rsid w:val="7D0F532E"/>
    <w:rsid w:val="7D1943FF"/>
    <w:rsid w:val="7D410C4C"/>
    <w:rsid w:val="7D422B20"/>
    <w:rsid w:val="7D4C2119"/>
    <w:rsid w:val="7D644FF4"/>
    <w:rsid w:val="7D692C90"/>
    <w:rsid w:val="7D6C548F"/>
    <w:rsid w:val="7D8775BA"/>
    <w:rsid w:val="7D953281"/>
    <w:rsid w:val="7DA43EDD"/>
    <w:rsid w:val="7DA97531"/>
    <w:rsid w:val="7DAA5057"/>
    <w:rsid w:val="7DB122B5"/>
    <w:rsid w:val="7DC65E60"/>
    <w:rsid w:val="7DD23A56"/>
    <w:rsid w:val="7DD520D4"/>
    <w:rsid w:val="7DE642E1"/>
    <w:rsid w:val="7E2F6A52"/>
    <w:rsid w:val="7E357016"/>
    <w:rsid w:val="7E3A287F"/>
    <w:rsid w:val="7E5F22E5"/>
    <w:rsid w:val="7E6E6608"/>
    <w:rsid w:val="7E771BAC"/>
    <w:rsid w:val="7E800BC1"/>
    <w:rsid w:val="7E891110"/>
    <w:rsid w:val="7E8A5C21"/>
    <w:rsid w:val="7EA452E1"/>
    <w:rsid w:val="7EC0795C"/>
    <w:rsid w:val="7ED964CE"/>
    <w:rsid w:val="7EDE76AE"/>
    <w:rsid w:val="7EE76FBE"/>
    <w:rsid w:val="7EEF71C5"/>
    <w:rsid w:val="7F056578"/>
    <w:rsid w:val="7F250E39"/>
    <w:rsid w:val="7F4A1447"/>
    <w:rsid w:val="7F590AE3"/>
    <w:rsid w:val="7F6A2CF0"/>
    <w:rsid w:val="7F786BAA"/>
    <w:rsid w:val="7F842003"/>
    <w:rsid w:val="7F8E4C30"/>
    <w:rsid w:val="7F945FBF"/>
    <w:rsid w:val="7FA2692E"/>
    <w:rsid w:val="7FCC5758"/>
    <w:rsid w:val="7FD447D6"/>
    <w:rsid w:val="7FDE1E1C"/>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iPriority="99"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adjustRightInd w:val="0"/>
      <w:snapToGrid w:val="0"/>
      <w:spacing w:line="360" w:lineRule="auto"/>
      <w:jc w:val="center"/>
      <w:outlineLvl w:val="0"/>
    </w:pPr>
    <w:rPr>
      <w:b/>
      <w:sz w:val="44"/>
    </w:rPr>
  </w:style>
  <w:style w:type="paragraph" w:styleId="3">
    <w:name w:val="heading 2"/>
    <w:basedOn w:val="1"/>
    <w:next w:val="1"/>
    <w:qFormat/>
    <w:uiPriority w:val="99"/>
    <w:pPr>
      <w:keepNext/>
      <w:keepLines/>
      <w:adjustRightInd w:val="0"/>
      <w:snapToGrid w:val="0"/>
      <w:spacing w:line="360" w:lineRule="auto"/>
      <w:jc w:val="center"/>
      <w:outlineLvl w:val="1"/>
    </w:pPr>
    <w:rPr>
      <w:rFonts w:ascii="Arial" w:hAnsi="Arial"/>
      <w:b/>
      <w:bCs/>
      <w:sz w:val="32"/>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paragraph" w:styleId="5">
    <w:name w:val="heading 4"/>
    <w:basedOn w:val="1"/>
    <w:next w:val="1"/>
    <w:qFormat/>
    <w:uiPriority w:val="99"/>
    <w:pPr>
      <w:keepNext/>
      <w:keepLines/>
      <w:spacing w:before="280" w:after="290" w:line="376" w:lineRule="auto"/>
      <w:outlineLvl w:val="3"/>
    </w:pPr>
    <w:rPr>
      <w:rFonts w:ascii="Cambria" w:hAnsi="Cambria"/>
      <w:b/>
      <w:bCs/>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99"/>
    <w:pPr>
      <w:ind w:firstLine="420" w:firstLineChars="200"/>
    </w:pPr>
    <w:rPr>
      <w:rFonts w:ascii="Calibri" w:hAnsi="Calibri"/>
      <w:kern w:val="0"/>
      <w:sz w:val="20"/>
    </w:rPr>
  </w:style>
  <w:style w:type="paragraph" w:styleId="8">
    <w:name w:val="toa heading"/>
    <w:basedOn w:val="1"/>
    <w:next w:val="1"/>
    <w:qFormat/>
    <w:uiPriority w:val="0"/>
    <w:pPr>
      <w:spacing w:before="120"/>
    </w:pPr>
    <w:rPr>
      <w:rFonts w:ascii="Arial" w:hAnsi="Arial"/>
      <w:b/>
      <w:bCs/>
    </w:rPr>
  </w:style>
  <w:style w:type="paragraph" w:styleId="9">
    <w:name w:val="Body Text 3"/>
    <w:basedOn w:val="1"/>
    <w:qFormat/>
    <w:uiPriority w:val="99"/>
    <w:pPr>
      <w:spacing w:after="120"/>
    </w:pPr>
    <w:rPr>
      <w:sz w:val="16"/>
      <w:szCs w:val="16"/>
    </w:rPr>
  </w:style>
  <w:style w:type="paragraph" w:styleId="10">
    <w:name w:val="Body Text"/>
    <w:basedOn w:val="1"/>
    <w:next w:val="1"/>
    <w:qFormat/>
    <w:uiPriority w:val="99"/>
    <w:pPr>
      <w:spacing w:after="120"/>
    </w:pPr>
    <w:rPr>
      <w:szCs w:val="24"/>
    </w:rPr>
  </w:style>
  <w:style w:type="paragraph" w:styleId="11">
    <w:name w:val="Body Text Indent"/>
    <w:basedOn w:val="1"/>
    <w:next w:val="10"/>
    <w:qFormat/>
    <w:uiPriority w:val="0"/>
    <w:pPr>
      <w:ind w:left="1083" w:leftChars="30" w:hanging="1020" w:hangingChars="425"/>
    </w:pPr>
    <w:rPr>
      <w:rFonts w:ascii="宋体" w:hAnsi="宋体"/>
      <w:sz w:val="24"/>
    </w:rPr>
  </w:style>
  <w:style w:type="paragraph" w:styleId="12">
    <w:name w:val="List 2"/>
    <w:basedOn w:val="1"/>
    <w:qFormat/>
    <w:uiPriority w:val="0"/>
    <w:pPr>
      <w:spacing w:line="360" w:lineRule="auto"/>
      <w:ind w:left="100" w:leftChars="200" w:hanging="200" w:hangingChars="200"/>
    </w:pPr>
    <w:rPr>
      <w:szCs w:val="20"/>
    </w:rPr>
  </w:style>
  <w:style w:type="paragraph" w:styleId="13">
    <w:name w:val="Block Text"/>
    <w:basedOn w:val="1"/>
    <w:next w:val="1"/>
    <w:qFormat/>
    <w:uiPriority w:val="0"/>
    <w:pPr>
      <w:autoSpaceDE w:val="0"/>
      <w:autoSpaceDN w:val="0"/>
      <w:adjustRightInd w:val="0"/>
      <w:spacing w:line="360" w:lineRule="auto"/>
      <w:ind w:left="237" w:right="216" w:firstLine="420"/>
    </w:pPr>
    <w:rPr>
      <w:rFonts w:ascii="宋体" w:hAnsi="宋体"/>
      <w:kern w:val="0"/>
      <w:sz w:val="24"/>
      <w:szCs w:val="21"/>
    </w:rPr>
  </w:style>
  <w:style w:type="paragraph" w:styleId="14">
    <w:name w:val="Plain Text"/>
    <w:basedOn w:val="1"/>
    <w:next w:val="1"/>
    <w:qFormat/>
    <w:uiPriority w:val="99"/>
    <w:rPr>
      <w:rFonts w:ascii="宋体" w:hAnsi="Courier New"/>
    </w:rPr>
  </w:style>
  <w:style w:type="paragraph" w:styleId="15">
    <w:name w:val="Body Text Indent 2"/>
    <w:basedOn w:val="1"/>
    <w:semiHidden/>
    <w:unhideWhenUsed/>
    <w:qFormat/>
    <w:uiPriority w:val="99"/>
    <w:pPr>
      <w:spacing w:after="120" w:line="480" w:lineRule="auto"/>
      <w:ind w:left="420" w:leftChars="200"/>
    </w:pPr>
  </w:style>
  <w:style w:type="paragraph" w:styleId="16">
    <w:name w:val="footer"/>
    <w:basedOn w:val="1"/>
    <w:next w:val="1"/>
    <w:qFormat/>
    <w:uiPriority w:val="99"/>
    <w:pPr>
      <w:tabs>
        <w:tab w:val="center" w:pos="4153"/>
        <w:tab w:val="right" w:pos="8306"/>
      </w:tabs>
      <w:adjustRightInd w:val="0"/>
      <w:spacing w:line="240" w:lineRule="atLeast"/>
      <w:jc w:val="left"/>
      <w:textAlignment w:val="baseline"/>
    </w:pPr>
    <w:rPr>
      <w:kern w:val="0"/>
      <w:sz w:val="18"/>
    </w:rPr>
  </w:style>
  <w:style w:type="paragraph" w:styleId="17">
    <w:name w:val="envelope return"/>
    <w:basedOn w:val="1"/>
    <w:qFormat/>
    <w:uiPriority w:val="0"/>
    <w:pPr>
      <w:snapToGrid w:val="0"/>
    </w:pPr>
    <w:rPr>
      <w:rFonts w:ascii="Arial" w:hAnsi="Arial"/>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HTML Preformatted"/>
    <w:basedOn w:val="1"/>
    <w:qFormat/>
    <w:uiPriority w:val="0"/>
    <w:rPr>
      <w:rFonts w:ascii="Courier New" w:hAnsi="Courier New"/>
      <w:sz w:val="20"/>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3">
    <w:name w:val="Body Text First Indent"/>
    <w:basedOn w:val="10"/>
    <w:next w:val="1"/>
    <w:qFormat/>
    <w:uiPriority w:val="0"/>
    <w:pPr>
      <w:adjustRightInd w:val="0"/>
      <w:ind w:firstLine="420"/>
      <w:jc w:val="left"/>
      <w:textAlignment w:val="baseline"/>
    </w:pPr>
    <w:rPr>
      <w:kern w:val="0"/>
      <w:sz w:val="21"/>
    </w:rPr>
  </w:style>
  <w:style w:type="paragraph" w:styleId="24">
    <w:name w:val="Body Text First Indent 2"/>
    <w:basedOn w:val="11"/>
    <w:next w:val="1"/>
    <w:qFormat/>
    <w:uiPriority w:val="0"/>
    <w:pPr>
      <w:ind w:firstLine="420"/>
    </w:pPr>
    <w:rPr>
      <w:rFonts w:hint="eastAsia"/>
      <w:sz w:val="21"/>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rPr>
  </w:style>
  <w:style w:type="character" w:styleId="29">
    <w:name w:val="page number"/>
    <w:basedOn w:val="27"/>
    <w:qFormat/>
    <w:uiPriority w:val="99"/>
    <w:rPr>
      <w:rFonts w:cs="Times New Roman"/>
    </w:rPr>
  </w:style>
  <w:style w:type="character" w:styleId="30">
    <w:name w:val="FollowedHyperlink"/>
    <w:basedOn w:val="27"/>
    <w:qFormat/>
    <w:uiPriority w:val="0"/>
    <w:rPr>
      <w:color w:val="551A8B"/>
      <w:u w:val="single"/>
    </w:rPr>
  </w:style>
  <w:style w:type="character" w:styleId="31">
    <w:name w:val="Emphasis"/>
    <w:basedOn w:val="27"/>
    <w:qFormat/>
    <w:uiPriority w:val="0"/>
    <w:rPr>
      <w:color w:val="D73130"/>
      <w:sz w:val="24"/>
      <w:szCs w:val="24"/>
    </w:rPr>
  </w:style>
  <w:style w:type="character" w:styleId="32">
    <w:name w:val="Hyperlink"/>
    <w:basedOn w:val="27"/>
    <w:qFormat/>
    <w:uiPriority w:val="0"/>
    <w:rPr>
      <w:color w:val="0000FF"/>
      <w:u w:val="none"/>
    </w:rPr>
  </w:style>
  <w:style w:type="character" w:styleId="33">
    <w:name w:val="HTML Cite"/>
    <w:basedOn w:val="27"/>
    <w:qFormat/>
    <w:uiPriority w:val="0"/>
    <w:rPr>
      <w:sz w:val="24"/>
      <w:szCs w:val="24"/>
    </w:rPr>
  </w:style>
  <w:style w:type="paragraph" w:customStyle="1" w:styleId="34">
    <w:name w:val="引文目录1"/>
    <w:basedOn w:val="1"/>
    <w:next w:val="1"/>
    <w:autoRedefine/>
    <w:qFormat/>
    <w:uiPriority w:val="0"/>
    <w:pPr>
      <w:ind w:left="420" w:leftChars="200"/>
    </w:pPr>
    <w:rPr>
      <w:szCs w:val="32"/>
    </w:rPr>
  </w:style>
  <w:style w:type="paragraph" w:customStyle="1" w:styleId="35">
    <w:name w:val="正文缩进1"/>
    <w:basedOn w:val="1"/>
    <w:qFormat/>
    <w:uiPriority w:val="0"/>
    <w:pPr>
      <w:ind w:firstLine="420" w:firstLineChars="200"/>
    </w:pPr>
  </w:style>
  <w:style w:type="paragraph" w:customStyle="1" w:styleId="36">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styleId="37">
    <w:name w:val="List Paragraph"/>
    <w:basedOn w:val="1"/>
    <w:next w:val="38"/>
    <w:qFormat/>
    <w:uiPriority w:val="34"/>
    <w:pPr>
      <w:ind w:firstLine="420" w:firstLineChars="200"/>
    </w:pPr>
    <w:rPr>
      <w:rFonts w:ascii="Calibri" w:hAnsi="Calibri"/>
      <w:szCs w:val="22"/>
    </w:rPr>
  </w:style>
  <w:style w:type="paragraph" w:customStyle="1" w:styleId="38">
    <w:name w:val="正文1"/>
    <w:next w:val="22"/>
    <w:qFormat/>
    <w:uiPriority w:val="99"/>
    <w:pPr>
      <w:widowControl w:val="0"/>
      <w:adjustRightInd w:val="0"/>
      <w:spacing w:line="312" w:lineRule="atLeast"/>
      <w:jc w:val="both"/>
      <w:textAlignment w:val="baseline"/>
    </w:pPr>
    <w:rPr>
      <w:rFonts w:ascii="宋体" w:hAnsi="Calibri" w:eastAsia="宋体" w:cs="Times New Roman"/>
      <w:kern w:val="2"/>
      <w:sz w:val="34"/>
      <w:szCs w:val="22"/>
      <w:lang w:val="en-US" w:eastAsia="zh-CN" w:bidi="ar-SA"/>
    </w:rPr>
  </w:style>
  <w:style w:type="paragraph" w:customStyle="1" w:styleId="39">
    <w:name w:val="正式文本"/>
    <w:basedOn w:val="1"/>
    <w:qFormat/>
    <w:uiPriority w:val="0"/>
    <w:pPr>
      <w:spacing w:line="540" w:lineRule="exact"/>
      <w:ind w:firstLine="200" w:firstLineChars="200"/>
    </w:pPr>
    <w:rPr>
      <w:rFonts w:ascii="宋体" w:hAnsi="Arial Narrow" w:eastAsia="宋体" w:cs="Times New Roman"/>
      <w:sz w:val="28"/>
      <w:szCs w:val="24"/>
    </w:rPr>
  </w:style>
  <w:style w:type="paragraph" w:customStyle="1" w:styleId="40">
    <w:name w:val="WPSOffice手动目录 1"/>
    <w:qFormat/>
    <w:uiPriority w:val="0"/>
    <w:rPr>
      <w:rFonts w:ascii="Calibri" w:hAnsi="Calibri" w:eastAsia="宋体" w:cs="Times New Roman"/>
      <w:lang w:val="en-US" w:eastAsia="zh-CN" w:bidi="ar-SA"/>
    </w:rPr>
  </w:style>
  <w:style w:type="paragraph" w:customStyle="1" w:styleId="41">
    <w:name w:val="WPSOffice手动目录 2"/>
    <w:qFormat/>
    <w:uiPriority w:val="0"/>
    <w:pPr>
      <w:ind w:left="200" w:leftChars="200"/>
    </w:pPr>
    <w:rPr>
      <w:rFonts w:ascii="Calibri" w:hAnsi="Calibri" w:eastAsia="宋体" w:cs="Times New Roman"/>
      <w:lang w:val="en-US" w:eastAsia="zh-CN" w:bidi="ar-SA"/>
    </w:rPr>
  </w:style>
  <w:style w:type="paragraph" w:customStyle="1" w:styleId="42">
    <w:name w:val="List Paragraph1"/>
    <w:qFormat/>
    <w:uiPriority w:val="99"/>
    <w:pPr>
      <w:ind w:firstLine="420" w:firstLineChars="200"/>
    </w:pPr>
    <w:rPr>
      <w:rFonts w:ascii="Times New Roman" w:hAnsi="Times New Roman" w:eastAsia="宋体" w:cs="Times New Roman"/>
      <w:lang w:val="en-US" w:eastAsia="zh-CN" w:bidi="ar-SA"/>
    </w:rPr>
  </w:style>
  <w:style w:type="paragraph" w:customStyle="1" w:styleId="43">
    <w:name w:val="样式 标题 2 + Times New Roman 四号 非加粗 段前: 5 磅 段后: 0 磅 行距: 固定值 20..."/>
    <w:basedOn w:val="3"/>
    <w:qFormat/>
    <w:uiPriority w:val="99"/>
    <w:pPr>
      <w:spacing w:before="100" w:line="400" w:lineRule="exact"/>
    </w:pPr>
    <w:rPr>
      <w:rFonts w:ascii="Times New Roman" w:hAnsi="Times New Roman" w:cs="宋体"/>
      <w:b w:val="0"/>
      <w:kern w:val="0"/>
      <w:sz w:val="28"/>
    </w:rPr>
  </w:style>
  <w:style w:type="paragraph" w:customStyle="1" w:styleId="44">
    <w:name w:val="样式 标题 3 + (中文) 黑体 小四 非加粗 段前: 7.8 磅 段后: 0 磅 行距: 固定值 20 磅"/>
    <w:basedOn w:val="4"/>
    <w:next w:val="1"/>
    <w:qFormat/>
    <w:uiPriority w:val="99"/>
    <w:pPr>
      <w:spacing w:before="0" w:after="0" w:line="400" w:lineRule="exact"/>
    </w:pPr>
    <w:rPr>
      <w:rFonts w:hAnsi="Calibri" w:eastAsia="黑体" w:cs="宋体"/>
      <w:b w:val="0"/>
      <w:sz w:val="24"/>
    </w:rPr>
  </w:style>
  <w:style w:type="paragraph" w:customStyle="1" w:styleId="45">
    <w:name w:val="目录"/>
    <w:basedOn w:val="1"/>
    <w:qFormat/>
    <w:uiPriority w:val="99"/>
    <w:pPr>
      <w:jc w:val="center"/>
    </w:pPr>
    <w:rPr>
      <w:rFonts w:ascii="宋体" w:hAnsi="Calibri"/>
      <w:b/>
      <w:sz w:val="36"/>
      <w:szCs w:val="22"/>
    </w:rPr>
  </w:style>
  <w:style w:type="paragraph" w:customStyle="1" w:styleId="46">
    <w:name w:val="正文样式"/>
    <w:basedOn w:val="1"/>
    <w:qFormat/>
    <w:uiPriority w:val="0"/>
    <w:pPr>
      <w:tabs>
        <w:tab w:val="left" w:pos="1560"/>
      </w:tabs>
      <w:spacing w:before="163" w:after="163" w:line="300" w:lineRule="auto"/>
      <w:ind w:left="1560" w:hanging="360" w:firstLineChars="200"/>
    </w:pPr>
    <w:rPr>
      <w:rFonts w:ascii="宋体" w:hAnsi="等线" w:eastAsia="等线"/>
      <w:sz w:val="24"/>
    </w:rPr>
  </w:style>
  <w:style w:type="paragraph" w:customStyle="1" w:styleId="47">
    <w:name w:val="首行缩进"/>
    <w:basedOn w:val="1"/>
    <w:qFormat/>
    <w:uiPriority w:val="0"/>
    <w:pPr>
      <w:spacing w:line="360" w:lineRule="auto"/>
      <w:ind w:firstLine="480" w:firstLineChars="200"/>
    </w:pPr>
    <w:rPr>
      <w:sz w:val="24"/>
      <w:szCs w:val="22"/>
      <w:lang w:val="zh-CN"/>
    </w:rPr>
  </w:style>
  <w:style w:type="paragraph" w:customStyle="1" w:styleId="48">
    <w:name w:val="Table Paragraph"/>
    <w:basedOn w:val="1"/>
    <w:qFormat/>
    <w:uiPriority w:val="1"/>
    <w:rPr>
      <w:rFonts w:ascii="仿宋" w:hAnsi="仿宋" w:eastAsia="仿宋" w:cs="仿宋"/>
      <w:lang w:val="zh-CN" w:eastAsia="zh-CN" w:bidi="zh-CN"/>
    </w:rPr>
  </w:style>
  <w:style w:type="paragraph" w:customStyle="1" w:styleId="49">
    <w:name w:val="Default"/>
    <w:basedOn w:val="1"/>
    <w:qFormat/>
    <w:uiPriority w:val="0"/>
    <w:pPr>
      <w:widowControl w:val="0"/>
      <w:autoSpaceDE w:val="0"/>
      <w:autoSpaceDN w:val="0"/>
      <w:adjustRightInd w:val="0"/>
    </w:pPr>
    <w:rPr>
      <w:rFonts w:ascii="Verdana" w:hAnsi="Verdana" w:eastAsia="宋体" w:cs="Verdana"/>
      <w:color w:val="000000"/>
      <w:sz w:val="24"/>
      <w:szCs w:val="24"/>
      <w:lang w:val="en-US" w:eastAsia="zh-CN" w:bidi="ar-SA"/>
    </w:rPr>
  </w:style>
  <w:style w:type="table" w:customStyle="1" w:styleId="50">
    <w:name w:val="Table Normal"/>
    <w:unhideWhenUsed/>
    <w:qFormat/>
    <w:uiPriority w:val="0"/>
    <w:tblPr>
      <w:tblCellMar>
        <w:top w:w="0" w:type="dxa"/>
        <w:left w:w="0" w:type="dxa"/>
        <w:bottom w:w="0" w:type="dxa"/>
        <w:right w:w="0" w:type="dxa"/>
      </w:tblCellMar>
    </w:tblPr>
  </w:style>
  <w:style w:type="character" w:customStyle="1" w:styleId="51">
    <w:name w:val="font11"/>
    <w:basedOn w:val="27"/>
    <w:qFormat/>
    <w:uiPriority w:val="0"/>
    <w:rPr>
      <w:rFonts w:hint="eastAsia" w:ascii="宋体" w:hAnsi="宋体" w:eastAsia="宋体" w:cs="宋体"/>
      <w:color w:val="000000"/>
      <w:sz w:val="24"/>
      <w:szCs w:val="24"/>
      <w:u w:val="none"/>
    </w:rPr>
  </w:style>
  <w:style w:type="paragraph" w:customStyle="1" w:styleId="52">
    <w:name w:val="Fließtext"/>
    <w:basedOn w:val="1"/>
    <w:qFormat/>
    <w:uiPriority w:val="0"/>
    <w:pPr>
      <w:overflowPunct w:val="0"/>
      <w:autoSpaceDE w:val="0"/>
      <w:autoSpaceDN w:val="0"/>
      <w:adjustRightInd w:val="0"/>
      <w:textAlignment w:val="baseline"/>
    </w:pPr>
    <w:rPr>
      <w:kern w:val="28"/>
      <w:sz w:val="28"/>
      <w:szCs w:val="20"/>
    </w:rPr>
  </w:style>
  <w:style w:type="paragraph" w:customStyle="1" w:styleId="53">
    <w:name w:val="正文（缩进 2 字符）"/>
    <w:basedOn w:val="1"/>
    <w:qFormat/>
    <w:uiPriority w:val="0"/>
    <w:pPr>
      <w:ind w:firstLine="200" w:firstLineChars="200"/>
    </w:pPr>
  </w:style>
  <w:style w:type="paragraph" w:customStyle="1" w:styleId="54">
    <w:name w:val="列出段落1"/>
    <w:basedOn w:val="1"/>
    <w:qFormat/>
    <w:uiPriority w:val="99"/>
    <w:pPr>
      <w:ind w:firstLine="420" w:firstLineChars="200"/>
    </w:pPr>
  </w:style>
  <w:style w:type="paragraph" w:customStyle="1" w:styleId="55">
    <w:name w:val="列出段落1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5.jpeg"/><Relationship Id="rId21" Type="http://schemas.openxmlformats.org/officeDocument/2006/relationships/image" Target="media/image4.jpeg"/><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13073</Words>
  <Characters>14660</Characters>
  <Lines>0</Lines>
  <Paragraphs>0</Paragraphs>
  <TotalTime>226</TotalTime>
  <ScaleCrop>false</ScaleCrop>
  <LinksUpToDate>false</LinksUpToDate>
  <CharactersWithSpaces>14932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2020-09-29T01:13:00Z</dcterms:created>
  <dc:creator>Administrator</dc:creator>
  <cp:lastModifiedBy>张扬</cp:lastModifiedBy>
  <cp:lastPrinted>2023-09-25T02:57:00Z</cp:lastPrinted>
  <dcterms:modified xsi:type="dcterms:W3CDTF">2025-08-06T09:58:06Z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2992637F757A41E1B9DB4A8320F1B5E8_13</vt:lpwstr>
  </property>
  <property fmtid="{D5CDD505-2E9C-101B-9397-08002B2CF9AE}" pid="4" name="KSOTemplateDocerSaveRecord">
    <vt:lpwstr>eyJoZGlkIjoiZmFjMzI4NDRiNmE3YjkzOTJiMjQ4NDY4ZjAyZDIyNjAiLCJ1c2VySWQiOiIyMTIyOTgxMjcifQ==</vt:lpwstr>
  </property>
</Properties>
</file>