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51F66">
      <w:pPr>
        <w:spacing w:before="138" w:line="225" w:lineRule="auto"/>
        <w:jc w:val="center"/>
        <w:outlineLvl w:val="0"/>
        <w:rPr>
          <w:rFonts w:ascii="宋体" w:hAnsi="宋体" w:eastAsia="宋体" w:cs="宋体"/>
          <w:b/>
          <w:bCs/>
          <w:sz w:val="31"/>
          <w:szCs w:val="31"/>
        </w:rPr>
      </w:pPr>
      <w:r>
        <w:rPr>
          <w:rFonts w:hint="eastAsia" w:ascii="宋体" w:hAnsi="宋体" w:eastAsia="宋体" w:cs="宋体"/>
          <w:b/>
          <w:bCs/>
          <w:sz w:val="31"/>
          <w:szCs w:val="31"/>
        </w:rPr>
        <w:t>蓝田县机关事务服务中心政府大院楼顶维修项目</w:t>
      </w:r>
    </w:p>
    <w:p w14:paraId="7C2579C2">
      <w:pPr>
        <w:spacing w:before="246" w:line="224" w:lineRule="auto"/>
        <w:jc w:val="center"/>
        <w:outlineLvl w:val="0"/>
        <w:rPr>
          <w:rFonts w:ascii="宋体" w:hAnsi="宋体" w:eastAsia="宋体" w:cs="宋体"/>
          <w:b/>
          <w:bCs/>
          <w:sz w:val="31"/>
          <w:szCs w:val="31"/>
        </w:rPr>
      </w:pPr>
      <w:r>
        <w:rPr>
          <w:rFonts w:ascii="宋体" w:hAnsi="宋体" w:eastAsia="宋体" w:cs="宋体"/>
          <w:b/>
          <w:bCs/>
          <w:spacing w:val="6"/>
          <w:sz w:val="31"/>
          <w:szCs w:val="31"/>
        </w:rPr>
        <w:t>政府采购需求书</w:t>
      </w:r>
    </w:p>
    <w:p w14:paraId="6AD8BD61">
      <w:pPr>
        <w:spacing w:line="94" w:lineRule="exact"/>
      </w:pPr>
    </w:p>
    <w:tbl>
      <w:tblPr>
        <w:tblStyle w:val="8"/>
        <w:tblW w:w="96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7"/>
        <w:gridCol w:w="1709"/>
        <w:gridCol w:w="7362"/>
      </w:tblGrid>
      <w:tr w14:paraId="13670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597" w:type="dxa"/>
            <w:vAlign w:val="top"/>
          </w:tcPr>
          <w:p w14:paraId="2F517CE3">
            <w:pPr>
              <w:pStyle w:val="9"/>
              <w:spacing w:before="193" w:line="221" w:lineRule="auto"/>
              <w:ind w:left="23"/>
              <w:rPr>
                <w:sz w:val="24"/>
                <w:szCs w:val="24"/>
              </w:rPr>
            </w:pPr>
            <w:r>
              <w:rPr>
                <w:b/>
                <w:bCs/>
                <w:spacing w:val="-7"/>
                <w:sz w:val="24"/>
                <w:szCs w:val="24"/>
              </w:rPr>
              <w:t>序号</w:t>
            </w:r>
          </w:p>
        </w:tc>
        <w:tc>
          <w:tcPr>
            <w:tcW w:w="1709" w:type="dxa"/>
            <w:vAlign w:val="top"/>
          </w:tcPr>
          <w:p w14:paraId="72470F8C">
            <w:pPr>
              <w:pStyle w:val="9"/>
              <w:spacing w:before="192" w:line="221" w:lineRule="auto"/>
              <w:ind w:left="303"/>
              <w:rPr>
                <w:sz w:val="24"/>
                <w:szCs w:val="24"/>
              </w:rPr>
            </w:pPr>
            <w:r>
              <w:rPr>
                <w:b/>
                <w:bCs/>
                <w:spacing w:val="-6"/>
                <w:sz w:val="24"/>
                <w:szCs w:val="24"/>
              </w:rPr>
              <w:t>关键事项</w:t>
            </w:r>
          </w:p>
        </w:tc>
        <w:tc>
          <w:tcPr>
            <w:tcW w:w="7362" w:type="dxa"/>
            <w:vAlign w:val="top"/>
          </w:tcPr>
          <w:p w14:paraId="281671F3">
            <w:pPr>
              <w:pStyle w:val="9"/>
              <w:spacing w:before="192" w:line="220" w:lineRule="auto"/>
              <w:ind w:left="2704"/>
              <w:rPr>
                <w:sz w:val="24"/>
                <w:szCs w:val="24"/>
              </w:rPr>
            </w:pPr>
            <w:r>
              <w:rPr>
                <w:b/>
                <w:bCs/>
                <w:spacing w:val="-5"/>
                <w:sz w:val="24"/>
                <w:szCs w:val="24"/>
              </w:rPr>
              <w:t>说明和要求</w:t>
            </w:r>
          </w:p>
        </w:tc>
      </w:tr>
      <w:tr w14:paraId="0CE9C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2" w:hRule="atLeast"/>
        </w:trPr>
        <w:tc>
          <w:tcPr>
            <w:tcW w:w="597" w:type="dxa"/>
            <w:vAlign w:val="top"/>
          </w:tcPr>
          <w:p w14:paraId="2FFA3651">
            <w:pPr>
              <w:spacing w:line="267" w:lineRule="auto"/>
              <w:rPr>
                <w:rFonts w:ascii="Arial"/>
                <w:sz w:val="24"/>
                <w:szCs w:val="24"/>
              </w:rPr>
            </w:pPr>
          </w:p>
          <w:p w14:paraId="7F113D67">
            <w:pPr>
              <w:spacing w:line="267" w:lineRule="auto"/>
              <w:rPr>
                <w:rFonts w:ascii="Arial"/>
                <w:sz w:val="24"/>
                <w:szCs w:val="24"/>
              </w:rPr>
            </w:pPr>
          </w:p>
          <w:p w14:paraId="252B4BEF">
            <w:pPr>
              <w:spacing w:line="267" w:lineRule="auto"/>
              <w:rPr>
                <w:rFonts w:ascii="Arial"/>
                <w:sz w:val="24"/>
                <w:szCs w:val="24"/>
              </w:rPr>
            </w:pPr>
          </w:p>
          <w:p w14:paraId="628B105F">
            <w:pPr>
              <w:spacing w:line="267" w:lineRule="auto"/>
              <w:rPr>
                <w:rFonts w:ascii="Arial"/>
                <w:sz w:val="24"/>
                <w:szCs w:val="24"/>
              </w:rPr>
            </w:pPr>
          </w:p>
          <w:p w14:paraId="5ACB8CFD">
            <w:pPr>
              <w:spacing w:line="267" w:lineRule="auto"/>
              <w:rPr>
                <w:rFonts w:ascii="Arial"/>
                <w:sz w:val="24"/>
                <w:szCs w:val="24"/>
              </w:rPr>
            </w:pPr>
          </w:p>
          <w:p w14:paraId="75CA545D">
            <w:pPr>
              <w:pStyle w:val="9"/>
              <w:spacing w:before="91" w:line="242" w:lineRule="auto"/>
              <w:ind w:left="256"/>
              <w:rPr>
                <w:sz w:val="24"/>
                <w:szCs w:val="24"/>
              </w:rPr>
            </w:pPr>
            <w:r>
              <w:rPr>
                <w:sz w:val="24"/>
                <w:szCs w:val="24"/>
              </w:rPr>
              <w:t>1</w:t>
            </w:r>
          </w:p>
        </w:tc>
        <w:tc>
          <w:tcPr>
            <w:tcW w:w="1709" w:type="dxa"/>
            <w:vAlign w:val="top"/>
          </w:tcPr>
          <w:p w14:paraId="0D64393D">
            <w:pPr>
              <w:spacing w:line="267" w:lineRule="auto"/>
              <w:rPr>
                <w:rFonts w:ascii="Arial"/>
                <w:sz w:val="24"/>
                <w:szCs w:val="24"/>
              </w:rPr>
            </w:pPr>
          </w:p>
          <w:p w14:paraId="454A2E8E">
            <w:pPr>
              <w:spacing w:line="267" w:lineRule="auto"/>
              <w:rPr>
                <w:rFonts w:ascii="Arial"/>
                <w:sz w:val="24"/>
                <w:szCs w:val="24"/>
              </w:rPr>
            </w:pPr>
          </w:p>
          <w:p w14:paraId="4D9C09DA">
            <w:pPr>
              <w:spacing w:line="267" w:lineRule="auto"/>
              <w:rPr>
                <w:rFonts w:ascii="Arial"/>
                <w:sz w:val="24"/>
                <w:szCs w:val="24"/>
              </w:rPr>
            </w:pPr>
          </w:p>
          <w:p w14:paraId="0FCDB40C">
            <w:pPr>
              <w:spacing w:line="267" w:lineRule="auto"/>
              <w:rPr>
                <w:rFonts w:ascii="Arial"/>
                <w:sz w:val="24"/>
                <w:szCs w:val="24"/>
              </w:rPr>
            </w:pPr>
          </w:p>
          <w:p w14:paraId="74E5117B">
            <w:pPr>
              <w:spacing w:line="267" w:lineRule="auto"/>
              <w:rPr>
                <w:rFonts w:ascii="Arial"/>
                <w:sz w:val="24"/>
                <w:szCs w:val="24"/>
              </w:rPr>
            </w:pPr>
          </w:p>
          <w:p w14:paraId="79EE7E3C">
            <w:pPr>
              <w:pStyle w:val="9"/>
              <w:spacing w:before="91" w:line="219" w:lineRule="auto"/>
              <w:ind w:left="300"/>
              <w:rPr>
                <w:sz w:val="24"/>
                <w:szCs w:val="24"/>
              </w:rPr>
            </w:pPr>
            <w:r>
              <w:rPr>
                <w:spacing w:val="-3"/>
                <w:sz w:val="24"/>
                <w:szCs w:val="24"/>
              </w:rPr>
              <w:t>采购预算</w:t>
            </w:r>
          </w:p>
        </w:tc>
        <w:tc>
          <w:tcPr>
            <w:tcW w:w="7362" w:type="dxa"/>
            <w:vAlign w:val="top"/>
          </w:tcPr>
          <w:p w14:paraId="6074EBE9">
            <w:pPr>
              <w:pStyle w:val="9"/>
              <w:spacing w:before="187" w:line="219" w:lineRule="auto"/>
              <w:ind w:left="25"/>
              <w:rPr>
                <w:sz w:val="24"/>
                <w:szCs w:val="24"/>
              </w:rPr>
            </w:pPr>
            <w:r>
              <w:rPr>
                <w:spacing w:val="-3"/>
                <w:sz w:val="24"/>
                <w:szCs w:val="24"/>
              </w:rPr>
              <w:t>人民币</w:t>
            </w:r>
            <w:r>
              <w:rPr>
                <w:rFonts w:hint="eastAsia"/>
                <w:spacing w:val="-1"/>
                <w:sz w:val="24"/>
                <w:szCs w:val="24"/>
                <w:u w:val="single"/>
                <w:lang w:val="en-US" w:eastAsia="zh-CN"/>
              </w:rPr>
              <w:t xml:space="preserve"> 764493.23 </w:t>
            </w:r>
            <w:r>
              <w:rPr>
                <w:spacing w:val="-3"/>
                <w:sz w:val="24"/>
                <w:szCs w:val="24"/>
              </w:rPr>
              <w:t>元</w:t>
            </w:r>
          </w:p>
          <w:p w14:paraId="0B14793F">
            <w:pPr>
              <w:pStyle w:val="9"/>
              <w:spacing w:before="292" w:line="382" w:lineRule="auto"/>
              <w:ind w:left="22" w:right="58" w:hanging="2"/>
              <w:rPr>
                <w:sz w:val="24"/>
                <w:szCs w:val="24"/>
              </w:rPr>
            </w:pPr>
            <w:r>
              <w:rPr>
                <w:spacing w:val="-1"/>
                <w:sz w:val="24"/>
                <w:szCs w:val="24"/>
              </w:rPr>
              <w:t>仅指与本次采购标的直接相关的费用，前期勘察费、设</w:t>
            </w:r>
            <w:r>
              <w:rPr>
                <w:spacing w:val="14"/>
                <w:sz w:val="24"/>
                <w:szCs w:val="24"/>
              </w:rPr>
              <w:t xml:space="preserve"> </w:t>
            </w:r>
            <w:r>
              <w:rPr>
                <w:spacing w:val="-1"/>
                <w:sz w:val="24"/>
                <w:szCs w:val="24"/>
              </w:rPr>
              <w:t>计费等已发生的费用，以及监理费、接口费等为未来预留费用，不应当包含在本项目采购预算内，甲方须向本级财政部门经费业务处室申请办理经费剥离手续。</w:t>
            </w:r>
          </w:p>
        </w:tc>
      </w:tr>
      <w:tr w14:paraId="3E4F5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5" w:hRule="atLeast"/>
        </w:trPr>
        <w:tc>
          <w:tcPr>
            <w:tcW w:w="597" w:type="dxa"/>
            <w:vAlign w:val="top"/>
          </w:tcPr>
          <w:p w14:paraId="0C337714">
            <w:pPr>
              <w:spacing w:line="358" w:lineRule="auto"/>
              <w:rPr>
                <w:rFonts w:ascii="Arial"/>
                <w:sz w:val="24"/>
                <w:szCs w:val="24"/>
              </w:rPr>
            </w:pPr>
          </w:p>
          <w:p w14:paraId="4481DA10">
            <w:pPr>
              <w:spacing w:line="359" w:lineRule="auto"/>
              <w:rPr>
                <w:rFonts w:ascii="Arial"/>
                <w:sz w:val="24"/>
                <w:szCs w:val="24"/>
              </w:rPr>
            </w:pPr>
          </w:p>
          <w:p w14:paraId="057D1D58">
            <w:pPr>
              <w:pStyle w:val="9"/>
              <w:spacing w:before="91" w:line="242" w:lineRule="auto"/>
              <w:ind w:left="239"/>
              <w:rPr>
                <w:sz w:val="24"/>
                <w:szCs w:val="24"/>
              </w:rPr>
            </w:pPr>
            <w:r>
              <w:rPr>
                <w:sz w:val="24"/>
                <w:szCs w:val="24"/>
              </w:rPr>
              <w:t>2</w:t>
            </w:r>
          </w:p>
        </w:tc>
        <w:tc>
          <w:tcPr>
            <w:tcW w:w="1709" w:type="dxa"/>
            <w:vAlign w:val="top"/>
          </w:tcPr>
          <w:p w14:paraId="6114B708">
            <w:pPr>
              <w:spacing w:line="358" w:lineRule="auto"/>
              <w:rPr>
                <w:rFonts w:ascii="Arial"/>
                <w:sz w:val="24"/>
                <w:szCs w:val="24"/>
              </w:rPr>
            </w:pPr>
          </w:p>
          <w:p w14:paraId="6D507BD1">
            <w:pPr>
              <w:spacing w:line="359" w:lineRule="auto"/>
              <w:rPr>
                <w:rFonts w:ascii="Arial"/>
                <w:sz w:val="24"/>
                <w:szCs w:val="24"/>
              </w:rPr>
            </w:pPr>
          </w:p>
          <w:p w14:paraId="7AF38EE6">
            <w:pPr>
              <w:pStyle w:val="9"/>
              <w:spacing w:before="91" w:line="219" w:lineRule="auto"/>
              <w:ind w:left="304"/>
              <w:rPr>
                <w:sz w:val="24"/>
                <w:szCs w:val="24"/>
              </w:rPr>
            </w:pPr>
            <w:r>
              <w:rPr>
                <w:spacing w:val="-4"/>
                <w:sz w:val="24"/>
                <w:szCs w:val="24"/>
              </w:rPr>
              <w:t>最高限价</w:t>
            </w:r>
          </w:p>
        </w:tc>
        <w:tc>
          <w:tcPr>
            <w:tcW w:w="7362" w:type="dxa"/>
            <w:vAlign w:val="top"/>
          </w:tcPr>
          <w:p w14:paraId="1E75E308">
            <w:pPr>
              <w:pStyle w:val="9"/>
              <w:spacing w:before="189" w:line="219" w:lineRule="auto"/>
              <w:ind w:left="25"/>
              <w:rPr>
                <w:sz w:val="24"/>
                <w:szCs w:val="24"/>
              </w:rPr>
            </w:pPr>
            <w:r>
              <w:rPr>
                <w:spacing w:val="-3"/>
                <w:sz w:val="24"/>
                <w:szCs w:val="24"/>
              </w:rPr>
              <w:t>人民币</w:t>
            </w:r>
            <w:r>
              <w:rPr>
                <w:spacing w:val="-43"/>
                <w:sz w:val="24"/>
                <w:szCs w:val="24"/>
              </w:rPr>
              <w:t xml:space="preserve"> </w:t>
            </w:r>
            <w:r>
              <w:rPr>
                <w:rFonts w:hint="eastAsia"/>
                <w:spacing w:val="-43"/>
                <w:sz w:val="24"/>
                <w:szCs w:val="24"/>
                <w:u w:val="single"/>
                <w:lang w:val="en-US" w:eastAsia="zh-CN"/>
              </w:rPr>
              <w:t xml:space="preserve"> </w:t>
            </w:r>
            <w:r>
              <w:rPr>
                <w:rFonts w:hint="eastAsia"/>
                <w:spacing w:val="-1"/>
                <w:sz w:val="24"/>
                <w:szCs w:val="24"/>
                <w:u w:val="single"/>
                <w:lang w:val="en-US" w:eastAsia="zh-CN"/>
              </w:rPr>
              <w:t>764493.23</w:t>
            </w:r>
            <w:r>
              <w:rPr>
                <w:spacing w:val="-56"/>
                <w:sz w:val="24"/>
                <w:szCs w:val="24"/>
                <w:u w:val="single" w:color="auto"/>
              </w:rPr>
              <w:t xml:space="preserve"> </w:t>
            </w:r>
            <w:r>
              <w:rPr>
                <w:spacing w:val="-3"/>
                <w:sz w:val="24"/>
                <w:szCs w:val="24"/>
              </w:rPr>
              <w:t>元</w:t>
            </w:r>
          </w:p>
          <w:p w14:paraId="2EFE7EE1">
            <w:pPr>
              <w:pStyle w:val="9"/>
              <w:spacing w:before="291" w:line="352" w:lineRule="auto"/>
              <w:ind w:left="25" w:right="58" w:hanging="3"/>
              <w:rPr>
                <w:sz w:val="24"/>
                <w:szCs w:val="24"/>
              </w:rPr>
            </w:pPr>
            <w:r>
              <w:rPr>
                <w:spacing w:val="-1"/>
                <w:sz w:val="24"/>
                <w:szCs w:val="24"/>
              </w:rPr>
              <w:t>供应商投标报价高于最高限价的则其投标文件将按无效</w:t>
            </w:r>
            <w:r>
              <w:rPr>
                <w:spacing w:val="-3"/>
                <w:sz w:val="24"/>
                <w:szCs w:val="24"/>
              </w:rPr>
              <w:t>投标文件处理。</w:t>
            </w:r>
          </w:p>
        </w:tc>
      </w:tr>
      <w:tr w14:paraId="0E5F4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597" w:type="dxa"/>
            <w:vMerge w:val="restart"/>
            <w:tcBorders>
              <w:bottom w:val="nil"/>
            </w:tcBorders>
            <w:vAlign w:val="top"/>
          </w:tcPr>
          <w:p w14:paraId="310058D8">
            <w:pPr>
              <w:spacing w:line="253" w:lineRule="auto"/>
              <w:rPr>
                <w:rFonts w:ascii="Arial"/>
                <w:sz w:val="24"/>
                <w:szCs w:val="24"/>
              </w:rPr>
            </w:pPr>
          </w:p>
          <w:p w14:paraId="6CAC63FB">
            <w:pPr>
              <w:spacing w:line="253" w:lineRule="auto"/>
              <w:rPr>
                <w:rFonts w:ascii="Arial"/>
                <w:sz w:val="24"/>
                <w:szCs w:val="24"/>
              </w:rPr>
            </w:pPr>
          </w:p>
          <w:p w14:paraId="5C4BA0CE">
            <w:pPr>
              <w:spacing w:line="253" w:lineRule="auto"/>
              <w:rPr>
                <w:rFonts w:ascii="Arial"/>
                <w:sz w:val="24"/>
                <w:szCs w:val="24"/>
              </w:rPr>
            </w:pPr>
          </w:p>
          <w:p w14:paraId="3FA1D848">
            <w:pPr>
              <w:spacing w:line="253" w:lineRule="auto"/>
              <w:rPr>
                <w:rFonts w:ascii="Arial"/>
                <w:sz w:val="24"/>
                <w:szCs w:val="24"/>
              </w:rPr>
            </w:pPr>
          </w:p>
          <w:p w14:paraId="3010F1FA">
            <w:pPr>
              <w:spacing w:line="253" w:lineRule="auto"/>
              <w:rPr>
                <w:rFonts w:ascii="Arial"/>
                <w:sz w:val="24"/>
                <w:szCs w:val="24"/>
              </w:rPr>
            </w:pPr>
          </w:p>
          <w:p w14:paraId="56ED5AA5">
            <w:pPr>
              <w:spacing w:line="253" w:lineRule="auto"/>
              <w:rPr>
                <w:rFonts w:ascii="Arial"/>
                <w:sz w:val="24"/>
                <w:szCs w:val="24"/>
              </w:rPr>
            </w:pPr>
          </w:p>
          <w:p w14:paraId="33E624CF">
            <w:pPr>
              <w:spacing w:line="254" w:lineRule="auto"/>
              <w:rPr>
                <w:rFonts w:ascii="Arial"/>
                <w:sz w:val="24"/>
                <w:szCs w:val="24"/>
              </w:rPr>
            </w:pPr>
          </w:p>
          <w:p w14:paraId="6D0B39F2">
            <w:pPr>
              <w:spacing w:line="254" w:lineRule="auto"/>
              <w:rPr>
                <w:rFonts w:ascii="Arial"/>
                <w:sz w:val="24"/>
                <w:szCs w:val="24"/>
              </w:rPr>
            </w:pPr>
          </w:p>
          <w:p w14:paraId="2722BCC5">
            <w:pPr>
              <w:spacing w:line="254" w:lineRule="auto"/>
              <w:rPr>
                <w:rFonts w:ascii="Arial"/>
                <w:sz w:val="24"/>
                <w:szCs w:val="24"/>
              </w:rPr>
            </w:pPr>
          </w:p>
          <w:p w14:paraId="02738A59">
            <w:pPr>
              <w:pStyle w:val="9"/>
              <w:spacing w:before="91"/>
              <w:ind w:left="241"/>
              <w:rPr>
                <w:sz w:val="24"/>
                <w:szCs w:val="24"/>
              </w:rPr>
            </w:pPr>
            <w:r>
              <w:rPr>
                <w:sz w:val="24"/>
                <w:szCs w:val="24"/>
              </w:rPr>
              <w:t>3</w:t>
            </w:r>
          </w:p>
        </w:tc>
        <w:tc>
          <w:tcPr>
            <w:tcW w:w="1709" w:type="dxa"/>
            <w:vMerge w:val="restart"/>
            <w:tcBorders>
              <w:bottom w:val="nil"/>
            </w:tcBorders>
            <w:vAlign w:val="top"/>
          </w:tcPr>
          <w:p w14:paraId="46C5E0E3">
            <w:pPr>
              <w:spacing w:line="253" w:lineRule="auto"/>
              <w:rPr>
                <w:rFonts w:ascii="Arial"/>
                <w:sz w:val="24"/>
                <w:szCs w:val="24"/>
              </w:rPr>
            </w:pPr>
          </w:p>
          <w:p w14:paraId="1FFBFDA1">
            <w:pPr>
              <w:spacing w:line="253" w:lineRule="auto"/>
              <w:rPr>
                <w:rFonts w:ascii="Arial"/>
                <w:sz w:val="24"/>
                <w:szCs w:val="24"/>
              </w:rPr>
            </w:pPr>
          </w:p>
          <w:p w14:paraId="65DA5C60">
            <w:pPr>
              <w:spacing w:line="253" w:lineRule="auto"/>
              <w:rPr>
                <w:rFonts w:ascii="Arial"/>
                <w:sz w:val="24"/>
                <w:szCs w:val="24"/>
              </w:rPr>
            </w:pPr>
          </w:p>
          <w:p w14:paraId="5291CD6C">
            <w:pPr>
              <w:spacing w:line="253" w:lineRule="auto"/>
              <w:rPr>
                <w:rFonts w:ascii="Arial"/>
                <w:sz w:val="24"/>
                <w:szCs w:val="24"/>
              </w:rPr>
            </w:pPr>
          </w:p>
          <w:p w14:paraId="5247412D">
            <w:pPr>
              <w:spacing w:line="253" w:lineRule="auto"/>
              <w:rPr>
                <w:rFonts w:ascii="Arial"/>
                <w:sz w:val="24"/>
                <w:szCs w:val="24"/>
              </w:rPr>
            </w:pPr>
          </w:p>
          <w:p w14:paraId="7A2A4306">
            <w:pPr>
              <w:spacing w:line="253" w:lineRule="auto"/>
              <w:rPr>
                <w:rFonts w:ascii="Arial"/>
                <w:sz w:val="24"/>
                <w:szCs w:val="24"/>
              </w:rPr>
            </w:pPr>
          </w:p>
          <w:p w14:paraId="40616FB5">
            <w:pPr>
              <w:spacing w:line="253" w:lineRule="auto"/>
              <w:rPr>
                <w:rFonts w:ascii="Arial"/>
                <w:sz w:val="24"/>
                <w:szCs w:val="24"/>
              </w:rPr>
            </w:pPr>
          </w:p>
          <w:p w14:paraId="60627067">
            <w:pPr>
              <w:spacing w:line="254" w:lineRule="auto"/>
              <w:rPr>
                <w:rFonts w:ascii="Arial"/>
                <w:sz w:val="24"/>
                <w:szCs w:val="24"/>
              </w:rPr>
            </w:pPr>
          </w:p>
          <w:p w14:paraId="3D2E6FDE">
            <w:pPr>
              <w:spacing w:line="254" w:lineRule="auto"/>
              <w:rPr>
                <w:rFonts w:ascii="Arial"/>
                <w:sz w:val="24"/>
                <w:szCs w:val="24"/>
              </w:rPr>
            </w:pPr>
          </w:p>
          <w:p w14:paraId="0BE4EB90">
            <w:pPr>
              <w:pStyle w:val="9"/>
              <w:spacing w:before="91" w:line="221" w:lineRule="auto"/>
              <w:ind w:left="305"/>
              <w:rPr>
                <w:sz w:val="24"/>
                <w:szCs w:val="24"/>
              </w:rPr>
            </w:pPr>
            <w:r>
              <w:rPr>
                <w:spacing w:val="-4"/>
                <w:sz w:val="24"/>
                <w:szCs w:val="24"/>
              </w:rPr>
              <w:t>项目性质</w:t>
            </w:r>
          </w:p>
        </w:tc>
        <w:tc>
          <w:tcPr>
            <w:tcW w:w="7362" w:type="dxa"/>
            <w:vAlign w:val="top"/>
          </w:tcPr>
          <w:p w14:paraId="7520E1FF">
            <w:pPr>
              <w:pStyle w:val="9"/>
              <w:spacing w:before="189" w:line="219" w:lineRule="auto"/>
              <w:ind w:left="46"/>
              <w:rPr>
                <w:sz w:val="24"/>
                <w:szCs w:val="24"/>
              </w:rPr>
            </w:pPr>
            <w:r>
              <w:rPr>
                <w:spacing w:val="-4"/>
                <w:sz w:val="24"/>
                <w:szCs w:val="24"/>
              </w:rPr>
              <w:t>●专门面向中小企业采购</w:t>
            </w:r>
          </w:p>
          <w:p w14:paraId="610CE7E6">
            <w:pPr>
              <w:pStyle w:val="9"/>
              <w:spacing w:before="291" w:line="220" w:lineRule="auto"/>
              <w:ind w:left="20"/>
              <w:rPr>
                <w:sz w:val="24"/>
                <w:szCs w:val="24"/>
              </w:rPr>
            </w:pPr>
            <w:r>
              <w:rPr>
                <w:spacing w:val="-1"/>
                <w:sz w:val="24"/>
                <w:szCs w:val="24"/>
              </w:rPr>
              <w:t>仅允许中小企业或小型、微型企业参与投标。</w:t>
            </w:r>
          </w:p>
        </w:tc>
      </w:tr>
      <w:tr w14:paraId="7377F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7" w:hRule="atLeast"/>
        </w:trPr>
        <w:tc>
          <w:tcPr>
            <w:tcW w:w="597" w:type="dxa"/>
            <w:vMerge w:val="continue"/>
            <w:tcBorders>
              <w:top w:val="nil"/>
            </w:tcBorders>
            <w:vAlign w:val="top"/>
          </w:tcPr>
          <w:p w14:paraId="2EAD96C3">
            <w:pPr>
              <w:rPr>
                <w:rFonts w:ascii="Arial"/>
                <w:sz w:val="24"/>
                <w:szCs w:val="24"/>
              </w:rPr>
            </w:pPr>
          </w:p>
        </w:tc>
        <w:tc>
          <w:tcPr>
            <w:tcW w:w="1709" w:type="dxa"/>
            <w:vMerge w:val="continue"/>
            <w:tcBorders>
              <w:top w:val="nil"/>
            </w:tcBorders>
            <w:vAlign w:val="top"/>
          </w:tcPr>
          <w:p w14:paraId="1F583064">
            <w:pPr>
              <w:rPr>
                <w:rFonts w:ascii="Arial"/>
                <w:sz w:val="24"/>
                <w:szCs w:val="24"/>
              </w:rPr>
            </w:pPr>
          </w:p>
        </w:tc>
        <w:tc>
          <w:tcPr>
            <w:tcW w:w="7362" w:type="dxa"/>
            <w:vAlign w:val="top"/>
          </w:tcPr>
          <w:p w14:paraId="372058A7">
            <w:pPr>
              <w:pStyle w:val="9"/>
              <w:spacing w:before="192" w:line="219" w:lineRule="auto"/>
              <w:ind w:left="46"/>
              <w:rPr>
                <w:sz w:val="24"/>
                <w:szCs w:val="24"/>
              </w:rPr>
            </w:pPr>
            <w:r>
              <w:rPr>
                <w:spacing w:val="-3"/>
                <w:sz w:val="24"/>
                <w:szCs w:val="24"/>
              </w:rPr>
              <w:t>○非专门面向中小企业采购</w:t>
            </w:r>
          </w:p>
          <w:p w14:paraId="7BC42CEB">
            <w:pPr>
              <w:pStyle w:val="9"/>
              <w:spacing w:before="292" w:line="411" w:lineRule="auto"/>
              <w:ind w:left="25" w:right="168" w:hanging="4"/>
              <w:rPr>
                <w:sz w:val="24"/>
                <w:szCs w:val="24"/>
              </w:rPr>
            </w:pPr>
            <w:r>
              <w:rPr>
                <w:spacing w:val="-3"/>
                <w:sz w:val="24"/>
                <w:szCs w:val="24"/>
              </w:rPr>
              <w:t>对符合《政府采购促进中小企业发展管理办法》</w:t>
            </w:r>
            <w:r>
              <w:rPr>
                <w:spacing w:val="-78"/>
                <w:sz w:val="24"/>
                <w:szCs w:val="24"/>
              </w:rPr>
              <w:t xml:space="preserve"> </w:t>
            </w:r>
            <w:r>
              <w:rPr>
                <w:spacing w:val="-3"/>
                <w:sz w:val="24"/>
                <w:szCs w:val="24"/>
              </w:rPr>
              <w:t>(财库</w:t>
            </w:r>
            <w:r>
              <w:rPr>
                <w:sz w:val="24"/>
                <w:szCs w:val="24"/>
              </w:rPr>
              <w:t xml:space="preserve"> </w:t>
            </w:r>
            <w:r>
              <w:rPr>
                <w:spacing w:val="-3"/>
                <w:sz w:val="24"/>
                <w:szCs w:val="24"/>
              </w:rPr>
              <w:t>［2020］46</w:t>
            </w:r>
            <w:r>
              <w:rPr>
                <w:spacing w:val="-46"/>
                <w:sz w:val="24"/>
                <w:szCs w:val="24"/>
              </w:rPr>
              <w:t xml:space="preserve"> </w:t>
            </w:r>
            <w:r>
              <w:rPr>
                <w:spacing w:val="-3"/>
                <w:sz w:val="24"/>
                <w:szCs w:val="24"/>
              </w:rPr>
              <w:t>号）规定的小微企业(监狱企业视同小型、</w:t>
            </w:r>
          </w:p>
          <w:p w14:paraId="085F727A">
            <w:pPr>
              <w:pStyle w:val="9"/>
              <w:spacing w:line="371" w:lineRule="auto"/>
              <w:ind w:left="23" w:right="12" w:hanging="1"/>
              <w:rPr>
                <w:sz w:val="24"/>
                <w:szCs w:val="24"/>
              </w:rPr>
            </w:pPr>
            <w:r>
              <w:rPr>
                <w:spacing w:val="-2"/>
                <w:sz w:val="24"/>
                <w:szCs w:val="24"/>
              </w:rPr>
              <w:t>微型企业)的报价给予</w:t>
            </w:r>
            <w:r>
              <w:rPr>
                <w:spacing w:val="-51"/>
                <w:sz w:val="24"/>
                <w:szCs w:val="24"/>
              </w:rPr>
              <w:t xml:space="preserve"> </w:t>
            </w:r>
            <w:r>
              <w:rPr>
                <w:spacing w:val="-2"/>
                <w:sz w:val="24"/>
                <w:szCs w:val="24"/>
              </w:rPr>
              <w:t>3%（3%-5%）的扣除（当采用招标</w:t>
            </w:r>
            <w:r>
              <w:rPr>
                <w:sz w:val="24"/>
                <w:szCs w:val="24"/>
              </w:rPr>
              <w:t xml:space="preserve"> </w:t>
            </w:r>
            <w:r>
              <w:rPr>
                <w:spacing w:val="-1"/>
                <w:sz w:val="24"/>
                <w:szCs w:val="24"/>
              </w:rPr>
              <w:t>方式时，实际上是对其价格分给予一定比例的增加</w:t>
            </w:r>
            <w:r>
              <w:rPr>
                <w:spacing w:val="20"/>
                <w:sz w:val="24"/>
                <w:szCs w:val="24"/>
              </w:rPr>
              <w:t>），</w:t>
            </w:r>
            <w:r>
              <w:rPr>
                <w:spacing w:val="1"/>
                <w:sz w:val="24"/>
                <w:szCs w:val="24"/>
              </w:rPr>
              <w:t xml:space="preserve"> </w:t>
            </w:r>
            <w:r>
              <w:rPr>
                <w:spacing w:val="-1"/>
                <w:sz w:val="24"/>
                <w:szCs w:val="24"/>
              </w:rPr>
              <w:t>用扣除后的价格参加评审。</w:t>
            </w:r>
          </w:p>
        </w:tc>
      </w:tr>
      <w:tr w14:paraId="55391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97" w:type="dxa"/>
            <w:vAlign w:val="top"/>
          </w:tcPr>
          <w:p w14:paraId="75CF1B60">
            <w:pPr>
              <w:rPr>
                <w:rFonts w:ascii="Arial"/>
                <w:sz w:val="24"/>
                <w:szCs w:val="24"/>
              </w:rPr>
            </w:pPr>
          </w:p>
          <w:p w14:paraId="5B7376DC">
            <w:pPr>
              <w:rPr>
                <w:rFonts w:ascii="Arial"/>
                <w:sz w:val="24"/>
                <w:szCs w:val="24"/>
              </w:rPr>
            </w:pPr>
          </w:p>
          <w:p w14:paraId="729B8FDB">
            <w:pPr>
              <w:rPr>
                <w:rFonts w:ascii="Arial"/>
                <w:sz w:val="24"/>
                <w:szCs w:val="24"/>
              </w:rPr>
            </w:pPr>
          </w:p>
          <w:p w14:paraId="1CF8DC2B">
            <w:pPr>
              <w:pStyle w:val="9"/>
              <w:spacing w:before="91" w:line="242" w:lineRule="auto"/>
              <w:ind w:left="234"/>
              <w:rPr>
                <w:sz w:val="24"/>
                <w:szCs w:val="24"/>
              </w:rPr>
            </w:pPr>
            <w:r>
              <w:rPr>
                <w:sz w:val="24"/>
                <w:szCs w:val="24"/>
              </w:rPr>
              <w:t>4</w:t>
            </w:r>
          </w:p>
        </w:tc>
        <w:tc>
          <w:tcPr>
            <w:tcW w:w="1709" w:type="dxa"/>
            <w:vAlign w:val="top"/>
          </w:tcPr>
          <w:p w14:paraId="572D24AE">
            <w:pPr>
              <w:spacing w:line="410" w:lineRule="auto"/>
              <w:rPr>
                <w:rFonts w:ascii="Arial"/>
                <w:color w:val="auto"/>
                <w:sz w:val="24"/>
                <w:szCs w:val="24"/>
              </w:rPr>
            </w:pPr>
          </w:p>
          <w:p w14:paraId="60FFB9A0">
            <w:pPr>
              <w:pStyle w:val="9"/>
              <w:spacing w:before="91" w:line="413" w:lineRule="auto"/>
              <w:ind w:left="722" w:right="14" w:hanging="693"/>
              <w:rPr>
                <w:color w:val="auto"/>
                <w:sz w:val="24"/>
                <w:szCs w:val="24"/>
              </w:rPr>
            </w:pPr>
            <w:r>
              <w:rPr>
                <w:color w:val="auto"/>
                <w:spacing w:val="-4"/>
                <w:sz w:val="24"/>
                <w:szCs w:val="24"/>
              </w:rPr>
              <w:t>暂列金或暂估</w:t>
            </w:r>
            <w:r>
              <w:rPr>
                <w:color w:val="auto"/>
                <w:sz w:val="24"/>
                <w:szCs w:val="24"/>
              </w:rPr>
              <w:t>价</w:t>
            </w:r>
          </w:p>
        </w:tc>
        <w:tc>
          <w:tcPr>
            <w:tcW w:w="7362" w:type="dxa"/>
            <w:vAlign w:val="top"/>
          </w:tcPr>
          <w:p w14:paraId="58055963">
            <w:pPr>
              <w:pStyle w:val="9"/>
              <w:spacing w:before="193" w:line="219" w:lineRule="auto"/>
              <w:ind w:left="31"/>
              <w:rPr>
                <w:color w:val="auto"/>
                <w:sz w:val="24"/>
                <w:szCs w:val="24"/>
              </w:rPr>
            </w:pPr>
            <w:r>
              <w:rPr>
                <w:color w:val="auto"/>
                <w:spacing w:val="-1"/>
                <w:sz w:val="24"/>
                <w:szCs w:val="24"/>
              </w:rPr>
              <w:t>暂列金：人民币</w:t>
            </w:r>
            <w:r>
              <w:rPr>
                <w:color w:val="auto"/>
                <w:spacing w:val="-1"/>
                <w:sz w:val="24"/>
                <w:szCs w:val="24"/>
                <w:u w:val="single" w:color="auto"/>
              </w:rPr>
              <w:t xml:space="preserve">/ </w:t>
            </w:r>
            <w:r>
              <w:rPr>
                <w:color w:val="auto"/>
                <w:spacing w:val="-1"/>
                <w:sz w:val="24"/>
                <w:szCs w:val="24"/>
              </w:rPr>
              <w:t>元</w:t>
            </w:r>
          </w:p>
          <w:p w14:paraId="21986936">
            <w:pPr>
              <w:pStyle w:val="9"/>
              <w:spacing w:before="291" w:line="352" w:lineRule="auto"/>
              <w:ind w:left="26" w:right="3276" w:hanging="3"/>
              <w:rPr>
                <w:color w:val="auto"/>
                <w:sz w:val="24"/>
                <w:szCs w:val="24"/>
              </w:rPr>
            </w:pPr>
            <w:r>
              <w:rPr>
                <w:color w:val="auto"/>
                <w:spacing w:val="-1"/>
                <w:sz w:val="24"/>
                <w:szCs w:val="24"/>
              </w:rPr>
              <w:t>专业工程暂估价：人民币</w:t>
            </w:r>
            <w:r>
              <w:rPr>
                <w:color w:val="auto"/>
                <w:spacing w:val="-1"/>
                <w:sz w:val="24"/>
                <w:szCs w:val="24"/>
                <w:u w:val="single" w:color="auto"/>
              </w:rPr>
              <w:t>/</w:t>
            </w:r>
            <w:r>
              <w:rPr>
                <w:color w:val="auto"/>
                <w:spacing w:val="-1"/>
                <w:sz w:val="24"/>
                <w:szCs w:val="24"/>
              </w:rPr>
              <w:t>元</w:t>
            </w:r>
            <w:r>
              <w:rPr>
                <w:color w:val="auto"/>
                <w:spacing w:val="1"/>
                <w:sz w:val="24"/>
                <w:szCs w:val="24"/>
              </w:rPr>
              <w:t xml:space="preserve"> </w:t>
            </w:r>
            <w:r>
              <w:rPr>
                <w:color w:val="auto"/>
                <w:spacing w:val="-3"/>
                <w:sz w:val="24"/>
                <w:szCs w:val="24"/>
              </w:rPr>
              <w:t>如有，请列明。</w:t>
            </w:r>
          </w:p>
        </w:tc>
      </w:tr>
    </w:tbl>
    <w:p w14:paraId="790CF3D2">
      <w:pPr>
        <w:rPr>
          <w:rFonts w:ascii="Arial"/>
          <w:sz w:val="21"/>
        </w:rPr>
      </w:pPr>
    </w:p>
    <w:p w14:paraId="548D09D9">
      <w:pPr>
        <w:rPr>
          <w:rFonts w:ascii="Arial" w:hAnsi="Arial" w:eastAsia="Arial" w:cs="Arial"/>
          <w:sz w:val="21"/>
          <w:szCs w:val="21"/>
        </w:rPr>
        <w:sectPr>
          <w:pgSz w:w="11906" w:h="16839"/>
          <w:pgMar w:top="1431" w:right="1402" w:bottom="1417" w:left="1397" w:header="0" w:footer="0" w:gutter="0"/>
          <w:cols w:space="720" w:num="1"/>
        </w:sectPr>
      </w:pPr>
    </w:p>
    <w:tbl>
      <w:tblPr>
        <w:tblStyle w:val="8"/>
        <w:tblW w:w="90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7"/>
        <w:gridCol w:w="1709"/>
        <w:gridCol w:w="6762"/>
      </w:tblGrid>
      <w:tr w14:paraId="1D165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trPr>
        <w:tc>
          <w:tcPr>
            <w:tcW w:w="597" w:type="dxa"/>
            <w:vAlign w:val="center"/>
          </w:tcPr>
          <w:p w14:paraId="6051F10B">
            <w:pPr>
              <w:jc w:val="both"/>
              <w:rPr>
                <w:rFonts w:hint="eastAsia" w:ascii="宋体" w:hAnsi="宋体" w:eastAsia="宋体" w:cs="宋体"/>
                <w:sz w:val="24"/>
                <w:szCs w:val="24"/>
              </w:rPr>
            </w:pPr>
          </w:p>
          <w:p w14:paraId="1A1BBAEB">
            <w:pPr>
              <w:pStyle w:val="9"/>
              <w:spacing w:before="91"/>
              <w:ind w:left="241"/>
              <w:jc w:val="both"/>
              <w:rPr>
                <w:rFonts w:hint="eastAsia" w:ascii="宋体" w:hAnsi="宋体" w:eastAsia="宋体" w:cs="宋体"/>
                <w:sz w:val="24"/>
                <w:szCs w:val="24"/>
              </w:rPr>
            </w:pPr>
            <w:r>
              <w:rPr>
                <w:rFonts w:hint="eastAsia" w:ascii="宋体" w:hAnsi="宋体" w:eastAsia="宋体" w:cs="宋体"/>
                <w:sz w:val="24"/>
                <w:szCs w:val="24"/>
              </w:rPr>
              <w:t>5</w:t>
            </w:r>
          </w:p>
        </w:tc>
        <w:tc>
          <w:tcPr>
            <w:tcW w:w="1709" w:type="dxa"/>
            <w:vAlign w:val="center"/>
          </w:tcPr>
          <w:p w14:paraId="67AB2D3C">
            <w:pPr>
              <w:jc w:val="both"/>
              <w:rPr>
                <w:rFonts w:hint="eastAsia" w:ascii="宋体" w:hAnsi="宋体" w:eastAsia="宋体" w:cs="宋体"/>
                <w:sz w:val="24"/>
                <w:szCs w:val="24"/>
              </w:rPr>
            </w:pPr>
          </w:p>
          <w:p w14:paraId="154C93A1">
            <w:pPr>
              <w:pStyle w:val="9"/>
              <w:spacing w:before="91" w:line="221" w:lineRule="auto"/>
              <w:ind w:left="609"/>
              <w:jc w:val="both"/>
              <w:rPr>
                <w:rFonts w:hint="eastAsia" w:ascii="宋体" w:hAnsi="宋体" w:eastAsia="宋体" w:cs="宋体"/>
                <w:sz w:val="24"/>
                <w:szCs w:val="24"/>
              </w:rPr>
            </w:pPr>
            <w:r>
              <w:rPr>
                <w:rFonts w:hint="eastAsia" w:ascii="宋体" w:hAnsi="宋体" w:eastAsia="宋体" w:cs="宋体"/>
                <w:spacing w:val="-19"/>
                <w:sz w:val="24"/>
                <w:szCs w:val="24"/>
              </w:rPr>
              <w:t>图纸</w:t>
            </w:r>
          </w:p>
        </w:tc>
        <w:tc>
          <w:tcPr>
            <w:tcW w:w="6762" w:type="dxa"/>
            <w:vAlign w:val="top"/>
          </w:tcPr>
          <w:p w14:paraId="7275DC4E">
            <w:pPr>
              <w:pStyle w:val="9"/>
              <w:spacing w:before="194" w:line="316" w:lineRule="auto"/>
              <w:ind w:left="25" w:right="58" w:firstLine="21"/>
              <w:rPr>
                <w:rFonts w:hint="eastAsia" w:ascii="宋体" w:hAnsi="宋体" w:eastAsia="宋体" w:cs="宋体"/>
                <w:sz w:val="24"/>
                <w:szCs w:val="24"/>
              </w:rPr>
            </w:pPr>
            <w:r>
              <w:rPr>
                <w:rFonts w:hint="eastAsia" w:ascii="宋体" w:hAnsi="宋体" w:eastAsia="宋体" w:cs="宋体"/>
                <w:spacing w:val="-2"/>
                <w:sz w:val="24"/>
                <w:szCs w:val="24"/>
              </w:rPr>
              <w:t>●有图纸，图纸与工程量清单不一致时以</w:t>
            </w:r>
            <w:r>
              <w:rPr>
                <w:rFonts w:hint="eastAsia" w:ascii="宋体" w:hAnsi="宋体" w:eastAsia="宋体" w:cs="宋体"/>
                <w:spacing w:val="-2"/>
                <w:sz w:val="24"/>
                <w:szCs w:val="24"/>
                <w:u w:val="single" w:color="auto"/>
              </w:rPr>
              <w:t>工程量清单</w:t>
            </w:r>
            <w:r>
              <w:rPr>
                <w:rFonts w:hint="eastAsia" w:ascii="宋体" w:hAnsi="宋体" w:eastAsia="宋体" w:cs="宋体"/>
                <w:spacing w:val="-2"/>
                <w:sz w:val="24"/>
                <w:szCs w:val="24"/>
              </w:rPr>
              <w:t>为</w:t>
            </w:r>
            <w:r>
              <w:rPr>
                <w:rFonts w:hint="eastAsia" w:ascii="宋体" w:hAnsi="宋体" w:eastAsia="宋体" w:cs="宋体"/>
                <w:spacing w:val="-7"/>
                <w:sz w:val="24"/>
                <w:szCs w:val="24"/>
              </w:rPr>
              <w:t>准。</w:t>
            </w:r>
          </w:p>
          <w:p w14:paraId="34684F7C">
            <w:pPr>
              <w:pStyle w:val="9"/>
              <w:spacing w:before="287" w:line="221" w:lineRule="auto"/>
              <w:ind w:left="46"/>
              <w:rPr>
                <w:rFonts w:hint="eastAsia" w:ascii="宋体" w:hAnsi="宋体" w:eastAsia="宋体" w:cs="宋体"/>
                <w:sz w:val="24"/>
                <w:szCs w:val="24"/>
              </w:rPr>
            </w:pPr>
            <w:r>
              <w:rPr>
                <w:rFonts w:hint="eastAsia" w:ascii="宋体" w:hAnsi="宋体" w:eastAsia="宋体" w:cs="宋体"/>
                <w:spacing w:val="-9"/>
                <w:sz w:val="24"/>
                <w:szCs w:val="24"/>
              </w:rPr>
              <w:t>○无图纸</w:t>
            </w:r>
          </w:p>
        </w:tc>
      </w:tr>
      <w:tr w14:paraId="3C94B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97" w:type="dxa"/>
            <w:vAlign w:val="top"/>
          </w:tcPr>
          <w:p w14:paraId="06049088">
            <w:pPr>
              <w:spacing w:line="246" w:lineRule="auto"/>
              <w:rPr>
                <w:rFonts w:hint="eastAsia" w:ascii="宋体" w:hAnsi="宋体" w:eastAsia="宋体" w:cs="宋体"/>
                <w:sz w:val="24"/>
                <w:szCs w:val="24"/>
              </w:rPr>
            </w:pPr>
          </w:p>
          <w:p w14:paraId="422AC42C">
            <w:pPr>
              <w:spacing w:line="246" w:lineRule="auto"/>
              <w:rPr>
                <w:rFonts w:hint="eastAsia" w:ascii="宋体" w:hAnsi="宋体" w:eastAsia="宋体" w:cs="宋体"/>
                <w:sz w:val="24"/>
                <w:szCs w:val="24"/>
              </w:rPr>
            </w:pPr>
          </w:p>
          <w:p w14:paraId="32469919">
            <w:pPr>
              <w:spacing w:line="246" w:lineRule="auto"/>
              <w:rPr>
                <w:rFonts w:hint="eastAsia" w:ascii="宋体" w:hAnsi="宋体" w:eastAsia="宋体" w:cs="宋体"/>
                <w:sz w:val="24"/>
                <w:szCs w:val="24"/>
              </w:rPr>
            </w:pPr>
          </w:p>
          <w:p w14:paraId="3130771A">
            <w:pPr>
              <w:spacing w:line="247" w:lineRule="auto"/>
              <w:rPr>
                <w:rFonts w:hint="eastAsia" w:ascii="宋体" w:hAnsi="宋体" w:eastAsia="宋体" w:cs="宋体"/>
                <w:sz w:val="24"/>
                <w:szCs w:val="24"/>
              </w:rPr>
            </w:pPr>
          </w:p>
          <w:p w14:paraId="645B9318">
            <w:pPr>
              <w:spacing w:line="247" w:lineRule="auto"/>
              <w:rPr>
                <w:rFonts w:hint="eastAsia" w:ascii="宋体" w:hAnsi="宋体" w:eastAsia="宋体" w:cs="宋体"/>
                <w:sz w:val="24"/>
                <w:szCs w:val="24"/>
              </w:rPr>
            </w:pPr>
          </w:p>
          <w:p w14:paraId="42DB3124">
            <w:pPr>
              <w:spacing w:line="247" w:lineRule="auto"/>
              <w:rPr>
                <w:rFonts w:hint="eastAsia" w:ascii="宋体" w:hAnsi="宋体" w:eastAsia="宋体" w:cs="宋体"/>
                <w:sz w:val="24"/>
                <w:szCs w:val="24"/>
              </w:rPr>
            </w:pPr>
          </w:p>
          <w:p w14:paraId="449905EF">
            <w:pPr>
              <w:spacing w:line="247" w:lineRule="auto"/>
              <w:rPr>
                <w:rFonts w:hint="eastAsia" w:ascii="宋体" w:hAnsi="宋体" w:eastAsia="宋体" w:cs="宋体"/>
                <w:sz w:val="24"/>
                <w:szCs w:val="24"/>
              </w:rPr>
            </w:pPr>
          </w:p>
          <w:p w14:paraId="4C8D439C">
            <w:pPr>
              <w:spacing w:line="247" w:lineRule="auto"/>
              <w:rPr>
                <w:rFonts w:hint="eastAsia" w:ascii="宋体" w:hAnsi="宋体" w:eastAsia="宋体" w:cs="宋体"/>
                <w:sz w:val="24"/>
                <w:szCs w:val="24"/>
              </w:rPr>
            </w:pPr>
          </w:p>
          <w:p w14:paraId="6170D1F8">
            <w:pPr>
              <w:spacing w:line="247" w:lineRule="auto"/>
              <w:rPr>
                <w:rFonts w:hint="eastAsia" w:ascii="宋体" w:hAnsi="宋体" w:eastAsia="宋体" w:cs="宋体"/>
                <w:sz w:val="24"/>
                <w:szCs w:val="24"/>
              </w:rPr>
            </w:pPr>
          </w:p>
          <w:p w14:paraId="43293D06">
            <w:pPr>
              <w:spacing w:line="247" w:lineRule="auto"/>
              <w:rPr>
                <w:rFonts w:hint="eastAsia" w:ascii="宋体" w:hAnsi="宋体" w:eastAsia="宋体" w:cs="宋体"/>
                <w:sz w:val="24"/>
                <w:szCs w:val="24"/>
              </w:rPr>
            </w:pPr>
          </w:p>
          <w:p w14:paraId="2F81FC28">
            <w:pPr>
              <w:spacing w:line="247" w:lineRule="auto"/>
              <w:rPr>
                <w:rFonts w:hint="eastAsia" w:ascii="宋体" w:hAnsi="宋体" w:eastAsia="宋体" w:cs="宋体"/>
                <w:sz w:val="24"/>
                <w:szCs w:val="24"/>
              </w:rPr>
            </w:pPr>
          </w:p>
          <w:p w14:paraId="114DDFAE">
            <w:pPr>
              <w:spacing w:line="247" w:lineRule="auto"/>
              <w:rPr>
                <w:rFonts w:hint="eastAsia" w:ascii="宋体" w:hAnsi="宋体" w:eastAsia="宋体" w:cs="宋体"/>
                <w:sz w:val="24"/>
                <w:szCs w:val="24"/>
              </w:rPr>
            </w:pPr>
          </w:p>
          <w:p w14:paraId="1B7703FB">
            <w:pPr>
              <w:spacing w:line="247" w:lineRule="auto"/>
              <w:rPr>
                <w:rFonts w:hint="eastAsia" w:ascii="宋体" w:hAnsi="宋体" w:eastAsia="宋体" w:cs="宋体"/>
                <w:sz w:val="24"/>
                <w:szCs w:val="24"/>
              </w:rPr>
            </w:pPr>
          </w:p>
          <w:p w14:paraId="161F6DFE">
            <w:pPr>
              <w:spacing w:line="247" w:lineRule="auto"/>
              <w:rPr>
                <w:rFonts w:hint="eastAsia" w:ascii="宋体" w:hAnsi="宋体" w:eastAsia="宋体" w:cs="宋体"/>
                <w:sz w:val="24"/>
                <w:szCs w:val="24"/>
              </w:rPr>
            </w:pPr>
          </w:p>
          <w:p w14:paraId="5970957C">
            <w:pPr>
              <w:spacing w:line="247" w:lineRule="auto"/>
              <w:rPr>
                <w:rFonts w:hint="eastAsia" w:ascii="宋体" w:hAnsi="宋体" w:eastAsia="宋体" w:cs="宋体"/>
                <w:sz w:val="24"/>
                <w:szCs w:val="24"/>
              </w:rPr>
            </w:pPr>
          </w:p>
          <w:p w14:paraId="54C9EBEB">
            <w:pPr>
              <w:spacing w:line="247" w:lineRule="auto"/>
              <w:rPr>
                <w:rFonts w:hint="eastAsia" w:ascii="宋体" w:hAnsi="宋体" w:eastAsia="宋体" w:cs="宋体"/>
                <w:sz w:val="24"/>
                <w:szCs w:val="24"/>
              </w:rPr>
            </w:pPr>
          </w:p>
          <w:p w14:paraId="4DE08012">
            <w:pPr>
              <w:spacing w:line="247" w:lineRule="auto"/>
              <w:rPr>
                <w:rFonts w:hint="eastAsia" w:ascii="宋体" w:hAnsi="宋体" w:eastAsia="宋体" w:cs="宋体"/>
                <w:sz w:val="24"/>
                <w:szCs w:val="24"/>
              </w:rPr>
            </w:pPr>
          </w:p>
          <w:p w14:paraId="7BC10ACA">
            <w:pPr>
              <w:spacing w:line="247" w:lineRule="auto"/>
              <w:rPr>
                <w:rFonts w:hint="eastAsia" w:ascii="宋体" w:hAnsi="宋体" w:eastAsia="宋体" w:cs="宋体"/>
                <w:sz w:val="24"/>
                <w:szCs w:val="24"/>
              </w:rPr>
            </w:pPr>
          </w:p>
          <w:p w14:paraId="0E83F7A9">
            <w:pPr>
              <w:spacing w:line="247" w:lineRule="auto"/>
              <w:rPr>
                <w:rFonts w:hint="eastAsia" w:ascii="宋体" w:hAnsi="宋体" w:eastAsia="宋体" w:cs="宋体"/>
                <w:sz w:val="24"/>
                <w:szCs w:val="24"/>
              </w:rPr>
            </w:pPr>
          </w:p>
          <w:p w14:paraId="046126A6">
            <w:pPr>
              <w:spacing w:line="247" w:lineRule="auto"/>
              <w:rPr>
                <w:rFonts w:hint="eastAsia" w:ascii="宋体" w:hAnsi="宋体" w:eastAsia="宋体" w:cs="宋体"/>
                <w:sz w:val="24"/>
                <w:szCs w:val="24"/>
              </w:rPr>
            </w:pPr>
          </w:p>
          <w:p w14:paraId="0802594E">
            <w:pPr>
              <w:spacing w:line="247" w:lineRule="auto"/>
              <w:rPr>
                <w:rFonts w:hint="eastAsia" w:ascii="宋体" w:hAnsi="宋体" w:eastAsia="宋体" w:cs="宋体"/>
                <w:sz w:val="24"/>
                <w:szCs w:val="24"/>
              </w:rPr>
            </w:pPr>
          </w:p>
          <w:p w14:paraId="622B14D1">
            <w:pPr>
              <w:spacing w:line="247" w:lineRule="auto"/>
              <w:rPr>
                <w:rFonts w:hint="eastAsia" w:ascii="宋体" w:hAnsi="宋体" w:eastAsia="宋体" w:cs="宋体"/>
                <w:sz w:val="24"/>
                <w:szCs w:val="24"/>
              </w:rPr>
            </w:pPr>
          </w:p>
          <w:p w14:paraId="0B07A4EE">
            <w:pPr>
              <w:spacing w:line="247" w:lineRule="auto"/>
              <w:rPr>
                <w:rFonts w:hint="eastAsia" w:ascii="宋体" w:hAnsi="宋体" w:eastAsia="宋体" w:cs="宋体"/>
                <w:sz w:val="24"/>
                <w:szCs w:val="24"/>
              </w:rPr>
            </w:pPr>
          </w:p>
          <w:p w14:paraId="3142C83A">
            <w:pPr>
              <w:pStyle w:val="9"/>
              <w:spacing w:before="91"/>
              <w:ind w:left="238"/>
              <w:rPr>
                <w:rFonts w:hint="eastAsia" w:ascii="宋体" w:hAnsi="宋体" w:eastAsia="宋体" w:cs="宋体"/>
                <w:sz w:val="24"/>
                <w:szCs w:val="24"/>
              </w:rPr>
            </w:pPr>
            <w:r>
              <w:rPr>
                <w:rFonts w:hint="eastAsia" w:ascii="宋体" w:hAnsi="宋体" w:eastAsia="宋体" w:cs="宋体"/>
                <w:sz w:val="24"/>
                <w:szCs w:val="24"/>
              </w:rPr>
              <w:t>6</w:t>
            </w:r>
          </w:p>
        </w:tc>
        <w:tc>
          <w:tcPr>
            <w:tcW w:w="1709" w:type="dxa"/>
            <w:vAlign w:val="top"/>
          </w:tcPr>
          <w:p w14:paraId="72130381">
            <w:pPr>
              <w:spacing w:line="244" w:lineRule="auto"/>
              <w:rPr>
                <w:rFonts w:hint="eastAsia" w:ascii="宋体" w:hAnsi="宋体" w:eastAsia="宋体" w:cs="宋体"/>
                <w:sz w:val="24"/>
                <w:szCs w:val="24"/>
              </w:rPr>
            </w:pPr>
          </w:p>
          <w:p w14:paraId="5B524AB1">
            <w:pPr>
              <w:spacing w:line="244" w:lineRule="auto"/>
              <w:rPr>
                <w:rFonts w:hint="eastAsia" w:ascii="宋体" w:hAnsi="宋体" w:eastAsia="宋体" w:cs="宋体"/>
                <w:sz w:val="24"/>
                <w:szCs w:val="24"/>
              </w:rPr>
            </w:pPr>
          </w:p>
          <w:p w14:paraId="5AD56613">
            <w:pPr>
              <w:spacing w:line="244" w:lineRule="auto"/>
              <w:rPr>
                <w:rFonts w:hint="eastAsia" w:ascii="宋体" w:hAnsi="宋体" w:eastAsia="宋体" w:cs="宋体"/>
                <w:sz w:val="24"/>
                <w:szCs w:val="24"/>
              </w:rPr>
            </w:pPr>
          </w:p>
          <w:p w14:paraId="47BFC5F3">
            <w:pPr>
              <w:spacing w:line="244" w:lineRule="auto"/>
              <w:rPr>
                <w:rFonts w:hint="eastAsia" w:ascii="宋体" w:hAnsi="宋体" w:eastAsia="宋体" w:cs="宋体"/>
                <w:sz w:val="24"/>
                <w:szCs w:val="24"/>
              </w:rPr>
            </w:pPr>
          </w:p>
          <w:p w14:paraId="3B09CF45">
            <w:pPr>
              <w:spacing w:line="244" w:lineRule="auto"/>
              <w:rPr>
                <w:rFonts w:hint="eastAsia" w:ascii="宋体" w:hAnsi="宋体" w:eastAsia="宋体" w:cs="宋体"/>
                <w:sz w:val="24"/>
                <w:szCs w:val="24"/>
              </w:rPr>
            </w:pPr>
          </w:p>
          <w:p w14:paraId="373C3AEF">
            <w:pPr>
              <w:spacing w:line="244" w:lineRule="auto"/>
              <w:rPr>
                <w:rFonts w:hint="eastAsia" w:ascii="宋体" w:hAnsi="宋体" w:eastAsia="宋体" w:cs="宋体"/>
                <w:sz w:val="24"/>
                <w:szCs w:val="24"/>
              </w:rPr>
            </w:pPr>
          </w:p>
          <w:p w14:paraId="120DAAEC">
            <w:pPr>
              <w:spacing w:line="244" w:lineRule="auto"/>
              <w:rPr>
                <w:rFonts w:hint="eastAsia" w:ascii="宋体" w:hAnsi="宋体" w:eastAsia="宋体" w:cs="宋体"/>
                <w:sz w:val="24"/>
                <w:szCs w:val="24"/>
              </w:rPr>
            </w:pPr>
          </w:p>
          <w:p w14:paraId="37398AE1">
            <w:pPr>
              <w:spacing w:line="244" w:lineRule="auto"/>
              <w:rPr>
                <w:rFonts w:hint="eastAsia" w:ascii="宋体" w:hAnsi="宋体" w:eastAsia="宋体" w:cs="宋体"/>
                <w:sz w:val="24"/>
                <w:szCs w:val="24"/>
              </w:rPr>
            </w:pPr>
          </w:p>
          <w:p w14:paraId="55725D0C">
            <w:pPr>
              <w:spacing w:line="244" w:lineRule="auto"/>
              <w:rPr>
                <w:rFonts w:hint="eastAsia" w:ascii="宋体" w:hAnsi="宋体" w:eastAsia="宋体" w:cs="宋体"/>
                <w:sz w:val="24"/>
                <w:szCs w:val="24"/>
              </w:rPr>
            </w:pPr>
          </w:p>
          <w:p w14:paraId="44CD9056">
            <w:pPr>
              <w:spacing w:line="244" w:lineRule="auto"/>
              <w:rPr>
                <w:rFonts w:hint="eastAsia" w:ascii="宋体" w:hAnsi="宋体" w:eastAsia="宋体" w:cs="宋体"/>
                <w:sz w:val="24"/>
                <w:szCs w:val="24"/>
              </w:rPr>
            </w:pPr>
          </w:p>
          <w:p w14:paraId="1CEC5AC4">
            <w:pPr>
              <w:spacing w:line="244" w:lineRule="auto"/>
              <w:rPr>
                <w:rFonts w:hint="eastAsia" w:ascii="宋体" w:hAnsi="宋体" w:eastAsia="宋体" w:cs="宋体"/>
                <w:sz w:val="24"/>
                <w:szCs w:val="24"/>
              </w:rPr>
            </w:pPr>
          </w:p>
          <w:p w14:paraId="626A240B">
            <w:pPr>
              <w:spacing w:line="244" w:lineRule="auto"/>
              <w:rPr>
                <w:rFonts w:hint="eastAsia" w:ascii="宋体" w:hAnsi="宋体" w:eastAsia="宋体" w:cs="宋体"/>
                <w:sz w:val="24"/>
                <w:szCs w:val="24"/>
              </w:rPr>
            </w:pPr>
          </w:p>
          <w:p w14:paraId="1ABE5A5F">
            <w:pPr>
              <w:spacing w:line="244" w:lineRule="auto"/>
              <w:rPr>
                <w:rFonts w:hint="eastAsia" w:ascii="宋体" w:hAnsi="宋体" w:eastAsia="宋体" w:cs="宋体"/>
                <w:sz w:val="24"/>
                <w:szCs w:val="24"/>
              </w:rPr>
            </w:pPr>
          </w:p>
          <w:p w14:paraId="2EB719E6">
            <w:pPr>
              <w:spacing w:line="244" w:lineRule="auto"/>
              <w:rPr>
                <w:rFonts w:hint="eastAsia" w:ascii="宋体" w:hAnsi="宋体" w:eastAsia="宋体" w:cs="宋体"/>
                <w:sz w:val="24"/>
                <w:szCs w:val="24"/>
              </w:rPr>
            </w:pPr>
          </w:p>
          <w:p w14:paraId="398619E6">
            <w:pPr>
              <w:spacing w:line="244" w:lineRule="auto"/>
              <w:rPr>
                <w:rFonts w:hint="eastAsia" w:ascii="宋体" w:hAnsi="宋体" w:eastAsia="宋体" w:cs="宋体"/>
                <w:sz w:val="24"/>
                <w:szCs w:val="24"/>
              </w:rPr>
            </w:pPr>
          </w:p>
          <w:p w14:paraId="1C51BD94">
            <w:pPr>
              <w:spacing w:line="244" w:lineRule="auto"/>
              <w:rPr>
                <w:rFonts w:hint="eastAsia" w:ascii="宋体" w:hAnsi="宋体" w:eastAsia="宋体" w:cs="宋体"/>
                <w:sz w:val="24"/>
                <w:szCs w:val="24"/>
              </w:rPr>
            </w:pPr>
          </w:p>
          <w:p w14:paraId="3DF69A25">
            <w:pPr>
              <w:spacing w:line="244" w:lineRule="auto"/>
              <w:rPr>
                <w:rFonts w:hint="eastAsia" w:ascii="宋体" w:hAnsi="宋体" w:eastAsia="宋体" w:cs="宋体"/>
                <w:sz w:val="24"/>
                <w:szCs w:val="24"/>
              </w:rPr>
            </w:pPr>
          </w:p>
          <w:p w14:paraId="208E40A8">
            <w:pPr>
              <w:spacing w:line="244" w:lineRule="auto"/>
              <w:rPr>
                <w:rFonts w:hint="eastAsia" w:ascii="宋体" w:hAnsi="宋体" w:eastAsia="宋体" w:cs="宋体"/>
                <w:sz w:val="24"/>
                <w:szCs w:val="24"/>
              </w:rPr>
            </w:pPr>
          </w:p>
          <w:p w14:paraId="2672D529">
            <w:pPr>
              <w:spacing w:line="244" w:lineRule="auto"/>
              <w:rPr>
                <w:rFonts w:hint="eastAsia" w:ascii="宋体" w:hAnsi="宋体" w:eastAsia="宋体" w:cs="宋体"/>
                <w:sz w:val="24"/>
                <w:szCs w:val="24"/>
              </w:rPr>
            </w:pPr>
          </w:p>
          <w:p w14:paraId="39C96226">
            <w:pPr>
              <w:spacing w:line="244" w:lineRule="auto"/>
              <w:rPr>
                <w:rFonts w:hint="eastAsia" w:ascii="宋体" w:hAnsi="宋体" w:eastAsia="宋体" w:cs="宋体"/>
                <w:sz w:val="24"/>
                <w:szCs w:val="24"/>
              </w:rPr>
            </w:pPr>
          </w:p>
          <w:p w14:paraId="478B4530">
            <w:pPr>
              <w:spacing w:line="244" w:lineRule="auto"/>
              <w:rPr>
                <w:rFonts w:hint="eastAsia" w:ascii="宋体" w:hAnsi="宋体" w:eastAsia="宋体" w:cs="宋体"/>
                <w:sz w:val="24"/>
                <w:szCs w:val="24"/>
              </w:rPr>
            </w:pPr>
          </w:p>
          <w:p w14:paraId="4286C6C1">
            <w:pPr>
              <w:spacing w:line="245" w:lineRule="auto"/>
              <w:rPr>
                <w:rFonts w:hint="eastAsia" w:ascii="宋体" w:hAnsi="宋体" w:eastAsia="宋体" w:cs="宋体"/>
                <w:sz w:val="24"/>
                <w:szCs w:val="24"/>
              </w:rPr>
            </w:pPr>
          </w:p>
          <w:p w14:paraId="71F16EDF">
            <w:pPr>
              <w:pStyle w:val="9"/>
              <w:spacing w:before="91" w:line="413" w:lineRule="auto"/>
              <w:ind w:left="313" w:right="151" w:hanging="152"/>
              <w:rPr>
                <w:rFonts w:hint="eastAsia" w:ascii="宋体" w:hAnsi="宋体" w:eastAsia="宋体" w:cs="宋体"/>
                <w:sz w:val="24"/>
                <w:szCs w:val="24"/>
              </w:rPr>
            </w:pPr>
            <w:r>
              <w:rPr>
                <w:rFonts w:hint="eastAsia" w:ascii="宋体" w:hAnsi="宋体" w:eastAsia="宋体" w:cs="宋体"/>
                <w:spacing w:val="-2"/>
                <w:sz w:val="24"/>
                <w:szCs w:val="24"/>
              </w:rPr>
              <w:t>对供应商的</w:t>
            </w:r>
            <w:r>
              <w:rPr>
                <w:rFonts w:hint="eastAsia" w:ascii="宋体" w:hAnsi="宋体" w:eastAsia="宋体" w:cs="宋体"/>
                <w:sz w:val="24"/>
                <w:szCs w:val="24"/>
              </w:rPr>
              <w:t xml:space="preserve"> </w:t>
            </w:r>
            <w:r>
              <w:rPr>
                <w:rFonts w:hint="eastAsia" w:ascii="宋体" w:hAnsi="宋体" w:eastAsia="宋体" w:cs="宋体"/>
                <w:spacing w:val="-6"/>
                <w:sz w:val="24"/>
                <w:szCs w:val="24"/>
              </w:rPr>
              <w:t>资格要求</w:t>
            </w:r>
          </w:p>
        </w:tc>
        <w:tc>
          <w:tcPr>
            <w:tcW w:w="6762" w:type="dxa"/>
            <w:vAlign w:val="top"/>
          </w:tcPr>
          <w:p w14:paraId="5D5F54CA">
            <w:pPr>
              <w:pStyle w:val="10"/>
              <w:spacing w:line="360" w:lineRule="auto"/>
              <w:rPr>
                <w:rFonts w:hint="eastAsia" w:ascii="宋体" w:hAnsi="宋体" w:eastAsia="宋体" w:cs="宋体"/>
                <w:sz w:val="24"/>
                <w:szCs w:val="24"/>
              </w:rPr>
            </w:pPr>
            <w:r>
              <w:rPr>
                <w:rFonts w:hint="eastAsia" w:ascii="宋体" w:hAnsi="宋体" w:eastAsia="宋体" w:cs="宋体"/>
                <w:sz w:val="24"/>
                <w:szCs w:val="24"/>
              </w:rPr>
              <w:t>（一）满足《中华人民共和国政府采购法》第二十二条规定；</w:t>
            </w:r>
          </w:p>
          <w:p w14:paraId="669E23B0">
            <w:pPr>
              <w:pStyle w:val="10"/>
              <w:spacing w:line="360" w:lineRule="auto"/>
              <w:rPr>
                <w:rFonts w:hint="eastAsia" w:ascii="宋体" w:hAnsi="宋体" w:eastAsia="宋体" w:cs="宋体"/>
                <w:sz w:val="24"/>
                <w:szCs w:val="24"/>
              </w:rPr>
            </w:pPr>
            <w:r>
              <w:rPr>
                <w:rFonts w:hint="eastAsia" w:ascii="宋体" w:hAnsi="宋体" w:eastAsia="宋体" w:cs="宋体"/>
                <w:sz w:val="24"/>
                <w:szCs w:val="24"/>
              </w:rPr>
              <w:t>（二）落实政府采购政策需满足的资格要求：</w:t>
            </w:r>
          </w:p>
          <w:p w14:paraId="7ECF8FCE">
            <w:pPr>
              <w:pStyle w:val="10"/>
              <w:spacing w:line="360" w:lineRule="auto"/>
              <w:ind w:firstLine="480"/>
              <w:rPr>
                <w:rFonts w:hint="eastAsia" w:ascii="宋体" w:hAnsi="宋体" w:eastAsia="宋体" w:cs="宋体"/>
                <w:sz w:val="24"/>
                <w:szCs w:val="24"/>
              </w:rPr>
            </w:pPr>
            <w:r>
              <w:rPr>
                <w:rFonts w:hint="eastAsia" w:ascii="宋体" w:hAnsi="宋体" w:eastAsia="宋体" w:cs="宋体"/>
                <w:sz w:val="24"/>
                <w:szCs w:val="24"/>
              </w:rPr>
              <w:t>落实政府采购促进中小企业发展的相关政策：</w:t>
            </w:r>
          </w:p>
          <w:p w14:paraId="778F56E6">
            <w:pPr>
              <w:pStyle w:val="10"/>
              <w:spacing w:line="360" w:lineRule="auto"/>
              <w:rPr>
                <w:rFonts w:hint="eastAsia" w:ascii="宋体" w:hAnsi="宋体" w:eastAsia="宋体" w:cs="宋体"/>
                <w:sz w:val="24"/>
                <w:szCs w:val="24"/>
              </w:rPr>
            </w:pPr>
            <w:r>
              <w:rPr>
                <w:rFonts w:hint="eastAsia" w:ascii="宋体" w:hAnsi="宋体" w:eastAsia="宋体" w:cs="宋体"/>
                <w:sz w:val="24"/>
                <w:szCs w:val="24"/>
              </w:rPr>
              <w:t>采购包1（</w:t>
            </w:r>
            <w:r>
              <w:rPr>
                <w:rFonts w:hint="eastAsia" w:ascii="宋体" w:hAnsi="宋体" w:eastAsia="宋体" w:cs="宋体"/>
                <w:sz w:val="24"/>
                <w:szCs w:val="24"/>
                <w:lang w:eastAsia="zh-CN"/>
              </w:rPr>
              <w:t>小寨镇余家沟村革命老区项目</w:t>
            </w:r>
            <w:r>
              <w:rPr>
                <w:rFonts w:hint="eastAsia" w:ascii="宋体" w:hAnsi="宋体" w:eastAsia="宋体" w:cs="宋体"/>
                <w:sz w:val="24"/>
                <w:szCs w:val="24"/>
              </w:rPr>
              <w:t>）：属于专门面向中小企业采购。</w:t>
            </w:r>
          </w:p>
          <w:p w14:paraId="25081FC3">
            <w:pPr>
              <w:pStyle w:val="10"/>
              <w:spacing w:line="360" w:lineRule="auto"/>
              <w:rPr>
                <w:rFonts w:hint="eastAsia" w:ascii="宋体" w:hAnsi="宋体" w:eastAsia="宋体" w:cs="宋体"/>
                <w:sz w:val="24"/>
                <w:szCs w:val="24"/>
              </w:rPr>
            </w:pPr>
            <w:r>
              <w:rPr>
                <w:rFonts w:hint="eastAsia" w:ascii="宋体" w:hAnsi="宋体" w:eastAsia="宋体" w:cs="宋体"/>
                <w:sz w:val="24"/>
                <w:szCs w:val="24"/>
              </w:rPr>
              <w:t>（三）本项目的特定资格要求：</w:t>
            </w:r>
          </w:p>
          <w:p w14:paraId="7CF5C396">
            <w:pPr>
              <w:pStyle w:val="10"/>
              <w:spacing w:line="360" w:lineRule="auto"/>
              <w:rPr>
                <w:rFonts w:hint="eastAsia" w:ascii="宋体" w:hAnsi="宋体" w:eastAsia="宋体" w:cs="宋体"/>
                <w:sz w:val="24"/>
                <w:szCs w:val="24"/>
              </w:rPr>
            </w:pPr>
            <w:r>
              <w:rPr>
                <w:rFonts w:hint="eastAsia" w:ascii="宋体" w:hAnsi="宋体" w:eastAsia="宋体" w:cs="宋体"/>
                <w:sz w:val="24"/>
                <w:szCs w:val="24"/>
              </w:rPr>
              <w:t>采购包1：</w:t>
            </w:r>
          </w:p>
          <w:p w14:paraId="7F202775">
            <w:pPr>
              <w:pStyle w:val="1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主体资格</w:t>
            </w:r>
            <w:r>
              <w:rPr>
                <w:rFonts w:hint="eastAsia" w:ascii="宋体" w:hAnsi="宋体" w:eastAsia="宋体" w:cs="宋体"/>
                <w:sz w:val="24"/>
                <w:szCs w:val="24"/>
              </w:rPr>
              <w:t>：法人或者其他组织提供营业执照等证明文件，自然人提供身份证件</w:t>
            </w:r>
            <w:r>
              <w:rPr>
                <w:rFonts w:hint="eastAsia" w:ascii="宋体" w:hAnsi="宋体" w:eastAsia="宋体" w:cs="宋体"/>
                <w:sz w:val="24"/>
                <w:szCs w:val="24"/>
                <w:lang w:eastAsia="zh-CN"/>
              </w:rPr>
              <w:t>；</w:t>
            </w:r>
          </w:p>
          <w:p w14:paraId="09D8B112">
            <w:pPr>
              <w:pStyle w:val="1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2、企业资质：供应商须具有建筑工程施工总承包叁级及以上资质及安全生产许可证</w:t>
            </w:r>
            <w:r>
              <w:rPr>
                <w:rFonts w:hint="eastAsia" w:ascii="宋体" w:hAnsi="宋体" w:eastAsia="宋体" w:cs="宋体"/>
                <w:sz w:val="24"/>
                <w:szCs w:val="24"/>
                <w:lang w:eastAsia="zh-CN"/>
              </w:rPr>
              <w:t>；</w:t>
            </w:r>
          </w:p>
          <w:p w14:paraId="03FAEDB8">
            <w:pPr>
              <w:pStyle w:val="1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3、拟派项目负责人资质和专业要求：供应商拟派项目负责人在本单位注册具有建筑工程专业二级及以上注册建造师证书及安全考核合格证,且无在建（无在建承诺格式自拟）</w:t>
            </w:r>
            <w:r>
              <w:rPr>
                <w:rFonts w:hint="eastAsia" w:ascii="宋体" w:hAnsi="宋体" w:eastAsia="宋体" w:cs="宋体"/>
                <w:sz w:val="24"/>
                <w:szCs w:val="24"/>
                <w:lang w:eastAsia="zh-CN"/>
              </w:rPr>
              <w:t>；</w:t>
            </w:r>
          </w:p>
          <w:p w14:paraId="2C46CC58">
            <w:pPr>
              <w:pStyle w:val="10"/>
              <w:spacing w:line="360" w:lineRule="auto"/>
              <w:rPr>
                <w:rFonts w:hint="eastAsia" w:ascii="宋体" w:hAnsi="宋体" w:eastAsia="宋体" w:cs="宋体"/>
                <w:sz w:val="24"/>
                <w:szCs w:val="24"/>
              </w:rPr>
            </w:pPr>
            <w:r>
              <w:rPr>
                <w:rFonts w:hint="eastAsia" w:ascii="宋体" w:hAnsi="宋体" w:eastAsia="宋体" w:cs="宋体"/>
                <w:sz w:val="24"/>
                <w:szCs w:val="24"/>
              </w:rPr>
              <w:t>4、参加政府采购活动前3年内在经营活动中没有重大违法记录的书面声明；</w:t>
            </w:r>
          </w:p>
          <w:p w14:paraId="262A7B48">
            <w:pPr>
              <w:pStyle w:val="1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5、税收缴纳凭证及社会保险缴纳的凭证：供应商在本项目磋商响应文件递交截止时间前六个月内任意一个月的税收缴纳凭证及社会保险缴纳的凭证。依法免税或不需要缴纳社会保障资金的供应商，应提供相应文件证明其依法免税或不需要缴纳社会保障资金</w:t>
            </w:r>
            <w:r>
              <w:rPr>
                <w:rFonts w:hint="eastAsia" w:ascii="宋体" w:hAnsi="宋体" w:eastAsia="宋体" w:cs="宋体"/>
                <w:sz w:val="24"/>
                <w:szCs w:val="24"/>
                <w:lang w:eastAsia="zh-CN"/>
              </w:rPr>
              <w:t>；</w:t>
            </w:r>
          </w:p>
          <w:p w14:paraId="76F57F1C">
            <w:pPr>
              <w:pStyle w:val="1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6、财务状况报告：供应商2023年或2024年经审计的财务报告（事业法人可提供部门决算报告）或基本户银行出具的资信证明或政府采购专业担保机构出具的投标担保函</w:t>
            </w:r>
            <w:r>
              <w:rPr>
                <w:rFonts w:hint="eastAsia" w:ascii="宋体" w:hAnsi="宋体" w:eastAsia="宋体" w:cs="宋体"/>
                <w:sz w:val="24"/>
                <w:szCs w:val="24"/>
                <w:lang w:eastAsia="zh-CN"/>
              </w:rPr>
              <w:t>；</w:t>
            </w:r>
          </w:p>
          <w:p w14:paraId="6A9FB131">
            <w:pPr>
              <w:pStyle w:val="1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7、具有履行合同所必需的设备和专业技术能力书面声明函</w:t>
            </w:r>
            <w:r>
              <w:rPr>
                <w:rFonts w:hint="eastAsia" w:ascii="宋体" w:hAnsi="宋体" w:eastAsia="宋体" w:cs="宋体"/>
                <w:sz w:val="24"/>
                <w:szCs w:val="24"/>
                <w:lang w:eastAsia="zh-CN"/>
              </w:rPr>
              <w:t>；</w:t>
            </w:r>
          </w:p>
          <w:p w14:paraId="030AB14E">
            <w:pPr>
              <w:pStyle w:val="10"/>
              <w:spacing w:line="360" w:lineRule="auto"/>
              <w:rPr>
                <w:rFonts w:hint="eastAsia" w:ascii="宋体" w:hAnsi="宋体" w:eastAsia="宋体" w:cs="宋体"/>
                <w:sz w:val="24"/>
                <w:szCs w:val="24"/>
              </w:rPr>
            </w:pPr>
            <w:r>
              <w:rPr>
                <w:rFonts w:hint="eastAsia" w:ascii="宋体" w:hAnsi="宋体" w:eastAsia="宋体" w:cs="宋体"/>
                <w:sz w:val="24"/>
                <w:szCs w:val="24"/>
              </w:rPr>
              <w:t>8、信用要求：不得为“信用中国”网站（www.creditchina.gov.cn）中列入失信被执行人和重大税收违法失信主体的供应商，不得为中国政府采购网（www.ccgp.gov.cn）政府采购严重违法失信行为记录名单中被财政部门禁止参加政府采购活动的供应商</w:t>
            </w:r>
            <w:r>
              <w:rPr>
                <w:rFonts w:hint="eastAsia" w:ascii="宋体" w:hAnsi="宋体" w:eastAsia="宋体" w:cs="宋体"/>
                <w:sz w:val="24"/>
                <w:szCs w:val="24"/>
                <w:lang w:eastAsia="zh-CN"/>
              </w:rPr>
              <w:t>。</w:t>
            </w:r>
          </w:p>
        </w:tc>
      </w:tr>
      <w:tr w14:paraId="576C4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4" w:hRule="atLeast"/>
        </w:trPr>
        <w:tc>
          <w:tcPr>
            <w:tcW w:w="597" w:type="dxa"/>
            <w:vMerge w:val="restart"/>
            <w:vAlign w:val="center"/>
          </w:tcPr>
          <w:p w14:paraId="3D64CFDC">
            <w:pPr>
              <w:pStyle w:val="9"/>
              <w:spacing w:before="91"/>
              <w:ind w:left="23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709" w:type="dxa"/>
            <w:vMerge w:val="restart"/>
            <w:vAlign w:val="center"/>
          </w:tcPr>
          <w:p w14:paraId="734ED7CA">
            <w:pPr>
              <w:pStyle w:val="9"/>
              <w:spacing w:before="91" w:line="413" w:lineRule="auto"/>
              <w:ind w:left="313" w:right="151" w:hanging="152"/>
              <w:jc w:val="center"/>
              <w:rPr>
                <w:rFonts w:hint="eastAsia" w:ascii="宋体" w:hAnsi="宋体" w:eastAsia="宋体" w:cs="宋体"/>
                <w:spacing w:val="-2"/>
                <w:sz w:val="24"/>
                <w:szCs w:val="24"/>
              </w:rPr>
            </w:pPr>
            <w:r>
              <w:rPr>
                <w:rFonts w:hint="eastAsia" w:ascii="宋体" w:hAnsi="宋体" w:eastAsia="宋体" w:cs="宋体"/>
                <w:spacing w:val="-2"/>
                <w:sz w:val="24"/>
                <w:szCs w:val="24"/>
              </w:rPr>
              <w:t>是否接受  联合体投标</w:t>
            </w:r>
          </w:p>
        </w:tc>
        <w:tc>
          <w:tcPr>
            <w:tcW w:w="6762" w:type="dxa"/>
            <w:vAlign w:val="top"/>
          </w:tcPr>
          <w:p w14:paraId="3B5A3BF6">
            <w:pPr>
              <w:pStyle w:val="9"/>
              <w:spacing w:before="192" w:line="240" w:lineRule="auto"/>
              <w:ind w:left="46"/>
              <w:rPr>
                <w:rFonts w:hint="eastAsia" w:ascii="宋体" w:hAnsi="宋体" w:eastAsia="宋体" w:cs="宋体"/>
                <w:sz w:val="24"/>
                <w:szCs w:val="24"/>
              </w:rPr>
            </w:pPr>
            <w:r>
              <w:rPr>
                <w:rFonts w:hint="eastAsia" w:ascii="宋体" w:hAnsi="宋体" w:eastAsia="宋体" w:cs="宋体"/>
                <w:spacing w:val="-11"/>
                <w:sz w:val="24"/>
                <w:szCs w:val="24"/>
              </w:rPr>
              <w:t>○接受</w:t>
            </w:r>
          </w:p>
          <w:p w14:paraId="51AF485D">
            <w:pPr>
              <w:pStyle w:val="9"/>
              <w:spacing w:before="292" w:line="360" w:lineRule="auto"/>
              <w:ind w:right="12"/>
              <w:rPr>
                <w:rFonts w:hint="eastAsia" w:ascii="宋体" w:hAnsi="宋体" w:eastAsia="宋体" w:cs="宋体"/>
                <w:sz w:val="24"/>
                <w:szCs w:val="24"/>
              </w:rPr>
            </w:pPr>
            <w:r>
              <w:rPr>
                <w:rFonts w:hint="eastAsia" w:ascii="宋体" w:hAnsi="宋体" w:eastAsia="宋体" w:cs="宋体"/>
                <w:spacing w:val="-1"/>
                <w:sz w:val="24"/>
                <w:szCs w:val="24"/>
              </w:rPr>
              <w:t>对于联合体协议或者分包意向协议约定小微企业的合同</w:t>
            </w:r>
            <w:r>
              <w:rPr>
                <w:rFonts w:hint="eastAsia" w:ascii="宋体" w:hAnsi="宋体" w:eastAsia="宋体" w:cs="宋体"/>
                <w:spacing w:val="13"/>
                <w:sz w:val="24"/>
                <w:szCs w:val="24"/>
              </w:rPr>
              <w:t xml:space="preserve"> </w:t>
            </w:r>
            <w:r>
              <w:rPr>
                <w:rFonts w:hint="eastAsia" w:ascii="宋体" w:hAnsi="宋体" w:eastAsia="宋体" w:cs="宋体"/>
                <w:spacing w:val="-1"/>
                <w:sz w:val="24"/>
                <w:szCs w:val="24"/>
              </w:rPr>
              <w:t>份额占到合同总金额</w:t>
            </w:r>
            <w:r>
              <w:rPr>
                <w:rFonts w:hint="eastAsia" w:ascii="宋体" w:hAnsi="宋体" w:eastAsia="宋体" w:cs="宋体"/>
                <w:spacing w:val="-54"/>
                <w:sz w:val="24"/>
                <w:szCs w:val="24"/>
              </w:rPr>
              <w:t xml:space="preserve"> </w:t>
            </w:r>
            <w:r>
              <w:rPr>
                <w:rFonts w:hint="eastAsia" w:ascii="宋体" w:hAnsi="宋体" w:eastAsia="宋体" w:cs="宋体"/>
                <w:spacing w:val="-1"/>
                <w:sz w:val="24"/>
                <w:szCs w:val="24"/>
              </w:rPr>
              <w:t>30%以上的，对联合体或者</w:t>
            </w:r>
            <w:r>
              <w:rPr>
                <w:rFonts w:hint="eastAsia" w:ascii="宋体" w:hAnsi="宋体" w:eastAsia="宋体" w:cs="宋体"/>
                <w:spacing w:val="-2"/>
                <w:sz w:val="24"/>
                <w:szCs w:val="24"/>
              </w:rPr>
              <w:t>大中型企业的报价给予</w:t>
            </w:r>
            <w:r>
              <w:rPr>
                <w:rFonts w:hint="eastAsia" w:ascii="宋体" w:hAnsi="宋体" w:eastAsia="宋体" w:cs="宋体"/>
                <w:spacing w:val="-30"/>
                <w:sz w:val="24"/>
                <w:szCs w:val="24"/>
              </w:rPr>
              <w:t xml:space="preserve"> </w:t>
            </w:r>
            <w:r>
              <w:rPr>
                <w:rFonts w:hint="eastAsia" w:ascii="宋体" w:hAnsi="宋体" w:eastAsia="宋体" w:cs="宋体"/>
                <w:spacing w:val="-2"/>
                <w:sz w:val="24"/>
                <w:szCs w:val="24"/>
              </w:rPr>
              <w:t>1%(1%-2%）的扣除（当采用招标方式</w:t>
            </w:r>
            <w:r>
              <w:rPr>
                <w:rFonts w:hint="eastAsia" w:ascii="宋体" w:hAnsi="宋体" w:eastAsia="宋体" w:cs="宋体"/>
                <w:sz w:val="24"/>
                <w:szCs w:val="24"/>
              </w:rPr>
              <w:t xml:space="preserve"> </w:t>
            </w:r>
            <w:r>
              <w:rPr>
                <w:rFonts w:hint="eastAsia" w:ascii="宋体" w:hAnsi="宋体" w:eastAsia="宋体" w:cs="宋体"/>
                <w:spacing w:val="-2"/>
                <w:sz w:val="24"/>
                <w:szCs w:val="24"/>
              </w:rPr>
              <w:t>时，实际上是对其价格分给予一定比例的增加</w:t>
            </w:r>
            <w:r>
              <w:rPr>
                <w:rFonts w:hint="eastAsia" w:ascii="宋体" w:hAnsi="宋体" w:eastAsia="宋体" w:cs="宋体"/>
                <w:spacing w:val="9"/>
                <w:sz w:val="24"/>
                <w:szCs w:val="24"/>
              </w:rPr>
              <w:t>），</w:t>
            </w:r>
            <w:r>
              <w:rPr>
                <w:rFonts w:hint="eastAsia" w:ascii="宋体" w:hAnsi="宋体" w:eastAsia="宋体" w:cs="宋体"/>
                <w:spacing w:val="-2"/>
                <w:sz w:val="24"/>
                <w:szCs w:val="24"/>
              </w:rPr>
              <w:t>用扣</w:t>
            </w:r>
            <w:r>
              <w:rPr>
                <w:rFonts w:hint="eastAsia" w:ascii="宋体" w:hAnsi="宋体" w:eastAsia="宋体" w:cs="宋体"/>
                <w:spacing w:val="-3"/>
                <w:sz w:val="24"/>
                <w:szCs w:val="24"/>
              </w:rPr>
              <w:t>除后的报价参加评审。</w:t>
            </w:r>
          </w:p>
        </w:tc>
      </w:tr>
      <w:tr w14:paraId="0DC94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597" w:type="dxa"/>
            <w:vMerge w:val="continue"/>
            <w:vAlign w:val="top"/>
          </w:tcPr>
          <w:p w14:paraId="330DD559">
            <w:pPr>
              <w:pStyle w:val="9"/>
              <w:spacing w:before="91"/>
              <w:ind w:left="238"/>
              <w:rPr>
                <w:rFonts w:hint="eastAsia" w:ascii="宋体" w:hAnsi="宋体" w:eastAsia="宋体" w:cs="宋体"/>
                <w:sz w:val="24"/>
                <w:szCs w:val="24"/>
                <w:lang w:val="en-US" w:eastAsia="zh-CN"/>
              </w:rPr>
            </w:pPr>
          </w:p>
        </w:tc>
        <w:tc>
          <w:tcPr>
            <w:tcW w:w="1709" w:type="dxa"/>
            <w:vMerge w:val="continue"/>
            <w:vAlign w:val="top"/>
          </w:tcPr>
          <w:p w14:paraId="06ED8331">
            <w:pPr>
              <w:pStyle w:val="9"/>
              <w:spacing w:before="91" w:line="413" w:lineRule="auto"/>
              <w:ind w:left="313" w:right="151" w:hanging="152"/>
              <w:rPr>
                <w:rFonts w:hint="eastAsia" w:ascii="宋体" w:hAnsi="宋体" w:eastAsia="宋体" w:cs="宋体"/>
                <w:spacing w:val="-2"/>
                <w:sz w:val="24"/>
                <w:szCs w:val="24"/>
              </w:rPr>
            </w:pPr>
          </w:p>
        </w:tc>
        <w:tc>
          <w:tcPr>
            <w:tcW w:w="6762" w:type="dxa"/>
            <w:vAlign w:val="top"/>
          </w:tcPr>
          <w:p w14:paraId="29736B7B">
            <w:pPr>
              <w:pStyle w:val="9"/>
              <w:spacing w:before="292" w:line="360" w:lineRule="auto"/>
              <w:ind w:right="12"/>
              <w:rPr>
                <w:rFonts w:hint="eastAsia" w:ascii="宋体" w:hAnsi="宋体" w:eastAsia="宋体" w:cs="宋体"/>
                <w:spacing w:val="-1"/>
                <w:sz w:val="24"/>
                <w:szCs w:val="24"/>
              </w:rPr>
            </w:pPr>
            <w:r>
              <w:rPr>
                <w:rFonts w:hint="eastAsia" w:ascii="宋体" w:hAnsi="宋体" w:eastAsia="宋体" w:cs="宋体"/>
                <w:spacing w:val="-9"/>
                <w:sz w:val="24"/>
                <w:szCs w:val="24"/>
              </w:rPr>
              <w:t>●不接受</w:t>
            </w:r>
          </w:p>
        </w:tc>
      </w:tr>
      <w:tr w14:paraId="6C5DB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597" w:type="dxa"/>
            <w:vMerge w:val="restart"/>
            <w:vAlign w:val="center"/>
          </w:tcPr>
          <w:p w14:paraId="01965BBC">
            <w:pPr>
              <w:pStyle w:val="9"/>
              <w:spacing w:before="91"/>
              <w:ind w:left="238"/>
              <w:jc w:val="center"/>
              <w:rPr>
                <w:rFonts w:hint="default" w:ascii="宋体" w:hAnsi="宋体" w:eastAsia="宋体" w:cs="宋体"/>
                <w:sz w:val="24"/>
                <w:szCs w:val="24"/>
                <w:lang w:val="en-US" w:eastAsia="zh-CN"/>
              </w:rPr>
            </w:pPr>
            <w:r>
              <w:rPr>
                <w:rFonts w:hint="eastAsia" w:cs="宋体"/>
                <w:sz w:val="24"/>
                <w:szCs w:val="24"/>
                <w:lang w:val="en-US" w:eastAsia="zh-CN"/>
              </w:rPr>
              <w:t>8</w:t>
            </w:r>
          </w:p>
        </w:tc>
        <w:tc>
          <w:tcPr>
            <w:tcW w:w="1709" w:type="dxa"/>
            <w:vMerge w:val="restart"/>
            <w:vAlign w:val="center"/>
          </w:tcPr>
          <w:p w14:paraId="53F827F0">
            <w:pPr>
              <w:pStyle w:val="9"/>
              <w:spacing w:before="91" w:line="413" w:lineRule="auto"/>
              <w:ind w:left="313" w:right="151" w:hanging="152"/>
              <w:jc w:val="center"/>
              <w:rPr>
                <w:rFonts w:hint="eastAsia" w:ascii="宋体" w:hAnsi="宋体" w:eastAsia="宋体" w:cs="宋体"/>
                <w:spacing w:val="-2"/>
                <w:sz w:val="24"/>
                <w:szCs w:val="24"/>
              </w:rPr>
            </w:pPr>
            <w:r>
              <w:rPr>
                <w:rFonts w:hint="eastAsia" w:ascii="宋体" w:hAnsi="宋体" w:eastAsia="宋体" w:cs="宋体"/>
                <w:spacing w:val="-2"/>
                <w:sz w:val="24"/>
                <w:szCs w:val="24"/>
              </w:rPr>
              <w:t>履约保证金</w:t>
            </w:r>
          </w:p>
        </w:tc>
        <w:tc>
          <w:tcPr>
            <w:tcW w:w="6762" w:type="dxa"/>
            <w:vAlign w:val="center"/>
          </w:tcPr>
          <w:p w14:paraId="2358B36D">
            <w:pPr>
              <w:pStyle w:val="9"/>
              <w:keepNext w:val="0"/>
              <w:keepLines w:val="0"/>
              <w:pageBreakBefore w:val="0"/>
              <w:widowControl/>
              <w:kinsoku w:val="0"/>
              <w:wordWrap/>
              <w:overflowPunct/>
              <w:topLinePunct w:val="0"/>
              <w:autoSpaceDE w:val="0"/>
              <w:autoSpaceDN w:val="0"/>
              <w:bidi w:val="0"/>
              <w:adjustRightInd w:val="0"/>
              <w:snapToGrid w:val="0"/>
              <w:spacing w:before="189" w:line="360" w:lineRule="auto"/>
              <w:ind w:left="68"/>
              <w:jc w:val="left"/>
              <w:textAlignment w:val="baseline"/>
              <w:rPr>
                <w:sz w:val="24"/>
                <w:szCs w:val="24"/>
              </w:rPr>
            </w:pPr>
            <w:r>
              <w:rPr>
                <w:spacing w:val="-4"/>
                <w:sz w:val="24"/>
                <w:szCs w:val="24"/>
              </w:rPr>
              <w:t>占政府采购合同金额的</w:t>
            </w:r>
            <w:r>
              <w:rPr>
                <w:spacing w:val="-4"/>
                <w:sz w:val="24"/>
                <w:szCs w:val="24"/>
                <w:u w:val="single" w:color="auto"/>
              </w:rPr>
              <w:t xml:space="preserve"> 0 </w:t>
            </w:r>
            <w:r>
              <w:rPr>
                <w:spacing w:val="-4"/>
                <w:sz w:val="24"/>
                <w:szCs w:val="24"/>
              </w:rPr>
              <w:t>%</w:t>
            </w:r>
          </w:p>
          <w:p w14:paraId="73BB065D">
            <w:pPr>
              <w:pStyle w:val="9"/>
              <w:keepNext w:val="0"/>
              <w:keepLines w:val="0"/>
              <w:pageBreakBefore w:val="0"/>
              <w:widowControl/>
              <w:kinsoku w:val="0"/>
              <w:wordWrap/>
              <w:overflowPunct/>
              <w:topLinePunct w:val="0"/>
              <w:autoSpaceDE w:val="0"/>
              <w:autoSpaceDN w:val="0"/>
              <w:bidi w:val="0"/>
              <w:adjustRightInd w:val="0"/>
              <w:snapToGrid w:val="0"/>
              <w:spacing w:before="291" w:line="360" w:lineRule="auto"/>
              <w:ind w:left="21" w:leftChars="0" w:right="192" w:rightChars="0" w:firstLine="5" w:firstLineChars="0"/>
              <w:jc w:val="left"/>
              <w:textAlignment w:val="baseline"/>
              <w:rPr>
                <w:rFonts w:hint="eastAsia" w:ascii="宋体" w:hAnsi="宋体" w:eastAsia="宋体" w:cs="宋体"/>
                <w:spacing w:val="-9"/>
                <w:sz w:val="24"/>
                <w:szCs w:val="24"/>
              </w:rPr>
            </w:pPr>
            <w:r>
              <w:rPr>
                <w:spacing w:val="-5"/>
                <w:sz w:val="24"/>
                <w:szCs w:val="24"/>
              </w:rPr>
              <w:t>履约保证金的数额不得超过政府采购合同金额的</w:t>
            </w:r>
            <w:r>
              <w:rPr>
                <w:spacing w:val="-26"/>
                <w:sz w:val="24"/>
                <w:szCs w:val="24"/>
              </w:rPr>
              <w:t xml:space="preserve"> </w:t>
            </w:r>
            <w:r>
              <w:rPr>
                <w:spacing w:val="-5"/>
                <w:sz w:val="24"/>
                <w:szCs w:val="24"/>
              </w:rPr>
              <w:t>10%：</w:t>
            </w:r>
            <w:r>
              <w:rPr>
                <w:sz w:val="24"/>
                <w:szCs w:val="24"/>
              </w:rPr>
              <w:t xml:space="preserve"> </w:t>
            </w:r>
            <w:r>
              <w:rPr>
                <w:spacing w:val="-2"/>
                <w:sz w:val="24"/>
                <w:szCs w:val="24"/>
              </w:rPr>
              <w:t>对于单价合同，其数额不得超过采购预算的</w:t>
            </w:r>
            <w:r>
              <w:rPr>
                <w:spacing w:val="-35"/>
                <w:sz w:val="24"/>
                <w:szCs w:val="24"/>
              </w:rPr>
              <w:t xml:space="preserve"> </w:t>
            </w:r>
            <w:r>
              <w:rPr>
                <w:spacing w:val="-2"/>
                <w:sz w:val="24"/>
                <w:szCs w:val="24"/>
              </w:rPr>
              <w:t>10%</w:t>
            </w:r>
          </w:p>
        </w:tc>
      </w:tr>
      <w:tr w14:paraId="40EE3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597" w:type="dxa"/>
            <w:vMerge w:val="continue"/>
            <w:vAlign w:val="center"/>
          </w:tcPr>
          <w:p w14:paraId="27B2B3E4">
            <w:pPr>
              <w:pStyle w:val="9"/>
              <w:spacing w:before="91"/>
              <w:ind w:left="238"/>
              <w:jc w:val="center"/>
              <w:rPr>
                <w:rFonts w:hint="eastAsia" w:ascii="宋体" w:hAnsi="宋体" w:eastAsia="宋体" w:cs="宋体"/>
                <w:sz w:val="24"/>
                <w:szCs w:val="24"/>
                <w:lang w:val="en-US" w:eastAsia="zh-CN"/>
              </w:rPr>
            </w:pPr>
          </w:p>
        </w:tc>
        <w:tc>
          <w:tcPr>
            <w:tcW w:w="1709" w:type="dxa"/>
            <w:vMerge w:val="continue"/>
            <w:vAlign w:val="center"/>
          </w:tcPr>
          <w:p w14:paraId="5AE1456C">
            <w:pPr>
              <w:pStyle w:val="9"/>
              <w:spacing w:before="91" w:line="413" w:lineRule="auto"/>
              <w:ind w:left="313" w:right="151" w:hanging="152"/>
              <w:jc w:val="center"/>
              <w:rPr>
                <w:rFonts w:hint="eastAsia" w:ascii="宋体" w:hAnsi="宋体" w:eastAsia="宋体" w:cs="宋体"/>
                <w:spacing w:val="-2"/>
                <w:sz w:val="24"/>
                <w:szCs w:val="24"/>
              </w:rPr>
            </w:pPr>
          </w:p>
        </w:tc>
        <w:tc>
          <w:tcPr>
            <w:tcW w:w="6762" w:type="dxa"/>
            <w:vAlign w:val="center"/>
          </w:tcPr>
          <w:p w14:paraId="579AE232">
            <w:pPr>
              <w:pStyle w:val="9"/>
              <w:keepNext w:val="0"/>
              <w:keepLines w:val="0"/>
              <w:pageBreakBefore w:val="0"/>
              <w:widowControl/>
              <w:kinsoku w:val="0"/>
              <w:wordWrap/>
              <w:overflowPunct/>
              <w:topLinePunct w:val="0"/>
              <w:autoSpaceDE w:val="0"/>
              <w:autoSpaceDN w:val="0"/>
              <w:bidi w:val="0"/>
              <w:adjustRightInd w:val="0"/>
              <w:snapToGrid w:val="0"/>
              <w:spacing w:before="189" w:line="288" w:lineRule="auto"/>
              <w:ind w:left="45"/>
              <w:jc w:val="left"/>
              <w:textAlignment w:val="baseline"/>
              <w:rPr>
                <w:sz w:val="24"/>
                <w:szCs w:val="24"/>
              </w:rPr>
            </w:pPr>
            <w:r>
              <w:rPr>
                <w:spacing w:val="-4"/>
                <w:sz w:val="24"/>
                <w:szCs w:val="24"/>
              </w:rPr>
              <w:t>○由采购单位自行收退</w:t>
            </w:r>
          </w:p>
          <w:p w14:paraId="3E4B1BDF">
            <w:pPr>
              <w:pStyle w:val="9"/>
              <w:keepNext w:val="0"/>
              <w:keepLines w:val="0"/>
              <w:pageBreakBefore w:val="0"/>
              <w:widowControl/>
              <w:kinsoku w:val="0"/>
              <w:wordWrap/>
              <w:overflowPunct/>
              <w:topLinePunct w:val="0"/>
              <w:autoSpaceDE w:val="0"/>
              <w:autoSpaceDN w:val="0"/>
              <w:bidi w:val="0"/>
              <w:adjustRightInd w:val="0"/>
              <w:snapToGrid w:val="0"/>
              <w:spacing w:before="291" w:line="288" w:lineRule="auto"/>
              <w:ind w:left="45" w:leftChars="0"/>
              <w:jc w:val="left"/>
              <w:textAlignment w:val="baseline"/>
              <w:rPr>
                <w:rFonts w:hint="eastAsia" w:ascii="宋体" w:hAnsi="宋体" w:eastAsia="宋体" w:cs="宋体"/>
                <w:spacing w:val="-9"/>
                <w:sz w:val="24"/>
                <w:szCs w:val="24"/>
              </w:rPr>
            </w:pPr>
            <w:r>
              <w:rPr>
                <w:spacing w:val="-4"/>
                <w:sz w:val="24"/>
                <w:szCs w:val="24"/>
              </w:rPr>
              <w:t>○由代理机构负责收退</w:t>
            </w:r>
          </w:p>
        </w:tc>
      </w:tr>
      <w:tr w14:paraId="0D537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597" w:type="dxa"/>
            <w:shd w:val="clear" w:color="auto" w:fill="auto"/>
            <w:vAlign w:val="top"/>
          </w:tcPr>
          <w:p w14:paraId="02D47372">
            <w:pPr>
              <w:spacing w:line="409" w:lineRule="auto"/>
              <w:rPr>
                <w:rFonts w:ascii="Arial"/>
                <w:sz w:val="24"/>
                <w:szCs w:val="24"/>
              </w:rPr>
            </w:pPr>
          </w:p>
          <w:p w14:paraId="2AF46536">
            <w:pPr>
              <w:pStyle w:val="9"/>
              <w:spacing w:before="91"/>
              <w:ind w:left="237" w:leftChars="0"/>
              <w:rPr>
                <w:rFonts w:hint="eastAsia" w:ascii="宋体" w:hAnsi="宋体" w:eastAsia="宋体" w:cs="宋体"/>
                <w:snapToGrid w:val="0"/>
                <w:color w:val="000000"/>
                <w:kern w:val="0"/>
                <w:sz w:val="24"/>
                <w:szCs w:val="24"/>
                <w:lang w:val="en-US" w:eastAsia="zh-CN" w:bidi="ar-SA"/>
              </w:rPr>
            </w:pPr>
            <w:r>
              <w:rPr>
                <w:sz w:val="24"/>
                <w:szCs w:val="24"/>
              </w:rPr>
              <w:t>9</w:t>
            </w:r>
          </w:p>
        </w:tc>
        <w:tc>
          <w:tcPr>
            <w:tcW w:w="1709" w:type="dxa"/>
            <w:shd w:val="clear" w:color="auto" w:fill="auto"/>
            <w:vAlign w:val="top"/>
          </w:tcPr>
          <w:p w14:paraId="366D6879">
            <w:pPr>
              <w:pStyle w:val="9"/>
              <w:spacing w:before="190" w:line="352" w:lineRule="auto"/>
              <w:ind w:left="300" w:leftChars="0" w:right="151" w:rightChars="0" w:hanging="136" w:firstLineChars="0"/>
              <w:rPr>
                <w:rFonts w:hint="eastAsia" w:ascii="宋体" w:hAnsi="宋体" w:eastAsia="宋体" w:cs="宋体"/>
                <w:snapToGrid w:val="0"/>
                <w:color w:val="000000"/>
                <w:kern w:val="0"/>
                <w:sz w:val="24"/>
                <w:szCs w:val="24"/>
                <w:lang w:val="en-US" w:eastAsia="en-US" w:bidi="ar-SA"/>
              </w:rPr>
            </w:pPr>
            <w:r>
              <w:rPr>
                <w:spacing w:val="-3"/>
                <w:sz w:val="24"/>
                <w:szCs w:val="24"/>
              </w:rPr>
              <w:t>现场踏勘和</w:t>
            </w:r>
            <w:r>
              <w:rPr>
                <w:spacing w:val="2"/>
                <w:sz w:val="24"/>
                <w:szCs w:val="24"/>
              </w:rPr>
              <w:t xml:space="preserve"> </w:t>
            </w:r>
            <w:r>
              <w:rPr>
                <w:spacing w:val="-3"/>
                <w:sz w:val="24"/>
                <w:szCs w:val="24"/>
              </w:rPr>
              <w:t>集中答疑</w:t>
            </w:r>
          </w:p>
        </w:tc>
        <w:tc>
          <w:tcPr>
            <w:tcW w:w="6762" w:type="dxa"/>
            <w:shd w:val="clear" w:color="auto" w:fill="auto"/>
            <w:vAlign w:val="top"/>
          </w:tcPr>
          <w:p w14:paraId="0A275693">
            <w:pPr>
              <w:pStyle w:val="9"/>
              <w:spacing w:before="190" w:line="220" w:lineRule="auto"/>
              <w:ind w:left="46"/>
              <w:rPr>
                <w:sz w:val="24"/>
                <w:szCs w:val="24"/>
              </w:rPr>
            </w:pPr>
            <w:r>
              <w:rPr>
                <w:spacing w:val="-4"/>
                <w:sz w:val="24"/>
                <w:szCs w:val="24"/>
              </w:rPr>
              <w:t>○组织，集结地点为：</w:t>
            </w:r>
            <w:r>
              <w:rPr>
                <w:sz w:val="24"/>
                <w:szCs w:val="24"/>
                <w:u w:val="single" w:color="auto"/>
              </w:rPr>
              <w:t xml:space="preserve">           </w:t>
            </w:r>
          </w:p>
          <w:p w14:paraId="6344780E">
            <w:pPr>
              <w:pStyle w:val="9"/>
              <w:spacing w:before="290" w:line="223" w:lineRule="auto"/>
              <w:ind w:left="46" w:leftChars="0"/>
              <w:rPr>
                <w:rFonts w:ascii="宋体" w:hAnsi="宋体" w:eastAsia="宋体" w:cs="宋体"/>
                <w:snapToGrid w:val="0"/>
                <w:color w:val="000000"/>
                <w:kern w:val="0"/>
                <w:sz w:val="24"/>
                <w:szCs w:val="24"/>
                <w:lang w:val="en-US" w:eastAsia="en-US" w:bidi="ar-SA"/>
              </w:rPr>
            </w:pPr>
            <w:r>
              <w:rPr>
                <w:spacing w:val="-9"/>
                <w:sz w:val="24"/>
                <w:szCs w:val="24"/>
              </w:rPr>
              <w:t>●不组织</w:t>
            </w:r>
          </w:p>
        </w:tc>
      </w:tr>
      <w:tr w14:paraId="5ACBA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597" w:type="dxa"/>
            <w:shd w:val="clear" w:color="auto" w:fill="auto"/>
            <w:vAlign w:val="top"/>
          </w:tcPr>
          <w:p w14:paraId="35388DC3">
            <w:pPr>
              <w:spacing w:line="408" w:lineRule="auto"/>
              <w:rPr>
                <w:rFonts w:ascii="Arial"/>
                <w:sz w:val="24"/>
                <w:szCs w:val="24"/>
              </w:rPr>
            </w:pPr>
          </w:p>
          <w:p w14:paraId="608AD98B">
            <w:pPr>
              <w:pStyle w:val="9"/>
              <w:spacing w:before="91"/>
              <w:ind w:left="187" w:leftChars="0"/>
              <w:rPr>
                <w:rFonts w:ascii="宋体" w:hAnsi="宋体" w:eastAsia="宋体" w:cs="宋体"/>
                <w:snapToGrid w:val="0"/>
                <w:color w:val="000000"/>
                <w:kern w:val="0"/>
                <w:sz w:val="24"/>
                <w:szCs w:val="24"/>
                <w:lang w:val="en-US" w:eastAsia="en-US" w:bidi="ar-SA"/>
              </w:rPr>
            </w:pPr>
            <w:r>
              <w:rPr>
                <w:spacing w:val="-15"/>
                <w:sz w:val="24"/>
                <w:szCs w:val="24"/>
              </w:rPr>
              <w:t>10</w:t>
            </w:r>
          </w:p>
        </w:tc>
        <w:tc>
          <w:tcPr>
            <w:tcW w:w="1709" w:type="dxa"/>
            <w:shd w:val="clear" w:color="auto" w:fill="auto"/>
            <w:vAlign w:val="top"/>
          </w:tcPr>
          <w:p w14:paraId="274C589A">
            <w:pPr>
              <w:spacing w:line="407" w:lineRule="auto"/>
              <w:rPr>
                <w:rFonts w:ascii="Arial"/>
                <w:sz w:val="24"/>
                <w:szCs w:val="24"/>
              </w:rPr>
            </w:pPr>
          </w:p>
          <w:p w14:paraId="45CFE03B">
            <w:pPr>
              <w:pStyle w:val="9"/>
              <w:spacing w:before="91" w:line="219" w:lineRule="auto"/>
              <w:ind w:left="163" w:leftChars="0"/>
              <w:rPr>
                <w:rFonts w:ascii="宋体" w:hAnsi="宋体" w:eastAsia="宋体" w:cs="宋体"/>
                <w:snapToGrid w:val="0"/>
                <w:color w:val="000000"/>
                <w:kern w:val="0"/>
                <w:sz w:val="24"/>
                <w:szCs w:val="24"/>
                <w:lang w:val="en-US" w:eastAsia="en-US" w:bidi="ar-SA"/>
              </w:rPr>
            </w:pPr>
            <w:r>
              <w:rPr>
                <w:spacing w:val="-3"/>
                <w:sz w:val="24"/>
                <w:szCs w:val="24"/>
              </w:rPr>
              <w:t>价格分比重</w:t>
            </w:r>
          </w:p>
        </w:tc>
        <w:tc>
          <w:tcPr>
            <w:tcW w:w="6762" w:type="dxa"/>
            <w:shd w:val="clear" w:color="auto" w:fill="auto"/>
            <w:vAlign w:val="top"/>
          </w:tcPr>
          <w:p w14:paraId="4833EC5D">
            <w:pPr>
              <w:pStyle w:val="9"/>
              <w:spacing w:before="189" w:line="220" w:lineRule="auto"/>
              <w:ind w:left="68"/>
              <w:rPr>
                <w:sz w:val="24"/>
                <w:szCs w:val="24"/>
              </w:rPr>
            </w:pPr>
            <w:r>
              <w:rPr>
                <w:spacing w:val="-7"/>
                <w:sz w:val="24"/>
                <w:szCs w:val="24"/>
              </w:rPr>
              <w:t>占总比分值的</w:t>
            </w:r>
            <w:r>
              <w:rPr>
                <w:spacing w:val="23"/>
                <w:sz w:val="24"/>
                <w:szCs w:val="24"/>
                <w:u w:val="single" w:color="auto"/>
              </w:rPr>
              <w:t xml:space="preserve"> </w:t>
            </w:r>
            <w:r>
              <w:rPr>
                <w:spacing w:val="-7"/>
                <w:sz w:val="24"/>
                <w:szCs w:val="24"/>
                <w:u w:val="single" w:color="auto"/>
              </w:rPr>
              <w:t xml:space="preserve">30 </w:t>
            </w:r>
            <w:r>
              <w:rPr>
                <w:spacing w:val="-7"/>
                <w:sz w:val="24"/>
                <w:szCs w:val="24"/>
              </w:rPr>
              <w:t xml:space="preserve"> %</w:t>
            </w:r>
          </w:p>
          <w:p w14:paraId="3E7A09FF">
            <w:pPr>
              <w:pStyle w:val="9"/>
              <w:spacing w:before="290" w:line="219" w:lineRule="auto"/>
              <w:ind w:left="21" w:leftChars="0"/>
              <w:rPr>
                <w:rFonts w:ascii="宋体" w:hAnsi="宋体" w:eastAsia="宋体" w:cs="宋体"/>
                <w:snapToGrid w:val="0"/>
                <w:color w:val="000000"/>
                <w:kern w:val="0"/>
                <w:sz w:val="24"/>
                <w:szCs w:val="24"/>
                <w:lang w:val="en-US" w:eastAsia="en-US" w:bidi="ar-SA"/>
              </w:rPr>
            </w:pPr>
            <w:r>
              <w:rPr>
                <w:spacing w:val="-1"/>
                <w:sz w:val="24"/>
                <w:szCs w:val="24"/>
              </w:rPr>
              <w:t>政府采购法律法规未有明确限制。</w:t>
            </w:r>
          </w:p>
        </w:tc>
      </w:tr>
      <w:tr w14:paraId="1F036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597" w:type="dxa"/>
            <w:shd w:val="clear" w:color="auto" w:fill="auto"/>
            <w:vAlign w:val="top"/>
          </w:tcPr>
          <w:p w14:paraId="237EFA8F">
            <w:pPr>
              <w:spacing w:line="359" w:lineRule="auto"/>
              <w:rPr>
                <w:rFonts w:ascii="Arial"/>
                <w:color w:val="auto"/>
                <w:sz w:val="24"/>
                <w:szCs w:val="24"/>
              </w:rPr>
            </w:pPr>
          </w:p>
          <w:p w14:paraId="6FAD52D5">
            <w:pPr>
              <w:spacing w:line="360" w:lineRule="auto"/>
              <w:rPr>
                <w:rFonts w:ascii="Arial"/>
                <w:color w:val="auto"/>
                <w:sz w:val="24"/>
                <w:szCs w:val="24"/>
              </w:rPr>
            </w:pPr>
          </w:p>
          <w:p w14:paraId="665AAF66">
            <w:pPr>
              <w:pStyle w:val="9"/>
              <w:spacing w:before="91" w:line="242" w:lineRule="auto"/>
              <w:ind w:left="187" w:leftChars="0"/>
              <w:rPr>
                <w:color w:val="auto"/>
                <w:spacing w:val="-15"/>
                <w:sz w:val="24"/>
                <w:szCs w:val="24"/>
              </w:rPr>
            </w:pPr>
            <w:r>
              <w:rPr>
                <w:color w:val="auto"/>
                <w:spacing w:val="-15"/>
                <w:sz w:val="24"/>
                <w:szCs w:val="24"/>
              </w:rPr>
              <w:t>11</w:t>
            </w:r>
          </w:p>
        </w:tc>
        <w:tc>
          <w:tcPr>
            <w:tcW w:w="1709" w:type="dxa"/>
            <w:shd w:val="clear" w:color="auto" w:fill="auto"/>
            <w:vAlign w:val="top"/>
          </w:tcPr>
          <w:p w14:paraId="513343A3">
            <w:pPr>
              <w:spacing w:line="359" w:lineRule="auto"/>
              <w:rPr>
                <w:rFonts w:ascii="Arial"/>
                <w:color w:val="auto"/>
                <w:sz w:val="24"/>
                <w:szCs w:val="24"/>
              </w:rPr>
            </w:pPr>
          </w:p>
          <w:p w14:paraId="7D3DBE9D">
            <w:pPr>
              <w:spacing w:line="360" w:lineRule="auto"/>
              <w:rPr>
                <w:rFonts w:ascii="Arial"/>
                <w:color w:val="auto"/>
                <w:sz w:val="24"/>
                <w:szCs w:val="24"/>
              </w:rPr>
            </w:pPr>
          </w:p>
          <w:p w14:paraId="7328502D">
            <w:pPr>
              <w:pStyle w:val="9"/>
              <w:spacing w:before="91" w:line="220" w:lineRule="auto"/>
              <w:ind w:left="302" w:leftChars="0"/>
              <w:rPr>
                <w:color w:val="auto"/>
                <w:spacing w:val="-3"/>
                <w:sz w:val="24"/>
                <w:szCs w:val="24"/>
              </w:rPr>
            </w:pPr>
            <w:r>
              <w:rPr>
                <w:color w:val="auto"/>
                <w:spacing w:val="-3"/>
                <w:sz w:val="24"/>
                <w:szCs w:val="24"/>
              </w:rPr>
              <w:t>合同类型</w:t>
            </w:r>
          </w:p>
        </w:tc>
        <w:tc>
          <w:tcPr>
            <w:tcW w:w="6762" w:type="dxa"/>
            <w:shd w:val="clear" w:color="auto" w:fill="auto"/>
            <w:vAlign w:val="top"/>
          </w:tcPr>
          <w:p w14:paraId="08919ECC">
            <w:pPr>
              <w:pStyle w:val="9"/>
              <w:spacing w:before="190" w:line="219" w:lineRule="auto"/>
              <w:ind w:left="46"/>
              <w:rPr>
                <w:color w:val="auto"/>
                <w:sz w:val="24"/>
                <w:szCs w:val="24"/>
              </w:rPr>
            </w:pPr>
            <w:r>
              <w:rPr>
                <w:color w:val="auto"/>
                <w:spacing w:val="-11"/>
                <w:sz w:val="24"/>
                <w:szCs w:val="24"/>
              </w:rPr>
              <w:t>●总价</w:t>
            </w:r>
          </w:p>
          <w:p w14:paraId="7BB371D5">
            <w:pPr>
              <w:pStyle w:val="9"/>
              <w:spacing w:before="291" w:line="219" w:lineRule="auto"/>
              <w:ind w:left="46"/>
              <w:rPr>
                <w:color w:val="auto"/>
                <w:sz w:val="24"/>
                <w:szCs w:val="24"/>
              </w:rPr>
            </w:pPr>
            <w:r>
              <w:rPr>
                <w:color w:val="auto"/>
                <w:spacing w:val="-9"/>
                <w:sz w:val="24"/>
                <w:szCs w:val="24"/>
              </w:rPr>
              <w:t>○</w:t>
            </w:r>
            <w:r>
              <w:rPr>
                <w:color w:val="auto"/>
                <w:spacing w:val="-2"/>
                <w:sz w:val="24"/>
                <w:szCs w:val="24"/>
              </w:rPr>
              <w:t>综合单价（适用于采购数量不定的情形）</w:t>
            </w:r>
          </w:p>
          <w:p w14:paraId="06AB672B">
            <w:pPr>
              <w:pStyle w:val="9"/>
              <w:spacing w:before="292" w:line="221" w:lineRule="auto"/>
              <w:ind w:left="46" w:leftChars="0"/>
              <w:rPr>
                <w:color w:val="auto"/>
                <w:spacing w:val="-1"/>
                <w:sz w:val="24"/>
                <w:szCs w:val="24"/>
              </w:rPr>
            </w:pPr>
            <w:r>
              <w:rPr>
                <w:color w:val="auto"/>
                <w:spacing w:val="-9"/>
                <w:sz w:val="24"/>
                <w:szCs w:val="24"/>
              </w:rPr>
              <w:t>○其他：</w:t>
            </w:r>
            <w:r>
              <w:rPr>
                <w:color w:val="auto"/>
                <w:sz w:val="24"/>
                <w:szCs w:val="24"/>
                <w:u w:val="single" w:color="auto"/>
              </w:rPr>
              <w:t xml:space="preserve">                   </w:t>
            </w:r>
          </w:p>
        </w:tc>
      </w:tr>
      <w:tr w14:paraId="3CCCD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597" w:type="dxa"/>
            <w:shd w:val="clear" w:color="auto" w:fill="auto"/>
            <w:vAlign w:val="top"/>
          </w:tcPr>
          <w:p w14:paraId="65B6334E">
            <w:pPr>
              <w:spacing w:line="359" w:lineRule="auto"/>
              <w:rPr>
                <w:rFonts w:ascii="Arial"/>
                <w:sz w:val="24"/>
                <w:szCs w:val="24"/>
              </w:rPr>
            </w:pPr>
          </w:p>
          <w:p w14:paraId="131F01BF">
            <w:pPr>
              <w:spacing w:line="360" w:lineRule="auto"/>
              <w:rPr>
                <w:rFonts w:ascii="Arial"/>
                <w:sz w:val="24"/>
                <w:szCs w:val="24"/>
              </w:rPr>
            </w:pPr>
          </w:p>
          <w:p w14:paraId="596D43A0">
            <w:pPr>
              <w:pStyle w:val="9"/>
              <w:spacing w:before="91" w:line="242" w:lineRule="auto"/>
              <w:ind w:left="187" w:leftChars="0"/>
              <w:rPr>
                <w:spacing w:val="-15"/>
                <w:sz w:val="24"/>
                <w:szCs w:val="24"/>
              </w:rPr>
            </w:pPr>
            <w:r>
              <w:rPr>
                <w:spacing w:val="-15"/>
                <w:sz w:val="24"/>
                <w:szCs w:val="24"/>
              </w:rPr>
              <w:t>12</w:t>
            </w:r>
          </w:p>
        </w:tc>
        <w:tc>
          <w:tcPr>
            <w:tcW w:w="1709" w:type="dxa"/>
            <w:shd w:val="clear" w:color="auto" w:fill="auto"/>
            <w:vAlign w:val="top"/>
          </w:tcPr>
          <w:p w14:paraId="472F502A">
            <w:pPr>
              <w:spacing w:line="359" w:lineRule="auto"/>
              <w:rPr>
                <w:rFonts w:ascii="Arial"/>
                <w:sz w:val="24"/>
                <w:szCs w:val="24"/>
              </w:rPr>
            </w:pPr>
          </w:p>
          <w:p w14:paraId="77E7904F">
            <w:pPr>
              <w:spacing w:line="360" w:lineRule="auto"/>
              <w:rPr>
                <w:rFonts w:ascii="Arial"/>
                <w:sz w:val="24"/>
                <w:szCs w:val="24"/>
              </w:rPr>
            </w:pPr>
          </w:p>
          <w:p w14:paraId="431E2AFC">
            <w:pPr>
              <w:pStyle w:val="9"/>
              <w:spacing w:before="91" w:line="220" w:lineRule="auto"/>
              <w:ind w:left="26" w:leftChars="0"/>
              <w:rPr>
                <w:spacing w:val="-3"/>
                <w:sz w:val="24"/>
                <w:szCs w:val="24"/>
              </w:rPr>
            </w:pPr>
            <w:r>
              <w:rPr>
                <w:spacing w:val="-3"/>
                <w:sz w:val="24"/>
                <w:szCs w:val="24"/>
              </w:rPr>
              <w:t>争议解决途径</w:t>
            </w:r>
          </w:p>
        </w:tc>
        <w:tc>
          <w:tcPr>
            <w:tcW w:w="6762" w:type="dxa"/>
            <w:shd w:val="clear" w:color="auto" w:fill="auto"/>
            <w:vAlign w:val="top"/>
          </w:tcPr>
          <w:p w14:paraId="5906D8B4">
            <w:pPr>
              <w:pStyle w:val="9"/>
              <w:spacing w:before="191" w:line="219" w:lineRule="auto"/>
              <w:ind w:left="46"/>
              <w:rPr>
                <w:sz w:val="24"/>
                <w:szCs w:val="24"/>
              </w:rPr>
            </w:pPr>
            <w:r>
              <w:rPr>
                <w:spacing w:val="-3"/>
                <w:sz w:val="24"/>
                <w:szCs w:val="24"/>
              </w:rPr>
              <w:t>●向有管辖权的人民法院提起诉讼</w:t>
            </w:r>
          </w:p>
          <w:p w14:paraId="22B7F3AC">
            <w:pPr>
              <w:pStyle w:val="9"/>
              <w:spacing w:before="291" w:line="219" w:lineRule="auto"/>
              <w:ind w:left="46"/>
              <w:rPr>
                <w:sz w:val="24"/>
                <w:szCs w:val="24"/>
              </w:rPr>
            </w:pPr>
            <w:r>
              <w:rPr>
                <w:spacing w:val="-3"/>
                <w:sz w:val="24"/>
                <w:szCs w:val="24"/>
              </w:rPr>
              <w:t>○向西安仲裁委员会提请仲裁</w:t>
            </w:r>
          </w:p>
          <w:p w14:paraId="3BF445C5">
            <w:pPr>
              <w:pStyle w:val="9"/>
              <w:spacing w:before="291" w:line="219" w:lineRule="auto"/>
              <w:ind w:left="46" w:leftChars="0"/>
              <w:rPr>
                <w:spacing w:val="-1"/>
                <w:sz w:val="24"/>
                <w:szCs w:val="24"/>
              </w:rPr>
            </w:pPr>
            <w:r>
              <w:rPr>
                <w:spacing w:val="-4"/>
                <w:sz w:val="24"/>
                <w:szCs w:val="24"/>
              </w:rPr>
              <w:t>○由供应商做出选择</w:t>
            </w:r>
          </w:p>
        </w:tc>
      </w:tr>
      <w:tr w14:paraId="552D5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597" w:type="dxa"/>
            <w:shd w:val="clear" w:color="auto" w:fill="auto"/>
            <w:vAlign w:val="top"/>
          </w:tcPr>
          <w:p w14:paraId="0BE95685">
            <w:pPr>
              <w:rPr>
                <w:rFonts w:ascii="Arial"/>
                <w:sz w:val="24"/>
                <w:szCs w:val="24"/>
              </w:rPr>
            </w:pPr>
          </w:p>
          <w:p w14:paraId="59FBEAF8">
            <w:pPr>
              <w:spacing w:line="241" w:lineRule="auto"/>
              <w:rPr>
                <w:rFonts w:ascii="Arial"/>
                <w:sz w:val="24"/>
                <w:szCs w:val="24"/>
              </w:rPr>
            </w:pPr>
          </w:p>
          <w:p w14:paraId="4DB2E558">
            <w:pPr>
              <w:spacing w:line="241" w:lineRule="auto"/>
              <w:rPr>
                <w:rFonts w:ascii="Arial"/>
                <w:sz w:val="24"/>
                <w:szCs w:val="24"/>
              </w:rPr>
            </w:pPr>
          </w:p>
          <w:p w14:paraId="7091ACEE">
            <w:pPr>
              <w:pStyle w:val="9"/>
              <w:spacing w:before="91"/>
              <w:ind w:left="187" w:leftChars="0"/>
              <w:rPr>
                <w:spacing w:val="-15"/>
                <w:sz w:val="24"/>
                <w:szCs w:val="24"/>
              </w:rPr>
            </w:pPr>
            <w:r>
              <w:rPr>
                <w:spacing w:val="-15"/>
                <w:sz w:val="24"/>
                <w:szCs w:val="24"/>
              </w:rPr>
              <w:t>13</w:t>
            </w:r>
          </w:p>
        </w:tc>
        <w:tc>
          <w:tcPr>
            <w:tcW w:w="1709" w:type="dxa"/>
            <w:shd w:val="clear" w:color="auto" w:fill="auto"/>
            <w:vAlign w:val="top"/>
          </w:tcPr>
          <w:p w14:paraId="16ADA25F">
            <w:pPr>
              <w:rPr>
                <w:rFonts w:ascii="Arial"/>
                <w:sz w:val="24"/>
                <w:szCs w:val="24"/>
              </w:rPr>
            </w:pPr>
          </w:p>
          <w:p w14:paraId="7F20645B">
            <w:pPr>
              <w:spacing w:line="241" w:lineRule="auto"/>
              <w:rPr>
                <w:rFonts w:ascii="Arial"/>
                <w:sz w:val="24"/>
                <w:szCs w:val="24"/>
              </w:rPr>
            </w:pPr>
          </w:p>
          <w:p w14:paraId="76EF5A8A">
            <w:pPr>
              <w:spacing w:line="241" w:lineRule="auto"/>
              <w:rPr>
                <w:rFonts w:ascii="Arial"/>
                <w:sz w:val="24"/>
                <w:szCs w:val="24"/>
              </w:rPr>
            </w:pPr>
          </w:p>
          <w:p w14:paraId="17A89FFA">
            <w:pPr>
              <w:pStyle w:val="9"/>
              <w:spacing w:before="91" w:line="221" w:lineRule="auto"/>
              <w:ind w:left="302" w:leftChars="0"/>
              <w:rPr>
                <w:spacing w:val="-3"/>
                <w:sz w:val="24"/>
                <w:szCs w:val="24"/>
              </w:rPr>
            </w:pPr>
            <w:r>
              <w:rPr>
                <w:spacing w:val="-3"/>
                <w:sz w:val="24"/>
                <w:szCs w:val="24"/>
              </w:rPr>
              <w:t>联系方式</w:t>
            </w:r>
          </w:p>
        </w:tc>
        <w:tc>
          <w:tcPr>
            <w:tcW w:w="6762" w:type="dxa"/>
            <w:shd w:val="clear" w:color="auto" w:fill="auto"/>
            <w:vAlign w:val="top"/>
          </w:tcPr>
          <w:p w14:paraId="61DE4DBB">
            <w:pPr>
              <w:pStyle w:val="9"/>
              <w:spacing w:before="193" w:line="220" w:lineRule="auto"/>
              <w:ind w:left="27"/>
              <w:rPr>
                <w:sz w:val="24"/>
                <w:szCs w:val="24"/>
              </w:rPr>
            </w:pPr>
            <w:r>
              <w:rPr>
                <w:spacing w:val="-6"/>
                <w:sz w:val="24"/>
                <w:szCs w:val="24"/>
              </w:rPr>
              <w:t>项目对接人：</w:t>
            </w:r>
            <w:r>
              <w:rPr>
                <w:spacing w:val="19"/>
                <w:sz w:val="24"/>
                <w:szCs w:val="24"/>
                <w:u w:val="single" w:color="auto"/>
              </w:rPr>
              <w:t xml:space="preserve"> </w:t>
            </w:r>
            <w:r>
              <w:rPr>
                <w:rFonts w:hint="eastAsia"/>
                <w:spacing w:val="19"/>
                <w:sz w:val="24"/>
                <w:szCs w:val="24"/>
                <w:u w:val="single" w:color="auto"/>
              </w:rPr>
              <w:t>任武召</w:t>
            </w:r>
            <w:r>
              <w:rPr>
                <w:sz w:val="24"/>
                <w:szCs w:val="24"/>
                <w:u w:val="single" w:color="auto"/>
              </w:rPr>
              <w:t xml:space="preserve">  </w:t>
            </w:r>
          </w:p>
          <w:p w14:paraId="3F00856B">
            <w:pPr>
              <w:pStyle w:val="9"/>
              <w:spacing w:before="290" w:line="222" w:lineRule="auto"/>
              <w:ind w:left="23"/>
              <w:rPr>
                <w:sz w:val="24"/>
                <w:szCs w:val="24"/>
              </w:rPr>
            </w:pPr>
            <w:r>
              <w:rPr>
                <w:spacing w:val="-1"/>
                <w:sz w:val="24"/>
                <w:szCs w:val="24"/>
              </w:rPr>
              <w:t>联系电话：</w:t>
            </w:r>
            <w:r>
              <w:rPr>
                <w:rFonts w:hint="eastAsia" w:ascii="宋体" w:hAnsi="宋体" w:eastAsia="宋体" w:cs="宋体"/>
                <w:spacing w:val="-6"/>
                <w:sz w:val="24"/>
                <w:szCs w:val="24"/>
                <w:u w:val="single" w:color="auto"/>
                <w:lang w:eastAsia="zh-CN"/>
              </w:rPr>
              <w:t xml:space="preserve"> </w:t>
            </w:r>
            <w:r>
              <w:rPr>
                <w:rFonts w:hint="eastAsia" w:cs="宋体"/>
                <w:spacing w:val="-6"/>
                <w:sz w:val="24"/>
                <w:szCs w:val="24"/>
                <w:u w:val="single" w:color="auto"/>
                <w:lang w:val="en-US" w:eastAsia="zh-CN"/>
              </w:rPr>
              <w:t>15339069940</w:t>
            </w:r>
            <w:bookmarkStart w:id="0" w:name="_GoBack"/>
            <w:bookmarkEnd w:id="0"/>
            <w:r>
              <w:rPr>
                <w:rFonts w:hint="eastAsia" w:ascii="宋体" w:hAnsi="宋体" w:eastAsia="宋体" w:cs="宋体"/>
                <w:spacing w:val="-6"/>
                <w:sz w:val="24"/>
                <w:szCs w:val="24"/>
                <w:u w:val="single" w:color="auto"/>
                <w:lang w:eastAsia="zh-CN"/>
              </w:rPr>
              <w:t xml:space="preserve">  </w:t>
            </w:r>
          </w:p>
          <w:p w14:paraId="06E40DD3">
            <w:pPr>
              <w:pStyle w:val="9"/>
              <w:spacing w:before="287" w:line="220" w:lineRule="auto"/>
              <w:rPr>
                <w:rFonts w:hint="default" w:eastAsia="宋体"/>
                <w:spacing w:val="-1"/>
                <w:sz w:val="24"/>
                <w:szCs w:val="24"/>
                <w:lang w:val="en-US" w:eastAsia="zh-CN"/>
              </w:rPr>
            </w:pPr>
            <w:r>
              <w:rPr>
                <w:spacing w:val="-10"/>
                <w:sz w:val="24"/>
                <w:szCs w:val="24"/>
              </w:rPr>
              <w:t>电子信箱：</w:t>
            </w:r>
            <w:r>
              <w:rPr>
                <w:spacing w:val="3"/>
                <w:sz w:val="24"/>
                <w:szCs w:val="24"/>
                <w:u w:val="single" w:color="auto"/>
              </w:rPr>
              <w:t xml:space="preserve">     </w:t>
            </w:r>
            <w:r>
              <w:rPr>
                <w:spacing w:val="-10"/>
                <w:sz w:val="24"/>
                <w:szCs w:val="24"/>
                <w:u w:val="single" w:color="auto"/>
              </w:rPr>
              <w:t>/</w:t>
            </w:r>
            <w:r>
              <w:rPr>
                <w:sz w:val="24"/>
                <w:szCs w:val="24"/>
                <w:u w:val="single" w:color="auto"/>
              </w:rPr>
              <w:t xml:space="preserve">       </w:t>
            </w:r>
            <w:r>
              <w:rPr>
                <w:rFonts w:hint="eastAsia"/>
                <w:sz w:val="24"/>
                <w:szCs w:val="24"/>
                <w:u w:val="single" w:color="auto"/>
                <w:lang w:val="en-US" w:eastAsia="zh-CN"/>
              </w:rPr>
              <w:t xml:space="preserve"> </w:t>
            </w:r>
          </w:p>
        </w:tc>
      </w:tr>
    </w:tbl>
    <w:p w14:paraId="02688A33">
      <w:pPr>
        <w:rPr>
          <w:rFonts w:hint="eastAsia" w:ascii="宋体" w:hAnsi="宋体" w:eastAsia="宋体" w:cs="宋体"/>
          <w:sz w:val="24"/>
          <w:szCs w:val="24"/>
        </w:rPr>
      </w:pPr>
    </w:p>
    <w:p w14:paraId="31595194">
      <w:pPr>
        <w:rPr>
          <w:rFonts w:ascii="Arial" w:hAnsi="Arial" w:eastAsia="Arial" w:cs="Arial"/>
          <w:sz w:val="21"/>
          <w:szCs w:val="21"/>
        </w:rPr>
        <w:sectPr>
          <w:pgSz w:w="11906" w:h="16839"/>
          <w:pgMar w:top="1416" w:right="1402" w:bottom="1417" w:left="1397" w:header="0" w:footer="0" w:gutter="0"/>
          <w:cols w:space="720" w:num="1"/>
        </w:sectPr>
      </w:pPr>
    </w:p>
    <w:p w14:paraId="21ECABAC">
      <w:pPr>
        <w:rPr>
          <w:rFonts w:ascii="Arial"/>
          <w:sz w:val="21"/>
        </w:rPr>
      </w:pPr>
    </w:p>
    <w:p w14:paraId="3BA3C809">
      <w:pPr>
        <w:pStyle w:val="2"/>
        <w:spacing w:before="148" w:line="219" w:lineRule="auto"/>
        <w:ind w:left="3951"/>
        <w:outlineLvl w:val="0"/>
        <w:rPr>
          <w:sz w:val="30"/>
          <w:szCs w:val="30"/>
        </w:rPr>
      </w:pPr>
      <w:r>
        <w:rPr>
          <w:b/>
          <w:bCs/>
          <w:spacing w:val="-10"/>
          <w:sz w:val="30"/>
          <w:szCs w:val="30"/>
        </w:rPr>
        <w:t>需求框架</w:t>
      </w:r>
    </w:p>
    <w:p w14:paraId="777020F9">
      <w:pPr>
        <w:pStyle w:val="2"/>
        <w:keepNext w:val="0"/>
        <w:keepLines w:val="0"/>
        <w:pageBreakBefore w:val="0"/>
        <w:widowControl/>
        <w:kinsoku w:val="0"/>
        <w:wordWrap/>
        <w:overflowPunct/>
        <w:topLinePunct w:val="0"/>
        <w:autoSpaceDE w:val="0"/>
        <w:autoSpaceDN w:val="0"/>
        <w:bidi w:val="0"/>
        <w:adjustRightInd w:val="0"/>
        <w:snapToGrid w:val="0"/>
        <w:spacing w:line="460" w:lineRule="exact"/>
        <w:ind w:left="0" w:right="0"/>
        <w:textAlignment w:val="baseline"/>
        <w:outlineLvl w:val="1"/>
        <w:rPr>
          <w:sz w:val="24"/>
          <w:szCs w:val="24"/>
        </w:rPr>
      </w:pPr>
      <w:r>
        <w:rPr>
          <w:b/>
          <w:bCs/>
          <w:spacing w:val="-5"/>
          <w:sz w:val="24"/>
          <w:szCs w:val="24"/>
        </w:rPr>
        <w:t>一、项目概况</w:t>
      </w:r>
    </w:p>
    <w:p w14:paraId="675E7CA9">
      <w:pPr>
        <w:pStyle w:val="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63"/>
        <w:jc w:val="both"/>
        <w:textAlignment w:val="baseline"/>
        <w:rPr>
          <w:rFonts w:hint="eastAsia" w:eastAsia="宋体"/>
          <w:sz w:val="24"/>
          <w:szCs w:val="24"/>
          <w:lang w:val="en-US" w:eastAsia="zh-CN"/>
        </w:rPr>
      </w:pPr>
      <w:r>
        <w:rPr>
          <w:rFonts w:hint="eastAsia"/>
          <w:spacing w:val="3"/>
          <w:sz w:val="24"/>
          <w:szCs w:val="24"/>
        </w:rPr>
        <w:t>本项目的建设主要是楼顶维修有效的保护房屋不受漏水问题的困扰，延长房屋使用寿命，恢复楼顶的原有外观，提升建筑物的整体美观度。政府院内一、二、三、四、五、六号楼楼顶，餐厅、锅炉房、党政会议室楼楼顶</w:t>
      </w:r>
      <w:r>
        <w:rPr>
          <w:rFonts w:hint="eastAsia"/>
          <w:spacing w:val="3"/>
          <w:sz w:val="24"/>
          <w:szCs w:val="24"/>
          <w:lang w:val="en-US" w:eastAsia="zh-CN"/>
        </w:rPr>
        <w:t>维修。</w:t>
      </w:r>
    </w:p>
    <w:p w14:paraId="103D3D4C">
      <w:pPr>
        <w:pStyle w:val="2"/>
        <w:keepNext w:val="0"/>
        <w:keepLines w:val="0"/>
        <w:pageBreakBefore w:val="0"/>
        <w:widowControl/>
        <w:kinsoku w:val="0"/>
        <w:wordWrap/>
        <w:overflowPunct/>
        <w:topLinePunct w:val="0"/>
        <w:autoSpaceDE w:val="0"/>
        <w:autoSpaceDN w:val="0"/>
        <w:bidi w:val="0"/>
        <w:adjustRightInd w:val="0"/>
        <w:snapToGrid w:val="0"/>
        <w:spacing w:line="460" w:lineRule="exact"/>
        <w:ind w:left="0" w:right="0"/>
        <w:textAlignment w:val="baseline"/>
        <w:outlineLvl w:val="1"/>
        <w:rPr>
          <w:sz w:val="24"/>
          <w:szCs w:val="24"/>
        </w:rPr>
      </w:pPr>
      <w:r>
        <w:rPr>
          <w:b/>
          <w:bCs/>
          <w:spacing w:val="-3"/>
          <w:sz w:val="24"/>
          <w:szCs w:val="24"/>
        </w:rPr>
        <w:t>二、工程内容和施工地点、计划工期、缺陷责任期、质量保修期</w:t>
      </w:r>
    </w:p>
    <w:p w14:paraId="7BD3C372">
      <w:pPr>
        <w:pStyle w:val="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63"/>
        <w:jc w:val="both"/>
        <w:textAlignment w:val="baseline"/>
        <w:rPr>
          <w:b w:val="0"/>
          <w:bCs w:val="0"/>
          <w:sz w:val="24"/>
          <w:szCs w:val="24"/>
        </w:rPr>
      </w:pPr>
      <w:r>
        <w:rPr>
          <w:b/>
          <w:bCs/>
          <w:sz w:val="24"/>
          <w:szCs w:val="24"/>
        </w:rPr>
        <w:t>（一）主要建设内容：</w:t>
      </w:r>
      <w:r>
        <w:rPr>
          <w:rFonts w:hint="eastAsia"/>
          <w:spacing w:val="3"/>
          <w:sz w:val="24"/>
          <w:szCs w:val="24"/>
        </w:rPr>
        <w:t>政府院内一、二、三、四、五、六号楼楼顶，餐厅、锅炉房、党政会议室楼楼顶</w:t>
      </w:r>
      <w:r>
        <w:rPr>
          <w:rFonts w:hint="eastAsia"/>
          <w:spacing w:val="3"/>
          <w:sz w:val="24"/>
          <w:szCs w:val="24"/>
          <w:lang w:val="en-US" w:eastAsia="zh-CN"/>
        </w:rPr>
        <w:t>维修。</w:t>
      </w:r>
    </w:p>
    <w:p w14:paraId="2DFBA007">
      <w:pPr>
        <w:pStyle w:val="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70" w:firstLineChars="200"/>
        <w:textAlignment w:val="baseline"/>
        <w:rPr>
          <w:sz w:val="24"/>
          <w:szCs w:val="24"/>
        </w:rPr>
      </w:pPr>
      <w:r>
        <w:rPr>
          <w:b/>
          <w:bCs/>
          <w:spacing w:val="-3"/>
          <w:sz w:val="24"/>
          <w:szCs w:val="24"/>
        </w:rPr>
        <w:t>（二）工程地点</w:t>
      </w:r>
      <w:r>
        <w:rPr>
          <w:spacing w:val="-3"/>
          <w:sz w:val="24"/>
          <w:szCs w:val="24"/>
        </w:rPr>
        <w:t>：</w:t>
      </w:r>
      <w:r>
        <w:rPr>
          <w:rFonts w:hint="eastAsia"/>
          <w:spacing w:val="-3"/>
          <w:sz w:val="24"/>
          <w:szCs w:val="24"/>
          <w:lang w:val="en-US" w:eastAsia="zh-CN"/>
        </w:rPr>
        <w:t>西安市</w:t>
      </w:r>
      <w:r>
        <w:rPr>
          <w:spacing w:val="-3"/>
          <w:sz w:val="24"/>
          <w:szCs w:val="24"/>
        </w:rPr>
        <w:t>蓝田县。</w:t>
      </w:r>
    </w:p>
    <w:p w14:paraId="03F6D26B">
      <w:pPr>
        <w:pStyle w:val="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50" w:firstLineChars="200"/>
        <w:textAlignment w:val="baseline"/>
        <w:rPr>
          <w:rFonts w:hint="eastAsia" w:eastAsia="宋体"/>
          <w:sz w:val="24"/>
          <w:szCs w:val="24"/>
          <w:lang w:eastAsia="zh-CN"/>
        </w:rPr>
      </w:pPr>
      <w:r>
        <w:rPr>
          <w:b/>
          <w:bCs/>
          <w:spacing w:val="-8"/>
          <w:sz w:val="24"/>
          <w:szCs w:val="24"/>
        </w:rPr>
        <w:t>（三）计划工期</w:t>
      </w:r>
      <w:r>
        <w:rPr>
          <w:spacing w:val="-8"/>
          <w:sz w:val="24"/>
          <w:szCs w:val="24"/>
        </w:rPr>
        <w:t>：</w:t>
      </w:r>
      <w:r>
        <w:rPr>
          <w:rFonts w:hint="eastAsia"/>
          <w:spacing w:val="-8"/>
          <w:sz w:val="24"/>
          <w:szCs w:val="24"/>
          <w:lang w:val="en-US" w:eastAsia="zh-CN"/>
        </w:rPr>
        <w:t>30</w:t>
      </w:r>
      <w:r>
        <w:rPr>
          <w:spacing w:val="-8"/>
          <w:sz w:val="24"/>
          <w:szCs w:val="24"/>
        </w:rPr>
        <w:t>日历天</w:t>
      </w:r>
      <w:r>
        <w:rPr>
          <w:rFonts w:hint="eastAsia"/>
          <w:spacing w:val="-8"/>
          <w:sz w:val="24"/>
          <w:szCs w:val="24"/>
          <w:lang w:eastAsia="zh-CN"/>
        </w:rPr>
        <w:t>。</w:t>
      </w:r>
    </w:p>
    <w:p w14:paraId="51706F35">
      <w:pPr>
        <w:pStyle w:val="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54" w:firstLineChars="200"/>
        <w:textAlignment w:val="baseline"/>
        <w:rPr>
          <w:rFonts w:hint="eastAsia" w:eastAsia="宋体"/>
          <w:sz w:val="24"/>
          <w:szCs w:val="24"/>
          <w:lang w:eastAsia="zh-CN"/>
        </w:rPr>
      </w:pPr>
      <w:r>
        <w:rPr>
          <w:b/>
          <w:bCs/>
          <w:spacing w:val="-7"/>
          <w:sz w:val="24"/>
          <w:szCs w:val="24"/>
        </w:rPr>
        <w:t>（四）缺陷责任期</w:t>
      </w:r>
      <w:r>
        <w:rPr>
          <w:spacing w:val="-7"/>
          <w:sz w:val="24"/>
          <w:szCs w:val="24"/>
        </w:rPr>
        <w:t>：</w:t>
      </w:r>
      <w:r>
        <w:rPr>
          <w:spacing w:val="-73"/>
          <w:sz w:val="24"/>
          <w:szCs w:val="24"/>
        </w:rPr>
        <w:t xml:space="preserve"> </w:t>
      </w:r>
      <w:r>
        <w:rPr>
          <w:spacing w:val="-7"/>
          <w:sz w:val="24"/>
          <w:szCs w:val="24"/>
        </w:rPr>
        <w:t>自竣工验收之日起</w:t>
      </w:r>
      <w:r>
        <w:rPr>
          <w:spacing w:val="-39"/>
          <w:sz w:val="24"/>
          <w:szCs w:val="24"/>
        </w:rPr>
        <w:t xml:space="preserve"> </w:t>
      </w:r>
      <w:r>
        <w:rPr>
          <w:spacing w:val="-7"/>
          <w:sz w:val="24"/>
          <w:szCs w:val="24"/>
        </w:rPr>
        <w:t>1</w:t>
      </w:r>
      <w:r>
        <w:rPr>
          <w:spacing w:val="-60"/>
          <w:sz w:val="24"/>
          <w:szCs w:val="24"/>
        </w:rPr>
        <w:t xml:space="preserve"> </w:t>
      </w:r>
      <w:r>
        <w:rPr>
          <w:spacing w:val="-7"/>
          <w:sz w:val="24"/>
          <w:szCs w:val="24"/>
        </w:rPr>
        <w:t>年</w:t>
      </w:r>
      <w:r>
        <w:rPr>
          <w:rFonts w:hint="eastAsia"/>
          <w:spacing w:val="-7"/>
          <w:sz w:val="24"/>
          <w:szCs w:val="24"/>
          <w:lang w:eastAsia="zh-CN"/>
        </w:rPr>
        <w:t>。</w:t>
      </w:r>
    </w:p>
    <w:p w14:paraId="1AB17A1C">
      <w:pPr>
        <w:pStyle w:val="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74" w:firstLineChars="200"/>
        <w:textAlignment w:val="baseline"/>
        <w:rPr>
          <w:sz w:val="24"/>
          <w:szCs w:val="24"/>
        </w:rPr>
      </w:pPr>
      <w:r>
        <w:rPr>
          <w:b/>
          <w:bCs/>
          <w:spacing w:val="-2"/>
          <w:sz w:val="24"/>
          <w:szCs w:val="24"/>
        </w:rPr>
        <w:t>（五）质量保修期</w:t>
      </w:r>
      <w:r>
        <w:rPr>
          <w:spacing w:val="-2"/>
          <w:sz w:val="24"/>
          <w:szCs w:val="24"/>
        </w:rPr>
        <w:t>：符合国家法定要求质量保修期。</w:t>
      </w:r>
    </w:p>
    <w:p w14:paraId="61297BB7">
      <w:pPr>
        <w:pStyle w:val="2"/>
        <w:keepNext w:val="0"/>
        <w:keepLines w:val="0"/>
        <w:pageBreakBefore w:val="0"/>
        <w:widowControl/>
        <w:kinsoku w:val="0"/>
        <w:wordWrap/>
        <w:overflowPunct/>
        <w:topLinePunct w:val="0"/>
        <w:autoSpaceDE w:val="0"/>
        <w:autoSpaceDN w:val="0"/>
        <w:bidi w:val="0"/>
        <w:adjustRightInd w:val="0"/>
        <w:snapToGrid w:val="0"/>
        <w:spacing w:line="460" w:lineRule="exact"/>
        <w:ind w:left="0" w:right="0"/>
        <w:textAlignment w:val="baseline"/>
        <w:outlineLvl w:val="1"/>
        <w:rPr>
          <w:sz w:val="24"/>
          <w:szCs w:val="24"/>
        </w:rPr>
      </w:pPr>
      <w:r>
        <w:rPr>
          <w:b/>
          <w:bCs/>
          <w:spacing w:val="-3"/>
          <w:sz w:val="24"/>
          <w:szCs w:val="24"/>
        </w:rPr>
        <w:t>三、工程量清单和计价依据</w:t>
      </w:r>
    </w:p>
    <w:p w14:paraId="36C22A3B">
      <w:pPr>
        <w:pStyle w:val="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62" w:firstLineChars="200"/>
        <w:textAlignment w:val="baseline"/>
        <w:outlineLvl w:val="2"/>
        <w:rPr>
          <w:b/>
          <w:bCs/>
          <w:spacing w:val="-5"/>
          <w:sz w:val="24"/>
          <w:szCs w:val="24"/>
        </w:rPr>
      </w:pPr>
      <w:r>
        <w:rPr>
          <w:b/>
          <w:bCs/>
          <w:spacing w:val="-5"/>
          <w:sz w:val="24"/>
          <w:szCs w:val="24"/>
        </w:rPr>
        <w:t>（一）计价依据</w:t>
      </w:r>
    </w:p>
    <w:p w14:paraId="1E343635">
      <w:pPr>
        <w:keepNext w:val="0"/>
        <w:keepLines w:val="0"/>
        <w:pageBreakBefore w:val="0"/>
        <w:widowControl w:val="0"/>
        <w:kinsoku/>
        <w:wordWrap/>
        <w:overflowPunct/>
        <w:topLinePunct w:val="0"/>
        <w:autoSpaceDE/>
        <w:autoSpaceDN/>
        <w:bidi w:val="0"/>
        <w:adjustRightInd/>
        <w:snapToGrid/>
        <w:spacing w:line="500" w:lineRule="exact"/>
        <w:ind w:firstLine="452" w:firstLineChars="200"/>
        <w:textAlignment w:val="auto"/>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1、《陕西省建设工程工程量清单计价标准》（2025）、《陕西省建设工程费用规则》(2025)以及相关配套文件；</w:t>
      </w:r>
    </w:p>
    <w:p w14:paraId="348D4238">
      <w:pPr>
        <w:keepNext w:val="0"/>
        <w:keepLines w:val="0"/>
        <w:pageBreakBefore w:val="0"/>
        <w:widowControl w:val="0"/>
        <w:kinsoku/>
        <w:wordWrap/>
        <w:overflowPunct/>
        <w:topLinePunct w:val="0"/>
        <w:autoSpaceDE/>
        <w:autoSpaceDN/>
        <w:bidi w:val="0"/>
        <w:adjustRightInd/>
        <w:snapToGrid/>
        <w:spacing w:line="500" w:lineRule="exact"/>
        <w:ind w:firstLine="452" w:firstLineChars="200"/>
        <w:textAlignment w:val="auto"/>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2、《陕西省建设工程工程量清单计价标准》(2025)；</w:t>
      </w:r>
    </w:p>
    <w:p w14:paraId="2817BF48">
      <w:pPr>
        <w:keepNext w:val="0"/>
        <w:keepLines w:val="0"/>
        <w:pageBreakBefore w:val="0"/>
        <w:widowControl w:val="0"/>
        <w:kinsoku/>
        <w:wordWrap/>
        <w:overflowPunct/>
        <w:topLinePunct w:val="0"/>
        <w:autoSpaceDE/>
        <w:autoSpaceDN/>
        <w:bidi w:val="0"/>
        <w:adjustRightInd/>
        <w:snapToGrid/>
        <w:spacing w:line="500" w:lineRule="exact"/>
        <w:ind w:firstLine="452" w:firstLineChars="200"/>
        <w:textAlignment w:val="auto"/>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3、《陕西省房屋建筑与装饰工程消耗量定额》(2025)；</w:t>
      </w:r>
    </w:p>
    <w:p w14:paraId="1EBF9B3E">
      <w:pPr>
        <w:keepNext w:val="0"/>
        <w:keepLines w:val="0"/>
        <w:pageBreakBefore w:val="0"/>
        <w:widowControl w:val="0"/>
        <w:kinsoku/>
        <w:wordWrap/>
        <w:overflowPunct/>
        <w:topLinePunct w:val="0"/>
        <w:autoSpaceDE/>
        <w:autoSpaceDN/>
        <w:bidi w:val="0"/>
        <w:adjustRightInd/>
        <w:snapToGrid/>
        <w:spacing w:line="500" w:lineRule="exact"/>
        <w:ind w:firstLine="452" w:firstLineChars="200"/>
        <w:textAlignment w:val="auto"/>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4、《陕西省通用安装工程消耗量定额》(2025)；</w:t>
      </w:r>
    </w:p>
    <w:p w14:paraId="056EA9B3">
      <w:pPr>
        <w:keepNext w:val="0"/>
        <w:keepLines w:val="0"/>
        <w:pageBreakBefore w:val="0"/>
        <w:widowControl w:val="0"/>
        <w:kinsoku/>
        <w:wordWrap/>
        <w:overflowPunct/>
        <w:topLinePunct w:val="0"/>
        <w:autoSpaceDE/>
        <w:autoSpaceDN/>
        <w:bidi w:val="0"/>
        <w:adjustRightInd/>
        <w:snapToGrid/>
        <w:spacing w:line="500" w:lineRule="exact"/>
        <w:ind w:firstLine="452" w:firstLineChars="200"/>
        <w:textAlignment w:val="auto"/>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5、《陕西市政工程消耗量定额》(2025)；</w:t>
      </w:r>
    </w:p>
    <w:p w14:paraId="64F44321">
      <w:pPr>
        <w:keepNext w:val="0"/>
        <w:keepLines w:val="0"/>
        <w:pageBreakBefore w:val="0"/>
        <w:widowControl w:val="0"/>
        <w:kinsoku/>
        <w:wordWrap/>
        <w:overflowPunct/>
        <w:topLinePunct w:val="0"/>
        <w:autoSpaceDE/>
        <w:autoSpaceDN/>
        <w:bidi w:val="0"/>
        <w:adjustRightInd/>
        <w:snapToGrid/>
        <w:spacing w:line="500" w:lineRule="exact"/>
        <w:ind w:firstLine="452" w:firstLineChars="200"/>
        <w:textAlignment w:val="auto"/>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6</w:t>
      </w:r>
      <w:r>
        <w:rPr>
          <w:rFonts w:hint="eastAsia" w:ascii="宋体" w:hAnsi="宋体" w:eastAsia="宋体" w:cs="宋体"/>
          <w:snapToGrid w:val="0"/>
          <w:color w:val="000000"/>
          <w:spacing w:val="-7"/>
          <w:kern w:val="0"/>
          <w:sz w:val="24"/>
          <w:szCs w:val="24"/>
          <w:lang w:val="en-US" w:eastAsia="en-US" w:bidi="ar-SA"/>
        </w:rPr>
        <w:t>、本工程施工图及招标工程量清单。</w:t>
      </w:r>
    </w:p>
    <w:p w14:paraId="4AA089FC">
      <w:pPr>
        <w:keepNext w:val="0"/>
        <w:keepLines w:val="0"/>
        <w:pageBreakBefore w:val="0"/>
        <w:widowControl w:val="0"/>
        <w:kinsoku/>
        <w:wordWrap/>
        <w:overflowPunct/>
        <w:topLinePunct w:val="0"/>
        <w:autoSpaceDE/>
        <w:autoSpaceDN/>
        <w:bidi w:val="0"/>
        <w:adjustRightInd/>
        <w:snapToGrid/>
        <w:spacing w:line="500" w:lineRule="exact"/>
        <w:ind w:firstLine="452" w:firstLineChars="200"/>
        <w:textAlignment w:val="auto"/>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7</w:t>
      </w:r>
      <w:r>
        <w:rPr>
          <w:rFonts w:hint="eastAsia" w:ascii="宋体" w:hAnsi="宋体" w:eastAsia="宋体" w:cs="宋体"/>
          <w:snapToGrid w:val="0"/>
          <w:color w:val="000000"/>
          <w:spacing w:val="-7"/>
          <w:kern w:val="0"/>
          <w:sz w:val="24"/>
          <w:szCs w:val="24"/>
          <w:lang w:val="en-US" w:eastAsia="en-US" w:bidi="ar-SA"/>
        </w:rPr>
        <w:t>、与建设工程项目有关的标准（包括标准图集）、规范、技术资料。</w:t>
      </w:r>
    </w:p>
    <w:p w14:paraId="4D88BA0D">
      <w:pPr>
        <w:keepNext w:val="0"/>
        <w:keepLines w:val="0"/>
        <w:pageBreakBefore w:val="0"/>
        <w:widowControl w:val="0"/>
        <w:kinsoku/>
        <w:wordWrap/>
        <w:overflowPunct/>
        <w:topLinePunct w:val="0"/>
        <w:autoSpaceDE/>
        <w:autoSpaceDN/>
        <w:bidi w:val="0"/>
        <w:adjustRightInd/>
        <w:snapToGrid/>
        <w:spacing w:line="500" w:lineRule="exact"/>
        <w:ind w:firstLine="452" w:firstLineChars="200"/>
        <w:textAlignment w:val="auto"/>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8</w:t>
      </w:r>
      <w:r>
        <w:rPr>
          <w:rFonts w:hint="eastAsia" w:ascii="宋体" w:hAnsi="宋体" w:eastAsia="宋体" w:cs="宋体"/>
          <w:snapToGrid w:val="0"/>
          <w:color w:val="000000"/>
          <w:spacing w:val="-7"/>
          <w:kern w:val="0"/>
          <w:sz w:val="24"/>
          <w:szCs w:val="24"/>
          <w:lang w:val="en-US" w:eastAsia="en-US" w:bidi="ar-SA"/>
        </w:rPr>
        <w:t>、招标文件以及补充通知、答疑纪要。</w:t>
      </w:r>
    </w:p>
    <w:p w14:paraId="1894DC0B">
      <w:pPr>
        <w:keepNext w:val="0"/>
        <w:keepLines w:val="0"/>
        <w:pageBreakBefore w:val="0"/>
        <w:widowControl w:val="0"/>
        <w:kinsoku/>
        <w:wordWrap/>
        <w:overflowPunct/>
        <w:topLinePunct w:val="0"/>
        <w:autoSpaceDE/>
        <w:autoSpaceDN/>
        <w:bidi w:val="0"/>
        <w:adjustRightInd/>
        <w:snapToGrid/>
        <w:spacing w:line="500" w:lineRule="exact"/>
        <w:ind w:firstLine="452" w:firstLineChars="200"/>
        <w:textAlignment w:val="auto"/>
        <w:rPr>
          <w:rFonts w:hint="eastAsia"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9</w:t>
      </w:r>
      <w:r>
        <w:rPr>
          <w:rFonts w:hint="eastAsia" w:ascii="宋体" w:hAnsi="宋体" w:eastAsia="宋体" w:cs="宋体"/>
          <w:snapToGrid w:val="0"/>
          <w:color w:val="000000"/>
          <w:spacing w:val="-7"/>
          <w:kern w:val="0"/>
          <w:sz w:val="24"/>
          <w:szCs w:val="24"/>
          <w:lang w:val="en-US" w:eastAsia="en-US" w:bidi="ar-SA"/>
        </w:rPr>
        <w:t>、常规的施工方案。</w:t>
      </w:r>
    </w:p>
    <w:p w14:paraId="51AD504A">
      <w:pPr>
        <w:keepNext w:val="0"/>
        <w:keepLines w:val="0"/>
        <w:pageBreakBefore w:val="0"/>
        <w:widowControl w:val="0"/>
        <w:kinsoku/>
        <w:wordWrap/>
        <w:overflowPunct/>
        <w:topLinePunct w:val="0"/>
        <w:autoSpaceDE/>
        <w:autoSpaceDN/>
        <w:bidi w:val="0"/>
        <w:adjustRightInd/>
        <w:snapToGrid/>
        <w:spacing w:line="500" w:lineRule="exact"/>
        <w:ind w:firstLine="452" w:firstLineChars="200"/>
        <w:textAlignment w:val="auto"/>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10</w:t>
      </w:r>
      <w:r>
        <w:rPr>
          <w:rFonts w:hint="eastAsia" w:ascii="宋体" w:hAnsi="宋体" w:eastAsia="宋体" w:cs="宋体"/>
          <w:snapToGrid w:val="0"/>
          <w:color w:val="000000"/>
          <w:spacing w:val="-7"/>
          <w:kern w:val="0"/>
          <w:sz w:val="24"/>
          <w:szCs w:val="24"/>
          <w:lang w:val="en-US" w:eastAsia="en-US" w:bidi="ar-SA"/>
        </w:rPr>
        <w:t>、其他相关文件、资料。</w:t>
      </w:r>
    </w:p>
    <w:p w14:paraId="6BC46E24">
      <w:pPr>
        <w:keepNext w:val="0"/>
        <w:keepLines w:val="0"/>
        <w:pageBreakBefore w:val="0"/>
        <w:widowControl w:val="0"/>
        <w:kinsoku/>
        <w:wordWrap/>
        <w:overflowPunct/>
        <w:topLinePunct w:val="0"/>
        <w:autoSpaceDE/>
        <w:autoSpaceDN/>
        <w:bidi w:val="0"/>
        <w:adjustRightInd/>
        <w:snapToGrid/>
        <w:spacing w:line="500" w:lineRule="exact"/>
        <w:ind w:firstLine="452" w:firstLineChars="200"/>
        <w:textAlignment w:val="auto"/>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11</w:t>
      </w:r>
      <w:r>
        <w:rPr>
          <w:rFonts w:hint="eastAsia" w:ascii="宋体" w:hAnsi="宋体" w:eastAsia="宋体" w:cs="宋体"/>
          <w:snapToGrid w:val="0"/>
          <w:color w:val="000000"/>
          <w:spacing w:val="-7"/>
          <w:kern w:val="0"/>
          <w:sz w:val="24"/>
          <w:szCs w:val="24"/>
          <w:lang w:val="en-US" w:eastAsia="en-US" w:bidi="ar-SA"/>
        </w:rPr>
        <w:t>、材料价执行</w:t>
      </w:r>
      <w:r>
        <w:rPr>
          <w:rFonts w:hint="eastAsia" w:ascii="宋体" w:hAnsi="宋体" w:eastAsia="宋体" w:cs="宋体"/>
          <w:snapToGrid w:val="0"/>
          <w:color w:val="000000"/>
          <w:spacing w:val="-7"/>
          <w:kern w:val="0"/>
          <w:sz w:val="24"/>
          <w:szCs w:val="24"/>
          <w:lang w:val="en-US" w:eastAsia="zh-CN" w:bidi="ar-SA"/>
        </w:rPr>
        <w:t>《蓝田县建设工程信息价》</w:t>
      </w:r>
      <w:r>
        <w:rPr>
          <w:rFonts w:hint="eastAsia" w:ascii="宋体" w:hAnsi="宋体" w:eastAsia="宋体" w:cs="宋体"/>
          <w:snapToGrid w:val="0"/>
          <w:color w:val="000000"/>
          <w:spacing w:val="-7"/>
          <w:kern w:val="0"/>
          <w:sz w:val="24"/>
          <w:szCs w:val="24"/>
          <w:lang w:val="en-US" w:eastAsia="en-US" w:bidi="ar-SA"/>
        </w:rPr>
        <w:t>202</w:t>
      </w:r>
      <w:r>
        <w:rPr>
          <w:rFonts w:hint="eastAsia" w:ascii="宋体" w:hAnsi="宋体" w:eastAsia="宋体" w:cs="宋体"/>
          <w:snapToGrid w:val="0"/>
          <w:color w:val="000000"/>
          <w:spacing w:val="-7"/>
          <w:kern w:val="0"/>
          <w:sz w:val="24"/>
          <w:szCs w:val="24"/>
          <w:lang w:val="en-US" w:eastAsia="zh-CN" w:bidi="ar-SA"/>
        </w:rPr>
        <w:t>5</w:t>
      </w:r>
      <w:r>
        <w:rPr>
          <w:rFonts w:hint="eastAsia" w:ascii="宋体" w:hAnsi="宋体" w:eastAsia="宋体" w:cs="宋体"/>
          <w:snapToGrid w:val="0"/>
          <w:color w:val="000000"/>
          <w:spacing w:val="-7"/>
          <w:kern w:val="0"/>
          <w:sz w:val="24"/>
          <w:szCs w:val="24"/>
          <w:lang w:val="en-US" w:eastAsia="en-US" w:bidi="ar-SA"/>
        </w:rPr>
        <w:t>年</w:t>
      </w:r>
      <w:r>
        <w:rPr>
          <w:rFonts w:hint="eastAsia" w:ascii="宋体" w:hAnsi="宋体" w:eastAsia="宋体" w:cs="宋体"/>
          <w:snapToGrid w:val="0"/>
          <w:color w:val="000000"/>
          <w:spacing w:val="-7"/>
          <w:kern w:val="0"/>
          <w:sz w:val="24"/>
          <w:szCs w:val="24"/>
          <w:lang w:val="en-US" w:eastAsia="zh-CN" w:bidi="ar-SA"/>
        </w:rPr>
        <w:t>4</w:t>
      </w:r>
      <w:r>
        <w:rPr>
          <w:rFonts w:hint="eastAsia" w:ascii="宋体" w:hAnsi="宋体" w:eastAsia="宋体" w:cs="宋体"/>
          <w:snapToGrid w:val="0"/>
          <w:color w:val="000000"/>
          <w:spacing w:val="-7"/>
          <w:kern w:val="0"/>
          <w:sz w:val="24"/>
          <w:szCs w:val="24"/>
          <w:lang w:val="en-US" w:eastAsia="en-US" w:bidi="ar-SA"/>
        </w:rPr>
        <w:t>月信息价</w:t>
      </w:r>
      <w:r>
        <w:rPr>
          <w:rFonts w:hint="eastAsia" w:ascii="宋体" w:hAnsi="宋体" w:eastAsia="宋体" w:cs="宋体"/>
          <w:snapToGrid w:val="0"/>
          <w:color w:val="000000"/>
          <w:spacing w:val="-7"/>
          <w:kern w:val="0"/>
          <w:sz w:val="24"/>
          <w:szCs w:val="24"/>
          <w:lang w:val="en-US" w:eastAsia="zh-CN" w:bidi="ar-SA"/>
        </w:rPr>
        <w:t>，部分主材参照</w:t>
      </w:r>
      <w:r>
        <w:rPr>
          <w:rFonts w:hint="eastAsia" w:ascii="宋体" w:hAnsi="宋体" w:eastAsia="宋体" w:cs="宋体"/>
          <w:snapToGrid w:val="0"/>
          <w:color w:val="000000"/>
          <w:spacing w:val="-7"/>
          <w:kern w:val="0"/>
          <w:sz w:val="24"/>
          <w:szCs w:val="24"/>
          <w:lang w:val="en-US" w:eastAsia="en-US" w:bidi="ar-SA"/>
        </w:rPr>
        <w:t>《陕西省建设工程信息价》</w:t>
      </w:r>
      <w:r>
        <w:rPr>
          <w:rFonts w:hint="eastAsia" w:ascii="宋体" w:hAnsi="宋体" w:eastAsia="宋体" w:cs="宋体"/>
          <w:snapToGrid w:val="0"/>
          <w:color w:val="000000"/>
          <w:spacing w:val="-7"/>
          <w:kern w:val="0"/>
          <w:sz w:val="24"/>
          <w:szCs w:val="24"/>
          <w:lang w:val="en-US" w:eastAsia="zh-CN" w:bidi="ar-SA"/>
        </w:rPr>
        <w:t>同期价格及</w:t>
      </w:r>
      <w:r>
        <w:rPr>
          <w:rFonts w:hint="eastAsia" w:ascii="宋体" w:hAnsi="宋体" w:eastAsia="宋体" w:cs="宋体"/>
          <w:snapToGrid w:val="0"/>
          <w:color w:val="000000"/>
          <w:spacing w:val="-7"/>
          <w:kern w:val="0"/>
          <w:sz w:val="24"/>
          <w:szCs w:val="24"/>
          <w:lang w:val="en-US" w:eastAsia="en-US" w:bidi="ar-SA"/>
        </w:rPr>
        <w:t>市场询价；</w:t>
      </w:r>
    </w:p>
    <w:p w14:paraId="7DE29393">
      <w:pPr>
        <w:keepNext w:val="0"/>
        <w:keepLines w:val="0"/>
        <w:pageBreakBefore w:val="0"/>
        <w:widowControl w:val="0"/>
        <w:kinsoku/>
        <w:wordWrap/>
        <w:overflowPunct/>
        <w:topLinePunct w:val="0"/>
        <w:autoSpaceDE/>
        <w:autoSpaceDN/>
        <w:bidi w:val="0"/>
        <w:adjustRightInd/>
        <w:snapToGrid/>
        <w:spacing w:line="460" w:lineRule="exact"/>
        <w:ind w:firstLine="452" w:firstLineChars="200"/>
        <w:textAlignment w:val="auto"/>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12</w:t>
      </w:r>
      <w:r>
        <w:rPr>
          <w:rFonts w:hint="eastAsia" w:ascii="宋体" w:hAnsi="宋体" w:eastAsia="宋体" w:cs="宋体"/>
          <w:snapToGrid w:val="0"/>
          <w:color w:val="000000"/>
          <w:spacing w:val="-7"/>
          <w:kern w:val="0"/>
          <w:sz w:val="24"/>
          <w:szCs w:val="24"/>
          <w:lang w:val="en-US" w:eastAsia="en-US" w:bidi="ar-SA"/>
        </w:rPr>
        <w:t>、项目设计</w:t>
      </w:r>
      <w:r>
        <w:rPr>
          <w:rFonts w:hint="eastAsia" w:ascii="宋体" w:hAnsi="宋体" w:eastAsia="宋体" w:cs="宋体"/>
          <w:snapToGrid w:val="0"/>
          <w:color w:val="000000"/>
          <w:spacing w:val="-7"/>
          <w:kern w:val="0"/>
          <w:sz w:val="24"/>
          <w:szCs w:val="24"/>
          <w:lang w:val="en-US" w:eastAsia="zh-CN" w:bidi="ar-SA"/>
        </w:rPr>
        <w:t>施工</w:t>
      </w:r>
      <w:r>
        <w:rPr>
          <w:rFonts w:hint="eastAsia" w:ascii="宋体" w:hAnsi="宋体" w:eastAsia="宋体" w:cs="宋体"/>
          <w:snapToGrid w:val="0"/>
          <w:color w:val="000000"/>
          <w:spacing w:val="-7"/>
          <w:kern w:val="0"/>
          <w:sz w:val="24"/>
          <w:szCs w:val="24"/>
          <w:lang w:val="en-US" w:eastAsia="en-US" w:bidi="ar-SA"/>
        </w:rPr>
        <w:t>图</w:t>
      </w:r>
      <w:r>
        <w:rPr>
          <w:rFonts w:hint="eastAsia" w:ascii="宋体" w:hAnsi="宋体" w:eastAsia="宋体" w:cs="宋体"/>
          <w:snapToGrid w:val="0"/>
          <w:color w:val="000000"/>
          <w:spacing w:val="-7"/>
          <w:kern w:val="0"/>
          <w:sz w:val="24"/>
          <w:szCs w:val="24"/>
          <w:lang w:val="en-US" w:eastAsia="zh-CN" w:bidi="ar-SA"/>
        </w:rPr>
        <w:t>及</w:t>
      </w:r>
      <w:r>
        <w:rPr>
          <w:rFonts w:hint="eastAsia" w:ascii="宋体" w:hAnsi="宋体" w:eastAsia="宋体" w:cs="宋体"/>
          <w:snapToGrid w:val="0"/>
          <w:color w:val="000000"/>
          <w:spacing w:val="-7"/>
          <w:kern w:val="0"/>
          <w:sz w:val="24"/>
          <w:szCs w:val="24"/>
          <w:lang w:val="en-US" w:eastAsia="en-US" w:bidi="ar-SA"/>
        </w:rPr>
        <w:t>相关法律法规、标准图集</w:t>
      </w:r>
      <w:r>
        <w:rPr>
          <w:rFonts w:hint="eastAsia" w:ascii="宋体" w:hAnsi="宋体" w:eastAsia="宋体" w:cs="宋体"/>
          <w:snapToGrid w:val="0"/>
          <w:color w:val="000000"/>
          <w:spacing w:val="-7"/>
          <w:kern w:val="0"/>
          <w:sz w:val="24"/>
          <w:szCs w:val="24"/>
          <w:lang w:val="en-US" w:eastAsia="zh-CN" w:bidi="ar-SA"/>
        </w:rPr>
        <w:t>、</w:t>
      </w:r>
      <w:r>
        <w:rPr>
          <w:rFonts w:hint="eastAsia" w:ascii="宋体" w:hAnsi="宋体" w:eastAsia="宋体" w:cs="宋体"/>
          <w:snapToGrid w:val="0"/>
          <w:color w:val="000000"/>
          <w:spacing w:val="-7"/>
          <w:kern w:val="0"/>
          <w:sz w:val="24"/>
          <w:szCs w:val="24"/>
          <w:lang w:val="en-US" w:eastAsia="en-US" w:bidi="ar-SA"/>
        </w:rPr>
        <w:t>相关规范</w:t>
      </w:r>
      <w:r>
        <w:rPr>
          <w:rFonts w:hint="eastAsia" w:ascii="宋体" w:hAnsi="宋体" w:eastAsia="宋体" w:cs="宋体"/>
          <w:snapToGrid w:val="0"/>
          <w:color w:val="000000"/>
          <w:spacing w:val="-7"/>
          <w:kern w:val="0"/>
          <w:sz w:val="24"/>
          <w:szCs w:val="24"/>
          <w:lang w:val="en-US" w:eastAsia="zh-CN" w:bidi="ar-SA"/>
        </w:rPr>
        <w:t>等。</w:t>
      </w:r>
    </w:p>
    <w:p w14:paraId="1A6A9AF5">
      <w:pPr>
        <w:keepNext w:val="0"/>
        <w:keepLines w:val="0"/>
        <w:pageBreakBefore w:val="0"/>
        <w:widowControl w:val="0"/>
        <w:kinsoku/>
        <w:wordWrap/>
        <w:overflowPunct/>
        <w:topLinePunct w:val="0"/>
        <w:autoSpaceDE/>
        <w:autoSpaceDN/>
        <w:bidi w:val="0"/>
        <w:adjustRightInd/>
        <w:snapToGrid/>
        <w:spacing w:line="460" w:lineRule="exact"/>
        <w:ind w:firstLine="231" w:firstLineChars="100"/>
        <w:textAlignment w:val="auto"/>
        <w:rPr>
          <w:rFonts w:hint="eastAsia" w:ascii="宋体" w:hAnsi="宋体" w:eastAsia="宋体" w:cs="宋体"/>
          <w:bCs/>
          <w:color w:val="000000"/>
          <w:sz w:val="24"/>
          <w:szCs w:val="24"/>
          <w:lang w:val="en-US" w:eastAsia="zh-CN"/>
        </w:rPr>
      </w:pPr>
      <w:r>
        <w:rPr>
          <w:rFonts w:hint="eastAsia" w:ascii="宋体" w:hAnsi="宋体" w:eastAsia="宋体" w:cs="宋体"/>
          <w:b/>
          <w:bCs/>
          <w:snapToGrid w:val="0"/>
          <w:color w:val="000000"/>
          <w:spacing w:val="-5"/>
          <w:kern w:val="0"/>
          <w:sz w:val="24"/>
          <w:szCs w:val="24"/>
          <w:lang w:val="en-US" w:eastAsia="zh-CN" w:bidi="ar-SA"/>
        </w:rPr>
        <w:t>（二）需要说明的其他问题</w:t>
      </w:r>
      <w:r>
        <w:rPr>
          <w:rFonts w:hint="eastAsia" w:ascii="宋体" w:hAnsi="宋体" w:eastAsia="宋体" w:cs="宋体"/>
          <w:b/>
          <w:bCs/>
          <w:snapToGrid w:val="0"/>
          <w:color w:val="000000"/>
          <w:spacing w:val="-5"/>
          <w:kern w:val="0"/>
          <w:sz w:val="24"/>
          <w:szCs w:val="24"/>
          <w:lang w:val="en-US" w:eastAsia="zh-CN" w:bidi="ar-SA"/>
        </w:rPr>
        <w:tab/>
      </w:r>
      <w:r>
        <w:rPr>
          <w:rFonts w:hint="eastAsia" w:ascii="宋体" w:hAnsi="宋体" w:eastAsia="宋体" w:cs="宋体"/>
          <w:bCs/>
          <w:color w:val="000000"/>
          <w:sz w:val="24"/>
          <w:szCs w:val="24"/>
          <w:lang w:val="en-US" w:eastAsia="zh-CN"/>
        </w:rPr>
        <w:tab/>
      </w:r>
      <w:r>
        <w:rPr>
          <w:rFonts w:hint="eastAsia" w:ascii="宋体" w:hAnsi="宋体" w:eastAsia="宋体" w:cs="宋体"/>
          <w:bCs/>
          <w:color w:val="000000"/>
          <w:sz w:val="24"/>
          <w:szCs w:val="24"/>
          <w:lang w:val="en-US" w:eastAsia="zh-CN"/>
        </w:rPr>
        <w:tab/>
      </w:r>
      <w:r>
        <w:rPr>
          <w:rFonts w:hint="eastAsia" w:ascii="宋体" w:hAnsi="宋体" w:eastAsia="宋体" w:cs="宋体"/>
          <w:bCs/>
          <w:color w:val="000000"/>
          <w:sz w:val="24"/>
          <w:szCs w:val="24"/>
          <w:lang w:val="en-US" w:eastAsia="zh-CN"/>
        </w:rPr>
        <w:tab/>
      </w:r>
      <w:r>
        <w:rPr>
          <w:rFonts w:hint="eastAsia" w:ascii="宋体" w:hAnsi="宋体" w:eastAsia="宋体" w:cs="宋体"/>
          <w:bCs/>
          <w:color w:val="000000"/>
          <w:sz w:val="24"/>
          <w:szCs w:val="24"/>
          <w:lang w:val="en-US" w:eastAsia="zh-CN"/>
        </w:rPr>
        <w:tab/>
      </w:r>
      <w:r>
        <w:rPr>
          <w:rFonts w:hint="eastAsia" w:ascii="宋体" w:hAnsi="宋体" w:eastAsia="宋体" w:cs="宋体"/>
          <w:bCs/>
          <w:color w:val="000000"/>
          <w:sz w:val="24"/>
          <w:szCs w:val="24"/>
          <w:lang w:val="en-US" w:eastAsia="zh-CN"/>
        </w:rPr>
        <w:tab/>
      </w:r>
      <w:r>
        <w:rPr>
          <w:rFonts w:hint="eastAsia" w:ascii="宋体" w:hAnsi="宋体" w:eastAsia="宋体" w:cs="宋体"/>
          <w:bCs/>
          <w:color w:val="000000"/>
          <w:sz w:val="24"/>
          <w:szCs w:val="24"/>
          <w:lang w:val="en-US" w:eastAsia="zh-CN"/>
        </w:rPr>
        <w:tab/>
      </w:r>
    </w:p>
    <w:p w14:paraId="728C31A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1、投标人在报价时应按《陕西省建设工程费用规则》(2025)规定的统一格式。投标方应在投标同时提供上述表格的PDF电子文档及相应计价软件版本。</w:t>
      </w:r>
      <w:r>
        <w:rPr>
          <w:rFonts w:hint="eastAsia" w:ascii="宋体" w:hAnsi="宋体" w:eastAsia="宋体" w:cs="宋体"/>
          <w:bCs/>
          <w:color w:val="000000"/>
          <w:sz w:val="24"/>
          <w:szCs w:val="24"/>
          <w:lang w:val="en-US" w:eastAsia="zh-CN"/>
        </w:rPr>
        <w:tab/>
      </w:r>
      <w:r>
        <w:rPr>
          <w:rFonts w:hint="eastAsia" w:ascii="宋体" w:hAnsi="宋体" w:eastAsia="宋体" w:cs="宋体"/>
          <w:bCs/>
          <w:color w:val="000000"/>
          <w:sz w:val="24"/>
          <w:szCs w:val="24"/>
          <w:lang w:val="en-US" w:eastAsia="zh-CN"/>
        </w:rPr>
        <w:tab/>
      </w:r>
      <w:r>
        <w:rPr>
          <w:rFonts w:hint="eastAsia" w:ascii="宋体" w:hAnsi="宋体" w:eastAsia="宋体" w:cs="宋体"/>
          <w:bCs/>
          <w:color w:val="000000"/>
          <w:sz w:val="24"/>
          <w:szCs w:val="24"/>
          <w:lang w:val="en-US" w:eastAsia="zh-CN"/>
        </w:rPr>
        <w:tab/>
      </w:r>
      <w:r>
        <w:rPr>
          <w:rFonts w:hint="eastAsia" w:ascii="宋体" w:hAnsi="宋体" w:eastAsia="宋体" w:cs="宋体"/>
          <w:bCs/>
          <w:color w:val="000000"/>
          <w:sz w:val="24"/>
          <w:szCs w:val="24"/>
          <w:lang w:val="en-US" w:eastAsia="zh-CN"/>
        </w:rPr>
        <w:tab/>
      </w:r>
    </w:p>
    <w:p w14:paraId="232FD70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2、工程量清单综合单价应包括所需人工费、材料费、施工机具使用费、企业管理费、利润以及一定范围内的风险费用等。</w:t>
      </w:r>
      <w:r>
        <w:rPr>
          <w:rFonts w:hint="eastAsia" w:ascii="宋体" w:hAnsi="宋体" w:eastAsia="宋体" w:cs="宋体"/>
          <w:bCs/>
          <w:color w:val="000000"/>
          <w:sz w:val="24"/>
          <w:szCs w:val="24"/>
          <w:lang w:val="en-US" w:eastAsia="zh-CN"/>
        </w:rPr>
        <w:tab/>
      </w:r>
      <w:r>
        <w:rPr>
          <w:rFonts w:hint="eastAsia" w:ascii="宋体" w:hAnsi="宋体" w:eastAsia="宋体" w:cs="宋体"/>
          <w:bCs/>
          <w:color w:val="000000"/>
          <w:sz w:val="24"/>
          <w:szCs w:val="24"/>
          <w:lang w:val="en-US" w:eastAsia="zh-CN"/>
        </w:rPr>
        <w:tab/>
      </w:r>
      <w:r>
        <w:rPr>
          <w:rFonts w:hint="eastAsia" w:ascii="宋体" w:hAnsi="宋体" w:eastAsia="宋体" w:cs="宋体"/>
          <w:bCs/>
          <w:color w:val="000000"/>
          <w:sz w:val="24"/>
          <w:szCs w:val="24"/>
          <w:lang w:val="en-US" w:eastAsia="zh-CN"/>
        </w:rPr>
        <w:tab/>
      </w:r>
      <w:r>
        <w:rPr>
          <w:rFonts w:hint="eastAsia" w:ascii="宋体" w:hAnsi="宋体" w:eastAsia="宋体" w:cs="宋体"/>
          <w:bCs/>
          <w:color w:val="000000"/>
          <w:sz w:val="24"/>
          <w:szCs w:val="24"/>
          <w:lang w:val="en-US" w:eastAsia="zh-CN"/>
        </w:rPr>
        <w:tab/>
      </w:r>
      <w:r>
        <w:rPr>
          <w:rFonts w:hint="eastAsia" w:ascii="宋体" w:hAnsi="宋体" w:eastAsia="宋体" w:cs="宋体"/>
          <w:bCs/>
          <w:color w:val="000000"/>
          <w:sz w:val="24"/>
          <w:szCs w:val="24"/>
          <w:lang w:val="en-US" w:eastAsia="zh-CN"/>
        </w:rPr>
        <w:tab/>
      </w:r>
      <w:r>
        <w:rPr>
          <w:rFonts w:hint="eastAsia" w:ascii="宋体" w:hAnsi="宋体" w:eastAsia="宋体" w:cs="宋体"/>
          <w:bCs/>
          <w:color w:val="000000"/>
          <w:sz w:val="24"/>
          <w:szCs w:val="24"/>
          <w:lang w:val="en-US" w:eastAsia="zh-CN"/>
        </w:rPr>
        <w:tab/>
      </w:r>
      <w:r>
        <w:rPr>
          <w:rFonts w:hint="eastAsia" w:ascii="宋体" w:hAnsi="宋体" w:eastAsia="宋体" w:cs="宋体"/>
          <w:bCs/>
          <w:color w:val="000000"/>
          <w:sz w:val="24"/>
          <w:szCs w:val="24"/>
          <w:lang w:val="en-US" w:eastAsia="zh-CN"/>
        </w:rPr>
        <w:tab/>
      </w:r>
    </w:p>
    <w:p w14:paraId="0A32F12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3、本工程税率按增值税计取，增值税税率为9%。</w:t>
      </w:r>
      <w:r>
        <w:rPr>
          <w:rFonts w:hint="eastAsia" w:ascii="宋体" w:hAnsi="宋体" w:eastAsia="宋体" w:cs="宋体"/>
          <w:bCs/>
          <w:color w:val="000000"/>
          <w:sz w:val="24"/>
          <w:szCs w:val="24"/>
          <w:lang w:val="en-US" w:eastAsia="zh-CN"/>
        </w:rPr>
        <w:tab/>
      </w:r>
      <w:r>
        <w:rPr>
          <w:rFonts w:hint="eastAsia" w:ascii="宋体" w:hAnsi="宋体" w:eastAsia="宋体" w:cs="宋体"/>
          <w:bCs/>
          <w:color w:val="000000"/>
          <w:sz w:val="24"/>
          <w:szCs w:val="24"/>
          <w:lang w:val="en-US" w:eastAsia="zh-CN"/>
        </w:rPr>
        <w:tab/>
      </w:r>
      <w:r>
        <w:rPr>
          <w:rFonts w:hint="eastAsia" w:ascii="宋体" w:hAnsi="宋体" w:eastAsia="宋体" w:cs="宋体"/>
          <w:bCs/>
          <w:color w:val="000000"/>
          <w:sz w:val="24"/>
          <w:szCs w:val="24"/>
          <w:lang w:val="en-US" w:eastAsia="zh-CN"/>
        </w:rPr>
        <w:tab/>
      </w:r>
      <w:r>
        <w:rPr>
          <w:rFonts w:hint="eastAsia" w:ascii="宋体" w:hAnsi="宋体" w:eastAsia="宋体" w:cs="宋体"/>
          <w:bCs/>
          <w:color w:val="000000"/>
          <w:sz w:val="24"/>
          <w:szCs w:val="24"/>
          <w:lang w:val="en-US" w:eastAsia="zh-CN"/>
        </w:rPr>
        <w:tab/>
      </w:r>
      <w:r>
        <w:rPr>
          <w:rFonts w:hint="eastAsia" w:ascii="宋体" w:hAnsi="宋体" w:eastAsia="宋体" w:cs="宋体"/>
          <w:bCs/>
          <w:color w:val="000000"/>
          <w:sz w:val="24"/>
          <w:szCs w:val="24"/>
          <w:lang w:val="en-US" w:eastAsia="zh-CN"/>
        </w:rPr>
        <w:tab/>
      </w:r>
      <w:r>
        <w:rPr>
          <w:rFonts w:hint="eastAsia" w:ascii="宋体" w:hAnsi="宋体" w:eastAsia="宋体" w:cs="宋体"/>
          <w:bCs/>
          <w:color w:val="000000"/>
          <w:sz w:val="24"/>
          <w:szCs w:val="24"/>
          <w:lang w:val="en-US" w:eastAsia="zh-CN"/>
        </w:rPr>
        <w:tab/>
      </w:r>
      <w:r>
        <w:rPr>
          <w:rFonts w:hint="eastAsia" w:ascii="宋体" w:hAnsi="宋体" w:eastAsia="宋体" w:cs="宋体"/>
          <w:bCs/>
          <w:color w:val="000000"/>
          <w:sz w:val="24"/>
          <w:szCs w:val="24"/>
          <w:lang w:val="en-US" w:eastAsia="zh-CN"/>
        </w:rPr>
        <w:tab/>
      </w:r>
    </w:p>
    <w:p w14:paraId="0E6802E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4、本次招标中安全文明施工费、税金为不可竞争性费用，须按招标人提供的工程量清单中给定的费率报价。</w:t>
      </w:r>
      <w:r>
        <w:rPr>
          <w:rFonts w:hint="eastAsia" w:ascii="宋体" w:hAnsi="宋体" w:eastAsia="宋体" w:cs="宋体"/>
          <w:bCs/>
          <w:color w:val="000000"/>
          <w:sz w:val="24"/>
          <w:szCs w:val="24"/>
          <w:lang w:val="en-US" w:eastAsia="zh-CN"/>
        </w:rPr>
        <w:tab/>
      </w:r>
      <w:r>
        <w:rPr>
          <w:rFonts w:hint="eastAsia" w:ascii="宋体" w:hAnsi="宋体" w:eastAsia="宋体" w:cs="宋体"/>
          <w:bCs/>
          <w:color w:val="000000"/>
          <w:sz w:val="24"/>
          <w:szCs w:val="24"/>
          <w:lang w:val="en-US" w:eastAsia="zh-CN"/>
        </w:rPr>
        <w:tab/>
      </w:r>
      <w:r>
        <w:rPr>
          <w:rFonts w:hint="eastAsia" w:ascii="宋体" w:hAnsi="宋体" w:eastAsia="宋体" w:cs="宋体"/>
          <w:bCs/>
          <w:color w:val="000000"/>
          <w:sz w:val="24"/>
          <w:szCs w:val="24"/>
          <w:lang w:val="en-US" w:eastAsia="zh-CN"/>
        </w:rPr>
        <w:tab/>
      </w:r>
      <w:r>
        <w:rPr>
          <w:rFonts w:hint="eastAsia" w:ascii="宋体" w:hAnsi="宋体" w:eastAsia="宋体" w:cs="宋体"/>
          <w:bCs/>
          <w:color w:val="000000"/>
          <w:sz w:val="24"/>
          <w:szCs w:val="24"/>
          <w:lang w:val="en-US" w:eastAsia="zh-CN"/>
        </w:rPr>
        <w:tab/>
      </w:r>
      <w:r>
        <w:rPr>
          <w:rFonts w:hint="eastAsia" w:ascii="宋体" w:hAnsi="宋体" w:eastAsia="宋体" w:cs="宋体"/>
          <w:bCs/>
          <w:color w:val="000000"/>
          <w:sz w:val="24"/>
          <w:szCs w:val="24"/>
          <w:lang w:val="en-US" w:eastAsia="zh-CN"/>
        </w:rPr>
        <w:tab/>
      </w:r>
      <w:r>
        <w:rPr>
          <w:rFonts w:hint="eastAsia" w:ascii="宋体" w:hAnsi="宋体" w:eastAsia="宋体" w:cs="宋体"/>
          <w:bCs/>
          <w:color w:val="000000"/>
          <w:sz w:val="24"/>
          <w:szCs w:val="24"/>
          <w:lang w:val="en-US" w:eastAsia="zh-CN"/>
        </w:rPr>
        <w:tab/>
      </w:r>
      <w:r>
        <w:rPr>
          <w:rFonts w:hint="eastAsia" w:ascii="宋体" w:hAnsi="宋体" w:eastAsia="宋体" w:cs="宋体"/>
          <w:bCs/>
          <w:color w:val="000000"/>
          <w:sz w:val="24"/>
          <w:szCs w:val="24"/>
          <w:lang w:val="en-US" w:eastAsia="zh-CN"/>
        </w:rPr>
        <w:tab/>
      </w:r>
    </w:p>
    <w:p w14:paraId="37CE08E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5、投标人应按本项目实施内容结合施工现场实际情况，在措施项目中填报施工本工程所需措施及发生的相关措施费，未填报的措施费视为已分摊在各项目的报价中。</w:t>
      </w:r>
      <w:r>
        <w:rPr>
          <w:rFonts w:hint="eastAsia" w:ascii="宋体" w:hAnsi="宋体" w:eastAsia="宋体" w:cs="宋体"/>
          <w:bCs/>
          <w:color w:val="000000"/>
          <w:sz w:val="24"/>
          <w:szCs w:val="24"/>
          <w:lang w:val="en-US" w:eastAsia="zh-CN"/>
        </w:rPr>
        <w:tab/>
      </w:r>
      <w:r>
        <w:rPr>
          <w:rFonts w:hint="eastAsia" w:ascii="宋体" w:hAnsi="宋体" w:eastAsia="宋体" w:cs="宋体"/>
          <w:bCs/>
          <w:color w:val="000000"/>
          <w:sz w:val="24"/>
          <w:szCs w:val="24"/>
          <w:lang w:val="en-US" w:eastAsia="zh-CN"/>
        </w:rPr>
        <w:tab/>
      </w:r>
      <w:r>
        <w:rPr>
          <w:rFonts w:hint="eastAsia" w:ascii="宋体" w:hAnsi="宋体" w:eastAsia="宋体" w:cs="宋体"/>
          <w:bCs/>
          <w:color w:val="000000"/>
          <w:sz w:val="24"/>
          <w:szCs w:val="24"/>
          <w:lang w:val="en-US" w:eastAsia="zh-CN"/>
        </w:rPr>
        <w:t>6、所有需二次深化设计的单位工程或分部分项工程，需投标单位在投标报价时综合考虑二次设计费。</w:t>
      </w:r>
      <w:r>
        <w:rPr>
          <w:rFonts w:hint="eastAsia" w:ascii="宋体" w:hAnsi="宋体" w:eastAsia="宋体" w:cs="宋体"/>
          <w:bCs/>
          <w:color w:val="000000"/>
          <w:sz w:val="24"/>
          <w:szCs w:val="24"/>
          <w:lang w:val="en-US" w:eastAsia="zh-CN"/>
        </w:rPr>
        <w:tab/>
      </w:r>
      <w:r>
        <w:rPr>
          <w:rFonts w:hint="eastAsia" w:ascii="宋体" w:hAnsi="宋体" w:eastAsia="宋体" w:cs="宋体"/>
          <w:bCs/>
          <w:color w:val="000000"/>
          <w:sz w:val="24"/>
          <w:szCs w:val="24"/>
          <w:lang w:val="en-US" w:eastAsia="zh-CN"/>
        </w:rPr>
        <w:tab/>
      </w:r>
      <w:r>
        <w:rPr>
          <w:rFonts w:hint="eastAsia" w:ascii="宋体" w:hAnsi="宋体" w:eastAsia="宋体" w:cs="宋体"/>
          <w:bCs/>
          <w:color w:val="000000"/>
          <w:sz w:val="24"/>
          <w:szCs w:val="24"/>
          <w:lang w:val="en-US" w:eastAsia="zh-CN"/>
        </w:rPr>
        <w:tab/>
      </w:r>
      <w:r>
        <w:rPr>
          <w:rFonts w:hint="eastAsia" w:ascii="宋体" w:hAnsi="宋体" w:eastAsia="宋体" w:cs="宋体"/>
          <w:bCs/>
          <w:color w:val="000000"/>
          <w:sz w:val="24"/>
          <w:szCs w:val="24"/>
          <w:lang w:val="en-US" w:eastAsia="zh-CN"/>
        </w:rPr>
        <w:tab/>
      </w:r>
      <w:r>
        <w:rPr>
          <w:rFonts w:hint="eastAsia" w:ascii="宋体" w:hAnsi="宋体" w:eastAsia="宋体" w:cs="宋体"/>
          <w:bCs/>
          <w:color w:val="000000"/>
          <w:sz w:val="24"/>
          <w:szCs w:val="24"/>
          <w:lang w:val="en-US" w:eastAsia="zh-CN"/>
        </w:rPr>
        <w:tab/>
      </w:r>
      <w:r>
        <w:rPr>
          <w:rFonts w:hint="eastAsia" w:ascii="宋体" w:hAnsi="宋体" w:eastAsia="宋体" w:cs="宋体"/>
          <w:bCs/>
          <w:color w:val="000000"/>
          <w:sz w:val="24"/>
          <w:szCs w:val="24"/>
          <w:lang w:val="en-US" w:eastAsia="zh-CN"/>
        </w:rPr>
        <w:tab/>
      </w:r>
      <w:r>
        <w:rPr>
          <w:rFonts w:hint="eastAsia" w:ascii="宋体" w:hAnsi="宋体" w:eastAsia="宋体" w:cs="宋体"/>
          <w:bCs/>
          <w:color w:val="000000"/>
          <w:sz w:val="24"/>
          <w:szCs w:val="24"/>
          <w:lang w:val="en-US" w:eastAsia="zh-CN"/>
        </w:rPr>
        <w:tab/>
      </w:r>
    </w:p>
    <w:p w14:paraId="016B918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7、本项目混凝土采用商品混凝土时，投标报价时综合单价中包括但不限于混凝土的购置、运输、泵送、浇捣、养护等费用。混凝土浇筑方式由投标单位根据现场实际及设计和规范要求综合确定，并在报价中综合考虑。</w:t>
      </w:r>
      <w:r>
        <w:rPr>
          <w:rFonts w:hint="eastAsia" w:ascii="宋体" w:hAnsi="宋体" w:eastAsia="宋体" w:cs="宋体"/>
          <w:bCs/>
          <w:color w:val="000000"/>
          <w:sz w:val="24"/>
          <w:szCs w:val="24"/>
          <w:lang w:val="en-US" w:eastAsia="zh-CN"/>
        </w:rPr>
        <w:tab/>
      </w:r>
      <w:r>
        <w:rPr>
          <w:rFonts w:hint="eastAsia" w:ascii="宋体" w:hAnsi="宋体" w:eastAsia="宋体" w:cs="宋体"/>
          <w:bCs/>
          <w:color w:val="000000"/>
          <w:sz w:val="24"/>
          <w:szCs w:val="24"/>
          <w:lang w:val="en-US" w:eastAsia="zh-CN"/>
        </w:rPr>
        <w:tab/>
      </w:r>
      <w:r>
        <w:rPr>
          <w:rFonts w:hint="eastAsia" w:ascii="宋体" w:hAnsi="宋体" w:eastAsia="宋体" w:cs="宋体"/>
          <w:bCs/>
          <w:color w:val="000000"/>
          <w:sz w:val="24"/>
          <w:szCs w:val="24"/>
          <w:lang w:val="en-US" w:eastAsia="zh-CN"/>
        </w:rPr>
        <w:tab/>
      </w:r>
    </w:p>
    <w:p w14:paraId="2BE3D66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sz w:val="24"/>
          <w:szCs w:val="24"/>
          <w:lang w:val="en-US" w:eastAsia="zh-CN"/>
        </w:rPr>
        <w:t>8、工程量清单计价软件使用</w:t>
      </w:r>
      <w:r>
        <w:rPr>
          <w:rFonts w:hint="eastAsia" w:ascii="宋体" w:hAnsi="宋体" w:eastAsia="宋体" w:cs="宋体"/>
          <w:bCs/>
          <w:color w:val="000000"/>
          <w:sz w:val="24"/>
          <w:szCs w:val="24"/>
          <w:lang w:val="en-US" w:eastAsia="zh-CN"/>
        </w:rPr>
        <w:t>广联达云计价平台GCCP7.5000.23.1编制。</w:t>
      </w:r>
    </w:p>
    <w:p w14:paraId="49833B43">
      <w:pPr>
        <w:pStyle w:val="2"/>
        <w:keepNext w:val="0"/>
        <w:keepLines w:val="0"/>
        <w:pageBreakBefore w:val="0"/>
        <w:widowControl/>
        <w:kinsoku w:val="0"/>
        <w:wordWrap/>
        <w:overflowPunct/>
        <w:topLinePunct w:val="0"/>
        <w:autoSpaceDE w:val="0"/>
        <w:autoSpaceDN w:val="0"/>
        <w:bidi w:val="0"/>
        <w:adjustRightInd w:val="0"/>
        <w:snapToGrid w:val="0"/>
        <w:spacing w:line="460" w:lineRule="exact"/>
        <w:ind w:left="0" w:right="0"/>
        <w:textAlignment w:val="baseline"/>
        <w:outlineLvl w:val="2"/>
        <w:rPr>
          <w:sz w:val="24"/>
          <w:szCs w:val="24"/>
        </w:rPr>
      </w:pPr>
      <w:r>
        <w:rPr>
          <w:b/>
          <w:bCs/>
          <w:spacing w:val="-4"/>
          <w:sz w:val="24"/>
          <w:szCs w:val="24"/>
        </w:rPr>
        <w:t>（</w:t>
      </w:r>
      <w:r>
        <w:rPr>
          <w:rFonts w:hint="eastAsia"/>
          <w:b/>
          <w:bCs/>
          <w:spacing w:val="-4"/>
          <w:sz w:val="24"/>
          <w:szCs w:val="24"/>
          <w:lang w:val="en-US" w:eastAsia="zh-CN"/>
        </w:rPr>
        <w:t>三</w:t>
      </w:r>
      <w:r>
        <w:rPr>
          <w:b/>
          <w:bCs/>
          <w:spacing w:val="-4"/>
          <w:sz w:val="24"/>
          <w:szCs w:val="24"/>
        </w:rPr>
        <w:t>）工程量清单及编制说明</w:t>
      </w:r>
    </w:p>
    <w:p w14:paraId="7A0AA864">
      <w:pPr>
        <w:pStyle w:val="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48" w:firstLineChars="200"/>
        <w:textAlignment w:val="baseline"/>
        <w:rPr>
          <w:sz w:val="24"/>
          <w:szCs w:val="24"/>
        </w:rPr>
      </w:pPr>
      <w:r>
        <w:rPr>
          <w:spacing w:val="-8"/>
          <w:sz w:val="24"/>
          <w:szCs w:val="24"/>
        </w:rPr>
        <w:t>另附</w:t>
      </w:r>
    </w:p>
    <w:p w14:paraId="07EF5BD0">
      <w:pPr>
        <w:pStyle w:val="2"/>
        <w:keepNext w:val="0"/>
        <w:keepLines w:val="0"/>
        <w:pageBreakBefore w:val="0"/>
        <w:widowControl/>
        <w:kinsoku w:val="0"/>
        <w:wordWrap/>
        <w:overflowPunct/>
        <w:topLinePunct w:val="0"/>
        <w:autoSpaceDE w:val="0"/>
        <w:autoSpaceDN w:val="0"/>
        <w:bidi w:val="0"/>
        <w:adjustRightInd w:val="0"/>
        <w:snapToGrid w:val="0"/>
        <w:spacing w:line="460" w:lineRule="exact"/>
        <w:ind w:left="0" w:right="0"/>
        <w:textAlignment w:val="baseline"/>
        <w:outlineLvl w:val="1"/>
        <w:rPr>
          <w:sz w:val="24"/>
          <w:szCs w:val="24"/>
        </w:rPr>
      </w:pPr>
      <w:r>
        <w:rPr>
          <w:b/>
          <w:bCs/>
          <w:spacing w:val="-8"/>
          <w:sz w:val="24"/>
          <w:szCs w:val="24"/>
        </w:rPr>
        <w:t>四、施工要求</w:t>
      </w:r>
    </w:p>
    <w:p w14:paraId="17AD116F">
      <w:pPr>
        <w:pStyle w:val="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57"/>
        <w:textAlignment w:val="baseline"/>
        <w:rPr>
          <w:sz w:val="24"/>
          <w:szCs w:val="24"/>
        </w:rPr>
      </w:pPr>
      <w:r>
        <w:rPr>
          <w:spacing w:val="3"/>
          <w:sz w:val="24"/>
          <w:szCs w:val="24"/>
        </w:rPr>
        <w:t>在施工期间，中标供应商必须注意人员安全，加强安全措施，并对施</w:t>
      </w:r>
      <w:r>
        <w:rPr>
          <w:spacing w:val="-1"/>
          <w:sz w:val="24"/>
          <w:szCs w:val="24"/>
        </w:rPr>
        <w:t>工人员进行安全教育。施工人员必须持证上岗。</w:t>
      </w:r>
    </w:p>
    <w:p w14:paraId="585316D9">
      <w:pPr>
        <w:pStyle w:val="2"/>
        <w:keepNext w:val="0"/>
        <w:keepLines w:val="0"/>
        <w:pageBreakBefore w:val="0"/>
        <w:widowControl/>
        <w:kinsoku w:val="0"/>
        <w:wordWrap/>
        <w:overflowPunct/>
        <w:topLinePunct w:val="0"/>
        <w:autoSpaceDE w:val="0"/>
        <w:autoSpaceDN w:val="0"/>
        <w:bidi w:val="0"/>
        <w:adjustRightInd w:val="0"/>
        <w:snapToGrid w:val="0"/>
        <w:spacing w:line="460" w:lineRule="exact"/>
        <w:ind w:left="0" w:right="0"/>
        <w:textAlignment w:val="baseline"/>
        <w:outlineLvl w:val="1"/>
        <w:rPr>
          <w:rFonts w:hint="eastAsia" w:eastAsia="宋体"/>
          <w:sz w:val="24"/>
          <w:szCs w:val="24"/>
          <w:lang w:eastAsia="zh-CN"/>
        </w:rPr>
      </w:pPr>
      <w:r>
        <w:rPr>
          <w:b/>
          <w:bCs/>
          <w:spacing w:val="-5"/>
          <w:sz w:val="24"/>
          <w:szCs w:val="24"/>
        </w:rPr>
        <w:t>五、商务要</w:t>
      </w:r>
      <w:r>
        <w:rPr>
          <w:rFonts w:hint="eastAsia"/>
          <w:b/>
          <w:bCs/>
          <w:spacing w:val="-5"/>
          <w:sz w:val="24"/>
          <w:szCs w:val="24"/>
          <w:lang w:eastAsia="zh-CN"/>
        </w:rPr>
        <w:t>求</w:t>
      </w:r>
    </w:p>
    <w:p w14:paraId="121A2E9B">
      <w:pPr>
        <w:pStyle w:val="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72" w:firstLineChars="200"/>
        <w:textAlignment w:val="baseline"/>
        <w:rPr>
          <w:sz w:val="24"/>
          <w:szCs w:val="24"/>
        </w:rPr>
      </w:pPr>
      <w:r>
        <w:rPr>
          <w:spacing w:val="-2"/>
          <w:sz w:val="24"/>
          <w:szCs w:val="24"/>
        </w:rPr>
        <w:t>1、</w:t>
      </w:r>
      <w:r>
        <w:rPr>
          <w:rFonts w:hint="eastAsia"/>
          <w:spacing w:val="-2"/>
          <w:sz w:val="24"/>
          <w:szCs w:val="24"/>
        </w:rPr>
        <w:t>合同签订后</w:t>
      </w:r>
      <w:r>
        <w:rPr>
          <w:rFonts w:hint="eastAsia"/>
          <w:spacing w:val="-2"/>
          <w:sz w:val="24"/>
          <w:szCs w:val="24"/>
          <w:lang w:eastAsia="zh-CN"/>
        </w:rPr>
        <w:t>，</w:t>
      </w:r>
      <w:r>
        <w:rPr>
          <w:rFonts w:hint="eastAsia"/>
          <w:spacing w:val="-2"/>
          <w:sz w:val="24"/>
          <w:szCs w:val="24"/>
        </w:rPr>
        <w:t>达到付款条件起10日内，支付合同总金额的30%</w:t>
      </w:r>
      <w:r>
        <w:rPr>
          <w:spacing w:val="-2"/>
          <w:sz w:val="24"/>
          <w:szCs w:val="24"/>
        </w:rPr>
        <w:t>。</w:t>
      </w:r>
    </w:p>
    <w:p w14:paraId="22F8B6C1">
      <w:pPr>
        <w:pStyle w:val="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4" w:firstLineChars="200"/>
        <w:textAlignment w:val="baseline"/>
        <w:rPr>
          <w:rFonts w:hint="eastAsia"/>
          <w:spacing w:val="-1"/>
          <w:sz w:val="24"/>
          <w:szCs w:val="24"/>
          <w:lang w:eastAsia="zh-CN"/>
        </w:rPr>
      </w:pPr>
      <w:r>
        <w:rPr>
          <w:spacing w:val="1"/>
          <w:sz w:val="24"/>
          <w:szCs w:val="24"/>
        </w:rPr>
        <w:t>2、</w:t>
      </w:r>
      <w:r>
        <w:rPr>
          <w:rFonts w:hint="eastAsia"/>
          <w:spacing w:val="1"/>
          <w:sz w:val="24"/>
          <w:szCs w:val="24"/>
        </w:rPr>
        <w:t>工程竣工、验收合格后</w:t>
      </w:r>
      <w:r>
        <w:rPr>
          <w:rFonts w:hint="eastAsia"/>
          <w:spacing w:val="1"/>
          <w:sz w:val="24"/>
          <w:szCs w:val="24"/>
          <w:lang w:eastAsia="zh-CN"/>
        </w:rPr>
        <w:t>，</w:t>
      </w:r>
      <w:r>
        <w:rPr>
          <w:rFonts w:hint="eastAsia"/>
          <w:spacing w:val="1"/>
          <w:sz w:val="24"/>
          <w:szCs w:val="24"/>
        </w:rPr>
        <w:t>达到付款条件起10日内</w:t>
      </w:r>
      <w:r>
        <w:rPr>
          <w:rFonts w:hint="eastAsia"/>
          <w:spacing w:val="1"/>
          <w:sz w:val="24"/>
          <w:szCs w:val="24"/>
          <w:lang w:eastAsia="zh-CN"/>
        </w:rPr>
        <w:t>，</w:t>
      </w:r>
      <w:r>
        <w:rPr>
          <w:rFonts w:hint="eastAsia"/>
          <w:spacing w:val="1"/>
          <w:sz w:val="24"/>
          <w:szCs w:val="24"/>
        </w:rPr>
        <w:t>支付合同总金额的50%</w:t>
      </w:r>
      <w:r>
        <w:rPr>
          <w:rFonts w:hint="eastAsia"/>
          <w:spacing w:val="-1"/>
          <w:sz w:val="24"/>
          <w:szCs w:val="24"/>
          <w:lang w:eastAsia="zh-CN"/>
        </w:rPr>
        <w:t>。</w:t>
      </w:r>
    </w:p>
    <w:p w14:paraId="3C7252F4">
      <w:pPr>
        <w:pStyle w:val="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76" w:firstLineChars="200"/>
        <w:textAlignment w:val="baseline"/>
        <w:rPr>
          <w:rFonts w:hint="eastAsia" w:eastAsia="宋体"/>
          <w:sz w:val="24"/>
          <w:szCs w:val="24"/>
          <w:lang w:val="en-US" w:eastAsia="zh-CN"/>
        </w:rPr>
      </w:pPr>
      <w:r>
        <w:rPr>
          <w:rFonts w:hint="eastAsia"/>
          <w:spacing w:val="-1"/>
          <w:sz w:val="24"/>
          <w:szCs w:val="24"/>
          <w:lang w:val="en-US" w:eastAsia="zh-CN"/>
        </w:rPr>
        <w:t>3、审计结束后，达到付款条件起10日内，支付合同总金额的20%。</w:t>
      </w:r>
    </w:p>
    <w:p w14:paraId="49467FFD">
      <w:pPr>
        <w:pStyle w:val="2"/>
        <w:keepNext w:val="0"/>
        <w:keepLines w:val="0"/>
        <w:pageBreakBefore w:val="0"/>
        <w:widowControl/>
        <w:kinsoku w:val="0"/>
        <w:wordWrap/>
        <w:overflowPunct/>
        <w:topLinePunct w:val="0"/>
        <w:autoSpaceDE w:val="0"/>
        <w:autoSpaceDN w:val="0"/>
        <w:bidi w:val="0"/>
        <w:adjustRightInd w:val="0"/>
        <w:snapToGrid w:val="0"/>
        <w:spacing w:line="460" w:lineRule="exact"/>
        <w:ind w:left="0" w:right="0"/>
        <w:textAlignment w:val="baseline"/>
        <w:outlineLvl w:val="1"/>
        <w:rPr>
          <w:sz w:val="24"/>
          <w:szCs w:val="24"/>
        </w:rPr>
      </w:pPr>
      <w:r>
        <w:rPr>
          <w:b/>
          <w:bCs/>
          <w:spacing w:val="-5"/>
          <w:sz w:val="24"/>
          <w:szCs w:val="24"/>
        </w:rPr>
        <w:t>六、其他：</w:t>
      </w:r>
    </w:p>
    <w:p w14:paraId="256A661C">
      <w:pPr>
        <w:pStyle w:val="2"/>
        <w:keepNext w:val="0"/>
        <w:keepLines w:val="0"/>
        <w:pageBreakBefore w:val="0"/>
        <w:widowControl/>
        <w:kinsoku w:val="0"/>
        <w:wordWrap/>
        <w:overflowPunct/>
        <w:topLinePunct w:val="0"/>
        <w:autoSpaceDE w:val="0"/>
        <w:autoSpaceDN w:val="0"/>
        <w:bidi w:val="0"/>
        <w:adjustRightInd w:val="0"/>
        <w:snapToGrid w:val="0"/>
        <w:spacing w:line="460" w:lineRule="exact"/>
        <w:ind w:left="0" w:right="0"/>
        <w:textAlignment w:val="baseline"/>
        <w:outlineLvl w:val="2"/>
        <w:rPr>
          <w:sz w:val="24"/>
          <w:szCs w:val="24"/>
        </w:rPr>
      </w:pPr>
      <w:r>
        <w:rPr>
          <w:b/>
          <w:bCs/>
          <w:spacing w:val="-4"/>
          <w:sz w:val="24"/>
          <w:szCs w:val="24"/>
        </w:rPr>
        <w:t>（一）对供应商业绩的要求</w:t>
      </w:r>
    </w:p>
    <w:p w14:paraId="126DAC9E">
      <w:pPr>
        <w:pStyle w:val="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72" w:firstLineChars="200"/>
        <w:textAlignment w:val="baseline"/>
        <w:rPr>
          <w:sz w:val="24"/>
          <w:szCs w:val="24"/>
        </w:rPr>
      </w:pPr>
      <w:r>
        <w:rPr>
          <w:spacing w:val="-2"/>
          <w:sz w:val="24"/>
          <w:szCs w:val="24"/>
        </w:rPr>
        <w:t>2022年</w:t>
      </w:r>
      <w:r>
        <w:rPr>
          <w:rFonts w:hint="eastAsia"/>
          <w:spacing w:val="-2"/>
          <w:sz w:val="24"/>
          <w:szCs w:val="24"/>
          <w:lang w:val="en-US" w:eastAsia="zh-CN"/>
        </w:rPr>
        <w:t>7</w:t>
      </w:r>
      <w:r>
        <w:rPr>
          <w:spacing w:val="-2"/>
          <w:sz w:val="24"/>
          <w:szCs w:val="24"/>
        </w:rPr>
        <w:t>月1日以来承接过类似项目的合同证明（以合同的签订日期为准</w:t>
      </w:r>
      <w:r>
        <w:rPr>
          <w:rFonts w:hint="eastAsia"/>
          <w:spacing w:val="-2"/>
          <w:sz w:val="24"/>
          <w:szCs w:val="24"/>
          <w:lang w:eastAsia="zh-CN"/>
        </w:rPr>
        <w:t>，</w:t>
      </w:r>
      <w:r>
        <w:rPr>
          <w:spacing w:val="-2"/>
          <w:sz w:val="24"/>
          <w:szCs w:val="24"/>
        </w:rPr>
        <w:t>每提供一个得2分，满分10分</w:t>
      </w:r>
      <w:r>
        <w:rPr>
          <w:rFonts w:hint="eastAsia"/>
          <w:spacing w:val="-2"/>
          <w:sz w:val="24"/>
          <w:szCs w:val="24"/>
          <w:lang w:eastAsia="zh-CN"/>
        </w:rPr>
        <w:t>。</w:t>
      </w:r>
      <w:r>
        <w:rPr>
          <w:spacing w:val="-2"/>
          <w:sz w:val="24"/>
          <w:szCs w:val="24"/>
        </w:rPr>
        <w:t>（提供加盖公章的合同关键页复印件）</w:t>
      </w:r>
    </w:p>
    <w:p w14:paraId="1D9F11D7">
      <w:pPr>
        <w:pStyle w:val="2"/>
        <w:keepNext w:val="0"/>
        <w:keepLines w:val="0"/>
        <w:pageBreakBefore w:val="0"/>
        <w:widowControl/>
        <w:kinsoku w:val="0"/>
        <w:wordWrap/>
        <w:overflowPunct/>
        <w:topLinePunct w:val="0"/>
        <w:autoSpaceDE w:val="0"/>
        <w:autoSpaceDN w:val="0"/>
        <w:bidi w:val="0"/>
        <w:adjustRightInd w:val="0"/>
        <w:snapToGrid w:val="0"/>
        <w:spacing w:line="460" w:lineRule="exact"/>
        <w:ind w:left="0" w:right="0"/>
        <w:textAlignment w:val="baseline"/>
        <w:outlineLvl w:val="2"/>
        <w:rPr>
          <w:rFonts w:hint="eastAsia" w:eastAsia="宋体"/>
          <w:sz w:val="24"/>
          <w:szCs w:val="24"/>
          <w:lang w:eastAsia="zh-CN"/>
        </w:rPr>
      </w:pPr>
      <w:r>
        <w:rPr>
          <w:b/>
          <w:bCs/>
          <w:spacing w:val="-4"/>
          <w:sz w:val="24"/>
          <w:szCs w:val="24"/>
        </w:rPr>
        <w:t>（二）质量</w:t>
      </w:r>
      <w:r>
        <w:rPr>
          <w:rFonts w:hint="eastAsia"/>
          <w:b/>
          <w:bCs/>
          <w:spacing w:val="-4"/>
          <w:sz w:val="24"/>
          <w:szCs w:val="24"/>
          <w:lang w:eastAsia="zh-CN"/>
        </w:rPr>
        <w:t>要求</w:t>
      </w:r>
    </w:p>
    <w:p w14:paraId="4E44907D">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460" w:lineRule="exact"/>
        <w:ind w:right="0" w:firstLine="472" w:firstLineChars="200"/>
        <w:jc w:val="both"/>
        <w:textAlignment w:val="baseline"/>
        <w:outlineLvl w:val="2"/>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符合国家现行有关施工质量验收规范要求“合格”标准。</w:t>
      </w:r>
    </w:p>
    <w:p w14:paraId="0144212D">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460" w:lineRule="exact"/>
        <w:ind w:right="0"/>
        <w:jc w:val="both"/>
        <w:textAlignment w:val="baseline"/>
        <w:outlineLvl w:val="2"/>
        <w:rPr>
          <w:rFonts w:hint="eastAsia" w:ascii="宋体" w:hAnsi="宋体" w:eastAsia="宋体" w:cs="宋体"/>
          <w:b/>
          <w:bCs/>
          <w:snapToGrid w:val="0"/>
          <w:color w:val="000000"/>
          <w:spacing w:val="-4"/>
          <w:kern w:val="0"/>
          <w:sz w:val="24"/>
          <w:szCs w:val="24"/>
          <w:lang w:val="en-US" w:eastAsia="zh-CN" w:bidi="ar-SA"/>
        </w:rPr>
      </w:pPr>
      <w:r>
        <w:rPr>
          <w:rFonts w:hint="eastAsia" w:ascii="宋体" w:hAnsi="宋体" w:eastAsia="宋体" w:cs="宋体"/>
          <w:b/>
          <w:bCs/>
          <w:snapToGrid w:val="0"/>
          <w:color w:val="000000"/>
          <w:spacing w:val="-4"/>
          <w:kern w:val="0"/>
          <w:sz w:val="24"/>
          <w:szCs w:val="24"/>
          <w:lang w:val="en-US" w:eastAsia="zh-CN" w:bidi="ar-SA"/>
        </w:rPr>
        <w:t>（三）违约责任</w:t>
      </w:r>
    </w:p>
    <w:p w14:paraId="4579447D">
      <w:pPr>
        <w:pStyle w:val="5"/>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460" w:lineRule="exact"/>
        <w:ind w:left="0" w:right="0" w:firstLine="480" w:firstLineChars="200"/>
        <w:jc w:val="both"/>
        <w:textAlignment w:val="baseline"/>
        <w:outlineLvl w:val="2"/>
        <w:rPr>
          <w:rFonts w:hint="eastAsia" w:ascii="宋体" w:hAnsi="宋体" w:eastAsia="宋体" w:cs="宋体"/>
          <w:b w:val="0"/>
          <w:bCs w:val="0"/>
          <w:kern w:val="2"/>
          <w:sz w:val="24"/>
          <w:szCs w:val="24"/>
          <w:highlight w:val="none"/>
          <w:lang w:val="en-US" w:eastAsia="zh-CN" w:bidi="ar"/>
        </w:rPr>
      </w:pPr>
      <w:r>
        <w:rPr>
          <w:rFonts w:hint="eastAsia" w:ascii="宋体" w:hAnsi="宋体" w:eastAsia="宋体" w:cs="宋体"/>
          <w:b w:val="0"/>
          <w:bCs w:val="0"/>
          <w:kern w:val="2"/>
          <w:sz w:val="24"/>
          <w:szCs w:val="24"/>
          <w:highlight w:val="none"/>
          <w:lang w:val="en-US" w:eastAsia="zh-CN" w:bidi="ar"/>
        </w:rPr>
        <w:t>未按合同要求提供服务，发包方会同监督机构有权终止合同，对承包方违约行为进行追究，同时按政府采购法的有关规定进行相应的处罚。</w:t>
      </w:r>
    </w:p>
    <w:p w14:paraId="6A497112">
      <w:pPr>
        <w:pStyle w:val="2"/>
        <w:keepNext w:val="0"/>
        <w:keepLines w:val="0"/>
        <w:pageBreakBefore w:val="0"/>
        <w:widowControl/>
        <w:kinsoku w:val="0"/>
        <w:wordWrap/>
        <w:overflowPunct/>
        <w:topLinePunct w:val="0"/>
        <w:autoSpaceDE w:val="0"/>
        <w:autoSpaceDN w:val="0"/>
        <w:bidi w:val="0"/>
        <w:adjustRightInd w:val="0"/>
        <w:snapToGrid w:val="0"/>
        <w:spacing w:line="460" w:lineRule="exact"/>
        <w:ind w:left="0" w:right="0"/>
        <w:textAlignment w:val="baseline"/>
        <w:outlineLvl w:val="2"/>
        <w:rPr>
          <w:sz w:val="24"/>
          <w:szCs w:val="24"/>
        </w:rPr>
      </w:pPr>
      <w:r>
        <w:rPr>
          <w:b/>
          <w:bCs/>
          <w:spacing w:val="-4"/>
          <w:sz w:val="24"/>
          <w:szCs w:val="24"/>
        </w:rPr>
        <w:t>（</w:t>
      </w:r>
      <w:r>
        <w:rPr>
          <w:rFonts w:hint="eastAsia"/>
          <w:b/>
          <w:bCs/>
          <w:spacing w:val="-4"/>
          <w:sz w:val="24"/>
          <w:szCs w:val="24"/>
          <w:lang w:eastAsia="zh-CN"/>
        </w:rPr>
        <w:t>四</w:t>
      </w:r>
      <w:r>
        <w:rPr>
          <w:b/>
          <w:bCs/>
          <w:spacing w:val="-4"/>
          <w:sz w:val="24"/>
          <w:szCs w:val="24"/>
        </w:rPr>
        <w:t>）与本工程相关的特别说明</w:t>
      </w:r>
    </w:p>
    <w:p w14:paraId="6204C012">
      <w:pPr>
        <w:pStyle w:val="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678" w:firstLineChars="300"/>
        <w:textAlignment w:val="baseline"/>
        <w:rPr>
          <w:sz w:val="24"/>
          <w:szCs w:val="24"/>
        </w:rPr>
      </w:pPr>
      <w:r>
        <w:rPr>
          <w:spacing w:val="-7"/>
          <w:sz w:val="24"/>
          <w:szCs w:val="24"/>
        </w:rPr>
        <w:t>无。</w:t>
      </w:r>
    </w:p>
    <w:sectPr>
      <w:pgSz w:w="11906" w:h="16839"/>
      <w:pgMar w:top="1402" w:right="1178" w:bottom="1417" w:left="142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0C3DA7"/>
    <w:rsid w:val="001B1113"/>
    <w:rsid w:val="007C717F"/>
    <w:rsid w:val="01323CE1"/>
    <w:rsid w:val="01521C8D"/>
    <w:rsid w:val="01B42948"/>
    <w:rsid w:val="02355837"/>
    <w:rsid w:val="023A109F"/>
    <w:rsid w:val="02502671"/>
    <w:rsid w:val="02F32963"/>
    <w:rsid w:val="04477AA3"/>
    <w:rsid w:val="057743B8"/>
    <w:rsid w:val="05AB7BBE"/>
    <w:rsid w:val="05B922DB"/>
    <w:rsid w:val="065A1D10"/>
    <w:rsid w:val="06A25465"/>
    <w:rsid w:val="07632E46"/>
    <w:rsid w:val="07F27D26"/>
    <w:rsid w:val="084A7B62"/>
    <w:rsid w:val="08D5567E"/>
    <w:rsid w:val="09363C55"/>
    <w:rsid w:val="0A193C90"/>
    <w:rsid w:val="0B1C3A03"/>
    <w:rsid w:val="0C6D0417"/>
    <w:rsid w:val="0D4C7ED9"/>
    <w:rsid w:val="0DC46A2A"/>
    <w:rsid w:val="0EA855E3"/>
    <w:rsid w:val="108005C5"/>
    <w:rsid w:val="10BE10ED"/>
    <w:rsid w:val="10DD77C5"/>
    <w:rsid w:val="10E5667A"/>
    <w:rsid w:val="1122167C"/>
    <w:rsid w:val="11ED1C8A"/>
    <w:rsid w:val="12A005CC"/>
    <w:rsid w:val="1319766D"/>
    <w:rsid w:val="149867CB"/>
    <w:rsid w:val="14D64C58"/>
    <w:rsid w:val="15127C5A"/>
    <w:rsid w:val="16C66BE6"/>
    <w:rsid w:val="17214184"/>
    <w:rsid w:val="17A54DB5"/>
    <w:rsid w:val="188B3098"/>
    <w:rsid w:val="1AC90DBB"/>
    <w:rsid w:val="1AF04599"/>
    <w:rsid w:val="1C8C02F2"/>
    <w:rsid w:val="1D6D0123"/>
    <w:rsid w:val="1E62755C"/>
    <w:rsid w:val="1ECA499A"/>
    <w:rsid w:val="1FAA11BB"/>
    <w:rsid w:val="226A2E83"/>
    <w:rsid w:val="22963C78"/>
    <w:rsid w:val="229A1C08"/>
    <w:rsid w:val="25551BC9"/>
    <w:rsid w:val="25A20F9F"/>
    <w:rsid w:val="26296BB1"/>
    <w:rsid w:val="264B4D7A"/>
    <w:rsid w:val="26802C75"/>
    <w:rsid w:val="27441EF5"/>
    <w:rsid w:val="28956780"/>
    <w:rsid w:val="29703508"/>
    <w:rsid w:val="29B939D4"/>
    <w:rsid w:val="29EE439A"/>
    <w:rsid w:val="2AA32E21"/>
    <w:rsid w:val="2BBE7D9C"/>
    <w:rsid w:val="2C153E60"/>
    <w:rsid w:val="2C3A38C6"/>
    <w:rsid w:val="2CB03B88"/>
    <w:rsid w:val="2D2F0F51"/>
    <w:rsid w:val="2D636E4D"/>
    <w:rsid w:val="2DB15E0A"/>
    <w:rsid w:val="2E24038A"/>
    <w:rsid w:val="2F1228D8"/>
    <w:rsid w:val="2F967065"/>
    <w:rsid w:val="2FB67708"/>
    <w:rsid w:val="2FF16992"/>
    <w:rsid w:val="2FFF10AF"/>
    <w:rsid w:val="30197C97"/>
    <w:rsid w:val="306B247C"/>
    <w:rsid w:val="325B4596"/>
    <w:rsid w:val="32DF6F75"/>
    <w:rsid w:val="331039D5"/>
    <w:rsid w:val="35D94150"/>
    <w:rsid w:val="37F0752F"/>
    <w:rsid w:val="38A6667C"/>
    <w:rsid w:val="38F848ED"/>
    <w:rsid w:val="390019F4"/>
    <w:rsid w:val="39902D77"/>
    <w:rsid w:val="3B0C28D2"/>
    <w:rsid w:val="3B6A75F8"/>
    <w:rsid w:val="3BA7084C"/>
    <w:rsid w:val="3BDC22A4"/>
    <w:rsid w:val="3C047A4D"/>
    <w:rsid w:val="3D2739F3"/>
    <w:rsid w:val="3DCB0822"/>
    <w:rsid w:val="3E246184"/>
    <w:rsid w:val="3F5D194E"/>
    <w:rsid w:val="3F63690D"/>
    <w:rsid w:val="401F09B1"/>
    <w:rsid w:val="408353E4"/>
    <w:rsid w:val="40E55784"/>
    <w:rsid w:val="4148218A"/>
    <w:rsid w:val="41982EB6"/>
    <w:rsid w:val="420850EE"/>
    <w:rsid w:val="42644DA1"/>
    <w:rsid w:val="428E62C2"/>
    <w:rsid w:val="44906321"/>
    <w:rsid w:val="44BF09B5"/>
    <w:rsid w:val="4582210E"/>
    <w:rsid w:val="45876384"/>
    <w:rsid w:val="45EF52CA"/>
    <w:rsid w:val="477912EF"/>
    <w:rsid w:val="47AD2BC5"/>
    <w:rsid w:val="47B70069"/>
    <w:rsid w:val="48455675"/>
    <w:rsid w:val="48877A3B"/>
    <w:rsid w:val="48E409EA"/>
    <w:rsid w:val="49155358"/>
    <w:rsid w:val="49282FCC"/>
    <w:rsid w:val="494871CB"/>
    <w:rsid w:val="495913D8"/>
    <w:rsid w:val="49A20197"/>
    <w:rsid w:val="49A936C7"/>
    <w:rsid w:val="4AA03036"/>
    <w:rsid w:val="4C122540"/>
    <w:rsid w:val="4E8F44F1"/>
    <w:rsid w:val="4EF61477"/>
    <w:rsid w:val="4F5F0DCA"/>
    <w:rsid w:val="51402E7D"/>
    <w:rsid w:val="51FA127E"/>
    <w:rsid w:val="520B348B"/>
    <w:rsid w:val="52100AA2"/>
    <w:rsid w:val="529C0587"/>
    <w:rsid w:val="53316F22"/>
    <w:rsid w:val="549332C4"/>
    <w:rsid w:val="57FA3D86"/>
    <w:rsid w:val="58AE691E"/>
    <w:rsid w:val="5A7F688E"/>
    <w:rsid w:val="5AD07EEE"/>
    <w:rsid w:val="5B1433B1"/>
    <w:rsid w:val="5CBA7F88"/>
    <w:rsid w:val="5D07484F"/>
    <w:rsid w:val="5E5E2B95"/>
    <w:rsid w:val="5E652038"/>
    <w:rsid w:val="5F17346F"/>
    <w:rsid w:val="632048BD"/>
    <w:rsid w:val="63BE035D"/>
    <w:rsid w:val="63C65464"/>
    <w:rsid w:val="63DF02D4"/>
    <w:rsid w:val="66A55805"/>
    <w:rsid w:val="66C57C55"/>
    <w:rsid w:val="677376B1"/>
    <w:rsid w:val="67C24194"/>
    <w:rsid w:val="697F233D"/>
    <w:rsid w:val="698F62F8"/>
    <w:rsid w:val="6AFB0FE0"/>
    <w:rsid w:val="6B864EA6"/>
    <w:rsid w:val="6D1159A2"/>
    <w:rsid w:val="6DD469CF"/>
    <w:rsid w:val="6E7F06E9"/>
    <w:rsid w:val="70F829D5"/>
    <w:rsid w:val="711D0E2F"/>
    <w:rsid w:val="72757D2E"/>
    <w:rsid w:val="742D334E"/>
    <w:rsid w:val="748A603A"/>
    <w:rsid w:val="758B206A"/>
    <w:rsid w:val="75E31EA6"/>
    <w:rsid w:val="763D65A7"/>
    <w:rsid w:val="765E777E"/>
    <w:rsid w:val="767D5E56"/>
    <w:rsid w:val="76B178AE"/>
    <w:rsid w:val="777D1E86"/>
    <w:rsid w:val="789449E3"/>
    <w:rsid w:val="78D855C6"/>
    <w:rsid w:val="79A11E5C"/>
    <w:rsid w:val="7AD718AD"/>
    <w:rsid w:val="7BF70459"/>
    <w:rsid w:val="7D821FA4"/>
    <w:rsid w:val="7E3F7E95"/>
    <w:rsid w:val="7F590AE3"/>
    <w:rsid w:val="7FBD5515"/>
    <w:rsid w:val="7FE00D7A"/>
    <w:rsid w:val="7FF16F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8"/>
      <w:szCs w:val="28"/>
      <w:lang w:val="en-US" w:eastAsia="en-US" w:bidi="ar-SA"/>
    </w:rPr>
  </w:style>
  <w:style w:type="paragraph" w:customStyle="1" w:styleId="1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2767</Words>
  <Characters>2932</Characters>
  <TotalTime>5</TotalTime>
  <ScaleCrop>false</ScaleCrop>
  <LinksUpToDate>false</LinksUpToDate>
  <CharactersWithSpaces>3058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2025-06-30T17:17:00Z</dcterms:created>
  <dc:creator>Turn?_?</dc:creator>
  <cp:lastModifiedBy>春暖花开</cp:lastModifiedBy>
  <dcterms:modified xsi:type="dcterms:W3CDTF">2025-08-04T12:35:41Z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2025-07-22T15:57:19Z</vt:filetime>
  </property>
  <property fmtid="{D5CDD505-2E9C-101B-9397-08002B2CF9AE}" pid="4" name="KSOTemplateDocerSaveRecord">
    <vt:lpwstr>eyJoZGlkIjoiYjI2ZTM5YTM1OGY4NjNjZWM5MmU3Y2Q3Y2I2MjRjYmMiLCJ1c2VySWQiOiI1MjYwNTY5NzEifQ==</vt:lpwstr>
  </property>
  <property fmtid="{D5CDD505-2E9C-101B-9397-08002B2CF9AE}" pid="5" name="KSOProductBuildVer">
    <vt:lpwstr>2052-12.1.0.21915</vt:lpwstr>
  </property>
  <property fmtid="{D5CDD505-2E9C-101B-9397-08002B2CF9AE}" pid="6" name="ICV">
    <vt:lpwstr>B2BD713C89834DA2B3772F312835BAFF</vt:lpwstr>
  </property>
</Properties>
</file>