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B979">
      <w:pPr>
        <w:widowControl/>
        <w:jc w:val="center"/>
        <w:rPr>
          <w:rFonts w:hint="eastAsia" w:ascii="宋体" w:hAnsi="宋体" w:cs="宋体"/>
          <w:b/>
          <w:sz w:val="32"/>
          <w:szCs w:val="32"/>
          <w:lang w:val="en-US" w:eastAsia="zh-CN"/>
        </w:rPr>
      </w:pPr>
      <w:r>
        <w:rPr>
          <w:rFonts w:hint="eastAsia" w:ascii="宋体" w:hAnsi="宋体" w:cs="宋体"/>
          <w:b/>
          <w:sz w:val="32"/>
          <w:szCs w:val="32"/>
        </w:rPr>
        <w:t>党政机关办公用房权属统一登记地籍调查</w:t>
      </w:r>
      <w:r>
        <w:rPr>
          <w:rFonts w:hint="eastAsia" w:ascii="宋体" w:hAnsi="宋体" w:cs="宋体"/>
          <w:b/>
          <w:sz w:val="32"/>
          <w:szCs w:val="32"/>
          <w:lang w:val="en-US" w:eastAsia="zh-CN"/>
        </w:rPr>
        <w:t>项目</w:t>
      </w:r>
    </w:p>
    <w:p w14:paraId="7A75F9E4">
      <w:pPr>
        <w:widowControl/>
        <w:jc w:val="center"/>
        <w:rPr>
          <w:rFonts w:hint="eastAsia" w:ascii="宋体" w:hAnsi="宋体" w:cs="宋体"/>
        </w:rPr>
      </w:pPr>
      <w:r>
        <w:rPr>
          <w:rFonts w:hint="eastAsia" w:ascii="宋体" w:hAnsi="宋体" w:cs="宋体"/>
          <w:b/>
          <w:sz w:val="32"/>
          <w:szCs w:val="32"/>
        </w:rPr>
        <w:t>附件2：政府采购需求书范本（服务类）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D0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9" w:type="dxa"/>
            <w:vAlign w:val="center"/>
          </w:tcPr>
          <w:p w14:paraId="28D8F2AD">
            <w:pPr>
              <w:snapToGrid w:val="0"/>
              <w:jc w:val="center"/>
              <w:rPr>
                <w:rFonts w:hint="eastAsia" w:ascii="宋体" w:hAnsi="宋体" w:cs="宋体"/>
                <w:b/>
                <w:sz w:val="24"/>
              </w:rPr>
            </w:pPr>
            <w:r>
              <w:rPr>
                <w:rFonts w:hint="eastAsia" w:ascii="宋体" w:hAnsi="宋体" w:cs="宋体"/>
                <w:b/>
                <w:sz w:val="28"/>
                <w:szCs w:val="28"/>
                <w:lang w:val="zh-CN"/>
              </w:rPr>
              <w:t>序号</w:t>
            </w:r>
          </w:p>
        </w:tc>
        <w:tc>
          <w:tcPr>
            <w:tcW w:w="1556" w:type="dxa"/>
            <w:vAlign w:val="center"/>
          </w:tcPr>
          <w:p w14:paraId="6C89E4CE">
            <w:pPr>
              <w:pStyle w:val="33"/>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7A06B0F7">
            <w:pPr>
              <w:pStyle w:val="33"/>
              <w:jc w:val="center"/>
              <w:rPr>
                <w:rFonts w:hint="eastAsia"/>
                <w:b/>
                <w:kern w:val="2"/>
                <w:lang w:val="zh-CN"/>
              </w:rPr>
            </w:pPr>
            <w:r>
              <w:rPr>
                <w:rFonts w:hint="eastAsia"/>
                <w:b/>
                <w:kern w:val="2"/>
                <w:sz w:val="28"/>
                <w:szCs w:val="28"/>
                <w:lang w:val="zh-CN"/>
              </w:rPr>
              <w:t>说明和要求</w:t>
            </w:r>
          </w:p>
        </w:tc>
      </w:tr>
      <w:tr w14:paraId="201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2E95B6">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1</w:t>
            </w:r>
          </w:p>
        </w:tc>
        <w:tc>
          <w:tcPr>
            <w:tcW w:w="1556" w:type="dxa"/>
            <w:vAlign w:val="center"/>
          </w:tcPr>
          <w:p w14:paraId="097E2FC0">
            <w:pPr>
              <w:pStyle w:val="33"/>
              <w:ind w:left="38"/>
              <w:jc w:val="center"/>
              <w:rPr>
                <w:rFonts w:hint="eastAsia"/>
                <w:kern w:val="2"/>
                <w:lang w:val="zh-CN"/>
              </w:rPr>
            </w:pPr>
            <w:r>
              <w:rPr>
                <w:rFonts w:hint="eastAsia"/>
                <w:kern w:val="2"/>
                <w:lang w:val="zh-CN"/>
              </w:rPr>
              <w:t>采购预算</w:t>
            </w:r>
          </w:p>
        </w:tc>
        <w:tc>
          <w:tcPr>
            <w:tcW w:w="7067" w:type="dxa"/>
            <w:vAlign w:val="center"/>
          </w:tcPr>
          <w:p w14:paraId="1A021880">
            <w:pPr>
              <w:pStyle w:val="33"/>
              <w:jc w:val="both"/>
              <w:rPr>
                <w:rFonts w:hint="eastAsia"/>
                <w:b/>
                <w:kern w:val="2"/>
                <w:lang w:val="zh-CN"/>
              </w:rPr>
            </w:pPr>
            <w:r>
              <w:rPr>
                <w:rFonts w:hint="eastAsia"/>
                <w:b/>
                <w:kern w:val="2"/>
                <w:lang w:val="zh-CN"/>
              </w:rPr>
              <w:t>人民币</w:t>
            </w:r>
            <w:r>
              <w:rPr>
                <w:rFonts w:hint="eastAsia"/>
                <w:b/>
                <w:kern w:val="2"/>
                <w:u w:val="single"/>
              </w:rPr>
              <w:t xml:space="preserve"> </w:t>
            </w:r>
            <w:r>
              <w:rPr>
                <w:rFonts w:hint="eastAsia"/>
                <w:b/>
                <w:kern w:val="2"/>
                <w:u w:val="single"/>
                <w:lang w:val="en-US" w:eastAsia="zh-CN"/>
              </w:rPr>
              <w:t>700000.00</w:t>
            </w:r>
            <w:r>
              <w:rPr>
                <w:rFonts w:hint="eastAsia"/>
                <w:b/>
                <w:kern w:val="2"/>
                <w:u w:val="single"/>
              </w:rPr>
              <w:t xml:space="preserve"> </w:t>
            </w:r>
            <w:r>
              <w:rPr>
                <w:rFonts w:hint="eastAsia"/>
                <w:b/>
                <w:kern w:val="2"/>
                <w:lang w:val="zh-CN"/>
              </w:rPr>
              <w:t>元</w:t>
            </w:r>
          </w:p>
          <w:p w14:paraId="72DB82A2">
            <w:pPr>
              <w:pStyle w:val="33"/>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3A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0AB4E7">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2</w:t>
            </w:r>
          </w:p>
        </w:tc>
        <w:tc>
          <w:tcPr>
            <w:tcW w:w="1556" w:type="dxa"/>
            <w:vAlign w:val="center"/>
          </w:tcPr>
          <w:p w14:paraId="22C13CFD">
            <w:pPr>
              <w:pStyle w:val="33"/>
              <w:ind w:left="38"/>
              <w:jc w:val="center"/>
              <w:rPr>
                <w:rFonts w:hint="eastAsia"/>
                <w:kern w:val="2"/>
                <w:lang w:val="zh-CN"/>
              </w:rPr>
            </w:pPr>
            <w:r>
              <w:rPr>
                <w:rFonts w:hint="eastAsia"/>
                <w:kern w:val="2"/>
                <w:lang w:val="zh-CN"/>
              </w:rPr>
              <w:t>最高限价</w:t>
            </w:r>
          </w:p>
        </w:tc>
        <w:tc>
          <w:tcPr>
            <w:tcW w:w="7067" w:type="dxa"/>
            <w:vAlign w:val="center"/>
          </w:tcPr>
          <w:p w14:paraId="6E0EAB26">
            <w:pPr>
              <w:pStyle w:val="33"/>
              <w:jc w:val="both"/>
              <w:rPr>
                <w:rFonts w:hint="eastAsia"/>
                <w:b/>
                <w:kern w:val="2"/>
                <w:lang w:val="zh-CN"/>
              </w:rPr>
            </w:pPr>
            <w:r>
              <w:rPr>
                <w:rFonts w:hint="eastAsia"/>
                <w:b/>
                <w:kern w:val="2"/>
                <w:lang w:val="zh-CN"/>
              </w:rPr>
              <w:t>人民币</w:t>
            </w:r>
            <w:r>
              <w:rPr>
                <w:rFonts w:hint="eastAsia"/>
                <w:b/>
                <w:kern w:val="2"/>
                <w:u w:val="single"/>
              </w:rPr>
              <w:t xml:space="preserve"> </w:t>
            </w:r>
            <w:r>
              <w:rPr>
                <w:rFonts w:hint="eastAsia"/>
                <w:b/>
                <w:kern w:val="2"/>
                <w:u w:val="single"/>
                <w:lang w:val="en-US" w:eastAsia="zh-CN"/>
              </w:rPr>
              <w:t>700000.00</w:t>
            </w:r>
            <w:r>
              <w:rPr>
                <w:rFonts w:hint="eastAsia"/>
                <w:b/>
                <w:kern w:val="2"/>
                <w:u w:val="single"/>
              </w:rPr>
              <w:t xml:space="preserve">  </w:t>
            </w:r>
            <w:r>
              <w:rPr>
                <w:rFonts w:hint="eastAsia"/>
                <w:b/>
                <w:kern w:val="2"/>
                <w:lang w:val="zh-CN"/>
              </w:rPr>
              <w:t>元</w:t>
            </w:r>
          </w:p>
          <w:p w14:paraId="6786F17A">
            <w:pPr>
              <w:pStyle w:val="33"/>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14:paraId="74C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FA47477">
            <w:pPr>
              <w:snapToGrid w:val="0"/>
              <w:spacing w:after="200"/>
              <w:jc w:val="center"/>
              <w:rPr>
                <w:rFonts w:hint="eastAsia" w:ascii="宋体" w:hAnsi="宋体" w:cs="宋体"/>
                <w:sz w:val="28"/>
                <w:szCs w:val="28"/>
                <w:lang w:val="zh-CN"/>
              </w:rPr>
            </w:pPr>
            <w:r>
              <w:rPr>
                <w:rFonts w:hint="eastAsia" w:ascii="宋体" w:hAnsi="宋体" w:cs="宋体"/>
                <w:sz w:val="28"/>
                <w:szCs w:val="28"/>
                <w:lang w:val="zh-CN"/>
              </w:rPr>
              <w:t>3</w:t>
            </w:r>
          </w:p>
        </w:tc>
        <w:tc>
          <w:tcPr>
            <w:tcW w:w="1556" w:type="dxa"/>
            <w:vMerge w:val="restart"/>
            <w:vAlign w:val="center"/>
          </w:tcPr>
          <w:p w14:paraId="637B8235">
            <w:pPr>
              <w:pStyle w:val="33"/>
              <w:ind w:left="38"/>
              <w:jc w:val="center"/>
              <w:rPr>
                <w:rFonts w:hint="eastAsia"/>
                <w:color w:val="000000" w:themeColor="text1"/>
                <w:kern w:val="2"/>
                <w:lang w:val="zh-CN"/>
                <w14:textFill>
                  <w14:solidFill>
                    <w14:schemeClr w14:val="tx1"/>
                  </w14:solidFill>
                </w14:textFill>
              </w:rPr>
            </w:pPr>
            <w:r>
              <w:rPr>
                <w:rFonts w:hint="eastAsia"/>
                <w:color w:val="000000" w:themeColor="text1"/>
                <w:kern w:val="2"/>
                <w:lang w:val="zh-CN"/>
                <w14:textFill>
                  <w14:solidFill>
                    <w14:schemeClr w14:val="tx1"/>
                  </w14:solidFill>
                </w14:textFill>
              </w:rPr>
              <w:t>项目性质</w:t>
            </w:r>
          </w:p>
        </w:tc>
        <w:tc>
          <w:tcPr>
            <w:tcW w:w="7067" w:type="dxa"/>
            <w:vAlign w:val="center"/>
          </w:tcPr>
          <w:p w14:paraId="127ACEB5">
            <w:pPr>
              <w:pStyle w:val="33"/>
              <w:jc w:val="both"/>
              <w:rPr>
                <w:rFonts w:hint="eastAsia"/>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●专门面向中小企业采购</w:t>
            </w:r>
          </w:p>
          <w:p w14:paraId="083B7398">
            <w:pPr>
              <w:pStyle w:val="33"/>
              <w:ind w:left="38"/>
              <w:jc w:val="both"/>
              <w:rPr>
                <w:rFonts w:hint="eastAsia"/>
                <w:b/>
                <w:color w:val="000000" w:themeColor="text1"/>
                <w:kern w:val="2"/>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仅允许中小企业或小型、微型企业参与投标。</w:t>
            </w:r>
          </w:p>
        </w:tc>
      </w:tr>
      <w:tr w14:paraId="619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48C7C14">
            <w:pPr>
              <w:snapToGrid w:val="0"/>
              <w:spacing w:after="200"/>
              <w:ind w:left="142"/>
              <w:jc w:val="center"/>
              <w:rPr>
                <w:rFonts w:hint="eastAsia" w:ascii="宋体" w:hAnsi="宋体" w:cs="宋体"/>
                <w:b/>
                <w:sz w:val="28"/>
                <w:szCs w:val="28"/>
                <w:lang w:val="zh-CN"/>
              </w:rPr>
            </w:pPr>
          </w:p>
        </w:tc>
        <w:tc>
          <w:tcPr>
            <w:tcW w:w="1556" w:type="dxa"/>
            <w:vMerge w:val="continue"/>
            <w:vAlign w:val="center"/>
          </w:tcPr>
          <w:p w14:paraId="66A5B390">
            <w:pPr>
              <w:pStyle w:val="33"/>
              <w:ind w:left="96"/>
              <w:jc w:val="center"/>
              <w:rPr>
                <w:rFonts w:hint="eastAsia"/>
                <w:color w:val="000000" w:themeColor="text1"/>
                <w:kern w:val="2"/>
                <w:lang w:val="zh-CN"/>
                <w14:textFill>
                  <w14:solidFill>
                    <w14:schemeClr w14:val="tx1"/>
                  </w14:solidFill>
                </w14:textFill>
              </w:rPr>
            </w:pPr>
          </w:p>
        </w:tc>
        <w:tc>
          <w:tcPr>
            <w:tcW w:w="7067" w:type="dxa"/>
            <w:vAlign w:val="center"/>
          </w:tcPr>
          <w:p w14:paraId="02D47B65">
            <w:pPr>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○非专门面向中小企业采购</w:t>
            </w:r>
          </w:p>
          <w:p w14:paraId="53D0D8A6">
            <w:pPr>
              <w:ind w:right="94" w:rightChars="45"/>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对符合《财政部关于进一步加大政府采购支持中小企业力度的通知》（财库〔2022〕19号）规定的小微企业（监狱企业视同小型、微型企业）的报价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w:t>
            </w: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__%（10%-20%）的扣除</w:t>
            </w:r>
            <w:r>
              <w:rPr>
                <w:rFonts w:hint="eastAsia" w:ascii="宋体" w:hAnsi="宋体" w:cs="宋体"/>
                <w:bCs/>
                <w:color w:val="000000" w:themeColor="text1"/>
                <w:kern w:val="0"/>
                <w:szCs w:val="21"/>
                <w:lang w:val="zh-CN"/>
                <w14:textFill>
                  <w14:solidFill>
                    <w14:schemeClr w14:val="tx1"/>
                  </w14:solidFill>
                </w14:textFill>
              </w:rPr>
              <w:t>，用扣除后的价格参加评审。</w:t>
            </w:r>
          </w:p>
        </w:tc>
      </w:tr>
      <w:tr w14:paraId="510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3819F6E">
            <w:pPr>
              <w:snapToGrid w:val="0"/>
              <w:spacing w:after="200"/>
              <w:jc w:val="center"/>
              <w:rPr>
                <w:rFonts w:hint="eastAsia" w:ascii="宋体" w:hAnsi="宋体" w:cs="宋体"/>
                <w:sz w:val="24"/>
              </w:rPr>
            </w:pPr>
            <w:r>
              <w:rPr>
                <w:rFonts w:hint="eastAsia" w:ascii="宋体" w:hAnsi="宋体" w:cs="宋体"/>
                <w:sz w:val="24"/>
              </w:rPr>
              <w:t>4</w:t>
            </w:r>
          </w:p>
        </w:tc>
        <w:tc>
          <w:tcPr>
            <w:tcW w:w="1556" w:type="dxa"/>
            <w:vAlign w:val="center"/>
          </w:tcPr>
          <w:p w14:paraId="747CA9D9">
            <w:pPr>
              <w:pStyle w:val="33"/>
              <w:ind w:left="96"/>
              <w:jc w:val="center"/>
              <w:rPr>
                <w:rFonts w:hint="eastAsia"/>
                <w:kern w:val="2"/>
                <w:lang w:val="zh-CN"/>
              </w:rPr>
            </w:pPr>
            <w:r>
              <w:rPr>
                <w:rFonts w:hint="eastAsia"/>
                <w:kern w:val="2"/>
                <w:lang w:val="zh-CN"/>
              </w:rPr>
              <w:t>对供应商的</w:t>
            </w:r>
            <w:r>
              <w:rPr>
                <w:rFonts w:hint="eastAsia"/>
                <w:kern w:val="2"/>
                <w:lang w:val="zh-CN"/>
              </w:rPr>
              <w:br w:type="textWrapping"/>
            </w:r>
            <w:r>
              <w:rPr>
                <w:rFonts w:hint="eastAsia"/>
                <w:kern w:val="2"/>
                <w:lang w:val="zh-CN"/>
              </w:rPr>
              <w:t>资格要求</w:t>
            </w:r>
          </w:p>
        </w:tc>
        <w:tc>
          <w:tcPr>
            <w:tcW w:w="7067" w:type="dxa"/>
            <w:vAlign w:val="center"/>
          </w:tcPr>
          <w:p w14:paraId="4A4D67EA">
            <w:pPr>
              <w:pStyle w:val="40"/>
              <w:spacing w:line="360" w:lineRule="auto"/>
              <w:rPr>
                <w:rFonts w:ascii="宋体" w:hAnsi="宋体" w:eastAsia="宋体" w:cs="宋体"/>
                <w:sz w:val="21"/>
                <w:szCs w:val="21"/>
              </w:rPr>
            </w:pPr>
            <w:r>
              <w:rPr>
                <w:rFonts w:ascii="宋体" w:hAnsi="宋体" w:eastAsia="宋体" w:cs="宋体"/>
                <w:sz w:val="21"/>
                <w:szCs w:val="21"/>
              </w:rPr>
              <w:t>(1)根据《陕西省财政厅关于进一步优化政府采购营商环境有关事项的通知》(陕财办采[2023]4号)文件精神，对供应商基本资格条件实行“承诺+信用管理”。</w:t>
            </w:r>
          </w:p>
          <w:p w14:paraId="69455DFF">
            <w:pPr>
              <w:pStyle w:val="40"/>
              <w:spacing w:line="360" w:lineRule="auto"/>
              <w:rPr>
                <w:rFonts w:ascii="宋体" w:hAnsi="宋体" w:eastAsia="宋体" w:cs="宋体"/>
                <w:sz w:val="21"/>
                <w:szCs w:val="21"/>
              </w:rPr>
            </w:pPr>
            <w:r>
              <w:rPr>
                <w:rFonts w:ascii="宋体" w:hAnsi="宋体" w:eastAsia="宋体" w:cs="宋体"/>
                <w:sz w:val="21"/>
                <w:szCs w:val="21"/>
              </w:rPr>
              <w:t>(2)供应商须具有独立承担民事责任能力的法人、其他组织或自然人，提供营业执照/事业单位法人证书/非企业专业服务机构执业许可证/自然人身份证。</w:t>
            </w:r>
          </w:p>
          <w:p w14:paraId="08927BB9">
            <w:pPr>
              <w:pStyle w:val="40"/>
              <w:spacing w:line="360" w:lineRule="auto"/>
              <w:rPr>
                <w:rFonts w:ascii="宋体" w:hAnsi="宋体" w:eastAsia="宋体" w:cs="宋体"/>
                <w:sz w:val="21"/>
                <w:szCs w:val="21"/>
              </w:rPr>
            </w:pPr>
            <w:r>
              <w:rPr>
                <w:rFonts w:ascii="宋体" w:hAnsi="宋体" w:eastAsia="宋体" w:cs="宋体"/>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4D49D994">
            <w:pPr>
              <w:pStyle w:val="40"/>
              <w:spacing w:line="360" w:lineRule="auto"/>
              <w:rPr>
                <w:rFonts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eastAsia="zh-CN"/>
              </w:rPr>
              <w:t>4</w:t>
            </w:r>
            <w:r>
              <w:rPr>
                <w:rFonts w:ascii="宋体" w:hAnsi="宋体" w:eastAsia="宋体" w:cs="宋体"/>
                <w:sz w:val="21"/>
                <w:szCs w:val="21"/>
              </w:rPr>
              <w:t>)供应商应授权合法的人员参加磋商全过程，其中法定代表人直接参加磋商的，须出具法人身份证复印件，并与营业执照上信息一致。法定代表人授权代表参加磋商的，须出具法定代表人授权书。</w:t>
            </w:r>
          </w:p>
          <w:p w14:paraId="69AF312C">
            <w:pPr>
              <w:pStyle w:val="40"/>
              <w:spacing w:line="360" w:lineRule="auto"/>
              <w:rPr>
                <w:rFonts w:ascii="宋体" w:hAnsi="宋体" w:eastAsia="宋体" w:cs="宋体"/>
                <w:sz w:val="21"/>
                <w:szCs w:val="21"/>
              </w:rPr>
            </w:pPr>
            <w:r>
              <w:rPr>
                <w:rFonts w:ascii="宋体" w:hAnsi="宋体" w:eastAsia="宋体" w:cs="宋体"/>
                <w:sz w:val="21"/>
                <w:szCs w:val="21"/>
                <w:lang w:eastAsia="zh-CN"/>
              </w:rPr>
              <w:t>（</w:t>
            </w:r>
            <w:r>
              <w:rPr>
                <w:rFonts w:ascii="宋体" w:hAnsi="宋体" w:eastAsia="宋体" w:cs="宋体"/>
                <w:sz w:val="21"/>
                <w:szCs w:val="21"/>
              </w:rPr>
              <w:t>5）</w:t>
            </w:r>
            <w:r>
              <w:rPr>
                <w:rFonts w:hint="eastAsia" w:ascii="宋体" w:hAnsi="宋体" w:eastAsia="宋体" w:cs="宋体"/>
                <w:sz w:val="21"/>
                <w:szCs w:val="21"/>
              </w:rPr>
              <w:t>供应商须具备测绘主管部门颁发乙级以上（含乙级）测绘资质(专业类别须涵盖本次招标内容)</w:t>
            </w:r>
            <w:r>
              <w:rPr>
                <w:rFonts w:ascii="宋体" w:hAnsi="宋体" w:eastAsia="宋体" w:cs="宋体"/>
                <w:sz w:val="21"/>
                <w:szCs w:val="21"/>
              </w:rPr>
              <w:t>；</w:t>
            </w:r>
          </w:p>
          <w:p w14:paraId="606ADDE8">
            <w:pPr>
              <w:pStyle w:val="40"/>
              <w:spacing w:line="360" w:lineRule="auto"/>
              <w:rPr>
                <w:rFonts w:ascii="宋体" w:hAnsi="宋体" w:eastAsia="宋体" w:cs="宋体"/>
                <w:sz w:val="21"/>
                <w:szCs w:val="21"/>
              </w:rPr>
            </w:pPr>
            <w:r>
              <w:rPr>
                <w:rFonts w:ascii="宋体" w:hAnsi="宋体" w:eastAsia="宋体" w:cs="宋体"/>
                <w:sz w:val="21"/>
                <w:szCs w:val="21"/>
              </w:rPr>
              <w:t>（6）拟派项目负责人具备注册测绘师或中级</w:t>
            </w:r>
            <w:r>
              <w:rPr>
                <w:rFonts w:hint="eastAsia" w:ascii="宋体" w:hAnsi="宋体" w:eastAsia="宋体" w:cs="宋体"/>
                <w:sz w:val="21"/>
                <w:szCs w:val="21"/>
                <w:lang w:val="en-US" w:eastAsia="zh-CN"/>
              </w:rPr>
              <w:t>及以上</w:t>
            </w:r>
            <w:r>
              <w:rPr>
                <w:rFonts w:ascii="宋体" w:hAnsi="宋体" w:eastAsia="宋体" w:cs="宋体"/>
                <w:sz w:val="21"/>
                <w:szCs w:val="21"/>
              </w:rPr>
              <w:t>工程师职称；</w:t>
            </w:r>
          </w:p>
          <w:p w14:paraId="6F7A412D">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color w:val="auto"/>
                <w:sz w:val="21"/>
                <w:szCs w:val="21"/>
                <w:lang w:val="en-US" w:eastAsia="zh-CN"/>
              </w:rPr>
              <w:t>（7）本项目不接受联合体磋商，</w:t>
            </w:r>
            <w:r>
              <w:rPr>
                <w:rFonts w:hint="eastAsia" w:ascii="宋体" w:hAnsi="宋体" w:eastAsia="宋体" w:cs="宋体"/>
                <w:color w:val="auto"/>
                <w:sz w:val="21"/>
                <w:szCs w:val="21"/>
              </w:rPr>
              <w:t>单位负责人为同一人或者存在直接控股、管理关系的不同供应商不得参加同一合同项下的政府采购活动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提供承诺或说明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2D30F79E">
            <w:pPr>
              <w:pStyle w:val="33"/>
              <w:jc w:val="both"/>
              <w:rPr>
                <w:rFonts w:hint="eastAsia"/>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D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E883262">
            <w:pPr>
              <w:snapToGrid w:val="0"/>
              <w:spacing w:after="200"/>
              <w:jc w:val="center"/>
              <w:rPr>
                <w:rFonts w:hint="eastAsia" w:ascii="宋体" w:hAnsi="宋体" w:cs="宋体"/>
                <w:sz w:val="24"/>
              </w:rPr>
            </w:pPr>
            <w:r>
              <w:rPr>
                <w:rFonts w:hint="eastAsia" w:ascii="宋体" w:hAnsi="宋体" w:cs="宋体"/>
                <w:sz w:val="24"/>
              </w:rPr>
              <w:t>5</w:t>
            </w:r>
          </w:p>
        </w:tc>
        <w:tc>
          <w:tcPr>
            <w:tcW w:w="1556" w:type="dxa"/>
            <w:vMerge w:val="restart"/>
            <w:vAlign w:val="center"/>
          </w:tcPr>
          <w:p w14:paraId="44C2F4BB">
            <w:pPr>
              <w:pStyle w:val="33"/>
              <w:ind w:left="96"/>
              <w:jc w:val="center"/>
              <w:rPr>
                <w:rFonts w:hint="eastAsia"/>
                <w:kern w:val="2"/>
                <w:lang w:val="zh-CN"/>
              </w:rPr>
            </w:pPr>
            <w:r>
              <w:rPr>
                <w:rFonts w:hint="eastAsia"/>
                <w:kern w:val="2"/>
                <w:lang w:val="zh-CN"/>
              </w:rPr>
              <w:t>是否接受</w:t>
            </w:r>
            <w:r>
              <w:rPr>
                <w:rFonts w:hint="eastAsia"/>
                <w:kern w:val="2"/>
                <w:lang w:val="zh-CN"/>
              </w:rPr>
              <w:br w:type="textWrapping"/>
            </w:r>
            <w:r>
              <w:rPr>
                <w:rFonts w:hint="eastAsia"/>
                <w:kern w:val="2"/>
                <w:lang w:val="zh-CN"/>
              </w:rPr>
              <w:t>联合体投标</w:t>
            </w:r>
          </w:p>
        </w:tc>
        <w:tc>
          <w:tcPr>
            <w:tcW w:w="7067" w:type="dxa"/>
            <w:vAlign w:val="center"/>
          </w:tcPr>
          <w:p w14:paraId="1A0025DD">
            <w:pPr>
              <w:pStyle w:val="33"/>
              <w:jc w:val="both"/>
              <w:rPr>
                <w:rFonts w:hint="eastAsia"/>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○接受</w:t>
            </w:r>
          </w:p>
          <w:p w14:paraId="0908CDED">
            <w:pPr>
              <w:pStyle w:val="33"/>
              <w:jc w:val="both"/>
              <w:rPr>
                <w:rFonts w:hint="eastAsia"/>
                <w:b/>
                <w:kern w:val="2"/>
                <w:lang w:val="zh-CN"/>
              </w:rPr>
            </w:pPr>
            <w:r>
              <w:rPr>
                <w:rFonts w:hint="eastAsia"/>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b/>
                <w:color w:val="000000" w:themeColor="text1"/>
                <w:kern w:val="2"/>
                <w:sz w:val="21"/>
                <w:szCs w:val="21"/>
                <w:lang w:val="zh-CN"/>
                <w14:textFill>
                  <w14:solidFill>
                    <w14:schemeClr w14:val="tx1"/>
                  </w14:solidFill>
                </w14:textFill>
              </w:rPr>
              <w:t>给予__</w:t>
            </w:r>
            <w:r>
              <w:rPr>
                <w:rFonts w:hint="eastAsia"/>
                <w:b/>
                <w:color w:val="000000" w:themeColor="text1"/>
                <w:kern w:val="2"/>
                <w:sz w:val="21"/>
                <w:szCs w:val="21"/>
                <w14:textFill>
                  <w14:solidFill>
                    <w14:schemeClr w14:val="tx1"/>
                  </w14:solidFill>
                </w14:textFill>
              </w:rPr>
              <w:t>/</w:t>
            </w:r>
            <w:r>
              <w:rPr>
                <w:rFonts w:hint="eastAsia"/>
                <w:b/>
                <w:color w:val="000000" w:themeColor="text1"/>
                <w:kern w:val="2"/>
                <w:sz w:val="21"/>
                <w:szCs w:val="21"/>
                <w:lang w:val="zh-CN"/>
                <w14:textFill>
                  <w14:solidFill>
                    <w14:schemeClr w14:val="tx1"/>
                  </w14:solidFill>
                </w14:textFill>
              </w:rPr>
              <w:t>_%（4%—6%）的扣除</w:t>
            </w:r>
            <w:r>
              <w:rPr>
                <w:rFonts w:hint="eastAsia"/>
                <w:color w:val="000000" w:themeColor="text1"/>
                <w:kern w:val="2"/>
                <w:sz w:val="21"/>
                <w:szCs w:val="21"/>
                <w:lang w:val="zh-CN"/>
                <w14:textFill>
                  <w14:solidFill>
                    <w14:schemeClr w14:val="tx1"/>
                  </w14:solidFill>
                </w14:textFill>
              </w:rPr>
              <w:t>，用扣除后的报价参加评审。</w:t>
            </w:r>
          </w:p>
        </w:tc>
      </w:tr>
      <w:tr w14:paraId="40DE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B31AE61">
            <w:pPr>
              <w:snapToGrid w:val="0"/>
              <w:spacing w:after="200"/>
              <w:ind w:left="142"/>
              <w:jc w:val="center"/>
              <w:rPr>
                <w:rFonts w:hint="eastAsia" w:ascii="宋体" w:hAnsi="宋体" w:cs="宋体"/>
                <w:sz w:val="24"/>
              </w:rPr>
            </w:pPr>
          </w:p>
        </w:tc>
        <w:tc>
          <w:tcPr>
            <w:tcW w:w="1556" w:type="dxa"/>
            <w:vMerge w:val="continue"/>
            <w:vAlign w:val="center"/>
          </w:tcPr>
          <w:p w14:paraId="23ADA1EA">
            <w:pPr>
              <w:pStyle w:val="33"/>
              <w:ind w:left="96"/>
              <w:jc w:val="center"/>
              <w:rPr>
                <w:rFonts w:hint="eastAsia"/>
                <w:kern w:val="2"/>
                <w:lang w:val="zh-CN"/>
              </w:rPr>
            </w:pPr>
          </w:p>
        </w:tc>
        <w:tc>
          <w:tcPr>
            <w:tcW w:w="7067" w:type="dxa"/>
            <w:vAlign w:val="center"/>
          </w:tcPr>
          <w:p w14:paraId="4E315A5C">
            <w:pPr>
              <w:pStyle w:val="33"/>
              <w:jc w:val="both"/>
              <w:rPr>
                <w:rFonts w:hint="eastAsia"/>
                <w:b/>
                <w:kern w:val="2"/>
                <w:lang w:val="zh-CN"/>
              </w:rPr>
            </w:pPr>
            <w:r>
              <w:rPr>
                <w:rFonts w:hint="eastAsia"/>
                <w:b/>
                <w:kern w:val="2"/>
                <w:lang w:val="zh-CN"/>
              </w:rPr>
              <w:t>●不接受</w:t>
            </w:r>
          </w:p>
        </w:tc>
      </w:tr>
      <w:tr w14:paraId="640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689" w:type="dxa"/>
            <w:vAlign w:val="center"/>
          </w:tcPr>
          <w:p w14:paraId="757C9A8D">
            <w:pPr>
              <w:snapToGrid w:val="0"/>
              <w:spacing w:after="200"/>
              <w:jc w:val="center"/>
              <w:rPr>
                <w:rFonts w:hint="eastAsia" w:ascii="宋体" w:hAnsi="宋体" w:cs="宋体"/>
                <w:sz w:val="24"/>
              </w:rPr>
            </w:pPr>
            <w:r>
              <w:rPr>
                <w:rFonts w:hint="eastAsia" w:ascii="宋体" w:hAnsi="宋体" w:cs="宋体"/>
                <w:sz w:val="24"/>
              </w:rPr>
              <w:t>6</w:t>
            </w:r>
          </w:p>
        </w:tc>
        <w:tc>
          <w:tcPr>
            <w:tcW w:w="1556" w:type="dxa"/>
            <w:vAlign w:val="center"/>
          </w:tcPr>
          <w:p w14:paraId="473CB06E">
            <w:pPr>
              <w:pStyle w:val="33"/>
              <w:ind w:left="96"/>
              <w:jc w:val="center"/>
              <w:rPr>
                <w:rFonts w:hint="eastAsia"/>
                <w:color w:val="000000" w:themeColor="text1"/>
                <w:kern w:val="2"/>
                <w:sz w:val="21"/>
                <w:szCs w:val="21"/>
                <w:lang w:val="zh-CN"/>
                <w14:textFill>
                  <w14:solidFill>
                    <w14:schemeClr w14:val="tx1"/>
                  </w14:solidFill>
                </w14:textFill>
              </w:rPr>
            </w:pPr>
            <w:r>
              <w:rPr>
                <w:rFonts w:hint="eastAsia"/>
                <w:kern w:val="2"/>
                <w:lang w:val="zh-CN"/>
              </w:rPr>
              <w:t>履约保证金</w:t>
            </w:r>
          </w:p>
        </w:tc>
        <w:tc>
          <w:tcPr>
            <w:tcW w:w="7067" w:type="dxa"/>
            <w:vAlign w:val="center"/>
          </w:tcPr>
          <w:p w14:paraId="0CF1AEEF">
            <w:pPr>
              <w:ind w:right="94" w:rightChars="4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w:t>
            </w:r>
            <w:r>
              <w:rPr>
                <w:rFonts w:hint="eastAsia" w:ascii="宋体" w:hAnsi="宋体" w:cs="宋体"/>
                <w:color w:val="000000" w:themeColor="text1"/>
                <w:szCs w:val="21"/>
                <w:lang w:val="zh-CN"/>
                <w14:textFill>
                  <w14:solidFill>
                    <w14:schemeClr w14:val="tx1"/>
                  </w14:solidFill>
                </w14:textFill>
              </w:rPr>
              <w:t>履约保证金。</w:t>
            </w:r>
          </w:p>
        </w:tc>
      </w:tr>
      <w:tr w14:paraId="11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5426C4E">
            <w:pPr>
              <w:snapToGrid w:val="0"/>
              <w:spacing w:after="200"/>
              <w:jc w:val="center"/>
              <w:rPr>
                <w:rFonts w:hint="eastAsia" w:ascii="宋体" w:hAnsi="宋体" w:cs="宋体"/>
                <w:sz w:val="24"/>
              </w:rPr>
            </w:pPr>
            <w:r>
              <w:rPr>
                <w:rFonts w:hint="eastAsia" w:ascii="宋体" w:hAnsi="宋体" w:cs="宋体"/>
                <w:sz w:val="24"/>
              </w:rPr>
              <w:t>7</w:t>
            </w:r>
          </w:p>
        </w:tc>
        <w:tc>
          <w:tcPr>
            <w:tcW w:w="1556" w:type="dxa"/>
            <w:vAlign w:val="center"/>
          </w:tcPr>
          <w:p w14:paraId="0C6EF40A">
            <w:pPr>
              <w:pStyle w:val="33"/>
              <w:ind w:left="96"/>
              <w:jc w:val="center"/>
              <w:rPr>
                <w:rFonts w:hint="eastAsia"/>
                <w:kern w:val="2"/>
                <w:lang w:val="zh-CN"/>
              </w:rPr>
            </w:pPr>
            <w:r>
              <w:rPr>
                <w:rFonts w:hint="eastAsia"/>
                <w:kern w:val="2"/>
                <w:lang w:val="zh-CN"/>
              </w:rPr>
              <w:t>集中答疑</w:t>
            </w:r>
          </w:p>
        </w:tc>
        <w:tc>
          <w:tcPr>
            <w:tcW w:w="7067" w:type="dxa"/>
            <w:vAlign w:val="center"/>
          </w:tcPr>
          <w:p w14:paraId="33395682">
            <w:pPr>
              <w:ind w:right="94" w:rightChars="45"/>
              <w:rPr>
                <w:rFonts w:hint="eastAsia" w:ascii="宋体" w:hAnsi="宋体" w:cs="宋体"/>
                <w:b/>
                <w:sz w:val="24"/>
              </w:rPr>
            </w:pPr>
            <w:r>
              <w:rPr>
                <w:rFonts w:hint="eastAsia" w:ascii="宋体" w:hAnsi="宋体" w:cs="宋体"/>
                <w:b/>
                <w:sz w:val="24"/>
              </w:rPr>
              <w:t>○组织，答疑地点为：_______________________</w:t>
            </w:r>
          </w:p>
          <w:p w14:paraId="172A0DFA">
            <w:pPr>
              <w:ind w:right="94" w:rightChars="45"/>
              <w:rPr>
                <w:rFonts w:hint="eastAsia" w:ascii="宋体" w:hAnsi="宋体" w:cs="宋体"/>
                <w:b/>
                <w:sz w:val="24"/>
              </w:rPr>
            </w:pPr>
            <w:r>
              <w:rPr>
                <w:rFonts w:hint="eastAsia" w:ascii="宋体" w:hAnsi="宋体" w:cs="宋体"/>
                <w:b/>
                <w:lang w:val="zh-CN"/>
              </w:rPr>
              <w:t>●</w:t>
            </w:r>
            <w:r>
              <w:rPr>
                <w:rFonts w:hint="eastAsia" w:ascii="宋体" w:hAnsi="宋体" w:cs="宋体"/>
                <w:b/>
                <w:sz w:val="24"/>
              </w:rPr>
              <w:t>不组织</w:t>
            </w:r>
          </w:p>
        </w:tc>
      </w:tr>
      <w:tr w14:paraId="7A4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26CFD62">
            <w:pPr>
              <w:snapToGrid w:val="0"/>
              <w:spacing w:after="200"/>
              <w:jc w:val="center"/>
              <w:rPr>
                <w:rFonts w:hint="eastAsia" w:ascii="宋体" w:hAnsi="宋体" w:cs="宋体"/>
                <w:sz w:val="24"/>
              </w:rPr>
            </w:pPr>
            <w:r>
              <w:rPr>
                <w:rFonts w:hint="eastAsia" w:ascii="宋体" w:hAnsi="宋体" w:cs="宋体"/>
                <w:sz w:val="24"/>
              </w:rPr>
              <w:t>8</w:t>
            </w:r>
          </w:p>
        </w:tc>
        <w:tc>
          <w:tcPr>
            <w:tcW w:w="1556" w:type="dxa"/>
            <w:vAlign w:val="center"/>
          </w:tcPr>
          <w:p w14:paraId="3C0AD8EE">
            <w:pPr>
              <w:pStyle w:val="33"/>
              <w:ind w:left="96"/>
              <w:jc w:val="center"/>
              <w:rPr>
                <w:rFonts w:hint="eastAsia"/>
                <w:kern w:val="2"/>
                <w:lang w:val="zh-CN"/>
              </w:rPr>
            </w:pPr>
            <w:r>
              <w:rPr>
                <w:rFonts w:hint="eastAsia"/>
                <w:kern w:val="2"/>
                <w:lang w:val="zh-CN"/>
              </w:rPr>
              <w:t>价格分比重</w:t>
            </w:r>
          </w:p>
        </w:tc>
        <w:tc>
          <w:tcPr>
            <w:tcW w:w="7067" w:type="dxa"/>
            <w:vAlign w:val="center"/>
          </w:tcPr>
          <w:p w14:paraId="0F380C5B">
            <w:pPr>
              <w:widowControl/>
              <w:rPr>
                <w:rFonts w:hint="eastAsia" w:ascii="宋体" w:hAnsi="宋体" w:cs="宋体"/>
                <w:b/>
                <w:kern w:val="0"/>
                <w:sz w:val="24"/>
                <w:szCs w:val="24"/>
                <w:lang w:val="zh-CN"/>
              </w:rPr>
            </w:pPr>
            <w:r>
              <w:rPr>
                <w:rFonts w:hint="eastAsia" w:ascii="宋体" w:hAnsi="宋体" w:cs="宋体"/>
                <w:b/>
                <w:kern w:val="0"/>
                <w:sz w:val="24"/>
                <w:szCs w:val="24"/>
                <w:lang w:val="zh-CN"/>
              </w:rPr>
              <w:t>占总分值的</w:t>
            </w:r>
            <w:r>
              <w:rPr>
                <w:rFonts w:hint="eastAsia" w:ascii="宋体" w:hAnsi="宋体" w:cs="宋体"/>
                <w:b/>
                <w:kern w:val="0"/>
                <w:sz w:val="24"/>
                <w:szCs w:val="24"/>
                <w:u w:val="single"/>
              </w:rPr>
              <w:t xml:space="preserve"> 10 </w:t>
            </w:r>
            <w:r>
              <w:rPr>
                <w:rFonts w:hint="eastAsia" w:ascii="宋体" w:hAnsi="宋体" w:cs="宋体"/>
                <w:b/>
                <w:kern w:val="0"/>
                <w:sz w:val="24"/>
                <w:szCs w:val="24"/>
                <w:lang w:val="zh-CN"/>
              </w:rPr>
              <w:t>%</w:t>
            </w:r>
          </w:p>
          <w:p w14:paraId="75CFAB5E">
            <w:pPr>
              <w:widowControl/>
              <w:rPr>
                <w:rFonts w:hint="eastAsia"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03C9A769">
            <w:pPr>
              <w:widowControl/>
              <w:rPr>
                <w:rFonts w:hint="eastAsia" w:ascii="宋体" w:hAnsi="宋体" w:cs="宋体"/>
                <w:kern w:val="0"/>
                <w:szCs w:val="21"/>
                <w:lang w:val="zh-CN"/>
              </w:rPr>
            </w:pPr>
            <w:r>
              <w:rPr>
                <w:rFonts w:hint="eastAsia" w:ascii="宋体" w:hAnsi="宋体" w:cs="宋体"/>
                <w:kern w:val="0"/>
                <w:szCs w:val="21"/>
                <w:lang w:val="zh-CN"/>
              </w:rPr>
              <w:t>[询比]根据《政府采购竞争性询比采购方式管理暂行办法》（财库〔2014〕214号）的规定，服务项目的价格分值占总分值的比重(即权值)为10%-30%。</w:t>
            </w:r>
          </w:p>
          <w:p w14:paraId="5C12A375">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14:paraId="11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74E79A">
            <w:pPr>
              <w:snapToGrid w:val="0"/>
              <w:spacing w:after="200"/>
              <w:jc w:val="center"/>
              <w:rPr>
                <w:rFonts w:hint="eastAsia" w:ascii="宋体" w:hAnsi="宋体" w:cs="宋体"/>
                <w:sz w:val="24"/>
              </w:rPr>
            </w:pPr>
            <w:r>
              <w:rPr>
                <w:rFonts w:hint="eastAsia" w:ascii="宋体" w:hAnsi="宋体" w:cs="宋体"/>
                <w:sz w:val="24"/>
              </w:rPr>
              <w:t>9</w:t>
            </w:r>
          </w:p>
        </w:tc>
        <w:tc>
          <w:tcPr>
            <w:tcW w:w="1556" w:type="dxa"/>
            <w:vAlign w:val="center"/>
          </w:tcPr>
          <w:p w14:paraId="66F1492E">
            <w:pPr>
              <w:pStyle w:val="33"/>
              <w:ind w:left="96"/>
              <w:jc w:val="center"/>
              <w:rPr>
                <w:rFonts w:hint="eastAsia"/>
                <w:kern w:val="2"/>
                <w:lang w:val="zh-CN"/>
              </w:rPr>
            </w:pPr>
            <w:r>
              <w:rPr>
                <w:rFonts w:hint="eastAsia"/>
                <w:kern w:val="2"/>
                <w:lang w:val="zh-CN"/>
              </w:rPr>
              <w:t>合同类型</w:t>
            </w:r>
          </w:p>
        </w:tc>
        <w:tc>
          <w:tcPr>
            <w:tcW w:w="7067" w:type="dxa"/>
            <w:vAlign w:val="center"/>
          </w:tcPr>
          <w:p w14:paraId="33AEA398">
            <w:pPr>
              <w:rPr>
                <w:rFonts w:hint="eastAsia" w:ascii="宋体" w:hAnsi="宋体" w:cs="宋体"/>
                <w:b/>
                <w:sz w:val="24"/>
                <w:lang w:val="zh-CN"/>
              </w:rPr>
            </w:pPr>
            <w:r>
              <w:rPr>
                <w:rFonts w:hint="eastAsia" w:ascii="宋体" w:hAnsi="宋体" w:cs="宋体"/>
                <w:b/>
                <w:sz w:val="24"/>
                <w:lang w:val="zh-CN"/>
              </w:rPr>
              <w:t>○固定总价</w:t>
            </w:r>
          </w:p>
          <w:p w14:paraId="1D29D2FE">
            <w:pPr>
              <w:rPr>
                <w:rFonts w:hint="eastAsia" w:ascii="宋体" w:hAnsi="宋体" w:cs="宋体"/>
                <w:b/>
                <w:sz w:val="24"/>
                <w:lang w:val="zh-CN"/>
              </w:rPr>
            </w:pPr>
            <w:r>
              <w:rPr>
                <w:rFonts w:hint="eastAsia" w:ascii="宋体" w:hAnsi="宋体" w:cs="宋体"/>
                <w:b/>
                <w:lang w:val="zh-CN"/>
              </w:rPr>
              <w:t>●</w:t>
            </w:r>
            <w:r>
              <w:rPr>
                <w:rFonts w:hint="eastAsia" w:ascii="宋体" w:hAnsi="宋体" w:cs="宋体"/>
                <w:b/>
                <w:sz w:val="24"/>
                <w:lang w:val="zh-CN"/>
              </w:rPr>
              <w:t>固定单价（适用于采购数量不定的情形）</w:t>
            </w:r>
          </w:p>
          <w:p w14:paraId="0EEF00F7">
            <w:pPr>
              <w:rPr>
                <w:rFonts w:hint="eastAsia" w:ascii="宋体" w:hAnsi="宋体" w:cs="宋体"/>
                <w:sz w:val="24"/>
                <w:lang w:val="zh-CN"/>
              </w:rPr>
            </w:pPr>
            <w:r>
              <w:rPr>
                <w:rFonts w:hint="eastAsia" w:ascii="宋体" w:hAnsi="宋体" w:cs="宋体"/>
                <w:b/>
                <w:sz w:val="24"/>
                <w:lang w:val="zh-CN"/>
              </w:rPr>
              <w:t>○其他：_____________________________</w:t>
            </w:r>
          </w:p>
        </w:tc>
      </w:tr>
      <w:tr w14:paraId="7C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C79F1">
            <w:pPr>
              <w:snapToGrid w:val="0"/>
              <w:spacing w:after="200"/>
              <w:jc w:val="center"/>
              <w:rPr>
                <w:rFonts w:hint="eastAsia" w:ascii="宋体" w:hAnsi="宋体" w:cs="宋体"/>
                <w:sz w:val="24"/>
              </w:rPr>
            </w:pPr>
            <w:r>
              <w:rPr>
                <w:rFonts w:hint="eastAsia" w:ascii="宋体" w:hAnsi="宋体" w:cs="宋体"/>
                <w:sz w:val="24"/>
              </w:rPr>
              <w:t>10</w:t>
            </w:r>
          </w:p>
        </w:tc>
        <w:tc>
          <w:tcPr>
            <w:tcW w:w="1556" w:type="dxa"/>
            <w:vAlign w:val="center"/>
          </w:tcPr>
          <w:p w14:paraId="244DCED3">
            <w:pPr>
              <w:tabs>
                <w:tab w:val="left" w:pos="7665"/>
              </w:tabs>
              <w:snapToGrid w:val="0"/>
              <w:jc w:val="center"/>
              <w:rPr>
                <w:rFonts w:hint="eastAsia" w:ascii="宋体" w:hAnsi="宋体" w:cs="宋体"/>
                <w:sz w:val="24"/>
              </w:rPr>
            </w:pPr>
            <w:r>
              <w:rPr>
                <w:rFonts w:hint="eastAsia" w:ascii="宋体" w:hAnsi="宋体" w:cs="宋体"/>
                <w:sz w:val="24"/>
              </w:rPr>
              <w:t>争议解决途径</w:t>
            </w:r>
          </w:p>
        </w:tc>
        <w:tc>
          <w:tcPr>
            <w:tcW w:w="7067" w:type="dxa"/>
            <w:vAlign w:val="center"/>
          </w:tcPr>
          <w:p w14:paraId="7BE4AE17">
            <w:pPr>
              <w:tabs>
                <w:tab w:val="left" w:pos="7665"/>
              </w:tabs>
              <w:snapToGrid w:val="0"/>
              <w:rPr>
                <w:rFonts w:hint="eastAsia" w:ascii="宋体" w:hAnsi="宋体" w:cs="宋体"/>
                <w:b/>
                <w:sz w:val="24"/>
              </w:rPr>
            </w:pPr>
            <w:r>
              <w:rPr>
                <w:rFonts w:hint="eastAsia" w:ascii="宋体" w:hAnsi="宋体" w:cs="宋体"/>
                <w:b/>
                <w:lang w:val="zh-CN"/>
              </w:rPr>
              <w:t>●</w:t>
            </w:r>
            <w:r>
              <w:rPr>
                <w:rFonts w:hint="eastAsia" w:ascii="宋体" w:hAnsi="宋体" w:cs="宋体"/>
                <w:b/>
                <w:sz w:val="24"/>
              </w:rPr>
              <w:t>向有管辖权的人民法院提起诉讼</w:t>
            </w:r>
          </w:p>
          <w:p w14:paraId="2F339F07">
            <w:pPr>
              <w:tabs>
                <w:tab w:val="left" w:pos="7665"/>
              </w:tabs>
              <w:snapToGrid w:val="0"/>
              <w:rPr>
                <w:rFonts w:hint="eastAsia" w:ascii="宋体" w:hAnsi="宋体" w:cs="宋体"/>
                <w:b/>
                <w:sz w:val="24"/>
              </w:rPr>
            </w:pPr>
            <w:r>
              <w:rPr>
                <w:rFonts w:hint="eastAsia" w:ascii="宋体" w:hAnsi="宋体" w:cs="宋体"/>
                <w:b/>
                <w:sz w:val="24"/>
              </w:rPr>
              <w:t>○向西安仲裁委员会提请仲裁</w:t>
            </w:r>
          </w:p>
          <w:p w14:paraId="6CBC6D59">
            <w:pPr>
              <w:tabs>
                <w:tab w:val="left" w:pos="7665"/>
              </w:tabs>
              <w:snapToGrid w:val="0"/>
              <w:rPr>
                <w:rFonts w:hint="eastAsia" w:ascii="宋体" w:hAnsi="宋体" w:cs="宋体"/>
                <w:sz w:val="24"/>
              </w:rPr>
            </w:pPr>
            <w:r>
              <w:rPr>
                <w:rFonts w:hint="eastAsia" w:ascii="宋体" w:hAnsi="宋体" w:cs="宋体"/>
                <w:b/>
                <w:sz w:val="24"/>
              </w:rPr>
              <w:t>○由供应商做出选择</w:t>
            </w:r>
          </w:p>
        </w:tc>
      </w:tr>
      <w:tr w14:paraId="10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84C29CC">
            <w:pPr>
              <w:snapToGrid w:val="0"/>
              <w:spacing w:after="200"/>
              <w:jc w:val="center"/>
              <w:rPr>
                <w:rFonts w:hint="eastAsia" w:ascii="宋体" w:hAnsi="宋体" w:cs="宋体"/>
                <w:sz w:val="24"/>
              </w:rPr>
            </w:pPr>
            <w:r>
              <w:rPr>
                <w:rFonts w:hint="eastAsia" w:ascii="宋体" w:hAnsi="宋体" w:cs="宋体"/>
                <w:sz w:val="24"/>
              </w:rPr>
              <w:t>11</w:t>
            </w:r>
          </w:p>
        </w:tc>
        <w:tc>
          <w:tcPr>
            <w:tcW w:w="1556" w:type="dxa"/>
            <w:vAlign w:val="center"/>
          </w:tcPr>
          <w:p w14:paraId="6B4BD7C8">
            <w:pPr>
              <w:snapToGrid w:val="0"/>
              <w:jc w:val="center"/>
              <w:rPr>
                <w:rFonts w:hint="eastAsia" w:ascii="宋体" w:hAnsi="宋体" w:cs="宋体"/>
                <w:sz w:val="24"/>
              </w:rPr>
            </w:pPr>
            <w:r>
              <w:rPr>
                <w:rFonts w:hint="eastAsia" w:ascii="宋体" w:hAnsi="宋体" w:cs="宋体"/>
                <w:sz w:val="24"/>
              </w:rPr>
              <w:t>联系方式</w:t>
            </w:r>
          </w:p>
        </w:tc>
        <w:tc>
          <w:tcPr>
            <w:tcW w:w="7067" w:type="dxa"/>
            <w:vAlign w:val="center"/>
          </w:tcPr>
          <w:p w14:paraId="2293F440">
            <w:pPr>
              <w:tabs>
                <w:tab w:val="left" w:pos="7665"/>
              </w:tabs>
              <w:snapToGrid w:val="0"/>
              <w:rPr>
                <w:rFonts w:hint="eastAsia" w:ascii="宋体" w:hAnsi="宋体" w:cs="宋体"/>
                <w:b/>
                <w:bCs/>
                <w:sz w:val="24"/>
                <w:u w:val="single"/>
              </w:rPr>
            </w:pPr>
            <w:r>
              <w:rPr>
                <w:rFonts w:hint="eastAsia" w:ascii="宋体" w:hAnsi="宋体" w:cs="宋体"/>
                <w:b/>
                <w:bCs/>
                <w:sz w:val="24"/>
              </w:rPr>
              <w:t>项目对接人：张锋莉</w:t>
            </w:r>
          </w:p>
          <w:p w14:paraId="08B6BBE9">
            <w:pPr>
              <w:tabs>
                <w:tab w:val="left" w:pos="7665"/>
              </w:tabs>
              <w:snapToGrid w:val="0"/>
              <w:rPr>
                <w:rFonts w:hint="default" w:ascii="宋体" w:hAnsi="宋体" w:eastAsia="宋体" w:cs="宋体"/>
                <w:b/>
                <w:bCs/>
                <w:sz w:val="24"/>
                <w:u w:val="single"/>
                <w:lang w:val="en-US" w:eastAsia="zh-CN"/>
              </w:rPr>
            </w:pPr>
            <w:r>
              <w:rPr>
                <w:rFonts w:hint="eastAsia" w:ascii="宋体" w:hAnsi="宋体" w:cs="宋体"/>
                <w:b/>
                <w:bCs/>
                <w:sz w:val="24"/>
              </w:rPr>
              <w:t>联系电话：</w:t>
            </w:r>
            <w:r>
              <w:rPr>
                <w:rFonts w:hint="eastAsia" w:ascii="宋体" w:hAnsi="宋体" w:cs="宋体"/>
                <w:b/>
                <w:bCs/>
                <w:sz w:val="24"/>
                <w:lang w:val="en-US" w:eastAsia="zh-CN"/>
              </w:rPr>
              <w:t>86868616</w:t>
            </w:r>
          </w:p>
          <w:p w14:paraId="2584B468">
            <w:pPr>
              <w:tabs>
                <w:tab w:val="left" w:pos="7665"/>
              </w:tabs>
              <w:snapToGrid w:val="0"/>
              <w:rPr>
                <w:rFonts w:hint="eastAsia" w:ascii="宋体" w:hAnsi="宋体" w:cs="宋体"/>
                <w:sz w:val="24"/>
                <w:u w:val="single"/>
              </w:rPr>
            </w:pPr>
            <w:r>
              <w:rPr>
                <w:rFonts w:hint="eastAsia" w:ascii="宋体" w:hAnsi="宋体" w:cs="宋体"/>
                <w:b/>
                <w:bCs/>
                <w:sz w:val="24"/>
              </w:rPr>
              <w:t>电子邮箱：</w:t>
            </w:r>
            <w:r>
              <w:rPr>
                <w:rFonts w:hint="eastAsia" w:ascii="宋体" w:hAnsi="宋体" w:cs="宋体"/>
                <w:b/>
                <w:bCs/>
                <w:sz w:val="24"/>
                <w:u w:val="single"/>
              </w:rPr>
              <w:t xml:space="preserve">  /   </w:t>
            </w:r>
          </w:p>
        </w:tc>
      </w:tr>
    </w:tbl>
    <w:p w14:paraId="2F296A95">
      <w:pPr>
        <w:widowControl/>
        <w:jc w:val="center"/>
        <w:rPr>
          <w:rFonts w:hint="eastAsia" w:ascii="宋体" w:hAnsi="宋体" w:cs="宋体"/>
          <w:b/>
          <w:sz w:val="32"/>
          <w:szCs w:val="32"/>
        </w:rPr>
      </w:pPr>
    </w:p>
    <w:p w14:paraId="52DB5C72">
      <w:pPr>
        <w:widowControl/>
        <w:jc w:val="center"/>
        <w:rPr>
          <w:rFonts w:hint="eastAsia" w:ascii="宋体" w:hAnsi="宋体" w:cs="宋体"/>
          <w:b/>
          <w:sz w:val="32"/>
          <w:szCs w:val="32"/>
        </w:rPr>
      </w:pPr>
    </w:p>
    <w:p w14:paraId="0DCB04F1">
      <w:pPr>
        <w:widowControl/>
        <w:jc w:val="center"/>
        <w:rPr>
          <w:rFonts w:hint="eastAsia" w:ascii="宋体" w:hAnsi="宋体" w:cs="宋体"/>
          <w:b/>
          <w:sz w:val="32"/>
          <w:szCs w:val="32"/>
        </w:rPr>
      </w:pPr>
    </w:p>
    <w:p w14:paraId="6D95878E">
      <w:pPr>
        <w:widowControl/>
        <w:jc w:val="both"/>
        <w:rPr>
          <w:rFonts w:hint="eastAsia" w:ascii="宋体" w:hAnsi="宋体" w:cs="宋体"/>
          <w:b/>
          <w:sz w:val="32"/>
          <w:szCs w:val="32"/>
        </w:rPr>
      </w:pPr>
    </w:p>
    <w:p w14:paraId="52D57BB0">
      <w:pPr>
        <w:widowControl/>
        <w:jc w:val="both"/>
        <w:rPr>
          <w:rFonts w:hint="eastAsia" w:ascii="宋体" w:hAnsi="宋体" w:cs="宋体"/>
          <w:b/>
          <w:sz w:val="24"/>
          <w:szCs w:val="24"/>
        </w:rPr>
      </w:pPr>
    </w:p>
    <w:p w14:paraId="086F50F1">
      <w:pPr>
        <w:widowControl/>
        <w:jc w:val="center"/>
        <w:rPr>
          <w:rFonts w:hint="eastAsia" w:ascii="宋体" w:hAnsi="宋体" w:cs="宋体"/>
          <w:b/>
          <w:sz w:val="24"/>
          <w:szCs w:val="24"/>
        </w:rPr>
      </w:pPr>
      <w:r>
        <w:rPr>
          <w:rFonts w:hint="eastAsia" w:ascii="宋体" w:hAnsi="宋体" w:cs="宋体"/>
          <w:b/>
          <w:sz w:val="24"/>
          <w:szCs w:val="24"/>
        </w:rPr>
        <w:t>需求框架（服务类）</w:t>
      </w:r>
    </w:p>
    <w:p w14:paraId="1FAE5B9A">
      <w:pPr>
        <w:numPr>
          <w:ilvl w:val="0"/>
          <w:numId w:val="1"/>
        </w:numPr>
        <w:pBdr>
          <w:bottom w:val="single" w:color="auto" w:sz="4" w:space="1"/>
        </w:pBdr>
        <w:spacing w:line="500" w:lineRule="exact"/>
        <w:ind w:firstLine="482" w:firstLineChars="200"/>
        <w:rPr>
          <w:rFonts w:hint="eastAsia" w:ascii="宋体" w:hAnsi="宋体" w:cs="宋体"/>
          <w:b/>
          <w:sz w:val="24"/>
          <w:szCs w:val="24"/>
        </w:rPr>
      </w:pPr>
      <w:r>
        <w:rPr>
          <w:rFonts w:hint="eastAsia" w:ascii="宋体" w:hAnsi="宋体" w:cs="宋体"/>
          <w:b/>
          <w:sz w:val="24"/>
          <w:szCs w:val="24"/>
        </w:rPr>
        <w:t>项目概况</w:t>
      </w:r>
    </w:p>
    <w:p w14:paraId="4AE224B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阎良区党政机关办公用房权属统一登记地籍调查项目，</w:t>
      </w:r>
      <w:r>
        <w:rPr>
          <w:rFonts w:ascii="宋体" w:hAnsi="宋体" w:cs="宋体"/>
          <w:sz w:val="24"/>
          <w:szCs w:val="24"/>
        </w:rPr>
        <w:t>阎良区行政区内党政机关及参公事业单位办</w:t>
      </w:r>
      <w:r>
        <w:rPr>
          <w:rFonts w:hint="eastAsia" w:ascii="宋体" w:hAnsi="宋体" w:cs="宋体"/>
          <w:sz w:val="24"/>
          <w:szCs w:val="24"/>
        </w:rPr>
        <w:t>公用房</w:t>
      </w:r>
      <w:r>
        <w:rPr>
          <w:rFonts w:hint="eastAsia" w:ascii="宋体" w:hAnsi="宋体" w:cs="宋体"/>
          <w:sz w:val="24"/>
          <w:szCs w:val="24"/>
          <w:lang w:eastAsia="zh-CN"/>
        </w:rPr>
        <w:t>，</w:t>
      </w:r>
      <w:r>
        <w:rPr>
          <w:rFonts w:hint="eastAsia" w:ascii="宋体" w:hAnsi="宋体" w:cs="宋体"/>
          <w:sz w:val="24"/>
          <w:szCs w:val="24"/>
          <w:lang w:val="en-US" w:eastAsia="zh-CN"/>
        </w:rPr>
        <w:t>预估</w:t>
      </w:r>
      <w:r>
        <w:rPr>
          <w:rFonts w:hint="eastAsia" w:ascii="宋体" w:hAnsi="宋体" w:cs="宋体"/>
          <w:sz w:val="24"/>
          <w:szCs w:val="24"/>
        </w:rPr>
        <w:t>项目土地宗地界址点（个）650个</w:t>
      </w:r>
      <w:r>
        <w:rPr>
          <w:rFonts w:hint="eastAsia" w:ascii="宋体" w:hAnsi="宋体" w:cs="宋体"/>
          <w:sz w:val="24"/>
          <w:szCs w:val="24"/>
          <w:lang w:eastAsia="zh-CN"/>
        </w:rPr>
        <w:t>。</w:t>
      </w:r>
    </w:p>
    <w:p w14:paraId="500E6EAF">
      <w:pPr>
        <w:pBdr>
          <w:bottom w:val="single" w:color="auto" w:sz="4" w:space="1"/>
        </w:pBdr>
        <w:spacing w:line="500" w:lineRule="exact"/>
        <w:ind w:firstLine="482" w:firstLineChars="200"/>
        <w:rPr>
          <w:rFonts w:hint="eastAsia" w:ascii="宋体" w:hAnsi="宋体" w:cs="宋体"/>
          <w:b/>
          <w:sz w:val="24"/>
          <w:szCs w:val="24"/>
        </w:rPr>
      </w:pPr>
      <w:r>
        <w:rPr>
          <w:rFonts w:hint="eastAsia" w:ascii="宋体" w:hAnsi="宋体" w:cs="宋体"/>
          <w:b/>
          <w:sz w:val="24"/>
          <w:szCs w:val="24"/>
        </w:rPr>
        <w:t>二、</w:t>
      </w:r>
      <w:r>
        <w:rPr>
          <w:rFonts w:hint="eastAsia" w:ascii="宋体" w:hAnsi="宋体" w:cs="宋体"/>
          <w:b/>
          <w:color w:val="auto"/>
          <w:sz w:val="24"/>
          <w:szCs w:val="24"/>
        </w:rPr>
        <w:t>服务内容</w:t>
      </w:r>
      <w:r>
        <w:rPr>
          <w:rFonts w:hint="eastAsia" w:ascii="宋体" w:hAnsi="宋体" w:cs="宋体"/>
          <w:b/>
          <w:sz w:val="24"/>
          <w:szCs w:val="24"/>
        </w:rPr>
        <w:t>（包括工作区域、工作内容等）</w:t>
      </w:r>
    </w:p>
    <w:p w14:paraId="37F6CD08">
      <w:pPr>
        <w:spacing w:line="500" w:lineRule="exact"/>
        <w:ind w:firstLine="482" w:firstLineChars="200"/>
        <w:rPr>
          <w:rFonts w:hint="eastAsia" w:ascii="宋体" w:hAnsi="宋体" w:cs="宋体"/>
          <w:bCs/>
          <w:sz w:val="24"/>
          <w:szCs w:val="24"/>
        </w:rPr>
      </w:pPr>
      <w:r>
        <w:rPr>
          <w:rFonts w:hint="eastAsia" w:ascii="宋体" w:hAnsi="宋体" w:cs="宋体"/>
          <w:b/>
          <w:sz w:val="24"/>
          <w:szCs w:val="24"/>
        </w:rPr>
        <w:t>1、项目实施地点：</w:t>
      </w:r>
      <w:r>
        <w:rPr>
          <w:rFonts w:hint="eastAsia" w:ascii="宋体" w:hAnsi="宋体" w:cs="宋体"/>
          <w:sz w:val="24"/>
          <w:szCs w:val="24"/>
        </w:rPr>
        <w:t>西安市阎良区</w:t>
      </w:r>
    </w:p>
    <w:p w14:paraId="24915A64">
      <w:pPr>
        <w:spacing w:line="500" w:lineRule="exact"/>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color w:val="auto"/>
          <w:sz w:val="24"/>
          <w:szCs w:val="24"/>
        </w:rPr>
        <w:t>工作内容：</w:t>
      </w:r>
    </w:p>
    <w:p w14:paraId="38454795">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阎良区行政区内党政机关及参公事业单位办公用房进行地籍调查：权属调查、地籍测量等工作，并出具符合办理土地权属登记要求的成果报告，参照</w:t>
      </w:r>
      <w:r>
        <w:rPr>
          <w:rFonts w:ascii="宋体" w:hAnsi="宋体" w:eastAsia="宋体" w:cs="宋体"/>
          <w:color w:val="000000" w:themeColor="text1"/>
          <w:kern w:val="2"/>
          <w:sz w:val="24"/>
          <w:szCs w:val="24"/>
          <w:lang w:eastAsia="zh-CN"/>
          <w14:textFill>
            <w14:solidFill>
              <w14:schemeClr w14:val="tx1"/>
            </w14:solidFill>
          </w14:textFill>
        </w:rPr>
        <w:t>处遗政策办理</w:t>
      </w:r>
      <w:r>
        <w:rPr>
          <w:rFonts w:ascii="宋体" w:hAnsi="宋体" w:eastAsia="宋体" w:cs="宋体"/>
          <w:kern w:val="2"/>
          <w:sz w:val="24"/>
          <w:szCs w:val="24"/>
          <w:lang w:eastAsia="zh-CN"/>
        </w:rPr>
        <w:t>，最终满足办公用房转移登记或备案移交工作服务要求。</w:t>
      </w:r>
    </w:p>
    <w:p w14:paraId="5E3B2716">
      <w:pPr>
        <w:pBdr>
          <w:bottom w:val="single" w:color="auto" w:sz="4" w:space="1"/>
        </w:pBdr>
        <w:spacing w:line="500" w:lineRule="exact"/>
        <w:ind w:firstLine="482" w:firstLineChars="200"/>
        <w:rPr>
          <w:rFonts w:hint="eastAsia" w:ascii="宋体" w:hAnsi="宋体" w:cs="宋体"/>
          <w:b/>
          <w:sz w:val="24"/>
          <w:szCs w:val="24"/>
        </w:rPr>
      </w:pPr>
      <w:r>
        <w:rPr>
          <w:rFonts w:hint="eastAsia" w:ascii="宋体" w:hAnsi="宋体" w:cs="宋体"/>
          <w:b/>
          <w:sz w:val="24"/>
          <w:szCs w:val="24"/>
        </w:rPr>
        <w:t>三、技术要求（如有，一般适合于技术服务项目）</w:t>
      </w:r>
    </w:p>
    <w:p w14:paraId="118F4C9D">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供应商需要出具符合国家行业标准和行政主管部门办理不动产权属登记或备案登记有关要求的成果报告。</w:t>
      </w:r>
    </w:p>
    <w:p w14:paraId="4B95357B">
      <w:pPr>
        <w:pBdr>
          <w:bottom w:val="single" w:color="auto" w:sz="4" w:space="1"/>
        </w:pBdr>
        <w:spacing w:line="500" w:lineRule="atLeast"/>
        <w:ind w:firstLine="482" w:firstLineChars="200"/>
        <w:rPr>
          <w:rFonts w:hint="eastAsia" w:ascii="宋体" w:hAnsi="宋体" w:cs="宋体"/>
          <w:b/>
          <w:sz w:val="24"/>
          <w:szCs w:val="24"/>
        </w:rPr>
      </w:pPr>
      <w:r>
        <w:rPr>
          <w:rFonts w:hint="eastAsia" w:ascii="宋体" w:hAnsi="宋体" w:cs="宋体"/>
          <w:b/>
          <w:sz w:val="24"/>
          <w:szCs w:val="24"/>
        </w:rPr>
        <w:t>四、</w:t>
      </w:r>
      <w:r>
        <w:rPr>
          <w:rFonts w:hint="eastAsia" w:ascii="宋体" w:hAnsi="宋体" w:cs="宋体"/>
          <w:b/>
          <w:color w:val="auto"/>
          <w:sz w:val="24"/>
          <w:szCs w:val="24"/>
        </w:rPr>
        <w:t>服务要求</w:t>
      </w:r>
      <w:r>
        <w:rPr>
          <w:rFonts w:hint="eastAsia" w:ascii="宋体" w:hAnsi="宋体" w:cs="宋体"/>
          <w:b/>
          <w:sz w:val="24"/>
          <w:szCs w:val="24"/>
        </w:rPr>
        <w:t>（如对人员配置、专业设备、服务标准等）</w:t>
      </w:r>
    </w:p>
    <w:p w14:paraId="350CD5A3">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提供拟派项目负责人具备注册测绘师或中级及以上工程师职称</w:t>
      </w:r>
      <w:r>
        <w:rPr>
          <w:rFonts w:hint="eastAsia" w:ascii="宋体" w:hAnsi="宋体" w:cs="宋体"/>
          <w:sz w:val="24"/>
          <w:szCs w:val="24"/>
        </w:rPr>
        <w:t>；</w:t>
      </w:r>
    </w:p>
    <w:p w14:paraId="6E230BCD">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2、供应商需安排不少于4位专职人员对接、专职驻场工作。</w:t>
      </w:r>
    </w:p>
    <w:p w14:paraId="416643C5">
      <w:pPr>
        <w:spacing w:line="360" w:lineRule="auto"/>
        <w:ind w:firstLine="480" w:firstLineChars="200"/>
        <w:rPr>
          <w:rFonts w:hint="eastAsia" w:ascii="宋体" w:hAnsi="宋体" w:cs="宋体"/>
          <w:sz w:val="24"/>
          <w:szCs w:val="24"/>
        </w:rPr>
      </w:pPr>
      <w:r>
        <w:rPr>
          <w:rFonts w:hint="eastAsia" w:ascii="宋体" w:hAnsi="宋体" w:cs="宋体"/>
          <w:sz w:val="24"/>
          <w:szCs w:val="24"/>
        </w:rPr>
        <w:t>3、成果报告要求：服务成果经采购人确认后，按照采购人时限要求，出具符合国家行业标准和行政主管部门办理不动产权属登记或备案登记的成果报告。</w:t>
      </w:r>
    </w:p>
    <w:p w14:paraId="61DB83F1">
      <w:pPr>
        <w:pStyle w:val="40"/>
        <w:spacing w:line="360" w:lineRule="auto"/>
        <w:ind w:firstLine="480"/>
        <w:rPr>
          <w:rFonts w:ascii="宋体" w:hAnsi="宋体" w:eastAsia="宋体" w:cs="宋体"/>
          <w:kern w:val="2"/>
          <w:sz w:val="24"/>
          <w:szCs w:val="24"/>
          <w:lang w:eastAsia="zh-CN"/>
        </w:rPr>
      </w:pPr>
      <w:r>
        <w:rPr>
          <w:rFonts w:ascii="宋体" w:hAnsi="宋体" w:eastAsia="宋体" w:cs="宋体"/>
          <w:kern w:val="2"/>
          <w:sz w:val="24"/>
          <w:szCs w:val="24"/>
          <w:lang w:eastAsia="zh-CN"/>
        </w:rPr>
        <w:t>4、成果报告一式三份，主要内容应当符合国家行业标准和行政主管部门办理不动产权属登记或备案登记的有关要求。</w:t>
      </w:r>
    </w:p>
    <w:p w14:paraId="3D21DF02">
      <w:pPr>
        <w:spacing w:line="360" w:lineRule="auto"/>
        <w:ind w:firstLine="480" w:firstLineChars="200"/>
        <w:rPr>
          <w:rFonts w:hint="eastAsia" w:ascii="宋体" w:hAnsi="宋体" w:cs="宋体"/>
          <w:sz w:val="24"/>
          <w:szCs w:val="24"/>
        </w:rPr>
      </w:pPr>
      <w:r>
        <w:rPr>
          <w:rFonts w:hint="eastAsia" w:ascii="宋体" w:hAnsi="宋体" w:cs="宋体"/>
          <w:sz w:val="24"/>
          <w:szCs w:val="24"/>
        </w:rPr>
        <w:t>5、乙方须按照不动产登记主管部门规定和标准，修改完善成果报告，直至符合权属登记或备案登记的要求，不再另行收费。</w:t>
      </w:r>
    </w:p>
    <w:p w14:paraId="0C3865A6">
      <w:pPr>
        <w:pBdr>
          <w:bottom w:val="single" w:color="auto" w:sz="4" w:space="1"/>
        </w:pBdr>
        <w:spacing w:before="312" w:beforeLines="100"/>
        <w:ind w:left="420" w:hanging="420"/>
        <w:rPr>
          <w:rFonts w:hint="eastAsia" w:ascii="宋体" w:hAnsi="宋体" w:cs="宋体"/>
          <w:b/>
          <w:sz w:val="24"/>
          <w:szCs w:val="24"/>
        </w:rPr>
      </w:pPr>
      <w:r>
        <w:rPr>
          <w:rFonts w:hint="eastAsia" w:ascii="宋体" w:hAnsi="宋体" w:cs="宋体"/>
          <w:b/>
          <w:sz w:val="24"/>
          <w:szCs w:val="24"/>
        </w:rPr>
        <w:t>五、商务要求（如服务期限、款项结算等）</w:t>
      </w:r>
    </w:p>
    <w:p w14:paraId="22F126FB">
      <w:pPr>
        <w:rPr>
          <w:rFonts w:hint="eastAsia" w:ascii="宋体" w:hAnsi="宋体" w:cs="宋体"/>
          <w:sz w:val="24"/>
          <w:szCs w:val="24"/>
        </w:rPr>
      </w:pPr>
    </w:p>
    <w:p w14:paraId="32131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p>
    <w:p w14:paraId="45FBB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（二）款项结算：</w:t>
      </w:r>
    </w:p>
    <w:p w14:paraId="5B57A6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1、付款：</w:t>
      </w:r>
      <w:r>
        <w:rPr>
          <w:rFonts w:hint="eastAsia" w:ascii="宋体" w:hAnsi="宋体" w:eastAsia="宋体" w:cs="宋体"/>
          <w:sz w:val="24"/>
          <w:szCs w:val="24"/>
          <w:lang w:val="en-US" w:eastAsia="zh-CN"/>
        </w:rPr>
        <w:t>供应商完成党政机关办公用房权属统一登记地籍调查</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，出具合格的</w:t>
      </w:r>
      <w:r>
        <w:rPr>
          <w:rFonts w:hint="eastAsia" w:ascii="宋体" w:hAnsi="宋体" w:cs="宋体"/>
          <w:sz w:val="24"/>
          <w:szCs w:val="24"/>
          <w:lang w:val="en-US" w:eastAsia="zh-CN"/>
        </w:rPr>
        <w:t>成果</w:t>
      </w:r>
      <w:r>
        <w:rPr>
          <w:rFonts w:hint="eastAsia" w:ascii="宋体" w:hAnsi="宋体" w:eastAsia="宋体" w:cs="宋体"/>
          <w:sz w:val="24"/>
          <w:szCs w:val="24"/>
          <w:lang w:val="en-US" w:eastAsia="zh-CN"/>
        </w:rPr>
        <w:t>报告，根据工作量据实结算，采购人在收到发票10个工作日内无异议的，一次性支付</w:t>
      </w:r>
      <w:r>
        <w:rPr>
          <w:rFonts w:hint="eastAsia" w:ascii="宋体" w:hAnsi="宋体" w:cs="宋体"/>
          <w:sz w:val="24"/>
          <w:szCs w:val="24"/>
          <w:lang w:val="en-US" w:eastAsia="zh-CN"/>
        </w:rPr>
        <w:t>调查服务</w:t>
      </w:r>
      <w:r>
        <w:rPr>
          <w:rFonts w:hint="eastAsia" w:ascii="宋体" w:hAnsi="宋体" w:eastAsia="宋体" w:cs="宋体"/>
          <w:sz w:val="24"/>
          <w:szCs w:val="24"/>
          <w:lang w:val="en-US" w:eastAsia="zh-CN"/>
        </w:rPr>
        <w:t>费的100%。</w:t>
      </w:r>
    </w:p>
    <w:p w14:paraId="52DE1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2、结算方式：供应商持成交通知书、合同、正式发票、验收单，与采购人进行结算。</w:t>
      </w:r>
    </w:p>
    <w:p w14:paraId="26FD7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eastAsia="宋体" w:cs="宋体"/>
          <w:color w:val="auto"/>
          <w:sz w:val="24"/>
          <w:szCs w:val="24"/>
          <w:lang w:val="en-US" w:eastAsia="zh-CN"/>
        </w:rPr>
        <w:t>3、采购人付款前供应商要如实开具发票，不得变更开票内容，供应商开具发票出现税务争议时，供应商需承担税款、滞纳金、罚款等赔偿责任以及其他相关责任。</w:t>
      </w:r>
    </w:p>
    <w:p w14:paraId="52EE0915">
      <w:pPr>
        <w:pBdr>
          <w:bottom w:val="single" w:color="auto" w:sz="4" w:space="1"/>
        </w:pBdr>
        <w:spacing w:before="312" w:beforeLines="100"/>
        <w:ind w:left="420" w:hanging="420"/>
        <w:rPr>
          <w:rFonts w:hint="eastAsia" w:ascii="宋体" w:hAnsi="宋体" w:cs="宋体"/>
          <w:b/>
          <w:sz w:val="24"/>
          <w:szCs w:val="24"/>
        </w:rPr>
      </w:pPr>
      <w:r>
        <w:rPr>
          <w:rFonts w:hint="eastAsia" w:ascii="宋体" w:hAnsi="宋体" w:cs="宋体"/>
          <w:b/>
          <w:sz w:val="24"/>
          <w:szCs w:val="24"/>
        </w:rPr>
        <w:t>六、其他（如有要求，请写明）</w:t>
      </w:r>
    </w:p>
    <w:p w14:paraId="4BCE512D">
      <w:pPr>
        <w:rPr>
          <w:rFonts w:hint="eastAsia" w:ascii="宋体" w:hAnsi="宋体" w:cs="宋体"/>
          <w:sz w:val="24"/>
          <w:szCs w:val="24"/>
        </w:rPr>
      </w:pPr>
    </w:p>
    <w:p w14:paraId="7C42035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（一）对服务商的业绩要求</w:t>
      </w:r>
    </w:p>
    <w:p w14:paraId="478E1281">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服务商应提供近三年（2022年1月至今）类似服务项目业绩。      </w:t>
      </w:r>
    </w:p>
    <w:p w14:paraId="1A15FE3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（二）进度要求：</w:t>
      </w:r>
    </w:p>
    <w:p w14:paraId="0AE17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eastAsia="宋体" w:cs="宋体"/>
          <w:color w:val="auto"/>
          <w:sz w:val="24"/>
          <w:szCs w:val="24"/>
          <w:lang w:val="en-US" w:eastAsia="zh-CN"/>
        </w:rPr>
        <w:t>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r>
        <w:rPr>
          <w:rFonts w:hint="eastAsia" w:ascii="宋体" w:hAnsi="宋体" w:cs="宋体"/>
          <w:sz w:val="24"/>
          <w:szCs w:val="24"/>
        </w:rPr>
        <w:t>乙方应在服务期限内完成所有项目、通过甲方验收。</w:t>
      </w:r>
    </w:p>
    <w:p w14:paraId="5ECBC183">
      <w:pPr>
        <w:spacing w:line="360" w:lineRule="auto"/>
        <w:ind w:firstLine="482" w:firstLineChars="200"/>
        <w:rPr>
          <w:rFonts w:hint="eastAsia" w:ascii="宋体" w:hAnsi="宋体" w:cs="宋体"/>
          <w:b/>
          <w:bCs/>
          <w:color w:val="FF0000"/>
          <w:sz w:val="24"/>
          <w:szCs w:val="24"/>
        </w:rPr>
      </w:pPr>
      <w:r>
        <w:rPr>
          <w:rFonts w:hint="eastAsia" w:ascii="宋体" w:hAnsi="宋体" w:cs="宋体"/>
          <w:b/>
          <w:bCs/>
          <w:sz w:val="24"/>
          <w:szCs w:val="24"/>
        </w:rPr>
        <w:t>（三）成果交付要求：</w:t>
      </w:r>
    </w:p>
    <w:p w14:paraId="43BC058E">
      <w:pPr>
        <w:spacing w:line="500" w:lineRule="exact"/>
        <w:ind w:firstLine="480" w:firstLineChars="200"/>
        <w:rPr>
          <w:rFonts w:hint="eastAsia" w:ascii="宋体" w:hAnsi="宋体" w:cs="宋体"/>
          <w:sz w:val="24"/>
          <w:szCs w:val="24"/>
        </w:rPr>
      </w:pPr>
      <w:r>
        <w:rPr>
          <w:rFonts w:hint="eastAsia" w:ascii="宋体" w:hAnsi="宋体" w:cs="宋体"/>
          <w:sz w:val="24"/>
          <w:szCs w:val="24"/>
        </w:rPr>
        <w:t>1、乙方应就每个不动产分别提交成果报告一式三份，主要内容应当符合国家行业标准和行政主管部门办理不动产权属登记或备案登记的有关要求。</w:t>
      </w:r>
    </w:p>
    <w:p w14:paraId="37151D17">
      <w:pPr>
        <w:spacing w:line="500" w:lineRule="exact"/>
        <w:ind w:firstLine="480" w:firstLineChars="200"/>
        <w:rPr>
          <w:rFonts w:hint="eastAsia" w:ascii="宋体" w:hAnsi="宋体" w:cs="宋体"/>
          <w:sz w:val="24"/>
          <w:szCs w:val="24"/>
        </w:rPr>
      </w:pPr>
      <w:r>
        <w:rPr>
          <w:rFonts w:hint="eastAsia" w:ascii="宋体" w:hAnsi="宋体" w:cs="宋体"/>
          <w:sz w:val="24"/>
          <w:szCs w:val="24"/>
        </w:rPr>
        <w:t>2、乙方须按照不动产登记主管部门规定和标准，修改完善成果报告，直至符合权属登记或备案登记的要求，不再另行收费。</w:t>
      </w:r>
    </w:p>
    <w:p w14:paraId="4BD9966D">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（四）质量验收标准或规范</w:t>
      </w:r>
    </w:p>
    <w:p w14:paraId="53DD0A45">
      <w:pPr>
        <w:spacing w:line="360" w:lineRule="auto"/>
        <w:ind w:firstLine="480" w:firstLineChars="200"/>
        <w:rPr>
          <w:rFonts w:hint="eastAsia" w:ascii="宋体" w:hAnsi="宋体" w:cs="宋体"/>
          <w:sz w:val="24"/>
          <w:szCs w:val="24"/>
        </w:rPr>
      </w:pPr>
      <w:r>
        <w:rPr>
          <w:rFonts w:hint="eastAsia" w:ascii="宋体" w:hAnsi="宋体" w:cs="宋体"/>
          <w:sz w:val="24"/>
          <w:szCs w:val="24"/>
        </w:rPr>
        <w:t>1、出具地籍调查报告并取得产权证或备案登记证书后按照乙方所提供的资料及数据进行验收;</w:t>
      </w:r>
    </w:p>
    <w:p w14:paraId="61DFDEE4">
      <w:pPr>
        <w:spacing w:line="360" w:lineRule="auto"/>
        <w:ind w:firstLine="480" w:firstLineChars="200"/>
        <w:rPr>
          <w:rFonts w:hint="eastAsia" w:ascii="宋体" w:hAnsi="宋体" w:cs="宋体"/>
          <w:sz w:val="24"/>
          <w:szCs w:val="24"/>
        </w:rPr>
      </w:pPr>
      <w:r>
        <w:rPr>
          <w:rFonts w:hint="eastAsia" w:ascii="宋体" w:hAnsi="宋体" w:cs="宋体"/>
          <w:sz w:val="24"/>
          <w:szCs w:val="24"/>
        </w:rPr>
        <w:t>2、需按照甲方确定的时间完成交付并验收合格，验收合格后填写验收单。</w:t>
      </w:r>
    </w:p>
    <w:p w14:paraId="6476CB42">
      <w:pPr>
        <w:spacing w:line="360" w:lineRule="auto"/>
        <w:ind w:firstLine="480" w:firstLineChars="200"/>
        <w:rPr>
          <w:rFonts w:hint="eastAsia" w:ascii="宋体" w:hAnsi="宋体" w:cs="宋体"/>
          <w:sz w:val="24"/>
          <w:szCs w:val="24"/>
        </w:rPr>
      </w:pPr>
      <w:r>
        <w:rPr>
          <w:rFonts w:hint="eastAsia" w:ascii="宋体" w:hAnsi="宋体" w:cs="宋体"/>
          <w:sz w:val="24"/>
          <w:szCs w:val="24"/>
        </w:rPr>
        <w:t>3、验收和评价方式</w:t>
      </w:r>
    </w:p>
    <w:p w14:paraId="3C609B89">
      <w:pPr>
        <w:spacing w:line="360" w:lineRule="auto"/>
        <w:ind w:firstLine="480" w:firstLineChars="200"/>
        <w:rPr>
          <w:rFonts w:hint="eastAsia" w:ascii="宋体" w:hAnsi="宋体" w:cs="宋体"/>
          <w:sz w:val="24"/>
          <w:szCs w:val="24"/>
        </w:rPr>
      </w:pPr>
      <w:r>
        <w:rPr>
          <w:rFonts w:hint="eastAsia" w:ascii="宋体" w:hAnsi="宋体" w:cs="宋体"/>
          <w:sz w:val="24"/>
          <w:szCs w:val="24"/>
        </w:rPr>
        <w:t>3.1 乙方提供的服务最终验收达不到磋商文件要求和磋商响应文件承诺及国家或行业标准，或在使用中发现甲方不能容忍的缺陷等将视为验收不合格，乙方应在甲方要求的时间内无条件完善或要求赔付甲方损失。</w:t>
      </w:r>
    </w:p>
    <w:p w14:paraId="613BBA93">
      <w:pPr>
        <w:spacing w:line="360" w:lineRule="auto"/>
        <w:ind w:firstLine="480" w:firstLineChars="200"/>
        <w:rPr>
          <w:rFonts w:hint="eastAsia" w:ascii="宋体" w:hAnsi="宋体" w:cs="宋体"/>
          <w:sz w:val="24"/>
          <w:szCs w:val="24"/>
        </w:rPr>
      </w:pPr>
      <w:r>
        <w:rPr>
          <w:rFonts w:hint="eastAsia" w:ascii="宋体" w:hAnsi="宋体" w:cs="宋体"/>
          <w:sz w:val="24"/>
          <w:szCs w:val="24"/>
        </w:rPr>
        <w:t>3.2 若发现乙方有弄虚作假的，本项目合同解除，乙方赔偿甲方相应的损失。</w:t>
      </w:r>
    </w:p>
    <w:p w14:paraId="4B717125">
      <w:pPr>
        <w:spacing w:line="360" w:lineRule="auto"/>
        <w:ind w:firstLine="480" w:firstLineChars="200"/>
        <w:rPr>
          <w:rFonts w:hint="eastAsia" w:ascii="宋体" w:hAnsi="宋体" w:cs="宋体"/>
          <w:sz w:val="24"/>
          <w:szCs w:val="24"/>
        </w:rPr>
      </w:pPr>
      <w:r>
        <w:rPr>
          <w:rFonts w:hint="eastAsia" w:ascii="宋体" w:hAnsi="宋体" w:cs="宋体"/>
          <w:sz w:val="24"/>
          <w:szCs w:val="24"/>
        </w:rPr>
        <w:t>3.3 验收标准:按磋商文件、磋商响应文件等服务指标进行逐项验收，各项指标均应符合验收标准及要求。</w:t>
      </w:r>
    </w:p>
    <w:p w14:paraId="5A0E66D1">
      <w:pPr>
        <w:spacing w:line="360" w:lineRule="auto"/>
        <w:ind w:firstLine="480" w:firstLineChars="200"/>
        <w:rPr>
          <w:rFonts w:hint="eastAsia" w:ascii="宋体" w:hAnsi="宋体" w:cs="宋体"/>
          <w:sz w:val="24"/>
          <w:szCs w:val="24"/>
        </w:rPr>
      </w:pPr>
      <w:r>
        <w:rPr>
          <w:rFonts w:hint="eastAsia" w:ascii="宋体" w:hAnsi="宋体" w:cs="宋体"/>
          <w:sz w:val="24"/>
          <w:szCs w:val="24"/>
        </w:rPr>
        <w:t>3.4 验收合格后，填写验收单，双方盖章、</w:t>
      </w:r>
      <w:r>
        <w:rPr>
          <w:rFonts w:hint="eastAsia" w:ascii="宋体" w:hAnsi="宋体" w:cs="宋体"/>
          <w:sz w:val="24"/>
          <w:szCs w:val="24"/>
          <w:lang w:val="en-US" w:eastAsia="zh-CN"/>
        </w:rPr>
        <w:t>签</w:t>
      </w:r>
      <w:bookmarkStart w:id="0" w:name="_GoBack"/>
      <w:bookmarkEnd w:id="0"/>
      <w:r>
        <w:rPr>
          <w:rFonts w:hint="eastAsia" w:ascii="宋体" w:hAnsi="宋体" w:cs="宋体"/>
          <w:sz w:val="24"/>
          <w:szCs w:val="24"/>
        </w:rPr>
        <w:t>字生效。</w:t>
      </w:r>
    </w:p>
    <w:p w14:paraId="758B399D">
      <w:pPr>
        <w:spacing w:line="360" w:lineRule="auto"/>
        <w:ind w:firstLine="480" w:firstLineChars="200"/>
        <w:rPr>
          <w:rFonts w:hint="eastAsia" w:ascii="宋体" w:hAnsi="宋体" w:cs="宋体"/>
          <w:sz w:val="24"/>
          <w:szCs w:val="24"/>
        </w:rPr>
      </w:pPr>
      <w:r>
        <w:rPr>
          <w:rFonts w:hint="eastAsia" w:ascii="宋体" w:hAnsi="宋体" w:cs="宋体"/>
          <w:sz w:val="24"/>
          <w:szCs w:val="24"/>
        </w:rPr>
        <w:t>3.5 验收依据</w:t>
      </w:r>
    </w:p>
    <w:p w14:paraId="792E2621">
      <w:pPr>
        <w:spacing w:line="360" w:lineRule="auto"/>
        <w:ind w:firstLine="480" w:firstLineChars="200"/>
        <w:rPr>
          <w:rFonts w:hint="eastAsia" w:ascii="宋体" w:hAnsi="宋体" w:cs="宋体"/>
          <w:sz w:val="24"/>
          <w:szCs w:val="24"/>
        </w:rPr>
      </w:pPr>
      <w:r>
        <w:rPr>
          <w:rFonts w:hint="eastAsia" w:ascii="宋体" w:hAnsi="宋体" w:cs="宋体"/>
          <w:sz w:val="24"/>
          <w:szCs w:val="24"/>
        </w:rPr>
        <w:t>3.5.1 合同文本。</w:t>
      </w:r>
    </w:p>
    <w:p w14:paraId="7A79C7FB">
      <w:pPr>
        <w:spacing w:line="360" w:lineRule="auto"/>
        <w:ind w:firstLine="480" w:firstLineChars="200"/>
        <w:rPr>
          <w:rFonts w:hint="eastAsia" w:ascii="宋体" w:hAnsi="宋体" w:cs="宋体"/>
          <w:sz w:val="24"/>
          <w:szCs w:val="24"/>
        </w:rPr>
      </w:pPr>
      <w:r>
        <w:rPr>
          <w:rFonts w:hint="eastAsia" w:ascii="宋体" w:hAnsi="宋体" w:cs="宋体"/>
          <w:sz w:val="24"/>
          <w:szCs w:val="24"/>
        </w:rPr>
        <w:t>3.5.2 磋商响应文件、磋商文件、澄清函。</w:t>
      </w:r>
    </w:p>
    <w:p w14:paraId="2CC67CB6">
      <w:pPr>
        <w:spacing w:line="360" w:lineRule="auto"/>
        <w:ind w:firstLine="480" w:firstLineChars="200"/>
        <w:rPr>
          <w:rFonts w:hint="eastAsia" w:ascii="宋体" w:hAnsi="宋体" w:cs="宋体"/>
          <w:sz w:val="24"/>
          <w:szCs w:val="24"/>
        </w:rPr>
      </w:pPr>
      <w:r>
        <w:rPr>
          <w:rFonts w:hint="eastAsia" w:ascii="宋体" w:hAnsi="宋体" w:cs="宋体"/>
          <w:sz w:val="24"/>
          <w:szCs w:val="24"/>
        </w:rPr>
        <w:t>3.5.3 国家和行业制定的相应的标准和规范</w:t>
      </w:r>
    </w:p>
    <w:p w14:paraId="52EDA5F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（五）违约责任</w:t>
      </w:r>
    </w:p>
    <w:p w14:paraId="108BB6EE">
      <w:pPr>
        <w:spacing w:line="360" w:lineRule="auto"/>
        <w:ind w:firstLine="480" w:firstLineChars="200"/>
        <w:rPr>
          <w:rFonts w:hint="eastAsia" w:ascii="宋体" w:hAnsi="宋体" w:cs="宋体"/>
          <w:sz w:val="24"/>
          <w:szCs w:val="24"/>
        </w:rPr>
      </w:pPr>
      <w:r>
        <w:rPr>
          <w:rFonts w:hint="eastAsia" w:ascii="宋体" w:hAnsi="宋体" w:cs="宋体"/>
          <w:sz w:val="24"/>
          <w:szCs w:val="24"/>
        </w:rPr>
        <w:t>1．甲乙双方必须遵守本合同并执行合同中的各项规定，保证本合同的正常履行。</w:t>
      </w:r>
    </w:p>
    <w:p w14:paraId="719A3C98">
      <w:pPr>
        <w:spacing w:line="360" w:lineRule="auto"/>
        <w:ind w:firstLine="480" w:firstLineChars="200"/>
        <w:rPr>
          <w:rFonts w:hint="eastAsia" w:ascii="宋体" w:hAnsi="宋体" w:cs="宋体"/>
          <w:sz w:val="24"/>
          <w:szCs w:val="24"/>
        </w:rPr>
      </w:pPr>
      <w:r>
        <w:rPr>
          <w:rFonts w:hint="eastAsia" w:ascii="宋体" w:hAnsi="宋体" w:cs="宋体"/>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67E675">
      <w:pPr>
        <w:spacing w:line="360" w:lineRule="auto"/>
        <w:ind w:firstLine="480" w:firstLineChars="200"/>
        <w:rPr>
          <w:rFonts w:hint="eastAsia" w:ascii="宋体" w:hAnsi="宋体" w:cs="宋体"/>
          <w:sz w:val="24"/>
          <w:szCs w:val="24"/>
        </w:rPr>
      </w:pPr>
      <w:r>
        <w:rPr>
          <w:rFonts w:hint="eastAsia" w:ascii="宋体" w:hAnsi="宋体" w:cs="宋体"/>
          <w:sz w:val="24"/>
          <w:szCs w:val="24"/>
        </w:rPr>
        <w:t>3.合同争议的解决方式：在执行本合同中发生的或与本合同有关的争端，双方应通过友好协商解决，经协商在30天内不能达成协议时，向甲方所在地有管辖权的人民法院提起诉讼。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88796"/>
    <w:multiLevelType w:val="singleLevel"/>
    <w:tmpl w:val="7C4887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NmNGZiODgyN2IxOTJkNWU1Zjc2OTcxNDc5Ym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087A"/>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4AE4"/>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455D"/>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4789E"/>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42CF"/>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3FBC"/>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6C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16461"/>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3F8C"/>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24D"/>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1B1"/>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68FF"/>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7CEA"/>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04BD"/>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5D6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2B9E"/>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A5907"/>
    <w:rsid w:val="00FB1215"/>
    <w:rsid w:val="00FB4CB0"/>
    <w:rsid w:val="00FB6392"/>
    <w:rsid w:val="00FC39BA"/>
    <w:rsid w:val="00FC3BA5"/>
    <w:rsid w:val="00FC3DAC"/>
    <w:rsid w:val="00FD1428"/>
    <w:rsid w:val="00FD20C5"/>
    <w:rsid w:val="00FD2761"/>
    <w:rsid w:val="00FD37B5"/>
    <w:rsid w:val="00FD4568"/>
    <w:rsid w:val="00FD5B5E"/>
    <w:rsid w:val="00FD613E"/>
    <w:rsid w:val="00FD6F4D"/>
    <w:rsid w:val="00FE05A0"/>
    <w:rsid w:val="00FE3FCF"/>
    <w:rsid w:val="00FF2E19"/>
    <w:rsid w:val="00FF756F"/>
    <w:rsid w:val="010E5B11"/>
    <w:rsid w:val="01B9244C"/>
    <w:rsid w:val="01EE1A85"/>
    <w:rsid w:val="02093B71"/>
    <w:rsid w:val="028440C8"/>
    <w:rsid w:val="02F96864"/>
    <w:rsid w:val="0350044F"/>
    <w:rsid w:val="03FA5565"/>
    <w:rsid w:val="044153C6"/>
    <w:rsid w:val="06E03DFA"/>
    <w:rsid w:val="071C5217"/>
    <w:rsid w:val="077B0190"/>
    <w:rsid w:val="07866B35"/>
    <w:rsid w:val="07E775D3"/>
    <w:rsid w:val="088E3EF3"/>
    <w:rsid w:val="08EB6C4F"/>
    <w:rsid w:val="09191727"/>
    <w:rsid w:val="096E162E"/>
    <w:rsid w:val="09C63218"/>
    <w:rsid w:val="09DB3168"/>
    <w:rsid w:val="0C41302A"/>
    <w:rsid w:val="0CC31C91"/>
    <w:rsid w:val="0E37750E"/>
    <w:rsid w:val="0EAC6FC4"/>
    <w:rsid w:val="0F5337A0"/>
    <w:rsid w:val="10752F31"/>
    <w:rsid w:val="1101524B"/>
    <w:rsid w:val="117E2FEE"/>
    <w:rsid w:val="12502219"/>
    <w:rsid w:val="126A32DB"/>
    <w:rsid w:val="12C66037"/>
    <w:rsid w:val="13893C35"/>
    <w:rsid w:val="13DD7ADC"/>
    <w:rsid w:val="14D64C58"/>
    <w:rsid w:val="17081314"/>
    <w:rsid w:val="17F17DA1"/>
    <w:rsid w:val="18B865C4"/>
    <w:rsid w:val="18D314AE"/>
    <w:rsid w:val="19235F91"/>
    <w:rsid w:val="19866520"/>
    <w:rsid w:val="19A364CF"/>
    <w:rsid w:val="19EF40C6"/>
    <w:rsid w:val="1A564145"/>
    <w:rsid w:val="1AF851FC"/>
    <w:rsid w:val="1CBD494F"/>
    <w:rsid w:val="1CC45CDD"/>
    <w:rsid w:val="1EA57449"/>
    <w:rsid w:val="1EC43D73"/>
    <w:rsid w:val="1EE9607B"/>
    <w:rsid w:val="1F877427"/>
    <w:rsid w:val="1FC85AE5"/>
    <w:rsid w:val="21492AFF"/>
    <w:rsid w:val="21C422DC"/>
    <w:rsid w:val="222608A0"/>
    <w:rsid w:val="22283228"/>
    <w:rsid w:val="22665141"/>
    <w:rsid w:val="22EB3FC4"/>
    <w:rsid w:val="233A0AA7"/>
    <w:rsid w:val="239A1546"/>
    <w:rsid w:val="25052E77"/>
    <w:rsid w:val="25A93CC2"/>
    <w:rsid w:val="25F51FF6"/>
    <w:rsid w:val="26BE379D"/>
    <w:rsid w:val="26F73072"/>
    <w:rsid w:val="2742617D"/>
    <w:rsid w:val="282633A8"/>
    <w:rsid w:val="29233D8C"/>
    <w:rsid w:val="2964062C"/>
    <w:rsid w:val="2A7725E1"/>
    <w:rsid w:val="2CB71AD7"/>
    <w:rsid w:val="2CE51A84"/>
    <w:rsid w:val="2CFC5020"/>
    <w:rsid w:val="2D2C42C6"/>
    <w:rsid w:val="2D740277"/>
    <w:rsid w:val="2E271C28"/>
    <w:rsid w:val="2E49469E"/>
    <w:rsid w:val="2E5D4CF4"/>
    <w:rsid w:val="2EDD678B"/>
    <w:rsid w:val="2F012479"/>
    <w:rsid w:val="30D410B8"/>
    <w:rsid w:val="32227714"/>
    <w:rsid w:val="32F3657D"/>
    <w:rsid w:val="33596D28"/>
    <w:rsid w:val="33D068BE"/>
    <w:rsid w:val="34545741"/>
    <w:rsid w:val="35431A3E"/>
    <w:rsid w:val="356B689E"/>
    <w:rsid w:val="35E45907"/>
    <w:rsid w:val="35ED3757"/>
    <w:rsid w:val="3652180C"/>
    <w:rsid w:val="3801798E"/>
    <w:rsid w:val="38710670"/>
    <w:rsid w:val="39DA0497"/>
    <w:rsid w:val="3A99371F"/>
    <w:rsid w:val="3AC56A51"/>
    <w:rsid w:val="3BAD061E"/>
    <w:rsid w:val="3C942B7F"/>
    <w:rsid w:val="3CAC611A"/>
    <w:rsid w:val="3CF25AF7"/>
    <w:rsid w:val="3D235CB1"/>
    <w:rsid w:val="3D5C1616"/>
    <w:rsid w:val="3D8A5D30"/>
    <w:rsid w:val="3E5A7DF8"/>
    <w:rsid w:val="3F8844F1"/>
    <w:rsid w:val="4050500F"/>
    <w:rsid w:val="40654401"/>
    <w:rsid w:val="409E016F"/>
    <w:rsid w:val="41A547A0"/>
    <w:rsid w:val="42204EB5"/>
    <w:rsid w:val="42611755"/>
    <w:rsid w:val="42A814E3"/>
    <w:rsid w:val="434F77FF"/>
    <w:rsid w:val="439E0787"/>
    <w:rsid w:val="442962A2"/>
    <w:rsid w:val="45CC15DB"/>
    <w:rsid w:val="46767799"/>
    <w:rsid w:val="47240FA3"/>
    <w:rsid w:val="47E26E94"/>
    <w:rsid w:val="47E744AA"/>
    <w:rsid w:val="47FE397B"/>
    <w:rsid w:val="480F1C53"/>
    <w:rsid w:val="4A7F4E6E"/>
    <w:rsid w:val="4ACB3111"/>
    <w:rsid w:val="4B8215B1"/>
    <w:rsid w:val="4BD20FCE"/>
    <w:rsid w:val="4C603DCF"/>
    <w:rsid w:val="4C703CF4"/>
    <w:rsid w:val="4CAE37E9"/>
    <w:rsid w:val="4D7C1D03"/>
    <w:rsid w:val="4DEA4CF4"/>
    <w:rsid w:val="4E2F2707"/>
    <w:rsid w:val="4F2406B8"/>
    <w:rsid w:val="50E81293"/>
    <w:rsid w:val="51031C29"/>
    <w:rsid w:val="514E7348"/>
    <w:rsid w:val="5167665C"/>
    <w:rsid w:val="5278283F"/>
    <w:rsid w:val="546E385E"/>
    <w:rsid w:val="54B85FEF"/>
    <w:rsid w:val="54D42EDD"/>
    <w:rsid w:val="54DA7145"/>
    <w:rsid w:val="54E20E8F"/>
    <w:rsid w:val="556A2277"/>
    <w:rsid w:val="5572737D"/>
    <w:rsid w:val="55BA31FE"/>
    <w:rsid w:val="560E52F8"/>
    <w:rsid w:val="56985BE6"/>
    <w:rsid w:val="56A812A9"/>
    <w:rsid w:val="570C1274"/>
    <w:rsid w:val="57831D16"/>
    <w:rsid w:val="57EE3633"/>
    <w:rsid w:val="587E69F3"/>
    <w:rsid w:val="59376914"/>
    <w:rsid w:val="59CF4D9E"/>
    <w:rsid w:val="5A513A05"/>
    <w:rsid w:val="5B046CCA"/>
    <w:rsid w:val="5B24111A"/>
    <w:rsid w:val="5B95417C"/>
    <w:rsid w:val="5BF84A80"/>
    <w:rsid w:val="5BFB1E7B"/>
    <w:rsid w:val="5C256799"/>
    <w:rsid w:val="5C495FC5"/>
    <w:rsid w:val="5CC42BB4"/>
    <w:rsid w:val="5E677C9B"/>
    <w:rsid w:val="5E9607A3"/>
    <w:rsid w:val="5EBE02DB"/>
    <w:rsid w:val="5F276FFD"/>
    <w:rsid w:val="5F8328B3"/>
    <w:rsid w:val="603718EF"/>
    <w:rsid w:val="603D6F06"/>
    <w:rsid w:val="61265BEC"/>
    <w:rsid w:val="6145382D"/>
    <w:rsid w:val="61630BEE"/>
    <w:rsid w:val="61D07906"/>
    <w:rsid w:val="6311467A"/>
    <w:rsid w:val="63D1452F"/>
    <w:rsid w:val="640D03E9"/>
    <w:rsid w:val="643E324C"/>
    <w:rsid w:val="647E5D3F"/>
    <w:rsid w:val="64DE67DD"/>
    <w:rsid w:val="65652A5B"/>
    <w:rsid w:val="657A02B4"/>
    <w:rsid w:val="67C95523"/>
    <w:rsid w:val="68686AEA"/>
    <w:rsid w:val="68A66D41"/>
    <w:rsid w:val="694C640B"/>
    <w:rsid w:val="6A1A051A"/>
    <w:rsid w:val="6B127E69"/>
    <w:rsid w:val="6B2A452A"/>
    <w:rsid w:val="6C8D4D71"/>
    <w:rsid w:val="6CDA682F"/>
    <w:rsid w:val="6D0F39D8"/>
    <w:rsid w:val="6D231231"/>
    <w:rsid w:val="6D6F091A"/>
    <w:rsid w:val="6E917EFB"/>
    <w:rsid w:val="6F9E4FDF"/>
    <w:rsid w:val="6F9E7295"/>
    <w:rsid w:val="6FDE3B35"/>
    <w:rsid w:val="70756248"/>
    <w:rsid w:val="70D70CB1"/>
    <w:rsid w:val="723D2D95"/>
    <w:rsid w:val="72D635C2"/>
    <w:rsid w:val="743326A2"/>
    <w:rsid w:val="75500725"/>
    <w:rsid w:val="759A04FF"/>
    <w:rsid w:val="760F2C9B"/>
    <w:rsid w:val="77334767"/>
    <w:rsid w:val="77AC297C"/>
    <w:rsid w:val="780659D7"/>
    <w:rsid w:val="79D73ACF"/>
    <w:rsid w:val="7B5A76F3"/>
    <w:rsid w:val="7B644079"/>
    <w:rsid w:val="7BD36518"/>
    <w:rsid w:val="7C454F90"/>
    <w:rsid w:val="7C773348"/>
    <w:rsid w:val="7D6531A0"/>
    <w:rsid w:val="7D6A4C5A"/>
    <w:rsid w:val="7DA737B9"/>
    <w:rsid w:val="7E357016"/>
    <w:rsid w:val="7EE12CFA"/>
    <w:rsid w:val="7F233313"/>
    <w:rsid w:val="7FA75CF2"/>
    <w:rsid w:val="7FAE708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unhideWhenUsed/>
    <w:qFormat/>
    <w:uiPriority w:val="0"/>
    <w:pPr>
      <w:jc w:val="left"/>
    </w:pPr>
  </w:style>
  <w:style w:type="paragraph" w:styleId="4">
    <w:name w:val="Body Text"/>
    <w:basedOn w:val="1"/>
    <w:unhideWhenUsed/>
    <w:qFormat/>
    <w:uiPriority w:val="99"/>
    <w:pPr>
      <w:spacing w:after="120"/>
    </w:pPr>
  </w:style>
  <w:style w:type="paragraph" w:styleId="5">
    <w:name w:val="Balloon Text"/>
    <w:basedOn w:val="1"/>
    <w:link w:val="39"/>
    <w:semiHidden/>
    <w:unhideWhenUsed/>
    <w:qFormat/>
    <w:uiPriority w:val="99"/>
    <w:rPr>
      <w:sz w:val="18"/>
      <w:szCs w:val="18"/>
    </w:rPr>
  </w:style>
  <w:style w:type="paragraph" w:styleId="6">
    <w:name w:val="footer"/>
    <w:basedOn w:val="1"/>
    <w:link w:val="36"/>
    <w:unhideWhenUsed/>
    <w:qFormat/>
    <w:uiPriority w:val="99"/>
    <w:pPr>
      <w:tabs>
        <w:tab w:val="center" w:pos="4153"/>
        <w:tab w:val="right" w:pos="8306"/>
      </w:tabs>
      <w:snapToGrid w:val="0"/>
      <w:jc w:val="left"/>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38"/>
    <w:semiHidden/>
    <w:unhideWhenUsed/>
    <w:qFormat/>
    <w:uiPriority w:val="99"/>
    <w:rPr>
      <w:b/>
      <w:bCs/>
    </w:rPr>
  </w:style>
  <w:style w:type="character" w:styleId="12">
    <w:name w:val="annotation reference"/>
    <w:basedOn w:val="11"/>
    <w:unhideWhenUsed/>
    <w:qFormat/>
    <w:uiPriority w:val="0"/>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20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locked/>
    <w:uiPriority w:val="0"/>
    <w:rPr>
      <w:rFonts w:ascii="宋体" w:hAnsi="宋体" w:eastAsia="宋体" w:cs="宋体"/>
      <w:kern w:val="0"/>
      <w:sz w:val="24"/>
      <w:szCs w:val="24"/>
    </w:rPr>
  </w:style>
  <w:style w:type="character" w:customStyle="1" w:styleId="35">
    <w:name w:val="页眉 字符"/>
    <w:basedOn w:val="11"/>
    <w:link w:val="7"/>
    <w:qFormat/>
    <w:uiPriority w:val="99"/>
    <w:rPr>
      <w:rFonts w:ascii="Calibri" w:hAnsi="Calibri" w:eastAsia="宋体" w:cs="Times New Roman"/>
      <w:sz w:val="18"/>
      <w:szCs w:val="18"/>
    </w:rPr>
  </w:style>
  <w:style w:type="character" w:customStyle="1" w:styleId="36">
    <w:name w:val="页脚 字符"/>
    <w:basedOn w:val="11"/>
    <w:link w:val="6"/>
    <w:qFormat/>
    <w:uiPriority w:val="99"/>
    <w:rPr>
      <w:rFonts w:ascii="Calibri" w:hAnsi="Calibri" w:eastAsia="宋体" w:cs="Times New Roman"/>
      <w:sz w:val="18"/>
      <w:szCs w:val="18"/>
    </w:rPr>
  </w:style>
  <w:style w:type="character" w:customStyle="1" w:styleId="37">
    <w:name w:val="批注文字 字符"/>
    <w:basedOn w:val="11"/>
    <w:link w:val="3"/>
    <w:qFormat/>
    <w:uiPriority w:val="0"/>
    <w:rPr>
      <w:rFonts w:ascii="Calibri" w:hAnsi="Calibri" w:eastAsia="宋体" w:cs="Times New Roman"/>
    </w:rPr>
  </w:style>
  <w:style w:type="character" w:customStyle="1" w:styleId="38">
    <w:name w:val="批注主题 字符"/>
    <w:basedOn w:val="37"/>
    <w:link w:val="9"/>
    <w:semiHidden/>
    <w:qFormat/>
    <w:uiPriority w:val="99"/>
    <w:rPr>
      <w:rFonts w:ascii="Calibri" w:hAnsi="Calibri" w:eastAsia="宋体" w:cs="Times New Roman"/>
      <w:b/>
      <w:bCs/>
    </w:rPr>
  </w:style>
  <w:style w:type="character" w:customStyle="1" w:styleId="39">
    <w:name w:val="批注框文本 字符"/>
    <w:basedOn w:val="11"/>
    <w:link w:val="5"/>
    <w:semiHidden/>
    <w:qFormat/>
    <w:uiPriority w:val="99"/>
    <w:rPr>
      <w:rFonts w:ascii="Calibri" w:hAnsi="Calibri" w:eastAsia="宋体" w:cs="Times New Roman"/>
      <w:sz w:val="18"/>
      <w:szCs w:val="18"/>
    </w:rPr>
  </w:style>
  <w:style w:type="paragraph" w:customStyle="1" w:styleId="40">
    <w:name w:val="null3"/>
    <w:hidden/>
    <w:qFormat/>
    <w:uiPriority w:val="0"/>
    <w:rPr>
      <w:rFonts w:hint="eastAsia" w:asciiTheme="minorHAnsi" w:hAnsiTheme="minorHAnsi" w:eastAsiaTheme="minorEastAsia" w:cstheme="minorBidi"/>
      <w:lang w:val="en-US" w:eastAsia="zh-Hans"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2948</Words>
  <Characters>3146</Characters>
  <Lines>23</Lines>
  <Paragraphs>6</Paragraphs>
  <TotalTime>4</TotalTime>
  <ScaleCrop>false</ScaleCrop>
  <LinksUpToDate>false</LinksUpToDate>
  <CharactersWithSpaces>3174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2025-07-29T05:42:00Z</dcterms:created>
  <dc:creator>lenovo</dc:creator>
  <cp:lastModifiedBy>学凯</cp:lastModifiedBy>
  <dcterms:modified xsi:type="dcterms:W3CDTF">2025-08-07T00:32:45Z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05DA14151C924857BF03819D29ED3077_13</vt:lpwstr>
  </property>
  <property fmtid="{D5CDD505-2E9C-101B-9397-08002B2CF9AE}" pid="4" name="KSOTemplateDocerSaveRecord">
    <vt:lpwstr>eyJoZGlkIjoiN2FmOGNjMjYxYTkzNGI4NWI0Mjc2YjE5MWY5MDBmMDYiLCJ1c2VySWQiOiIyNjkyNTU4MDcifQ==</vt:lpwstr>
  </property>
</Properties>
</file>