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0155D">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b/>
          <w:kern w:val="2"/>
          <w:sz w:val="32"/>
          <w:szCs w:val="32"/>
          <w:lang w:val="en-US" w:eastAsia="zh-CN" w:bidi="ar-SA"/>
        </w:rPr>
      </w:pPr>
      <w:r>
        <w:rPr>
          <w:rFonts w:hint="eastAsia" w:ascii="仿宋" w:hAnsi="仿宋" w:eastAsia="仿宋" w:cs="Times New Roman"/>
          <w:b/>
          <w:kern w:val="2"/>
          <w:sz w:val="32"/>
          <w:szCs w:val="32"/>
          <w:lang w:val="en-US" w:eastAsia="zh-CN" w:bidi="ar-SA"/>
        </w:rPr>
        <w:t>雁塔区2025年老旧小区庭院围墙内雨污水管网更新改造项目管线测绘服务</w:t>
      </w:r>
    </w:p>
    <w:p w14:paraId="778E7AFC">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pPr>
      <w:r>
        <w:rPr>
          <w:rFonts w:hint="eastAsia" w:ascii="仿宋" w:hAnsi="仿宋" w:eastAsia="仿宋" w:cs="Times New Roman"/>
          <w:b/>
          <w:kern w:val="2"/>
          <w:sz w:val="32"/>
          <w:szCs w:val="32"/>
          <w:lang w:val="en-US" w:eastAsia="zh-CN" w:bidi="ar-SA"/>
        </w:rPr>
        <w:t>（技术）服务项目</w:t>
      </w:r>
      <w:r>
        <w:rPr>
          <w:rFonts w:hint="eastAsia" w:ascii="仿宋" w:hAnsi="仿宋" w:eastAsia="仿宋"/>
          <w:b/>
          <w:sz w:val="32"/>
          <w:szCs w:val="32"/>
          <w:lang w:val="en-US" w:eastAsia="zh-CN"/>
        </w:rPr>
        <w:t>采购需求</w:t>
      </w:r>
    </w:p>
    <w:tbl>
      <w:tblPr>
        <w:tblStyle w:val="11"/>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49EF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C643D88">
            <w:pPr>
              <w:snapToGrid w:val="0"/>
              <w:jc w:val="center"/>
              <w:rPr>
                <w:rFonts w:ascii="宋体" w:hAnsi="宋体"/>
                <w:b/>
                <w:sz w:val="24"/>
              </w:rPr>
            </w:pPr>
            <w:r>
              <w:rPr>
                <w:rFonts w:hint="eastAsia" w:ascii="宋体" w:hAnsi="宋体"/>
                <w:b/>
                <w:sz w:val="28"/>
                <w:szCs w:val="28"/>
                <w:lang w:val="zh-CN"/>
              </w:rPr>
              <w:t>序号</w:t>
            </w:r>
          </w:p>
        </w:tc>
        <w:tc>
          <w:tcPr>
            <w:tcW w:w="1556" w:type="dxa"/>
            <w:vAlign w:val="center"/>
          </w:tcPr>
          <w:p w14:paraId="1AFD72F0">
            <w:pPr>
              <w:pStyle w:val="35"/>
              <w:ind w:left="38"/>
              <w:jc w:val="center"/>
              <w:rPr>
                <w:b/>
                <w:kern w:val="2"/>
                <w:lang w:val="zh-CN"/>
              </w:rPr>
            </w:pPr>
            <w:r>
              <w:rPr>
                <w:rFonts w:hint="eastAsia"/>
                <w:b/>
                <w:kern w:val="2"/>
                <w:sz w:val="28"/>
                <w:szCs w:val="28"/>
                <w:lang w:val="zh-CN"/>
              </w:rPr>
              <w:t>关键事项</w:t>
            </w:r>
          </w:p>
        </w:tc>
        <w:tc>
          <w:tcPr>
            <w:tcW w:w="7067" w:type="dxa"/>
            <w:vAlign w:val="center"/>
          </w:tcPr>
          <w:p w14:paraId="1C49AD74">
            <w:pPr>
              <w:pStyle w:val="35"/>
              <w:jc w:val="center"/>
              <w:rPr>
                <w:b/>
                <w:kern w:val="2"/>
                <w:lang w:val="zh-CN"/>
              </w:rPr>
            </w:pPr>
            <w:r>
              <w:rPr>
                <w:rFonts w:hint="eastAsia"/>
                <w:b/>
                <w:kern w:val="2"/>
                <w:sz w:val="28"/>
                <w:szCs w:val="28"/>
                <w:lang w:val="zh-CN"/>
              </w:rPr>
              <w:t>说明和要求</w:t>
            </w:r>
          </w:p>
        </w:tc>
      </w:tr>
      <w:tr w14:paraId="3D24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11D9C64">
            <w:pPr>
              <w:snapToGrid w:val="0"/>
              <w:spacing w:after="200"/>
              <w:jc w:val="center"/>
              <w:rPr>
                <w:rFonts w:ascii="宋体" w:hAnsi="宋体"/>
                <w:sz w:val="28"/>
                <w:szCs w:val="28"/>
                <w:lang w:val="zh-CN"/>
              </w:rPr>
            </w:pPr>
            <w:r>
              <w:rPr>
                <w:rFonts w:ascii="宋体" w:hAnsi="宋体"/>
                <w:sz w:val="28"/>
                <w:szCs w:val="28"/>
                <w:lang w:val="zh-CN"/>
              </w:rPr>
              <w:t>1</w:t>
            </w:r>
          </w:p>
        </w:tc>
        <w:tc>
          <w:tcPr>
            <w:tcW w:w="1556" w:type="dxa"/>
            <w:vAlign w:val="center"/>
          </w:tcPr>
          <w:p w14:paraId="39E5F31A">
            <w:pPr>
              <w:pStyle w:val="35"/>
              <w:ind w:left="38"/>
              <w:jc w:val="center"/>
              <w:rPr>
                <w:kern w:val="2"/>
                <w:lang w:val="zh-CN"/>
              </w:rPr>
            </w:pPr>
            <w:r>
              <w:rPr>
                <w:rFonts w:hint="eastAsia"/>
                <w:kern w:val="2"/>
                <w:lang w:val="zh-CN"/>
              </w:rPr>
              <w:t>采购预算</w:t>
            </w:r>
          </w:p>
        </w:tc>
        <w:tc>
          <w:tcPr>
            <w:tcW w:w="7067" w:type="dxa"/>
            <w:vAlign w:val="center"/>
          </w:tcPr>
          <w:p w14:paraId="7B5F26AC">
            <w:pPr>
              <w:pStyle w:val="35"/>
              <w:jc w:val="both"/>
              <w:rPr>
                <w:b/>
                <w:kern w:val="2"/>
                <w:lang w:val="zh-CN"/>
              </w:rPr>
            </w:pPr>
            <w:r>
              <w:rPr>
                <w:rFonts w:hint="eastAsia"/>
                <w:b/>
                <w:kern w:val="2"/>
                <w:lang w:val="zh-CN"/>
              </w:rPr>
              <w:t>人民币</w:t>
            </w:r>
            <w:r>
              <w:rPr>
                <w:rFonts w:hint="eastAsia"/>
                <w:b/>
                <w:kern w:val="2"/>
                <w:u w:val="single"/>
                <w:lang w:val="en-US" w:eastAsia="zh-CN"/>
              </w:rPr>
              <w:t xml:space="preserve">   1560000.00     </w:t>
            </w:r>
            <w:r>
              <w:rPr>
                <w:rFonts w:hint="eastAsia"/>
                <w:b/>
                <w:kern w:val="2"/>
                <w:lang w:val="zh-CN"/>
              </w:rPr>
              <w:t>元</w:t>
            </w:r>
          </w:p>
          <w:p w14:paraId="26D953FF">
            <w:pPr>
              <w:pStyle w:val="35"/>
              <w:jc w:val="both"/>
              <w:rPr>
                <w:b/>
                <w:kern w:val="2"/>
                <w:lang w:val="zh-CN"/>
              </w:rPr>
            </w:pPr>
            <w:r>
              <w:rPr>
                <w:rFonts w:hint="eastAsia"/>
                <w:kern w:val="2"/>
                <w:sz w:val="21"/>
                <w:szCs w:val="21"/>
                <w:lang w:val="zh-CN"/>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14:paraId="7525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6274FCD8">
            <w:pPr>
              <w:snapToGrid w:val="0"/>
              <w:spacing w:after="200"/>
              <w:jc w:val="center"/>
              <w:rPr>
                <w:rFonts w:ascii="宋体" w:hAnsi="宋体"/>
                <w:sz w:val="28"/>
                <w:szCs w:val="28"/>
                <w:lang w:val="zh-CN"/>
              </w:rPr>
            </w:pPr>
            <w:r>
              <w:rPr>
                <w:rFonts w:ascii="宋体" w:hAnsi="宋体"/>
                <w:sz w:val="28"/>
                <w:szCs w:val="28"/>
                <w:lang w:val="zh-CN"/>
              </w:rPr>
              <w:t>2</w:t>
            </w:r>
          </w:p>
        </w:tc>
        <w:tc>
          <w:tcPr>
            <w:tcW w:w="1556" w:type="dxa"/>
            <w:vAlign w:val="center"/>
          </w:tcPr>
          <w:p w14:paraId="79D34A7A">
            <w:pPr>
              <w:pStyle w:val="35"/>
              <w:ind w:left="38"/>
              <w:jc w:val="center"/>
              <w:rPr>
                <w:kern w:val="2"/>
                <w:lang w:val="zh-CN"/>
              </w:rPr>
            </w:pPr>
            <w:r>
              <w:rPr>
                <w:rFonts w:hint="eastAsia"/>
                <w:kern w:val="2"/>
                <w:lang w:val="zh-CN"/>
              </w:rPr>
              <w:t>最高限价</w:t>
            </w:r>
          </w:p>
        </w:tc>
        <w:tc>
          <w:tcPr>
            <w:tcW w:w="7067" w:type="dxa"/>
            <w:vAlign w:val="center"/>
          </w:tcPr>
          <w:p w14:paraId="5BC02B4E">
            <w:pPr>
              <w:pStyle w:val="35"/>
              <w:jc w:val="both"/>
              <w:rPr>
                <w:b/>
                <w:kern w:val="2"/>
                <w:lang w:val="zh-CN"/>
              </w:rPr>
            </w:pPr>
            <w:r>
              <w:rPr>
                <w:rFonts w:hint="eastAsia"/>
                <w:b/>
                <w:kern w:val="2"/>
                <w:lang w:val="zh-CN"/>
              </w:rPr>
              <w:t>人民币</w:t>
            </w:r>
            <w:r>
              <w:rPr>
                <w:rFonts w:hint="eastAsia"/>
                <w:b/>
                <w:kern w:val="2"/>
                <w:u w:val="single"/>
                <w:lang w:val="en-US" w:eastAsia="zh-CN"/>
              </w:rPr>
              <w:t xml:space="preserve">   1560000.00      </w:t>
            </w:r>
            <w:r>
              <w:rPr>
                <w:rFonts w:hint="eastAsia"/>
                <w:b/>
                <w:kern w:val="2"/>
                <w:lang w:val="zh-CN"/>
              </w:rPr>
              <w:t>元</w:t>
            </w:r>
          </w:p>
          <w:p w14:paraId="1F98E0E0">
            <w:pPr>
              <w:pStyle w:val="35"/>
              <w:ind w:left="38"/>
              <w:jc w:val="both"/>
              <w:rPr>
                <w:b/>
                <w:kern w:val="2"/>
                <w:lang w:val="zh-CN"/>
              </w:rPr>
            </w:pPr>
            <w:r>
              <w:rPr>
                <w:rFonts w:hint="eastAsia"/>
                <w:kern w:val="2"/>
                <w:sz w:val="21"/>
                <w:szCs w:val="21"/>
                <w:lang w:val="zh-CN"/>
              </w:rPr>
              <w:t>供应商投标报价高于最高限价的则其投标文件将按无效投标文件处理。</w:t>
            </w:r>
          </w:p>
        </w:tc>
      </w:tr>
      <w:tr w14:paraId="5D72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329235E2">
            <w:pPr>
              <w:snapToGrid w:val="0"/>
              <w:spacing w:after="200"/>
              <w:jc w:val="center"/>
              <w:rPr>
                <w:rFonts w:ascii="宋体" w:hAnsi="宋体"/>
                <w:sz w:val="28"/>
                <w:szCs w:val="28"/>
                <w:lang w:val="zh-CN"/>
              </w:rPr>
            </w:pPr>
            <w:r>
              <w:rPr>
                <w:rFonts w:ascii="宋体" w:hAnsi="宋体"/>
                <w:sz w:val="28"/>
                <w:szCs w:val="28"/>
                <w:lang w:val="zh-CN"/>
              </w:rPr>
              <w:t>3</w:t>
            </w:r>
          </w:p>
        </w:tc>
        <w:tc>
          <w:tcPr>
            <w:tcW w:w="1556" w:type="dxa"/>
            <w:vMerge w:val="restart"/>
            <w:vAlign w:val="center"/>
          </w:tcPr>
          <w:p w14:paraId="41C7CE17">
            <w:pPr>
              <w:pStyle w:val="35"/>
              <w:ind w:left="38"/>
              <w:jc w:val="center"/>
              <w:rPr>
                <w:rFonts w:hint="eastAsia"/>
                <w:kern w:val="2"/>
                <w:lang w:val="zh-CN"/>
              </w:rPr>
            </w:pPr>
            <w:r>
              <w:rPr>
                <w:rFonts w:hint="eastAsia"/>
                <w:kern w:val="2"/>
                <w:lang w:val="zh-CN"/>
              </w:rPr>
              <w:t>项目性质</w:t>
            </w:r>
          </w:p>
        </w:tc>
        <w:tc>
          <w:tcPr>
            <w:tcW w:w="7067" w:type="dxa"/>
            <w:vAlign w:val="center"/>
          </w:tcPr>
          <w:p w14:paraId="7167FA4D">
            <w:pPr>
              <w:pStyle w:val="35"/>
              <w:jc w:val="both"/>
              <w:rPr>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专门面向中小企业采购</w:t>
            </w:r>
          </w:p>
          <w:p w14:paraId="3A6AFAAB">
            <w:pPr>
              <w:pStyle w:val="35"/>
              <w:ind w:left="38"/>
              <w:jc w:val="both"/>
              <w:rPr>
                <w:rFonts w:hint="eastAsia"/>
                <w:b/>
                <w:kern w:val="2"/>
                <w:lang w:val="zh-CN"/>
              </w:rPr>
            </w:pPr>
            <w:r>
              <w:rPr>
                <w:rFonts w:hint="eastAsia"/>
                <w:kern w:val="2"/>
                <w:sz w:val="21"/>
                <w:szCs w:val="21"/>
                <w:lang w:val="zh-CN"/>
              </w:rPr>
              <w:t>仅允许中小企业或小型、微型企业参与投标。</w:t>
            </w:r>
          </w:p>
        </w:tc>
      </w:tr>
      <w:tr w14:paraId="492A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566484D">
            <w:pPr>
              <w:snapToGrid w:val="0"/>
              <w:spacing w:after="200"/>
              <w:ind w:left="142"/>
              <w:jc w:val="center"/>
              <w:rPr>
                <w:rFonts w:ascii="宋体" w:hAnsi="宋体"/>
                <w:b/>
                <w:sz w:val="28"/>
                <w:szCs w:val="28"/>
                <w:lang w:val="zh-CN"/>
              </w:rPr>
            </w:pPr>
          </w:p>
        </w:tc>
        <w:tc>
          <w:tcPr>
            <w:tcW w:w="1556" w:type="dxa"/>
            <w:vMerge w:val="continue"/>
            <w:vAlign w:val="center"/>
          </w:tcPr>
          <w:p w14:paraId="762331CE">
            <w:pPr>
              <w:pStyle w:val="35"/>
              <w:ind w:left="96"/>
              <w:jc w:val="center"/>
              <w:rPr>
                <w:kern w:val="2"/>
                <w:lang w:val="zh-CN"/>
              </w:rPr>
            </w:pPr>
          </w:p>
        </w:tc>
        <w:tc>
          <w:tcPr>
            <w:tcW w:w="7067" w:type="dxa"/>
            <w:vAlign w:val="center"/>
          </w:tcPr>
          <w:p w14:paraId="637F949D">
            <w:pPr>
              <w:rPr>
                <w:rFonts w:ascii="宋体" w:hAnsi="宋体" w:cs="宋体"/>
                <w:b/>
                <w:sz w:val="24"/>
                <w:szCs w:val="24"/>
                <w:lang w:val="zh-CN"/>
              </w:rPr>
            </w:pPr>
            <w:r>
              <w:rPr>
                <w:rFonts w:hint="eastAsia" w:asciiTheme="minorEastAsia" w:hAnsiTheme="minorEastAsia" w:eastAsiaTheme="minorEastAsia" w:cstheme="minorEastAsia"/>
                <w:color w:val="000000"/>
                <w:sz w:val="24"/>
                <w:lang w:eastAsia="zh-CN"/>
              </w:rPr>
              <w:t>□</w:t>
            </w:r>
            <w:r>
              <w:rPr>
                <w:rFonts w:hint="eastAsia" w:ascii="宋体" w:hAnsi="宋体" w:cs="宋体"/>
                <w:b/>
                <w:sz w:val="24"/>
                <w:szCs w:val="24"/>
                <w:lang w:val="zh-CN"/>
              </w:rPr>
              <w:t>非专门面向中小企业采购</w:t>
            </w:r>
          </w:p>
          <w:p w14:paraId="7421FA0C">
            <w:pPr>
              <w:ind w:right="94" w:rightChars="45"/>
              <w:rPr>
                <w:rFonts w:ascii="宋体" w:hAnsi="宋体"/>
                <w:b/>
                <w:szCs w:val="21"/>
              </w:rPr>
            </w:pPr>
            <w:r>
              <w:rPr>
                <w:rFonts w:hint="eastAsia" w:ascii="宋体" w:hAnsi="宋体" w:cs="宋体"/>
                <w:color w:val="000000" w:themeColor="text1"/>
                <w:kern w:val="0"/>
                <w:szCs w:val="21"/>
                <w:lang w:val="zh-CN"/>
                <w14:textFill>
                  <w14:solidFill>
                    <w14:schemeClr w14:val="tx1"/>
                  </w14:solidFill>
                </w14:textFill>
              </w:rPr>
              <w:t>对符合《政府采购促进中小企业发展管理办法》（财库〔2020〕46号）规定的小微企业（监狱企业视同小型、微型企业）的报价</w:t>
            </w:r>
            <w:r>
              <w:rPr>
                <w:rFonts w:hint="eastAsia" w:ascii="宋体" w:hAnsi="宋体" w:cs="宋体"/>
                <w:b/>
                <w:color w:val="000000" w:themeColor="text1"/>
                <w:kern w:val="0"/>
                <w:szCs w:val="21"/>
                <w:lang w:val="zh-CN"/>
                <w14:textFill>
                  <w14:solidFill>
                    <w14:schemeClr w14:val="tx1"/>
                  </w14:solidFill>
                </w14:textFill>
              </w:rPr>
              <w:t>给予</w:t>
            </w:r>
            <w:r>
              <w:rPr>
                <w:rFonts w:hint="eastAsia" w:ascii="宋体" w:hAnsi="宋体" w:cs="宋体"/>
                <w:b/>
                <w:color w:val="000000" w:themeColor="text1"/>
                <w:kern w:val="0"/>
                <w:szCs w:val="21"/>
                <w:u w:val="single"/>
                <w:lang w:val="en-US" w:eastAsia="zh-CN"/>
                <w14:textFill>
                  <w14:solidFill>
                    <w14:schemeClr w14:val="tx1"/>
                  </w14:solidFill>
                </w14:textFill>
              </w:rPr>
              <w:t xml:space="preserve"> 10  </w:t>
            </w:r>
            <w:r>
              <w:rPr>
                <w:rFonts w:hint="eastAsia" w:ascii="宋体" w:hAnsi="宋体" w:cs="宋体"/>
                <w:b/>
                <w:color w:val="000000" w:themeColor="text1"/>
                <w:kern w:val="0"/>
                <w:szCs w:val="21"/>
                <w:lang w:val="zh-CN"/>
                <w14:textFill>
                  <w14:solidFill>
                    <w14:schemeClr w14:val="tx1"/>
                  </w14:solidFill>
                </w14:textFill>
              </w:rPr>
              <w:t>%（6%-</w:t>
            </w:r>
            <w:r>
              <w:rPr>
                <w:rFonts w:ascii="宋体" w:hAnsi="宋体" w:cs="宋体"/>
                <w:b/>
                <w:color w:val="000000" w:themeColor="text1"/>
                <w:kern w:val="0"/>
                <w:szCs w:val="21"/>
                <w:lang w:val="zh-CN"/>
                <w14:textFill>
                  <w14:solidFill>
                    <w14:schemeClr w14:val="tx1"/>
                  </w14:solidFill>
                </w14:textFill>
              </w:rPr>
              <w:t>10%</w:t>
            </w:r>
            <w:r>
              <w:rPr>
                <w:rFonts w:hint="eastAsia" w:ascii="宋体" w:hAnsi="宋体" w:cs="宋体"/>
                <w:b/>
                <w:color w:val="000000" w:themeColor="text1"/>
                <w:kern w:val="0"/>
                <w:szCs w:val="21"/>
                <w:lang w:val="zh-CN"/>
                <w14:textFill>
                  <w14:solidFill>
                    <w14:schemeClr w14:val="tx1"/>
                  </w14:solidFill>
                </w14:textFill>
              </w:rPr>
              <w:t>）的扣除</w:t>
            </w:r>
            <w:r>
              <w:rPr>
                <w:rFonts w:hint="eastAsia" w:ascii="宋体" w:hAnsi="宋体" w:cs="宋体"/>
                <w:color w:val="000000" w:themeColor="text1"/>
                <w:kern w:val="0"/>
                <w:szCs w:val="21"/>
                <w:lang w:val="zh-CN"/>
                <w14:textFill>
                  <w14:solidFill>
                    <w14:schemeClr w14:val="tx1"/>
                  </w14:solidFill>
                </w14:textFill>
              </w:rPr>
              <w:t>，用扣除后的价格参加评审。</w:t>
            </w:r>
          </w:p>
        </w:tc>
      </w:tr>
      <w:tr w14:paraId="20E7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746B9F7">
            <w:pPr>
              <w:snapToGrid w:val="0"/>
              <w:spacing w:after="200"/>
              <w:jc w:val="center"/>
              <w:rPr>
                <w:rFonts w:ascii="宋体" w:hAnsi="宋体"/>
                <w:sz w:val="24"/>
              </w:rPr>
            </w:pPr>
            <w:r>
              <w:rPr>
                <w:rFonts w:ascii="宋体" w:hAnsi="宋体"/>
                <w:sz w:val="24"/>
              </w:rPr>
              <w:t>4</w:t>
            </w:r>
          </w:p>
        </w:tc>
        <w:tc>
          <w:tcPr>
            <w:tcW w:w="1556" w:type="dxa"/>
            <w:vAlign w:val="center"/>
          </w:tcPr>
          <w:p w14:paraId="2518D528">
            <w:pPr>
              <w:pStyle w:val="35"/>
              <w:ind w:left="96"/>
              <w:jc w:val="center"/>
              <w:rPr>
                <w:kern w:val="2"/>
                <w:lang w:val="zh-CN"/>
              </w:rPr>
            </w:pPr>
            <w:r>
              <w:rPr>
                <w:kern w:val="2"/>
                <w:lang w:val="zh-CN"/>
              </w:rPr>
              <w:t>对供应商的</w:t>
            </w:r>
            <w:r>
              <w:rPr>
                <w:kern w:val="2"/>
                <w:lang w:val="zh-CN"/>
              </w:rPr>
              <w:br w:type="textWrapping"/>
            </w:r>
            <w:r>
              <w:rPr>
                <w:kern w:val="2"/>
                <w:lang w:val="zh-CN"/>
              </w:rPr>
              <w:t>资格要求</w:t>
            </w:r>
          </w:p>
        </w:tc>
        <w:tc>
          <w:tcPr>
            <w:tcW w:w="7067" w:type="dxa"/>
            <w:vAlign w:val="center"/>
          </w:tcPr>
          <w:p w14:paraId="3944E93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1.满足《中华人民共和国政府采购法》第二十二条规定;</w:t>
            </w:r>
          </w:p>
          <w:p w14:paraId="7412900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2.落实政府采购政策需满足的资格要求：</w:t>
            </w:r>
          </w:p>
          <w:p w14:paraId="6F421D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合同包1(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雁塔区2025年老旧小区庭院围墙内雨污水管网更新改造项目管线测绘</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)落实政府采购政策需满足的资格要求如下:</w:t>
            </w:r>
          </w:p>
          <w:p w14:paraId="3AB84AF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本项目专门面向中小企业采购。</w:t>
            </w:r>
          </w:p>
          <w:p w14:paraId="331CE6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3.本项目的特定资格要求：</w:t>
            </w:r>
          </w:p>
          <w:p w14:paraId="73B3C12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合同包1(</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雁塔区2025年老旧小区庭院围墙内雨污水管网更新改造项目管线测绘</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)特定资格要求如下:</w:t>
            </w:r>
          </w:p>
          <w:p w14:paraId="1C6EC1C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textAlignment w:val="baseline"/>
              <w:rPr>
                <w:rFonts w:hint="eastAsia" w:ascii="宋体" w:hAnsi="宋体" w:eastAsia="宋体" w:cs="宋体"/>
                <w:b/>
                <w:bCs/>
                <w:color w:val="000000" w:themeColor="text1"/>
                <w:kern w:val="0"/>
                <w:sz w:val="21"/>
                <w:szCs w:val="21"/>
                <w:lang w:val="zh-CN" w:eastAsia="zh-CN" w:bidi="ar-SA"/>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1.</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供应商应是独立承担民事责任能力的法人、其他组织或自然人，法人、其他组织须提供合法有效的营业执照(或事业单位法人证书)等证明资料，自然人须提供身份证明；</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法定代表人授权书（附法定代表人身份证复印件）及被授权人身份证（法定代表人直接参加投标只需提供法定代表人身份证）；</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3.</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供应商具有测绘资质（工程测量专业）乙级或以上资质，拟派项目负责人须具备注册测绘师资格或相关专业中级以上（含中级）技术职称；</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t>提供参加本次政府采购活动前三年内在经营活动中没有重大违法记录的书面声明及无不良信用记录查询结果（未被“信用中国”网站（www.creditchina.gov.cn）列入重大税收违法失信主体；不得被“中国执行信息公开网”（zxgk.court.gov.cn）列入失信被执行人名单；不得被“中国政府采购网”（www.ccgp.gov.cn）列入政府采购严重违法失信行为记录名单）；（提供“书面声明”、“信用中国”、“中国政府采购”相应版块的查询结果截图加盖投标人公章）。</w:t>
            </w:r>
            <w:r>
              <w:rPr>
                <w:rFonts w:hint="eastAsia" w:ascii="宋体" w:hAnsi="宋体" w:eastAsia="宋体" w:cs="宋体"/>
                <w:b/>
                <w:bCs/>
                <w:color w:val="000000" w:themeColor="text1"/>
                <w:kern w:val="0"/>
                <w:sz w:val="21"/>
                <w:szCs w:val="21"/>
                <w:lang w:val="zh-CN" w:eastAsia="zh-CN" w:bidi="ar-SA"/>
                <w14:textFill>
                  <w14:solidFill>
                    <w14:schemeClr w14:val="tx1"/>
                  </w14:solidFill>
                </w14:textFill>
              </w:rPr>
              <w:br w:type="textWrapping"/>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5.本项目不接受联合体投标；单位负责人为同一人或者存在控股、管理关系的不同单位，不得参加同一项目的投标。</w:t>
            </w:r>
          </w:p>
          <w:p w14:paraId="6E324C05">
            <w:pPr>
              <w:pStyle w:val="35"/>
              <w:jc w:val="both"/>
              <w:rPr>
                <w:kern w:val="2"/>
                <w:lang w:val="zh-CN"/>
              </w:rPr>
            </w:pPr>
            <w:r>
              <w:rPr>
                <w:rFonts w:hint="eastAsia"/>
                <w:kern w:val="2"/>
                <w:sz w:val="21"/>
                <w:szCs w:val="21"/>
                <w:lang w:val="zh-CN"/>
              </w:rPr>
              <w:t>根据《政府采购促进中小企业发展管理办法》（财库〔2020〕46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14:paraId="36A5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0E9865B6">
            <w:pPr>
              <w:snapToGrid w:val="0"/>
              <w:spacing w:after="200"/>
              <w:jc w:val="center"/>
              <w:rPr>
                <w:rFonts w:ascii="宋体" w:hAnsi="宋体"/>
                <w:sz w:val="24"/>
              </w:rPr>
            </w:pPr>
            <w:r>
              <w:rPr>
                <w:rFonts w:ascii="宋体" w:hAnsi="宋体"/>
                <w:sz w:val="24"/>
              </w:rPr>
              <w:t>5</w:t>
            </w:r>
          </w:p>
        </w:tc>
        <w:tc>
          <w:tcPr>
            <w:tcW w:w="1556" w:type="dxa"/>
            <w:vMerge w:val="restart"/>
            <w:vAlign w:val="center"/>
          </w:tcPr>
          <w:p w14:paraId="6BC2DF83">
            <w:pPr>
              <w:pStyle w:val="35"/>
              <w:ind w:left="96"/>
              <w:jc w:val="center"/>
              <w:rPr>
                <w:rFonts w:hint="eastAsia"/>
                <w:kern w:val="2"/>
                <w:lang w:val="zh-CN"/>
              </w:rPr>
            </w:pPr>
            <w:r>
              <w:rPr>
                <w:kern w:val="2"/>
                <w:lang w:val="zh-CN"/>
              </w:rPr>
              <w:t>是否</w:t>
            </w:r>
            <w:r>
              <w:rPr>
                <w:rFonts w:hint="eastAsia"/>
                <w:kern w:val="2"/>
                <w:lang w:val="zh-CN"/>
              </w:rPr>
              <w:t>接受</w:t>
            </w:r>
            <w:r>
              <w:rPr>
                <w:kern w:val="2"/>
                <w:lang w:val="zh-CN"/>
              </w:rPr>
              <w:br w:type="textWrapping"/>
            </w:r>
            <w:r>
              <w:rPr>
                <w:kern w:val="2"/>
                <w:lang w:val="zh-CN"/>
              </w:rPr>
              <w:t>联合体投标</w:t>
            </w:r>
          </w:p>
        </w:tc>
        <w:tc>
          <w:tcPr>
            <w:tcW w:w="7067" w:type="dxa"/>
            <w:vAlign w:val="center"/>
          </w:tcPr>
          <w:p w14:paraId="4AA03BE9">
            <w:pPr>
              <w:pStyle w:val="35"/>
              <w:jc w:val="both"/>
              <w:rPr>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接受</w:t>
            </w:r>
          </w:p>
          <w:p w14:paraId="79AD198B">
            <w:pPr>
              <w:pStyle w:val="35"/>
              <w:jc w:val="both"/>
              <w:rPr>
                <w:rFonts w:hint="eastAsia"/>
                <w:b/>
                <w:kern w:val="2"/>
                <w:lang w:val="zh-CN"/>
              </w:rPr>
            </w:pPr>
            <w:r>
              <w:rPr>
                <w:rFonts w:hint="eastAsia"/>
                <w:kern w:val="2"/>
                <w:sz w:val="21"/>
                <w:szCs w:val="21"/>
                <w:lang w:val="zh-CN"/>
              </w:rPr>
              <w:t>对于联合体协议或者分包意向协议约定小微企业的合同份额占到合同总金额30%以上的，对联合体或者大中型企业的报价</w:t>
            </w:r>
            <w:r>
              <w:rPr>
                <w:rFonts w:hint="eastAsia"/>
                <w:b/>
                <w:kern w:val="2"/>
                <w:sz w:val="21"/>
                <w:szCs w:val="21"/>
                <w:lang w:val="zh-CN"/>
              </w:rPr>
              <w:t>给予___%（2%-</w:t>
            </w:r>
            <w:r>
              <w:rPr>
                <w:b/>
                <w:kern w:val="2"/>
                <w:sz w:val="21"/>
                <w:szCs w:val="21"/>
                <w:lang w:val="zh-CN"/>
              </w:rPr>
              <w:t>3%</w:t>
            </w:r>
            <w:r>
              <w:rPr>
                <w:rFonts w:hint="eastAsia"/>
                <w:b/>
                <w:kern w:val="2"/>
                <w:sz w:val="21"/>
                <w:szCs w:val="21"/>
                <w:lang w:val="zh-CN"/>
              </w:rPr>
              <w:t>）的扣除</w:t>
            </w:r>
            <w:r>
              <w:rPr>
                <w:rFonts w:hint="eastAsia"/>
                <w:kern w:val="2"/>
                <w:sz w:val="21"/>
                <w:szCs w:val="21"/>
                <w:lang w:val="zh-CN"/>
              </w:rPr>
              <w:t>，用扣除后的报价参加评审。</w:t>
            </w:r>
          </w:p>
        </w:tc>
      </w:tr>
      <w:tr w14:paraId="3112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AFA64CB">
            <w:pPr>
              <w:snapToGrid w:val="0"/>
              <w:spacing w:after="200"/>
              <w:ind w:left="142"/>
              <w:jc w:val="center"/>
              <w:rPr>
                <w:rFonts w:ascii="宋体" w:hAnsi="宋体"/>
                <w:sz w:val="24"/>
              </w:rPr>
            </w:pPr>
          </w:p>
        </w:tc>
        <w:tc>
          <w:tcPr>
            <w:tcW w:w="1556" w:type="dxa"/>
            <w:vMerge w:val="continue"/>
            <w:vAlign w:val="center"/>
          </w:tcPr>
          <w:p w14:paraId="1F51397A">
            <w:pPr>
              <w:pStyle w:val="35"/>
              <w:ind w:left="96"/>
              <w:jc w:val="center"/>
              <w:rPr>
                <w:kern w:val="2"/>
                <w:lang w:val="zh-CN"/>
              </w:rPr>
            </w:pPr>
          </w:p>
        </w:tc>
        <w:tc>
          <w:tcPr>
            <w:tcW w:w="7067" w:type="dxa"/>
            <w:vAlign w:val="center"/>
          </w:tcPr>
          <w:p w14:paraId="001A80DD">
            <w:pPr>
              <w:pStyle w:val="35"/>
              <w:jc w:val="both"/>
              <w:rPr>
                <w:rFonts w:hint="eastAsia"/>
                <w:b/>
                <w:kern w:val="2"/>
                <w:lang w:val="zh-CN"/>
              </w:rPr>
            </w:pPr>
            <w:r>
              <w:rPr>
                <w:rFonts w:hint="eastAsia" w:asciiTheme="minorEastAsia" w:hAnsiTheme="minorEastAsia" w:eastAsiaTheme="minorEastAsia" w:cstheme="minorEastAsia"/>
                <w:color w:val="000000"/>
                <w:sz w:val="24"/>
                <w:lang w:eastAsia="zh-CN"/>
              </w:rPr>
              <w:t>☑</w:t>
            </w:r>
            <w:r>
              <w:rPr>
                <w:rFonts w:hint="eastAsia"/>
                <w:b/>
                <w:kern w:val="2"/>
                <w:lang w:val="zh-CN"/>
              </w:rPr>
              <w:t>不接受</w:t>
            </w:r>
          </w:p>
        </w:tc>
      </w:tr>
      <w:tr w14:paraId="4A43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67E001F8">
            <w:pPr>
              <w:snapToGrid w:val="0"/>
              <w:spacing w:after="200"/>
              <w:jc w:val="center"/>
              <w:rPr>
                <w:rFonts w:ascii="宋体" w:hAnsi="宋体"/>
                <w:sz w:val="24"/>
              </w:rPr>
            </w:pPr>
            <w:r>
              <w:rPr>
                <w:rFonts w:ascii="宋体" w:hAnsi="宋体"/>
                <w:sz w:val="24"/>
              </w:rPr>
              <w:t>6</w:t>
            </w:r>
          </w:p>
        </w:tc>
        <w:tc>
          <w:tcPr>
            <w:tcW w:w="1556" w:type="dxa"/>
            <w:vMerge w:val="restart"/>
            <w:vAlign w:val="center"/>
          </w:tcPr>
          <w:p w14:paraId="287497B2">
            <w:pPr>
              <w:pStyle w:val="35"/>
              <w:ind w:left="96"/>
              <w:jc w:val="center"/>
              <w:rPr>
                <w:kern w:val="2"/>
                <w:lang w:val="zh-CN"/>
              </w:rPr>
            </w:pPr>
            <w:r>
              <w:rPr>
                <w:kern w:val="2"/>
                <w:lang w:val="zh-CN"/>
              </w:rPr>
              <w:t>履约保证金</w:t>
            </w:r>
          </w:p>
        </w:tc>
        <w:tc>
          <w:tcPr>
            <w:tcW w:w="7067" w:type="dxa"/>
            <w:vAlign w:val="center"/>
          </w:tcPr>
          <w:p w14:paraId="033F71ED">
            <w:pPr>
              <w:ind w:right="94" w:rightChars="45"/>
              <w:rPr>
                <w:rFonts w:ascii="宋体" w:hAnsi="宋体"/>
                <w:b/>
                <w:sz w:val="24"/>
              </w:rPr>
            </w:pPr>
            <w:r>
              <w:rPr>
                <w:rFonts w:ascii="宋体" w:hAnsi="宋体"/>
                <w:b/>
                <w:sz w:val="24"/>
              </w:rPr>
              <w:t>占政府采购合同金额的</w:t>
            </w:r>
            <w:r>
              <w:rPr>
                <w:rFonts w:hint="eastAsia" w:ascii="宋体" w:hAnsi="宋体"/>
                <w:b/>
                <w:sz w:val="24"/>
                <w:u w:val="single"/>
                <w:lang w:val="en-US" w:eastAsia="zh-CN"/>
              </w:rPr>
              <w:t xml:space="preserve">  0  </w:t>
            </w:r>
            <w:r>
              <w:rPr>
                <w:rFonts w:hint="eastAsia" w:ascii="宋体" w:hAnsi="宋体"/>
                <w:b/>
                <w:sz w:val="24"/>
              </w:rPr>
              <w:t>%</w:t>
            </w:r>
          </w:p>
          <w:p w14:paraId="5AB36CA6">
            <w:pPr>
              <w:ind w:right="94" w:rightChars="45"/>
              <w:rPr>
                <w:rFonts w:hint="eastAsia" w:ascii="宋体" w:hAnsi="宋体"/>
                <w:szCs w:val="21"/>
              </w:rPr>
            </w:pPr>
            <w:r>
              <w:rPr>
                <w:rFonts w:hint="eastAsia" w:ascii="宋体" w:hAnsi="宋体"/>
                <w:szCs w:val="21"/>
              </w:rPr>
              <w:t>履约保证金的数额不得超过政府采购合同金额的10%；对于单价合同，其数额不得超过采购预算的10%</w:t>
            </w:r>
          </w:p>
        </w:tc>
      </w:tr>
      <w:tr w14:paraId="3621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589070FC">
            <w:pPr>
              <w:snapToGrid w:val="0"/>
              <w:spacing w:after="200"/>
              <w:ind w:left="142"/>
              <w:jc w:val="center"/>
              <w:rPr>
                <w:rFonts w:ascii="宋体" w:hAnsi="宋体"/>
                <w:sz w:val="24"/>
              </w:rPr>
            </w:pPr>
          </w:p>
        </w:tc>
        <w:tc>
          <w:tcPr>
            <w:tcW w:w="1556" w:type="dxa"/>
            <w:vMerge w:val="continue"/>
            <w:vAlign w:val="center"/>
          </w:tcPr>
          <w:p w14:paraId="2FDC8356">
            <w:pPr>
              <w:pStyle w:val="35"/>
              <w:ind w:left="96"/>
              <w:jc w:val="center"/>
              <w:rPr>
                <w:kern w:val="2"/>
                <w:lang w:val="zh-CN"/>
              </w:rPr>
            </w:pPr>
          </w:p>
        </w:tc>
        <w:tc>
          <w:tcPr>
            <w:tcW w:w="7067" w:type="dxa"/>
            <w:vAlign w:val="center"/>
          </w:tcPr>
          <w:p w14:paraId="37D036C7">
            <w:pPr>
              <w:ind w:right="94" w:rightChars="45"/>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由采购单位自行收退</w:t>
            </w:r>
          </w:p>
          <w:p w14:paraId="265200AA">
            <w:pPr>
              <w:ind w:right="94" w:rightChars="45"/>
              <w:rPr>
                <w:rFonts w:hint="eastAsia"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由代理机构负责收退</w:t>
            </w:r>
          </w:p>
        </w:tc>
      </w:tr>
      <w:tr w14:paraId="21F2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2C671E4E">
            <w:pPr>
              <w:snapToGrid w:val="0"/>
              <w:spacing w:after="200"/>
              <w:jc w:val="center"/>
              <w:rPr>
                <w:rFonts w:ascii="宋体" w:hAnsi="宋体"/>
                <w:sz w:val="24"/>
              </w:rPr>
            </w:pPr>
            <w:r>
              <w:rPr>
                <w:rFonts w:ascii="宋体" w:hAnsi="宋体"/>
                <w:sz w:val="24"/>
              </w:rPr>
              <w:t>7</w:t>
            </w:r>
          </w:p>
        </w:tc>
        <w:tc>
          <w:tcPr>
            <w:tcW w:w="1556" w:type="dxa"/>
            <w:vAlign w:val="center"/>
          </w:tcPr>
          <w:p w14:paraId="10CF0D38">
            <w:pPr>
              <w:pStyle w:val="35"/>
              <w:ind w:left="96"/>
              <w:jc w:val="center"/>
              <w:rPr>
                <w:kern w:val="2"/>
                <w:lang w:val="zh-CN"/>
              </w:rPr>
            </w:pPr>
            <w:r>
              <w:rPr>
                <w:kern w:val="2"/>
                <w:lang w:val="zh-CN"/>
              </w:rPr>
              <w:t>集中答疑</w:t>
            </w:r>
          </w:p>
        </w:tc>
        <w:tc>
          <w:tcPr>
            <w:tcW w:w="7067" w:type="dxa"/>
            <w:vAlign w:val="center"/>
          </w:tcPr>
          <w:p w14:paraId="29D6CEAF">
            <w:pPr>
              <w:ind w:right="94" w:rightChars="45"/>
              <w:rPr>
                <w:rFonts w:hint="eastAsia"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组织，答疑地点为：</w:t>
            </w:r>
            <w:r>
              <w:rPr>
                <w:rFonts w:hint="eastAsia" w:ascii="宋体" w:hAnsi="宋体"/>
                <w:b/>
                <w:sz w:val="24"/>
              </w:rPr>
              <w:t>_______________________</w:t>
            </w:r>
          </w:p>
          <w:p w14:paraId="1B7CB108">
            <w:pPr>
              <w:ind w:right="94" w:rightChars="45"/>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不组织</w:t>
            </w:r>
          </w:p>
        </w:tc>
      </w:tr>
      <w:tr w14:paraId="54BB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7771BAD2">
            <w:pPr>
              <w:snapToGrid w:val="0"/>
              <w:spacing w:after="200"/>
              <w:jc w:val="center"/>
              <w:rPr>
                <w:rFonts w:ascii="宋体" w:hAnsi="宋体"/>
                <w:sz w:val="24"/>
              </w:rPr>
            </w:pPr>
            <w:r>
              <w:rPr>
                <w:rFonts w:ascii="宋体" w:hAnsi="宋体"/>
                <w:sz w:val="24"/>
              </w:rPr>
              <w:t>8</w:t>
            </w:r>
          </w:p>
        </w:tc>
        <w:tc>
          <w:tcPr>
            <w:tcW w:w="1556" w:type="dxa"/>
            <w:vAlign w:val="center"/>
          </w:tcPr>
          <w:p w14:paraId="58913686">
            <w:pPr>
              <w:pStyle w:val="35"/>
              <w:ind w:left="96"/>
              <w:jc w:val="center"/>
              <w:rPr>
                <w:kern w:val="2"/>
                <w:lang w:val="zh-CN"/>
              </w:rPr>
            </w:pPr>
            <w:r>
              <w:rPr>
                <w:kern w:val="2"/>
                <w:lang w:val="zh-CN"/>
              </w:rPr>
              <w:t>价格分比重</w:t>
            </w:r>
          </w:p>
        </w:tc>
        <w:tc>
          <w:tcPr>
            <w:tcW w:w="7067" w:type="dxa"/>
            <w:vAlign w:val="center"/>
          </w:tcPr>
          <w:p w14:paraId="0E2DAF14">
            <w:pPr>
              <w:widowControl/>
              <w:rPr>
                <w:rFonts w:hint="eastAsia" w:ascii="宋体" w:hAnsi="宋体" w:cs="宋体"/>
                <w:b/>
                <w:kern w:val="0"/>
                <w:sz w:val="24"/>
                <w:szCs w:val="24"/>
                <w:lang w:val="zh-CN"/>
              </w:rPr>
            </w:pPr>
            <w:r>
              <w:rPr>
                <w:rFonts w:ascii="宋体" w:hAnsi="宋体" w:cs="宋体"/>
                <w:b/>
                <w:kern w:val="0"/>
                <w:sz w:val="24"/>
                <w:szCs w:val="24"/>
                <w:lang w:val="zh-CN"/>
              </w:rPr>
              <w:t>占总分值的</w:t>
            </w:r>
            <w:r>
              <w:rPr>
                <w:rFonts w:hint="eastAsia" w:ascii="宋体" w:hAnsi="宋体" w:cs="宋体"/>
                <w:b/>
                <w:kern w:val="0"/>
                <w:sz w:val="24"/>
                <w:szCs w:val="24"/>
                <w:u w:val="single"/>
                <w:lang w:val="en-US" w:eastAsia="zh-CN"/>
              </w:rPr>
              <w:t xml:space="preserve">   15   </w:t>
            </w:r>
            <w:r>
              <w:rPr>
                <w:rFonts w:hint="eastAsia" w:ascii="宋体" w:hAnsi="宋体" w:cs="宋体"/>
                <w:b/>
                <w:kern w:val="0"/>
                <w:sz w:val="24"/>
                <w:szCs w:val="24"/>
                <w:lang w:val="zh-CN"/>
              </w:rPr>
              <w:t>%</w:t>
            </w:r>
          </w:p>
          <w:p w14:paraId="32EEAE4E">
            <w:pPr>
              <w:widowControl/>
              <w:rPr>
                <w:rFonts w:ascii="宋体" w:hAnsi="宋体" w:cs="宋体"/>
                <w:kern w:val="0"/>
                <w:szCs w:val="21"/>
                <w:lang w:val="zh-CN"/>
              </w:rPr>
            </w:pPr>
            <w:r>
              <w:rPr>
                <w:rFonts w:hint="eastAsia" w:ascii="宋体" w:hAnsi="宋体" w:cs="宋体"/>
                <w:kern w:val="0"/>
                <w:szCs w:val="21"/>
                <w:lang w:val="zh-CN"/>
              </w:rPr>
              <w:t>[招标]根据《政府采购货物和服务招标投标管理办法》（财政部87号令）的规定，综合</w:t>
            </w:r>
            <w:r>
              <w:rPr>
                <w:rFonts w:ascii="宋体" w:hAnsi="宋体" w:cs="宋体"/>
                <w:kern w:val="0"/>
                <w:szCs w:val="21"/>
                <w:lang w:val="zh-CN"/>
              </w:rPr>
              <w:t>评分法服务</w:t>
            </w:r>
            <w:r>
              <w:rPr>
                <w:rFonts w:hint="eastAsia" w:ascii="宋体" w:hAnsi="宋体" w:cs="宋体"/>
                <w:kern w:val="0"/>
                <w:szCs w:val="21"/>
                <w:lang w:val="zh-CN"/>
              </w:rPr>
              <w:t>项目的价格分值占总分值的比重不得低于</w:t>
            </w:r>
            <w:r>
              <w:rPr>
                <w:rFonts w:ascii="宋体" w:hAnsi="宋体" w:cs="宋体"/>
                <w:kern w:val="0"/>
                <w:szCs w:val="21"/>
                <w:lang w:val="zh-CN"/>
              </w:rPr>
              <w:t>1</w:t>
            </w:r>
            <w:r>
              <w:rPr>
                <w:rFonts w:hint="eastAsia" w:ascii="宋体" w:hAnsi="宋体" w:cs="宋体"/>
                <w:kern w:val="0"/>
                <w:szCs w:val="21"/>
                <w:lang w:val="zh-CN"/>
              </w:rPr>
              <w:t>0%。执行国家统一定价标准和采用固定价格采购的项目，其价格不列为评审因素。</w:t>
            </w:r>
          </w:p>
          <w:p w14:paraId="41C5B35B">
            <w:pPr>
              <w:widowControl/>
              <w:rPr>
                <w:rFonts w:hint="eastAsia" w:ascii="宋体" w:hAnsi="宋体" w:cs="宋体"/>
                <w:kern w:val="0"/>
                <w:szCs w:val="21"/>
                <w:lang w:val="zh-CN"/>
              </w:rPr>
            </w:pPr>
            <w:r>
              <w:rPr>
                <w:rFonts w:ascii="宋体" w:hAnsi="宋体" w:cs="宋体"/>
                <w:kern w:val="0"/>
                <w:szCs w:val="21"/>
                <w:lang w:val="zh-CN"/>
              </w:rPr>
              <w:t>[磋商</w:t>
            </w:r>
            <w:r>
              <w:rPr>
                <w:rFonts w:hint="eastAsia" w:ascii="宋体" w:hAnsi="宋体" w:cs="宋体"/>
                <w:kern w:val="0"/>
                <w:szCs w:val="21"/>
                <w:lang w:val="zh-CN"/>
              </w:rPr>
              <w:t>]根据《政府采购竞争性磋商采购方式管理暂行办法》（财库〔2014〕214号）的规定，服务项目的价格分值占总分值的比重(即权值)为</w:t>
            </w:r>
            <w:r>
              <w:rPr>
                <w:rFonts w:ascii="宋体" w:hAnsi="宋体" w:cs="宋体"/>
                <w:kern w:val="0"/>
                <w:szCs w:val="21"/>
                <w:lang w:val="zh-CN"/>
              </w:rPr>
              <w:t>1</w:t>
            </w:r>
            <w:r>
              <w:rPr>
                <w:rFonts w:hint="eastAsia" w:ascii="宋体" w:hAnsi="宋体" w:cs="宋体"/>
                <w:kern w:val="0"/>
                <w:szCs w:val="21"/>
                <w:lang w:val="zh-CN"/>
              </w:rPr>
              <w:t>0%-</w:t>
            </w:r>
            <w:r>
              <w:rPr>
                <w:rFonts w:ascii="宋体" w:hAnsi="宋体" w:cs="宋体"/>
                <w:kern w:val="0"/>
                <w:szCs w:val="21"/>
                <w:lang w:val="zh-CN"/>
              </w:rPr>
              <w:t>3</w:t>
            </w:r>
            <w:r>
              <w:rPr>
                <w:rFonts w:hint="eastAsia" w:ascii="宋体" w:hAnsi="宋体" w:cs="宋体"/>
                <w:kern w:val="0"/>
                <w:szCs w:val="21"/>
                <w:lang w:val="zh-CN"/>
              </w:rPr>
              <w:t>0%。</w:t>
            </w:r>
          </w:p>
          <w:p w14:paraId="3E9E380B">
            <w:pPr>
              <w:widowControl/>
              <w:rPr>
                <w:rFonts w:hint="eastAsia" w:ascii="宋体" w:hAnsi="宋体" w:cs="宋体"/>
                <w:kern w:val="0"/>
                <w:szCs w:val="21"/>
                <w:lang w:val="zh-CN"/>
              </w:rPr>
            </w:pPr>
            <w:r>
              <w:rPr>
                <w:rFonts w:hint="eastAsia" w:ascii="宋体" w:hAnsi="宋体" w:cs="宋体"/>
                <w:kern w:val="0"/>
                <w:szCs w:val="21"/>
                <w:lang w:val="zh-CN"/>
              </w:rPr>
              <w:t>[其他采购方式]无须设置。</w:t>
            </w:r>
          </w:p>
        </w:tc>
      </w:tr>
      <w:tr w14:paraId="1A3D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67E34AA">
            <w:pPr>
              <w:snapToGrid w:val="0"/>
              <w:spacing w:after="200"/>
              <w:jc w:val="center"/>
              <w:rPr>
                <w:rFonts w:ascii="宋体" w:hAnsi="宋体"/>
                <w:sz w:val="24"/>
              </w:rPr>
            </w:pPr>
            <w:r>
              <w:rPr>
                <w:rFonts w:ascii="宋体" w:hAnsi="宋体"/>
                <w:sz w:val="24"/>
              </w:rPr>
              <w:t>9</w:t>
            </w:r>
          </w:p>
        </w:tc>
        <w:tc>
          <w:tcPr>
            <w:tcW w:w="1556" w:type="dxa"/>
            <w:vAlign w:val="center"/>
          </w:tcPr>
          <w:p w14:paraId="58020BA5">
            <w:pPr>
              <w:pStyle w:val="35"/>
              <w:ind w:left="96"/>
              <w:jc w:val="center"/>
              <w:rPr>
                <w:kern w:val="2"/>
                <w:lang w:val="zh-CN"/>
              </w:rPr>
            </w:pPr>
            <w:r>
              <w:rPr>
                <w:kern w:val="2"/>
                <w:lang w:val="zh-CN"/>
              </w:rPr>
              <w:t>合同类型</w:t>
            </w:r>
          </w:p>
        </w:tc>
        <w:tc>
          <w:tcPr>
            <w:tcW w:w="7067" w:type="dxa"/>
            <w:vAlign w:val="center"/>
          </w:tcPr>
          <w:p w14:paraId="6B4AA1CE">
            <w:pPr>
              <w:rPr>
                <w:rFonts w:ascii="宋体" w:hAnsi="宋体"/>
                <w:b/>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固定总价</w:t>
            </w:r>
          </w:p>
          <w:p w14:paraId="2171A124">
            <w:pPr>
              <w:rPr>
                <w:rFonts w:ascii="宋体" w:hAnsi="宋体"/>
                <w:b/>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固定单价（适用于采购数量不定的情形）</w:t>
            </w:r>
          </w:p>
          <w:p w14:paraId="64292CA1">
            <w:pPr>
              <w:rPr>
                <w:rFonts w:hint="eastAsia" w:ascii="宋体" w:hAnsi="宋体"/>
                <w:sz w:val="24"/>
                <w:lang w:val="zh-CN"/>
              </w:rPr>
            </w:pPr>
            <w:r>
              <w:rPr>
                <w:rFonts w:hint="eastAsia" w:asciiTheme="minorEastAsia" w:hAnsiTheme="minorEastAsia" w:eastAsiaTheme="minorEastAsia" w:cstheme="minorEastAsia"/>
                <w:color w:val="000000"/>
                <w:sz w:val="24"/>
                <w:lang w:eastAsia="zh-CN"/>
              </w:rPr>
              <w:t>□</w:t>
            </w:r>
            <w:r>
              <w:rPr>
                <w:rFonts w:ascii="宋体" w:hAnsi="宋体"/>
                <w:b/>
                <w:sz w:val="24"/>
                <w:lang w:val="zh-CN"/>
              </w:rPr>
              <w:t>其他</w:t>
            </w:r>
            <w:r>
              <w:rPr>
                <w:rFonts w:hint="eastAsia" w:ascii="宋体" w:hAnsi="宋体"/>
                <w:b/>
                <w:sz w:val="24"/>
                <w:lang w:val="zh-CN"/>
              </w:rPr>
              <w:t>：_____________________________</w:t>
            </w:r>
          </w:p>
        </w:tc>
      </w:tr>
      <w:tr w14:paraId="70C2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9251CCD">
            <w:pPr>
              <w:snapToGrid w:val="0"/>
              <w:spacing w:after="200"/>
              <w:jc w:val="center"/>
              <w:rPr>
                <w:rFonts w:ascii="宋体" w:hAnsi="宋体"/>
                <w:sz w:val="24"/>
              </w:rPr>
            </w:pPr>
            <w:r>
              <w:rPr>
                <w:rFonts w:ascii="宋体" w:hAnsi="宋体"/>
                <w:sz w:val="24"/>
              </w:rPr>
              <w:t>10</w:t>
            </w:r>
          </w:p>
        </w:tc>
        <w:tc>
          <w:tcPr>
            <w:tcW w:w="1556" w:type="dxa"/>
            <w:vAlign w:val="center"/>
          </w:tcPr>
          <w:p w14:paraId="30ABE4DC">
            <w:pPr>
              <w:tabs>
                <w:tab w:val="left" w:pos="7665"/>
              </w:tabs>
              <w:snapToGrid w:val="0"/>
              <w:jc w:val="center"/>
              <w:rPr>
                <w:rFonts w:ascii="宋体" w:hAnsi="宋体"/>
                <w:sz w:val="24"/>
              </w:rPr>
            </w:pPr>
            <w:r>
              <w:rPr>
                <w:rFonts w:ascii="宋体" w:hAnsi="宋体"/>
                <w:sz w:val="24"/>
              </w:rPr>
              <w:t>争议解决途径</w:t>
            </w:r>
          </w:p>
        </w:tc>
        <w:tc>
          <w:tcPr>
            <w:tcW w:w="7067" w:type="dxa"/>
            <w:vAlign w:val="center"/>
          </w:tcPr>
          <w:p w14:paraId="29CA7C04">
            <w:pPr>
              <w:tabs>
                <w:tab w:val="left" w:pos="7665"/>
              </w:tabs>
              <w:snapToGrid w:val="0"/>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向有管辖权的人民法院提起诉讼</w:t>
            </w:r>
          </w:p>
          <w:p w14:paraId="12EF9C0A">
            <w:pPr>
              <w:tabs>
                <w:tab w:val="left" w:pos="7665"/>
              </w:tabs>
              <w:snapToGrid w:val="0"/>
              <w:rPr>
                <w:rFonts w:ascii="宋体" w:hAnsi="宋体"/>
                <w:b/>
                <w:sz w:val="24"/>
              </w:rPr>
            </w:pPr>
            <w:r>
              <w:rPr>
                <w:rFonts w:hint="eastAsia" w:asciiTheme="minorEastAsia" w:hAnsiTheme="minorEastAsia" w:eastAsiaTheme="minorEastAsia" w:cstheme="minorEastAsia"/>
                <w:color w:val="000000"/>
                <w:sz w:val="24"/>
                <w:lang w:eastAsia="zh-CN"/>
              </w:rPr>
              <w:t>□</w:t>
            </w:r>
            <w:r>
              <w:rPr>
                <w:rFonts w:ascii="宋体" w:hAnsi="宋体"/>
                <w:b/>
                <w:sz w:val="24"/>
              </w:rPr>
              <w:t>向西安仲裁委员会提请仲裁</w:t>
            </w:r>
          </w:p>
          <w:p w14:paraId="48294FAF">
            <w:pPr>
              <w:tabs>
                <w:tab w:val="left" w:pos="7665"/>
              </w:tabs>
              <w:snapToGrid w:val="0"/>
              <w:rPr>
                <w:rFonts w:hint="eastAsia" w:ascii="宋体" w:hAnsi="宋体"/>
                <w:sz w:val="24"/>
              </w:rPr>
            </w:pPr>
            <w:r>
              <w:rPr>
                <w:rFonts w:hint="eastAsia" w:asciiTheme="minorEastAsia" w:hAnsiTheme="minorEastAsia" w:eastAsiaTheme="minorEastAsia" w:cstheme="minorEastAsia"/>
                <w:color w:val="000000"/>
                <w:sz w:val="24"/>
                <w:lang w:eastAsia="zh-CN"/>
              </w:rPr>
              <w:t>□</w:t>
            </w:r>
            <w:r>
              <w:rPr>
                <w:rFonts w:ascii="宋体" w:hAnsi="宋体"/>
                <w:b/>
                <w:sz w:val="24"/>
              </w:rPr>
              <w:t>由供应商做出选择</w:t>
            </w:r>
          </w:p>
        </w:tc>
      </w:tr>
      <w:tr w14:paraId="06AE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7E7A0D1">
            <w:pPr>
              <w:snapToGrid w:val="0"/>
              <w:spacing w:after="200"/>
              <w:jc w:val="center"/>
              <w:rPr>
                <w:rFonts w:ascii="宋体" w:hAnsi="宋体"/>
                <w:sz w:val="24"/>
              </w:rPr>
            </w:pPr>
            <w:r>
              <w:rPr>
                <w:rFonts w:ascii="宋体" w:hAnsi="宋体"/>
                <w:sz w:val="24"/>
              </w:rPr>
              <w:t>11</w:t>
            </w:r>
          </w:p>
        </w:tc>
        <w:tc>
          <w:tcPr>
            <w:tcW w:w="1556" w:type="dxa"/>
            <w:vAlign w:val="center"/>
          </w:tcPr>
          <w:p w14:paraId="67F5E09E">
            <w:pPr>
              <w:snapToGrid w:val="0"/>
              <w:jc w:val="center"/>
              <w:rPr>
                <w:rFonts w:hint="eastAsia" w:ascii="宋体" w:hAnsi="宋体"/>
                <w:sz w:val="24"/>
              </w:rPr>
            </w:pPr>
            <w:r>
              <w:rPr>
                <w:rFonts w:hint="eastAsia" w:ascii="宋体" w:hAnsi="宋体"/>
                <w:sz w:val="24"/>
              </w:rPr>
              <w:t>联系方式</w:t>
            </w:r>
          </w:p>
        </w:tc>
        <w:tc>
          <w:tcPr>
            <w:tcW w:w="7067" w:type="dxa"/>
            <w:vAlign w:val="center"/>
          </w:tcPr>
          <w:p w14:paraId="3D107A70">
            <w:pPr>
              <w:tabs>
                <w:tab w:val="left" w:pos="7665"/>
              </w:tabs>
              <w:snapToGrid w:val="0"/>
              <w:rPr>
                <w:rFonts w:hint="default" w:ascii="宋体" w:hAnsi="宋体"/>
                <w:b/>
                <w:bCs/>
                <w:sz w:val="24"/>
                <w:u w:val="single"/>
                <w:lang w:val="en-US"/>
              </w:rPr>
            </w:pPr>
            <w:r>
              <w:rPr>
                <w:rFonts w:hint="eastAsia" w:ascii="宋体" w:hAnsi="宋体"/>
                <w:b/>
                <w:bCs/>
                <w:sz w:val="24"/>
              </w:rPr>
              <w:t>项目对接人：</w:t>
            </w:r>
            <w:r>
              <w:rPr>
                <w:rFonts w:hint="eastAsia" w:ascii="宋体" w:hAnsi="宋体"/>
                <w:b/>
                <w:bCs/>
                <w:sz w:val="24"/>
                <w:u w:val="single"/>
                <w:lang w:val="en-US" w:eastAsia="zh-CN"/>
              </w:rPr>
              <w:t xml:space="preserve">  张工           </w:t>
            </w:r>
          </w:p>
          <w:p w14:paraId="532C47D3">
            <w:pPr>
              <w:tabs>
                <w:tab w:val="left" w:pos="7665"/>
              </w:tabs>
              <w:snapToGrid w:val="0"/>
              <w:rPr>
                <w:rFonts w:hint="default" w:ascii="宋体" w:hAnsi="宋体" w:eastAsia="宋体"/>
                <w:b/>
                <w:bCs/>
                <w:sz w:val="24"/>
                <w:lang w:val="en-US" w:eastAsia="zh-CN"/>
              </w:rPr>
            </w:pPr>
            <w:r>
              <w:rPr>
                <w:rFonts w:ascii="宋体" w:hAnsi="宋体"/>
                <w:b/>
                <w:bCs/>
                <w:sz w:val="24"/>
              </w:rPr>
              <w:t>联系电话：</w:t>
            </w:r>
            <w:r>
              <w:rPr>
                <w:rFonts w:hint="eastAsia" w:ascii="宋体" w:hAnsi="宋体"/>
                <w:b/>
                <w:bCs/>
                <w:sz w:val="24"/>
                <w:u w:val="single"/>
                <w:lang w:val="en-US" w:eastAsia="zh-CN"/>
              </w:rPr>
              <w:t xml:space="preserve">    17791588373      </w:t>
            </w:r>
          </w:p>
          <w:p w14:paraId="6592052A">
            <w:pPr>
              <w:tabs>
                <w:tab w:val="left" w:pos="7665"/>
              </w:tabs>
              <w:snapToGrid w:val="0"/>
              <w:rPr>
                <w:rFonts w:hint="eastAsia" w:ascii="宋体" w:hAnsi="宋体"/>
                <w:sz w:val="24"/>
              </w:rPr>
            </w:pPr>
            <w:r>
              <w:rPr>
                <w:rFonts w:ascii="宋体" w:hAnsi="宋体"/>
                <w:b/>
                <w:bCs/>
                <w:sz w:val="24"/>
              </w:rPr>
              <w:t>电子邮箱：</w:t>
            </w:r>
            <w:r>
              <w:rPr>
                <w:rFonts w:hint="eastAsia" w:ascii="宋体" w:hAnsi="宋体"/>
                <w:b/>
                <w:bCs/>
                <w:sz w:val="24"/>
                <w:u w:val="single"/>
                <w:lang w:val="en-US" w:eastAsia="zh-CN"/>
              </w:rPr>
              <w:t xml:space="preserve">    /      </w:t>
            </w:r>
          </w:p>
        </w:tc>
      </w:tr>
    </w:tbl>
    <w:p w14:paraId="41F19D2D">
      <w:pPr>
        <w:adjustRightInd w:val="0"/>
        <w:snapToGrid w:val="0"/>
        <w:spacing w:before="100" w:beforeAutospacing="1" w:line="360" w:lineRule="auto"/>
        <w:rPr>
          <w:rFonts w:ascii="仿宋" w:hAnsi="仿宋" w:eastAsia="仿宋" w:cs="仿宋"/>
          <w:b/>
          <w:bCs/>
          <w:szCs w:val="24"/>
        </w:rPr>
      </w:pPr>
      <w:r>
        <w:rPr>
          <w:rFonts w:hint="eastAsia" w:ascii="仿宋" w:hAnsi="仿宋" w:eastAsia="仿宋" w:cs="仿宋"/>
          <w:b/>
          <w:bCs/>
          <w:szCs w:val="24"/>
        </w:rPr>
        <w:t>一、项目概况</w:t>
      </w:r>
    </w:p>
    <w:p w14:paraId="22F54180">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雁塔区2025年老旧小区庭院围墙内雨污水管网更新改造项目管线测绘服务。</w:t>
      </w:r>
    </w:p>
    <w:p w14:paraId="08856BEA">
      <w:pPr>
        <w:adjustRightInd w:val="0"/>
        <w:snapToGrid w:val="0"/>
        <w:spacing w:line="360" w:lineRule="auto"/>
        <w:rPr>
          <w:rFonts w:ascii="仿宋" w:hAnsi="仿宋" w:eastAsia="仿宋" w:cs="仿宋"/>
          <w:szCs w:val="24"/>
        </w:rPr>
      </w:pPr>
      <w:r>
        <w:rPr>
          <w:rFonts w:hint="eastAsia" w:ascii="仿宋" w:hAnsi="仿宋" w:eastAsia="仿宋" w:cs="仿宋"/>
          <w:b/>
          <w:bCs/>
          <w:szCs w:val="24"/>
        </w:rPr>
        <w:t>二、服务内容</w:t>
      </w:r>
      <w:r>
        <w:rPr>
          <w:rFonts w:hint="eastAsia" w:ascii="仿宋" w:hAnsi="仿宋" w:eastAsia="仿宋" w:cs="仿宋"/>
          <w:szCs w:val="24"/>
        </w:rPr>
        <w:t>（包括工作区域、工作内容等）</w:t>
      </w:r>
    </w:p>
    <w:p w14:paraId="34E68A28">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在西安市雁塔区辖区范围内对既有住宅小区雨污分流改造项目进行测绘及相关服务。主要包括：</w:t>
      </w:r>
      <w:bookmarkStart w:id="0" w:name="_Hlk172129109"/>
      <w:r>
        <w:rPr>
          <w:rFonts w:hint="eastAsia" w:ascii="仿宋" w:hAnsi="仿宋" w:eastAsia="仿宋" w:cs="仿宋"/>
          <w:szCs w:val="24"/>
        </w:rPr>
        <w:t>既有住宅小区雨污分流调绘、既有住宅小区内地下综合管网图测量</w:t>
      </w:r>
      <w:bookmarkEnd w:id="0"/>
      <w:r>
        <w:rPr>
          <w:rFonts w:hint="eastAsia" w:ascii="仿宋" w:hAnsi="仿宋" w:eastAsia="仿宋" w:cs="仿宋"/>
          <w:szCs w:val="24"/>
        </w:rPr>
        <w:t>、1:</w:t>
      </w:r>
      <w:r>
        <w:rPr>
          <w:rFonts w:ascii="仿宋" w:hAnsi="仿宋" w:eastAsia="仿宋" w:cs="仿宋"/>
          <w:szCs w:val="24"/>
        </w:rPr>
        <w:t>500</w:t>
      </w:r>
      <w:r>
        <w:rPr>
          <w:rFonts w:hint="eastAsia" w:ascii="仿宋" w:hAnsi="仿宋" w:eastAsia="仿宋" w:cs="仿宋"/>
          <w:szCs w:val="24"/>
        </w:rPr>
        <w:t>现状地形图测量及其他测绘服务工作。需满足的要求满足国家、省、市现行法律法规及相关政策要求。</w:t>
      </w:r>
    </w:p>
    <w:p w14:paraId="4C862BEF">
      <w:pPr>
        <w:adjustRightInd w:val="0"/>
        <w:snapToGrid w:val="0"/>
        <w:spacing w:line="360" w:lineRule="auto"/>
        <w:rPr>
          <w:rFonts w:ascii="仿宋" w:hAnsi="仿宋" w:eastAsia="仿宋" w:cs="仿宋"/>
          <w:b/>
          <w:bCs/>
          <w:szCs w:val="24"/>
        </w:rPr>
      </w:pPr>
      <w:r>
        <w:rPr>
          <w:rFonts w:hint="eastAsia" w:ascii="仿宋" w:hAnsi="仿宋" w:eastAsia="仿宋" w:cs="仿宋"/>
          <w:b/>
          <w:bCs/>
          <w:szCs w:val="24"/>
        </w:rPr>
        <w:t>三、技术要求</w:t>
      </w:r>
    </w:p>
    <w:p w14:paraId="17D7FFB1">
      <w:pPr>
        <w:adjustRightInd w:val="0"/>
        <w:snapToGrid w:val="0"/>
        <w:spacing w:line="360" w:lineRule="auto"/>
        <w:ind w:firstLine="420" w:firstLineChars="200"/>
        <w:rPr>
          <w:rFonts w:ascii="仿宋" w:hAnsi="仿宋" w:eastAsia="仿宋" w:cs="仿宋"/>
          <w:szCs w:val="24"/>
          <w:highlight w:val="yellow"/>
        </w:rPr>
      </w:pPr>
      <w:r>
        <w:rPr>
          <w:rFonts w:hint="eastAsia" w:ascii="仿宋" w:hAnsi="仿宋" w:eastAsia="仿宋" w:cs="仿宋"/>
          <w:szCs w:val="24"/>
        </w:rPr>
        <w:t>1、既有住宅小区地下综合管网图测量</w:t>
      </w:r>
    </w:p>
    <w:p w14:paraId="48A182CB">
      <w:pPr>
        <w:adjustRightInd w:val="0"/>
        <w:snapToGrid w:val="0"/>
        <w:spacing w:line="360" w:lineRule="auto"/>
        <w:ind w:firstLine="420" w:firstLineChars="200"/>
        <w:rPr>
          <w:rFonts w:hint="eastAsia" w:ascii="仿宋" w:hAnsi="仿宋" w:eastAsia="仿宋" w:cs="仿宋"/>
          <w:szCs w:val="24"/>
          <w:lang w:eastAsia="zh-CN"/>
        </w:rPr>
      </w:pPr>
      <w:r>
        <w:rPr>
          <w:rFonts w:hint="eastAsia" w:ascii="仿宋" w:hAnsi="仿宋" w:eastAsia="仿宋" w:cs="仿宋"/>
          <w:szCs w:val="24"/>
        </w:rPr>
        <w:t>提供小区红线范围内及小区与市政接驳处所有的道路排水、给水、供电、通信、燃气、热力、电力等管线的平面位置、埋深、地面高程、管底高程、管材、管径、流向等数据</w:t>
      </w:r>
      <w:r>
        <w:rPr>
          <w:rFonts w:hint="eastAsia" w:ascii="仿宋" w:hAnsi="仿宋" w:eastAsia="仿宋" w:cs="仿宋"/>
          <w:szCs w:val="24"/>
          <w:lang w:eastAsia="zh-CN"/>
        </w:rPr>
        <w:t>。</w:t>
      </w:r>
    </w:p>
    <w:p w14:paraId="354F2FF7">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2、既有住宅小区1:</w:t>
      </w:r>
      <w:r>
        <w:rPr>
          <w:rFonts w:ascii="仿宋" w:hAnsi="仿宋" w:eastAsia="仿宋" w:cs="仿宋"/>
          <w:szCs w:val="24"/>
        </w:rPr>
        <w:t>500</w:t>
      </w:r>
      <w:r>
        <w:rPr>
          <w:rFonts w:hint="eastAsia" w:ascii="仿宋" w:hAnsi="仿宋" w:eastAsia="仿宋" w:cs="仿宋"/>
          <w:szCs w:val="24"/>
        </w:rPr>
        <w:t>现状地形图测量</w:t>
      </w:r>
    </w:p>
    <w:p w14:paraId="0567D0C6">
      <w:pPr>
        <w:adjustRightInd w:val="0"/>
        <w:snapToGrid w:val="0"/>
        <w:spacing w:line="360" w:lineRule="auto"/>
        <w:ind w:firstLine="420" w:firstLineChars="200"/>
        <w:rPr>
          <w:rFonts w:hint="eastAsia" w:ascii="仿宋" w:hAnsi="仿宋" w:eastAsia="仿宋" w:cs="仿宋"/>
          <w:szCs w:val="24"/>
          <w:lang w:eastAsia="zh-CN"/>
        </w:rPr>
      </w:pPr>
      <w:r>
        <w:rPr>
          <w:rFonts w:hint="eastAsia" w:ascii="仿宋" w:hAnsi="仿宋" w:eastAsia="仿宋" w:cs="仿宋"/>
          <w:szCs w:val="24"/>
        </w:rPr>
        <w:t>提供小区红线范围内1:</w:t>
      </w:r>
      <w:r>
        <w:rPr>
          <w:rFonts w:ascii="仿宋" w:hAnsi="仿宋" w:eastAsia="仿宋" w:cs="仿宋"/>
          <w:szCs w:val="24"/>
        </w:rPr>
        <w:t>500</w:t>
      </w:r>
      <w:r>
        <w:rPr>
          <w:rFonts w:hint="eastAsia" w:ascii="仿宋" w:hAnsi="仿宋" w:eastAsia="仿宋" w:cs="仿宋"/>
          <w:szCs w:val="24"/>
        </w:rPr>
        <w:t>地形图数据。包含小区内部地形地貌、道路、绿化、建（构）筑物、架空的电力线、通信线、地面井等要素信息</w:t>
      </w:r>
      <w:r>
        <w:rPr>
          <w:rFonts w:hint="eastAsia" w:ascii="仿宋" w:hAnsi="仿宋" w:eastAsia="仿宋" w:cs="仿宋"/>
          <w:szCs w:val="24"/>
          <w:lang w:eastAsia="zh-CN"/>
        </w:rPr>
        <w:t>。</w:t>
      </w:r>
    </w:p>
    <w:p w14:paraId="3A6C09A7">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3、提供纸质版成果及电子版dwg格式。</w:t>
      </w:r>
    </w:p>
    <w:p w14:paraId="006BCBF6">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4、执行技术标准</w:t>
      </w:r>
    </w:p>
    <w:p w14:paraId="4CFF0082">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（1）《工程测量标准》(GB50026-2020)；</w:t>
      </w:r>
    </w:p>
    <w:p w14:paraId="0782C5F4">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（2）《城市测量规范》(CJJ/T8-2011)；</w:t>
      </w:r>
    </w:p>
    <w:p w14:paraId="4E336B26">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（3）《全球定位系统实时动态测量（RTK）技术规范》(CH/T2009-2010)；</w:t>
      </w:r>
    </w:p>
    <w:p w14:paraId="116BB8E1">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（4）《城市地下管线探测技术规程》(CJJ61-2017)；</w:t>
      </w:r>
    </w:p>
    <w:p w14:paraId="21C47136">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w:t>
      </w:r>
      <w:r>
        <w:rPr>
          <w:rFonts w:ascii="仿宋" w:hAnsi="仿宋" w:eastAsia="仿宋" w:cs="仿宋"/>
          <w:szCs w:val="24"/>
        </w:rPr>
        <w:t>5</w:t>
      </w:r>
      <w:r>
        <w:rPr>
          <w:rFonts w:hint="eastAsia" w:ascii="仿宋" w:hAnsi="仿宋" w:eastAsia="仿宋" w:cs="仿宋"/>
          <w:szCs w:val="24"/>
        </w:rPr>
        <w:t>）《国家基本比例尺地图图式第1部分：1∶5001∶10001∶2000地形图图式》(GB/T20257.1-2017)；</w:t>
      </w:r>
    </w:p>
    <w:p w14:paraId="7396F387">
      <w:pPr>
        <w:adjustRightInd w:val="0"/>
        <w:snapToGrid w:val="0"/>
        <w:spacing w:line="360" w:lineRule="auto"/>
        <w:ind w:firstLine="420" w:firstLineChars="200"/>
        <w:rPr>
          <w:rFonts w:hint="eastAsia" w:ascii="仿宋" w:hAnsi="仿宋" w:eastAsia="仿宋" w:cs="仿宋"/>
          <w:szCs w:val="24"/>
        </w:rPr>
      </w:pPr>
      <w:r>
        <w:rPr>
          <w:rFonts w:hint="eastAsia" w:ascii="仿宋" w:hAnsi="仿宋" w:eastAsia="仿宋" w:cs="仿宋"/>
          <w:szCs w:val="24"/>
        </w:rPr>
        <w:t>（</w:t>
      </w:r>
      <w:r>
        <w:rPr>
          <w:rFonts w:ascii="仿宋" w:hAnsi="仿宋" w:eastAsia="仿宋" w:cs="仿宋"/>
          <w:szCs w:val="24"/>
        </w:rPr>
        <w:t>6</w:t>
      </w:r>
      <w:r>
        <w:rPr>
          <w:rFonts w:hint="eastAsia" w:ascii="仿宋" w:hAnsi="仿宋" w:eastAsia="仿宋" w:cs="仿宋"/>
          <w:szCs w:val="24"/>
        </w:rPr>
        <w:t>）《数字测绘成果质量检查与验收》GB/T 18316-2008</w:t>
      </w:r>
    </w:p>
    <w:p w14:paraId="7E81C5E7">
      <w:pPr>
        <w:adjustRightInd w:val="0"/>
        <w:snapToGrid w:val="0"/>
        <w:spacing w:line="360" w:lineRule="auto"/>
        <w:ind w:firstLine="420" w:firstLineChars="200"/>
        <w:rPr>
          <w:rFonts w:ascii="仿宋" w:hAnsi="仿宋" w:eastAsia="仿宋" w:cs="仿宋"/>
          <w:szCs w:val="24"/>
        </w:rPr>
      </w:pPr>
      <w:r>
        <w:rPr>
          <w:rFonts w:hint="eastAsia" w:ascii="仿宋" w:hAnsi="仿宋" w:eastAsia="仿宋" w:cs="仿宋"/>
          <w:szCs w:val="24"/>
        </w:rPr>
        <w:t>（</w:t>
      </w:r>
      <w:r>
        <w:rPr>
          <w:rFonts w:ascii="仿宋" w:hAnsi="仿宋" w:eastAsia="仿宋" w:cs="仿宋"/>
          <w:szCs w:val="24"/>
        </w:rPr>
        <w:t>7</w:t>
      </w:r>
      <w:r>
        <w:rPr>
          <w:rFonts w:hint="eastAsia" w:ascii="仿宋" w:hAnsi="仿宋" w:eastAsia="仿宋" w:cs="仿宋"/>
          <w:szCs w:val="24"/>
        </w:rPr>
        <w:t>）《测绘成果质量检查与验收》GB/T-24356-20</w:t>
      </w:r>
      <w:r>
        <w:rPr>
          <w:rFonts w:ascii="仿宋" w:hAnsi="仿宋" w:eastAsia="仿宋" w:cs="仿宋"/>
          <w:szCs w:val="24"/>
        </w:rPr>
        <w:t>23</w:t>
      </w:r>
    </w:p>
    <w:p w14:paraId="046DED95">
      <w:pPr>
        <w:pStyle w:val="2"/>
        <w:spacing w:line="360" w:lineRule="auto"/>
        <w:rPr>
          <w:rFonts w:ascii="仿宋" w:hAnsi="仿宋" w:eastAsia="仿宋" w:cs="仿宋"/>
          <w:b/>
          <w:bCs/>
        </w:rPr>
      </w:pPr>
      <w:r>
        <w:rPr>
          <w:rFonts w:hint="eastAsia" w:ascii="仿宋" w:hAnsi="仿宋" w:eastAsia="仿宋" w:cs="仿宋"/>
          <w:b/>
          <w:bCs/>
        </w:rPr>
        <w:t>四、服务期限</w:t>
      </w:r>
    </w:p>
    <w:p w14:paraId="6069DEDB">
      <w:pPr>
        <w:pStyle w:val="2"/>
        <w:spacing w:line="360" w:lineRule="auto"/>
        <w:ind w:firstLine="420"/>
        <w:rPr>
          <w:rFonts w:ascii="仿宋" w:hAnsi="仿宋" w:eastAsia="仿宋" w:cs="仿宋"/>
          <w:color w:val="auto"/>
        </w:rPr>
      </w:pPr>
      <w:r>
        <w:rPr>
          <w:rFonts w:hint="eastAsia" w:ascii="仿宋" w:hAnsi="仿宋" w:eastAsia="仿宋" w:cs="仿宋"/>
          <w:color w:val="auto"/>
        </w:rPr>
        <w:t>自合同签订之日起</w:t>
      </w:r>
      <w:r>
        <w:rPr>
          <w:rFonts w:ascii="仿宋" w:hAnsi="仿宋" w:eastAsia="仿宋" w:cs="仿宋"/>
          <w:color w:val="auto"/>
        </w:rPr>
        <w:t>90</w:t>
      </w:r>
      <w:r>
        <w:rPr>
          <w:rFonts w:hint="eastAsia" w:ascii="仿宋" w:hAnsi="仿宋" w:eastAsia="仿宋" w:cs="仿宋"/>
          <w:color w:val="auto"/>
        </w:rPr>
        <w:t>日历天完成。</w:t>
      </w:r>
    </w:p>
    <w:p w14:paraId="46594F77">
      <w:pPr>
        <w:widowControl/>
        <w:autoSpaceDE w:val="0"/>
        <w:autoSpaceDN w:val="0"/>
        <w:adjustRightInd w:val="0"/>
        <w:snapToGrid w:val="0"/>
        <w:spacing w:line="360" w:lineRule="auto"/>
        <w:textAlignment w:val="bottom"/>
        <w:rPr>
          <w:rFonts w:ascii="仿宋" w:hAnsi="仿宋" w:eastAsia="仿宋" w:cs="仿宋"/>
          <w:b/>
          <w:bCs/>
          <w:color w:val="000000"/>
          <w:szCs w:val="24"/>
        </w:rPr>
      </w:pPr>
      <w:r>
        <w:rPr>
          <w:rFonts w:hint="eastAsia" w:ascii="仿宋" w:hAnsi="仿宋" w:eastAsia="仿宋" w:cs="仿宋"/>
          <w:b/>
          <w:bCs/>
          <w:color w:val="000000"/>
          <w:szCs w:val="24"/>
        </w:rPr>
        <w:t>五、质量要求</w:t>
      </w:r>
    </w:p>
    <w:p w14:paraId="0439C4BE">
      <w:pPr>
        <w:pStyle w:val="2"/>
        <w:spacing w:line="360" w:lineRule="auto"/>
        <w:ind w:firstLine="420"/>
        <w:rPr>
          <w:rFonts w:hint="eastAsia" w:ascii="仿宋" w:hAnsi="仿宋" w:eastAsia="仿宋" w:cs="仿宋"/>
          <w:color w:val="auto"/>
          <w:lang w:val="en-US" w:eastAsia="zh-CN"/>
        </w:rPr>
      </w:pPr>
      <w:r>
        <w:rPr>
          <w:rFonts w:hint="eastAsia" w:ascii="仿宋" w:hAnsi="仿宋" w:eastAsia="仿宋" w:cs="仿宋"/>
          <w:color w:val="auto"/>
        </w:rPr>
        <w:t>符合国家、行业有关标准要求，合格率100%</w:t>
      </w:r>
      <w:r>
        <w:rPr>
          <w:rFonts w:hint="eastAsia" w:ascii="仿宋" w:hAnsi="仿宋" w:eastAsia="仿宋" w:cs="仿宋"/>
          <w:color w:val="auto"/>
          <w:lang w:eastAsia="zh-CN"/>
        </w:rPr>
        <w:t>。</w:t>
      </w:r>
    </w:p>
    <w:p w14:paraId="02F68B4B">
      <w:pPr>
        <w:widowControl/>
        <w:autoSpaceDE w:val="0"/>
        <w:autoSpaceDN w:val="0"/>
        <w:adjustRightInd w:val="0"/>
        <w:snapToGrid w:val="0"/>
        <w:spacing w:line="360" w:lineRule="auto"/>
        <w:textAlignment w:val="bottom"/>
        <w:rPr>
          <w:rFonts w:ascii="仿宋" w:hAnsi="仿宋" w:eastAsia="仿宋" w:cs="仿宋"/>
          <w:b/>
          <w:bCs/>
          <w:color w:val="000000"/>
          <w:szCs w:val="24"/>
          <w:u w:val="none"/>
        </w:rPr>
      </w:pPr>
      <w:r>
        <w:rPr>
          <w:rFonts w:hint="eastAsia" w:ascii="仿宋" w:hAnsi="仿宋" w:eastAsia="仿宋" w:cs="仿宋"/>
          <w:b/>
          <w:bCs/>
          <w:color w:val="000000"/>
          <w:szCs w:val="24"/>
          <w:u w:val="none"/>
          <w:lang w:val="en-US" w:eastAsia="zh-CN"/>
        </w:rPr>
        <w:t>六</w:t>
      </w:r>
      <w:r>
        <w:rPr>
          <w:rFonts w:hint="eastAsia" w:ascii="仿宋" w:hAnsi="仿宋" w:eastAsia="仿宋" w:cs="仿宋"/>
          <w:b/>
          <w:bCs/>
          <w:color w:val="000000"/>
          <w:szCs w:val="24"/>
          <w:u w:val="none"/>
        </w:rPr>
        <w:t>、付款方式、依据</w:t>
      </w:r>
    </w:p>
    <w:p w14:paraId="4CCA9668">
      <w:pPr>
        <w:adjustRightInd w:val="0"/>
        <w:snapToGrid w:val="0"/>
        <w:spacing w:line="360" w:lineRule="auto"/>
        <w:ind w:firstLine="420" w:firstLineChars="200"/>
        <w:rPr>
          <w:rFonts w:ascii="仿宋" w:hAnsi="仿宋" w:eastAsia="仿宋" w:cs="仿宋"/>
          <w:szCs w:val="24"/>
          <w:u w:val="none"/>
        </w:rPr>
      </w:pPr>
      <w:r>
        <w:rPr>
          <w:rFonts w:hint="eastAsia" w:ascii="仿宋" w:hAnsi="仿宋" w:eastAsia="仿宋" w:cs="仿宋"/>
          <w:szCs w:val="24"/>
          <w:u w:val="none"/>
        </w:rPr>
        <w:t>1、付款方式：合同签订后支付合同总价款的30%，在服务完成后支付剩余70%款项。</w:t>
      </w:r>
    </w:p>
    <w:p w14:paraId="39825F66">
      <w:pPr>
        <w:adjustRightInd w:val="0"/>
        <w:snapToGrid w:val="0"/>
        <w:spacing w:line="360" w:lineRule="auto"/>
        <w:ind w:firstLine="420" w:firstLineChars="200"/>
        <w:rPr>
          <w:rFonts w:hint="eastAsia" w:ascii="仿宋" w:hAnsi="仿宋" w:eastAsia="仿宋" w:cs="仿宋"/>
          <w:szCs w:val="24"/>
          <w:u w:val="none"/>
          <w:lang w:val="en-US" w:eastAsia="zh-CN"/>
        </w:rPr>
      </w:pPr>
      <w:r>
        <w:rPr>
          <w:rFonts w:hint="eastAsia" w:ascii="仿宋" w:hAnsi="仿宋" w:eastAsia="仿宋" w:cs="仿宋"/>
          <w:szCs w:val="24"/>
          <w:u w:val="none"/>
        </w:rPr>
        <w:t>2、付款依据：甲方付款前，乙方提供等额的增值税发票</w:t>
      </w:r>
      <w:r>
        <w:rPr>
          <w:rFonts w:hint="eastAsia" w:ascii="仿宋" w:hAnsi="仿宋" w:eastAsia="仿宋" w:cs="仿宋"/>
          <w:szCs w:val="24"/>
          <w:u w:val="none"/>
          <w:lang w:eastAsia="zh-CN"/>
        </w:rPr>
        <w:t>。</w:t>
      </w:r>
    </w:p>
    <w:p w14:paraId="4DCFA2CA">
      <w:pPr>
        <w:pStyle w:val="3"/>
        <w:ind w:left="0" w:leftChars="0" w:firstLine="4480" w:firstLineChars="1600"/>
        <w:rPr>
          <w:rFonts w:hint="default" w:ascii="仿宋" w:hAnsi="仿宋" w:eastAsia="仿宋"/>
          <w:sz w:val="28"/>
          <w:szCs w:val="28"/>
          <w:lang w:val="en-US" w:eastAsia="zh-CN"/>
        </w:rPr>
      </w:pPr>
      <w:bookmarkStart w:id="1" w:name="_GoBack"/>
      <w:bookmarkEnd w:id="1"/>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GYXIQ+Frutiger-Cn">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2ZThkZTliODc0YjU1NTA5M2UzMTIxMzdkY2QwMDk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C0BA3"/>
    <w:rsid w:val="001C0BBD"/>
    <w:rsid w:val="001C25ED"/>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74B0"/>
    <w:rsid w:val="00220787"/>
    <w:rsid w:val="0022387C"/>
    <w:rsid w:val="00230C6A"/>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611"/>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5BAD"/>
    <w:rsid w:val="00306470"/>
    <w:rsid w:val="00311862"/>
    <w:rsid w:val="00316D60"/>
    <w:rsid w:val="003172BB"/>
    <w:rsid w:val="00322208"/>
    <w:rsid w:val="003245F8"/>
    <w:rsid w:val="00325D47"/>
    <w:rsid w:val="00325EF1"/>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4AC1"/>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2A01"/>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406CD"/>
    <w:rsid w:val="00542C65"/>
    <w:rsid w:val="00544037"/>
    <w:rsid w:val="0054537C"/>
    <w:rsid w:val="00547AD0"/>
    <w:rsid w:val="005509F0"/>
    <w:rsid w:val="00553778"/>
    <w:rsid w:val="00553AC5"/>
    <w:rsid w:val="00554646"/>
    <w:rsid w:val="005555A0"/>
    <w:rsid w:val="0056216F"/>
    <w:rsid w:val="005627E9"/>
    <w:rsid w:val="00572506"/>
    <w:rsid w:val="00573AC9"/>
    <w:rsid w:val="00581DBA"/>
    <w:rsid w:val="00581F60"/>
    <w:rsid w:val="005829C2"/>
    <w:rsid w:val="00582A46"/>
    <w:rsid w:val="0058322B"/>
    <w:rsid w:val="00583A5C"/>
    <w:rsid w:val="0058471F"/>
    <w:rsid w:val="0058487A"/>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552A7"/>
    <w:rsid w:val="00757FC1"/>
    <w:rsid w:val="00760265"/>
    <w:rsid w:val="00763522"/>
    <w:rsid w:val="00770D89"/>
    <w:rsid w:val="00771FBD"/>
    <w:rsid w:val="00772751"/>
    <w:rsid w:val="00772BFA"/>
    <w:rsid w:val="007732E5"/>
    <w:rsid w:val="00773A1F"/>
    <w:rsid w:val="007750D4"/>
    <w:rsid w:val="00775725"/>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C41"/>
    <w:rsid w:val="0084500E"/>
    <w:rsid w:val="008455FB"/>
    <w:rsid w:val="0084584F"/>
    <w:rsid w:val="00850BC8"/>
    <w:rsid w:val="00850E33"/>
    <w:rsid w:val="00856715"/>
    <w:rsid w:val="00856DC0"/>
    <w:rsid w:val="00861CE7"/>
    <w:rsid w:val="00864D01"/>
    <w:rsid w:val="00865BFC"/>
    <w:rsid w:val="008669F7"/>
    <w:rsid w:val="0087394A"/>
    <w:rsid w:val="00874D32"/>
    <w:rsid w:val="00881B84"/>
    <w:rsid w:val="008876A3"/>
    <w:rsid w:val="00887DFB"/>
    <w:rsid w:val="0089283A"/>
    <w:rsid w:val="00892ADC"/>
    <w:rsid w:val="00893813"/>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A82"/>
    <w:rsid w:val="00951071"/>
    <w:rsid w:val="0095333C"/>
    <w:rsid w:val="00955186"/>
    <w:rsid w:val="00956EE8"/>
    <w:rsid w:val="009643C2"/>
    <w:rsid w:val="00966B6A"/>
    <w:rsid w:val="0097057C"/>
    <w:rsid w:val="009715C5"/>
    <w:rsid w:val="00971AF2"/>
    <w:rsid w:val="009723B8"/>
    <w:rsid w:val="00974455"/>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1DBD"/>
    <w:rsid w:val="009F22FE"/>
    <w:rsid w:val="009F750B"/>
    <w:rsid w:val="00A00435"/>
    <w:rsid w:val="00A03071"/>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2FCD"/>
    <w:rsid w:val="00B34577"/>
    <w:rsid w:val="00B34E07"/>
    <w:rsid w:val="00B42D00"/>
    <w:rsid w:val="00B43464"/>
    <w:rsid w:val="00B45223"/>
    <w:rsid w:val="00B45C7D"/>
    <w:rsid w:val="00B461F3"/>
    <w:rsid w:val="00B50C36"/>
    <w:rsid w:val="00B51C5E"/>
    <w:rsid w:val="00B52083"/>
    <w:rsid w:val="00B52525"/>
    <w:rsid w:val="00B52B44"/>
    <w:rsid w:val="00B52D72"/>
    <w:rsid w:val="00B56BAC"/>
    <w:rsid w:val="00B571F4"/>
    <w:rsid w:val="00B64780"/>
    <w:rsid w:val="00B6494B"/>
    <w:rsid w:val="00B65E8E"/>
    <w:rsid w:val="00B67926"/>
    <w:rsid w:val="00B679FA"/>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2668"/>
    <w:rsid w:val="00CD2FAC"/>
    <w:rsid w:val="00CD495B"/>
    <w:rsid w:val="00CD7C0B"/>
    <w:rsid w:val="00CD7C6C"/>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3DB6"/>
    <w:rsid w:val="00D242FC"/>
    <w:rsid w:val="00D26400"/>
    <w:rsid w:val="00D264F9"/>
    <w:rsid w:val="00D35E6A"/>
    <w:rsid w:val="00D361F7"/>
    <w:rsid w:val="00D37A4D"/>
    <w:rsid w:val="00D37BDA"/>
    <w:rsid w:val="00D409F8"/>
    <w:rsid w:val="00D41D8D"/>
    <w:rsid w:val="00D51C08"/>
    <w:rsid w:val="00D51F3E"/>
    <w:rsid w:val="00D55D74"/>
    <w:rsid w:val="00D568D6"/>
    <w:rsid w:val="00D613B2"/>
    <w:rsid w:val="00D61D4F"/>
    <w:rsid w:val="00D62526"/>
    <w:rsid w:val="00D65B3B"/>
    <w:rsid w:val="00D6655A"/>
    <w:rsid w:val="00D7158D"/>
    <w:rsid w:val="00D73BEF"/>
    <w:rsid w:val="00D75DD7"/>
    <w:rsid w:val="00D8461E"/>
    <w:rsid w:val="00D848AF"/>
    <w:rsid w:val="00D84D41"/>
    <w:rsid w:val="00D85867"/>
    <w:rsid w:val="00D90438"/>
    <w:rsid w:val="00D90F7C"/>
    <w:rsid w:val="00D93BBB"/>
    <w:rsid w:val="00D9483F"/>
    <w:rsid w:val="00D9612C"/>
    <w:rsid w:val="00DA0DFD"/>
    <w:rsid w:val="00DA26D1"/>
    <w:rsid w:val="00DB18FC"/>
    <w:rsid w:val="00DB2769"/>
    <w:rsid w:val="00DB4762"/>
    <w:rsid w:val="00DB630A"/>
    <w:rsid w:val="00DB6473"/>
    <w:rsid w:val="00DC4AE1"/>
    <w:rsid w:val="00DC6B38"/>
    <w:rsid w:val="00DC767D"/>
    <w:rsid w:val="00DC7A15"/>
    <w:rsid w:val="00DD0CDD"/>
    <w:rsid w:val="00DD26EA"/>
    <w:rsid w:val="00DD35BB"/>
    <w:rsid w:val="00DD7198"/>
    <w:rsid w:val="00DE3B48"/>
    <w:rsid w:val="00DF0FF1"/>
    <w:rsid w:val="00DF1557"/>
    <w:rsid w:val="00DF7223"/>
    <w:rsid w:val="00DF749E"/>
    <w:rsid w:val="00DF7988"/>
    <w:rsid w:val="00E0112E"/>
    <w:rsid w:val="00E02056"/>
    <w:rsid w:val="00E037D5"/>
    <w:rsid w:val="00E07EB9"/>
    <w:rsid w:val="00E10A87"/>
    <w:rsid w:val="00E114BC"/>
    <w:rsid w:val="00E11D50"/>
    <w:rsid w:val="00E13609"/>
    <w:rsid w:val="00E14B3C"/>
    <w:rsid w:val="00E16067"/>
    <w:rsid w:val="00E212E3"/>
    <w:rsid w:val="00E227F4"/>
    <w:rsid w:val="00E23903"/>
    <w:rsid w:val="00E2575E"/>
    <w:rsid w:val="00E27DAA"/>
    <w:rsid w:val="00E27FDC"/>
    <w:rsid w:val="00E30E7D"/>
    <w:rsid w:val="00E31BA9"/>
    <w:rsid w:val="00E40872"/>
    <w:rsid w:val="00E41594"/>
    <w:rsid w:val="00E46A08"/>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14DE0"/>
    <w:rsid w:val="00F21D20"/>
    <w:rsid w:val="00F22674"/>
    <w:rsid w:val="00F22B78"/>
    <w:rsid w:val="00F244F9"/>
    <w:rsid w:val="00F25220"/>
    <w:rsid w:val="00F25320"/>
    <w:rsid w:val="00F26FA6"/>
    <w:rsid w:val="00F306D7"/>
    <w:rsid w:val="00F308B7"/>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1428"/>
    <w:rsid w:val="00FD20C5"/>
    <w:rsid w:val="00FD2761"/>
    <w:rsid w:val="00FD37B5"/>
    <w:rsid w:val="00FD4568"/>
    <w:rsid w:val="00FD5B5E"/>
    <w:rsid w:val="00FD613E"/>
    <w:rsid w:val="00FD6F4D"/>
    <w:rsid w:val="00FE05A0"/>
    <w:rsid w:val="00FE3FCF"/>
    <w:rsid w:val="00FF2E19"/>
    <w:rsid w:val="00FF756F"/>
    <w:rsid w:val="01B56A63"/>
    <w:rsid w:val="020860D1"/>
    <w:rsid w:val="03177514"/>
    <w:rsid w:val="06472842"/>
    <w:rsid w:val="095F548F"/>
    <w:rsid w:val="0A911CAA"/>
    <w:rsid w:val="0DE3083D"/>
    <w:rsid w:val="15926C0E"/>
    <w:rsid w:val="237B4A5E"/>
    <w:rsid w:val="256B319A"/>
    <w:rsid w:val="25742C24"/>
    <w:rsid w:val="2BD155F1"/>
    <w:rsid w:val="2C187EA8"/>
    <w:rsid w:val="2EED0ECC"/>
    <w:rsid w:val="3B4C0F98"/>
    <w:rsid w:val="3D5C1616"/>
    <w:rsid w:val="3DE85B3A"/>
    <w:rsid w:val="4E7F59D1"/>
    <w:rsid w:val="50036B6F"/>
    <w:rsid w:val="52397FF8"/>
    <w:rsid w:val="571E77BD"/>
    <w:rsid w:val="5B765E19"/>
    <w:rsid w:val="5BA57CFF"/>
    <w:rsid w:val="7510685C"/>
    <w:rsid w:val="75493E1B"/>
    <w:rsid w:val="75BF4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styleId="3">
    <w:name w:val="Normal Indent"/>
    <w:basedOn w:val="1"/>
    <w:qFormat/>
    <w:uiPriority w:val="0"/>
    <w:pPr>
      <w:ind w:firstLine="420" w:firstLineChars="200"/>
    </w:pPr>
  </w:style>
  <w:style w:type="paragraph" w:styleId="4">
    <w:name w:val="annotation text"/>
    <w:basedOn w:val="1"/>
    <w:link w:val="39"/>
    <w:semiHidden/>
    <w:unhideWhenUsed/>
    <w:qFormat/>
    <w:uiPriority w:val="99"/>
    <w:pPr>
      <w:jc w:val="left"/>
    </w:pPr>
  </w:style>
  <w:style w:type="paragraph" w:styleId="5">
    <w:name w:val="Body Text"/>
    <w:basedOn w:val="1"/>
    <w:qFormat/>
    <w:uiPriority w:val="0"/>
    <w:pPr>
      <w:spacing w:after="120"/>
    </w:pPr>
    <w:rPr>
      <w:rFonts w:ascii="Times New Roman"/>
      <w:kern w:val="2"/>
      <w:sz w:val="21"/>
    </w:rPr>
  </w:style>
  <w:style w:type="paragraph" w:styleId="6">
    <w:name w:val="Balloon Text"/>
    <w:basedOn w:val="1"/>
    <w:link w:val="41"/>
    <w:semiHidden/>
    <w:unhideWhenUsed/>
    <w:qFormat/>
    <w:uiPriority w:val="99"/>
    <w:rPr>
      <w:sz w:val="18"/>
      <w:szCs w:val="18"/>
    </w:rPr>
  </w:style>
  <w:style w:type="paragraph" w:styleId="7">
    <w:name w:val="footer"/>
    <w:basedOn w:val="1"/>
    <w:link w:val="38"/>
    <w:unhideWhenUsed/>
    <w:qFormat/>
    <w:uiPriority w:val="99"/>
    <w:pPr>
      <w:tabs>
        <w:tab w:val="center" w:pos="4153"/>
        <w:tab w:val="right" w:pos="8306"/>
      </w:tabs>
      <w:snapToGrid w:val="0"/>
      <w:jc w:val="left"/>
    </w:pPr>
    <w:rPr>
      <w:sz w:val="18"/>
      <w:szCs w:val="18"/>
    </w:rPr>
  </w:style>
  <w:style w:type="paragraph" w:styleId="8">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annotation subject"/>
    <w:basedOn w:val="4"/>
    <w:next w:val="4"/>
    <w:link w:val="40"/>
    <w:semiHidden/>
    <w:unhideWhenUsed/>
    <w:qFormat/>
    <w:uiPriority w:val="99"/>
    <w:rPr>
      <w:b/>
      <w:bCs/>
    </w:rPr>
  </w:style>
  <w:style w:type="character" w:styleId="13">
    <w:name w:val="annotation reference"/>
    <w:basedOn w:val="12"/>
    <w:semiHidden/>
    <w:unhideWhenUsed/>
    <w:qFormat/>
    <w:uiPriority w:val="99"/>
    <w:rPr>
      <w:sz w:val="21"/>
      <w:szCs w:val="21"/>
    </w:rPr>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
    <w:name w:val="※封面大标题"/>
    <w:basedOn w:val="1"/>
    <w:next w:val="1"/>
    <w:qFormat/>
    <w:uiPriority w:val="0"/>
    <w:pPr>
      <w:widowControl/>
      <w:jc w:val="center"/>
    </w:pPr>
    <w:rPr>
      <w:rFonts w:ascii="华文中宋" w:hAnsi="华文中宋" w:eastAsia="华文中宋"/>
      <w:sz w:val="96"/>
      <w:szCs w:val="96"/>
    </w:rPr>
  </w:style>
  <w:style w:type="paragraph" w:customStyle="1" w:styleId="16">
    <w:name w:val="※封面题颌"/>
    <w:basedOn w:val="1"/>
    <w:next w:val="1"/>
    <w:qFormat/>
    <w:uiPriority w:val="0"/>
    <w:pPr>
      <w:widowControl/>
      <w:jc w:val="center"/>
    </w:pPr>
    <w:rPr>
      <w:rFonts w:ascii="Calibri Light" w:hAnsi="Calibri Light" w:eastAsia="华文仿宋"/>
      <w:sz w:val="36"/>
      <w:szCs w:val="36"/>
    </w:rPr>
  </w:style>
  <w:style w:type="paragraph" w:customStyle="1" w:styleId="17">
    <w:name 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面题须"/>
    <w:basedOn w:val="1"/>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qFormat/>
    <w:uiPriority w:val="0"/>
    <w:pPr>
      <w:widowControl/>
      <w:tabs>
        <w:tab w:val="right" w:leader="hyphen" w:pos="8400"/>
      </w:tabs>
      <w:spacing w:after="100"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qFormat/>
    <w:uiPriority w:val="0"/>
    <w:pPr>
      <w:spacing w:before="120" w:line="240" w:lineRule="auto"/>
      <w:outlineLvl w:val="2"/>
    </w:pPr>
    <w:rPr>
      <w:b/>
      <w:color w:val="203864" w:themeColor="accent5" w:themeShade="80"/>
      <w:sz w:val="32"/>
    </w:rPr>
  </w:style>
  <w:style w:type="paragraph" w:customStyle="1" w:styleId="24">
    <w:name w:val="※小标题（1）"/>
    <w:basedOn w:val="1"/>
    <w:next w:val="22"/>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qFormat/>
    <w:uiPriority w:val="0"/>
    <w:pPr>
      <w:outlineLvl w:val="2"/>
    </w:pPr>
  </w:style>
  <w:style w:type="paragraph" w:customStyle="1" w:styleId="32">
    <w:name w:val="※正文（落款）"/>
    <w:basedOn w:val="1"/>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qFormat/>
    <w:uiPriority w:val="0"/>
    <w:pPr>
      <w:ind w:firstLine="200" w:firstLineChars="200"/>
    </w:pPr>
  </w:style>
  <w:style w:type="paragraph" w:customStyle="1" w:styleId="34">
    <w:name w:val="※正文（缩进4）"/>
    <w:basedOn w:val="22"/>
    <w:qFormat/>
    <w:uiPriority w:val="0"/>
    <w:pPr>
      <w:ind w:firstLine="400" w:firstLineChars="400"/>
    </w:pPr>
  </w:style>
  <w:style w:type="paragraph" w:customStyle="1" w:styleId="35">
    <w:name w:val="样式"/>
    <w:link w:val="36"/>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36">
    <w:name w:val="样式 Char Char"/>
    <w:link w:val="35"/>
    <w:qFormat/>
    <w:locked/>
    <w:uiPriority w:val="0"/>
    <w:rPr>
      <w:rFonts w:ascii="宋体" w:hAnsi="宋体" w:eastAsia="宋体" w:cs="宋体"/>
      <w:kern w:val="0"/>
      <w:sz w:val="24"/>
      <w:szCs w:val="24"/>
    </w:rPr>
  </w:style>
  <w:style w:type="character" w:customStyle="1" w:styleId="37">
    <w:name w:val="页眉 Char"/>
    <w:basedOn w:val="12"/>
    <w:link w:val="8"/>
    <w:qFormat/>
    <w:uiPriority w:val="99"/>
    <w:rPr>
      <w:rFonts w:ascii="Calibri" w:hAnsi="Calibri" w:eastAsia="宋体" w:cs="Times New Roman"/>
      <w:sz w:val="18"/>
      <w:szCs w:val="18"/>
    </w:rPr>
  </w:style>
  <w:style w:type="character" w:customStyle="1" w:styleId="38">
    <w:name w:val="页脚 Char"/>
    <w:basedOn w:val="12"/>
    <w:link w:val="7"/>
    <w:qFormat/>
    <w:uiPriority w:val="99"/>
    <w:rPr>
      <w:rFonts w:ascii="Calibri" w:hAnsi="Calibri" w:eastAsia="宋体" w:cs="Times New Roman"/>
      <w:sz w:val="18"/>
      <w:szCs w:val="18"/>
    </w:rPr>
  </w:style>
  <w:style w:type="character" w:customStyle="1" w:styleId="39">
    <w:name w:val="批注文字 Char"/>
    <w:basedOn w:val="12"/>
    <w:link w:val="4"/>
    <w:semiHidden/>
    <w:qFormat/>
    <w:uiPriority w:val="99"/>
    <w:rPr>
      <w:rFonts w:ascii="Calibri" w:hAnsi="Calibri" w:eastAsia="宋体" w:cs="Times New Roman"/>
    </w:rPr>
  </w:style>
  <w:style w:type="character" w:customStyle="1" w:styleId="40">
    <w:name w:val="批注主题 Char"/>
    <w:basedOn w:val="39"/>
    <w:link w:val="10"/>
    <w:semiHidden/>
    <w:qFormat/>
    <w:uiPriority w:val="99"/>
    <w:rPr>
      <w:rFonts w:ascii="Calibri" w:hAnsi="Calibri" w:eastAsia="宋体" w:cs="Times New Roman"/>
      <w:b/>
      <w:bCs/>
    </w:rPr>
  </w:style>
  <w:style w:type="character" w:customStyle="1" w:styleId="41">
    <w:name w:val="批注框文本 Char"/>
    <w:basedOn w:val="12"/>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2175</Words>
  <Characters>2497</Characters>
  <Lines>21</Lines>
  <Paragraphs>6</Paragraphs>
  <TotalTime>22</TotalTime>
  <ScaleCrop>false</ScaleCrop>
  <LinksUpToDate>false</LinksUpToDate>
  <CharactersWithSpaces>2562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2021-03-19T04:39:00Z</dcterms:created>
  <dc:creator>lenovo</dc:creator>
  <cp:lastModifiedBy>sunshine</cp:lastModifiedBy>
  <cp:lastPrinted>2023-10-30T06:42:00Z</cp:lastPrinted>
  <dcterms:modified xsi:type="dcterms:W3CDTF">2025-08-07T07:24:50Z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045B6DD758C342BC8E583A09ADAF3231_13</vt:lpwstr>
  </property>
  <property fmtid="{D5CDD505-2E9C-101B-9397-08002B2CF9AE}" pid="4" name="KSOTemplateDocerSaveRecord">
    <vt:lpwstr>eyJoZGlkIjoiZWY4OTI3NjIzNzhjMjI1ZTIwZDIzZTkzZGJjNWU4ZTMiLCJ1c2VySWQiOiIzOTkyMzQzNzIifQ==</vt:lpwstr>
  </property>
</Properties>
</file>