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1C02F">
      <w:pPr>
        <w:widowControl/>
        <w:jc w:val="center"/>
        <w:rPr>
          <w:rFonts w:hint="default" w:ascii="宋体" w:hAnsi="宋体" w:cs="宋体"/>
          <w:b/>
          <w:color w:val="auto"/>
          <w:sz w:val="32"/>
          <w:szCs w:val="32"/>
          <w:lang w:val="en-US" w:eastAsia="zh-CN"/>
        </w:rPr>
      </w:pPr>
      <w:r>
        <w:rPr>
          <w:rFonts w:hint="eastAsia" w:ascii="宋体" w:hAnsi="宋体" w:cs="宋体"/>
          <w:b/>
          <w:color w:val="auto"/>
          <w:sz w:val="32"/>
          <w:szCs w:val="32"/>
          <w:lang w:val="en-US" w:eastAsia="zh-CN"/>
        </w:rPr>
        <w:t>党政机关办公用房权属统一登记房屋安全鉴定项目</w:t>
      </w:r>
    </w:p>
    <w:p w14:paraId="7A75F9E4">
      <w:pPr>
        <w:widowControl/>
        <w:jc w:val="center"/>
        <w:rPr>
          <w:rFonts w:hint="eastAsia" w:ascii="宋体" w:hAnsi="宋体" w:eastAsia="宋体" w:cs="宋体"/>
          <w:color w:val="auto"/>
        </w:rPr>
      </w:pPr>
      <w:r>
        <w:rPr>
          <w:rFonts w:hint="eastAsia" w:ascii="宋体" w:hAnsi="宋体" w:eastAsia="宋体" w:cs="宋体"/>
          <w:b/>
          <w:color w:val="auto"/>
          <w:sz w:val="32"/>
          <w:szCs w:val="32"/>
        </w:rPr>
        <w:t>附件2：政府采购需求书范本（服务类）</w:t>
      </w:r>
    </w:p>
    <w:tbl>
      <w:tblPr>
        <w:tblStyle w:val="13"/>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7D0E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8D8F2AD">
            <w:pPr>
              <w:snapToGrid w:val="0"/>
              <w:jc w:val="center"/>
              <w:rPr>
                <w:rFonts w:hint="eastAsia" w:ascii="宋体" w:hAnsi="宋体" w:eastAsia="宋体" w:cs="宋体"/>
                <w:b/>
                <w:color w:val="auto"/>
                <w:sz w:val="24"/>
              </w:rPr>
            </w:pPr>
            <w:r>
              <w:rPr>
                <w:rFonts w:hint="eastAsia" w:ascii="宋体" w:hAnsi="宋体" w:eastAsia="宋体" w:cs="宋体"/>
                <w:b/>
                <w:color w:val="auto"/>
                <w:sz w:val="28"/>
                <w:szCs w:val="28"/>
                <w:lang w:val="zh-CN"/>
              </w:rPr>
              <w:t>序号</w:t>
            </w:r>
          </w:p>
        </w:tc>
        <w:tc>
          <w:tcPr>
            <w:tcW w:w="1556" w:type="dxa"/>
            <w:vAlign w:val="center"/>
          </w:tcPr>
          <w:p w14:paraId="6C89E4CE">
            <w:pPr>
              <w:pStyle w:val="37"/>
              <w:ind w:left="38" w:leftChars="0"/>
              <w:jc w:val="center"/>
              <w:rPr>
                <w:rFonts w:hint="eastAsia" w:ascii="宋体" w:hAnsi="宋体" w:eastAsia="宋体" w:cs="宋体"/>
                <w:b/>
                <w:color w:val="auto"/>
                <w:kern w:val="2"/>
                <w:lang w:val="zh-CN"/>
              </w:rPr>
            </w:pPr>
            <w:r>
              <w:rPr>
                <w:rFonts w:hint="eastAsia" w:ascii="宋体" w:hAnsi="宋体" w:eastAsia="宋体" w:cs="宋体"/>
                <w:b/>
                <w:color w:val="auto"/>
                <w:kern w:val="2"/>
                <w:sz w:val="28"/>
                <w:szCs w:val="28"/>
                <w:lang w:val="zh-CN"/>
              </w:rPr>
              <w:t>关键事项</w:t>
            </w:r>
          </w:p>
        </w:tc>
        <w:tc>
          <w:tcPr>
            <w:tcW w:w="7067" w:type="dxa"/>
            <w:vAlign w:val="center"/>
          </w:tcPr>
          <w:p w14:paraId="7A06B0F7">
            <w:pPr>
              <w:pStyle w:val="37"/>
              <w:jc w:val="center"/>
              <w:rPr>
                <w:rFonts w:hint="eastAsia" w:ascii="宋体" w:hAnsi="宋体" w:eastAsia="宋体" w:cs="宋体"/>
                <w:b/>
                <w:color w:val="auto"/>
                <w:kern w:val="2"/>
                <w:lang w:val="zh-CN"/>
              </w:rPr>
            </w:pPr>
            <w:r>
              <w:rPr>
                <w:rFonts w:hint="eastAsia" w:ascii="宋体" w:hAnsi="宋体" w:eastAsia="宋体" w:cs="宋体"/>
                <w:b/>
                <w:color w:val="auto"/>
                <w:kern w:val="2"/>
                <w:sz w:val="28"/>
                <w:szCs w:val="28"/>
                <w:lang w:val="zh-CN"/>
              </w:rPr>
              <w:t>说明和要求</w:t>
            </w:r>
          </w:p>
        </w:tc>
      </w:tr>
      <w:tr w14:paraId="2011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4D2E95B6">
            <w:pPr>
              <w:snapToGrid w:val="0"/>
              <w:spacing w:after="200"/>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w:t>
            </w:r>
          </w:p>
        </w:tc>
        <w:tc>
          <w:tcPr>
            <w:tcW w:w="1556" w:type="dxa"/>
            <w:vAlign w:val="center"/>
          </w:tcPr>
          <w:p w14:paraId="097E2FC0">
            <w:pPr>
              <w:pStyle w:val="37"/>
              <w:ind w:left="38"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采购预算</w:t>
            </w:r>
          </w:p>
        </w:tc>
        <w:tc>
          <w:tcPr>
            <w:tcW w:w="7067" w:type="dxa"/>
            <w:vAlign w:val="center"/>
          </w:tcPr>
          <w:p w14:paraId="0939526F">
            <w:pPr>
              <w:pStyle w:val="37"/>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人民币</w:t>
            </w:r>
            <w:r>
              <w:rPr>
                <w:rFonts w:hint="eastAsia" w:cs="宋体"/>
                <w:b/>
                <w:color w:val="auto"/>
                <w:kern w:val="2"/>
                <w:lang w:val="en-US" w:eastAsia="zh-CN"/>
              </w:rPr>
              <w:t xml:space="preserve"> </w:t>
            </w:r>
            <w:r>
              <w:rPr>
                <w:rFonts w:hint="eastAsia" w:cs="宋体"/>
                <w:b/>
                <w:color w:val="auto"/>
                <w:kern w:val="2"/>
                <w:u w:val="single"/>
                <w:lang w:val="en-US" w:eastAsia="zh-CN"/>
              </w:rPr>
              <w:t>990000.00</w:t>
            </w:r>
            <w:r>
              <w:rPr>
                <w:rFonts w:hint="eastAsia" w:ascii="宋体" w:hAnsi="宋体" w:eastAsia="宋体" w:cs="宋体"/>
                <w:b/>
                <w:color w:val="auto"/>
                <w:kern w:val="2"/>
                <w:lang w:val="zh-CN"/>
              </w:rPr>
              <w:t>元</w:t>
            </w:r>
          </w:p>
          <w:p w14:paraId="35521450">
            <w:pPr>
              <w:pStyle w:val="37"/>
              <w:jc w:val="both"/>
              <w:rPr>
                <w:rFonts w:hint="eastAsia" w:ascii="宋体" w:hAnsi="宋体" w:eastAsia="宋体" w:cs="宋体"/>
                <w:b/>
                <w:color w:val="auto"/>
                <w:kern w:val="2"/>
                <w:lang w:val="zh-CN"/>
              </w:rPr>
            </w:pPr>
            <w:r>
              <w:rPr>
                <w:rFonts w:hint="eastAsia" w:ascii="宋体" w:hAnsi="宋体" w:eastAsia="宋体" w:cs="宋体"/>
                <w:color w:val="auto"/>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73A9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B0AB4E7">
            <w:pPr>
              <w:snapToGrid w:val="0"/>
              <w:spacing w:after="200"/>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w:t>
            </w:r>
          </w:p>
        </w:tc>
        <w:tc>
          <w:tcPr>
            <w:tcW w:w="1556" w:type="dxa"/>
            <w:vAlign w:val="center"/>
          </w:tcPr>
          <w:p w14:paraId="22C13CFD">
            <w:pPr>
              <w:pStyle w:val="37"/>
              <w:ind w:left="38"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最高限价</w:t>
            </w:r>
          </w:p>
        </w:tc>
        <w:tc>
          <w:tcPr>
            <w:tcW w:w="7067" w:type="dxa"/>
            <w:vAlign w:val="center"/>
          </w:tcPr>
          <w:p w14:paraId="1E3DC134">
            <w:pPr>
              <w:pStyle w:val="37"/>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人民币</w:t>
            </w:r>
            <w:r>
              <w:rPr>
                <w:rFonts w:hint="eastAsia" w:cs="宋体"/>
                <w:b/>
                <w:color w:val="auto"/>
                <w:kern w:val="2"/>
                <w:u w:val="single"/>
                <w:lang w:val="en-US" w:eastAsia="zh-CN"/>
              </w:rPr>
              <w:t>990000.00</w:t>
            </w:r>
            <w:r>
              <w:rPr>
                <w:rFonts w:hint="eastAsia" w:ascii="宋体" w:hAnsi="宋体" w:eastAsia="宋体" w:cs="宋体"/>
                <w:b/>
                <w:color w:val="auto"/>
                <w:kern w:val="2"/>
                <w:lang w:val="zh-CN"/>
              </w:rPr>
              <w:t>元</w:t>
            </w:r>
          </w:p>
          <w:p w14:paraId="3C6548FA">
            <w:pPr>
              <w:pStyle w:val="37"/>
              <w:ind w:left="38" w:leftChars="0"/>
              <w:jc w:val="both"/>
              <w:rPr>
                <w:rFonts w:hint="eastAsia" w:ascii="宋体" w:hAnsi="宋体" w:eastAsia="宋体" w:cs="宋体"/>
                <w:b/>
                <w:color w:val="auto"/>
                <w:kern w:val="2"/>
                <w:lang w:val="zh-CN"/>
              </w:rPr>
            </w:pPr>
            <w:r>
              <w:rPr>
                <w:rFonts w:hint="eastAsia" w:ascii="宋体" w:hAnsi="宋体" w:eastAsia="宋体" w:cs="宋体"/>
                <w:color w:val="auto"/>
                <w:kern w:val="2"/>
                <w:sz w:val="21"/>
                <w:szCs w:val="21"/>
                <w:lang w:val="zh-CN"/>
              </w:rPr>
              <w:t>供应商投标报价高于最高限价的则其投标文件将按无效投标文件处理。</w:t>
            </w:r>
          </w:p>
        </w:tc>
      </w:tr>
      <w:tr w14:paraId="74C4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FA47477">
            <w:pPr>
              <w:snapToGrid w:val="0"/>
              <w:spacing w:after="200"/>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w:t>
            </w:r>
          </w:p>
        </w:tc>
        <w:tc>
          <w:tcPr>
            <w:tcW w:w="1556" w:type="dxa"/>
            <w:vMerge w:val="restart"/>
            <w:vAlign w:val="center"/>
          </w:tcPr>
          <w:p w14:paraId="637B8235">
            <w:pPr>
              <w:pStyle w:val="37"/>
              <w:ind w:left="38"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项目性质</w:t>
            </w:r>
          </w:p>
        </w:tc>
        <w:tc>
          <w:tcPr>
            <w:tcW w:w="7067" w:type="dxa"/>
            <w:vAlign w:val="center"/>
          </w:tcPr>
          <w:p w14:paraId="53FA6515">
            <w:pPr>
              <w:pStyle w:val="37"/>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●专门面向中小企业采购</w:t>
            </w:r>
          </w:p>
          <w:p w14:paraId="3EC530EA">
            <w:pPr>
              <w:pStyle w:val="37"/>
              <w:ind w:left="38" w:leftChars="0"/>
              <w:jc w:val="both"/>
              <w:rPr>
                <w:rFonts w:hint="eastAsia" w:ascii="宋体" w:hAnsi="宋体" w:eastAsia="宋体" w:cs="宋体"/>
                <w:b/>
                <w:color w:val="auto"/>
                <w:kern w:val="2"/>
                <w:lang w:val="zh-CN"/>
              </w:rPr>
            </w:pPr>
            <w:r>
              <w:rPr>
                <w:rFonts w:hint="eastAsia" w:ascii="宋体" w:hAnsi="宋体" w:eastAsia="宋体" w:cs="宋体"/>
                <w:color w:val="auto"/>
                <w:kern w:val="2"/>
                <w:sz w:val="21"/>
                <w:szCs w:val="21"/>
                <w:lang w:val="zh-CN"/>
              </w:rPr>
              <w:t>仅允许中小企业或小型、微型企业参与投标。</w:t>
            </w:r>
          </w:p>
        </w:tc>
      </w:tr>
      <w:tr w14:paraId="619E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348C7C14">
            <w:pPr>
              <w:snapToGrid w:val="0"/>
              <w:spacing w:after="200"/>
              <w:ind w:left="142" w:leftChars="0"/>
              <w:jc w:val="center"/>
              <w:rPr>
                <w:rFonts w:hint="eastAsia" w:ascii="宋体" w:hAnsi="宋体" w:eastAsia="宋体" w:cs="宋体"/>
                <w:b/>
                <w:color w:val="auto"/>
                <w:sz w:val="28"/>
                <w:szCs w:val="28"/>
                <w:lang w:val="zh-CN"/>
              </w:rPr>
            </w:pPr>
          </w:p>
        </w:tc>
        <w:tc>
          <w:tcPr>
            <w:tcW w:w="1556" w:type="dxa"/>
            <w:vMerge w:val="continue"/>
            <w:vAlign w:val="center"/>
          </w:tcPr>
          <w:p w14:paraId="66A5B390">
            <w:pPr>
              <w:pStyle w:val="37"/>
              <w:ind w:left="96" w:leftChars="0"/>
              <w:jc w:val="center"/>
              <w:rPr>
                <w:rFonts w:hint="eastAsia" w:ascii="宋体" w:hAnsi="宋体" w:eastAsia="宋体" w:cs="宋体"/>
                <w:color w:val="auto"/>
                <w:kern w:val="2"/>
                <w:lang w:val="zh-CN"/>
              </w:rPr>
            </w:pPr>
          </w:p>
        </w:tc>
        <w:tc>
          <w:tcPr>
            <w:tcW w:w="7067" w:type="dxa"/>
            <w:vAlign w:val="center"/>
          </w:tcPr>
          <w:p w14:paraId="442707D0">
            <w:pP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○非专门面向中小企业采购</w:t>
            </w:r>
          </w:p>
          <w:p w14:paraId="09AF0D99">
            <w:pPr>
              <w:ind w:right="94" w:rightChars="45"/>
              <w:rPr>
                <w:rFonts w:hint="eastAsia" w:ascii="宋体" w:hAnsi="宋体" w:eastAsia="宋体" w:cs="宋体"/>
                <w:b/>
                <w:color w:val="auto"/>
                <w:szCs w:val="21"/>
              </w:rPr>
            </w:pPr>
            <w:r>
              <w:rPr>
                <w:rFonts w:hint="eastAsia" w:ascii="宋体" w:hAnsi="宋体" w:eastAsia="宋体" w:cs="宋体"/>
                <w:bCs/>
                <w:color w:val="auto"/>
                <w:kern w:val="0"/>
                <w:szCs w:val="21"/>
                <w:lang w:val="zh-CN"/>
              </w:rPr>
              <w:t>对符合《财政部关于进一步加大政府采购支持中小企业力度的通知》（财库〔2022〕19号）规定的小微企业（监狱企业视同小型、微型企业）的报价</w:t>
            </w:r>
            <w:r>
              <w:rPr>
                <w:rFonts w:hint="eastAsia" w:ascii="宋体" w:hAnsi="宋体" w:eastAsia="宋体" w:cs="宋体"/>
                <w:b/>
                <w:color w:val="auto"/>
                <w:kern w:val="0"/>
                <w:szCs w:val="21"/>
                <w:lang w:val="zh-CN"/>
              </w:rPr>
              <w:t>给予_</w:t>
            </w:r>
            <w:r>
              <w:rPr>
                <w:rFonts w:hint="eastAsia" w:ascii="宋体" w:hAnsi="宋体" w:eastAsia="宋体" w:cs="宋体"/>
                <w:b/>
                <w:color w:val="auto"/>
                <w:kern w:val="0"/>
                <w:szCs w:val="21"/>
                <w:lang w:val="en-US" w:eastAsia="zh-CN"/>
              </w:rPr>
              <w:t>/</w:t>
            </w:r>
            <w:r>
              <w:rPr>
                <w:rFonts w:hint="eastAsia" w:ascii="宋体" w:hAnsi="宋体" w:eastAsia="宋体" w:cs="宋体"/>
                <w:b/>
                <w:color w:val="auto"/>
                <w:kern w:val="0"/>
                <w:szCs w:val="21"/>
                <w:lang w:val="zh-CN"/>
              </w:rPr>
              <w:t>__%（10%-20%）的扣除</w:t>
            </w:r>
            <w:r>
              <w:rPr>
                <w:rFonts w:hint="eastAsia" w:ascii="宋体" w:hAnsi="宋体" w:eastAsia="宋体" w:cs="宋体"/>
                <w:bCs/>
                <w:color w:val="auto"/>
                <w:kern w:val="0"/>
                <w:szCs w:val="21"/>
                <w:lang w:val="zh-CN"/>
              </w:rPr>
              <w:t>，用扣除后的价格参加评审。</w:t>
            </w:r>
          </w:p>
        </w:tc>
      </w:tr>
      <w:tr w14:paraId="510E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3819F6E">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556" w:type="dxa"/>
            <w:vAlign w:val="center"/>
          </w:tcPr>
          <w:p w14:paraId="747CA9D9">
            <w:pPr>
              <w:pStyle w:val="37"/>
              <w:ind w:left="96"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对供应商的</w:t>
            </w:r>
            <w:r>
              <w:rPr>
                <w:rFonts w:hint="eastAsia" w:ascii="宋体" w:hAnsi="宋体" w:eastAsia="宋体" w:cs="宋体"/>
                <w:color w:val="auto"/>
                <w:kern w:val="2"/>
                <w:lang w:val="zh-CN"/>
              </w:rPr>
              <w:br w:type="textWrapping"/>
            </w:r>
            <w:r>
              <w:rPr>
                <w:rFonts w:hint="eastAsia" w:ascii="宋体" w:hAnsi="宋体" w:eastAsia="宋体" w:cs="宋体"/>
                <w:color w:val="auto"/>
                <w:kern w:val="2"/>
                <w:lang w:val="zh-CN"/>
              </w:rPr>
              <w:t>资格要求</w:t>
            </w:r>
          </w:p>
        </w:tc>
        <w:tc>
          <w:tcPr>
            <w:tcW w:w="7067" w:type="dxa"/>
            <w:vAlign w:val="center"/>
          </w:tcPr>
          <w:p w14:paraId="78BEA4D1">
            <w:pPr>
              <w:pStyle w:val="4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(1)根据《陕西省财政厅关于进一步优化政府采购营商环境有关事项的通知》(陕财办采[2023]4号)文件精神，对供应商基本资格条件实行“承诺+信用管理”。</w:t>
            </w:r>
          </w:p>
          <w:p w14:paraId="6C05C692">
            <w:pPr>
              <w:pStyle w:val="4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(2)供应商须具有独立承担民事责任能力的法人、其他组织或自然人，提供营业执照/事业单位法人证书/非企业专业服务机构执业许可证/自然人身份证。</w:t>
            </w:r>
          </w:p>
          <w:p w14:paraId="4A306F83">
            <w:pPr>
              <w:pStyle w:val="4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(3)供应商不得为“信用中国”网站（www.creditchina.gov.cn ）中列入失信被执行人和重大税收违法失信主体的供应商，不得为中国政府采购网（www.ccgp.gov.cn ）政府采购严重违法失信行为记录名单中被财政部门禁止参加政府采购活动的供应商。</w:t>
            </w:r>
          </w:p>
          <w:p w14:paraId="7EABBBF4">
            <w:pPr>
              <w:pStyle w:val="4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)供应商应授权合法的人员参加磋商全过程，其中法定代表人直接参加磋商的，须出具法人身份证复印件，并与营业执照上信息一致。法定代表人授权代表参加磋商的，须出具法定代表人授权书。</w:t>
            </w:r>
          </w:p>
          <w:p w14:paraId="7A492881">
            <w:pPr>
              <w:pStyle w:val="4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）供应商具有建设行政主管部门颁发的建设工程质量检测机构资质证书（检测范围须包含</w:t>
            </w:r>
            <w:r>
              <w:rPr>
                <w:rFonts w:hint="eastAsia" w:ascii="宋体" w:hAnsi="宋体" w:eastAsia="宋体" w:cs="宋体"/>
                <w:color w:val="auto"/>
                <w:sz w:val="21"/>
                <w:szCs w:val="21"/>
                <w:lang w:val="zh-CN" w:eastAsia="zh-CN"/>
              </w:rPr>
              <w:t>地基基础工程检测、主体结构工程现场检测，钢结构工程检测</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eastAsia="zh-CN"/>
              </w:rPr>
              <w:t>）与具有质量技术监督部门颁发的检验检测机构资质认定证书(CMA)；</w:t>
            </w:r>
          </w:p>
          <w:p w14:paraId="26679F93">
            <w:pPr>
              <w:pStyle w:val="4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）项目负责人具备一级注册结构工程师执业资格且在本单位注册；</w:t>
            </w:r>
          </w:p>
          <w:p w14:paraId="229418C3">
            <w:pPr>
              <w:pStyle w:val="4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本项目不接受联合体磋商</w:t>
            </w:r>
            <w:bookmarkStart w:id="0" w:name="_GoBack"/>
            <w:bookmarkEnd w:id="0"/>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单位负责人为同一人或者存在直接控股、管理关系的不同供应商不得参加同一合同项下的政府采购活动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提供承诺或说明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34DD7EAF">
            <w:pPr>
              <w:pStyle w:val="37"/>
              <w:jc w:val="both"/>
              <w:rPr>
                <w:rFonts w:hint="eastAsia" w:ascii="宋体" w:hAnsi="宋体" w:eastAsia="宋体" w:cs="宋体"/>
                <w:color w:val="auto"/>
                <w:kern w:val="2"/>
                <w:lang w:val="zh-CN"/>
              </w:rPr>
            </w:pPr>
            <w:r>
              <w:rPr>
                <w:rFonts w:hint="eastAsia" w:ascii="宋体" w:hAnsi="宋体" w:eastAsia="宋体" w:cs="宋体"/>
                <w:color w:val="auto"/>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1D9D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E883262">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556" w:type="dxa"/>
            <w:vMerge w:val="restart"/>
            <w:vAlign w:val="center"/>
          </w:tcPr>
          <w:p w14:paraId="44C2F4BB">
            <w:pPr>
              <w:pStyle w:val="37"/>
              <w:ind w:left="96"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是否接受</w:t>
            </w:r>
            <w:r>
              <w:rPr>
                <w:rFonts w:hint="eastAsia" w:ascii="宋体" w:hAnsi="宋体" w:eastAsia="宋体" w:cs="宋体"/>
                <w:color w:val="auto"/>
                <w:kern w:val="2"/>
                <w:lang w:val="zh-CN"/>
              </w:rPr>
              <w:br w:type="textWrapping"/>
            </w:r>
            <w:r>
              <w:rPr>
                <w:rFonts w:hint="eastAsia" w:ascii="宋体" w:hAnsi="宋体" w:eastAsia="宋体" w:cs="宋体"/>
                <w:color w:val="auto"/>
                <w:kern w:val="2"/>
                <w:lang w:val="zh-CN"/>
              </w:rPr>
              <w:t>联合体投标</w:t>
            </w:r>
          </w:p>
        </w:tc>
        <w:tc>
          <w:tcPr>
            <w:tcW w:w="7067" w:type="dxa"/>
            <w:vAlign w:val="center"/>
          </w:tcPr>
          <w:p w14:paraId="13ACB928">
            <w:pPr>
              <w:pStyle w:val="37"/>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○接受</w:t>
            </w:r>
          </w:p>
          <w:p w14:paraId="0D8E8CA0">
            <w:pPr>
              <w:pStyle w:val="37"/>
              <w:jc w:val="both"/>
              <w:rPr>
                <w:rFonts w:hint="eastAsia" w:ascii="宋体" w:hAnsi="宋体" w:eastAsia="宋体" w:cs="宋体"/>
                <w:b/>
                <w:color w:val="auto"/>
                <w:kern w:val="2"/>
                <w:lang w:val="zh-CN"/>
              </w:rPr>
            </w:pPr>
            <w:r>
              <w:rPr>
                <w:rFonts w:hint="eastAsia" w:ascii="宋体" w:hAnsi="宋体" w:eastAsia="宋体" w:cs="宋体"/>
                <w:color w:val="auto"/>
                <w:kern w:val="2"/>
                <w:sz w:val="21"/>
                <w:szCs w:val="21"/>
                <w:lang w:val="zh-CN"/>
              </w:rPr>
              <w:t>对于联合体协议或者分包意向协议约定小微企业的合同份额占到合同总金额30%以上的，对联合体或者大中型企业的报价</w:t>
            </w:r>
            <w:r>
              <w:rPr>
                <w:rFonts w:hint="eastAsia" w:ascii="宋体" w:hAnsi="宋体" w:eastAsia="宋体" w:cs="宋体"/>
                <w:b/>
                <w:color w:val="auto"/>
                <w:kern w:val="2"/>
                <w:sz w:val="21"/>
                <w:szCs w:val="21"/>
                <w:lang w:val="zh-CN"/>
              </w:rPr>
              <w:t>给予__</w:t>
            </w:r>
            <w:r>
              <w:rPr>
                <w:rFonts w:hint="eastAsia" w:cs="宋体"/>
                <w:b/>
                <w:color w:val="auto"/>
                <w:kern w:val="2"/>
                <w:sz w:val="21"/>
                <w:szCs w:val="21"/>
                <w:lang w:val="en-US" w:eastAsia="zh-CN"/>
              </w:rPr>
              <w:t>/</w:t>
            </w:r>
            <w:r>
              <w:rPr>
                <w:rFonts w:hint="eastAsia" w:ascii="宋体" w:hAnsi="宋体" w:eastAsia="宋体" w:cs="宋体"/>
                <w:b/>
                <w:color w:val="auto"/>
                <w:kern w:val="2"/>
                <w:sz w:val="21"/>
                <w:szCs w:val="21"/>
                <w:lang w:val="zh-CN"/>
              </w:rPr>
              <w:t>_%（4%—6%）的扣除</w:t>
            </w:r>
            <w:r>
              <w:rPr>
                <w:rFonts w:hint="eastAsia" w:ascii="宋体" w:hAnsi="宋体" w:eastAsia="宋体" w:cs="宋体"/>
                <w:color w:val="auto"/>
                <w:kern w:val="2"/>
                <w:sz w:val="21"/>
                <w:szCs w:val="21"/>
                <w:lang w:val="zh-CN"/>
              </w:rPr>
              <w:t>，用扣除后的报价参加评审。</w:t>
            </w:r>
          </w:p>
        </w:tc>
      </w:tr>
      <w:tr w14:paraId="40DE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B31AE61">
            <w:pPr>
              <w:snapToGrid w:val="0"/>
              <w:spacing w:after="200"/>
              <w:ind w:left="142" w:leftChars="0"/>
              <w:jc w:val="center"/>
              <w:rPr>
                <w:rFonts w:hint="eastAsia" w:ascii="宋体" w:hAnsi="宋体" w:eastAsia="宋体" w:cs="宋体"/>
                <w:color w:val="auto"/>
                <w:sz w:val="24"/>
              </w:rPr>
            </w:pPr>
          </w:p>
        </w:tc>
        <w:tc>
          <w:tcPr>
            <w:tcW w:w="1556" w:type="dxa"/>
            <w:vMerge w:val="continue"/>
            <w:vAlign w:val="center"/>
          </w:tcPr>
          <w:p w14:paraId="23ADA1EA">
            <w:pPr>
              <w:pStyle w:val="37"/>
              <w:ind w:left="96" w:leftChars="0"/>
              <w:jc w:val="center"/>
              <w:rPr>
                <w:rFonts w:hint="eastAsia" w:ascii="宋体" w:hAnsi="宋体" w:eastAsia="宋体" w:cs="宋体"/>
                <w:color w:val="auto"/>
                <w:kern w:val="2"/>
                <w:lang w:val="zh-CN"/>
              </w:rPr>
            </w:pPr>
          </w:p>
        </w:tc>
        <w:tc>
          <w:tcPr>
            <w:tcW w:w="7067" w:type="dxa"/>
            <w:vAlign w:val="center"/>
          </w:tcPr>
          <w:p w14:paraId="4E315A5C">
            <w:pPr>
              <w:pStyle w:val="37"/>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●不接受</w:t>
            </w:r>
          </w:p>
        </w:tc>
      </w:tr>
      <w:tr w14:paraId="6402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2" w:hRule="atLeast"/>
          <w:jc w:val="center"/>
        </w:trPr>
        <w:tc>
          <w:tcPr>
            <w:tcW w:w="689" w:type="dxa"/>
            <w:vAlign w:val="center"/>
          </w:tcPr>
          <w:p w14:paraId="757C9A8D">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556" w:type="dxa"/>
            <w:vAlign w:val="center"/>
          </w:tcPr>
          <w:p w14:paraId="473CB06E">
            <w:pPr>
              <w:pStyle w:val="37"/>
              <w:ind w:left="96" w:leftChars="0"/>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lang w:val="zh-CN" w:eastAsia="zh-CN"/>
              </w:rPr>
              <w:t>履约保证金</w:t>
            </w:r>
          </w:p>
        </w:tc>
        <w:tc>
          <w:tcPr>
            <w:tcW w:w="7067" w:type="dxa"/>
            <w:vAlign w:val="center"/>
          </w:tcPr>
          <w:p w14:paraId="0CF1AEEF">
            <w:pPr>
              <w:ind w:right="94" w:rightChars="45"/>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本项目不收取</w:t>
            </w:r>
            <w:r>
              <w:rPr>
                <w:rFonts w:hint="eastAsia" w:ascii="宋体" w:hAnsi="宋体" w:eastAsia="宋体" w:cs="宋体"/>
                <w:color w:val="auto"/>
                <w:kern w:val="2"/>
                <w:sz w:val="21"/>
                <w:szCs w:val="21"/>
                <w:lang w:val="zh-CN" w:eastAsia="zh-CN" w:bidi="ar-SA"/>
              </w:rPr>
              <w:t>履约保证金。</w:t>
            </w:r>
          </w:p>
        </w:tc>
      </w:tr>
      <w:tr w14:paraId="11E6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5426C4E">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556" w:type="dxa"/>
            <w:vAlign w:val="center"/>
          </w:tcPr>
          <w:p w14:paraId="0C6EF40A">
            <w:pPr>
              <w:pStyle w:val="37"/>
              <w:ind w:left="96"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集中答疑</w:t>
            </w:r>
          </w:p>
        </w:tc>
        <w:tc>
          <w:tcPr>
            <w:tcW w:w="7067" w:type="dxa"/>
            <w:vAlign w:val="center"/>
          </w:tcPr>
          <w:p w14:paraId="5FD29039">
            <w:pPr>
              <w:ind w:right="94" w:rightChars="45"/>
              <w:rPr>
                <w:rFonts w:hint="eastAsia" w:ascii="宋体" w:hAnsi="宋体" w:eastAsia="宋体" w:cs="宋体"/>
                <w:b/>
                <w:color w:val="auto"/>
                <w:sz w:val="24"/>
              </w:rPr>
            </w:pPr>
            <w:r>
              <w:rPr>
                <w:rFonts w:hint="eastAsia" w:ascii="宋体" w:hAnsi="宋体" w:eastAsia="宋体" w:cs="宋体"/>
                <w:b/>
                <w:color w:val="auto"/>
                <w:sz w:val="24"/>
              </w:rPr>
              <w:t>○组织，答疑地点为：_______________________</w:t>
            </w:r>
          </w:p>
          <w:p w14:paraId="426A3268">
            <w:pPr>
              <w:ind w:right="94" w:rightChars="45"/>
              <w:rPr>
                <w:rFonts w:hint="eastAsia" w:ascii="宋体" w:hAnsi="宋体" w:eastAsia="宋体" w:cs="宋体"/>
                <w:b/>
                <w:color w:val="auto"/>
                <w:sz w:val="24"/>
              </w:rPr>
            </w:pPr>
            <w:r>
              <w:rPr>
                <w:rFonts w:hint="eastAsia" w:ascii="宋体" w:hAnsi="宋体" w:eastAsia="宋体" w:cs="宋体"/>
                <w:b/>
                <w:color w:val="auto"/>
                <w:kern w:val="2"/>
                <w:lang w:val="zh-CN"/>
              </w:rPr>
              <w:t>●</w:t>
            </w:r>
            <w:r>
              <w:rPr>
                <w:rFonts w:hint="eastAsia" w:ascii="宋体" w:hAnsi="宋体" w:eastAsia="宋体" w:cs="宋体"/>
                <w:b/>
                <w:color w:val="auto"/>
                <w:sz w:val="24"/>
              </w:rPr>
              <w:t>不组织</w:t>
            </w:r>
          </w:p>
        </w:tc>
      </w:tr>
      <w:tr w14:paraId="7A48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26CFD62">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556" w:type="dxa"/>
            <w:vAlign w:val="center"/>
          </w:tcPr>
          <w:p w14:paraId="3C0AD8EE">
            <w:pPr>
              <w:pStyle w:val="37"/>
              <w:ind w:left="96"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价格分比重</w:t>
            </w:r>
          </w:p>
        </w:tc>
        <w:tc>
          <w:tcPr>
            <w:tcW w:w="7067" w:type="dxa"/>
            <w:vAlign w:val="center"/>
          </w:tcPr>
          <w:p w14:paraId="69FB9A37">
            <w:pPr>
              <w:widowControl/>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占总分值的</w:t>
            </w:r>
            <w:r>
              <w:rPr>
                <w:rFonts w:hint="eastAsia" w:ascii="宋体" w:hAnsi="宋体" w:eastAsia="宋体" w:cs="宋体"/>
                <w:b/>
                <w:color w:val="auto"/>
                <w:kern w:val="0"/>
                <w:sz w:val="24"/>
                <w:szCs w:val="24"/>
                <w:u w:val="single"/>
                <w:lang w:val="en-US" w:eastAsia="zh-CN"/>
              </w:rPr>
              <w:t xml:space="preserve"> </w:t>
            </w:r>
            <w:r>
              <w:rPr>
                <w:rFonts w:hint="eastAsia" w:ascii="宋体" w:hAnsi="宋体" w:cs="宋体"/>
                <w:b/>
                <w:color w:val="auto"/>
                <w:kern w:val="0"/>
                <w:sz w:val="24"/>
                <w:szCs w:val="24"/>
                <w:u w:val="single"/>
                <w:lang w:val="en-US" w:eastAsia="zh-CN"/>
              </w:rPr>
              <w:t>10</w:t>
            </w:r>
            <w:r>
              <w:rPr>
                <w:rFonts w:hint="eastAsia" w:ascii="宋体" w:hAnsi="宋体" w:eastAsia="宋体" w:cs="宋体"/>
                <w:b/>
                <w:color w:val="auto"/>
                <w:kern w:val="0"/>
                <w:sz w:val="24"/>
                <w:szCs w:val="24"/>
                <w:u w:val="single"/>
                <w:lang w:val="en-US" w:eastAsia="zh-CN"/>
              </w:rPr>
              <w:t xml:space="preserve"> </w:t>
            </w:r>
            <w:r>
              <w:rPr>
                <w:rFonts w:hint="eastAsia" w:ascii="宋体" w:hAnsi="宋体" w:eastAsia="宋体" w:cs="宋体"/>
                <w:b/>
                <w:color w:val="auto"/>
                <w:kern w:val="0"/>
                <w:sz w:val="24"/>
                <w:szCs w:val="24"/>
                <w:lang w:val="zh-CN"/>
              </w:rPr>
              <w:t>%</w:t>
            </w:r>
          </w:p>
          <w:p w14:paraId="11F4D6B3">
            <w:pPr>
              <w:widowControl/>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招标]根据《政府采购货物和服务招标投标管理办法》（财政部87号令）的规定，综合评分法服务项目的价格分值占总分值的比重不得低于10%。执行国家统一定价标准和采用固定价格采购的项目，其价格不列为评审因素。</w:t>
            </w:r>
          </w:p>
          <w:p w14:paraId="701D1874">
            <w:pPr>
              <w:widowControl/>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[询比]根据《政府采购竞争性询比采购方式管理暂行办法》（财库〔2014〕214号）的规定，服务项目的价格分值占总分值的比重(即权值)为10%-30%。</w:t>
            </w:r>
          </w:p>
          <w:p w14:paraId="3C1616D5">
            <w:pPr>
              <w:widowControl/>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[其他采购方式]无须设置。</w:t>
            </w:r>
          </w:p>
        </w:tc>
      </w:tr>
      <w:tr w14:paraId="117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474E79A">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556" w:type="dxa"/>
            <w:vAlign w:val="center"/>
          </w:tcPr>
          <w:p w14:paraId="66F1492E">
            <w:pPr>
              <w:pStyle w:val="37"/>
              <w:ind w:left="96"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合同类型</w:t>
            </w:r>
          </w:p>
        </w:tc>
        <w:tc>
          <w:tcPr>
            <w:tcW w:w="7067" w:type="dxa"/>
            <w:vAlign w:val="center"/>
          </w:tcPr>
          <w:p w14:paraId="1C6E780B">
            <w:pPr>
              <w:rPr>
                <w:rFonts w:hint="eastAsia" w:ascii="宋体" w:hAnsi="宋体" w:eastAsia="宋体" w:cs="宋体"/>
                <w:b/>
                <w:color w:val="auto"/>
                <w:sz w:val="24"/>
                <w:lang w:val="zh-CN"/>
              </w:rPr>
            </w:pPr>
            <w:r>
              <w:rPr>
                <w:rFonts w:hint="eastAsia" w:ascii="宋体" w:hAnsi="宋体" w:eastAsia="宋体" w:cs="宋体"/>
                <w:b/>
                <w:color w:val="auto"/>
                <w:sz w:val="24"/>
                <w:lang w:val="zh-CN"/>
              </w:rPr>
              <w:t>○固定总价</w:t>
            </w:r>
          </w:p>
          <w:p w14:paraId="4EA5E6A5">
            <w:pPr>
              <w:rPr>
                <w:rFonts w:hint="eastAsia" w:ascii="宋体" w:hAnsi="宋体" w:eastAsia="宋体" w:cs="宋体"/>
                <w:b/>
                <w:color w:val="auto"/>
                <w:sz w:val="24"/>
                <w:lang w:val="zh-CN"/>
              </w:rPr>
            </w:pPr>
            <w:r>
              <w:rPr>
                <w:rFonts w:hint="eastAsia" w:ascii="宋体" w:hAnsi="宋体" w:eastAsia="宋体" w:cs="宋体"/>
                <w:b/>
                <w:color w:val="auto"/>
                <w:kern w:val="2"/>
                <w:lang w:val="zh-CN"/>
              </w:rPr>
              <w:t>●</w:t>
            </w:r>
            <w:r>
              <w:rPr>
                <w:rFonts w:hint="eastAsia" w:ascii="宋体" w:hAnsi="宋体" w:eastAsia="宋体" w:cs="宋体"/>
                <w:b/>
                <w:color w:val="auto"/>
                <w:sz w:val="24"/>
                <w:lang w:val="zh-CN"/>
              </w:rPr>
              <w:t>固定单价（适用于采购数量不定的情形）</w:t>
            </w:r>
          </w:p>
          <w:p w14:paraId="0E729EA9">
            <w:pPr>
              <w:rPr>
                <w:rFonts w:hint="eastAsia" w:ascii="宋体" w:hAnsi="宋体" w:eastAsia="宋体" w:cs="宋体"/>
                <w:color w:val="auto"/>
                <w:sz w:val="24"/>
                <w:lang w:val="zh-CN"/>
              </w:rPr>
            </w:pPr>
            <w:r>
              <w:rPr>
                <w:rFonts w:hint="eastAsia" w:ascii="宋体" w:hAnsi="宋体" w:eastAsia="宋体" w:cs="宋体"/>
                <w:b/>
                <w:color w:val="auto"/>
                <w:sz w:val="24"/>
                <w:lang w:val="zh-CN"/>
              </w:rPr>
              <w:t>○其他：_____________________________</w:t>
            </w:r>
          </w:p>
        </w:tc>
      </w:tr>
      <w:tr w14:paraId="7CF7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C9C79F1">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556" w:type="dxa"/>
            <w:vAlign w:val="center"/>
          </w:tcPr>
          <w:p w14:paraId="244DCED3">
            <w:pPr>
              <w:tabs>
                <w:tab w:val="left" w:pos="7665"/>
              </w:tabs>
              <w:snapToGrid w:val="0"/>
              <w:jc w:val="center"/>
              <w:rPr>
                <w:rFonts w:hint="eastAsia" w:ascii="宋体" w:hAnsi="宋体" w:eastAsia="宋体" w:cs="宋体"/>
                <w:color w:val="auto"/>
                <w:sz w:val="24"/>
              </w:rPr>
            </w:pPr>
            <w:r>
              <w:rPr>
                <w:rFonts w:hint="eastAsia" w:ascii="宋体" w:hAnsi="宋体" w:eastAsia="宋体" w:cs="宋体"/>
                <w:color w:val="auto"/>
                <w:sz w:val="24"/>
              </w:rPr>
              <w:t>争议解决途径</w:t>
            </w:r>
          </w:p>
        </w:tc>
        <w:tc>
          <w:tcPr>
            <w:tcW w:w="7067" w:type="dxa"/>
            <w:vAlign w:val="center"/>
          </w:tcPr>
          <w:p w14:paraId="2C7EBD52">
            <w:pPr>
              <w:tabs>
                <w:tab w:val="left" w:pos="7665"/>
              </w:tabs>
              <w:snapToGrid w:val="0"/>
              <w:rPr>
                <w:rFonts w:hint="eastAsia" w:ascii="宋体" w:hAnsi="宋体" w:eastAsia="宋体" w:cs="宋体"/>
                <w:b/>
                <w:color w:val="auto"/>
                <w:sz w:val="24"/>
              </w:rPr>
            </w:pPr>
            <w:r>
              <w:rPr>
                <w:rFonts w:hint="eastAsia" w:ascii="宋体" w:hAnsi="宋体" w:eastAsia="宋体" w:cs="宋体"/>
                <w:b/>
                <w:color w:val="auto"/>
                <w:kern w:val="2"/>
                <w:lang w:val="zh-CN"/>
              </w:rPr>
              <w:t>●</w:t>
            </w:r>
            <w:r>
              <w:rPr>
                <w:rFonts w:hint="eastAsia" w:ascii="宋体" w:hAnsi="宋体" w:eastAsia="宋体" w:cs="宋体"/>
                <w:b/>
                <w:color w:val="auto"/>
                <w:sz w:val="24"/>
              </w:rPr>
              <w:t>向有管辖权的人民法院提起诉讼</w:t>
            </w:r>
          </w:p>
          <w:p w14:paraId="09F39D4A">
            <w:pPr>
              <w:tabs>
                <w:tab w:val="left" w:pos="7665"/>
              </w:tabs>
              <w:snapToGrid w:val="0"/>
              <w:rPr>
                <w:rFonts w:hint="eastAsia" w:ascii="宋体" w:hAnsi="宋体" w:eastAsia="宋体" w:cs="宋体"/>
                <w:b/>
                <w:color w:val="auto"/>
                <w:sz w:val="24"/>
              </w:rPr>
            </w:pPr>
            <w:r>
              <w:rPr>
                <w:rFonts w:hint="eastAsia" w:ascii="宋体" w:hAnsi="宋体" w:eastAsia="宋体" w:cs="宋体"/>
                <w:b/>
                <w:color w:val="auto"/>
                <w:sz w:val="24"/>
              </w:rPr>
              <w:t>○向西安仲裁委员会提请仲裁</w:t>
            </w:r>
          </w:p>
          <w:p w14:paraId="37952E2D">
            <w:pPr>
              <w:tabs>
                <w:tab w:val="left" w:pos="7665"/>
              </w:tabs>
              <w:snapToGrid w:val="0"/>
              <w:rPr>
                <w:rFonts w:hint="eastAsia" w:ascii="宋体" w:hAnsi="宋体" w:eastAsia="宋体" w:cs="宋体"/>
                <w:color w:val="auto"/>
                <w:sz w:val="24"/>
              </w:rPr>
            </w:pPr>
            <w:r>
              <w:rPr>
                <w:rFonts w:hint="eastAsia" w:ascii="宋体" w:hAnsi="宋体" w:eastAsia="宋体" w:cs="宋体"/>
                <w:b/>
                <w:color w:val="auto"/>
                <w:sz w:val="24"/>
              </w:rPr>
              <w:t>○由供应商做出选择</w:t>
            </w:r>
          </w:p>
        </w:tc>
      </w:tr>
      <w:tr w14:paraId="10E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84C29CC">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556" w:type="dxa"/>
            <w:vAlign w:val="center"/>
          </w:tcPr>
          <w:p w14:paraId="6B4BD7C8">
            <w:pPr>
              <w:snapToGrid w:val="0"/>
              <w:jc w:val="center"/>
              <w:rPr>
                <w:rFonts w:hint="eastAsia" w:ascii="宋体" w:hAnsi="宋体" w:eastAsia="宋体" w:cs="宋体"/>
                <w:color w:val="auto"/>
                <w:sz w:val="24"/>
              </w:rPr>
            </w:pPr>
            <w:r>
              <w:rPr>
                <w:rFonts w:hint="eastAsia" w:ascii="宋体" w:hAnsi="宋体" w:eastAsia="宋体" w:cs="宋体"/>
                <w:color w:val="auto"/>
                <w:sz w:val="24"/>
              </w:rPr>
              <w:t>联系方式</w:t>
            </w:r>
          </w:p>
        </w:tc>
        <w:tc>
          <w:tcPr>
            <w:tcW w:w="7067" w:type="dxa"/>
            <w:vAlign w:val="center"/>
          </w:tcPr>
          <w:p w14:paraId="174C8CC1">
            <w:pPr>
              <w:tabs>
                <w:tab w:val="left" w:pos="7665"/>
              </w:tabs>
              <w:snapToGrid w:val="0"/>
              <w:rPr>
                <w:rFonts w:hint="eastAsia" w:ascii="宋体" w:hAnsi="宋体" w:eastAsia="宋体" w:cs="宋体"/>
                <w:b/>
                <w:bCs/>
                <w:color w:val="auto"/>
                <w:sz w:val="24"/>
                <w:u w:val="single"/>
                <w:lang w:val="en-US" w:eastAsia="zh-CN"/>
              </w:rPr>
            </w:pPr>
            <w:r>
              <w:rPr>
                <w:rFonts w:hint="eastAsia" w:ascii="宋体" w:hAnsi="宋体" w:eastAsia="宋体" w:cs="宋体"/>
                <w:b/>
                <w:bCs/>
                <w:color w:val="auto"/>
                <w:sz w:val="24"/>
              </w:rPr>
              <w:t>项目对接人：</w:t>
            </w:r>
            <w:r>
              <w:rPr>
                <w:rFonts w:hint="eastAsia" w:ascii="宋体" w:hAnsi="宋体" w:cs="宋体"/>
                <w:b/>
                <w:bCs/>
                <w:color w:val="auto"/>
                <w:sz w:val="24"/>
                <w:lang w:val="en-US" w:eastAsia="zh-CN"/>
              </w:rPr>
              <w:t>张锋莉</w:t>
            </w:r>
          </w:p>
          <w:p w14:paraId="32E65C66">
            <w:pPr>
              <w:tabs>
                <w:tab w:val="left" w:pos="7665"/>
              </w:tabs>
              <w:snapToGrid w:val="0"/>
              <w:rPr>
                <w:rFonts w:hint="default" w:ascii="宋体" w:hAnsi="宋体" w:eastAsia="宋体" w:cs="宋体"/>
                <w:b/>
                <w:bCs/>
                <w:color w:val="auto"/>
                <w:sz w:val="24"/>
                <w:u w:val="single"/>
                <w:lang w:val="en-US" w:eastAsia="zh-CN"/>
              </w:rPr>
            </w:pPr>
            <w:r>
              <w:rPr>
                <w:rFonts w:hint="eastAsia" w:ascii="宋体" w:hAnsi="宋体" w:eastAsia="宋体" w:cs="宋体"/>
                <w:b/>
                <w:bCs/>
                <w:color w:val="auto"/>
                <w:sz w:val="24"/>
              </w:rPr>
              <w:t>联系电话：</w:t>
            </w:r>
            <w:r>
              <w:rPr>
                <w:rFonts w:hint="eastAsia" w:ascii="宋体" w:hAnsi="宋体" w:cs="宋体"/>
                <w:b/>
                <w:bCs/>
                <w:color w:val="auto"/>
                <w:sz w:val="24"/>
                <w:lang w:val="en-US" w:eastAsia="zh-CN"/>
              </w:rPr>
              <w:t>86868616</w:t>
            </w:r>
          </w:p>
          <w:p w14:paraId="37CFDA91">
            <w:pPr>
              <w:tabs>
                <w:tab w:val="left" w:pos="7665"/>
              </w:tabs>
              <w:snapToGrid w:val="0"/>
              <w:rPr>
                <w:rFonts w:hint="eastAsia" w:ascii="宋体" w:hAnsi="宋体" w:eastAsia="宋体" w:cs="宋体"/>
                <w:color w:val="auto"/>
                <w:sz w:val="24"/>
                <w:u w:val="single"/>
                <w:lang w:val="en-US" w:eastAsia="zh-CN"/>
              </w:rPr>
            </w:pPr>
            <w:r>
              <w:rPr>
                <w:rFonts w:hint="eastAsia" w:ascii="宋体" w:hAnsi="宋体" w:eastAsia="宋体" w:cs="宋体"/>
                <w:b/>
                <w:bCs/>
                <w:color w:val="auto"/>
                <w:sz w:val="24"/>
              </w:rPr>
              <w:t>电子邮箱：</w:t>
            </w:r>
            <w:r>
              <w:rPr>
                <w:rFonts w:hint="eastAsia" w:ascii="宋体" w:hAnsi="宋体" w:eastAsia="宋体" w:cs="宋体"/>
                <w:b/>
                <w:bCs/>
                <w:color w:val="auto"/>
                <w:sz w:val="24"/>
                <w:u w:val="single"/>
                <w:lang w:val="en-US" w:eastAsia="zh-CN"/>
              </w:rPr>
              <w:t xml:space="preserve">  </w:t>
            </w:r>
            <w:r>
              <w:rPr>
                <w:rFonts w:hint="eastAsia" w:ascii="宋体" w:hAnsi="宋体" w:cs="宋体"/>
                <w:b/>
                <w:bCs/>
                <w:color w:val="auto"/>
                <w:sz w:val="24"/>
                <w:u w:val="single"/>
                <w:lang w:val="en-US" w:eastAsia="zh-CN"/>
              </w:rPr>
              <w:t>/</w:t>
            </w:r>
            <w:r>
              <w:rPr>
                <w:rFonts w:hint="eastAsia" w:ascii="宋体" w:hAnsi="宋体" w:eastAsia="宋体" w:cs="宋体"/>
                <w:b/>
                <w:bCs/>
                <w:color w:val="auto"/>
                <w:sz w:val="24"/>
                <w:u w:val="single"/>
                <w:lang w:val="en-US" w:eastAsia="zh-CN"/>
              </w:rPr>
              <w:t xml:space="preserve">   </w:t>
            </w:r>
          </w:p>
        </w:tc>
      </w:tr>
    </w:tbl>
    <w:p w14:paraId="0FE84D41">
      <w:pPr>
        <w:widowControl/>
        <w:jc w:val="center"/>
        <w:rPr>
          <w:rFonts w:hint="eastAsia" w:ascii="宋体" w:hAnsi="宋体" w:eastAsia="宋体" w:cs="宋体"/>
          <w:b/>
          <w:color w:val="auto"/>
          <w:sz w:val="32"/>
          <w:szCs w:val="32"/>
        </w:rPr>
      </w:pPr>
    </w:p>
    <w:p w14:paraId="3C5C0FF8">
      <w:pPr>
        <w:widowControl/>
        <w:jc w:val="center"/>
        <w:rPr>
          <w:rFonts w:hint="eastAsia" w:ascii="宋体" w:hAnsi="宋体" w:eastAsia="宋体" w:cs="宋体"/>
          <w:b/>
          <w:color w:val="auto"/>
          <w:sz w:val="32"/>
          <w:szCs w:val="32"/>
        </w:rPr>
      </w:pPr>
    </w:p>
    <w:p w14:paraId="38BB1232">
      <w:pPr>
        <w:widowControl/>
        <w:jc w:val="both"/>
        <w:rPr>
          <w:rFonts w:hint="eastAsia" w:ascii="宋体" w:hAnsi="宋体" w:eastAsia="宋体" w:cs="宋体"/>
          <w:b/>
          <w:color w:val="auto"/>
          <w:sz w:val="32"/>
          <w:szCs w:val="32"/>
        </w:rPr>
      </w:pPr>
    </w:p>
    <w:p w14:paraId="6F0B33EF">
      <w:pPr>
        <w:widowControl/>
        <w:jc w:val="both"/>
        <w:rPr>
          <w:rFonts w:hint="eastAsia" w:ascii="宋体" w:hAnsi="宋体" w:eastAsia="宋体" w:cs="宋体"/>
          <w:b/>
          <w:color w:val="auto"/>
          <w:sz w:val="32"/>
          <w:szCs w:val="32"/>
        </w:rPr>
      </w:pPr>
    </w:p>
    <w:p w14:paraId="086F50F1">
      <w:pPr>
        <w:widowControl/>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需求框架（服务类）</w:t>
      </w:r>
    </w:p>
    <w:p w14:paraId="1FAE5B9A">
      <w:pPr>
        <w:keepNext w:val="0"/>
        <w:keepLines w:val="0"/>
        <w:pageBreakBefore w:val="0"/>
        <w:widowControl w:val="0"/>
        <w:numPr>
          <w:ilvl w:val="0"/>
          <w:numId w:val="1"/>
        </w:numPr>
        <w:pBdr>
          <w:bottom w:val="single" w:color="auto" w:sz="4" w:space="1"/>
        </w:pBdr>
        <w:kinsoku/>
        <w:wordWrap/>
        <w:overflowPunct/>
        <w:topLinePunct w:val="0"/>
        <w:autoSpaceDE/>
        <w:autoSpaceDN/>
        <w:bidi w:val="0"/>
        <w:adjustRightInd/>
        <w:snapToGrid/>
        <w:spacing w:line="500" w:lineRule="exact"/>
        <w:ind w:left="0"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项目概况</w:t>
      </w:r>
    </w:p>
    <w:p w14:paraId="0D34C5F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针对西安市阎良行政区内党政机关及参公事业单位办公用房进行安全性及抗震性能鉴定</w:t>
      </w:r>
      <w:r>
        <w:rPr>
          <w:rFonts w:hint="eastAsia" w:ascii="宋体" w:hAnsi="宋体" w:cs="宋体"/>
          <w:b w:val="0"/>
          <w:bCs/>
          <w:color w:val="auto"/>
          <w:sz w:val="24"/>
          <w:szCs w:val="24"/>
          <w:lang w:val="en-US" w:eastAsia="zh-CN"/>
        </w:rPr>
        <w:t>，预</w:t>
      </w:r>
      <w:r>
        <w:rPr>
          <w:rFonts w:hint="eastAsia" w:ascii="宋体" w:hAnsi="宋体" w:eastAsia="宋体" w:cs="宋体"/>
          <w:b w:val="0"/>
          <w:bCs/>
          <w:color w:val="auto"/>
          <w:sz w:val="24"/>
          <w:szCs w:val="24"/>
          <w:lang w:val="en-US" w:eastAsia="zh-CN"/>
        </w:rPr>
        <w:t>估建筑面积为17万平方米。</w:t>
      </w:r>
    </w:p>
    <w:p w14:paraId="500E6EAF">
      <w:pPr>
        <w:keepNext w:val="0"/>
        <w:keepLines w:val="0"/>
        <w:pageBreakBefore w:val="0"/>
        <w:widowControl w:val="0"/>
        <w:pBdr>
          <w:bottom w:val="single" w:color="auto" w:sz="4" w:space="1"/>
        </w:pBdr>
        <w:kinsoku/>
        <w:wordWrap/>
        <w:overflowPunct/>
        <w:topLinePunct w:val="0"/>
        <w:autoSpaceDE/>
        <w:autoSpaceDN/>
        <w:bidi w:val="0"/>
        <w:adjustRightInd/>
        <w:snapToGrid/>
        <w:spacing w:line="500" w:lineRule="exact"/>
        <w:ind w:left="0"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二、服务内容（包括工作区域、工作内容等）</w:t>
      </w:r>
    </w:p>
    <w:p w14:paraId="37F6CD08">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bCs w:val="0"/>
          <w:color w:val="auto"/>
          <w:sz w:val="24"/>
          <w:szCs w:val="24"/>
          <w:lang w:val="en-US" w:eastAsia="zh-CN"/>
        </w:rPr>
        <w:t>1、项目实施地点：</w:t>
      </w:r>
      <w:r>
        <w:rPr>
          <w:rFonts w:hint="eastAsia" w:ascii="宋体" w:hAnsi="宋体" w:eastAsia="宋体" w:cs="宋体"/>
          <w:b w:val="0"/>
          <w:bCs/>
          <w:color w:val="auto"/>
          <w:sz w:val="24"/>
          <w:szCs w:val="24"/>
          <w:lang w:val="en-US" w:eastAsia="zh-CN"/>
        </w:rPr>
        <w:t>西安市阎良区</w:t>
      </w:r>
    </w:p>
    <w:p w14:paraId="7B82AE67">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2、工作内容：</w:t>
      </w:r>
    </w:p>
    <w:p w14:paraId="6A74C13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（一）现场调查</w:t>
      </w:r>
      <w:r>
        <w:rPr>
          <w:rFonts w:hint="eastAsia" w:ascii="宋体" w:hAnsi="宋体" w:eastAsia="宋体" w:cs="宋体"/>
          <w:b w:val="0"/>
          <w:bCs/>
          <w:color w:val="auto"/>
          <w:sz w:val="24"/>
          <w:szCs w:val="24"/>
          <w:lang w:val="en-US" w:eastAsia="zh-CN"/>
        </w:rPr>
        <w:t>：</w:t>
      </w:r>
    </w:p>
    <w:p w14:paraId="18A787E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(1)调查该建筑的相关资料。</w:t>
      </w:r>
    </w:p>
    <w:p w14:paraId="30130ED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(2)建筑物的既往历史，主要包括原始施工、用途改变以及受灾等</w:t>
      </w:r>
      <w:r>
        <w:rPr>
          <w:rFonts w:hint="eastAsia" w:ascii="宋体" w:hAnsi="宋体" w:cs="宋体"/>
          <w:b w:val="0"/>
          <w:bCs/>
          <w:color w:val="auto"/>
          <w:sz w:val="24"/>
          <w:szCs w:val="24"/>
          <w:lang w:val="en-US" w:eastAsia="zh-CN"/>
        </w:rPr>
        <w:t>情</w:t>
      </w:r>
      <w:r>
        <w:rPr>
          <w:rFonts w:hint="eastAsia" w:ascii="宋体" w:hAnsi="宋体" w:eastAsia="宋体" w:cs="宋体"/>
          <w:b w:val="0"/>
          <w:bCs/>
          <w:color w:val="auto"/>
          <w:sz w:val="24"/>
          <w:szCs w:val="24"/>
          <w:lang w:val="en-US" w:eastAsia="zh-CN"/>
        </w:rPr>
        <w:t>况。</w:t>
      </w:r>
    </w:p>
    <w:p w14:paraId="2A1C1C9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(3)现场核查，主要包括建筑物现状有无扩建维修状况等。</w:t>
      </w:r>
    </w:p>
    <w:p w14:paraId="00F528C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(4)结构的基本情况勘查，主要包括该建筑结构构造等。</w:t>
      </w:r>
    </w:p>
    <w:p w14:paraId="16D8A35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(5)结构使用情况及荷载调查，主要包括建筑物的使用历史、荷载有无较大的变动。</w:t>
      </w:r>
    </w:p>
    <w:p w14:paraId="01F131E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（二）现场检测</w:t>
      </w:r>
      <w:r>
        <w:rPr>
          <w:rFonts w:hint="eastAsia" w:ascii="宋体" w:hAnsi="宋体" w:cs="宋体"/>
          <w:b w:val="0"/>
          <w:bCs/>
          <w:color w:val="auto"/>
          <w:sz w:val="24"/>
          <w:szCs w:val="24"/>
          <w:lang w:val="en-US" w:eastAsia="zh-CN"/>
        </w:rPr>
        <w:t>：</w:t>
      </w:r>
    </w:p>
    <w:p w14:paraId="0B15DF9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(1)对项目该建筑结构构件现状下的整体外观质量进行普查，对检测的结构构件等各类构件的外观缺陷、裂缝及损伤状况进行检测。</w:t>
      </w:r>
    </w:p>
    <w:p w14:paraId="0FA8BDF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(2)对该项目建筑结构平面进行现场调查及绘制。</w:t>
      </w:r>
    </w:p>
    <w:p w14:paraId="770027D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(3)对该项目建筑的结构构件的现龄期混凝土强度进行检测。</w:t>
      </w:r>
    </w:p>
    <w:p w14:paraId="0F65891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(4)对该项目建筑物的砌体抗压强度及砌筑砂浆抗压强度进行检测。</w:t>
      </w:r>
    </w:p>
    <w:p w14:paraId="47C8F21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r>
        <w:rPr>
          <w:rFonts w:hint="eastAsia" w:ascii="宋体" w:hAnsi="宋体" w:cs="宋体"/>
          <w:b w:val="0"/>
          <w:bCs/>
          <w:color w:val="auto"/>
          <w:sz w:val="24"/>
          <w:szCs w:val="24"/>
          <w:lang w:val="en-US" w:eastAsia="zh-CN"/>
        </w:rPr>
        <w:t>对该项目建筑物的混凝土构件钢筋配置及钢筋直径检测。</w:t>
      </w:r>
    </w:p>
    <w:p w14:paraId="1C9BAFA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6</w:t>
      </w:r>
      <w:r>
        <w:rPr>
          <w:rFonts w:hint="eastAsia" w:ascii="宋体" w:hAnsi="宋体" w:eastAsia="宋体" w:cs="宋体"/>
          <w:b w:val="0"/>
          <w:bCs/>
          <w:color w:val="auto"/>
          <w:sz w:val="24"/>
          <w:szCs w:val="24"/>
          <w:lang w:val="en-US" w:eastAsia="zh-CN"/>
        </w:rPr>
        <w:t>)对该项目建筑物轴线尺寸进行检测。</w:t>
      </w:r>
    </w:p>
    <w:p w14:paraId="37251B0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7</w:t>
      </w:r>
      <w:r>
        <w:rPr>
          <w:rFonts w:hint="eastAsia" w:ascii="宋体" w:hAnsi="宋体" w:eastAsia="宋体" w:cs="宋体"/>
          <w:b w:val="0"/>
          <w:bCs/>
          <w:color w:val="auto"/>
          <w:sz w:val="24"/>
          <w:szCs w:val="24"/>
          <w:lang w:val="en-US" w:eastAsia="zh-CN"/>
        </w:rPr>
        <w:t>)对该项目建筑整体的沉降情况进行检测。</w:t>
      </w:r>
    </w:p>
    <w:p w14:paraId="0B58D8F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8</w:t>
      </w:r>
      <w:r>
        <w:rPr>
          <w:rFonts w:hint="eastAsia" w:ascii="宋体" w:hAnsi="宋体" w:eastAsia="宋体" w:cs="宋体"/>
          <w:b w:val="0"/>
          <w:bCs/>
          <w:color w:val="auto"/>
          <w:sz w:val="24"/>
          <w:szCs w:val="24"/>
          <w:lang w:val="en-US" w:eastAsia="zh-CN"/>
        </w:rPr>
        <w:t>)对该项目建筑整体的倾斜情况进行检测。</w:t>
      </w:r>
    </w:p>
    <w:p w14:paraId="64670AC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9</w:t>
      </w:r>
      <w:r>
        <w:rPr>
          <w:rFonts w:hint="eastAsia" w:ascii="宋体" w:hAnsi="宋体" w:eastAsia="宋体" w:cs="宋体"/>
          <w:b w:val="0"/>
          <w:bCs/>
          <w:color w:val="auto"/>
          <w:sz w:val="24"/>
          <w:szCs w:val="24"/>
          <w:lang w:val="en-US" w:eastAsia="zh-CN"/>
        </w:rPr>
        <w:t>)对该项目建筑的地基基础稳定性及场地进行评价。</w:t>
      </w:r>
    </w:p>
    <w:p w14:paraId="6B58F25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10</w:t>
      </w:r>
      <w:r>
        <w:rPr>
          <w:rFonts w:hint="eastAsia" w:ascii="宋体" w:hAnsi="宋体" w:eastAsia="宋体" w:cs="宋体"/>
          <w:b w:val="0"/>
          <w:bCs/>
          <w:color w:val="auto"/>
          <w:sz w:val="24"/>
          <w:szCs w:val="24"/>
          <w:lang w:val="en-US" w:eastAsia="zh-CN"/>
        </w:rPr>
        <w:t>)对该建筑的结构安全性及抗震性能鉴定。</w:t>
      </w:r>
    </w:p>
    <w:p w14:paraId="4BE600E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（三）分析评定</w:t>
      </w:r>
    </w:p>
    <w:p w14:paraId="3ED7D59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(1)分别依据现有实际荷载情况，对结构承载能力进行验算。</w:t>
      </w:r>
    </w:p>
    <w:p w14:paraId="2E1FD59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(2)依据检测及验算结果，对建筑物的安全性按照国家标准及规范进行评定、针对存在的问题提出相应的处理建议。</w:t>
      </w:r>
    </w:p>
    <w:p w14:paraId="5E3B2716">
      <w:pPr>
        <w:keepNext w:val="0"/>
        <w:keepLines w:val="0"/>
        <w:pageBreakBefore w:val="0"/>
        <w:widowControl w:val="0"/>
        <w:pBdr>
          <w:bottom w:val="single" w:color="auto" w:sz="4" w:space="1"/>
        </w:pBdr>
        <w:kinsoku/>
        <w:wordWrap/>
        <w:overflowPunct/>
        <w:topLinePunct w:val="0"/>
        <w:autoSpaceDE/>
        <w:autoSpaceDN/>
        <w:bidi w:val="0"/>
        <w:adjustRightInd/>
        <w:snapToGrid/>
        <w:spacing w:line="500" w:lineRule="exact"/>
        <w:ind w:left="0"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三、技术要求（如有，一般适合于技术服务项目）</w:t>
      </w:r>
    </w:p>
    <w:p w14:paraId="1A7366FC">
      <w:pPr>
        <w:numPr>
          <w:ilvl w:val="0"/>
          <w:numId w:val="0"/>
        </w:num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按照国家相关规范要求对</w:t>
      </w:r>
      <w:r>
        <w:rPr>
          <w:rFonts w:hint="eastAsia" w:ascii="宋体" w:hAnsi="宋体" w:eastAsia="宋体" w:cs="宋体"/>
          <w:b w:val="0"/>
          <w:bCs/>
          <w:color w:val="auto"/>
          <w:sz w:val="24"/>
          <w:szCs w:val="24"/>
          <w:lang w:val="en-US" w:eastAsia="zh-CN"/>
        </w:rPr>
        <w:t>西安市阎良行政区内党政机关及参公事业单位内</w:t>
      </w:r>
      <w:r>
        <w:rPr>
          <w:rFonts w:hint="eastAsia" w:ascii="宋体" w:hAnsi="宋体" w:eastAsia="宋体" w:cs="宋体"/>
          <w:b w:val="0"/>
          <w:bCs w:val="0"/>
          <w:color w:val="auto"/>
          <w:kern w:val="2"/>
          <w:sz w:val="24"/>
          <w:szCs w:val="24"/>
          <w:lang w:val="en-US" w:eastAsia="zh-CN" w:bidi="ar-SA"/>
        </w:rPr>
        <w:t>建筑物进行房屋结构安全性及抗震性能鉴定。</w:t>
      </w:r>
    </w:p>
    <w:p w14:paraId="41439ED1">
      <w:pPr>
        <w:keepNext w:val="0"/>
        <w:keepLines w:val="0"/>
        <w:pageBreakBefore w:val="0"/>
        <w:widowControl w:val="0"/>
        <w:pBdr>
          <w:bottom w:val="single" w:color="auto" w:sz="4" w:space="1"/>
        </w:pBdr>
        <w:kinsoku/>
        <w:wordWrap/>
        <w:overflowPunct/>
        <w:topLinePunct w:val="0"/>
        <w:autoSpaceDE/>
        <w:autoSpaceDN/>
        <w:bidi w:val="0"/>
        <w:adjustRightInd/>
        <w:snapToGrid/>
        <w:spacing w:line="500" w:lineRule="atLeast"/>
        <w:ind w:left="0"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四、服务要求（如对人员配置、专业设备、服务标准等）</w:t>
      </w:r>
    </w:p>
    <w:p w14:paraId="1D047A76">
      <w:pPr>
        <w:numPr>
          <w:ilvl w:val="0"/>
          <w:numId w:val="0"/>
        </w:numPr>
        <w:spacing w:line="360" w:lineRule="auto"/>
        <w:ind w:firstLine="482"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人员配置：</w:t>
      </w:r>
      <w:r>
        <w:rPr>
          <w:rFonts w:hint="eastAsia" w:ascii="宋体" w:hAnsi="宋体" w:eastAsia="宋体" w:cs="宋体"/>
          <w:b w:val="0"/>
          <w:bCs w:val="0"/>
          <w:color w:val="auto"/>
          <w:kern w:val="2"/>
          <w:sz w:val="24"/>
          <w:szCs w:val="24"/>
          <w:lang w:val="en-US" w:eastAsia="zh-CN" w:bidi="ar-SA"/>
        </w:rPr>
        <w:t>项目负责人1人，其他</w:t>
      </w:r>
      <w:r>
        <w:rPr>
          <w:rFonts w:hint="eastAsia" w:ascii="宋体" w:hAnsi="宋体" w:cs="宋体"/>
          <w:b w:val="0"/>
          <w:bCs w:val="0"/>
          <w:color w:val="auto"/>
          <w:kern w:val="2"/>
          <w:sz w:val="24"/>
          <w:szCs w:val="24"/>
          <w:lang w:val="en-US" w:eastAsia="zh-CN" w:bidi="ar-SA"/>
        </w:rPr>
        <w:t>服务</w:t>
      </w:r>
      <w:r>
        <w:rPr>
          <w:rFonts w:hint="eastAsia" w:ascii="宋体" w:hAnsi="宋体" w:eastAsia="宋体" w:cs="宋体"/>
          <w:b w:val="0"/>
          <w:bCs w:val="0"/>
          <w:color w:val="auto"/>
          <w:kern w:val="2"/>
          <w:sz w:val="24"/>
          <w:szCs w:val="24"/>
          <w:lang w:val="en-US" w:eastAsia="zh-CN" w:bidi="ar-SA"/>
        </w:rPr>
        <w:t>人员</w:t>
      </w:r>
      <w:r>
        <w:rPr>
          <w:rFonts w:hint="eastAsia" w:ascii="宋体" w:hAnsi="宋体" w:cs="宋体"/>
          <w:b w:val="0"/>
          <w:bCs w:val="0"/>
          <w:color w:val="auto"/>
          <w:kern w:val="2"/>
          <w:sz w:val="24"/>
          <w:szCs w:val="24"/>
          <w:lang w:val="en-US" w:eastAsia="zh-CN" w:bidi="ar-SA"/>
        </w:rPr>
        <w:t>应配备</w:t>
      </w:r>
      <w:r>
        <w:rPr>
          <w:rFonts w:hint="eastAsia" w:ascii="宋体" w:hAnsi="宋体" w:eastAsia="宋体" w:cs="宋体"/>
          <w:b w:val="0"/>
          <w:bCs w:val="0"/>
          <w:color w:val="auto"/>
          <w:kern w:val="2"/>
          <w:sz w:val="24"/>
          <w:szCs w:val="24"/>
          <w:lang w:val="en-US" w:eastAsia="zh-CN" w:bidi="ar-SA"/>
        </w:rPr>
        <w:t>7人</w:t>
      </w:r>
      <w:r>
        <w:rPr>
          <w:rFonts w:hint="eastAsia" w:ascii="宋体" w:hAnsi="宋体" w:cs="宋体"/>
          <w:b w:val="0"/>
          <w:bCs w:val="0"/>
          <w:color w:val="auto"/>
          <w:kern w:val="2"/>
          <w:sz w:val="24"/>
          <w:szCs w:val="24"/>
          <w:lang w:val="en-US" w:eastAsia="zh-CN" w:bidi="ar-SA"/>
        </w:rPr>
        <w:t>以上（含7人）</w:t>
      </w:r>
      <w:r>
        <w:rPr>
          <w:rFonts w:hint="eastAsia" w:ascii="宋体" w:hAnsi="宋体" w:eastAsia="宋体" w:cs="宋体"/>
          <w:b w:val="0"/>
          <w:bCs w:val="0"/>
          <w:color w:val="auto"/>
          <w:kern w:val="2"/>
          <w:sz w:val="24"/>
          <w:szCs w:val="24"/>
          <w:lang w:val="en-US" w:eastAsia="zh-CN" w:bidi="ar-SA"/>
        </w:rPr>
        <w:t>。</w:t>
      </w:r>
    </w:p>
    <w:p w14:paraId="6C445FB0">
      <w:pPr>
        <w:numPr>
          <w:ilvl w:val="0"/>
          <w:numId w:val="0"/>
        </w:num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项目负责人须具有高级职称和国家一级注册结构工程师执业资格，其他人员中至少3人须具有中级</w:t>
      </w:r>
      <w:r>
        <w:rPr>
          <w:rFonts w:hint="eastAsia" w:ascii="宋体" w:hAnsi="宋体" w:cs="宋体"/>
          <w:b w:val="0"/>
          <w:bCs w:val="0"/>
          <w:color w:val="auto"/>
          <w:kern w:val="2"/>
          <w:sz w:val="24"/>
          <w:szCs w:val="24"/>
          <w:lang w:val="en-US" w:eastAsia="zh-CN" w:bidi="ar-SA"/>
        </w:rPr>
        <w:t>及以上</w:t>
      </w:r>
      <w:r>
        <w:rPr>
          <w:rFonts w:hint="eastAsia" w:ascii="宋体" w:hAnsi="宋体" w:eastAsia="宋体" w:cs="宋体"/>
          <w:b w:val="0"/>
          <w:bCs w:val="0"/>
          <w:color w:val="auto"/>
          <w:kern w:val="2"/>
          <w:sz w:val="24"/>
          <w:szCs w:val="24"/>
          <w:lang w:val="en-US" w:eastAsia="zh-CN" w:bidi="ar-SA"/>
        </w:rPr>
        <w:t>职称。</w:t>
      </w:r>
    </w:p>
    <w:p w14:paraId="192781FE">
      <w:pPr>
        <w:numPr>
          <w:ilvl w:val="0"/>
          <w:numId w:val="0"/>
        </w:numPr>
        <w:spacing w:line="360" w:lineRule="auto"/>
        <w:ind w:firstLine="482"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设施设备：</w:t>
      </w:r>
      <w:r>
        <w:rPr>
          <w:rFonts w:hint="eastAsia" w:ascii="宋体" w:hAnsi="宋体" w:eastAsia="宋体" w:cs="宋体"/>
          <w:b w:val="0"/>
          <w:bCs w:val="0"/>
          <w:color w:val="auto"/>
          <w:kern w:val="2"/>
          <w:sz w:val="24"/>
          <w:szCs w:val="24"/>
          <w:lang w:val="en-US" w:eastAsia="zh-CN" w:bidi="ar-SA"/>
        </w:rPr>
        <w:t>须具备数字回弹仪、钢筋探测仪、碳化深度测量仪、贯入式砂浆强度检测仪、测砖回弹仪等设备、水准仪、经纬仪、激光测距仪、钢卷尺、游标卡尺，且各设备均须在校准有效期内。</w:t>
      </w:r>
    </w:p>
    <w:p w14:paraId="78C0FB8B">
      <w:pPr>
        <w:pStyle w:val="16"/>
        <w:spacing w:line="360" w:lineRule="auto"/>
        <w:ind w:firstLine="480"/>
        <w:rPr>
          <w:rFonts w:hint="eastAsia" w:ascii="宋体" w:hAnsi="宋体" w:eastAsia="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服务标准：</w:t>
      </w:r>
      <w:r>
        <w:rPr>
          <w:rFonts w:hint="eastAsia" w:ascii="宋体" w:hAnsi="宋体" w:eastAsia="宋体" w:cs="宋体"/>
          <w:b w:val="0"/>
          <w:bCs w:val="0"/>
          <w:color w:val="auto"/>
          <w:kern w:val="2"/>
          <w:sz w:val="24"/>
          <w:szCs w:val="24"/>
          <w:lang w:val="en-US" w:eastAsia="zh-CN" w:bidi="ar-SA"/>
        </w:rPr>
        <w:t>按照国家行业相关规范要求对</w:t>
      </w:r>
      <w:r>
        <w:rPr>
          <w:rFonts w:hint="eastAsia" w:ascii="宋体" w:hAnsi="宋体" w:eastAsia="宋体" w:cs="宋体"/>
          <w:b w:val="0"/>
          <w:bCs/>
          <w:color w:val="auto"/>
          <w:sz w:val="24"/>
          <w:szCs w:val="24"/>
          <w:lang w:val="en-US" w:eastAsia="zh-CN"/>
        </w:rPr>
        <w:t>西安市阎良行政区内党政机关及参公事业单位内</w:t>
      </w:r>
      <w:r>
        <w:rPr>
          <w:rFonts w:hint="eastAsia" w:ascii="宋体" w:hAnsi="宋体" w:eastAsia="宋体" w:cs="宋体"/>
          <w:b w:val="0"/>
          <w:bCs w:val="0"/>
          <w:color w:val="auto"/>
          <w:kern w:val="2"/>
          <w:sz w:val="24"/>
          <w:szCs w:val="24"/>
          <w:lang w:val="en-US" w:eastAsia="zh-CN" w:bidi="ar-SA"/>
        </w:rPr>
        <w:t>建筑物进行结构安全性及抗震性能鉴定，确保鉴定报告符合国家和地方相关法律、法规规定，在约定服务期限内出具正式版盖章报告，保证所出具报告满足西安市住房和城乡建设局的备案要求。</w:t>
      </w:r>
    </w:p>
    <w:p w14:paraId="0A0FEC11">
      <w:pPr>
        <w:pStyle w:val="16"/>
        <w:spacing w:line="360" w:lineRule="auto"/>
        <w:ind w:firstLine="480"/>
        <w:rPr>
          <w:rFonts w:hint="eastAsia" w:ascii="宋体" w:hAnsi="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服务要求：</w:t>
      </w:r>
      <w:r>
        <w:rPr>
          <w:rFonts w:hint="eastAsia" w:ascii="宋体" w:hAnsi="宋体" w:cs="宋体"/>
          <w:b w:val="0"/>
          <w:bCs w:val="0"/>
          <w:color w:val="auto"/>
          <w:kern w:val="2"/>
          <w:sz w:val="24"/>
          <w:szCs w:val="24"/>
          <w:lang w:val="en-US" w:eastAsia="zh-CN" w:bidi="ar-SA"/>
        </w:rPr>
        <w:t>1、自采购人通知进场后3个工作日内开始进场；</w:t>
      </w:r>
    </w:p>
    <w:p w14:paraId="5E700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bCs/>
          <w:color w:val="ED7D31" w:themeColor="accent2"/>
          <w:kern w:val="2"/>
          <w:sz w:val="24"/>
          <w:szCs w:val="24"/>
          <w:lang w:val="en-US" w:eastAsia="zh-CN" w:bidi="ar-SA"/>
          <w14:textFill>
            <w14:solidFill>
              <w14:schemeClr w14:val="accent2"/>
            </w14:solidFill>
          </w14:textFill>
        </w:rPr>
      </w:pPr>
      <w:r>
        <w:rPr>
          <w:rFonts w:hint="eastAsia" w:ascii="宋体" w:hAnsi="宋体" w:cs="宋体"/>
          <w:b w:val="0"/>
          <w:bCs w:val="0"/>
          <w:color w:val="auto"/>
          <w:kern w:val="2"/>
          <w:sz w:val="24"/>
          <w:szCs w:val="24"/>
          <w:lang w:val="en-US" w:eastAsia="zh-CN" w:bidi="ar-SA"/>
        </w:rPr>
        <w:t>2、服务要求</w:t>
      </w:r>
      <w:r>
        <w:rPr>
          <w:rFonts w:hint="eastAsia" w:ascii="宋体" w:hAnsi="宋体" w:eastAsia="宋体" w:cs="宋体"/>
          <w:color w:val="auto"/>
          <w:sz w:val="24"/>
          <w:szCs w:val="24"/>
          <w:lang w:val="en-US" w:eastAsia="zh-CN"/>
        </w:rPr>
        <w:t>合同签订之日</w:t>
      </w:r>
      <w:r>
        <w:rPr>
          <w:rFonts w:hint="eastAsia" w:ascii="宋体" w:hAnsi="宋体" w:cs="宋体"/>
          <w:color w:val="auto"/>
          <w:sz w:val="24"/>
          <w:szCs w:val="24"/>
          <w:lang w:val="en-US" w:eastAsia="zh-CN"/>
        </w:rPr>
        <w:t>起一年</w:t>
      </w:r>
      <w:r>
        <w:rPr>
          <w:rFonts w:hint="eastAsia" w:ascii="宋体" w:hAnsi="宋体" w:eastAsia="宋体" w:cs="宋体"/>
          <w:color w:val="auto"/>
          <w:sz w:val="24"/>
          <w:szCs w:val="24"/>
          <w:lang w:val="en-US" w:eastAsia="zh-CN"/>
        </w:rPr>
        <w:t>（如遇特殊情况，经甲方同意服务期限往后顺延），</w:t>
      </w:r>
      <w:r>
        <w:rPr>
          <w:rFonts w:hint="eastAsia" w:ascii="宋体" w:hAnsi="宋体" w:cs="宋体"/>
          <w:color w:val="auto"/>
          <w:kern w:val="2"/>
          <w:sz w:val="24"/>
          <w:szCs w:val="24"/>
          <w:lang w:val="en-US" w:eastAsia="zh-CN" w:bidi="ar-SA"/>
        </w:rPr>
        <w:t>供应商应完成现场调查、</w:t>
      </w:r>
      <w:r>
        <w:rPr>
          <w:rFonts w:hint="eastAsia" w:ascii="宋体" w:hAnsi="宋体" w:cs="宋体"/>
          <w:b w:val="0"/>
          <w:bCs w:val="0"/>
          <w:color w:val="auto"/>
          <w:kern w:val="2"/>
          <w:sz w:val="24"/>
          <w:szCs w:val="24"/>
          <w:lang w:val="en-US" w:eastAsia="zh-CN" w:bidi="ar-SA"/>
        </w:rPr>
        <w:t>现场检测、结构计算分析与评定及报告编写。</w:t>
      </w:r>
    </w:p>
    <w:p w14:paraId="0C3865A6">
      <w:pPr>
        <w:pBdr>
          <w:bottom w:val="single" w:color="auto" w:sz="4" w:space="1"/>
        </w:pBdr>
        <w:spacing w:beforeLines="100"/>
        <w:ind w:left="420" w:hanging="420"/>
        <w:rPr>
          <w:rFonts w:hint="eastAsia" w:ascii="宋体" w:hAnsi="宋体" w:eastAsia="宋体" w:cs="宋体"/>
          <w:b/>
          <w:color w:val="auto"/>
          <w:sz w:val="28"/>
          <w:szCs w:val="28"/>
        </w:rPr>
      </w:pPr>
      <w:r>
        <w:rPr>
          <w:rFonts w:hint="eastAsia" w:ascii="宋体" w:hAnsi="宋体" w:eastAsia="宋体" w:cs="宋体"/>
          <w:b/>
          <w:color w:val="auto"/>
          <w:sz w:val="28"/>
          <w:szCs w:val="28"/>
        </w:rPr>
        <w:t>五、商务要求（如服务期限、款项结算等）</w:t>
      </w:r>
    </w:p>
    <w:p w14:paraId="22F126FB">
      <w:pPr>
        <w:rPr>
          <w:rFonts w:hint="eastAsia" w:ascii="宋体" w:hAnsi="宋体" w:eastAsia="宋体" w:cs="宋体"/>
          <w:color w:val="auto"/>
          <w:sz w:val="24"/>
          <w:szCs w:val="24"/>
          <w:lang w:val="en-US" w:eastAsia="zh-CN"/>
        </w:rPr>
      </w:pPr>
    </w:p>
    <w:p w14:paraId="49A61D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（一）服务期限：合同签订之日</w:t>
      </w:r>
      <w:r>
        <w:rPr>
          <w:rFonts w:hint="eastAsia" w:ascii="宋体" w:hAnsi="宋体" w:cs="宋体"/>
          <w:color w:val="auto"/>
          <w:sz w:val="24"/>
          <w:szCs w:val="24"/>
          <w:lang w:val="en-US" w:eastAsia="zh-CN"/>
        </w:rPr>
        <w:t>起一年</w:t>
      </w:r>
      <w:r>
        <w:rPr>
          <w:rFonts w:hint="eastAsia" w:ascii="宋体" w:hAnsi="宋体" w:eastAsia="宋体" w:cs="宋体"/>
          <w:color w:val="auto"/>
          <w:sz w:val="24"/>
          <w:szCs w:val="24"/>
          <w:lang w:val="en-US" w:eastAsia="zh-CN"/>
        </w:rPr>
        <w:t>（如遇特殊情况，经甲方同意服务期限往后顺延）。</w:t>
      </w:r>
    </w:p>
    <w:p w14:paraId="45FBB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（二）款项结算：</w:t>
      </w:r>
    </w:p>
    <w:p w14:paraId="7711C6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1、付款：</w:t>
      </w:r>
      <w:r>
        <w:rPr>
          <w:rFonts w:hint="eastAsia" w:ascii="宋体" w:hAnsi="宋体" w:eastAsia="宋体" w:cs="宋体"/>
          <w:sz w:val="24"/>
          <w:szCs w:val="24"/>
          <w:lang w:val="en-US" w:eastAsia="zh-CN"/>
        </w:rPr>
        <w:t>供应商完成党政机关办公用房权属统一登记房屋安全鉴定项目，出具合格的</w:t>
      </w:r>
      <w:r>
        <w:rPr>
          <w:rFonts w:hint="eastAsia" w:ascii="宋体" w:hAnsi="宋体" w:cs="宋体"/>
          <w:sz w:val="24"/>
          <w:szCs w:val="24"/>
          <w:lang w:val="en-US" w:eastAsia="zh-CN"/>
        </w:rPr>
        <w:t>成果</w:t>
      </w:r>
      <w:r>
        <w:rPr>
          <w:rFonts w:hint="eastAsia" w:ascii="宋体" w:hAnsi="宋体" w:eastAsia="宋体" w:cs="宋体"/>
          <w:sz w:val="24"/>
          <w:szCs w:val="24"/>
          <w:lang w:val="en-US" w:eastAsia="zh-CN"/>
        </w:rPr>
        <w:t>报告，根据工作量据实结算，采购人在收到发票10个工作日内无异议的，一次性支付</w:t>
      </w:r>
      <w:r>
        <w:rPr>
          <w:rFonts w:hint="eastAsia" w:ascii="宋体" w:hAnsi="宋体" w:cs="宋体"/>
          <w:sz w:val="24"/>
          <w:szCs w:val="24"/>
          <w:lang w:val="en-US" w:eastAsia="zh-CN"/>
        </w:rPr>
        <w:t>服务</w:t>
      </w:r>
      <w:r>
        <w:rPr>
          <w:rFonts w:hint="eastAsia" w:ascii="宋体" w:hAnsi="宋体" w:eastAsia="宋体" w:cs="宋体"/>
          <w:sz w:val="24"/>
          <w:szCs w:val="24"/>
          <w:lang w:val="en-US" w:eastAsia="zh-CN"/>
        </w:rPr>
        <w:t>费的100%。</w:t>
      </w:r>
    </w:p>
    <w:p w14:paraId="0CE03E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2、结算方式：供应商持成交通知书、合同、正式发票、验收单，与采购人进行结算。</w:t>
      </w:r>
    </w:p>
    <w:p w14:paraId="22A300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3、采购人付款前供应商要如实开具发票，不得变更开票内容，供应商开具发票出现税务争议时，供应商需承担税款、滞纳金、罚款等赔偿责任以及其他相关责任。</w:t>
      </w:r>
    </w:p>
    <w:p w14:paraId="52EE0915">
      <w:pPr>
        <w:pBdr>
          <w:bottom w:val="single" w:color="auto" w:sz="4" w:space="1"/>
        </w:pBdr>
        <w:spacing w:beforeLines="100"/>
        <w:ind w:left="420" w:hanging="420"/>
        <w:rPr>
          <w:rFonts w:hint="eastAsia" w:ascii="宋体" w:hAnsi="宋体" w:eastAsia="宋体" w:cs="宋体"/>
          <w:b/>
          <w:color w:val="auto"/>
          <w:sz w:val="28"/>
          <w:szCs w:val="28"/>
        </w:rPr>
      </w:pPr>
      <w:r>
        <w:rPr>
          <w:rFonts w:hint="eastAsia" w:ascii="宋体" w:hAnsi="宋体" w:eastAsia="宋体" w:cs="宋体"/>
          <w:b/>
          <w:color w:val="auto"/>
          <w:sz w:val="28"/>
          <w:szCs w:val="28"/>
        </w:rPr>
        <w:t>六、其他（如有要求，请写明）</w:t>
      </w:r>
    </w:p>
    <w:p w14:paraId="4BCE512D">
      <w:pPr>
        <w:rPr>
          <w:rFonts w:hint="eastAsia" w:ascii="宋体" w:hAnsi="宋体" w:eastAsia="宋体" w:cs="宋体"/>
          <w:color w:val="auto"/>
          <w:sz w:val="24"/>
          <w:szCs w:val="24"/>
          <w:lang w:val="en-US" w:eastAsia="zh-CN"/>
        </w:rPr>
      </w:pPr>
    </w:p>
    <w:p w14:paraId="7C42035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（一）对服务商的业绩要求</w:t>
      </w:r>
    </w:p>
    <w:p w14:paraId="478E12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服务商应</w:t>
      </w:r>
      <w:r>
        <w:rPr>
          <w:rFonts w:hint="eastAsia" w:ascii="宋体" w:hAnsi="宋体" w:eastAsia="宋体" w:cs="宋体"/>
          <w:color w:val="auto"/>
          <w:sz w:val="24"/>
          <w:szCs w:val="24"/>
        </w:rPr>
        <w:t>提供近三年（202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月至今）类似</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项目业绩。</w:t>
      </w:r>
      <w:r>
        <w:rPr>
          <w:rFonts w:hint="eastAsia" w:ascii="宋体" w:hAnsi="宋体" w:eastAsia="宋体" w:cs="宋体"/>
          <w:color w:val="auto"/>
          <w:sz w:val="24"/>
          <w:szCs w:val="24"/>
          <w:lang w:val="en-US" w:eastAsia="zh-CN"/>
        </w:rPr>
        <w:t xml:space="preserve">      </w:t>
      </w:r>
    </w:p>
    <w:p w14:paraId="1A15FE31">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进度要求</w:t>
      </w:r>
      <w:r>
        <w:rPr>
          <w:rFonts w:hint="eastAsia" w:ascii="宋体" w:hAnsi="宋体" w:eastAsia="宋体" w:cs="宋体"/>
          <w:b/>
          <w:bCs/>
          <w:color w:val="auto"/>
          <w:sz w:val="24"/>
          <w:szCs w:val="24"/>
          <w:lang w:eastAsia="zh-CN"/>
        </w:rPr>
        <w:t>：</w:t>
      </w:r>
    </w:p>
    <w:p w14:paraId="588D4C27">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合同签订之日起一年（如遇特殊情况，经甲方同意服务期限往后顺延）。</w:t>
      </w:r>
      <w:r>
        <w:rPr>
          <w:rFonts w:hint="eastAsia" w:ascii="宋体" w:hAnsi="宋体" w:cs="宋体"/>
          <w:sz w:val="24"/>
          <w:szCs w:val="24"/>
        </w:rPr>
        <w:t>乙方应在服务期限内完成所有项目、通过甲方验收。</w:t>
      </w:r>
    </w:p>
    <w:p w14:paraId="5ECBC183">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成果交付要求</w:t>
      </w:r>
      <w:r>
        <w:rPr>
          <w:rFonts w:hint="eastAsia" w:ascii="宋体" w:hAnsi="宋体" w:eastAsia="宋体" w:cs="宋体"/>
          <w:b/>
          <w:bCs/>
          <w:color w:val="auto"/>
          <w:sz w:val="24"/>
          <w:szCs w:val="24"/>
          <w:lang w:eastAsia="zh-CN"/>
        </w:rPr>
        <w:t>：</w:t>
      </w:r>
    </w:p>
    <w:p w14:paraId="4BFB1D12">
      <w:pPr>
        <w:pStyle w:val="12"/>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每栋办公楼按合同内容、进度及质量要求完成任务，提交的检测鉴定报告应符合国家有关技术规范和标准，要求提交纸质盖章版的正式检测鉴定报告一式四份。</w:t>
      </w:r>
    </w:p>
    <w:p w14:paraId="4BD9966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（四）质量验收标准或规范</w:t>
      </w:r>
    </w:p>
    <w:p w14:paraId="58CDAAB1">
      <w:pPr>
        <w:pStyle w:val="12"/>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满足现行国家、行业标准及规范，达到合格标准。</w:t>
      </w:r>
    </w:p>
    <w:p w14:paraId="52EDA5F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（五）违约责任</w:t>
      </w:r>
    </w:p>
    <w:p w14:paraId="108BB6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1．甲乙双方必须遵守本合同并执行合同中的各项规定，保证本合同的正常履行。</w:t>
      </w:r>
    </w:p>
    <w:p w14:paraId="719A3C9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667E6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3.合同争议的解决方式：在执行本合同中发生的或与本合同有关的争端，双方应通过友好协商解决，经协商在30天内不能达成协议时，向甲方所在地有管辖权的人民法院提起诉讼。</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015A4"/>
    <w:multiLevelType w:val="singleLevel"/>
    <w:tmpl w:val="D7E015A4"/>
    <w:lvl w:ilvl="0" w:tentative="0">
      <w:start w:val="2"/>
      <w:numFmt w:val="chineseCounting"/>
      <w:suff w:val="nothing"/>
      <w:lvlText w:val="（%1）"/>
      <w:lvlJc w:val="left"/>
      <w:rPr>
        <w:rFonts w:hint="eastAsia"/>
      </w:rPr>
    </w:lvl>
  </w:abstractNum>
  <w:abstractNum w:abstractNumId="1">
    <w:nsid w:val="7C488796"/>
    <w:multiLevelType w:val="singleLevel"/>
    <w:tmpl w:val="7C48879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jNmNGZiODgyN2IxOTJkNWU1Zjc2OTcxNDc5YmQ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0B10"/>
    <w:rsid w:val="00184F72"/>
    <w:rsid w:val="00187846"/>
    <w:rsid w:val="00191A7E"/>
    <w:rsid w:val="00193B5F"/>
    <w:rsid w:val="001947E8"/>
    <w:rsid w:val="00194890"/>
    <w:rsid w:val="00196A1C"/>
    <w:rsid w:val="001A2103"/>
    <w:rsid w:val="001A5309"/>
    <w:rsid w:val="001A5764"/>
    <w:rsid w:val="001B0699"/>
    <w:rsid w:val="001B2019"/>
    <w:rsid w:val="001B26DC"/>
    <w:rsid w:val="001B3EEA"/>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35C1"/>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494A"/>
    <w:rsid w:val="005C6C4F"/>
    <w:rsid w:val="005D000E"/>
    <w:rsid w:val="005D62E5"/>
    <w:rsid w:val="005D7216"/>
    <w:rsid w:val="005E12F7"/>
    <w:rsid w:val="005E339B"/>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6A53"/>
    <w:rsid w:val="007D7D00"/>
    <w:rsid w:val="007E1576"/>
    <w:rsid w:val="007E2BD2"/>
    <w:rsid w:val="007E3D61"/>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1A3"/>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6563"/>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10E5B11"/>
    <w:rsid w:val="01B9244C"/>
    <w:rsid w:val="01E925F2"/>
    <w:rsid w:val="01EE1A85"/>
    <w:rsid w:val="028440C8"/>
    <w:rsid w:val="02F96864"/>
    <w:rsid w:val="03BB41F9"/>
    <w:rsid w:val="03BC7892"/>
    <w:rsid w:val="03FA5565"/>
    <w:rsid w:val="044153C6"/>
    <w:rsid w:val="06876B44"/>
    <w:rsid w:val="06E03DFA"/>
    <w:rsid w:val="071C5217"/>
    <w:rsid w:val="073024BB"/>
    <w:rsid w:val="077B0190"/>
    <w:rsid w:val="07866B35"/>
    <w:rsid w:val="07E775D3"/>
    <w:rsid w:val="088E3EF3"/>
    <w:rsid w:val="08EB6C4F"/>
    <w:rsid w:val="09191727"/>
    <w:rsid w:val="096E162E"/>
    <w:rsid w:val="09C63218"/>
    <w:rsid w:val="09DB3168"/>
    <w:rsid w:val="0C41302A"/>
    <w:rsid w:val="0CC31C91"/>
    <w:rsid w:val="0E37750E"/>
    <w:rsid w:val="0F5337A0"/>
    <w:rsid w:val="0F624E0E"/>
    <w:rsid w:val="10752F31"/>
    <w:rsid w:val="1101524B"/>
    <w:rsid w:val="11390774"/>
    <w:rsid w:val="12502219"/>
    <w:rsid w:val="126A32DB"/>
    <w:rsid w:val="12C66037"/>
    <w:rsid w:val="135E2714"/>
    <w:rsid w:val="13893C35"/>
    <w:rsid w:val="13DD7ADC"/>
    <w:rsid w:val="14D64C58"/>
    <w:rsid w:val="17081314"/>
    <w:rsid w:val="17F17DA1"/>
    <w:rsid w:val="18B865C4"/>
    <w:rsid w:val="18CD0120"/>
    <w:rsid w:val="18D314AE"/>
    <w:rsid w:val="18FF22A3"/>
    <w:rsid w:val="19235F91"/>
    <w:rsid w:val="19866520"/>
    <w:rsid w:val="198D17F3"/>
    <w:rsid w:val="19C42068"/>
    <w:rsid w:val="1B0F6035"/>
    <w:rsid w:val="1CBD494F"/>
    <w:rsid w:val="1CC45CDD"/>
    <w:rsid w:val="1EA57449"/>
    <w:rsid w:val="1EC43D73"/>
    <w:rsid w:val="1EE9607B"/>
    <w:rsid w:val="1F877427"/>
    <w:rsid w:val="1FC85AE5"/>
    <w:rsid w:val="21492AFF"/>
    <w:rsid w:val="222608A0"/>
    <w:rsid w:val="22665141"/>
    <w:rsid w:val="22DE3B4C"/>
    <w:rsid w:val="22EB3FC4"/>
    <w:rsid w:val="239A1546"/>
    <w:rsid w:val="23BF2802"/>
    <w:rsid w:val="23CB16FF"/>
    <w:rsid w:val="24575689"/>
    <w:rsid w:val="26BE379D"/>
    <w:rsid w:val="26F73072"/>
    <w:rsid w:val="2742617D"/>
    <w:rsid w:val="282633A8"/>
    <w:rsid w:val="29233D8C"/>
    <w:rsid w:val="2A1A0CEB"/>
    <w:rsid w:val="2A7725E1"/>
    <w:rsid w:val="2CE51A84"/>
    <w:rsid w:val="2CFC5020"/>
    <w:rsid w:val="2D2C42C6"/>
    <w:rsid w:val="2E271C28"/>
    <w:rsid w:val="2E49469E"/>
    <w:rsid w:val="2E5D4CF4"/>
    <w:rsid w:val="2EDD678B"/>
    <w:rsid w:val="2F012479"/>
    <w:rsid w:val="30281C88"/>
    <w:rsid w:val="30D410B8"/>
    <w:rsid w:val="31B859B9"/>
    <w:rsid w:val="32227714"/>
    <w:rsid w:val="32F3657D"/>
    <w:rsid w:val="33596D28"/>
    <w:rsid w:val="34545741"/>
    <w:rsid w:val="35431A3E"/>
    <w:rsid w:val="35496928"/>
    <w:rsid w:val="35E45907"/>
    <w:rsid w:val="35ED3757"/>
    <w:rsid w:val="3652180C"/>
    <w:rsid w:val="3801798E"/>
    <w:rsid w:val="38710670"/>
    <w:rsid w:val="39DA0497"/>
    <w:rsid w:val="3A14765C"/>
    <w:rsid w:val="3A884EE0"/>
    <w:rsid w:val="3A99371F"/>
    <w:rsid w:val="3AC56A51"/>
    <w:rsid w:val="3BA4565D"/>
    <w:rsid w:val="3BAD061E"/>
    <w:rsid w:val="3C103F98"/>
    <w:rsid w:val="3C924938"/>
    <w:rsid w:val="3C942B7F"/>
    <w:rsid w:val="3CAC611A"/>
    <w:rsid w:val="3CF25AF7"/>
    <w:rsid w:val="3D1D617C"/>
    <w:rsid w:val="3D235CB1"/>
    <w:rsid w:val="3D5C1616"/>
    <w:rsid w:val="3D8A5D30"/>
    <w:rsid w:val="3D8C1AA8"/>
    <w:rsid w:val="3DB10D89"/>
    <w:rsid w:val="3E5A7DF8"/>
    <w:rsid w:val="402204A1"/>
    <w:rsid w:val="4050500F"/>
    <w:rsid w:val="40654401"/>
    <w:rsid w:val="409E016F"/>
    <w:rsid w:val="40E90FBF"/>
    <w:rsid w:val="411F0533"/>
    <w:rsid w:val="41A547A0"/>
    <w:rsid w:val="41CA1806"/>
    <w:rsid w:val="41FB71FC"/>
    <w:rsid w:val="42154762"/>
    <w:rsid w:val="42611755"/>
    <w:rsid w:val="4322216B"/>
    <w:rsid w:val="439E0787"/>
    <w:rsid w:val="447D214A"/>
    <w:rsid w:val="44915BF6"/>
    <w:rsid w:val="45CC15DB"/>
    <w:rsid w:val="46767799"/>
    <w:rsid w:val="4698770F"/>
    <w:rsid w:val="472114B3"/>
    <w:rsid w:val="47240FA3"/>
    <w:rsid w:val="47E26E94"/>
    <w:rsid w:val="47E744AA"/>
    <w:rsid w:val="47FE397B"/>
    <w:rsid w:val="480F1C53"/>
    <w:rsid w:val="486073D2"/>
    <w:rsid w:val="4A7F4E6E"/>
    <w:rsid w:val="4ACB3111"/>
    <w:rsid w:val="4BD20FCE"/>
    <w:rsid w:val="4C703CF4"/>
    <w:rsid w:val="4CAE37E9"/>
    <w:rsid w:val="4D7C1D03"/>
    <w:rsid w:val="4DE44FE8"/>
    <w:rsid w:val="4DEA4CF4"/>
    <w:rsid w:val="4E2F2707"/>
    <w:rsid w:val="4F2406B8"/>
    <w:rsid w:val="4F9402D2"/>
    <w:rsid w:val="50E81293"/>
    <w:rsid w:val="51031C29"/>
    <w:rsid w:val="514E7348"/>
    <w:rsid w:val="5167665C"/>
    <w:rsid w:val="51B55619"/>
    <w:rsid w:val="52397FF8"/>
    <w:rsid w:val="546E385E"/>
    <w:rsid w:val="547A0454"/>
    <w:rsid w:val="54B85FEF"/>
    <w:rsid w:val="54D42EDD"/>
    <w:rsid w:val="54E20E8F"/>
    <w:rsid w:val="5550118A"/>
    <w:rsid w:val="55545149"/>
    <w:rsid w:val="5572737D"/>
    <w:rsid w:val="560E52F8"/>
    <w:rsid w:val="56985BE6"/>
    <w:rsid w:val="56A812A9"/>
    <w:rsid w:val="570C1274"/>
    <w:rsid w:val="57284198"/>
    <w:rsid w:val="57831D16"/>
    <w:rsid w:val="57EE3633"/>
    <w:rsid w:val="582C2107"/>
    <w:rsid w:val="587E69F3"/>
    <w:rsid w:val="58C47EF0"/>
    <w:rsid w:val="59376914"/>
    <w:rsid w:val="59CF4D9E"/>
    <w:rsid w:val="5A513A05"/>
    <w:rsid w:val="5B8B661D"/>
    <w:rsid w:val="5BF84A80"/>
    <w:rsid w:val="5BFB1E7B"/>
    <w:rsid w:val="5C256799"/>
    <w:rsid w:val="5C495FC5"/>
    <w:rsid w:val="5CC42BB4"/>
    <w:rsid w:val="5D1D56ED"/>
    <w:rsid w:val="5E677C9B"/>
    <w:rsid w:val="5EBE02DB"/>
    <w:rsid w:val="5F276FFD"/>
    <w:rsid w:val="5F8328B3"/>
    <w:rsid w:val="603718EF"/>
    <w:rsid w:val="6145382D"/>
    <w:rsid w:val="61630BEE"/>
    <w:rsid w:val="61D07906"/>
    <w:rsid w:val="629E62C6"/>
    <w:rsid w:val="6311467A"/>
    <w:rsid w:val="63BD210C"/>
    <w:rsid w:val="63D1452F"/>
    <w:rsid w:val="640D03E9"/>
    <w:rsid w:val="643E324C"/>
    <w:rsid w:val="647E5D3F"/>
    <w:rsid w:val="64DE67DD"/>
    <w:rsid w:val="65652A5B"/>
    <w:rsid w:val="657A02B4"/>
    <w:rsid w:val="669B6734"/>
    <w:rsid w:val="67941A00"/>
    <w:rsid w:val="67C95523"/>
    <w:rsid w:val="68686AEA"/>
    <w:rsid w:val="68A66D41"/>
    <w:rsid w:val="694C640B"/>
    <w:rsid w:val="6A1A051A"/>
    <w:rsid w:val="6B127E69"/>
    <w:rsid w:val="6B2A452A"/>
    <w:rsid w:val="6B60619E"/>
    <w:rsid w:val="6BE75F78"/>
    <w:rsid w:val="6CDA682F"/>
    <w:rsid w:val="6D0F39D8"/>
    <w:rsid w:val="6D231231"/>
    <w:rsid w:val="6D6F091A"/>
    <w:rsid w:val="6F9E4FDF"/>
    <w:rsid w:val="70756248"/>
    <w:rsid w:val="70AD3C34"/>
    <w:rsid w:val="70D70CB1"/>
    <w:rsid w:val="71BE49AC"/>
    <w:rsid w:val="723D2D95"/>
    <w:rsid w:val="72931BB1"/>
    <w:rsid w:val="72D635C2"/>
    <w:rsid w:val="743326A2"/>
    <w:rsid w:val="7465050E"/>
    <w:rsid w:val="749D5D6D"/>
    <w:rsid w:val="760F2C9B"/>
    <w:rsid w:val="772B124E"/>
    <w:rsid w:val="780659D7"/>
    <w:rsid w:val="78AD0549"/>
    <w:rsid w:val="79420C91"/>
    <w:rsid w:val="795F5CE7"/>
    <w:rsid w:val="79D73ACF"/>
    <w:rsid w:val="7B5A76F3"/>
    <w:rsid w:val="7C454F90"/>
    <w:rsid w:val="7C773348"/>
    <w:rsid w:val="7CAB4D9F"/>
    <w:rsid w:val="7D6531A0"/>
    <w:rsid w:val="7D6A4C5A"/>
    <w:rsid w:val="7DB163E5"/>
    <w:rsid w:val="7E357016"/>
    <w:rsid w:val="7F233313"/>
    <w:rsid w:val="7F2F7F0A"/>
    <w:rsid w:val="7FA75CF2"/>
    <w:rsid w:val="7FAE7080"/>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1"/>
    <w:semiHidden/>
    <w:unhideWhenUsed/>
    <w:qFormat/>
    <w:uiPriority w:val="99"/>
    <w:pPr>
      <w:jc w:val="left"/>
    </w:pPr>
  </w:style>
  <w:style w:type="paragraph" w:styleId="4">
    <w:name w:val="Body Text"/>
    <w:basedOn w:val="1"/>
    <w:unhideWhenUsed/>
    <w:qFormat/>
    <w:uiPriority w:val="99"/>
    <w:pPr>
      <w:spacing w:after="120"/>
    </w:pPr>
  </w:style>
  <w:style w:type="paragraph" w:styleId="5">
    <w:name w:val="Body Text Indent"/>
    <w:basedOn w:val="1"/>
    <w:next w:val="6"/>
    <w:qFormat/>
    <w:uiPriority w:val="0"/>
    <w:pPr>
      <w:tabs>
        <w:tab w:val="left" w:pos="900"/>
      </w:tabs>
      <w:spacing w:line="540" w:lineRule="exact"/>
      <w:ind w:firstLine="561"/>
    </w:pPr>
    <w:rPr>
      <w:rFonts w:ascii="仿宋_GB2312" w:eastAsia="仿宋_GB2312"/>
      <w:lang w:val="zh-CN"/>
    </w:rPr>
  </w:style>
  <w:style w:type="paragraph" w:styleId="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alloon Text"/>
    <w:basedOn w:val="1"/>
    <w:link w:val="43"/>
    <w:semiHidden/>
    <w:unhideWhenUsed/>
    <w:qFormat/>
    <w:uiPriority w:val="99"/>
    <w:rPr>
      <w:sz w:val="18"/>
      <w:szCs w:val="18"/>
    </w:rPr>
  </w:style>
  <w:style w:type="paragraph" w:styleId="8">
    <w:name w:val="footer"/>
    <w:basedOn w:val="1"/>
    <w:link w:val="40"/>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42"/>
    <w:semiHidden/>
    <w:unhideWhenUsed/>
    <w:qFormat/>
    <w:uiPriority w:val="99"/>
    <w:rPr>
      <w:b/>
      <w:bCs/>
    </w:rPr>
  </w:style>
  <w:style w:type="paragraph" w:styleId="11">
    <w:name w:val="Body Text First Indent"/>
    <w:basedOn w:val="1"/>
    <w:qFormat/>
    <w:uiPriority w:val="0"/>
    <w:pPr>
      <w:tabs>
        <w:tab w:val="left" w:pos="208"/>
      </w:tabs>
      <w:ind w:firstLine="420"/>
    </w:pPr>
    <w:rPr>
      <w:lang w:val="zh-CN"/>
    </w:rPr>
  </w:style>
  <w:style w:type="paragraph" w:styleId="12">
    <w:name w:val="Body Text First Indent 2"/>
    <w:basedOn w:val="5"/>
    <w:next w:val="11"/>
    <w:unhideWhenUsed/>
    <w:qFormat/>
    <w:uiPriority w:val="99"/>
    <w:pPr>
      <w:ind w:firstLine="420"/>
    </w:pPr>
  </w:style>
  <w:style w:type="character" w:styleId="15">
    <w:name w:val="annotation reference"/>
    <w:basedOn w:val="14"/>
    <w:semiHidden/>
    <w:unhideWhenUsed/>
    <w:qFormat/>
    <w:uiPriority w:val="99"/>
    <w:rPr>
      <w:sz w:val="21"/>
      <w:szCs w:val="21"/>
    </w:rPr>
  </w:style>
  <w:style w:type="paragraph" w:customStyle="1" w:styleId="16">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7">
    <w:name w:val="※封面大标题"/>
    <w:basedOn w:val="1"/>
    <w:next w:val="1"/>
    <w:qFormat/>
    <w:uiPriority w:val="0"/>
    <w:pPr>
      <w:widowControl/>
      <w:jc w:val="center"/>
    </w:pPr>
    <w:rPr>
      <w:rFonts w:ascii="华文中宋" w:hAnsi="华文中宋" w:eastAsia="华文中宋"/>
      <w:sz w:val="96"/>
      <w:szCs w:val="96"/>
    </w:rPr>
  </w:style>
  <w:style w:type="paragraph" w:customStyle="1" w:styleId="18">
    <w:name w:val="※封面题颌"/>
    <w:basedOn w:val="1"/>
    <w:next w:val="1"/>
    <w:qFormat/>
    <w:uiPriority w:val="0"/>
    <w:pPr>
      <w:widowControl/>
      <w:jc w:val="center"/>
    </w:pPr>
    <w:rPr>
      <w:rFonts w:ascii="Calibri Light" w:hAnsi="Calibri Light" w:eastAsia="华文仿宋"/>
      <w:sz w:val="36"/>
      <w:szCs w:val="36"/>
    </w:rPr>
  </w:style>
  <w:style w:type="paragraph" w:customStyle="1" w:styleId="19">
    <w:name w:val="※封面题眉"/>
    <w:basedOn w:val="1"/>
    <w:next w:val="17"/>
    <w:qFormat/>
    <w:uiPriority w:val="0"/>
    <w:pPr>
      <w:widowControl/>
      <w:jc w:val="center"/>
    </w:pPr>
    <w:rPr>
      <w:rFonts w:ascii="华文仿宋" w:hAnsi="华文仿宋" w:eastAsia="华文仿宋"/>
      <w:sz w:val="52"/>
      <w:szCs w:val="28"/>
    </w:rPr>
  </w:style>
  <w:style w:type="paragraph" w:customStyle="1" w:styleId="20">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1">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2">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3">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4">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5">
    <w:name w:val="※小标题 一"/>
    <w:basedOn w:val="24"/>
    <w:next w:val="24"/>
    <w:qFormat/>
    <w:uiPriority w:val="0"/>
    <w:pPr>
      <w:spacing w:before="120" w:line="240" w:lineRule="auto"/>
      <w:outlineLvl w:val="2"/>
    </w:pPr>
    <w:rPr>
      <w:b/>
      <w:color w:val="203864" w:themeColor="accent5" w:themeShade="80"/>
      <w:sz w:val="32"/>
    </w:rPr>
  </w:style>
  <w:style w:type="paragraph" w:customStyle="1" w:styleId="26">
    <w:name w:val="※小标题（1）"/>
    <w:basedOn w:val="1"/>
    <w:next w:val="24"/>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7">
    <w:name w:val="※小标题（一）"/>
    <w:basedOn w:val="1"/>
    <w:next w:val="24"/>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8">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9">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30">
    <w:name w:val="※页眉"/>
    <w:basedOn w:val="24"/>
    <w:qFormat/>
    <w:uiPriority w:val="0"/>
    <w:pPr>
      <w:pBdr>
        <w:bottom w:val="single" w:color="auto" w:sz="4" w:space="1"/>
      </w:pBdr>
      <w:spacing w:line="240" w:lineRule="atLeast"/>
      <w:jc w:val="right"/>
    </w:pPr>
    <w:rPr>
      <w:rFonts w:ascii="宋体" w:hAnsi="宋体" w:eastAsia="宋体"/>
      <w:sz w:val="18"/>
    </w:rPr>
  </w:style>
  <w:style w:type="paragraph" w:customStyle="1" w:styleId="31">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2">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3">
    <w:name w:val="※章节标题（第Z部分分项）"/>
    <w:basedOn w:val="32"/>
    <w:qFormat/>
    <w:uiPriority w:val="0"/>
    <w:pPr>
      <w:outlineLvl w:val="2"/>
    </w:pPr>
  </w:style>
  <w:style w:type="paragraph" w:customStyle="1" w:styleId="34">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5">
    <w:name w:val="※正文（缩进2）"/>
    <w:basedOn w:val="24"/>
    <w:qFormat/>
    <w:uiPriority w:val="0"/>
    <w:pPr>
      <w:ind w:firstLine="200" w:firstLineChars="200"/>
    </w:pPr>
  </w:style>
  <w:style w:type="paragraph" w:customStyle="1" w:styleId="36">
    <w:name w:val="※正文（缩进4）"/>
    <w:basedOn w:val="24"/>
    <w:qFormat/>
    <w:uiPriority w:val="0"/>
    <w:pPr>
      <w:ind w:firstLine="400" w:firstLineChars="400"/>
    </w:pPr>
  </w:style>
  <w:style w:type="paragraph" w:customStyle="1" w:styleId="37">
    <w:name w:val="样式"/>
    <w:link w:val="38"/>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
    <w:name w:val="样式 Char Char"/>
    <w:link w:val="37"/>
    <w:qFormat/>
    <w:locked/>
    <w:uiPriority w:val="0"/>
    <w:rPr>
      <w:rFonts w:ascii="宋体" w:hAnsi="宋体" w:eastAsia="宋体" w:cs="宋体"/>
      <w:kern w:val="0"/>
      <w:sz w:val="24"/>
      <w:szCs w:val="24"/>
    </w:rPr>
  </w:style>
  <w:style w:type="character" w:customStyle="1" w:styleId="39">
    <w:name w:val="页眉 Char"/>
    <w:basedOn w:val="14"/>
    <w:link w:val="6"/>
    <w:qFormat/>
    <w:uiPriority w:val="99"/>
    <w:rPr>
      <w:rFonts w:ascii="Calibri" w:hAnsi="Calibri" w:eastAsia="宋体" w:cs="Times New Roman"/>
      <w:sz w:val="18"/>
      <w:szCs w:val="18"/>
    </w:rPr>
  </w:style>
  <w:style w:type="character" w:customStyle="1" w:styleId="40">
    <w:name w:val="页脚 Char"/>
    <w:basedOn w:val="14"/>
    <w:link w:val="8"/>
    <w:qFormat/>
    <w:uiPriority w:val="99"/>
    <w:rPr>
      <w:rFonts w:ascii="Calibri" w:hAnsi="Calibri" w:eastAsia="宋体" w:cs="Times New Roman"/>
      <w:sz w:val="18"/>
      <w:szCs w:val="18"/>
    </w:rPr>
  </w:style>
  <w:style w:type="character" w:customStyle="1" w:styleId="41">
    <w:name w:val="批注文字 Char"/>
    <w:basedOn w:val="14"/>
    <w:link w:val="3"/>
    <w:semiHidden/>
    <w:qFormat/>
    <w:uiPriority w:val="99"/>
    <w:rPr>
      <w:rFonts w:ascii="Calibri" w:hAnsi="Calibri" w:eastAsia="宋体" w:cs="Times New Roman"/>
    </w:rPr>
  </w:style>
  <w:style w:type="character" w:customStyle="1" w:styleId="42">
    <w:name w:val="批注主题 Char"/>
    <w:basedOn w:val="41"/>
    <w:link w:val="10"/>
    <w:semiHidden/>
    <w:qFormat/>
    <w:uiPriority w:val="99"/>
    <w:rPr>
      <w:rFonts w:ascii="Calibri" w:hAnsi="Calibri" w:eastAsia="宋体" w:cs="Times New Roman"/>
      <w:b/>
      <w:bCs/>
    </w:rPr>
  </w:style>
  <w:style w:type="character" w:customStyle="1" w:styleId="43">
    <w:name w:val="批注框文本 Char"/>
    <w:basedOn w:val="14"/>
    <w:link w:val="7"/>
    <w:semiHidden/>
    <w:qFormat/>
    <w:uiPriority w:val="99"/>
    <w:rPr>
      <w:rFonts w:ascii="Calibri" w:hAnsi="Calibri" w:eastAsia="宋体" w:cs="Times New Roman"/>
      <w:sz w:val="18"/>
      <w:szCs w:val="18"/>
    </w:rPr>
  </w:style>
  <w:style w:type="paragraph" w:customStyle="1" w:styleId="4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3183</Words>
  <Characters>3397</Characters>
  <Lines>21</Lines>
  <Paragraphs>6</Paragraphs>
  <TotalTime>10</TotalTime>
  <ScaleCrop>false</ScaleCrop>
  <LinksUpToDate>false</LinksUpToDate>
  <CharactersWithSpaces>3413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学凯</cp:lastModifiedBy>
  <dcterms:modified xsi:type="dcterms:W3CDTF">2025-08-07T05:59:01Z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8E308D18B8C44B338D244AA9BB64055F_13</vt:lpwstr>
  </property>
  <property fmtid="{D5CDD505-2E9C-101B-9397-08002B2CF9AE}" pid="4" name="KSOTemplateDocerSaveRecord">
    <vt:lpwstr>eyJoZGlkIjoiN2FmOGNjMjYxYTkzNGI4NWI0Mjc2YjE5MWY5MDBmMDYiLCJ1c2VySWQiOiIyNjkyNTU4MDcifQ==</vt:lpwstr>
  </property>
</Properties>
</file>