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3CB1">
      <w:pPr>
        <w:pStyle w:val="3"/>
        <w:bidi w:val="0"/>
        <w:rPr>
          <w:color w:val="000000"/>
          <w:highlight w:val="none"/>
        </w:rPr>
      </w:pPr>
      <w:bookmarkStart w:id="0" w:name="_GoBack"/>
      <w:bookmarkEnd w:id="0"/>
      <w:r>
        <w:rPr>
          <w:rFonts w:hint="eastAsia"/>
          <w:color w:val="000000"/>
          <w:highlight w:val="none"/>
        </w:rPr>
        <w:t>一、采购内容及技术要求</w:t>
      </w:r>
    </w:p>
    <w:p w14:paraId="08A47B2A">
      <w:pPr>
        <w:pStyle w:val="4"/>
        <w:bidi w:val="0"/>
        <w:rPr>
          <w:rFonts w:hint="eastAsia"/>
          <w:b/>
          <w:bCs/>
          <w:color w:val="000000"/>
          <w:lang w:val="en-US" w:eastAsia="zh-CN"/>
        </w:rPr>
      </w:pPr>
      <w:r>
        <w:rPr>
          <w:rFonts w:hint="eastAsia"/>
          <w:b/>
          <w:bCs/>
          <w:color w:val="000000"/>
          <w:lang w:val="en-US" w:eastAsia="zh-CN"/>
        </w:rPr>
        <w:t>1、监理范围：</w:t>
      </w:r>
    </w:p>
    <w:p w14:paraId="31137FB2">
      <w:pPr>
        <w:pStyle w:val="4"/>
        <w:bidi w:val="0"/>
        <w:rPr>
          <w:rFonts w:hint="eastAsia"/>
          <w:color w:val="000000"/>
          <w:lang w:val="en-US" w:eastAsia="zh-CN"/>
        </w:rPr>
      </w:pPr>
      <w:r>
        <w:rPr>
          <w:rFonts w:hint="eastAsia"/>
          <w:color w:val="000000"/>
          <w:lang w:val="en-US" w:eastAsia="zh-CN"/>
        </w:rPr>
        <w:t>主院区及西咸院区所有维修改造项目（含部分新建项目）的全过程管控，具体以建设单位施工项目合同为监理服务最终监理项目，重点包括对项目的质量、进度、成本进行严格把关。按监理程序和守则向甲方报告项目建设情况；对项目中出现的新问题，须协调各方并确定解决方案，确保工程的顺利实施，在验收阶段质量把关与保修监督。须熟悉医院特殊规范，并严格履行保密义务。技术标准需符合《建设工程监理规范》《医院洁净手术部建筑技术规范》等国家及行业规范，确保工程合规性与医疗环境安全性。</w:t>
      </w:r>
    </w:p>
    <w:p w14:paraId="15CE1C46">
      <w:pPr>
        <w:pStyle w:val="4"/>
        <w:numPr>
          <w:ilvl w:val="0"/>
          <w:numId w:val="0"/>
        </w:numPr>
        <w:bidi w:val="0"/>
        <w:ind w:firstLine="482" w:firstLineChars="200"/>
        <w:rPr>
          <w:rFonts w:hint="default"/>
          <w:b/>
          <w:bCs/>
          <w:color w:val="000000"/>
          <w:lang w:val="en-US" w:eastAsia="zh-CN"/>
        </w:rPr>
      </w:pPr>
      <w:r>
        <w:rPr>
          <w:rFonts w:hint="default" w:ascii="宋体" w:hAnsi="宋体" w:eastAsia="宋体" w:cs="宋体"/>
          <w:b/>
          <w:bCs/>
          <w:color w:val="000000"/>
          <w:kern w:val="2"/>
          <w:sz w:val="24"/>
          <w:lang w:val="en-US" w:eastAsia="zh-CN" w:bidi="ar-SA"/>
        </w:rPr>
        <w:t>2、</w:t>
      </w:r>
      <w:r>
        <w:rPr>
          <w:rFonts w:hint="default"/>
          <w:b/>
          <w:bCs/>
          <w:color w:val="000000"/>
          <w:lang w:val="en-US" w:eastAsia="zh-CN"/>
        </w:rPr>
        <w:t>人员要求：</w:t>
      </w:r>
    </w:p>
    <w:p w14:paraId="71C3C0F6">
      <w:pPr>
        <w:pStyle w:val="4"/>
        <w:numPr>
          <w:ilvl w:val="0"/>
          <w:numId w:val="0"/>
        </w:numPr>
        <w:bidi w:val="0"/>
        <w:ind w:firstLine="480" w:firstLineChars="200"/>
        <w:rPr>
          <w:rFonts w:hint="default"/>
          <w:color w:val="000000"/>
          <w:lang w:val="en-US" w:eastAsia="zh-CN"/>
        </w:rPr>
      </w:pPr>
      <w:r>
        <w:rPr>
          <w:rFonts w:hint="default"/>
          <w:color w:val="000000"/>
          <w:lang w:val="en-US" w:eastAsia="zh-CN"/>
        </w:rPr>
        <w:t>总监理工程师1名，专业监理工程师2名（包含土建1名、安装1名），资料员1名。根据装修改造项目情况，如需增加其他专业监理人员按照建设单位要求随时进场，费用不予增加。</w:t>
      </w:r>
    </w:p>
    <w:p w14:paraId="59593CEA">
      <w:pPr>
        <w:pStyle w:val="4"/>
        <w:numPr>
          <w:ilvl w:val="0"/>
          <w:numId w:val="0"/>
        </w:numPr>
        <w:bidi w:val="0"/>
        <w:ind w:firstLine="482" w:firstLineChars="200"/>
        <w:rPr>
          <w:rFonts w:hint="eastAsia"/>
          <w:b/>
          <w:bCs/>
          <w:color w:val="000000"/>
          <w:highlight w:val="none"/>
          <w:lang w:val="en-US" w:eastAsia="zh-CN"/>
        </w:rPr>
      </w:pPr>
      <w:r>
        <w:rPr>
          <w:rFonts w:hint="eastAsia" w:cs="宋体"/>
          <w:b/>
          <w:bCs/>
          <w:color w:val="000000"/>
          <w:kern w:val="2"/>
          <w:sz w:val="24"/>
          <w:lang w:val="en-US" w:eastAsia="zh-CN" w:bidi="ar-SA"/>
        </w:rPr>
        <w:t>3</w:t>
      </w:r>
      <w:r>
        <w:rPr>
          <w:rFonts w:hint="eastAsia" w:ascii="宋体" w:hAnsi="宋体" w:eastAsia="宋体" w:cs="宋体"/>
          <w:b/>
          <w:bCs/>
          <w:color w:val="000000"/>
          <w:kern w:val="2"/>
          <w:sz w:val="24"/>
          <w:lang w:val="en-US" w:eastAsia="zh-CN" w:bidi="ar-SA"/>
        </w:rPr>
        <w:t>、</w:t>
      </w:r>
      <w:r>
        <w:rPr>
          <w:rFonts w:hint="eastAsia"/>
          <w:b/>
          <w:bCs/>
          <w:color w:val="000000"/>
          <w:highlight w:val="none"/>
          <w:lang w:val="en-US" w:eastAsia="zh-CN"/>
        </w:rPr>
        <w:t>监理工作内容：</w:t>
      </w:r>
    </w:p>
    <w:p w14:paraId="52925777">
      <w:pPr>
        <w:bidi w:val="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一、阶段监理范围</w:t>
      </w:r>
    </w:p>
    <w:p w14:paraId="5880F93C">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
          <w:bCs/>
          <w:color w:val="000000"/>
          <w:sz w:val="24"/>
          <w:szCs w:val="24"/>
        </w:rPr>
        <w:t>施工阶段监理</w:t>
      </w:r>
      <w:r>
        <w:rPr>
          <w:rFonts w:hint="eastAsia" w:ascii="宋体" w:hAnsi="宋体" w:eastAsia="宋体" w:cs="宋体"/>
          <w:color w:val="000000"/>
          <w:sz w:val="24"/>
          <w:szCs w:val="24"/>
        </w:rPr>
        <w:t>：负责施工全过程的质量、进度、造价控制，安全生产监督管理，合同与信息管理，以及与设计人、承包人、设备材料供应商等第三方的协调工作，覆盖本次招标全部专业工程。</w:t>
      </w:r>
    </w:p>
    <w:p w14:paraId="51F1AB1F">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bCs/>
          <w:color w:val="000000"/>
          <w:sz w:val="24"/>
          <w:szCs w:val="24"/>
        </w:rPr>
        <w:t>保修阶段监理</w:t>
      </w:r>
      <w:r>
        <w:rPr>
          <w:rFonts w:hint="eastAsia" w:ascii="宋体" w:hAnsi="宋体" w:eastAsia="宋体" w:cs="宋体"/>
          <w:color w:val="000000"/>
          <w:sz w:val="24"/>
          <w:szCs w:val="24"/>
        </w:rPr>
        <w:t>：包含工程质量缺陷的检查记录、原因调查与责任认定、修复方案审核、修复过程监督及验收，以及修复费用审核。</w:t>
      </w:r>
    </w:p>
    <w:p w14:paraId="67FB24C7">
      <w:pPr>
        <w:bidi w:val="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二、主要工作事项</w:t>
      </w:r>
    </w:p>
    <w:p w14:paraId="73191522">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
          <w:bCs/>
          <w:color w:val="000000"/>
          <w:sz w:val="24"/>
          <w:szCs w:val="24"/>
        </w:rPr>
        <w:t>基础管理与规划</w:t>
      </w:r>
      <w:r>
        <w:rPr>
          <w:rFonts w:hint="eastAsia" w:ascii="宋体" w:hAnsi="宋体" w:eastAsia="宋体" w:cs="宋体"/>
          <w:color w:val="000000"/>
          <w:sz w:val="24"/>
          <w:szCs w:val="24"/>
        </w:rPr>
        <w:t>：根据项目实际调整并实施监理规划；审查施工准备工作并下达开工指令；参与设计交底和图纸会审，协调设计问题。</w:t>
      </w:r>
    </w:p>
    <w:p w14:paraId="69161908">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bCs/>
          <w:color w:val="000000"/>
          <w:sz w:val="24"/>
          <w:szCs w:val="24"/>
        </w:rPr>
        <w:t>质量与安全管控</w:t>
      </w:r>
      <w:r>
        <w:rPr>
          <w:rFonts w:hint="eastAsia" w:ascii="宋体" w:hAnsi="宋体" w:eastAsia="宋体" w:cs="宋体"/>
          <w:color w:val="000000"/>
          <w:sz w:val="24"/>
          <w:szCs w:val="24"/>
        </w:rPr>
        <w:t>：督促承包人建立健全质量安全保证体系及管理制度；通过旁站、巡视、检测等手段监督施工质量，主持工序、中间及阶段性验收并跟踪整改，对违规施工和不合格工程拥有否决权；监督安全生产及文明施工，落实扬尘污染防治等要求。</w:t>
      </w:r>
    </w:p>
    <w:p w14:paraId="0CA64C73">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进度与合同管理</w:t>
      </w:r>
      <w:r>
        <w:rPr>
          <w:rFonts w:hint="eastAsia" w:ascii="宋体" w:hAnsi="宋体" w:eastAsia="宋体" w:cs="宋体"/>
          <w:color w:val="000000"/>
          <w:sz w:val="24"/>
          <w:szCs w:val="24"/>
        </w:rPr>
        <w:t>：审查总进度、年度及月度施工计划并督促实施；协调交叉施工问题；对承包人严重违约行为提出处理意见。</w:t>
      </w:r>
    </w:p>
    <w:p w14:paraId="76D4EEE7">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b/>
          <w:bCs/>
          <w:color w:val="000000"/>
          <w:sz w:val="24"/>
          <w:szCs w:val="24"/>
        </w:rPr>
        <w:t>造价与成本控制</w:t>
      </w:r>
      <w:r>
        <w:rPr>
          <w:rFonts w:hint="eastAsia" w:ascii="宋体" w:hAnsi="宋体" w:eastAsia="宋体" w:cs="宋体"/>
          <w:color w:val="000000"/>
          <w:sz w:val="24"/>
          <w:szCs w:val="24"/>
        </w:rPr>
        <w:t>：负责合格工程月进度工程量计量及台账建立；配合成本管理，审核工程变更与签证；成立专项小组审核竣工图纸及结算资料，编制结算计划并督促落实，确保专职造价人员参与，按时效审核结算文件，对资料虚假、审核拖延等违约行为承担责任。</w:t>
      </w:r>
    </w:p>
    <w:p w14:paraId="1F32E938">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b/>
          <w:bCs/>
          <w:color w:val="000000"/>
          <w:sz w:val="24"/>
          <w:szCs w:val="24"/>
        </w:rPr>
        <w:t>材料与设备监督</w:t>
      </w:r>
      <w:r>
        <w:rPr>
          <w:rFonts w:hint="eastAsia" w:ascii="宋体" w:hAnsi="宋体" w:eastAsia="宋体" w:cs="宋体"/>
          <w:color w:val="000000"/>
          <w:sz w:val="24"/>
          <w:szCs w:val="24"/>
        </w:rPr>
        <w:t>：审核材料设备进场计划，核对进场资料与图纸、合同的一致性，审核质量证明文件并见证取样送检；对不合格材料设备拒绝签认并要求撤场。</w:t>
      </w:r>
    </w:p>
    <w:p w14:paraId="3FFF4BC7">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b/>
          <w:bCs/>
          <w:color w:val="000000"/>
          <w:sz w:val="24"/>
          <w:szCs w:val="24"/>
        </w:rPr>
        <w:t>验收与资料管理</w:t>
      </w:r>
      <w:r>
        <w:rPr>
          <w:rFonts w:hint="eastAsia" w:ascii="宋体" w:hAnsi="宋体" w:eastAsia="宋体" w:cs="宋体"/>
          <w:color w:val="000000"/>
          <w:sz w:val="24"/>
          <w:szCs w:val="24"/>
        </w:rPr>
        <w:t>：审查竣工资料完整性与规范性，参与竣工验收；会同承包人整理完善工程及监理资料，提交合格竣工资料。</w:t>
      </w:r>
    </w:p>
    <w:p w14:paraId="78092CFA">
      <w:pPr>
        <w:pStyle w:val="8"/>
        <w:numPr>
          <w:ilvl w:val="0"/>
          <w:numId w:val="0"/>
        </w:numPr>
        <w:ind w:left="288" w:leftChars="0" w:hanging="288"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b/>
          <w:bCs/>
          <w:color w:val="000000"/>
          <w:sz w:val="24"/>
          <w:szCs w:val="24"/>
        </w:rPr>
        <w:t>协助与协调</w:t>
      </w:r>
      <w:r>
        <w:rPr>
          <w:rFonts w:hint="eastAsia" w:ascii="宋体" w:hAnsi="宋体" w:eastAsia="宋体" w:cs="宋体"/>
          <w:color w:val="000000"/>
          <w:sz w:val="24"/>
          <w:szCs w:val="24"/>
        </w:rPr>
        <w:t>：协助委托人协调规划、市容等外部部门及设计单位沟通；协助督促专业工程暂估价项目按规定招标；按委托人办法办理监理费结算申请。</w:t>
      </w:r>
    </w:p>
    <w:p w14:paraId="782F0D07">
      <w:pPr>
        <w:pStyle w:val="4"/>
        <w:bidi w:val="0"/>
        <w:ind w:left="0" w:leftChars="0" w:firstLine="0" w:firstLineChars="0"/>
        <w:rPr>
          <w:rFonts w:hint="eastAsia"/>
          <w:b/>
          <w:bCs/>
          <w:color w:val="000000"/>
          <w:lang w:val="en-US" w:eastAsia="zh-CN"/>
        </w:rPr>
      </w:pPr>
      <w:r>
        <w:rPr>
          <w:rFonts w:hint="eastAsia"/>
          <w:b/>
          <w:bCs/>
          <w:color w:val="000000"/>
          <w:lang w:val="en-US" w:eastAsia="zh-CN"/>
        </w:rPr>
        <w:t>三、监理与相关服务依据</w:t>
      </w:r>
    </w:p>
    <w:p w14:paraId="2993BA43">
      <w:pPr>
        <w:pStyle w:val="4"/>
        <w:bidi w:val="0"/>
        <w:rPr>
          <w:rFonts w:hint="eastAsia"/>
          <w:color w:val="000000"/>
          <w:lang w:val="en-US" w:eastAsia="zh-CN"/>
        </w:rPr>
      </w:pPr>
      <w:r>
        <w:rPr>
          <w:rFonts w:hint="eastAsia"/>
          <w:color w:val="000000"/>
          <w:lang w:val="en-US" w:eastAsia="zh-CN"/>
        </w:rPr>
        <w:t>（1）国家和地方有关工程建设监理的法律、法规及规范；</w:t>
      </w:r>
    </w:p>
    <w:p w14:paraId="14CF260D">
      <w:pPr>
        <w:pStyle w:val="4"/>
        <w:bidi w:val="0"/>
        <w:rPr>
          <w:rFonts w:hint="eastAsia"/>
          <w:color w:val="000000"/>
          <w:lang w:val="en-US" w:eastAsia="zh-CN"/>
        </w:rPr>
      </w:pPr>
      <w:r>
        <w:rPr>
          <w:rFonts w:hint="eastAsia"/>
          <w:color w:val="000000"/>
          <w:lang w:val="en-US" w:eastAsia="zh-CN"/>
        </w:rPr>
        <w:t>（2）工程技术标准，施工验收规范；</w:t>
      </w:r>
    </w:p>
    <w:p w14:paraId="76C9D66C">
      <w:pPr>
        <w:pStyle w:val="4"/>
        <w:bidi w:val="0"/>
        <w:rPr>
          <w:rFonts w:hint="eastAsia"/>
          <w:color w:val="000000"/>
          <w:lang w:val="en-US" w:eastAsia="zh-CN"/>
        </w:rPr>
      </w:pPr>
      <w:r>
        <w:rPr>
          <w:rFonts w:hint="eastAsia"/>
          <w:color w:val="000000"/>
          <w:lang w:val="en-US" w:eastAsia="zh-CN"/>
        </w:rPr>
        <w:t>（3）经批准的该项目建设的有关文件、可行性研究报告、初步设计文件及设计概算文件及其它有关文件；</w:t>
      </w:r>
    </w:p>
    <w:p w14:paraId="08D8C62D">
      <w:pPr>
        <w:pStyle w:val="4"/>
        <w:bidi w:val="0"/>
        <w:rPr>
          <w:rFonts w:hint="eastAsia"/>
          <w:color w:val="000000"/>
          <w:lang w:val="en-US" w:eastAsia="zh-CN"/>
        </w:rPr>
      </w:pPr>
      <w:r>
        <w:rPr>
          <w:rFonts w:hint="eastAsia"/>
          <w:color w:val="000000"/>
          <w:lang w:val="en-US" w:eastAsia="zh-CN"/>
        </w:rPr>
        <w:t>（4）所监理工程的设计图纸、有关文件、设计变更及会议纪要；</w:t>
      </w:r>
    </w:p>
    <w:p w14:paraId="3AEBDEC3">
      <w:pPr>
        <w:pStyle w:val="4"/>
        <w:bidi w:val="0"/>
        <w:rPr>
          <w:rFonts w:hint="eastAsia"/>
          <w:color w:val="000000"/>
          <w:lang w:val="en-US" w:eastAsia="zh-CN"/>
        </w:rPr>
      </w:pPr>
      <w:r>
        <w:rPr>
          <w:rFonts w:hint="eastAsia"/>
          <w:color w:val="000000"/>
          <w:lang w:val="en-US" w:eastAsia="zh-CN"/>
        </w:rPr>
        <w:t>（5）经委托人审批同意的本工程监理规划；</w:t>
      </w:r>
    </w:p>
    <w:p w14:paraId="078BC99D">
      <w:pPr>
        <w:pStyle w:val="4"/>
        <w:bidi w:val="0"/>
        <w:rPr>
          <w:rFonts w:hint="eastAsia"/>
          <w:color w:val="000000"/>
          <w:lang w:val="en-US" w:eastAsia="zh-CN"/>
        </w:rPr>
      </w:pPr>
      <w:r>
        <w:rPr>
          <w:rFonts w:hint="eastAsia"/>
          <w:color w:val="000000"/>
          <w:lang w:val="en-US" w:eastAsia="zh-CN"/>
        </w:rPr>
        <w:t>（6）工程监理合同；</w:t>
      </w:r>
    </w:p>
    <w:p w14:paraId="1E1BAF97">
      <w:pPr>
        <w:pStyle w:val="4"/>
        <w:bidi w:val="0"/>
        <w:rPr>
          <w:rFonts w:hint="eastAsia"/>
          <w:color w:val="000000"/>
          <w:lang w:val="en-US" w:eastAsia="zh-CN"/>
        </w:rPr>
      </w:pPr>
      <w:r>
        <w:rPr>
          <w:rFonts w:hint="eastAsia"/>
          <w:color w:val="000000"/>
          <w:lang w:val="en-US" w:eastAsia="zh-CN"/>
        </w:rPr>
        <w:t>（7）委托人依法与承包人等单位签订的合同或协议等；</w:t>
      </w:r>
    </w:p>
    <w:p w14:paraId="14DB6EA0">
      <w:pPr>
        <w:pStyle w:val="4"/>
        <w:bidi w:val="0"/>
        <w:rPr>
          <w:rFonts w:hint="eastAsia"/>
          <w:color w:val="000000"/>
          <w:lang w:val="en-US" w:eastAsia="zh-CN"/>
        </w:rPr>
      </w:pPr>
      <w:r>
        <w:rPr>
          <w:rFonts w:hint="eastAsia"/>
          <w:color w:val="000000"/>
          <w:lang w:val="en-US" w:eastAsia="zh-CN"/>
        </w:rPr>
        <w:t>（8）其它相关法律、法规及规定。</w:t>
      </w:r>
    </w:p>
    <w:p w14:paraId="79E4623E">
      <w:pPr>
        <w:rPr>
          <w:rFonts w:hint="default"/>
          <w:color w:val="000000"/>
          <w:lang w:val="en-US" w:eastAsia="zh-CN"/>
        </w:rPr>
      </w:pPr>
    </w:p>
    <w:p w14:paraId="1A2FB1CC">
      <w:pPr>
        <w:pStyle w:val="4"/>
        <w:numPr>
          <w:ilvl w:val="0"/>
          <w:numId w:val="0"/>
        </w:numPr>
        <w:bidi w:val="0"/>
        <w:ind w:firstLine="482" w:firstLineChars="200"/>
        <w:rPr>
          <w:rFonts w:hint="default"/>
          <w:b/>
          <w:bCs/>
          <w:color w:val="000000"/>
          <w:lang w:val="en-US" w:eastAsia="zh-CN"/>
        </w:rPr>
      </w:pPr>
      <w:r>
        <w:rPr>
          <w:rFonts w:hint="default"/>
          <w:b/>
          <w:bCs/>
          <w:color w:val="000000"/>
          <w:lang w:val="en-US" w:eastAsia="zh-CN"/>
        </w:rPr>
        <w:t>备注</w:t>
      </w:r>
      <w:r>
        <w:rPr>
          <w:rFonts w:hint="eastAsia"/>
          <w:b/>
          <w:bCs/>
          <w:color w:val="000000"/>
          <w:lang w:val="en-US" w:eastAsia="zh-CN"/>
        </w:rPr>
        <w:t>：</w:t>
      </w:r>
      <w:r>
        <w:rPr>
          <w:rFonts w:hint="default"/>
          <w:b/>
          <w:bCs/>
          <w:color w:val="000000"/>
          <w:lang w:val="en-US" w:eastAsia="zh-CN"/>
        </w:rPr>
        <w:t>以上</w:t>
      </w:r>
      <w:r>
        <w:rPr>
          <w:rFonts w:hint="eastAsia"/>
          <w:b/>
          <w:bCs/>
          <w:color w:val="000000"/>
          <w:lang w:val="en-US" w:eastAsia="zh-CN"/>
        </w:rPr>
        <w:t>技术</w:t>
      </w:r>
      <w:r>
        <w:rPr>
          <w:rFonts w:hint="default"/>
          <w:b/>
          <w:bCs/>
          <w:color w:val="000000"/>
          <w:lang w:val="en-US" w:eastAsia="zh-CN"/>
        </w:rPr>
        <w:t>要求为必须满足的条款，如有一条不满足，视为重大偏离，按无效响应处理。</w:t>
      </w:r>
    </w:p>
    <w:p w14:paraId="57442211">
      <w:pPr>
        <w:rPr>
          <w:color w:val="000000"/>
          <w:highlight w:val="none"/>
        </w:rPr>
      </w:pPr>
    </w:p>
    <w:p w14:paraId="42D8897A">
      <w:pPr>
        <w:pStyle w:val="3"/>
        <w:numPr>
          <w:ilvl w:val="0"/>
          <w:numId w:val="1"/>
        </w:numPr>
        <w:bidi w:val="0"/>
        <w:rPr>
          <w:color w:val="000000"/>
          <w:highlight w:val="none"/>
        </w:rPr>
      </w:pPr>
      <w:r>
        <w:rPr>
          <w:rFonts w:hint="eastAsia"/>
          <w:color w:val="000000"/>
          <w:highlight w:val="none"/>
        </w:rPr>
        <w:t>商务要求</w:t>
      </w:r>
    </w:p>
    <w:tbl>
      <w:tblPr>
        <w:tblStyle w:val="6"/>
        <w:tblW w:w="917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1509"/>
        <w:gridCol w:w="6912"/>
      </w:tblGrid>
      <w:tr w14:paraId="117A722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68" w:hRule="exact"/>
          <w:jc w:val="center"/>
        </w:trPr>
        <w:tc>
          <w:tcPr>
            <w:tcW w:w="752" w:type="dxa"/>
            <w:noWrap w:val="0"/>
            <w:vAlign w:val="center"/>
          </w:tcPr>
          <w:p w14:paraId="1204D3F3">
            <w:pPr>
              <w:pStyle w:val="9"/>
              <w:spacing w:line="360" w:lineRule="auto"/>
              <w:rPr>
                <w:rFonts w:hint="eastAsia" w:ascii="宋体" w:hAnsi="宋体" w:eastAsia="宋体" w:cs="宋体"/>
                <w:b/>
                <w:bCs/>
                <w:color w:val="000000"/>
                <w:kern w:val="2"/>
                <w:szCs w:val="24"/>
                <w:highlight w:val="none"/>
                <w:lang w:val="en-US" w:eastAsia="zh-CN"/>
              </w:rPr>
            </w:pPr>
            <w:r>
              <w:rPr>
                <w:rFonts w:hint="eastAsia" w:ascii="宋体" w:hAnsi="宋体" w:eastAsia="宋体" w:cs="宋体"/>
                <w:b/>
                <w:bCs/>
                <w:color w:val="000000"/>
                <w:kern w:val="2"/>
                <w:szCs w:val="24"/>
                <w:highlight w:val="none"/>
                <w:lang w:val="en-US" w:eastAsia="zh-CN"/>
              </w:rPr>
              <w:t>序号</w:t>
            </w:r>
          </w:p>
        </w:tc>
        <w:tc>
          <w:tcPr>
            <w:tcW w:w="1509" w:type="dxa"/>
            <w:noWrap w:val="0"/>
            <w:vAlign w:val="center"/>
          </w:tcPr>
          <w:p w14:paraId="25BBE89C">
            <w:pPr>
              <w:pStyle w:val="9"/>
              <w:spacing w:line="360" w:lineRule="auto"/>
              <w:rPr>
                <w:rFonts w:hint="eastAsia" w:ascii="宋体" w:hAnsi="宋体" w:eastAsia="宋体" w:cs="宋体"/>
                <w:b/>
                <w:bCs/>
                <w:color w:val="000000"/>
                <w:kern w:val="2"/>
                <w:szCs w:val="24"/>
                <w:highlight w:val="none"/>
                <w:lang w:val="en-US" w:eastAsia="zh-CN"/>
              </w:rPr>
            </w:pPr>
            <w:r>
              <w:rPr>
                <w:rFonts w:hint="eastAsia" w:ascii="宋体" w:hAnsi="宋体" w:eastAsia="宋体" w:cs="宋体"/>
                <w:b/>
                <w:bCs/>
                <w:color w:val="000000"/>
                <w:kern w:val="2"/>
                <w:szCs w:val="24"/>
                <w:highlight w:val="none"/>
                <w:lang w:val="en-US" w:eastAsia="zh-CN"/>
              </w:rPr>
              <w:t>名称</w:t>
            </w:r>
          </w:p>
        </w:tc>
        <w:tc>
          <w:tcPr>
            <w:tcW w:w="6912" w:type="dxa"/>
            <w:noWrap w:val="0"/>
            <w:vAlign w:val="center"/>
          </w:tcPr>
          <w:p w14:paraId="3F697F01">
            <w:pPr>
              <w:pStyle w:val="9"/>
              <w:spacing w:line="360" w:lineRule="auto"/>
              <w:rPr>
                <w:rFonts w:hint="default" w:ascii="宋体" w:hAnsi="宋体" w:eastAsia="宋体" w:cs="宋体"/>
                <w:b/>
                <w:bCs/>
                <w:color w:val="000000"/>
                <w:kern w:val="2"/>
                <w:szCs w:val="24"/>
                <w:highlight w:val="none"/>
                <w:lang w:val="en-US" w:eastAsia="zh-CN"/>
              </w:rPr>
            </w:pPr>
            <w:r>
              <w:rPr>
                <w:rFonts w:hint="eastAsia" w:cs="宋体"/>
                <w:b/>
                <w:bCs/>
                <w:color w:val="000000"/>
                <w:kern w:val="2"/>
                <w:szCs w:val="24"/>
                <w:highlight w:val="none"/>
                <w:lang w:val="en-US" w:eastAsia="zh-CN"/>
              </w:rPr>
              <w:t>具体要求</w:t>
            </w:r>
          </w:p>
        </w:tc>
      </w:tr>
      <w:tr w14:paraId="6C30514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0469F547">
            <w:pPr>
              <w:pStyle w:val="9"/>
              <w:spacing w:line="360" w:lineRule="auto"/>
              <w:rPr>
                <w:rFonts w:hint="default"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1</w:t>
            </w:r>
          </w:p>
        </w:tc>
        <w:tc>
          <w:tcPr>
            <w:tcW w:w="1509" w:type="dxa"/>
            <w:noWrap w:val="0"/>
            <w:vAlign w:val="center"/>
          </w:tcPr>
          <w:p w14:paraId="1DE81826">
            <w:pPr>
              <w:pStyle w:val="9"/>
              <w:keepNext w:val="0"/>
              <w:keepLines w:val="0"/>
              <w:pageBreakBefore w:val="0"/>
              <w:widowControl w:val="0"/>
              <w:kinsoku/>
              <w:wordWrap/>
              <w:overflowPunct/>
              <w:topLinePunct w:val="0"/>
              <w:autoSpaceDE/>
              <w:autoSpaceDN/>
              <w:bidi w:val="0"/>
              <w:spacing w:line="312" w:lineRule="auto"/>
              <w:textAlignment w:val="auto"/>
              <w:rPr>
                <w:rFonts w:hint="eastAsia"/>
                <w:color w:val="000000"/>
                <w:highlight w:val="none"/>
                <w:lang w:eastAsia="zh-CN"/>
              </w:rPr>
            </w:pPr>
            <w:r>
              <w:rPr>
                <w:rFonts w:hint="eastAsia"/>
                <w:color w:val="000000"/>
                <w:highlight w:val="none"/>
              </w:rPr>
              <w:t>采购内容</w:t>
            </w:r>
          </w:p>
        </w:tc>
        <w:tc>
          <w:tcPr>
            <w:tcW w:w="6912" w:type="dxa"/>
            <w:noWrap w:val="0"/>
            <w:vAlign w:val="center"/>
          </w:tcPr>
          <w:p w14:paraId="55621321">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000000"/>
                <w:kern w:val="2"/>
                <w:sz w:val="24"/>
                <w:szCs w:val="22"/>
                <w:highlight w:val="none"/>
                <w:lang w:val="en-US" w:eastAsia="zh-CN" w:bidi="ar-SA"/>
              </w:rPr>
            </w:pPr>
            <w:r>
              <w:rPr>
                <w:rFonts w:hint="eastAsia"/>
                <w:color w:val="000000"/>
                <w:highlight w:val="none"/>
                <w:lang w:eastAsia="zh-CN"/>
              </w:rPr>
              <w:t>2025年度医院零星装修改造监理，包括但不限于项目前期进场准备、建安工程及各专业分包施工全过程监理服务（包含施工过程中的质量、安全、进度、投资控制，资料管理、信息管理、及协调施工现场各方关系及竣工验收配合服务）,缺陷责任期内相关监理服务等。</w:t>
            </w:r>
            <w:r>
              <w:rPr>
                <w:rFonts w:hint="eastAsia"/>
                <w:color w:val="000000"/>
                <w:highlight w:val="none"/>
              </w:rPr>
              <w:t>详见</w:t>
            </w:r>
            <w:r>
              <w:rPr>
                <w:rFonts w:hint="eastAsia"/>
                <w:color w:val="000000"/>
                <w:highlight w:val="none"/>
                <w:lang w:val="en-US" w:eastAsia="zh-CN"/>
              </w:rPr>
              <w:t>竞争性谈判</w:t>
            </w:r>
            <w:r>
              <w:rPr>
                <w:rFonts w:hint="eastAsia"/>
                <w:color w:val="000000"/>
                <w:highlight w:val="none"/>
                <w:lang w:eastAsia="zh-CN"/>
              </w:rPr>
              <w:t>文件第三章</w:t>
            </w:r>
            <w:r>
              <w:rPr>
                <w:rFonts w:hint="eastAsia"/>
                <w:color w:val="000000"/>
                <w:highlight w:val="none"/>
              </w:rPr>
              <w:t>“采购内容及要求”</w:t>
            </w:r>
            <w:r>
              <w:rPr>
                <w:rFonts w:hint="eastAsia"/>
                <w:color w:val="000000"/>
                <w:highlight w:val="none"/>
                <w:lang w:eastAsia="zh-CN"/>
              </w:rPr>
              <w:t>。</w:t>
            </w:r>
          </w:p>
        </w:tc>
      </w:tr>
      <w:tr w14:paraId="0CDF732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752" w:type="dxa"/>
            <w:noWrap w:val="0"/>
            <w:vAlign w:val="center"/>
          </w:tcPr>
          <w:p w14:paraId="2145F199">
            <w:pPr>
              <w:pStyle w:val="9"/>
              <w:spacing w:line="360" w:lineRule="auto"/>
              <w:rPr>
                <w:rFonts w:hint="eastAsia"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2</w:t>
            </w:r>
          </w:p>
        </w:tc>
        <w:tc>
          <w:tcPr>
            <w:tcW w:w="1509" w:type="dxa"/>
            <w:noWrap w:val="0"/>
            <w:vAlign w:val="center"/>
          </w:tcPr>
          <w:p w14:paraId="0417A4BC">
            <w:pPr>
              <w:pStyle w:val="9"/>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kern w:val="2"/>
                <w:szCs w:val="24"/>
                <w:highlight w:val="none"/>
                <w:lang w:val="en-US" w:eastAsia="zh-CN"/>
              </w:rPr>
            </w:pPr>
            <w:r>
              <w:rPr>
                <w:rFonts w:hint="eastAsia"/>
                <w:color w:val="000000"/>
                <w:highlight w:val="none"/>
                <w:lang w:eastAsia="zh-CN"/>
              </w:rPr>
              <w:t>服务期</w:t>
            </w:r>
          </w:p>
        </w:tc>
        <w:tc>
          <w:tcPr>
            <w:tcW w:w="6912" w:type="dxa"/>
            <w:noWrap w:val="0"/>
            <w:vAlign w:val="center"/>
          </w:tcPr>
          <w:p w14:paraId="1A4849C7">
            <w:pPr>
              <w:pStyle w:val="10"/>
              <w:keepNext w:val="0"/>
              <w:keepLines w:val="0"/>
              <w:pageBreakBefore w:val="0"/>
              <w:widowControl w:val="0"/>
              <w:kinsoku/>
              <w:wordWrap/>
              <w:overflowPunct/>
              <w:topLinePunct w:val="0"/>
              <w:autoSpaceDE/>
              <w:autoSpaceDN/>
              <w:bidi w:val="0"/>
              <w:spacing w:line="312" w:lineRule="auto"/>
              <w:ind w:left="0" w:leftChars="0" w:firstLine="0" w:firstLineChars="0"/>
              <w:textAlignment w:val="auto"/>
              <w:rPr>
                <w:rFonts w:hint="eastAsia" w:ascii="宋体" w:hAnsi="宋体" w:eastAsia="宋体" w:cs="宋体"/>
                <w:color w:val="000000"/>
                <w:kern w:val="2"/>
                <w:sz w:val="24"/>
                <w:szCs w:val="24"/>
                <w:highlight w:val="none"/>
                <w:lang w:val="en-US" w:eastAsia="zh-CN"/>
              </w:rPr>
            </w:pPr>
            <w:r>
              <w:rPr>
                <w:rFonts w:hint="eastAsia" w:cs="Times New Roman"/>
                <w:b w:val="0"/>
                <w:bCs w:val="0"/>
                <w:i w:val="0"/>
                <w:iCs w:val="0"/>
                <w:color w:val="000000"/>
                <w:kern w:val="2"/>
                <w:sz w:val="24"/>
                <w:szCs w:val="24"/>
                <w:highlight w:val="none"/>
                <w:vertAlign w:val="baseline"/>
                <w:lang w:val="en-US" w:eastAsia="zh-CN" w:bidi="ar-SA"/>
              </w:rPr>
              <w:t>服务有效期3年，经年度考评合格后合同1年1签。</w:t>
            </w:r>
          </w:p>
        </w:tc>
      </w:tr>
      <w:tr w14:paraId="3B6CCE3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52" w:type="dxa"/>
            <w:noWrap w:val="0"/>
            <w:vAlign w:val="center"/>
          </w:tcPr>
          <w:p w14:paraId="1A9655BA">
            <w:pPr>
              <w:pStyle w:val="9"/>
              <w:spacing w:line="360" w:lineRule="auto"/>
              <w:rPr>
                <w:rFonts w:hint="eastAsia"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3</w:t>
            </w:r>
          </w:p>
        </w:tc>
        <w:tc>
          <w:tcPr>
            <w:tcW w:w="1509" w:type="dxa"/>
            <w:noWrap w:val="0"/>
            <w:vAlign w:val="center"/>
          </w:tcPr>
          <w:p w14:paraId="74D00A02">
            <w:pPr>
              <w:pStyle w:val="9"/>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kern w:val="2"/>
                <w:szCs w:val="24"/>
                <w:highlight w:val="none"/>
                <w:lang w:val="en-US" w:eastAsia="zh-CN"/>
              </w:rPr>
            </w:pPr>
            <w:r>
              <w:rPr>
                <w:rFonts w:hint="eastAsia" w:ascii="宋体" w:hAnsi="宋体" w:eastAsia="宋体" w:cs="宋体"/>
                <w:color w:val="000000"/>
                <w:kern w:val="2"/>
                <w:sz w:val="24"/>
                <w:szCs w:val="22"/>
                <w:highlight w:val="none"/>
                <w:lang w:val="en-US" w:eastAsia="zh-CN" w:bidi="ar-SA"/>
              </w:rPr>
              <w:t>服务地点</w:t>
            </w:r>
          </w:p>
        </w:tc>
        <w:tc>
          <w:tcPr>
            <w:tcW w:w="6912" w:type="dxa"/>
            <w:noWrap w:val="0"/>
            <w:vAlign w:val="center"/>
          </w:tcPr>
          <w:p w14:paraId="10B7EFF1">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陕西省人民医院主院区及西咸院区</w:t>
            </w:r>
          </w:p>
        </w:tc>
      </w:tr>
      <w:tr w14:paraId="6C604C8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52" w:type="dxa"/>
            <w:noWrap w:val="0"/>
            <w:vAlign w:val="center"/>
          </w:tcPr>
          <w:p w14:paraId="7C6DE17A">
            <w:pPr>
              <w:pStyle w:val="9"/>
              <w:spacing w:line="360" w:lineRule="auto"/>
              <w:rPr>
                <w:rFonts w:hint="default"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4</w:t>
            </w:r>
          </w:p>
        </w:tc>
        <w:tc>
          <w:tcPr>
            <w:tcW w:w="1509" w:type="dxa"/>
            <w:noWrap w:val="0"/>
            <w:vAlign w:val="center"/>
          </w:tcPr>
          <w:p w14:paraId="673998F0">
            <w:pPr>
              <w:pStyle w:val="9"/>
              <w:keepNext w:val="0"/>
              <w:keepLines w:val="0"/>
              <w:pageBreakBefore w:val="0"/>
              <w:widowControl w:val="0"/>
              <w:kinsoku/>
              <w:wordWrap/>
              <w:overflowPunct/>
              <w:topLinePunct w:val="0"/>
              <w:autoSpaceDE/>
              <w:autoSpaceDN/>
              <w:bidi w:val="0"/>
              <w:spacing w:line="312" w:lineRule="auto"/>
              <w:textAlignment w:val="auto"/>
              <w:rPr>
                <w:rFonts w:hint="default" w:ascii="宋体" w:hAnsi="宋体" w:eastAsia="宋体" w:cs="宋体"/>
                <w:color w:val="000000"/>
                <w:kern w:val="2"/>
                <w:sz w:val="24"/>
                <w:szCs w:val="22"/>
                <w:highlight w:val="none"/>
                <w:lang w:val="en-US" w:eastAsia="zh-CN" w:bidi="ar-SA"/>
              </w:rPr>
            </w:pPr>
            <w:r>
              <w:rPr>
                <w:rFonts w:hint="eastAsia" w:ascii="宋体" w:hAnsi="宋体" w:eastAsia="宋体" w:cs="宋体"/>
                <w:color w:val="000000"/>
                <w:kern w:val="2"/>
                <w:sz w:val="24"/>
                <w:szCs w:val="22"/>
                <w:highlight w:val="none"/>
                <w:lang w:val="en-US" w:eastAsia="zh-CN" w:bidi="ar-SA"/>
              </w:rPr>
              <w:t>质量要求</w:t>
            </w:r>
          </w:p>
        </w:tc>
        <w:tc>
          <w:tcPr>
            <w:tcW w:w="6912" w:type="dxa"/>
            <w:noWrap w:val="0"/>
            <w:vAlign w:val="center"/>
          </w:tcPr>
          <w:p w14:paraId="3B2DA29F">
            <w:pPr>
              <w:pStyle w:val="9"/>
              <w:keepNext w:val="0"/>
              <w:keepLines w:val="0"/>
              <w:pageBreakBefore w:val="0"/>
              <w:widowControl w:val="0"/>
              <w:kinsoku/>
              <w:wordWrap/>
              <w:overflowPunct/>
              <w:topLinePunct w:val="0"/>
              <w:autoSpaceDE/>
              <w:autoSpaceDN/>
              <w:bidi w:val="0"/>
              <w:spacing w:line="312" w:lineRule="auto"/>
              <w:jc w:val="left"/>
              <w:textAlignment w:val="auto"/>
              <w:rPr>
                <w:rFonts w:hint="default"/>
                <w:color w:val="000000"/>
                <w:highlight w:val="none"/>
                <w:lang w:val="en-US" w:eastAsia="zh-CN"/>
              </w:rPr>
            </w:pPr>
            <w:r>
              <w:rPr>
                <w:rFonts w:hint="eastAsia"/>
                <w:color w:val="000000"/>
                <w:highlight w:val="none"/>
                <w:lang w:val="en-US" w:eastAsia="zh-CN"/>
              </w:rPr>
              <w:t>合格</w:t>
            </w:r>
          </w:p>
        </w:tc>
      </w:tr>
      <w:tr w14:paraId="6C11DE1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188F47D8">
            <w:pPr>
              <w:pStyle w:val="9"/>
              <w:spacing w:line="360" w:lineRule="auto"/>
              <w:rPr>
                <w:rFonts w:hint="eastAsia" w:ascii="宋体" w:hAnsi="宋体" w:eastAsia="宋体" w:cs="宋体"/>
                <w:color w:val="000000"/>
                <w:kern w:val="2"/>
                <w:szCs w:val="24"/>
                <w:highlight w:val="none"/>
                <w:lang w:val="en-US" w:eastAsia="zh-CN"/>
              </w:rPr>
            </w:pPr>
            <w:r>
              <w:rPr>
                <w:rFonts w:hint="eastAsia" w:cs="宋体"/>
                <w:color w:val="000000"/>
                <w:kern w:val="2"/>
                <w:szCs w:val="24"/>
                <w:highlight w:val="none"/>
                <w:lang w:val="en-US" w:eastAsia="zh-CN"/>
              </w:rPr>
              <w:t>5</w:t>
            </w:r>
          </w:p>
        </w:tc>
        <w:tc>
          <w:tcPr>
            <w:tcW w:w="1509" w:type="dxa"/>
            <w:noWrap w:val="0"/>
            <w:vAlign w:val="center"/>
          </w:tcPr>
          <w:p w14:paraId="1079B17C">
            <w:pPr>
              <w:pStyle w:val="9"/>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000000"/>
                <w:kern w:val="2"/>
                <w:szCs w:val="22"/>
                <w:highlight w:val="none"/>
                <w:lang w:val="en-US" w:eastAsia="zh-CN"/>
              </w:rPr>
            </w:pPr>
            <w:r>
              <w:rPr>
                <w:rFonts w:hint="eastAsia" w:ascii="宋体" w:hAnsi="宋体" w:eastAsia="宋体" w:cs="宋体"/>
                <w:color w:val="000000"/>
                <w:kern w:val="2"/>
                <w:sz w:val="24"/>
                <w:szCs w:val="22"/>
                <w:highlight w:val="none"/>
                <w:lang w:val="en-US" w:eastAsia="zh-CN" w:bidi="ar-SA"/>
              </w:rPr>
              <w:t>付款方式</w:t>
            </w:r>
          </w:p>
        </w:tc>
        <w:tc>
          <w:tcPr>
            <w:tcW w:w="6912" w:type="dxa"/>
            <w:noWrap w:val="0"/>
            <w:vAlign w:val="center"/>
          </w:tcPr>
          <w:p w14:paraId="64FDA181">
            <w:pPr>
              <w:pStyle w:val="9"/>
              <w:keepNext w:val="0"/>
              <w:keepLines w:val="0"/>
              <w:pageBreakBefore w:val="0"/>
              <w:widowControl w:val="0"/>
              <w:numPr>
                <w:ilvl w:val="0"/>
                <w:numId w:val="0"/>
              </w:numPr>
              <w:kinsoku/>
              <w:wordWrap/>
              <w:overflowPunct/>
              <w:topLinePunct w:val="0"/>
              <w:autoSpaceDE/>
              <w:autoSpaceDN/>
              <w:bidi w:val="0"/>
              <w:spacing w:line="312" w:lineRule="auto"/>
              <w:jc w:val="left"/>
              <w:textAlignment w:val="auto"/>
              <w:rPr>
                <w:rFonts w:hint="default" w:ascii="宋体" w:hAnsi="宋体" w:eastAsia="宋体" w:cs="宋体"/>
                <w:color w:val="000000"/>
                <w:kern w:val="2"/>
                <w:sz w:val="24"/>
                <w:szCs w:val="22"/>
                <w:highlight w:val="none"/>
                <w:lang w:val="en-US" w:eastAsia="zh-CN" w:bidi="ar-SA"/>
              </w:rPr>
            </w:pPr>
            <w:r>
              <w:rPr>
                <w:rFonts w:hint="default" w:ascii="宋体" w:hAnsi="宋体" w:eastAsia="宋体" w:cs="宋体"/>
                <w:color w:val="000000"/>
                <w:kern w:val="2"/>
                <w:sz w:val="24"/>
                <w:szCs w:val="22"/>
                <w:highlight w:val="none"/>
                <w:lang w:val="en-US" w:eastAsia="zh-CN" w:bidi="ar-SA"/>
              </w:rPr>
              <w:t>1.结算要求：</w:t>
            </w:r>
            <w:r>
              <w:rPr>
                <w:rFonts w:hint="eastAsia" w:cs="宋体"/>
                <w:color w:val="000000"/>
                <w:kern w:val="2"/>
                <w:sz w:val="24"/>
                <w:szCs w:val="22"/>
                <w:highlight w:val="none"/>
                <w:lang w:val="en-US" w:eastAsia="zh-CN" w:bidi="ar-SA"/>
              </w:rPr>
              <w:t>采购人结算。</w:t>
            </w:r>
          </w:p>
          <w:p w14:paraId="6DA3BB07">
            <w:pPr>
              <w:pStyle w:val="9"/>
              <w:keepNext w:val="0"/>
              <w:keepLines w:val="0"/>
              <w:pageBreakBefore w:val="0"/>
              <w:widowControl w:val="0"/>
              <w:numPr>
                <w:ilvl w:val="0"/>
                <w:numId w:val="0"/>
              </w:numPr>
              <w:kinsoku/>
              <w:wordWrap/>
              <w:overflowPunct/>
              <w:topLinePunct w:val="0"/>
              <w:autoSpaceDE/>
              <w:autoSpaceDN/>
              <w:bidi w:val="0"/>
              <w:spacing w:line="312" w:lineRule="auto"/>
              <w:ind w:left="0" w:leftChars="0" w:firstLine="0" w:firstLineChars="0"/>
              <w:jc w:val="left"/>
              <w:textAlignment w:val="auto"/>
              <w:rPr>
                <w:rFonts w:hint="eastAsia" w:ascii="宋体" w:hAnsi="宋体" w:eastAsia="宋体" w:cs="宋体"/>
                <w:bCs/>
                <w:color w:val="000000"/>
                <w:kern w:val="2"/>
                <w:sz w:val="24"/>
                <w:szCs w:val="24"/>
                <w:highlight w:val="none"/>
                <w:lang w:val="en-US" w:eastAsia="zh-CN"/>
              </w:rPr>
            </w:pPr>
            <w:r>
              <w:rPr>
                <w:rFonts w:hint="default" w:ascii="宋体" w:hAnsi="宋体" w:eastAsia="宋体" w:cs="宋体"/>
                <w:color w:val="000000"/>
                <w:kern w:val="2"/>
                <w:sz w:val="24"/>
                <w:szCs w:val="22"/>
                <w:highlight w:val="none"/>
                <w:lang w:val="en-US" w:eastAsia="zh-CN" w:bidi="ar-SA"/>
              </w:rPr>
              <w:t>2.付款方式：</w:t>
            </w:r>
            <w:r>
              <w:rPr>
                <w:rFonts w:hint="eastAsia" w:cs="宋体"/>
                <w:color w:val="000000"/>
                <w:kern w:val="2"/>
                <w:sz w:val="24"/>
                <w:szCs w:val="22"/>
                <w:highlight w:val="none"/>
                <w:lang w:val="en-US" w:eastAsia="zh-CN" w:bidi="ar-SA"/>
              </w:rPr>
              <w:t>监理费最终结算方式为:各工程审定造价*中标取费率，按季度支付。合同履行期间，监理取费率不随国家收费标准的变动而变动。监理工程完工验收交付使用并配合完成该项目所有送审资料的送审后，支付至监理酬金的70% (工程合同总价*中标取费率*70%)；工程审定完成后，支付至最终结算酬金(按照该工程的审定造价计取)</w:t>
            </w:r>
            <w:r>
              <w:rPr>
                <w:rFonts w:hint="eastAsia" w:ascii="宋体" w:hAnsi="宋体" w:eastAsia="宋体" w:cs="宋体"/>
                <w:color w:val="000000"/>
                <w:kern w:val="2"/>
                <w:sz w:val="24"/>
                <w:szCs w:val="22"/>
                <w:highlight w:val="none"/>
                <w:lang w:val="en-US" w:eastAsia="zh-CN" w:bidi="ar-SA"/>
              </w:rPr>
              <w:t>。</w:t>
            </w:r>
          </w:p>
        </w:tc>
      </w:tr>
      <w:tr w14:paraId="3218A79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752" w:type="dxa"/>
            <w:noWrap w:val="0"/>
            <w:vAlign w:val="center"/>
          </w:tcPr>
          <w:p w14:paraId="15978A6A">
            <w:pPr>
              <w:pStyle w:val="9"/>
              <w:spacing w:line="360" w:lineRule="auto"/>
              <w:rPr>
                <w:rFonts w:hint="default" w:ascii="宋体" w:hAnsi="宋体" w:eastAsia="宋体" w:cs="宋体"/>
                <w:color w:val="000000"/>
                <w:kern w:val="2"/>
                <w:szCs w:val="24"/>
                <w:highlight w:val="none"/>
                <w:lang w:val="en-US" w:eastAsia="zh-CN"/>
              </w:rPr>
            </w:pPr>
            <w:r>
              <w:rPr>
                <w:rFonts w:hint="eastAsia" w:cs="宋体"/>
                <w:color w:val="000000"/>
                <w:kern w:val="2"/>
                <w:szCs w:val="24"/>
                <w:highlight w:val="none"/>
                <w:lang w:val="en-US" w:eastAsia="zh-CN"/>
              </w:rPr>
              <w:t>6</w:t>
            </w:r>
          </w:p>
        </w:tc>
        <w:tc>
          <w:tcPr>
            <w:tcW w:w="1509" w:type="dxa"/>
            <w:noWrap w:val="0"/>
            <w:vAlign w:val="center"/>
          </w:tcPr>
          <w:p w14:paraId="3847B838">
            <w:pPr>
              <w:pStyle w:val="9"/>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kern w:val="2"/>
                <w:szCs w:val="24"/>
                <w:highlight w:val="none"/>
                <w:lang w:val="en-US" w:eastAsia="zh-CN"/>
              </w:rPr>
            </w:pPr>
            <w:r>
              <w:rPr>
                <w:rFonts w:hint="eastAsia"/>
                <w:color w:val="000000"/>
                <w:highlight w:val="none"/>
                <w:shd w:val="clear" w:color="auto" w:fill="auto"/>
                <w:lang w:val="en-US" w:eastAsia="zh-CN"/>
              </w:rPr>
              <w:t>履约保证金</w:t>
            </w:r>
          </w:p>
        </w:tc>
        <w:tc>
          <w:tcPr>
            <w:tcW w:w="6912" w:type="dxa"/>
            <w:noWrap w:val="0"/>
            <w:vAlign w:val="center"/>
          </w:tcPr>
          <w:p w14:paraId="62B59A4D">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2"/>
                <w:highlight w:val="none"/>
                <w:lang w:val="en-US" w:eastAsia="zh-CN" w:bidi="ar-SA"/>
              </w:rPr>
              <w:t>不要求提供。</w:t>
            </w:r>
          </w:p>
        </w:tc>
      </w:tr>
      <w:tr w14:paraId="74D1BDC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50" w:hRule="atLeast"/>
          <w:jc w:val="center"/>
        </w:trPr>
        <w:tc>
          <w:tcPr>
            <w:tcW w:w="752" w:type="dxa"/>
            <w:noWrap w:val="0"/>
            <w:vAlign w:val="center"/>
          </w:tcPr>
          <w:p w14:paraId="01B8FC9B">
            <w:pPr>
              <w:pStyle w:val="9"/>
              <w:spacing w:line="360" w:lineRule="auto"/>
              <w:rPr>
                <w:rFonts w:hint="default" w:ascii="宋体" w:hAnsi="宋体" w:eastAsia="宋体" w:cs="宋体"/>
                <w:color w:val="000000"/>
                <w:kern w:val="2"/>
                <w:szCs w:val="24"/>
                <w:highlight w:val="none"/>
                <w:lang w:val="en-US" w:eastAsia="zh-CN"/>
              </w:rPr>
            </w:pPr>
            <w:r>
              <w:rPr>
                <w:rFonts w:hint="eastAsia" w:cs="宋体"/>
                <w:color w:val="000000"/>
                <w:kern w:val="2"/>
                <w:szCs w:val="24"/>
                <w:highlight w:val="none"/>
                <w:lang w:val="en-US" w:eastAsia="zh-CN"/>
              </w:rPr>
              <w:t>7</w:t>
            </w:r>
          </w:p>
        </w:tc>
        <w:tc>
          <w:tcPr>
            <w:tcW w:w="1509" w:type="dxa"/>
            <w:noWrap w:val="0"/>
            <w:vAlign w:val="center"/>
          </w:tcPr>
          <w:p w14:paraId="3CCAD23B">
            <w:pPr>
              <w:pStyle w:val="9"/>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kern w:val="2"/>
                <w:szCs w:val="24"/>
                <w:highlight w:val="none"/>
                <w:lang w:val="en-US" w:eastAsia="zh-CN"/>
              </w:rPr>
            </w:pPr>
            <w:r>
              <w:rPr>
                <w:rFonts w:hint="eastAsia" w:ascii="宋体" w:hAnsi="宋体"/>
                <w:b w:val="0"/>
                <w:bCs/>
                <w:color w:val="000000"/>
                <w:sz w:val="24"/>
                <w:highlight w:val="none"/>
                <w:lang w:val="en-US" w:eastAsia="zh-CN"/>
              </w:rPr>
              <w:t>验收要求</w:t>
            </w:r>
          </w:p>
        </w:tc>
        <w:tc>
          <w:tcPr>
            <w:tcW w:w="6912" w:type="dxa"/>
            <w:noWrap w:val="0"/>
            <w:vAlign w:val="center"/>
          </w:tcPr>
          <w:p w14:paraId="5B3D2262">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color w:val="000000"/>
                <w:sz w:val="24"/>
                <w:szCs w:val="32"/>
                <w:highlight w:val="none"/>
                <w:vertAlign w:val="baseline"/>
                <w:lang w:val="en-US" w:eastAsia="zh-CN"/>
              </w:rPr>
            </w:pPr>
            <w:r>
              <w:rPr>
                <w:rFonts w:hint="eastAsia"/>
                <w:color w:val="000000"/>
                <w:sz w:val="24"/>
                <w:szCs w:val="32"/>
                <w:highlight w:val="none"/>
                <w:vertAlign w:val="baseline"/>
                <w:lang w:val="en-US" w:eastAsia="zh-CN"/>
              </w:rPr>
              <w:t>验收组织单位：陕西省人民医院。</w:t>
            </w:r>
          </w:p>
          <w:p w14:paraId="25035990">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1.验收形式：以合同约定为准。</w:t>
            </w:r>
          </w:p>
          <w:p w14:paraId="0CA88FA9">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2.验收标准：根据国家设计施工相关标准、规范及当地的相关标准、规范为准。</w:t>
            </w:r>
          </w:p>
          <w:p w14:paraId="782D3219">
            <w:pPr>
              <w:pStyle w:val="9"/>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3.验收方法：监理服务期限届满后三十日内，乙方根据已提供的</w:t>
            </w:r>
            <w:r>
              <w:rPr>
                <w:rFonts w:hint="eastAsia" w:cs="宋体"/>
                <w:color w:val="000000"/>
                <w:kern w:val="2"/>
                <w:sz w:val="24"/>
                <w:szCs w:val="24"/>
                <w:highlight w:val="none"/>
                <w:lang w:val="en-US" w:eastAsia="zh-CN"/>
              </w:rPr>
              <w:t>监理服务</w:t>
            </w:r>
            <w:r>
              <w:rPr>
                <w:rFonts w:hint="eastAsia" w:ascii="宋体" w:hAnsi="宋体" w:eastAsia="宋体" w:cs="宋体"/>
                <w:color w:val="000000"/>
                <w:kern w:val="2"/>
                <w:sz w:val="24"/>
                <w:szCs w:val="24"/>
                <w:highlight w:val="none"/>
                <w:lang w:val="en-US" w:eastAsia="zh-CN"/>
              </w:rPr>
              <w:t>起草《监理服务总结报告》提交甲方。甲方收到《监理服务总结报告》后，根据本合同约定对乙方提供的技术服务内容及《监理服务总结报告》等进行验收。验收不合格，甲方有权拒绝支付该部分服务费，并要求乙方按照本合同约定承担违约责任。</w:t>
            </w:r>
          </w:p>
        </w:tc>
      </w:tr>
      <w:tr w14:paraId="3B68AF9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52" w:type="dxa"/>
            <w:noWrap w:val="0"/>
            <w:vAlign w:val="center"/>
          </w:tcPr>
          <w:p w14:paraId="73081F72">
            <w:pPr>
              <w:pStyle w:val="9"/>
              <w:spacing w:line="360" w:lineRule="auto"/>
              <w:rPr>
                <w:rFonts w:hint="default" w:cs="宋体"/>
                <w:color w:val="000000"/>
                <w:kern w:val="2"/>
                <w:szCs w:val="24"/>
                <w:highlight w:val="none"/>
                <w:lang w:val="en-US" w:eastAsia="zh-CN"/>
              </w:rPr>
            </w:pPr>
            <w:r>
              <w:rPr>
                <w:rFonts w:hint="eastAsia" w:cs="宋体"/>
                <w:color w:val="000000"/>
                <w:kern w:val="2"/>
                <w:szCs w:val="24"/>
                <w:highlight w:val="none"/>
                <w:lang w:val="en-US" w:eastAsia="zh-CN"/>
              </w:rPr>
              <w:t>8</w:t>
            </w:r>
          </w:p>
        </w:tc>
        <w:tc>
          <w:tcPr>
            <w:tcW w:w="1509" w:type="dxa"/>
            <w:noWrap w:val="0"/>
            <w:vAlign w:val="center"/>
          </w:tcPr>
          <w:p w14:paraId="26D92929">
            <w:pPr>
              <w:pStyle w:val="9"/>
              <w:keepNext w:val="0"/>
              <w:keepLines w:val="0"/>
              <w:pageBreakBefore w:val="0"/>
              <w:widowControl w:val="0"/>
              <w:kinsoku/>
              <w:wordWrap/>
              <w:overflowPunct/>
              <w:topLinePunct w:val="0"/>
              <w:autoSpaceDE/>
              <w:autoSpaceDN/>
              <w:bidi w:val="0"/>
              <w:spacing w:line="312" w:lineRule="auto"/>
              <w:textAlignment w:val="auto"/>
              <w:rPr>
                <w:rFonts w:hint="default" w:ascii="宋体" w:hAnsi="宋体" w:eastAsia="宋体" w:cs="宋体"/>
                <w:color w:val="000000"/>
                <w:kern w:val="2"/>
                <w:szCs w:val="24"/>
                <w:highlight w:val="none"/>
                <w:lang w:val="en-US" w:eastAsia="zh-CN"/>
              </w:rPr>
            </w:pPr>
            <w:r>
              <w:rPr>
                <w:rFonts w:hint="eastAsia" w:ascii="宋体" w:hAnsi="宋体"/>
                <w:b w:val="0"/>
                <w:bCs/>
                <w:color w:val="000000"/>
                <w:sz w:val="24"/>
                <w:highlight w:val="none"/>
                <w:lang w:val="en-US" w:eastAsia="zh-CN"/>
              </w:rPr>
              <w:t>其他要求</w:t>
            </w:r>
          </w:p>
        </w:tc>
        <w:tc>
          <w:tcPr>
            <w:tcW w:w="6912" w:type="dxa"/>
            <w:noWrap w:val="0"/>
            <w:vAlign w:val="center"/>
          </w:tcPr>
          <w:p w14:paraId="77D249B3">
            <w:pPr>
              <w:pStyle w:val="9"/>
              <w:keepNext w:val="0"/>
              <w:keepLines w:val="0"/>
              <w:pageBreakBefore w:val="0"/>
              <w:widowControl w:val="0"/>
              <w:numPr>
                <w:ilvl w:val="0"/>
                <w:numId w:val="0"/>
              </w:numPr>
              <w:kinsoku/>
              <w:wordWrap/>
              <w:overflowPunct/>
              <w:topLinePunct w:val="0"/>
              <w:autoSpaceDE/>
              <w:autoSpaceDN/>
              <w:bidi w:val="0"/>
              <w:spacing w:line="312" w:lineRule="auto"/>
              <w:jc w:val="left"/>
              <w:textAlignment w:val="auto"/>
              <w:rPr>
                <w:rFonts w:hint="default" w:ascii="宋体" w:hAnsi="宋体"/>
                <w:b w:val="0"/>
                <w:bCs/>
                <w:color w:val="000000"/>
                <w:sz w:val="24"/>
                <w:highlight w:val="none"/>
                <w:lang w:val="en-US" w:eastAsia="zh-CN"/>
              </w:rPr>
            </w:pPr>
            <w:r>
              <w:rPr>
                <w:rFonts w:hint="eastAsia"/>
                <w:b w:val="0"/>
                <w:bCs/>
                <w:color w:val="000000"/>
                <w:sz w:val="24"/>
                <w:highlight w:val="none"/>
                <w:lang w:val="en-US" w:eastAsia="zh-CN"/>
              </w:rPr>
              <w:t>乙方（成交供应商）应保证所提供的服务或其任何一部分均不会侵犯任何第三方的专利权、商标权或著作权</w:t>
            </w:r>
            <w:r>
              <w:rPr>
                <w:rFonts w:hint="eastAsia" w:ascii="宋体" w:hAnsi="宋体"/>
                <w:b w:val="0"/>
                <w:bCs/>
                <w:color w:val="000000"/>
                <w:sz w:val="24"/>
                <w:highlight w:val="none"/>
                <w:lang w:val="en-US" w:eastAsia="zh-CN"/>
              </w:rPr>
              <w:t>。</w:t>
            </w:r>
          </w:p>
        </w:tc>
      </w:tr>
      <w:tr w14:paraId="3A0C861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752" w:type="dxa"/>
            <w:noWrap w:val="0"/>
            <w:vAlign w:val="center"/>
          </w:tcPr>
          <w:p w14:paraId="0F66A57B">
            <w:pPr>
              <w:pStyle w:val="9"/>
              <w:bidi w:val="0"/>
              <w:spacing w:line="360" w:lineRule="auto"/>
              <w:rPr>
                <w:rFonts w:hint="eastAsia" w:cs="宋体"/>
                <w:color w:val="000000"/>
                <w:kern w:val="2"/>
                <w:szCs w:val="24"/>
                <w:highlight w:val="none"/>
                <w:lang w:val="en-US" w:eastAsia="zh-CN"/>
              </w:rPr>
            </w:pPr>
            <w:r>
              <w:rPr>
                <w:rFonts w:hint="eastAsia"/>
                <w:b/>
                <w:bCs/>
                <w:color w:val="000000"/>
                <w:highlight w:val="none"/>
                <w:lang w:val="en-US" w:eastAsia="zh-CN"/>
              </w:rPr>
              <w:t>备注</w:t>
            </w:r>
          </w:p>
        </w:tc>
        <w:tc>
          <w:tcPr>
            <w:tcW w:w="8421" w:type="dxa"/>
            <w:gridSpan w:val="2"/>
            <w:noWrap w:val="0"/>
            <w:vAlign w:val="center"/>
          </w:tcPr>
          <w:p w14:paraId="208D6E23">
            <w:pPr>
              <w:pStyle w:val="9"/>
              <w:bidi w:val="0"/>
              <w:spacing w:line="360" w:lineRule="auto"/>
              <w:jc w:val="left"/>
              <w:rPr>
                <w:rFonts w:hint="eastAsia" w:ascii="宋体" w:hAnsi="宋体" w:eastAsia="宋体" w:cs="宋体"/>
                <w:color w:val="000000"/>
                <w:highlight w:val="none"/>
                <w:lang w:val="en-US" w:eastAsia="zh-CN"/>
              </w:rPr>
            </w:pPr>
            <w:r>
              <w:rPr>
                <w:rFonts w:hint="eastAsia"/>
                <w:b/>
                <w:bCs/>
                <w:color w:val="000000"/>
                <w:highlight w:val="none"/>
                <w:lang w:val="en-US" w:eastAsia="zh-CN"/>
              </w:rPr>
              <w:t>以上商务要求为必须满足的条款，如有一条不满足，视为重大偏离，按无效响应处理。</w:t>
            </w:r>
          </w:p>
        </w:tc>
      </w:tr>
    </w:tbl>
    <w:p w14:paraId="427782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5042"/>
    <w:rsid w:val="67B1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480" w:lineRule="auto"/>
      <w:jc w:val="center"/>
      <w:outlineLvl w:val="0"/>
    </w:pPr>
    <w:rPr>
      <w:rFonts w:ascii="Times New Roman" w:hAnsi="Times New Roman" w:eastAsia="宋体" w:cs="Times New Roman"/>
      <w:b/>
      <w:kern w:val="44"/>
      <w:sz w:val="32"/>
    </w:rPr>
  </w:style>
  <w:style w:type="paragraph" w:styleId="3">
    <w:name w:val="heading 4"/>
    <w:basedOn w:val="1"/>
    <w:next w:val="1"/>
    <w:uiPriority w:val="0"/>
    <w:pPr>
      <w:keepNext/>
      <w:keepLines/>
      <w:adjustRightInd w:val="0"/>
      <w:spacing w:line="360" w:lineRule="auto"/>
      <w:outlineLvl w:val="3"/>
    </w:pPr>
    <w:rPr>
      <w:rFonts w:ascii="宋体" w:hAnsi="宋体" w:eastAsia="宋体" w:cs="宋体"/>
      <w:b/>
      <w:kern w:val="0"/>
      <w:sz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next w:val="5"/>
    <w:uiPriority w:val="0"/>
    <w:pPr>
      <w:spacing w:line="360" w:lineRule="auto"/>
      <w:ind w:firstLine="562" w:firstLineChars="200"/>
    </w:pPr>
    <w:rPr>
      <w:rFonts w:ascii="宋体" w:hAnsi="宋体" w:eastAsia="宋体" w:cs="宋体"/>
      <w:sz w:val="24"/>
    </w:rPr>
  </w:style>
  <w:style w:type="paragraph" w:styleId="5">
    <w:name w:val="toc 4"/>
    <w:basedOn w:val="1"/>
    <w:next w:val="1"/>
    <w:uiPriority w:val="0"/>
    <w:pPr>
      <w:ind w:left="630"/>
      <w:jc w:val="left"/>
    </w:pPr>
    <w:rPr>
      <w:rFonts w:ascii="Times New Roman" w:hAnsi="Times New Roman" w:eastAsia="宋体" w:cs="Times New Roman"/>
      <w:sz w:val="18"/>
      <w:szCs w:val="18"/>
    </w:rPr>
  </w:style>
  <w:style w:type="paragraph" w:customStyle="1" w:styleId="8">
    <w:name w:val="_Style 13"/>
    <w:qFormat/>
    <w:uiPriority w:val="0"/>
    <w:pPr>
      <w:spacing w:before="120" w:after="120" w:line="288" w:lineRule="auto"/>
      <w:ind w:left="0"/>
      <w:jc w:val="left"/>
    </w:pPr>
    <w:rPr>
      <w:rFonts w:ascii="Arial" w:hAnsi="Arial" w:eastAsia="等线" w:cs="Arial"/>
      <w:sz w:val="22"/>
      <w:szCs w:val="22"/>
    </w:rPr>
  </w:style>
  <w:style w:type="paragraph" w:customStyle="1" w:styleId="9">
    <w:name w:val="表格"/>
    <w:basedOn w:val="1"/>
    <w:uiPriority w:val="0"/>
    <w:pPr>
      <w:adjustRightInd w:val="0"/>
      <w:snapToGrid w:val="0"/>
      <w:spacing w:line="360" w:lineRule="auto"/>
      <w:jc w:val="center"/>
    </w:pPr>
    <w:rPr>
      <w:rFonts w:ascii="宋体" w:hAnsi="宋体" w:eastAsia="宋体" w:cs="宋体"/>
      <w:sz w:val="24"/>
    </w:rPr>
  </w:style>
  <w:style w:type="paragraph" w:customStyle="1" w:styleId="10">
    <w:name w:val="正文内容"/>
    <w:basedOn w:val="1"/>
    <w:qFormat/>
    <w:uiPriority w:val="0"/>
    <w:pPr>
      <w:spacing w:line="400" w:lineRule="exact"/>
      <w:ind w:firstLine="420" w:firstLineChars="200"/>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2025-08-07T08:36:00Z</dcterms:created>
  <dc:creator>好好的</dc:creator>
  <cp:lastModifiedBy>好好的</cp:lastModifiedBy>
  <dcterms:modified xsi:type="dcterms:W3CDTF">2025-08-07T08:36:40Z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B0D1ECE8DE7C4B7895B441EF3A27AA4C_11</vt:lpwstr>
  </property>
  <property fmtid="{D5CDD505-2E9C-101B-9397-08002B2CF9AE}" pid="4" name="KSOTemplateDocerSaveRecord">
    <vt:lpwstr>eyJoZGlkIjoiNGI5OTM1M2UwMTUxOGI1ZjZmZGRiNjY2YjkzZTljYmIiLCJ1c2VySWQiOiIzMzEzMzk0MDUifQ==</vt:lpwstr>
  </property>
</Properties>
</file>