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7A63A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750054E7">
      <w:pPr>
        <w:pStyle w:val="4"/>
        <w:rPr>
          <w:rFonts w:ascii="仿宋_GB2312" w:hAnsi="仿宋_GB2312" w:eastAsia="仿宋_GB2312" w:cs="仿宋_GB2312"/>
          <w:highlight w:val="none"/>
        </w:rPr>
      </w:pPr>
      <w:r>
        <w:rPr>
          <w:rFonts w:ascii="仿宋_GB2312" w:hAnsi="仿宋_GB2312" w:eastAsia="仿宋_GB2312" w:cs="仿宋_GB2312"/>
        </w:rPr>
        <w:t>采购包预算金额（元）: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390606.80</w:t>
      </w:r>
      <w:r>
        <w:rPr>
          <w:rFonts w:ascii="仿宋_GB2312" w:hAnsi="仿宋_GB2312" w:eastAsia="仿宋_GB2312" w:cs="仿宋_GB2312"/>
          <w:highlight w:val="none"/>
        </w:rPr>
        <w:t>元</w:t>
      </w:r>
    </w:p>
    <w:p w14:paraId="5186FDD3">
      <w:pPr>
        <w:pStyle w:val="4"/>
        <w:rPr>
          <w:rFonts w:hint="default" w:ascii="仿宋_GB2312" w:hAnsi="仿宋_GB2312" w:eastAsia="仿宋_GB2312" w:cs="仿宋_GB2312"/>
          <w:highlight w:val="none"/>
          <w:lang w:val="en-US" w:eastAsia="zh-CN"/>
        </w:rPr>
      </w:pPr>
      <w:r>
        <w:rPr>
          <w:rFonts w:ascii="仿宋_GB2312" w:hAnsi="仿宋_GB2312" w:eastAsia="仿宋_GB2312" w:cs="仿宋_GB2312"/>
          <w:highlight w:val="none"/>
        </w:rPr>
        <w:t>采购包最高限价（元）: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378421.40元</w:t>
      </w:r>
    </w:p>
    <w:p w14:paraId="345F017F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4F494D8A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2"/>
        <w:gridCol w:w="827"/>
        <w:gridCol w:w="1116"/>
        <w:gridCol w:w="822"/>
        <w:gridCol w:w="822"/>
        <w:gridCol w:w="822"/>
        <w:gridCol w:w="823"/>
        <w:gridCol w:w="823"/>
        <w:gridCol w:w="823"/>
      </w:tblGrid>
      <w:tr w14:paraId="77A7CE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689BF4F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22" w:type="dxa"/>
          </w:tcPr>
          <w:p w14:paraId="44A6BD0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27" w:type="dxa"/>
          </w:tcPr>
          <w:p w14:paraId="6CD5469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1116" w:type="dxa"/>
          </w:tcPr>
          <w:p w14:paraId="6F9EEDE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22" w:type="dxa"/>
          </w:tcPr>
          <w:p w14:paraId="1951EF5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22" w:type="dxa"/>
          </w:tcPr>
          <w:p w14:paraId="314B1D4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22" w:type="dxa"/>
          </w:tcPr>
          <w:p w14:paraId="5327D80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23" w:type="dxa"/>
          </w:tcPr>
          <w:p w14:paraId="0F93FB9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23" w:type="dxa"/>
          </w:tcPr>
          <w:p w14:paraId="2C174AE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23" w:type="dxa"/>
          </w:tcPr>
          <w:p w14:paraId="3A62DBE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073D71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</w:tcPr>
          <w:p w14:paraId="494020C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822" w:type="dxa"/>
          </w:tcPr>
          <w:p w14:paraId="2332A3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CN"/>
              </w:rPr>
              <w:t xml:space="preserve">工程 </w:t>
            </w:r>
          </w:p>
          <w:p w14:paraId="21DF009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CN"/>
              </w:rPr>
              <w:t xml:space="preserve">监理 </w:t>
            </w:r>
          </w:p>
          <w:p w14:paraId="1FD5F2D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CN"/>
              </w:rPr>
              <w:t>服务</w:t>
            </w:r>
          </w:p>
          <w:p w14:paraId="05D46940">
            <w:pPr>
              <w:pStyle w:val="4"/>
            </w:pPr>
          </w:p>
        </w:tc>
        <w:tc>
          <w:tcPr>
            <w:tcW w:w="827" w:type="dxa"/>
          </w:tcPr>
          <w:p w14:paraId="48F6FAF8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1116" w:type="dxa"/>
          </w:tcPr>
          <w:p w14:paraId="3D165F73">
            <w:pPr>
              <w:pStyle w:val="4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378421.40</w:t>
            </w:r>
          </w:p>
        </w:tc>
        <w:tc>
          <w:tcPr>
            <w:tcW w:w="822" w:type="dxa"/>
          </w:tcPr>
          <w:p w14:paraId="0480303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22" w:type="dxa"/>
          </w:tcPr>
          <w:p w14:paraId="4A3F055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22" w:type="dxa"/>
          </w:tcPr>
          <w:p w14:paraId="2065682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23" w:type="dxa"/>
          </w:tcPr>
          <w:p w14:paraId="116C487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23" w:type="dxa"/>
          </w:tcPr>
          <w:p w14:paraId="0AFCBA4F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23" w:type="dxa"/>
          </w:tcPr>
          <w:p w14:paraId="174552B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6979C75B">
      <w:pPr>
        <w:pStyle w:val="4"/>
      </w:pPr>
      <w:r>
        <w:rPr>
          <w:rFonts w:ascii="仿宋_GB2312" w:hAnsi="仿宋_GB2312" w:eastAsia="仿宋_GB2312" w:cs="仿宋_GB2312"/>
        </w:rPr>
        <w:t>采购包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ascii="仿宋_GB2312" w:hAnsi="仿宋_GB2312" w:eastAsia="仿宋_GB2312" w:cs="仿宋_GB2312"/>
        </w:rPr>
        <w:t>：</w:t>
      </w:r>
    </w:p>
    <w:p w14:paraId="3CC530D1">
      <w:pPr>
        <w:pStyle w:val="4"/>
        <w:rPr>
          <w:rFonts w:hint="eastAsia" w:eastAsia="仿宋_GB2312"/>
          <w:highlight w:val="none"/>
          <w:lang w:eastAsia="zh-CN"/>
        </w:rPr>
      </w:pPr>
      <w:r>
        <w:rPr>
          <w:rFonts w:ascii="仿宋_GB2312" w:hAnsi="仿宋_GB2312" w:eastAsia="仿宋_GB2312" w:cs="仿宋_GB2312"/>
        </w:rPr>
        <w:t>采购包预算金额（元）:</w:t>
      </w:r>
      <w:r>
        <w:rPr>
          <w:rFonts w:hint="eastAsia" w:ascii="仿宋_GB2312" w:hAnsi="仿宋_GB2312" w:eastAsia="仿宋_GB2312" w:cs="仿宋_GB2312"/>
          <w:highlight w:val="none"/>
          <w:lang w:val="en-US" w:eastAsia="zh-CN"/>
        </w:rPr>
        <w:t>483393.20</w:t>
      </w:r>
      <w:r>
        <w:rPr>
          <w:rFonts w:ascii="仿宋_GB2312" w:hAnsi="仿宋_GB2312" w:eastAsia="仿宋_GB2312" w:cs="仿宋_GB2312"/>
          <w:highlight w:val="none"/>
        </w:rPr>
        <w:t xml:space="preserve">元 </w:t>
      </w:r>
    </w:p>
    <w:p w14:paraId="4D47258C">
      <w:pPr>
        <w:pStyle w:val="4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ascii="仿宋_GB2312" w:hAnsi="仿宋_GB2312" w:eastAsia="仿宋_GB2312" w:cs="仿宋_GB2312"/>
        </w:rPr>
        <w:t>采购包最高限价（元）:</w:t>
      </w:r>
      <w:r>
        <w:rPr>
          <w:rFonts w:hint="eastAsia" w:ascii="仿宋_GB2312" w:hAnsi="仿宋_GB2312" w:eastAsia="仿宋_GB2312" w:cs="仿宋_GB2312"/>
          <w:lang w:val="en-US" w:eastAsia="zh-CN"/>
        </w:rPr>
        <w:t>471207.80元</w:t>
      </w:r>
    </w:p>
    <w:p w14:paraId="406176AE">
      <w:pPr>
        <w:pStyle w:val="4"/>
      </w:pPr>
      <w:r>
        <w:rPr>
          <w:rFonts w:ascii="仿宋_GB2312" w:hAnsi="仿宋_GB2312" w:eastAsia="仿宋_GB2312" w:cs="仿宋_GB2312"/>
        </w:rPr>
        <w:t>供应商报价不允许超过标的金额</w:t>
      </w:r>
    </w:p>
    <w:p w14:paraId="371A2D12">
      <w:pPr>
        <w:pStyle w:val="4"/>
      </w:pPr>
      <w:r>
        <w:rPr>
          <w:rFonts w:ascii="仿宋_GB2312" w:hAnsi="仿宋_GB2312" w:eastAsia="仿宋_GB2312" w:cs="仿宋_GB2312"/>
        </w:rPr>
        <w:t>（招单价的）供应商报价不允许超过标的单价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22"/>
        <w:gridCol w:w="827"/>
        <w:gridCol w:w="1116"/>
        <w:gridCol w:w="822"/>
        <w:gridCol w:w="822"/>
        <w:gridCol w:w="822"/>
        <w:gridCol w:w="823"/>
        <w:gridCol w:w="823"/>
        <w:gridCol w:w="823"/>
      </w:tblGrid>
      <w:tr w14:paraId="6A5FCD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076BED8E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序号</w:t>
            </w:r>
          </w:p>
        </w:tc>
        <w:tc>
          <w:tcPr>
            <w:tcW w:w="831" w:type="dxa"/>
          </w:tcPr>
          <w:p w14:paraId="545352C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标的名称</w:t>
            </w:r>
          </w:p>
        </w:tc>
        <w:tc>
          <w:tcPr>
            <w:tcW w:w="831" w:type="dxa"/>
          </w:tcPr>
          <w:p w14:paraId="733F224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数量</w:t>
            </w:r>
          </w:p>
        </w:tc>
        <w:tc>
          <w:tcPr>
            <w:tcW w:w="831" w:type="dxa"/>
          </w:tcPr>
          <w:p w14:paraId="0C8F2382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标的金额 （元）</w:t>
            </w:r>
          </w:p>
        </w:tc>
        <w:tc>
          <w:tcPr>
            <w:tcW w:w="831" w:type="dxa"/>
          </w:tcPr>
          <w:p w14:paraId="147EFCA5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计量单位</w:t>
            </w:r>
          </w:p>
        </w:tc>
        <w:tc>
          <w:tcPr>
            <w:tcW w:w="831" w:type="dxa"/>
          </w:tcPr>
          <w:p w14:paraId="538BED48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所属行业</w:t>
            </w:r>
          </w:p>
        </w:tc>
        <w:tc>
          <w:tcPr>
            <w:tcW w:w="831" w:type="dxa"/>
          </w:tcPr>
          <w:p w14:paraId="1BD432E9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是否核心产品</w:t>
            </w:r>
          </w:p>
        </w:tc>
        <w:tc>
          <w:tcPr>
            <w:tcW w:w="831" w:type="dxa"/>
          </w:tcPr>
          <w:p w14:paraId="56ECA0AD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是否允许进口产品</w:t>
            </w:r>
          </w:p>
        </w:tc>
        <w:tc>
          <w:tcPr>
            <w:tcW w:w="831" w:type="dxa"/>
          </w:tcPr>
          <w:p w14:paraId="1B05BDA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是否属于节能产品</w:t>
            </w:r>
          </w:p>
        </w:tc>
        <w:tc>
          <w:tcPr>
            <w:tcW w:w="831" w:type="dxa"/>
          </w:tcPr>
          <w:p w14:paraId="53026986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是否属于环境标志产品</w:t>
            </w:r>
          </w:p>
        </w:tc>
      </w:tr>
      <w:tr w14:paraId="532B4D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6F1334EF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831" w:type="dxa"/>
          </w:tcPr>
          <w:p w14:paraId="239007C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CN"/>
              </w:rPr>
              <w:t xml:space="preserve">工程 </w:t>
            </w:r>
          </w:p>
          <w:p w14:paraId="77CF81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CN"/>
              </w:rPr>
              <w:t xml:space="preserve">监理 </w:t>
            </w:r>
          </w:p>
          <w:p w14:paraId="32D050EF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_GB2312" w:hAnsi="仿宋_GB2312" w:eastAsia="仿宋_GB2312" w:cs="仿宋_GB2312"/>
                <w:snapToGrid/>
                <w:color w:val="auto"/>
                <w:kern w:val="0"/>
                <w:sz w:val="20"/>
                <w:szCs w:val="20"/>
                <w:lang w:val="en-US" w:eastAsia="zh-CN"/>
              </w:rPr>
              <w:t>服务</w:t>
            </w:r>
          </w:p>
        </w:tc>
        <w:tc>
          <w:tcPr>
            <w:tcW w:w="831" w:type="dxa"/>
          </w:tcPr>
          <w:p w14:paraId="3692ADFE">
            <w:pPr>
              <w:pStyle w:val="4"/>
              <w:jc w:val="right"/>
            </w:pPr>
            <w:r>
              <w:rPr>
                <w:rFonts w:ascii="仿宋_GB2312" w:hAnsi="仿宋_GB2312" w:eastAsia="仿宋_GB2312" w:cs="仿宋_GB2312"/>
              </w:rPr>
              <w:t>1.00</w:t>
            </w:r>
          </w:p>
        </w:tc>
        <w:tc>
          <w:tcPr>
            <w:tcW w:w="831" w:type="dxa"/>
          </w:tcPr>
          <w:p w14:paraId="68F46BE9">
            <w:pPr>
              <w:pStyle w:val="4"/>
              <w:jc w:val="righ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471207.80</w:t>
            </w:r>
          </w:p>
        </w:tc>
        <w:tc>
          <w:tcPr>
            <w:tcW w:w="831" w:type="dxa"/>
          </w:tcPr>
          <w:p w14:paraId="2AE3EDA7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项</w:t>
            </w:r>
          </w:p>
        </w:tc>
        <w:tc>
          <w:tcPr>
            <w:tcW w:w="831" w:type="dxa"/>
          </w:tcPr>
          <w:p w14:paraId="629B3351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其他未列明行业</w:t>
            </w:r>
          </w:p>
        </w:tc>
        <w:tc>
          <w:tcPr>
            <w:tcW w:w="831" w:type="dxa"/>
          </w:tcPr>
          <w:p w14:paraId="7593EC3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3B8E2BD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59640E0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  <w:tc>
          <w:tcPr>
            <w:tcW w:w="831" w:type="dxa"/>
          </w:tcPr>
          <w:p w14:paraId="5E913E0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否</w:t>
            </w:r>
          </w:p>
        </w:tc>
      </w:tr>
    </w:tbl>
    <w:p w14:paraId="49D04239">
      <w:pPr>
        <w:pStyle w:val="4"/>
        <w:outlineLvl w:val="2"/>
      </w:pPr>
      <w:r>
        <w:rPr>
          <w:rFonts w:ascii="仿宋_GB2312" w:hAnsi="仿宋_GB2312" w:eastAsia="仿宋_GB2312" w:cs="仿宋_GB2312"/>
          <w:b/>
          <w:sz w:val="28"/>
        </w:rPr>
        <w:t>3.2.2服务要求</w:t>
      </w:r>
    </w:p>
    <w:p w14:paraId="486FEF0E">
      <w:pPr>
        <w:pStyle w:val="4"/>
      </w:pPr>
      <w:r>
        <w:rPr>
          <w:rFonts w:ascii="仿宋_GB2312" w:hAnsi="仿宋_GB2312" w:eastAsia="仿宋_GB2312" w:cs="仿宋_GB2312"/>
        </w:rPr>
        <w:t>采购包1：</w:t>
      </w:r>
    </w:p>
    <w:p w14:paraId="2902F48E">
      <w:pPr>
        <w:pStyle w:val="4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富平县2024年山水林田湖草沙生态修复项目（</w:t>
      </w:r>
      <w:r>
        <w:rPr>
          <w:rFonts w:hint="eastAsia" w:ascii="仿宋_GB2312" w:hAnsi="仿宋_GB2312" w:eastAsia="仿宋_GB2312" w:cs="仿宋_GB2312"/>
          <w:lang w:val="en-US" w:eastAsia="zh-CN"/>
        </w:rPr>
        <w:t>一期）监理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11CED6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6A4FB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5639F75C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279A4E0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4508AF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1E7CDB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>1</w:t>
            </w:r>
          </w:p>
        </w:tc>
        <w:tc>
          <w:tcPr>
            <w:tcW w:w="2769" w:type="dxa"/>
          </w:tcPr>
          <w:p w14:paraId="7D1E280F"/>
        </w:tc>
        <w:tc>
          <w:tcPr>
            <w:tcW w:w="2769" w:type="dxa"/>
          </w:tcPr>
          <w:p w14:paraId="4E8F1120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一、需满足的国家相关标准、行业标准、地方标准或者其他标准、规范</w:t>
            </w:r>
          </w:p>
          <w:p w14:paraId="14B65B85">
            <w:pPr>
              <w:pStyle w:val="4"/>
              <w:ind w:firstLine="480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二、</w:t>
            </w:r>
            <w:r>
              <w:rPr>
                <w:rFonts w:ascii="仿宋_GB2312" w:hAnsi="仿宋_GB2312" w:eastAsia="仿宋_GB2312" w:cs="仿宋_GB2312"/>
                <w:sz w:val="20"/>
              </w:rPr>
              <w:t>项目概况：</w:t>
            </w:r>
            <w:r>
              <w:rPr>
                <w:rFonts w:ascii="仿宋_GB2312" w:hAnsi="仿宋_GB2312" w:eastAsia="仿宋_GB2312" w:cs="仿宋_GB2312"/>
              </w:rPr>
              <w:t>本项目主要对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富平县2024年山水林田湖草沙生态修复项目（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一期）</w:t>
            </w:r>
            <w:r>
              <w:rPr>
                <w:rFonts w:ascii="仿宋_GB2312" w:hAnsi="仿宋_GB2312" w:eastAsia="仿宋_GB2312" w:cs="仿宋_GB2312"/>
              </w:rPr>
              <w:t>施工阶段和保修阶段的所有内容的监理工作，具体包括施工前期准备阶段、施工阶段、竣工验收阶段和工程保修阶段的监理工作。</w:t>
            </w:r>
          </w:p>
          <w:p w14:paraId="036E2D15">
            <w:pPr>
              <w:pStyle w:val="4"/>
            </w:pPr>
            <w:r>
              <w:rPr>
                <w:rFonts w:ascii="仿宋_GB2312" w:hAnsi="仿宋_GB2312" w:eastAsia="仿宋_GB2312" w:cs="仿宋_GB2312"/>
                <w:sz w:val="20"/>
              </w:rPr>
              <w:t>服务期：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四个月</w:t>
            </w:r>
            <w:r>
              <w:rPr>
                <w:rFonts w:ascii="仿宋_GB2312" w:hAnsi="仿宋_GB2312" w:eastAsia="仿宋_GB2312" w:cs="仿宋_GB2312"/>
              </w:rPr>
              <w:t>（具体开工、竣工日期以签订合同为准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与实际施工工期为准</w:t>
            </w:r>
            <w:r>
              <w:rPr>
                <w:rFonts w:ascii="仿宋_GB2312" w:hAnsi="仿宋_GB2312" w:eastAsia="仿宋_GB2312" w:cs="仿宋_GB2312"/>
              </w:rPr>
              <w:t>）</w:t>
            </w:r>
          </w:p>
          <w:p w14:paraId="7F25D13F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三、工程监理标准</w:t>
            </w:r>
          </w:p>
          <w:p w14:paraId="18D00011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1、《建设工程监理规范》（GB 50319-2013）。</w:t>
            </w:r>
          </w:p>
          <w:p w14:paraId="6E19FC74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2、除合同另有约定外，本工程适用现行国家、省、市、行业和地方规范、标准和规程。</w:t>
            </w:r>
          </w:p>
          <w:p w14:paraId="43802B33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3、规范、标准和规程如发生不一致时，则以要求最为严格的规范、规程或标准作为工作依据。</w:t>
            </w:r>
          </w:p>
          <w:p w14:paraId="607871D6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4、在合同履行期间，监理人应满足委托人的特定技术要求，满足设计要求，满足陕西省及西安市的有关强制性规定；监理人应严格执行中华人民共和国强制性标准，执行现行的或即将颁布的行业标准、规范；如有新颁国家标准及行业标准、规范，委托人指令执行时，监理人应当执行。</w:t>
            </w:r>
          </w:p>
        </w:tc>
      </w:tr>
    </w:tbl>
    <w:p w14:paraId="20DAEC6F">
      <w:pPr>
        <w:pStyle w:val="4"/>
      </w:pPr>
      <w:r>
        <w:rPr>
          <w:rFonts w:ascii="仿宋_GB2312" w:hAnsi="仿宋_GB2312" w:eastAsia="仿宋_GB2312" w:cs="仿宋_GB2312"/>
        </w:rPr>
        <w:t>采购包</w:t>
      </w:r>
      <w:r>
        <w:rPr>
          <w:rFonts w:hint="eastAsia" w:ascii="仿宋_GB2312" w:hAnsi="仿宋_GB2312" w:eastAsia="仿宋_GB2312" w:cs="仿宋_GB2312"/>
          <w:lang w:val="en-US" w:eastAsia="zh-CN"/>
        </w:rPr>
        <w:t>2</w:t>
      </w:r>
      <w:r>
        <w:rPr>
          <w:rFonts w:ascii="仿宋_GB2312" w:hAnsi="仿宋_GB2312" w:eastAsia="仿宋_GB2312" w:cs="仿宋_GB2312"/>
        </w:rPr>
        <w:t>：</w:t>
      </w:r>
    </w:p>
    <w:p w14:paraId="1A26E41E">
      <w:pPr>
        <w:pStyle w:val="4"/>
      </w:pPr>
      <w:r>
        <w:rPr>
          <w:rFonts w:ascii="仿宋_GB2312" w:hAnsi="仿宋_GB2312" w:eastAsia="仿宋_GB2312" w:cs="仿宋_GB2312"/>
        </w:rPr>
        <w:t>标的名称：</w:t>
      </w:r>
      <w:r>
        <w:rPr>
          <w:rFonts w:hint="eastAsia" w:ascii="仿宋_GB2312" w:hAnsi="仿宋_GB2312" w:eastAsia="仿宋_GB2312" w:cs="仿宋_GB2312"/>
          <w:lang w:eastAsia="zh-CN"/>
        </w:rPr>
        <w:t>富平县2024年山水林田湖草沙生态修复项目（</w:t>
      </w:r>
      <w:r>
        <w:rPr>
          <w:rFonts w:hint="eastAsia" w:ascii="仿宋_GB2312" w:hAnsi="仿宋_GB2312" w:eastAsia="仿宋_GB2312" w:cs="仿宋_GB2312"/>
          <w:lang w:val="en-US" w:eastAsia="zh-CN"/>
        </w:rPr>
        <w:t>二期）监理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FC87A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0FE883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序号</w:t>
            </w:r>
          </w:p>
        </w:tc>
        <w:tc>
          <w:tcPr>
            <w:tcW w:w="2769" w:type="dxa"/>
          </w:tcPr>
          <w:p w14:paraId="03577F3A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参数性质</w:t>
            </w:r>
          </w:p>
        </w:tc>
        <w:tc>
          <w:tcPr>
            <w:tcW w:w="2769" w:type="dxa"/>
          </w:tcPr>
          <w:p w14:paraId="5D14ED24">
            <w:pPr>
              <w:pStyle w:val="4"/>
            </w:pPr>
            <w:r>
              <w:rPr>
                <w:rFonts w:ascii="仿宋_GB2312" w:hAnsi="仿宋_GB2312" w:eastAsia="仿宋_GB2312" w:cs="仿宋_GB2312"/>
              </w:rPr>
              <w:t xml:space="preserve"> 技术参数与性能指标</w:t>
            </w:r>
          </w:p>
        </w:tc>
      </w:tr>
      <w:tr w14:paraId="6BCD5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09F21D6">
            <w:pPr>
              <w:pStyle w:val="4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769" w:type="dxa"/>
          </w:tcPr>
          <w:p w14:paraId="14DD23B7"/>
        </w:tc>
        <w:tc>
          <w:tcPr>
            <w:tcW w:w="2769" w:type="dxa"/>
          </w:tcPr>
          <w:p w14:paraId="0D9740B9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一、需满足的国家相关标准、行业标准、地方标准或者其他标准、规范</w:t>
            </w:r>
          </w:p>
          <w:p w14:paraId="315C4CD6">
            <w:pPr>
              <w:pStyle w:val="4"/>
              <w:ind w:firstLine="480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二、</w:t>
            </w:r>
            <w:r>
              <w:rPr>
                <w:rFonts w:ascii="仿宋_GB2312" w:hAnsi="仿宋_GB2312" w:eastAsia="仿宋_GB2312" w:cs="仿宋_GB2312"/>
                <w:sz w:val="20"/>
              </w:rPr>
              <w:t>项目概况：</w:t>
            </w:r>
            <w:r>
              <w:rPr>
                <w:rFonts w:ascii="仿宋_GB2312" w:hAnsi="仿宋_GB2312" w:eastAsia="仿宋_GB2312" w:cs="仿宋_GB2312"/>
              </w:rPr>
              <w:t>本项目主要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富平县2024年山水林田湖草沙生态修复项目（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二期）</w:t>
            </w:r>
            <w:r>
              <w:rPr>
                <w:rFonts w:ascii="仿宋_GB2312" w:hAnsi="仿宋_GB2312" w:eastAsia="仿宋_GB2312" w:cs="仿宋_GB2312"/>
              </w:rPr>
              <w:t>施工阶段和保修阶段的所有内容的监理工作，具体包括施工前期准备阶段、施工阶段、竣工验收阶段和工程保修阶段的监理工作。</w:t>
            </w:r>
          </w:p>
          <w:p w14:paraId="57247500">
            <w:pPr>
              <w:pStyle w:val="4"/>
            </w:pPr>
            <w:r>
              <w:rPr>
                <w:rFonts w:ascii="仿宋_GB2312" w:hAnsi="仿宋_GB2312" w:eastAsia="仿宋_GB2312" w:cs="仿宋_GB2312"/>
                <w:sz w:val="20"/>
              </w:rPr>
              <w:t>服务期：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四个月</w:t>
            </w:r>
            <w:r>
              <w:rPr>
                <w:rFonts w:ascii="仿宋_GB2312" w:hAnsi="仿宋_GB2312" w:eastAsia="仿宋_GB2312" w:cs="仿宋_GB2312"/>
              </w:rPr>
              <w:t>（具体开工、竣工日期以签订合同为准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与实际施工工期为准</w:t>
            </w:r>
            <w:r>
              <w:rPr>
                <w:rFonts w:ascii="仿宋_GB2312" w:hAnsi="仿宋_GB2312" w:eastAsia="仿宋_GB2312" w:cs="仿宋_GB2312"/>
              </w:rPr>
              <w:t>）</w:t>
            </w:r>
          </w:p>
          <w:p w14:paraId="054D0CF2">
            <w:pPr>
              <w:pStyle w:val="4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三、工程监理标准</w:t>
            </w:r>
          </w:p>
          <w:p w14:paraId="0022E11D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1、《建设工程监理规范》（GB 50319-2013）。</w:t>
            </w:r>
          </w:p>
          <w:p w14:paraId="042C4274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2、除合同另有约定外，本工程适用现行国家、省、市、行业和地方规范、标准和规程。</w:t>
            </w:r>
          </w:p>
          <w:p w14:paraId="6E776F6F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3、规范、标准和规程如发生不一致时，则以要求最为严格的规范、规程或标准作为工作依据。</w:t>
            </w:r>
          </w:p>
          <w:p w14:paraId="7DF05C6F">
            <w:pPr>
              <w:pStyle w:val="4"/>
              <w:ind w:firstLine="480"/>
              <w:jc w:val="both"/>
            </w:pPr>
            <w:r>
              <w:rPr>
                <w:rFonts w:ascii="仿宋_GB2312" w:hAnsi="仿宋_GB2312" w:eastAsia="仿宋_GB2312" w:cs="仿宋_GB2312"/>
                <w:color w:val="000000"/>
                <w:sz w:val="20"/>
              </w:rPr>
              <w:t>4、在合同履行期间，监理人应满足委托人的特定技术要求，满足设计要求，满足陕西省及西安市的有关强制性规定；监理人应严格执行中华人民共和国强制性标准，执行现行的或即将颁布的行业标准、规范；如有新颁国家标准及行业标准、规范，委托人指令执行时，监理人应当执行。</w:t>
            </w:r>
          </w:p>
        </w:tc>
      </w:tr>
    </w:tbl>
    <w:p w14:paraId="2D8894B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2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2025-08-07T13:15:02Z</dcterms:created>
  <dc:creator>Administrator</dc:creator>
  <cp:lastModifiedBy>W</cp:lastModifiedBy>
  <dcterms:modified xsi:type="dcterms:W3CDTF">2025-08-07T13:15:04Z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eyJoZGlkIjoiYTk2YjExODZmNjU1ZGEyNGEyNDBkZDlmZTEwMmY5ZjUiLCJ1c2VySWQiOiI5MzQxODUwOTkifQ==</vt:lpwstr>
  </property>
  <property fmtid="{D5CDD505-2E9C-101B-9397-08002B2CF9AE}" pid="4" name="ICV">
    <vt:lpwstr>72429FAAD5724D8B8ECC1FE3A6347CCE_12</vt:lpwstr>
  </property>
</Properties>
</file>