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FB899">
      <w:pPr>
        <w:widowControl/>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党政机关办公用房权属统一登记建筑消防设施检测</w:t>
      </w:r>
      <w:r>
        <w:rPr>
          <w:rFonts w:hint="eastAsia" w:ascii="宋体" w:hAnsi="宋体" w:cs="宋体"/>
          <w:b/>
          <w:color w:val="auto"/>
          <w:sz w:val="32"/>
          <w:szCs w:val="32"/>
          <w:lang w:val="en-US" w:eastAsia="zh-CN"/>
        </w:rPr>
        <w:t>项目</w:t>
      </w:r>
    </w:p>
    <w:p w14:paraId="7A75F9E4">
      <w:pPr>
        <w:widowControl/>
        <w:jc w:val="center"/>
        <w:rPr>
          <w:rFonts w:hint="eastAsia" w:ascii="宋体" w:hAnsi="宋体" w:eastAsia="宋体" w:cs="宋体"/>
          <w:color w:val="auto"/>
        </w:rPr>
      </w:pPr>
      <w:r>
        <w:rPr>
          <w:rFonts w:hint="eastAsia" w:ascii="宋体" w:hAnsi="宋体" w:eastAsia="宋体" w:cs="宋体"/>
          <w:b/>
          <w:color w:val="auto"/>
          <w:sz w:val="32"/>
          <w:szCs w:val="32"/>
        </w:rPr>
        <w:t>附件2：政府采购需求书范本（服务类）</w:t>
      </w:r>
    </w:p>
    <w:tbl>
      <w:tblPr>
        <w:tblStyle w:val="1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D0E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8D8F2AD">
            <w:pPr>
              <w:snapToGrid w:val="0"/>
              <w:jc w:val="center"/>
              <w:rPr>
                <w:rFonts w:hint="eastAsia" w:ascii="宋体" w:hAnsi="宋体" w:eastAsia="宋体" w:cs="宋体"/>
                <w:b/>
                <w:color w:val="auto"/>
                <w:sz w:val="24"/>
              </w:rPr>
            </w:pPr>
            <w:r>
              <w:rPr>
                <w:rFonts w:hint="eastAsia" w:ascii="宋体" w:hAnsi="宋体" w:eastAsia="宋体" w:cs="宋体"/>
                <w:b/>
                <w:color w:val="auto"/>
                <w:sz w:val="28"/>
                <w:szCs w:val="28"/>
                <w:lang w:val="zh-CN"/>
              </w:rPr>
              <w:t>序号</w:t>
            </w:r>
          </w:p>
        </w:tc>
        <w:tc>
          <w:tcPr>
            <w:tcW w:w="1556" w:type="dxa"/>
            <w:vAlign w:val="center"/>
          </w:tcPr>
          <w:p w14:paraId="6C89E4CE">
            <w:pPr>
              <w:pStyle w:val="38"/>
              <w:ind w:left="38" w:leftChars="0"/>
              <w:jc w:val="center"/>
              <w:rPr>
                <w:rFonts w:hint="eastAsia" w:ascii="宋体" w:hAnsi="宋体" w:eastAsia="宋体" w:cs="宋体"/>
                <w:b/>
                <w:color w:val="auto"/>
                <w:kern w:val="2"/>
                <w:lang w:val="zh-CN"/>
              </w:rPr>
            </w:pPr>
            <w:r>
              <w:rPr>
                <w:rFonts w:hint="eastAsia" w:ascii="宋体" w:hAnsi="宋体" w:eastAsia="宋体" w:cs="宋体"/>
                <w:b/>
                <w:color w:val="auto"/>
                <w:kern w:val="2"/>
                <w:sz w:val="28"/>
                <w:szCs w:val="28"/>
                <w:lang w:val="zh-CN"/>
              </w:rPr>
              <w:t>关键事项</w:t>
            </w:r>
          </w:p>
        </w:tc>
        <w:tc>
          <w:tcPr>
            <w:tcW w:w="7067" w:type="dxa"/>
            <w:vAlign w:val="center"/>
          </w:tcPr>
          <w:p w14:paraId="7A06B0F7">
            <w:pPr>
              <w:pStyle w:val="38"/>
              <w:jc w:val="center"/>
              <w:rPr>
                <w:rFonts w:hint="eastAsia" w:ascii="宋体" w:hAnsi="宋体" w:eastAsia="宋体" w:cs="宋体"/>
                <w:b/>
                <w:color w:val="auto"/>
                <w:kern w:val="2"/>
                <w:lang w:val="zh-CN"/>
              </w:rPr>
            </w:pPr>
            <w:r>
              <w:rPr>
                <w:rFonts w:hint="eastAsia" w:ascii="宋体" w:hAnsi="宋体" w:eastAsia="宋体" w:cs="宋体"/>
                <w:b/>
                <w:color w:val="auto"/>
                <w:kern w:val="2"/>
                <w:sz w:val="28"/>
                <w:szCs w:val="28"/>
                <w:lang w:val="zh-CN"/>
              </w:rPr>
              <w:t>说明和要求</w:t>
            </w:r>
          </w:p>
        </w:tc>
      </w:tr>
      <w:tr w14:paraId="201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D2E95B6">
            <w:pPr>
              <w:snapToGrid w:val="0"/>
              <w:spacing w:after="200"/>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w:t>
            </w:r>
          </w:p>
        </w:tc>
        <w:tc>
          <w:tcPr>
            <w:tcW w:w="1556" w:type="dxa"/>
            <w:vAlign w:val="center"/>
          </w:tcPr>
          <w:p w14:paraId="097E2FC0">
            <w:pPr>
              <w:pStyle w:val="38"/>
              <w:ind w:left="38"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采购预算</w:t>
            </w:r>
          </w:p>
        </w:tc>
        <w:tc>
          <w:tcPr>
            <w:tcW w:w="7067" w:type="dxa"/>
            <w:vAlign w:val="center"/>
          </w:tcPr>
          <w:p w14:paraId="0939526F">
            <w:pPr>
              <w:pStyle w:val="38"/>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人民币</w:t>
            </w:r>
            <w:r>
              <w:rPr>
                <w:rFonts w:hint="eastAsia" w:cs="宋体"/>
                <w:b/>
                <w:color w:val="auto"/>
                <w:kern w:val="2"/>
                <w:lang w:val="en-US" w:eastAsia="zh-CN"/>
              </w:rPr>
              <w:t xml:space="preserve"> </w:t>
            </w:r>
            <w:r>
              <w:rPr>
                <w:rFonts w:hint="eastAsia" w:cs="宋体"/>
                <w:b/>
                <w:color w:val="auto"/>
                <w:kern w:val="2"/>
                <w:u w:val="single"/>
                <w:lang w:val="en-US" w:eastAsia="zh-CN"/>
              </w:rPr>
              <w:t>600000.00</w:t>
            </w:r>
            <w:r>
              <w:rPr>
                <w:rFonts w:hint="eastAsia" w:ascii="宋体" w:hAnsi="宋体" w:eastAsia="宋体" w:cs="宋体"/>
                <w:b/>
                <w:color w:val="auto"/>
                <w:kern w:val="2"/>
                <w:lang w:val="zh-CN"/>
              </w:rPr>
              <w:t>元</w:t>
            </w:r>
          </w:p>
          <w:p w14:paraId="35521450">
            <w:pPr>
              <w:pStyle w:val="38"/>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3A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0AB4E7">
            <w:pPr>
              <w:snapToGrid w:val="0"/>
              <w:spacing w:after="200"/>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w:t>
            </w:r>
          </w:p>
        </w:tc>
        <w:tc>
          <w:tcPr>
            <w:tcW w:w="1556" w:type="dxa"/>
            <w:vAlign w:val="center"/>
          </w:tcPr>
          <w:p w14:paraId="22C13CFD">
            <w:pPr>
              <w:pStyle w:val="38"/>
              <w:ind w:left="38"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最高限价</w:t>
            </w:r>
          </w:p>
        </w:tc>
        <w:tc>
          <w:tcPr>
            <w:tcW w:w="7067" w:type="dxa"/>
            <w:vAlign w:val="center"/>
          </w:tcPr>
          <w:p w14:paraId="1E3DC134">
            <w:pPr>
              <w:pStyle w:val="38"/>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人民币</w:t>
            </w:r>
            <w:r>
              <w:rPr>
                <w:rFonts w:hint="eastAsia" w:cs="宋体"/>
                <w:b/>
                <w:color w:val="auto"/>
                <w:kern w:val="2"/>
                <w:lang w:val="en-US" w:eastAsia="zh-CN"/>
              </w:rPr>
              <w:t xml:space="preserve"> </w:t>
            </w:r>
            <w:r>
              <w:rPr>
                <w:rFonts w:hint="eastAsia" w:cs="宋体"/>
                <w:b/>
                <w:color w:val="auto"/>
                <w:kern w:val="2"/>
                <w:u w:val="single"/>
                <w:lang w:val="en-US" w:eastAsia="zh-CN"/>
              </w:rPr>
              <w:t>600000.00</w:t>
            </w:r>
            <w:r>
              <w:rPr>
                <w:rFonts w:hint="eastAsia" w:ascii="宋体" w:hAnsi="宋体" w:eastAsia="宋体" w:cs="宋体"/>
                <w:b/>
                <w:color w:val="auto"/>
                <w:kern w:val="2"/>
                <w:lang w:val="zh-CN"/>
              </w:rPr>
              <w:t>元</w:t>
            </w:r>
          </w:p>
          <w:p w14:paraId="3C6548FA">
            <w:pPr>
              <w:pStyle w:val="38"/>
              <w:ind w:left="38" w:leftChars="0"/>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供应商投标报价高于最高限价的则其投标文件将按无效投标文件处理。</w:t>
            </w:r>
          </w:p>
        </w:tc>
      </w:tr>
      <w:tr w14:paraId="74C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FA47477">
            <w:pPr>
              <w:snapToGrid w:val="0"/>
              <w:spacing w:after="200"/>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w:t>
            </w:r>
          </w:p>
        </w:tc>
        <w:tc>
          <w:tcPr>
            <w:tcW w:w="1556" w:type="dxa"/>
            <w:vMerge w:val="restart"/>
            <w:vAlign w:val="center"/>
          </w:tcPr>
          <w:p w14:paraId="637B8235">
            <w:pPr>
              <w:pStyle w:val="38"/>
              <w:ind w:left="38"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项目性质</w:t>
            </w:r>
          </w:p>
        </w:tc>
        <w:tc>
          <w:tcPr>
            <w:tcW w:w="7067" w:type="dxa"/>
            <w:vAlign w:val="center"/>
          </w:tcPr>
          <w:p w14:paraId="53FA6515">
            <w:pPr>
              <w:pStyle w:val="38"/>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●专门面向中小企业采购</w:t>
            </w:r>
          </w:p>
          <w:p w14:paraId="3EC530EA">
            <w:pPr>
              <w:pStyle w:val="38"/>
              <w:ind w:left="38" w:leftChars="0"/>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仅允许中小企业或小型、微型企业参与投标。</w:t>
            </w:r>
          </w:p>
        </w:tc>
      </w:tr>
      <w:tr w14:paraId="619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348C7C14">
            <w:pPr>
              <w:snapToGrid w:val="0"/>
              <w:spacing w:after="200"/>
              <w:ind w:left="142" w:leftChars="0"/>
              <w:jc w:val="center"/>
              <w:rPr>
                <w:rFonts w:hint="eastAsia" w:ascii="宋体" w:hAnsi="宋体" w:eastAsia="宋体" w:cs="宋体"/>
                <w:b/>
                <w:color w:val="auto"/>
                <w:sz w:val="28"/>
                <w:szCs w:val="28"/>
                <w:lang w:val="zh-CN"/>
              </w:rPr>
            </w:pPr>
          </w:p>
        </w:tc>
        <w:tc>
          <w:tcPr>
            <w:tcW w:w="1556" w:type="dxa"/>
            <w:vMerge w:val="continue"/>
            <w:vAlign w:val="center"/>
          </w:tcPr>
          <w:p w14:paraId="66A5B390">
            <w:pPr>
              <w:pStyle w:val="38"/>
              <w:ind w:left="96" w:leftChars="0"/>
              <w:jc w:val="center"/>
              <w:rPr>
                <w:rFonts w:hint="eastAsia" w:ascii="宋体" w:hAnsi="宋体" w:eastAsia="宋体" w:cs="宋体"/>
                <w:color w:val="auto"/>
                <w:kern w:val="2"/>
                <w:lang w:val="zh-CN"/>
              </w:rPr>
            </w:pPr>
          </w:p>
        </w:tc>
        <w:tc>
          <w:tcPr>
            <w:tcW w:w="7067" w:type="dxa"/>
            <w:vAlign w:val="center"/>
          </w:tcPr>
          <w:p w14:paraId="442707D0">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○非专门面向中小企业采购</w:t>
            </w:r>
          </w:p>
          <w:p w14:paraId="09AF0D99">
            <w:pPr>
              <w:ind w:right="94" w:rightChars="45"/>
              <w:rPr>
                <w:rFonts w:hint="eastAsia" w:ascii="宋体" w:hAnsi="宋体" w:eastAsia="宋体" w:cs="宋体"/>
                <w:b/>
                <w:color w:val="auto"/>
                <w:szCs w:val="21"/>
              </w:rPr>
            </w:pPr>
            <w:r>
              <w:rPr>
                <w:rFonts w:hint="eastAsia" w:ascii="宋体" w:hAnsi="宋体" w:eastAsia="宋体" w:cs="宋体"/>
                <w:bCs/>
                <w:color w:val="auto"/>
                <w:kern w:val="0"/>
                <w:szCs w:val="21"/>
                <w:lang w:val="zh-CN"/>
              </w:rPr>
              <w:t>对符合《财政部关于进一步加大政府采购支持中小企业力度的通知》（财库〔2022〕19号）规定的小微企业（监狱企业视同小型、微型企业）的报价</w:t>
            </w:r>
            <w:r>
              <w:rPr>
                <w:rFonts w:hint="eastAsia" w:ascii="宋体" w:hAnsi="宋体" w:eastAsia="宋体" w:cs="宋体"/>
                <w:b/>
                <w:color w:val="auto"/>
                <w:kern w:val="0"/>
                <w:szCs w:val="21"/>
                <w:lang w:val="zh-CN"/>
              </w:rPr>
              <w:t>给予_</w:t>
            </w:r>
            <w:r>
              <w:rPr>
                <w:rFonts w:hint="eastAsia" w:ascii="宋体" w:hAnsi="宋体" w:eastAsia="宋体" w:cs="宋体"/>
                <w:b/>
                <w:color w:val="auto"/>
                <w:kern w:val="0"/>
                <w:szCs w:val="21"/>
                <w:lang w:val="en-US" w:eastAsia="zh-CN"/>
              </w:rPr>
              <w:t>/</w:t>
            </w:r>
            <w:r>
              <w:rPr>
                <w:rFonts w:hint="eastAsia" w:ascii="宋体" w:hAnsi="宋体" w:eastAsia="宋体" w:cs="宋体"/>
                <w:b/>
                <w:color w:val="auto"/>
                <w:kern w:val="0"/>
                <w:szCs w:val="21"/>
                <w:lang w:val="zh-CN"/>
              </w:rPr>
              <w:t>__%（10%-20%）的扣除</w:t>
            </w:r>
            <w:r>
              <w:rPr>
                <w:rFonts w:hint="eastAsia" w:ascii="宋体" w:hAnsi="宋体" w:eastAsia="宋体" w:cs="宋体"/>
                <w:bCs/>
                <w:color w:val="auto"/>
                <w:kern w:val="0"/>
                <w:szCs w:val="21"/>
                <w:lang w:val="zh-CN"/>
              </w:rPr>
              <w:t>，用扣除后的价格参加评审。</w:t>
            </w:r>
          </w:p>
        </w:tc>
      </w:tr>
      <w:tr w14:paraId="510E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3819F6E">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556" w:type="dxa"/>
            <w:vAlign w:val="center"/>
          </w:tcPr>
          <w:p w14:paraId="747CA9D9">
            <w:pPr>
              <w:pStyle w:val="38"/>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对供应商的</w:t>
            </w:r>
            <w:r>
              <w:rPr>
                <w:rFonts w:hint="eastAsia" w:ascii="宋体" w:hAnsi="宋体" w:eastAsia="宋体" w:cs="宋体"/>
                <w:color w:val="auto"/>
                <w:kern w:val="2"/>
                <w:lang w:val="zh-CN"/>
              </w:rPr>
              <w:br w:type="textWrapping"/>
            </w:r>
            <w:r>
              <w:rPr>
                <w:rFonts w:hint="eastAsia" w:ascii="宋体" w:hAnsi="宋体" w:eastAsia="宋体" w:cs="宋体"/>
                <w:color w:val="auto"/>
                <w:kern w:val="2"/>
                <w:lang w:val="zh-CN"/>
              </w:rPr>
              <w:t>资格要求</w:t>
            </w:r>
          </w:p>
        </w:tc>
        <w:tc>
          <w:tcPr>
            <w:tcW w:w="7067" w:type="dxa"/>
            <w:vAlign w:val="center"/>
          </w:tcPr>
          <w:p w14:paraId="78BEA4D1">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(1)根据《陕西省财政厅关于进一步优化政府采购营商环境有关事项的通知》(陕财办采[2023]4号)文件精神，对供应商基本资格条件实行“承诺+信用管理”。</w:t>
            </w:r>
          </w:p>
          <w:p w14:paraId="6C05C692">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(2)供应商须具有独立承担民事责任能力的法人、其他组织或自然人，提供营业执照/事业单位法人证书/非企业专业服务机构执业许可证/自然人身份证。</w:t>
            </w:r>
          </w:p>
          <w:p w14:paraId="4A306F83">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(3)供应商不得为“信用中国”网站（www.creditchina.gov.cn ）中列入失信被执行人和重大税收违法失信主体的供应商，不得为中国政府采购网（www.ccgp.gov.cn ）政府采购严重违法失信行为记录名单中被财政部门禁止参加政府采购活动的供应商。</w:t>
            </w:r>
          </w:p>
          <w:p w14:paraId="7EABBBF4">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)供应商应授权合法的人员参加磋商全过程，其中法定代表人直接参加磋商的，须出具法人身份证复印件，并与营业执照上信息一致。法定代表人授权代表参加磋商的，须出具法定代表人授权书。</w:t>
            </w:r>
          </w:p>
          <w:p w14:paraId="26679F93">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须在《社会消防技术服务信息系统》（https://shhxf.119.gov.cn/templet/index_.jsp）中完成注册，提供系统截图为准，截图内容至少包括：“机构概况-基本信息-工商信息（机构名称应为供应商名称、服务类型至少包括：消防设施维护保养检测、消防安全评估</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14:paraId="229418C3">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本项目不接受联合体磋商，</w:t>
            </w:r>
            <w:r>
              <w:rPr>
                <w:rFonts w:hint="eastAsia" w:ascii="宋体" w:hAnsi="宋体" w:eastAsia="宋体" w:cs="宋体"/>
                <w:color w:val="auto"/>
                <w:sz w:val="21"/>
                <w:szCs w:val="21"/>
              </w:rPr>
              <w:t>单位负责人为同一人或者存在直接控股、管理关系的不同供应商不得参加同一合同项下的政府采购活动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提供承诺或说明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34DD7EAF">
            <w:pPr>
              <w:pStyle w:val="38"/>
              <w:jc w:val="both"/>
              <w:rPr>
                <w:rFonts w:hint="eastAsia" w:ascii="宋体" w:hAnsi="宋体" w:eastAsia="宋体" w:cs="宋体"/>
                <w:color w:val="auto"/>
                <w:kern w:val="2"/>
                <w:lang w:val="zh-CN"/>
              </w:rPr>
            </w:pPr>
            <w:r>
              <w:rPr>
                <w:rFonts w:hint="eastAsia" w:ascii="宋体" w:hAnsi="宋体" w:eastAsia="宋体" w:cs="宋体"/>
                <w:color w:val="auto"/>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1D9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E883262">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556" w:type="dxa"/>
            <w:vMerge w:val="restart"/>
            <w:vAlign w:val="center"/>
          </w:tcPr>
          <w:p w14:paraId="44C2F4BB">
            <w:pPr>
              <w:pStyle w:val="38"/>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是否接受</w:t>
            </w:r>
            <w:r>
              <w:rPr>
                <w:rFonts w:hint="eastAsia" w:ascii="宋体" w:hAnsi="宋体" w:eastAsia="宋体" w:cs="宋体"/>
                <w:color w:val="auto"/>
                <w:kern w:val="2"/>
                <w:lang w:val="zh-CN"/>
              </w:rPr>
              <w:br w:type="textWrapping"/>
            </w:r>
            <w:r>
              <w:rPr>
                <w:rFonts w:hint="eastAsia" w:ascii="宋体" w:hAnsi="宋体" w:eastAsia="宋体" w:cs="宋体"/>
                <w:color w:val="auto"/>
                <w:kern w:val="2"/>
                <w:lang w:val="zh-CN"/>
              </w:rPr>
              <w:t>联合体投标</w:t>
            </w:r>
          </w:p>
        </w:tc>
        <w:tc>
          <w:tcPr>
            <w:tcW w:w="7067" w:type="dxa"/>
            <w:vAlign w:val="center"/>
          </w:tcPr>
          <w:p w14:paraId="13ACB928">
            <w:pPr>
              <w:pStyle w:val="38"/>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○接受</w:t>
            </w:r>
          </w:p>
          <w:p w14:paraId="0D8E8CA0">
            <w:pPr>
              <w:pStyle w:val="38"/>
              <w:jc w:val="both"/>
              <w:rPr>
                <w:rFonts w:hint="eastAsia" w:ascii="宋体" w:hAnsi="宋体" w:eastAsia="宋体" w:cs="宋体"/>
                <w:b/>
                <w:color w:val="auto"/>
                <w:kern w:val="2"/>
                <w:lang w:val="zh-CN"/>
              </w:rPr>
            </w:pPr>
            <w:r>
              <w:rPr>
                <w:rFonts w:hint="eastAsia" w:ascii="宋体" w:hAnsi="宋体" w:eastAsia="宋体" w:cs="宋体"/>
                <w:color w:val="auto"/>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color w:val="auto"/>
                <w:kern w:val="2"/>
                <w:sz w:val="21"/>
                <w:szCs w:val="21"/>
                <w:lang w:val="zh-CN"/>
              </w:rPr>
              <w:t>给予__</w:t>
            </w:r>
            <w:r>
              <w:rPr>
                <w:rFonts w:hint="eastAsia" w:cs="宋体"/>
                <w:b/>
                <w:color w:val="auto"/>
                <w:kern w:val="2"/>
                <w:sz w:val="21"/>
                <w:szCs w:val="21"/>
                <w:lang w:val="en-US" w:eastAsia="zh-CN"/>
              </w:rPr>
              <w:t>/</w:t>
            </w:r>
            <w:r>
              <w:rPr>
                <w:rFonts w:hint="eastAsia" w:ascii="宋体" w:hAnsi="宋体" w:eastAsia="宋体" w:cs="宋体"/>
                <w:b/>
                <w:color w:val="auto"/>
                <w:kern w:val="2"/>
                <w:sz w:val="21"/>
                <w:szCs w:val="21"/>
                <w:lang w:val="zh-CN"/>
              </w:rPr>
              <w:t>_%（4%—6%）的扣除</w:t>
            </w:r>
            <w:r>
              <w:rPr>
                <w:rFonts w:hint="eastAsia" w:ascii="宋体" w:hAnsi="宋体" w:eastAsia="宋体" w:cs="宋体"/>
                <w:color w:val="auto"/>
                <w:kern w:val="2"/>
                <w:sz w:val="21"/>
                <w:szCs w:val="21"/>
                <w:lang w:val="zh-CN"/>
              </w:rPr>
              <w:t>，用扣除后的报价参加评审。</w:t>
            </w:r>
          </w:p>
        </w:tc>
      </w:tr>
      <w:tr w14:paraId="40DE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B31AE61">
            <w:pPr>
              <w:snapToGrid w:val="0"/>
              <w:spacing w:after="200"/>
              <w:ind w:left="142" w:leftChars="0"/>
              <w:jc w:val="center"/>
              <w:rPr>
                <w:rFonts w:hint="eastAsia" w:ascii="宋体" w:hAnsi="宋体" w:eastAsia="宋体" w:cs="宋体"/>
                <w:color w:val="auto"/>
                <w:sz w:val="24"/>
              </w:rPr>
            </w:pPr>
          </w:p>
        </w:tc>
        <w:tc>
          <w:tcPr>
            <w:tcW w:w="1556" w:type="dxa"/>
            <w:vMerge w:val="continue"/>
            <w:vAlign w:val="center"/>
          </w:tcPr>
          <w:p w14:paraId="23ADA1EA">
            <w:pPr>
              <w:pStyle w:val="38"/>
              <w:ind w:left="96" w:leftChars="0"/>
              <w:jc w:val="center"/>
              <w:rPr>
                <w:rFonts w:hint="eastAsia" w:ascii="宋体" w:hAnsi="宋体" w:eastAsia="宋体" w:cs="宋体"/>
                <w:color w:val="auto"/>
                <w:kern w:val="2"/>
                <w:lang w:val="zh-CN"/>
              </w:rPr>
            </w:pPr>
          </w:p>
        </w:tc>
        <w:tc>
          <w:tcPr>
            <w:tcW w:w="7067" w:type="dxa"/>
            <w:vAlign w:val="center"/>
          </w:tcPr>
          <w:p w14:paraId="4E315A5C">
            <w:pPr>
              <w:pStyle w:val="38"/>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●不接受</w:t>
            </w:r>
          </w:p>
        </w:tc>
      </w:tr>
      <w:tr w14:paraId="6402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jc w:val="center"/>
        </w:trPr>
        <w:tc>
          <w:tcPr>
            <w:tcW w:w="689" w:type="dxa"/>
            <w:vAlign w:val="center"/>
          </w:tcPr>
          <w:p w14:paraId="757C9A8D">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556" w:type="dxa"/>
            <w:vAlign w:val="center"/>
          </w:tcPr>
          <w:p w14:paraId="473CB06E">
            <w:pPr>
              <w:pStyle w:val="38"/>
              <w:ind w:left="96" w:leftChars="0"/>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lang w:val="zh-CN" w:eastAsia="zh-CN"/>
              </w:rPr>
              <w:t>履约保证金</w:t>
            </w:r>
          </w:p>
        </w:tc>
        <w:tc>
          <w:tcPr>
            <w:tcW w:w="7067" w:type="dxa"/>
            <w:vAlign w:val="center"/>
          </w:tcPr>
          <w:p w14:paraId="0CF1AEEF">
            <w:pPr>
              <w:ind w:right="94" w:rightChars="45"/>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本项目不收取</w:t>
            </w:r>
            <w:r>
              <w:rPr>
                <w:rFonts w:hint="eastAsia" w:ascii="宋体" w:hAnsi="宋体" w:eastAsia="宋体" w:cs="宋体"/>
                <w:color w:val="auto"/>
                <w:kern w:val="2"/>
                <w:sz w:val="21"/>
                <w:szCs w:val="21"/>
                <w:lang w:val="zh-CN" w:eastAsia="zh-CN" w:bidi="ar-SA"/>
              </w:rPr>
              <w:t>履约保证金。</w:t>
            </w:r>
          </w:p>
        </w:tc>
      </w:tr>
      <w:tr w14:paraId="11E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5426C4E">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556" w:type="dxa"/>
            <w:vAlign w:val="center"/>
          </w:tcPr>
          <w:p w14:paraId="0C6EF40A">
            <w:pPr>
              <w:pStyle w:val="38"/>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集中答疑</w:t>
            </w:r>
          </w:p>
        </w:tc>
        <w:tc>
          <w:tcPr>
            <w:tcW w:w="7067" w:type="dxa"/>
            <w:vAlign w:val="center"/>
          </w:tcPr>
          <w:p w14:paraId="5FD29039">
            <w:pPr>
              <w:ind w:right="94" w:rightChars="45"/>
              <w:rPr>
                <w:rFonts w:hint="eastAsia" w:ascii="宋体" w:hAnsi="宋体" w:eastAsia="宋体" w:cs="宋体"/>
                <w:b/>
                <w:color w:val="auto"/>
                <w:sz w:val="24"/>
              </w:rPr>
            </w:pPr>
            <w:r>
              <w:rPr>
                <w:rFonts w:hint="eastAsia" w:ascii="宋体" w:hAnsi="宋体" w:eastAsia="宋体" w:cs="宋体"/>
                <w:b/>
                <w:color w:val="auto"/>
                <w:sz w:val="24"/>
              </w:rPr>
              <w:t>○组织，答疑地点为：_______________________</w:t>
            </w:r>
          </w:p>
          <w:p w14:paraId="426A3268">
            <w:pPr>
              <w:ind w:right="94" w:rightChars="45"/>
              <w:rPr>
                <w:rFonts w:hint="eastAsia" w:ascii="宋体" w:hAnsi="宋体" w:eastAsia="宋体" w:cs="宋体"/>
                <w:b/>
                <w:color w:val="auto"/>
                <w:sz w:val="24"/>
              </w:rPr>
            </w:pPr>
            <w:r>
              <w:rPr>
                <w:rFonts w:hint="eastAsia" w:ascii="宋体" w:hAnsi="宋体" w:eastAsia="宋体" w:cs="宋体"/>
                <w:b/>
                <w:color w:val="auto"/>
                <w:kern w:val="2"/>
                <w:lang w:val="zh-CN"/>
              </w:rPr>
              <w:t>●</w:t>
            </w:r>
            <w:r>
              <w:rPr>
                <w:rFonts w:hint="eastAsia" w:ascii="宋体" w:hAnsi="宋体" w:eastAsia="宋体" w:cs="宋体"/>
                <w:b/>
                <w:color w:val="auto"/>
                <w:sz w:val="24"/>
              </w:rPr>
              <w:t>不组织</w:t>
            </w:r>
          </w:p>
        </w:tc>
      </w:tr>
      <w:tr w14:paraId="7A48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26CFD62">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556" w:type="dxa"/>
            <w:vAlign w:val="center"/>
          </w:tcPr>
          <w:p w14:paraId="3C0AD8EE">
            <w:pPr>
              <w:pStyle w:val="38"/>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价格分比重</w:t>
            </w:r>
          </w:p>
        </w:tc>
        <w:tc>
          <w:tcPr>
            <w:tcW w:w="7067" w:type="dxa"/>
            <w:vAlign w:val="center"/>
          </w:tcPr>
          <w:p w14:paraId="69FB9A37">
            <w:pPr>
              <w:widowControl/>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占总分值的</w:t>
            </w:r>
            <w:r>
              <w:rPr>
                <w:rFonts w:hint="eastAsia" w:ascii="宋体" w:hAnsi="宋体" w:eastAsia="宋体" w:cs="宋体"/>
                <w:b/>
                <w:color w:val="auto"/>
                <w:kern w:val="0"/>
                <w:sz w:val="24"/>
                <w:szCs w:val="24"/>
                <w:u w:val="single"/>
                <w:lang w:val="en-US" w:eastAsia="zh-CN"/>
              </w:rPr>
              <w:t xml:space="preserve"> </w:t>
            </w:r>
            <w:r>
              <w:rPr>
                <w:rFonts w:hint="eastAsia" w:ascii="宋体" w:hAnsi="宋体" w:cs="宋体"/>
                <w:b/>
                <w:color w:val="auto"/>
                <w:kern w:val="0"/>
                <w:sz w:val="24"/>
                <w:szCs w:val="24"/>
                <w:u w:val="single"/>
                <w:lang w:val="en-US" w:eastAsia="zh-CN"/>
              </w:rPr>
              <w:t>10</w:t>
            </w:r>
            <w:r>
              <w:rPr>
                <w:rFonts w:hint="eastAsia" w:ascii="宋体" w:hAnsi="宋体" w:eastAsia="宋体" w:cs="宋体"/>
                <w:b/>
                <w:color w:val="auto"/>
                <w:kern w:val="0"/>
                <w:sz w:val="24"/>
                <w:szCs w:val="24"/>
                <w:u w:val="single"/>
                <w:lang w:val="en-US" w:eastAsia="zh-CN"/>
              </w:rPr>
              <w:t xml:space="preserve"> </w:t>
            </w:r>
            <w:r>
              <w:rPr>
                <w:rFonts w:hint="eastAsia" w:ascii="宋体" w:hAnsi="宋体" w:eastAsia="宋体" w:cs="宋体"/>
                <w:b/>
                <w:color w:val="auto"/>
                <w:kern w:val="0"/>
                <w:sz w:val="24"/>
                <w:szCs w:val="24"/>
                <w:lang w:val="zh-CN"/>
              </w:rPr>
              <w:t>%</w:t>
            </w:r>
          </w:p>
          <w:p w14:paraId="11F4D6B3">
            <w:pPr>
              <w:widowControl/>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招标]根据《政府采购货物和服务招标投标管理办法》（财政部87号令）的规定，综合评分法服务项目的价格分值占总分值的比重不得低于10%。执行国家统一定价标准和采用固定价格采购的项目，其价格不列为评审因素。</w:t>
            </w:r>
          </w:p>
          <w:p w14:paraId="701D1874">
            <w:pPr>
              <w:widowControl/>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[询比]根据《政府采购竞争性询比采购方式管理暂行办法》（财库〔2014〕214号）的规定，服务项目的价格分值占总分值的比重(即权值)为10%-30%。</w:t>
            </w:r>
          </w:p>
          <w:p w14:paraId="3C1616D5">
            <w:pPr>
              <w:widowControl/>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[其他采购方式]无须设置。</w:t>
            </w:r>
          </w:p>
        </w:tc>
      </w:tr>
      <w:tr w14:paraId="117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474E79A">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556" w:type="dxa"/>
            <w:vAlign w:val="center"/>
          </w:tcPr>
          <w:p w14:paraId="66F1492E">
            <w:pPr>
              <w:pStyle w:val="38"/>
              <w:ind w:left="96" w:leftChars="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合同类型</w:t>
            </w:r>
          </w:p>
        </w:tc>
        <w:tc>
          <w:tcPr>
            <w:tcW w:w="7067" w:type="dxa"/>
            <w:vAlign w:val="center"/>
          </w:tcPr>
          <w:p w14:paraId="1C6E780B">
            <w:pPr>
              <w:rPr>
                <w:rFonts w:hint="eastAsia" w:ascii="宋体" w:hAnsi="宋体" w:eastAsia="宋体" w:cs="宋体"/>
                <w:b/>
                <w:color w:val="auto"/>
                <w:sz w:val="24"/>
                <w:lang w:val="zh-CN"/>
              </w:rPr>
            </w:pPr>
            <w:r>
              <w:rPr>
                <w:rFonts w:hint="eastAsia" w:ascii="宋体" w:hAnsi="宋体" w:eastAsia="宋体" w:cs="宋体"/>
                <w:b/>
                <w:color w:val="auto"/>
                <w:sz w:val="24"/>
                <w:lang w:val="zh-CN"/>
              </w:rPr>
              <w:t>○固定总价</w:t>
            </w:r>
          </w:p>
          <w:p w14:paraId="4EA5E6A5">
            <w:pPr>
              <w:rPr>
                <w:rFonts w:hint="eastAsia" w:ascii="宋体" w:hAnsi="宋体" w:eastAsia="宋体" w:cs="宋体"/>
                <w:b/>
                <w:color w:val="auto"/>
                <w:sz w:val="24"/>
                <w:lang w:val="zh-CN"/>
              </w:rPr>
            </w:pPr>
            <w:r>
              <w:rPr>
                <w:rFonts w:hint="eastAsia" w:ascii="宋体" w:hAnsi="宋体" w:eastAsia="宋体" w:cs="宋体"/>
                <w:b/>
                <w:color w:val="auto"/>
                <w:kern w:val="2"/>
                <w:lang w:val="zh-CN"/>
              </w:rPr>
              <w:t>●</w:t>
            </w:r>
            <w:r>
              <w:rPr>
                <w:rFonts w:hint="eastAsia" w:ascii="宋体" w:hAnsi="宋体" w:eastAsia="宋体" w:cs="宋体"/>
                <w:b/>
                <w:color w:val="auto"/>
                <w:sz w:val="24"/>
                <w:lang w:val="zh-CN"/>
              </w:rPr>
              <w:t>固定单价（适用于采购数量不定的情形）</w:t>
            </w:r>
          </w:p>
          <w:p w14:paraId="0E729EA9">
            <w:pPr>
              <w:rPr>
                <w:rFonts w:hint="eastAsia" w:ascii="宋体" w:hAnsi="宋体" w:eastAsia="宋体" w:cs="宋体"/>
                <w:color w:val="auto"/>
                <w:sz w:val="24"/>
                <w:lang w:val="zh-CN"/>
              </w:rPr>
            </w:pPr>
            <w:r>
              <w:rPr>
                <w:rFonts w:hint="eastAsia" w:ascii="宋体" w:hAnsi="宋体" w:eastAsia="宋体" w:cs="宋体"/>
                <w:b/>
                <w:color w:val="auto"/>
                <w:sz w:val="24"/>
                <w:lang w:val="zh-CN"/>
              </w:rPr>
              <w:t>○其他：_____________________________</w:t>
            </w:r>
          </w:p>
        </w:tc>
      </w:tr>
      <w:tr w14:paraId="7CF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C9C79F1">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556" w:type="dxa"/>
            <w:vAlign w:val="center"/>
          </w:tcPr>
          <w:p w14:paraId="244DCED3">
            <w:pPr>
              <w:tabs>
                <w:tab w:val="left" w:pos="7665"/>
              </w:tabs>
              <w:snapToGrid w:val="0"/>
              <w:jc w:val="center"/>
              <w:rPr>
                <w:rFonts w:hint="eastAsia" w:ascii="宋体" w:hAnsi="宋体" w:eastAsia="宋体" w:cs="宋体"/>
                <w:color w:val="auto"/>
                <w:sz w:val="24"/>
              </w:rPr>
            </w:pPr>
            <w:r>
              <w:rPr>
                <w:rFonts w:hint="eastAsia" w:ascii="宋体" w:hAnsi="宋体" w:eastAsia="宋体" w:cs="宋体"/>
                <w:color w:val="auto"/>
                <w:sz w:val="24"/>
              </w:rPr>
              <w:t>争议解决途径</w:t>
            </w:r>
          </w:p>
        </w:tc>
        <w:tc>
          <w:tcPr>
            <w:tcW w:w="7067" w:type="dxa"/>
            <w:vAlign w:val="center"/>
          </w:tcPr>
          <w:p w14:paraId="2C7EBD52">
            <w:pPr>
              <w:tabs>
                <w:tab w:val="left" w:pos="7665"/>
              </w:tabs>
              <w:snapToGrid w:val="0"/>
              <w:rPr>
                <w:rFonts w:hint="eastAsia" w:ascii="宋体" w:hAnsi="宋体" w:eastAsia="宋体" w:cs="宋体"/>
                <w:b/>
                <w:color w:val="auto"/>
                <w:sz w:val="24"/>
              </w:rPr>
            </w:pPr>
            <w:r>
              <w:rPr>
                <w:rFonts w:hint="eastAsia" w:ascii="宋体" w:hAnsi="宋体" w:eastAsia="宋体" w:cs="宋体"/>
                <w:b/>
                <w:color w:val="auto"/>
                <w:kern w:val="2"/>
                <w:lang w:val="zh-CN"/>
              </w:rPr>
              <w:t>●</w:t>
            </w:r>
            <w:r>
              <w:rPr>
                <w:rFonts w:hint="eastAsia" w:ascii="宋体" w:hAnsi="宋体" w:eastAsia="宋体" w:cs="宋体"/>
                <w:b/>
                <w:color w:val="auto"/>
                <w:sz w:val="24"/>
              </w:rPr>
              <w:t>向有管辖权的人民法院提起诉讼</w:t>
            </w:r>
          </w:p>
          <w:p w14:paraId="09F39D4A">
            <w:pPr>
              <w:tabs>
                <w:tab w:val="left" w:pos="7665"/>
              </w:tabs>
              <w:snapToGrid w:val="0"/>
              <w:rPr>
                <w:rFonts w:hint="eastAsia" w:ascii="宋体" w:hAnsi="宋体" w:eastAsia="宋体" w:cs="宋体"/>
                <w:b/>
                <w:color w:val="auto"/>
                <w:sz w:val="24"/>
              </w:rPr>
            </w:pPr>
            <w:r>
              <w:rPr>
                <w:rFonts w:hint="eastAsia" w:ascii="宋体" w:hAnsi="宋体" w:eastAsia="宋体" w:cs="宋体"/>
                <w:b/>
                <w:color w:val="auto"/>
                <w:sz w:val="24"/>
              </w:rPr>
              <w:t>○向西安仲裁委员会提请仲裁</w:t>
            </w:r>
          </w:p>
          <w:p w14:paraId="37952E2D">
            <w:pPr>
              <w:tabs>
                <w:tab w:val="left" w:pos="7665"/>
              </w:tabs>
              <w:snapToGrid w:val="0"/>
              <w:rPr>
                <w:rFonts w:hint="eastAsia" w:ascii="宋体" w:hAnsi="宋体" w:eastAsia="宋体" w:cs="宋体"/>
                <w:color w:val="auto"/>
                <w:sz w:val="24"/>
              </w:rPr>
            </w:pPr>
            <w:r>
              <w:rPr>
                <w:rFonts w:hint="eastAsia" w:ascii="宋体" w:hAnsi="宋体" w:eastAsia="宋体" w:cs="宋体"/>
                <w:b/>
                <w:color w:val="auto"/>
                <w:sz w:val="24"/>
              </w:rPr>
              <w:t>○由供应商做出选择</w:t>
            </w:r>
          </w:p>
        </w:tc>
      </w:tr>
      <w:tr w14:paraId="10E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84C29CC">
            <w:pPr>
              <w:snapToGrid w:val="0"/>
              <w:spacing w:after="20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556" w:type="dxa"/>
            <w:vAlign w:val="center"/>
          </w:tcPr>
          <w:p w14:paraId="6B4BD7C8">
            <w:pPr>
              <w:snapToGrid w:val="0"/>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7067" w:type="dxa"/>
            <w:vAlign w:val="center"/>
          </w:tcPr>
          <w:p w14:paraId="174C8CC1">
            <w:pPr>
              <w:tabs>
                <w:tab w:val="left" w:pos="7665"/>
              </w:tabs>
              <w:snapToGrid w:val="0"/>
              <w:rPr>
                <w:rFonts w:hint="eastAsia" w:ascii="宋体" w:hAnsi="宋体" w:eastAsia="宋体" w:cs="宋体"/>
                <w:b/>
                <w:bCs/>
                <w:color w:val="auto"/>
                <w:sz w:val="24"/>
                <w:u w:val="single"/>
                <w:lang w:val="en-US" w:eastAsia="zh-CN"/>
              </w:rPr>
            </w:pPr>
            <w:r>
              <w:rPr>
                <w:rFonts w:hint="eastAsia" w:ascii="宋体" w:hAnsi="宋体" w:eastAsia="宋体" w:cs="宋体"/>
                <w:b/>
                <w:bCs/>
                <w:color w:val="auto"/>
                <w:sz w:val="24"/>
              </w:rPr>
              <w:t>项目对接人：</w:t>
            </w:r>
            <w:r>
              <w:rPr>
                <w:rFonts w:hint="eastAsia" w:ascii="宋体" w:hAnsi="宋体" w:cs="宋体"/>
                <w:b/>
                <w:bCs/>
                <w:color w:val="auto"/>
                <w:sz w:val="24"/>
                <w:lang w:val="en-US" w:eastAsia="zh-CN"/>
              </w:rPr>
              <w:t>张锋莉</w:t>
            </w:r>
          </w:p>
          <w:p w14:paraId="32E65C66">
            <w:pPr>
              <w:tabs>
                <w:tab w:val="left" w:pos="7665"/>
              </w:tabs>
              <w:snapToGrid w:val="0"/>
              <w:rPr>
                <w:rFonts w:hint="default" w:ascii="宋体" w:hAnsi="宋体" w:eastAsia="宋体" w:cs="宋体"/>
                <w:b/>
                <w:bCs/>
                <w:color w:val="auto"/>
                <w:sz w:val="24"/>
                <w:u w:val="single"/>
                <w:lang w:val="en-US" w:eastAsia="zh-CN"/>
              </w:rPr>
            </w:pPr>
            <w:r>
              <w:rPr>
                <w:rFonts w:hint="eastAsia" w:ascii="宋体" w:hAnsi="宋体" w:eastAsia="宋体" w:cs="宋体"/>
                <w:b/>
                <w:bCs/>
                <w:color w:val="auto"/>
                <w:sz w:val="24"/>
              </w:rPr>
              <w:t>联系电话：</w:t>
            </w:r>
            <w:r>
              <w:rPr>
                <w:rFonts w:hint="eastAsia" w:ascii="宋体" w:hAnsi="宋体" w:cs="宋体"/>
                <w:b/>
                <w:bCs/>
                <w:color w:val="auto"/>
                <w:sz w:val="24"/>
                <w:lang w:val="en-US" w:eastAsia="zh-CN"/>
              </w:rPr>
              <w:t>86868616</w:t>
            </w:r>
          </w:p>
          <w:p w14:paraId="37CFDA91">
            <w:pPr>
              <w:tabs>
                <w:tab w:val="left" w:pos="7665"/>
              </w:tabs>
              <w:snapToGrid w:val="0"/>
              <w:rPr>
                <w:rFonts w:hint="eastAsia" w:ascii="宋体" w:hAnsi="宋体" w:eastAsia="宋体" w:cs="宋体"/>
                <w:color w:val="auto"/>
                <w:sz w:val="24"/>
                <w:u w:val="single"/>
                <w:lang w:val="en-US" w:eastAsia="zh-CN"/>
              </w:rPr>
            </w:pPr>
            <w:r>
              <w:rPr>
                <w:rFonts w:hint="eastAsia" w:ascii="宋体" w:hAnsi="宋体" w:eastAsia="宋体" w:cs="宋体"/>
                <w:b/>
                <w:bCs/>
                <w:color w:val="auto"/>
                <w:sz w:val="24"/>
              </w:rPr>
              <w:t>电子邮箱：</w:t>
            </w:r>
            <w:r>
              <w:rPr>
                <w:rFonts w:hint="eastAsia" w:ascii="宋体" w:hAnsi="宋体" w:eastAsia="宋体" w:cs="宋体"/>
                <w:b/>
                <w:bCs/>
                <w:color w:val="auto"/>
                <w:sz w:val="24"/>
                <w:u w:val="single"/>
                <w:lang w:val="en-US" w:eastAsia="zh-CN"/>
              </w:rPr>
              <w:t xml:space="preserve">  </w:t>
            </w:r>
            <w:r>
              <w:rPr>
                <w:rFonts w:hint="eastAsia" w:ascii="宋体" w:hAnsi="宋体" w:cs="宋体"/>
                <w:b/>
                <w:bCs/>
                <w:color w:val="auto"/>
                <w:sz w:val="24"/>
                <w:u w:val="single"/>
                <w:lang w:val="en-US" w:eastAsia="zh-CN"/>
              </w:rPr>
              <w:t>/</w:t>
            </w:r>
            <w:r>
              <w:rPr>
                <w:rFonts w:hint="eastAsia" w:ascii="宋体" w:hAnsi="宋体" w:eastAsia="宋体" w:cs="宋体"/>
                <w:b/>
                <w:bCs/>
                <w:color w:val="auto"/>
                <w:sz w:val="24"/>
                <w:u w:val="single"/>
                <w:lang w:val="en-US" w:eastAsia="zh-CN"/>
              </w:rPr>
              <w:t xml:space="preserve">   </w:t>
            </w:r>
          </w:p>
        </w:tc>
      </w:tr>
    </w:tbl>
    <w:p w14:paraId="0FE84D41">
      <w:pPr>
        <w:widowControl/>
        <w:jc w:val="center"/>
        <w:rPr>
          <w:rFonts w:hint="eastAsia" w:ascii="宋体" w:hAnsi="宋体" w:eastAsia="宋体" w:cs="宋体"/>
          <w:b/>
          <w:color w:val="auto"/>
          <w:sz w:val="32"/>
          <w:szCs w:val="32"/>
        </w:rPr>
      </w:pPr>
    </w:p>
    <w:p w14:paraId="3C5C0FF8">
      <w:pPr>
        <w:widowControl/>
        <w:jc w:val="center"/>
        <w:rPr>
          <w:rFonts w:hint="eastAsia" w:ascii="宋体" w:hAnsi="宋体" w:eastAsia="宋体" w:cs="宋体"/>
          <w:b/>
          <w:color w:val="auto"/>
          <w:sz w:val="32"/>
          <w:szCs w:val="32"/>
        </w:rPr>
      </w:pPr>
    </w:p>
    <w:p w14:paraId="6F0B33EF">
      <w:pPr>
        <w:widowControl/>
        <w:jc w:val="both"/>
        <w:rPr>
          <w:rFonts w:hint="eastAsia" w:ascii="宋体" w:hAnsi="宋体" w:eastAsia="宋体" w:cs="宋体"/>
          <w:b/>
          <w:color w:val="auto"/>
          <w:sz w:val="32"/>
          <w:szCs w:val="32"/>
        </w:rPr>
      </w:pPr>
    </w:p>
    <w:p w14:paraId="086F50F1">
      <w:pPr>
        <w:widowControl/>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需求框架（服务类）</w:t>
      </w:r>
    </w:p>
    <w:p w14:paraId="1FAE5B9A">
      <w:pPr>
        <w:keepNext w:val="0"/>
        <w:keepLines w:val="0"/>
        <w:pageBreakBefore w:val="0"/>
        <w:widowControl w:val="0"/>
        <w:numPr>
          <w:ilvl w:val="0"/>
          <w:numId w:val="1"/>
        </w:numPr>
        <w:pBdr>
          <w:bottom w:val="single" w:color="auto" w:sz="4" w:space="1"/>
        </w:pBdr>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项目概况</w:t>
      </w:r>
    </w:p>
    <w:p w14:paraId="0D34C5F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针对</w:t>
      </w:r>
      <w:r>
        <w:rPr>
          <w:rFonts w:hint="eastAsia" w:ascii="宋体" w:hAnsi="宋体" w:cs="宋体"/>
          <w:b w:val="0"/>
          <w:bCs/>
          <w:color w:val="auto"/>
          <w:sz w:val="24"/>
          <w:szCs w:val="24"/>
          <w:lang w:val="en-US" w:eastAsia="zh-CN"/>
        </w:rPr>
        <w:t>阎良区</w:t>
      </w:r>
      <w:r>
        <w:rPr>
          <w:rFonts w:hint="eastAsia" w:ascii="宋体" w:hAnsi="宋体" w:eastAsia="宋体" w:cs="宋体"/>
          <w:b w:val="0"/>
          <w:bCs/>
          <w:color w:val="auto"/>
          <w:sz w:val="24"/>
          <w:szCs w:val="24"/>
          <w:lang w:val="en-US" w:eastAsia="zh-CN"/>
        </w:rPr>
        <w:t>党政机关办公用房权属统一登记建筑消防设施</w:t>
      </w:r>
      <w:r>
        <w:rPr>
          <w:rFonts w:hint="eastAsia" w:ascii="宋体" w:hAnsi="宋体" w:cs="宋体"/>
          <w:b w:val="0"/>
          <w:bCs/>
          <w:color w:val="auto"/>
          <w:sz w:val="24"/>
          <w:szCs w:val="24"/>
          <w:lang w:val="en-US" w:eastAsia="zh-CN"/>
        </w:rPr>
        <w:t>进行</w:t>
      </w:r>
      <w:r>
        <w:rPr>
          <w:rFonts w:hint="eastAsia" w:ascii="宋体" w:hAnsi="宋体" w:eastAsia="宋体" w:cs="宋体"/>
          <w:b w:val="0"/>
          <w:bCs/>
          <w:color w:val="auto"/>
          <w:sz w:val="24"/>
          <w:szCs w:val="24"/>
          <w:lang w:val="en-US" w:eastAsia="zh-CN"/>
        </w:rPr>
        <w:t>检测</w:t>
      </w:r>
      <w:r>
        <w:rPr>
          <w:rFonts w:hint="eastAsia" w:ascii="宋体" w:hAnsi="宋体" w:cs="宋体"/>
          <w:b w:val="0"/>
          <w:bCs/>
          <w:color w:val="auto"/>
          <w:sz w:val="24"/>
          <w:szCs w:val="24"/>
          <w:lang w:val="en-US" w:eastAsia="zh-CN"/>
        </w:rPr>
        <w:t>，预估建筑面积为17万平方米。</w:t>
      </w:r>
    </w:p>
    <w:p w14:paraId="500E6EAF">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二、服务内容（包括工作区域、工作内容等）</w:t>
      </w:r>
    </w:p>
    <w:p w14:paraId="37F6CD08">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bCs w:val="0"/>
          <w:color w:val="auto"/>
          <w:sz w:val="24"/>
          <w:szCs w:val="24"/>
          <w:lang w:val="en-US" w:eastAsia="zh-CN"/>
        </w:rPr>
        <w:t>1、项目实施地点：</w:t>
      </w:r>
      <w:r>
        <w:rPr>
          <w:rFonts w:hint="eastAsia" w:ascii="宋体" w:hAnsi="宋体" w:eastAsia="宋体" w:cs="宋体"/>
          <w:b w:val="0"/>
          <w:bCs/>
          <w:color w:val="auto"/>
          <w:sz w:val="24"/>
          <w:szCs w:val="24"/>
          <w:lang w:val="en-US" w:eastAsia="zh-CN"/>
        </w:rPr>
        <w:t>西安市阎良区</w:t>
      </w:r>
    </w:p>
    <w:p w14:paraId="7B82AE67">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textAlignment w:val="auto"/>
        <w:rPr>
          <w:rFonts w:hint="eastAsia" w:ascii="宋体" w:hAnsi="宋体" w:eastAsia="宋体" w:cs="宋体"/>
          <w:b/>
          <w:bCs w:val="0"/>
          <w:color w:val="FF0000"/>
          <w:sz w:val="24"/>
          <w:szCs w:val="24"/>
          <w:lang w:val="en-US" w:eastAsia="zh-CN"/>
        </w:rPr>
      </w:pPr>
      <w:r>
        <w:rPr>
          <w:rFonts w:hint="eastAsia" w:ascii="宋体" w:hAnsi="宋体" w:eastAsia="宋体" w:cs="宋体"/>
          <w:b/>
          <w:bCs w:val="0"/>
          <w:color w:val="auto"/>
          <w:sz w:val="24"/>
          <w:szCs w:val="24"/>
          <w:lang w:val="en-US" w:eastAsia="zh-CN"/>
        </w:rPr>
        <w:t>2、工作内容：</w:t>
      </w:r>
    </w:p>
    <w:p w14:paraId="7F77C05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1.消防设施检测，包括火灾报警系统；消防供水系统；室内</w:t>
      </w:r>
      <w:r>
        <w:rPr>
          <w:rFonts w:hint="eastAsia" w:ascii="宋体" w:hAnsi="宋体" w:cs="宋体"/>
          <w:b w:val="0"/>
          <w:bCs/>
          <w:color w:val="auto"/>
          <w:sz w:val="24"/>
          <w:szCs w:val="24"/>
          <w:lang w:val="en-US" w:eastAsia="zh-CN"/>
        </w:rPr>
        <w:t>外</w:t>
      </w:r>
      <w:r>
        <w:rPr>
          <w:rFonts w:hint="eastAsia" w:ascii="宋体" w:hAnsi="宋体" w:eastAsia="宋体" w:cs="宋体"/>
          <w:b w:val="0"/>
          <w:bCs/>
          <w:color w:val="auto"/>
          <w:sz w:val="24"/>
          <w:szCs w:val="24"/>
          <w:lang w:val="en-US" w:eastAsia="zh-CN"/>
        </w:rPr>
        <w:t>消火栓系统；自动喷水（雾）灭火系统；防排烟及通风空调系统；防火门、防火卷帘和挡烟垂壁检查其联动功能是否正常；气体灭火系统等。</w:t>
      </w:r>
    </w:p>
    <w:p w14:paraId="34B2ED7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.消防安全防护设施：</w:t>
      </w:r>
    </w:p>
    <w:p w14:paraId="6A33264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）安全疏散指示标志；</w:t>
      </w:r>
    </w:p>
    <w:p w14:paraId="2175837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）应急照明灯；</w:t>
      </w:r>
    </w:p>
    <w:p w14:paraId="3974CF4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宋体" w:hAnsi="宋体" w:eastAsia="宋体" w:cs="宋体"/>
          <w:b w:val="0"/>
          <w:bCs/>
          <w:strike w:val="0"/>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strike w:val="0"/>
          <w:dstrike w:val="0"/>
          <w:color w:val="auto"/>
          <w:sz w:val="24"/>
          <w:szCs w:val="24"/>
          <w:lang w:val="en-US" w:eastAsia="zh-CN"/>
        </w:rPr>
        <w:t>灭火器配置</w:t>
      </w:r>
    </w:p>
    <w:p w14:paraId="312BE87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、消防检测范围</w:t>
      </w:r>
    </w:p>
    <w:p w14:paraId="445D3C1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消防检测服务范围包括但不限于</w:t>
      </w:r>
      <w:r>
        <w:rPr>
          <w:rFonts w:hint="eastAsia" w:ascii="宋体" w:hAnsi="宋体" w:cs="宋体"/>
          <w:b w:val="0"/>
          <w:bCs/>
          <w:color w:val="auto"/>
          <w:sz w:val="24"/>
          <w:szCs w:val="24"/>
          <w:highlight w:val="none"/>
          <w:lang w:val="en-US" w:eastAsia="zh-CN"/>
        </w:rPr>
        <w:t>上述</w:t>
      </w:r>
      <w:r>
        <w:rPr>
          <w:rFonts w:hint="eastAsia" w:ascii="宋体" w:hAnsi="宋体" w:eastAsia="宋体" w:cs="宋体"/>
          <w:b w:val="0"/>
          <w:bCs/>
          <w:color w:val="auto"/>
          <w:sz w:val="24"/>
          <w:szCs w:val="24"/>
          <w:lang w:val="en-US" w:eastAsia="zh-CN"/>
        </w:rPr>
        <w:t>所列范围，采购方根据需要对</w:t>
      </w:r>
      <w:r>
        <w:rPr>
          <w:rFonts w:hint="eastAsia" w:ascii="宋体" w:hAnsi="宋体" w:cs="宋体"/>
          <w:b w:val="0"/>
          <w:bCs/>
          <w:color w:val="auto"/>
          <w:sz w:val="24"/>
          <w:szCs w:val="24"/>
          <w:lang w:val="en-US" w:eastAsia="zh-CN"/>
        </w:rPr>
        <w:t>所列范围</w:t>
      </w:r>
      <w:r>
        <w:rPr>
          <w:rFonts w:hint="eastAsia" w:ascii="宋体" w:hAnsi="宋体" w:eastAsia="宋体" w:cs="宋体"/>
          <w:b w:val="0"/>
          <w:bCs/>
          <w:color w:val="auto"/>
          <w:sz w:val="24"/>
          <w:szCs w:val="24"/>
          <w:lang w:val="en-US" w:eastAsia="zh-CN"/>
        </w:rPr>
        <w:t>以外建筑提请中标方检测，中标方不得拒绝</w:t>
      </w:r>
      <w:r>
        <w:rPr>
          <w:rFonts w:hint="eastAsia" w:ascii="宋体" w:hAnsi="宋体" w:cs="宋体"/>
          <w:b w:val="0"/>
          <w:bCs/>
          <w:color w:val="auto"/>
          <w:sz w:val="24"/>
          <w:szCs w:val="24"/>
          <w:lang w:val="en-US" w:eastAsia="zh-CN"/>
        </w:rPr>
        <w:t>，费用另计。</w:t>
      </w:r>
    </w:p>
    <w:p w14:paraId="5E3B2716">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exact"/>
        <w:ind w:left="0"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三、技术要求（如有，一般适合于技术服务项目）</w:t>
      </w:r>
    </w:p>
    <w:p w14:paraId="27EC8661">
      <w:pPr>
        <w:numPr>
          <w:ilvl w:val="0"/>
          <w:numId w:val="0"/>
        </w:numPr>
        <w:spacing w:line="360" w:lineRule="auto"/>
        <w:ind w:firstLine="448"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pacing w:val="-8"/>
          <w:sz w:val="24"/>
          <w:szCs w:val="24"/>
        </w:rPr>
        <w:t>依据有关法律、法规、工程建设强制性标准以及《建筑消防设施检测技术规程》（GA503-2004）</w:t>
      </w:r>
      <w:r>
        <w:rPr>
          <w:rFonts w:hint="eastAsia" w:ascii="宋体" w:hAnsi="宋体" w:eastAsia="宋体" w:cs="宋体"/>
          <w:color w:val="auto"/>
          <w:spacing w:val="-8"/>
          <w:sz w:val="24"/>
          <w:szCs w:val="24"/>
          <w:lang w:eastAsia="zh-CN"/>
        </w:rPr>
        <w:t>等</w:t>
      </w:r>
      <w:r>
        <w:rPr>
          <w:rFonts w:hint="eastAsia" w:ascii="宋体" w:hAnsi="宋体" w:eastAsia="宋体" w:cs="宋体"/>
          <w:color w:val="auto"/>
          <w:spacing w:val="-8"/>
          <w:sz w:val="24"/>
          <w:szCs w:val="24"/>
        </w:rPr>
        <w:t>，对</w:t>
      </w:r>
      <w:r>
        <w:rPr>
          <w:rFonts w:ascii="宋体" w:hAnsi="宋体" w:cs="宋体"/>
          <w:sz w:val="24"/>
          <w:szCs w:val="24"/>
        </w:rPr>
        <w:t>阎良区行政区内党政机关及参公事业单位办公用房</w:t>
      </w:r>
      <w:r>
        <w:rPr>
          <w:rFonts w:hint="eastAsia" w:ascii="宋体" w:hAnsi="宋体" w:eastAsia="宋体" w:cs="宋体"/>
          <w:color w:val="auto"/>
          <w:spacing w:val="-7"/>
          <w:sz w:val="24"/>
          <w:szCs w:val="24"/>
        </w:rPr>
        <w:t>建筑消防设施</w:t>
      </w:r>
      <w:r>
        <w:rPr>
          <w:rFonts w:hint="eastAsia" w:ascii="宋体" w:hAnsi="宋体" w:eastAsia="宋体" w:cs="宋体"/>
          <w:color w:val="auto"/>
          <w:spacing w:val="-7"/>
          <w:sz w:val="24"/>
          <w:szCs w:val="24"/>
          <w:lang w:eastAsia="zh-CN"/>
        </w:rPr>
        <w:t>进行</w:t>
      </w:r>
      <w:r>
        <w:rPr>
          <w:rFonts w:hint="eastAsia" w:ascii="宋体" w:hAnsi="宋体" w:eastAsia="宋体" w:cs="宋体"/>
          <w:color w:val="auto"/>
          <w:spacing w:val="-7"/>
          <w:sz w:val="24"/>
          <w:szCs w:val="24"/>
        </w:rPr>
        <w:t>检测，出</w:t>
      </w:r>
      <w:r>
        <w:rPr>
          <w:rFonts w:hint="eastAsia" w:ascii="宋体" w:hAnsi="宋体" w:eastAsia="宋体" w:cs="宋体"/>
          <w:color w:val="auto"/>
          <w:spacing w:val="-8"/>
          <w:sz w:val="24"/>
          <w:szCs w:val="24"/>
        </w:rPr>
        <w:t>具</w:t>
      </w:r>
      <w:r>
        <w:rPr>
          <w:rFonts w:hint="eastAsia" w:ascii="宋体" w:hAnsi="宋体" w:cs="宋体"/>
          <w:color w:val="auto"/>
          <w:spacing w:val="-8"/>
          <w:sz w:val="24"/>
          <w:szCs w:val="24"/>
          <w:lang w:val="en-US" w:eastAsia="zh-CN"/>
        </w:rPr>
        <w:t>合格的</w:t>
      </w:r>
      <w:r>
        <w:rPr>
          <w:rFonts w:hint="eastAsia" w:ascii="宋体" w:hAnsi="宋体" w:eastAsia="宋体" w:cs="宋体"/>
          <w:color w:val="auto"/>
          <w:spacing w:val="-8"/>
          <w:sz w:val="24"/>
          <w:szCs w:val="24"/>
        </w:rPr>
        <w:t>检测报告，配合消防验收。</w:t>
      </w:r>
    </w:p>
    <w:p w14:paraId="41439ED1">
      <w:pPr>
        <w:keepNext w:val="0"/>
        <w:keepLines w:val="0"/>
        <w:pageBreakBefore w:val="0"/>
        <w:widowControl w:val="0"/>
        <w:pBdr>
          <w:bottom w:val="single" w:color="auto" w:sz="4" w:space="1"/>
        </w:pBdr>
        <w:kinsoku/>
        <w:wordWrap/>
        <w:overflowPunct/>
        <w:topLinePunct w:val="0"/>
        <w:autoSpaceDE/>
        <w:autoSpaceDN/>
        <w:bidi w:val="0"/>
        <w:adjustRightInd/>
        <w:snapToGrid/>
        <w:spacing w:line="500" w:lineRule="atLeast"/>
        <w:ind w:left="0"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四、服务要求（如对人员配置、专业设备、服务标准等）</w:t>
      </w:r>
    </w:p>
    <w:p w14:paraId="671F2E4E">
      <w:pPr>
        <w:pStyle w:val="3"/>
        <w:keepNext w:val="0"/>
        <w:keepLines w:val="0"/>
        <w:pageBreakBefore w:val="0"/>
        <w:widowControl w:val="0"/>
        <w:kinsoku/>
        <w:wordWrap/>
        <w:overflowPunct/>
        <w:topLinePunct w:val="0"/>
        <w:autoSpaceDE/>
        <w:autoSpaceDN/>
        <w:bidi w:val="0"/>
        <w:adjustRightInd w:val="0"/>
        <w:snapToGrid/>
        <w:spacing w:line="480" w:lineRule="auto"/>
        <w:ind w:left="239" w:leftChars="114" w:firstLine="241" w:firstLineChars="100"/>
        <w:textAlignment w:val="baseline"/>
        <w:rPr>
          <w:rFonts w:hint="eastAsia" w:ascii="宋体" w:hAnsi="宋体" w:eastAsia="宋体" w:cs="宋体"/>
          <w:color w:val="auto"/>
          <w:spacing w:val="-7"/>
          <w:kern w:val="2"/>
          <w:sz w:val="24"/>
          <w:szCs w:val="24"/>
          <w:lang w:val="en-US" w:eastAsia="zh-CN" w:bidi="ar-SA"/>
        </w:rPr>
      </w:pPr>
      <w:r>
        <w:rPr>
          <w:rFonts w:hint="eastAsia" w:ascii="宋体" w:hAnsi="宋体" w:eastAsia="宋体" w:cs="宋体"/>
          <w:b/>
          <w:bCs/>
          <w:color w:val="auto"/>
          <w:kern w:val="2"/>
          <w:sz w:val="24"/>
          <w:szCs w:val="24"/>
          <w:lang w:val="en-US" w:eastAsia="zh-CN" w:bidi="ar-SA"/>
        </w:rPr>
        <w:t>人员配置：</w:t>
      </w:r>
      <w:r>
        <w:rPr>
          <w:rFonts w:hint="eastAsia" w:ascii="宋体" w:hAnsi="宋体" w:eastAsia="宋体" w:cs="宋体"/>
          <w:color w:val="auto"/>
          <w:spacing w:val="-7"/>
          <w:kern w:val="2"/>
          <w:sz w:val="24"/>
          <w:szCs w:val="24"/>
          <w:lang w:val="en-US" w:eastAsia="zh-CN" w:bidi="ar-SA"/>
        </w:rPr>
        <w:t>入场执业人员至少配置3人，其中1名二级及以上注册消防工程师作为项目负责人，至少2名中级及以上消防设施操作员（检测维修保养方向）</w:t>
      </w:r>
      <w:r>
        <w:rPr>
          <w:rFonts w:hint="eastAsia" w:ascii="宋体" w:hAnsi="宋体" w:cs="宋体"/>
          <w:color w:val="auto"/>
          <w:spacing w:val="-7"/>
          <w:kern w:val="2"/>
          <w:sz w:val="24"/>
          <w:szCs w:val="24"/>
          <w:lang w:val="en-US" w:eastAsia="zh-CN" w:bidi="ar-SA"/>
        </w:rPr>
        <w:t>。</w:t>
      </w:r>
    </w:p>
    <w:p w14:paraId="3CE24D5B">
      <w:pPr>
        <w:pStyle w:val="3"/>
        <w:keepNext w:val="0"/>
        <w:keepLines w:val="0"/>
        <w:pageBreakBefore w:val="0"/>
        <w:widowControl w:val="0"/>
        <w:kinsoku/>
        <w:wordWrap/>
        <w:overflowPunct/>
        <w:topLinePunct w:val="0"/>
        <w:autoSpaceDE/>
        <w:autoSpaceDN/>
        <w:bidi w:val="0"/>
        <w:adjustRightInd w:val="0"/>
        <w:snapToGrid/>
        <w:spacing w:line="480" w:lineRule="auto"/>
        <w:ind w:left="0" w:leftChars="0" w:firstLine="482" w:firstLineChars="200"/>
        <w:textAlignment w:val="baseline"/>
        <w:rPr>
          <w:rFonts w:hint="eastAsia" w:ascii="宋体" w:hAnsi="宋体" w:eastAsia="宋体" w:cs="宋体"/>
          <w:color w:val="auto"/>
          <w:spacing w:val="-7"/>
          <w:kern w:val="2"/>
          <w:sz w:val="24"/>
          <w:szCs w:val="24"/>
          <w:lang w:val="en-US" w:eastAsia="zh-CN" w:bidi="ar-SA"/>
        </w:rPr>
      </w:pPr>
      <w:r>
        <w:rPr>
          <w:rFonts w:hint="eastAsia" w:ascii="宋体" w:hAnsi="宋体" w:eastAsia="宋体" w:cs="宋体"/>
          <w:b/>
          <w:bCs/>
          <w:color w:val="auto"/>
          <w:kern w:val="2"/>
          <w:sz w:val="24"/>
          <w:szCs w:val="24"/>
          <w:lang w:val="en-US" w:eastAsia="zh-CN" w:bidi="ar-SA"/>
        </w:rPr>
        <w:t>设施设备：</w:t>
      </w:r>
      <w:r>
        <w:rPr>
          <w:rFonts w:hint="eastAsia" w:ascii="宋体" w:hAnsi="宋体" w:eastAsia="宋体" w:cs="宋体"/>
          <w:color w:val="auto"/>
          <w:spacing w:val="-7"/>
          <w:kern w:val="2"/>
          <w:sz w:val="24"/>
          <w:szCs w:val="24"/>
          <w:lang w:val="en-US" w:eastAsia="zh-CN" w:bidi="ar-SA"/>
        </w:rPr>
        <w:t>至少配置1套消防检测仪器，要求所配置仪器校验报告在有效期内。</w:t>
      </w:r>
    </w:p>
    <w:p w14:paraId="387A75CC">
      <w:pPr>
        <w:pStyle w:val="5"/>
        <w:spacing w:before="4" w:line="359" w:lineRule="auto"/>
        <w:ind w:left="10" w:right="77" w:firstLine="461"/>
        <w:jc w:val="both"/>
        <w:rPr>
          <w:rFonts w:hint="eastAsia" w:ascii="宋体" w:hAnsi="宋体" w:eastAsia="宋体" w:cs="宋体"/>
          <w:color w:val="auto"/>
          <w:spacing w:val="-7"/>
          <w:sz w:val="24"/>
          <w:szCs w:val="24"/>
        </w:rPr>
      </w:pPr>
      <w:r>
        <w:rPr>
          <w:rFonts w:hint="eastAsia" w:ascii="宋体" w:hAnsi="宋体" w:cs="宋体"/>
          <w:b/>
          <w:bCs/>
          <w:color w:val="auto"/>
          <w:kern w:val="2"/>
          <w:sz w:val="24"/>
          <w:szCs w:val="24"/>
          <w:lang w:val="en-US" w:eastAsia="zh-CN" w:bidi="ar-SA"/>
        </w:rPr>
        <w:t>服务标准：</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严格按照国家及相关主管部门的消防法规、技术规范及标准开展检测工作</w:t>
      </w:r>
      <w:r>
        <w:rPr>
          <w:rFonts w:hint="eastAsia" w:ascii="宋体" w:hAnsi="宋体" w:eastAsia="宋体" w:cs="宋体"/>
          <w:color w:val="auto"/>
          <w:spacing w:val="-7"/>
          <w:sz w:val="24"/>
          <w:szCs w:val="24"/>
          <w:lang w:eastAsia="zh-CN"/>
        </w:rPr>
        <w:t>，检测依据规范实施时间以主体建筑立项建设时间为截止点</w:t>
      </w:r>
      <w:r>
        <w:rPr>
          <w:rFonts w:hint="eastAsia" w:ascii="宋体" w:hAnsi="宋体" w:eastAsia="宋体" w:cs="宋体"/>
          <w:color w:val="auto"/>
          <w:spacing w:val="-7"/>
          <w:sz w:val="24"/>
          <w:szCs w:val="24"/>
        </w:rPr>
        <w:t>。</w:t>
      </w:r>
    </w:p>
    <w:p w14:paraId="23432FF2">
      <w:pPr>
        <w:pStyle w:val="5"/>
        <w:spacing w:before="4" w:line="359" w:lineRule="auto"/>
        <w:ind w:left="10" w:right="77" w:firstLine="461"/>
        <w:jc w:val="both"/>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1.</w:t>
      </w:r>
      <w:r>
        <w:rPr>
          <w:rFonts w:hint="eastAsia" w:ascii="宋体" w:hAnsi="宋体" w:eastAsia="宋体" w:cs="宋体"/>
          <w:color w:val="auto"/>
          <w:spacing w:val="-7"/>
          <w:sz w:val="24"/>
          <w:szCs w:val="24"/>
        </w:rPr>
        <w:t>国家标准 GB50325—2001（2006 年版）《中华人民共和国公共安全产业标准》GA503-2004；</w:t>
      </w:r>
    </w:p>
    <w:p w14:paraId="586884BB">
      <w:pPr>
        <w:pStyle w:val="5"/>
        <w:spacing w:before="4" w:line="359" w:lineRule="auto"/>
        <w:ind w:left="10" w:right="77" w:firstLine="461"/>
        <w:jc w:val="both"/>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2.</w:t>
      </w:r>
      <w:r>
        <w:rPr>
          <w:rFonts w:hint="eastAsia" w:ascii="宋体" w:hAnsi="宋体" w:eastAsia="宋体" w:cs="宋体"/>
          <w:color w:val="auto"/>
          <w:spacing w:val="-7"/>
          <w:sz w:val="24"/>
          <w:szCs w:val="24"/>
        </w:rPr>
        <w:t>《建筑工程消防验收评定暂行办法》；</w:t>
      </w:r>
    </w:p>
    <w:p w14:paraId="42935899">
      <w:pPr>
        <w:pStyle w:val="5"/>
        <w:spacing w:before="4" w:line="359" w:lineRule="auto"/>
        <w:ind w:left="10" w:right="77" w:firstLine="461"/>
        <w:jc w:val="both"/>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3.</w:t>
      </w:r>
      <w:r>
        <w:rPr>
          <w:rFonts w:hint="eastAsia" w:ascii="宋体" w:hAnsi="宋体" w:eastAsia="宋体" w:cs="宋体"/>
          <w:color w:val="auto"/>
          <w:spacing w:val="-7"/>
          <w:sz w:val="24"/>
          <w:szCs w:val="24"/>
        </w:rPr>
        <w:t>《建筑设计防火规范》；</w:t>
      </w:r>
    </w:p>
    <w:p w14:paraId="49C39465">
      <w:pPr>
        <w:pStyle w:val="5"/>
        <w:spacing w:before="4" w:line="359" w:lineRule="auto"/>
        <w:ind w:left="10" w:right="77" w:firstLine="461"/>
        <w:jc w:val="both"/>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4.</w:t>
      </w:r>
      <w:r>
        <w:rPr>
          <w:rFonts w:hint="eastAsia" w:ascii="宋体" w:hAnsi="宋体" w:eastAsia="宋体" w:cs="宋体"/>
          <w:color w:val="auto"/>
          <w:spacing w:val="-7"/>
          <w:sz w:val="24"/>
          <w:szCs w:val="24"/>
        </w:rPr>
        <w:t>《自动喷水灭火系统设计规范》及《自动喷水灭火系统施工及验收规范》；</w:t>
      </w:r>
    </w:p>
    <w:p w14:paraId="35C81198">
      <w:pPr>
        <w:pStyle w:val="5"/>
        <w:spacing w:before="4" w:line="359" w:lineRule="auto"/>
        <w:ind w:left="10" w:right="77" w:firstLine="461"/>
        <w:jc w:val="both"/>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5.</w:t>
      </w:r>
      <w:r>
        <w:rPr>
          <w:rFonts w:hint="eastAsia" w:ascii="宋体" w:hAnsi="宋体" w:eastAsia="宋体" w:cs="宋体"/>
          <w:color w:val="auto"/>
          <w:spacing w:val="-7"/>
          <w:sz w:val="24"/>
          <w:szCs w:val="24"/>
        </w:rPr>
        <w:t>《火灾自动报警系统设计规范》及《火灾自动报警系统施工及验收规范》；</w:t>
      </w:r>
    </w:p>
    <w:p w14:paraId="650FB902">
      <w:pPr>
        <w:pStyle w:val="5"/>
        <w:spacing w:before="4" w:line="359" w:lineRule="auto"/>
        <w:ind w:left="10" w:right="77" w:firstLine="461"/>
        <w:jc w:val="both"/>
        <w:rPr>
          <w:rFonts w:hint="eastAsia" w:ascii="宋体" w:hAnsi="宋体" w:eastAsia="宋体" w:cs="宋体"/>
          <w:color w:val="auto"/>
          <w:spacing w:val="-7"/>
          <w:sz w:val="24"/>
          <w:szCs w:val="24"/>
        </w:rPr>
      </w:pPr>
      <w:r>
        <w:rPr>
          <w:rFonts w:hint="eastAsia" w:ascii="宋体" w:hAnsi="宋体" w:cs="宋体"/>
          <w:color w:val="auto"/>
          <w:spacing w:val="-7"/>
          <w:sz w:val="24"/>
          <w:szCs w:val="24"/>
          <w:lang w:val="en-US" w:eastAsia="zh-CN"/>
        </w:rPr>
        <w:t>6.</w:t>
      </w:r>
      <w:r>
        <w:rPr>
          <w:rFonts w:hint="eastAsia" w:ascii="宋体" w:hAnsi="宋体" w:eastAsia="宋体" w:cs="宋体"/>
          <w:color w:val="auto"/>
          <w:spacing w:val="-7"/>
          <w:sz w:val="24"/>
          <w:szCs w:val="24"/>
        </w:rPr>
        <w:t>《建筑灭火器配置设计规范》；</w:t>
      </w:r>
    </w:p>
    <w:p w14:paraId="3626F50C">
      <w:pPr>
        <w:pStyle w:val="5"/>
        <w:spacing w:before="4" w:line="359" w:lineRule="auto"/>
        <w:ind w:left="10" w:right="77" w:firstLine="461"/>
        <w:jc w:val="both"/>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pacing w:val="-7"/>
          <w:sz w:val="24"/>
          <w:szCs w:val="24"/>
          <w:lang w:val="en-US" w:eastAsia="zh-CN"/>
        </w:rPr>
        <w:t>7.</w:t>
      </w:r>
      <w:r>
        <w:rPr>
          <w:rFonts w:hint="eastAsia" w:ascii="宋体" w:hAnsi="宋体" w:eastAsia="宋体" w:cs="宋体"/>
          <w:color w:val="auto"/>
          <w:spacing w:val="-7"/>
          <w:sz w:val="24"/>
          <w:szCs w:val="24"/>
        </w:rPr>
        <w:t>甲方提供的图纸及其它资料。</w:t>
      </w:r>
    </w:p>
    <w:p w14:paraId="63BACAB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8"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 xml:space="preserve">服务要求：（1）火灾自动报警系统  </w:t>
      </w:r>
      <w:r>
        <w:rPr>
          <w:rFonts w:hint="eastAsia" w:ascii="宋体" w:hAnsi="宋体" w:cs="宋体"/>
          <w:b w:val="0"/>
          <w:bCs w:val="0"/>
          <w:color w:val="auto"/>
          <w:kern w:val="2"/>
          <w:sz w:val="24"/>
          <w:szCs w:val="24"/>
          <w:lang w:val="en-US" w:eastAsia="zh-CN" w:bidi="ar-SA"/>
        </w:rPr>
        <w:t xml:space="preserve"> </w:t>
      </w:r>
    </w:p>
    <w:p w14:paraId="5939002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①检测火灾自动报警系统线路的绝缘电阻、接地电阻、系统的接地、管线的安装及其保护状况；   </w:t>
      </w:r>
    </w:p>
    <w:p w14:paraId="667CA389">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②检测火灾探测器和手动报警按钮的设置状况、安装质量、保护半径及与周围遮挡物的距离等，并按30—50%的比例抽检其报警功能；</w:t>
      </w:r>
    </w:p>
    <w:p w14:paraId="11D3B936">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③检测火灾报警控制器的安装质量、柜内配线、保护接地的设置、主备电源的设置及其转换功能，并对控制器的各项功能测试；</w:t>
      </w:r>
    </w:p>
    <w:p w14:paraId="144D274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④检测消防设备控制柜的安装质量、柜内配线、手、自动控制及屏面接受消防设备的信号反馈功能；</w:t>
      </w:r>
    </w:p>
    <w:p w14:paraId="1F2C6A3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⑤检测电梯的迫降功能、消防电梯的使用功能，切断非消防电源功能和着火层的灯光显示功能；</w:t>
      </w:r>
    </w:p>
    <w:p w14:paraId="360C6D3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⑥检测消防控制室、各消防设备间及消火栓按钮处的消防通讯功能；</w:t>
      </w:r>
    </w:p>
    <w:p w14:paraId="048E7C9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⑦检测火灾应急广播的音响功能，手动选层和自动广播、遥控开启和强行切换等功能；</w:t>
      </w:r>
    </w:p>
    <w:p w14:paraId="6202E5EE">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525" w:firstLineChars="2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⑧检测消防控制室的设置位置及明显标志、室内防火阀及无关管线的设置、双回路电源的设置和切换功能；   </w:t>
      </w:r>
    </w:p>
    <w:p w14:paraId="3A9B7C4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⑨检测火灾应急照明和疏散指示标志的设置、照度、转换时间和图形符号； </w:t>
      </w:r>
    </w:p>
    <w:p w14:paraId="7633046A">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4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 xml:space="preserve">（2）消防供水系统   </w:t>
      </w:r>
    </w:p>
    <w:p w14:paraId="72D76754">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①检查消防水源的性质、进水管的条数和直径及消防水池的设置状况；  </w:t>
      </w:r>
    </w:p>
    <w:p w14:paraId="1AC17F7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②检查消防水池的容积、水位指示器和补水设施、保证消防用水和防冻措施等； </w:t>
      </w:r>
    </w:p>
    <w:p w14:paraId="043BFB9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③检查消防水箱的设置、容积、防冻措施、补水及单向阀的状况等；   </w:t>
      </w:r>
    </w:p>
    <w:p w14:paraId="651DF974">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④检测各种消防供水泵的性能、管道、手自动控制、启动时间，主备泵和主备电源转换功能等；   </w:t>
      </w:r>
    </w:p>
    <w:p w14:paraId="37CC9E4D">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⑤检测水泵结合器的设置、标志及输送消防水的功能等；  </w:t>
      </w:r>
    </w:p>
    <w:p w14:paraId="10DF7F3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4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 xml:space="preserve">（3）室内消火栓系统  </w:t>
      </w:r>
    </w:p>
    <w:p w14:paraId="2EE0440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①检查室内消火栓的安装、组件、规格及其间距等；   </w:t>
      </w:r>
    </w:p>
    <w:p w14:paraId="7B7A34D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②检测屋顶消火栓的设置、防冻措施及其充实水柱长度等；  </w:t>
      </w:r>
    </w:p>
    <w:p w14:paraId="59ACA3F0">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③检查室内消火栓管网的设置、管径、颜色、保证消防用水及其连接形状；</w:t>
      </w:r>
    </w:p>
    <w:p w14:paraId="2BEEE836">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④检测室内消火栓的首层和最不利点的静压、动压及其充实水柱长度； </w:t>
      </w:r>
    </w:p>
    <w:p w14:paraId="636A44D9">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⑤检查手动启泵按钮的设置及其功能；  </w:t>
      </w:r>
    </w:p>
    <w:p w14:paraId="05C22098">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40"/>
        <w:textAlignment w:val="auto"/>
        <w:rPr>
          <w:rFonts w:hint="eastAsia" w:ascii="宋体" w:hAnsi="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 xml:space="preserve">（4）自动喷水（雾）灭火系统 </w:t>
      </w:r>
      <w:r>
        <w:rPr>
          <w:rFonts w:hint="eastAsia" w:ascii="宋体" w:hAnsi="宋体" w:cs="宋体"/>
          <w:b w:val="0"/>
          <w:bCs w:val="0"/>
          <w:color w:val="auto"/>
          <w:kern w:val="2"/>
          <w:sz w:val="24"/>
          <w:szCs w:val="24"/>
          <w:lang w:val="en-US" w:eastAsia="zh-CN" w:bidi="ar-SA"/>
        </w:rPr>
        <w:t xml:space="preserve"> </w:t>
      </w:r>
    </w:p>
    <w:p w14:paraId="70DED2E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①检查管网的安装、连接、设置喷头数量及末端管径等； </w:t>
      </w:r>
    </w:p>
    <w:p w14:paraId="629D239A">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②检查水流指示器和信号阀的安装及其功能；   </w:t>
      </w:r>
    </w:p>
    <w:p w14:paraId="0999D620">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③检测报警阀组的安装、阀门的状态、各组件及其功能；   </w:t>
      </w:r>
    </w:p>
    <w:p w14:paraId="0946AED7">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④检测喷淋头安装、外观、保护间距和保护面积及与邻近障碍物的距离等；</w:t>
      </w:r>
    </w:p>
    <w:p w14:paraId="7439BE18">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⑤对报警阀组进行功能试验；   </w:t>
      </w:r>
    </w:p>
    <w:p w14:paraId="5D95B13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⑥对自动喷淋水（雾）系统进行功能试验；   </w:t>
      </w:r>
    </w:p>
    <w:p w14:paraId="6D4CF363">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4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 xml:space="preserve">（5）防排烟及通风空调系统   </w:t>
      </w:r>
    </w:p>
    <w:p w14:paraId="25A15DD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①检查正压送风系统的风管、风机、送风口设置状况并测量其风速和正压送风值；   </w:t>
      </w:r>
    </w:p>
    <w:p w14:paraId="1643364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②检测排烟系统风机、风道、防火阀、送风口、主备电源设置状况及其功能；</w:t>
      </w:r>
    </w:p>
    <w:p w14:paraId="4BBB85A3">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③检查通风空调系统的管道和防火阀的设置状况； </w:t>
      </w:r>
    </w:p>
    <w:p w14:paraId="6043043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④对各个系统进行手动、自动及联动功能试验；</w:t>
      </w:r>
    </w:p>
    <w:p w14:paraId="504B874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4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（6）防火门、防火卷帘</w:t>
      </w:r>
    </w:p>
    <w:p w14:paraId="0DE7ABFA">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①查看卷帘门的宽度、嵌入轨道内深度等安装情况，现场操作按钮盒控制门的起降，测试升降速率并查看降落后的反馈信号。</w:t>
      </w:r>
    </w:p>
    <w:p w14:paraId="14B9CB44">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②测试卷帘控制器相关功能。</w:t>
      </w:r>
    </w:p>
    <w:p w14:paraId="4BE4B830">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③查看防火门的安装情况。</w:t>
      </w:r>
    </w:p>
    <w:p w14:paraId="6B0378E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④查看电动防火门的闭门器。 </w:t>
      </w:r>
    </w:p>
    <w:p w14:paraId="6B6F82BE">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⑤测试防火卷帘、电动防火门和挡烟垂壁的联动情况。</w:t>
      </w:r>
    </w:p>
    <w:p w14:paraId="0E6B2AC7">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4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（7）应急照明及疏散指示系统</w:t>
      </w:r>
    </w:p>
    <w:p w14:paraId="04779EB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①查看应急、疏散安装情况，对于自带电源的灯具现场查看其功能；</w:t>
      </w:r>
    </w:p>
    <w:p w14:paraId="7ADAA1F8">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left="0" w:firstLine="285" w:firstLineChars="119"/>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②联动测试查看电源安装与切换功能；</w:t>
      </w:r>
    </w:p>
    <w:p w14:paraId="0C3865A6">
      <w:pPr>
        <w:pBdr>
          <w:bottom w:val="single" w:color="auto" w:sz="4" w:space="1"/>
        </w:pBdr>
        <w:spacing w:beforeLines="100"/>
        <w:ind w:left="420" w:hanging="420"/>
        <w:rPr>
          <w:rFonts w:hint="eastAsia" w:ascii="宋体" w:hAnsi="宋体" w:eastAsia="宋体" w:cs="宋体"/>
          <w:b/>
          <w:color w:val="auto"/>
          <w:sz w:val="28"/>
          <w:szCs w:val="28"/>
        </w:rPr>
      </w:pPr>
      <w:r>
        <w:rPr>
          <w:rFonts w:hint="eastAsia" w:ascii="宋体" w:hAnsi="宋体" w:eastAsia="宋体" w:cs="宋体"/>
          <w:b/>
          <w:color w:val="auto"/>
          <w:sz w:val="28"/>
          <w:szCs w:val="28"/>
        </w:rPr>
        <w:t>五、商务要求（如服务期限、款项结算等）</w:t>
      </w:r>
    </w:p>
    <w:p w14:paraId="22F126FB">
      <w:pPr>
        <w:rPr>
          <w:rFonts w:hint="eastAsia" w:ascii="宋体" w:hAnsi="宋体" w:eastAsia="宋体" w:cs="宋体"/>
          <w:color w:val="auto"/>
          <w:sz w:val="24"/>
          <w:szCs w:val="24"/>
          <w:lang w:val="en-US" w:eastAsia="zh-CN"/>
        </w:rPr>
      </w:pPr>
    </w:p>
    <w:p w14:paraId="49A61D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（一）服务期限：合同签订之日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p>
    <w:p w14:paraId="45FBB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（二）款项结算：</w:t>
      </w:r>
    </w:p>
    <w:p w14:paraId="5B57A6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1、付款：</w:t>
      </w:r>
      <w:r>
        <w:rPr>
          <w:rFonts w:hint="eastAsia" w:ascii="宋体" w:hAnsi="宋体" w:eastAsia="宋体" w:cs="宋体"/>
          <w:color w:val="auto"/>
          <w:sz w:val="24"/>
          <w:szCs w:val="24"/>
          <w:lang w:val="en-US" w:eastAsia="zh-CN"/>
        </w:rPr>
        <w:t>本项目服务款据实结算，</w:t>
      </w:r>
      <w:r>
        <w:rPr>
          <w:rFonts w:hint="eastAsia" w:ascii="宋体" w:hAnsi="宋体" w:eastAsia="宋体" w:cs="宋体"/>
          <w:sz w:val="24"/>
          <w:szCs w:val="24"/>
          <w:lang w:val="en-US" w:eastAsia="zh-CN"/>
        </w:rPr>
        <w:t>乙方完成第一次检测后，乙方出具正式版盖章的消防检测报告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甲方向乙方支付合同总价款的80%。甲方在乙方第一次出具检测报告后三个月后未按规范要求完成整改，不影响对乙方剩余费用的支付，三个月期满10个工作日内，一次性支付至检测费100%。乙方亦有继续完成后续检测的责任。每期支付时，乙方应向采购商提供相应金额的正式发票。</w:t>
      </w:r>
      <w:bookmarkStart w:id="0" w:name="_GoBack"/>
      <w:bookmarkEnd w:id="0"/>
    </w:p>
    <w:p w14:paraId="52DE1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2、结算方式：供应商持成交通知书、合同、正式发票、验收单，与采购人进行结算。</w:t>
      </w:r>
    </w:p>
    <w:p w14:paraId="4EA1E7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3、采购人付款前供应商要如实开具发票，不得变更开票内容，供应商开具发票出现税务争议时，供应商需承担税款、滞纳金、罚款等赔偿责任以及其他相关责任。</w:t>
      </w:r>
    </w:p>
    <w:p w14:paraId="4BCE512D">
      <w:pPr>
        <w:pBdr>
          <w:bottom w:val="single" w:color="auto" w:sz="4" w:space="1"/>
        </w:pBdr>
        <w:spacing w:beforeLines="100"/>
        <w:ind w:left="420" w:hanging="420"/>
        <w:rPr>
          <w:rFonts w:hint="eastAsia" w:ascii="宋体" w:hAnsi="宋体" w:eastAsia="宋体" w:cs="宋体"/>
          <w:color w:val="auto"/>
          <w:sz w:val="24"/>
          <w:szCs w:val="24"/>
          <w:lang w:val="en-US" w:eastAsia="zh-CN"/>
        </w:rPr>
      </w:pPr>
      <w:r>
        <w:rPr>
          <w:rFonts w:hint="eastAsia" w:ascii="宋体" w:hAnsi="宋体" w:eastAsia="宋体" w:cs="宋体"/>
          <w:b/>
          <w:color w:val="auto"/>
          <w:sz w:val="28"/>
          <w:szCs w:val="28"/>
        </w:rPr>
        <w:t>六、其他（如有要求，请写明）</w:t>
      </w:r>
    </w:p>
    <w:p w14:paraId="5BDA63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p>
    <w:p w14:paraId="7C4203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（一）对服务商的业绩要求</w:t>
      </w:r>
    </w:p>
    <w:p w14:paraId="478E1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服务商应</w:t>
      </w:r>
      <w:r>
        <w:rPr>
          <w:rFonts w:hint="eastAsia" w:ascii="宋体" w:hAnsi="宋体" w:eastAsia="宋体" w:cs="宋体"/>
          <w:color w:val="auto"/>
          <w:sz w:val="24"/>
          <w:szCs w:val="24"/>
        </w:rPr>
        <w:t>提供近三年（202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月至今）类似</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项目业绩。</w:t>
      </w:r>
      <w:r>
        <w:rPr>
          <w:rFonts w:hint="eastAsia" w:ascii="宋体" w:hAnsi="宋体" w:eastAsia="宋体" w:cs="宋体"/>
          <w:color w:val="auto"/>
          <w:sz w:val="24"/>
          <w:szCs w:val="24"/>
          <w:lang w:val="en-US" w:eastAsia="zh-CN"/>
        </w:rPr>
        <w:t xml:space="preserve">      </w:t>
      </w:r>
    </w:p>
    <w:p w14:paraId="1A15FE3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进度要求</w:t>
      </w:r>
      <w:r>
        <w:rPr>
          <w:rFonts w:hint="eastAsia" w:ascii="宋体" w:hAnsi="宋体" w:eastAsia="宋体" w:cs="宋体"/>
          <w:b/>
          <w:bCs/>
          <w:color w:val="auto"/>
          <w:sz w:val="24"/>
          <w:szCs w:val="24"/>
          <w:lang w:eastAsia="zh-CN"/>
        </w:rPr>
        <w:t>：</w:t>
      </w:r>
    </w:p>
    <w:p w14:paraId="7A6F5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合同签订之日</w:t>
      </w:r>
      <w:r>
        <w:rPr>
          <w:rFonts w:hint="eastAsia" w:ascii="宋体" w:hAnsi="宋体" w:cs="宋体"/>
          <w:color w:val="auto"/>
          <w:sz w:val="24"/>
          <w:szCs w:val="24"/>
          <w:lang w:val="en-US" w:eastAsia="zh-CN"/>
        </w:rPr>
        <w:t>起一年</w:t>
      </w:r>
      <w:r>
        <w:rPr>
          <w:rFonts w:hint="eastAsia" w:ascii="宋体" w:hAnsi="宋体" w:eastAsia="宋体" w:cs="宋体"/>
          <w:color w:val="auto"/>
          <w:sz w:val="24"/>
          <w:szCs w:val="24"/>
          <w:lang w:val="en-US" w:eastAsia="zh-CN"/>
        </w:rPr>
        <w:t>（如遇特殊情况，经甲方同意服务期限往后顺延）。</w:t>
      </w:r>
      <w:r>
        <w:rPr>
          <w:rFonts w:hint="eastAsia" w:ascii="宋体" w:hAnsi="宋体" w:cs="宋体"/>
          <w:sz w:val="24"/>
          <w:szCs w:val="24"/>
        </w:rPr>
        <w:t>乙方应在服务期限内完成所有项目、通过甲方验收。</w:t>
      </w:r>
    </w:p>
    <w:p w14:paraId="5ECBC18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成果交付要求</w:t>
      </w:r>
      <w:r>
        <w:rPr>
          <w:rFonts w:hint="eastAsia" w:ascii="宋体" w:hAnsi="宋体" w:eastAsia="宋体" w:cs="宋体"/>
          <w:b/>
          <w:bCs/>
          <w:color w:val="auto"/>
          <w:sz w:val="24"/>
          <w:szCs w:val="24"/>
          <w:lang w:eastAsia="zh-CN"/>
        </w:rPr>
        <w:t>：</w:t>
      </w:r>
    </w:p>
    <w:p w14:paraId="2055B8C3">
      <w:pPr>
        <w:pStyle w:val="3"/>
        <w:keepNext w:val="0"/>
        <w:keepLines w:val="0"/>
        <w:pageBreakBefore w:val="0"/>
        <w:widowControl w:val="0"/>
        <w:kinsoku/>
        <w:wordWrap/>
        <w:overflowPunct/>
        <w:topLinePunct w:val="0"/>
        <w:autoSpaceDE/>
        <w:autoSpaceDN/>
        <w:bidi w:val="0"/>
        <w:adjustRightInd w:val="0"/>
        <w:snapToGrid/>
        <w:spacing w:line="480" w:lineRule="auto"/>
        <w:ind w:left="0" w:leftChars="0" w:firstLine="452" w:firstLineChars="200"/>
        <w:textAlignment w:val="baseline"/>
        <w:rPr>
          <w:rFonts w:hint="eastAsia" w:ascii="宋体" w:hAnsi="宋体" w:eastAsia="宋体" w:cs="宋体"/>
          <w:color w:val="auto"/>
          <w:spacing w:val="-7"/>
          <w:kern w:val="2"/>
          <w:sz w:val="24"/>
          <w:szCs w:val="24"/>
          <w:lang w:val="en-US" w:eastAsia="zh-CN" w:bidi="ar-SA"/>
        </w:rPr>
      </w:pPr>
      <w:r>
        <w:rPr>
          <w:rFonts w:hint="eastAsia" w:ascii="宋体" w:hAnsi="宋体" w:cs="宋体"/>
          <w:color w:val="auto"/>
          <w:spacing w:val="-7"/>
          <w:kern w:val="2"/>
          <w:sz w:val="24"/>
          <w:szCs w:val="24"/>
          <w:lang w:val="en-US" w:eastAsia="zh-CN" w:bidi="ar-SA"/>
        </w:rPr>
        <w:t>1.</w:t>
      </w:r>
      <w:r>
        <w:rPr>
          <w:rFonts w:hint="eastAsia" w:ascii="宋体" w:hAnsi="宋体" w:eastAsia="宋体" w:cs="宋体"/>
          <w:color w:val="auto"/>
          <w:spacing w:val="-7"/>
          <w:kern w:val="2"/>
          <w:sz w:val="24"/>
          <w:szCs w:val="24"/>
          <w:lang w:val="en-US" w:eastAsia="zh-CN" w:bidi="ar-SA"/>
        </w:rPr>
        <w:t>接到甲方通知后 2 日内进场检测，首次检测完成后，若现场达到消防验收标准，一周内出具正式的合格检测报告；若现场不符合规范要求，出具不合格报告，并在甲方整改合格后2日内进场复检，在检测完成后一周内出具合格的检测报告。</w:t>
      </w:r>
    </w:p>
    <w:p w14:paraId="1685566D">
      <w:pPr>
        <w:pStyle w:val="3"/>
        <w:keepNext w:val="0"/>
        <w:keepLines w:val="0"/>
        <w:pageBreakBefore w:val="0"/>
        <w:widowControl w:val="0"/>
        <w:kinsoku/>
        <w:wordWrap/>
        <w:overflowPunct/>
        <w:topLinePunct w:val="0"/>
        <w:autoSpaceDE/>
        <w:autoSpaceDN/>
        <w:bidi w:val="0"/>
        <w:adjustRightInd w:val="0"/>
        <w:snapToGrid/>
        <w:spacing w:line="480" w:lineRule="auto"/>
        <w:ind w:left="0" w:leftChars="0" w:firstLine="452" w:firstLineChars="200"/>
        <w:textAlignment w:val="baseline"/>
        <w:rPr>
          <w:rFonts w:hint="eastAsia" w:ascii="宋体" w:hAnsi="宋体" w:eastAsia="宋体" w:cs="宋体"/>
          <w:color w:val="auto"/>
          <w:spacing w:val="-7"/>
          <w:kern w:val="2"/>
          <w:sz w:val="24"/>
          <w:szCs w:val="24"/>
          <w:lang w:val="en-US" w:eastAsia="zh-CN" w:bidi="ar-SA"/>
        </w:rPr>
      </w:pPr>
      <w:r>
        <w:rPr>
          <w:rFonts w:hint="eastAsia" w:ascii="宋体" w:hAnsi="宋体" w:cs="宋体"/>
          <w:color w:val="auto"/>
          <w:spacing w:val="-7"/>
          <w:kern w:val="2"/>
          <w:sz w:val="24"/>
          <w:szCs w:val="24"/>
          <w:lang w:val="en-US" w:eastAsia="zh-CN" w:bidi="ar-SA"/>
        </w:rPr>
        <w:t>2.</w:t>
      </w:r>
      <w:r>
        <w:rPr>
          <w:rFonts w:hint="eastAsia" w:ascii="宋体" w:hAnsi="宋体" w:eastAsia="宋体" w:cs="宋体"/>
          <w:color w:val="auto"/>
          <w:spacing w:val="-7"/>
          <w:kern w:val="2"/>
          <w:sz w:val="24"/>
          <w:szCs w:val="24"/>
          <w:lang w:val="en-US" w:eastAsia="zh-CN" w:bidi="ar-SA"/>
        </w:rPr>
        <w:t>乙方应按期进场开展检测工作，并协助甲方进行消防工程验收，直至甲方达到消防验收标准，如检测不合格时，乙方应义务配合甲方进行现场整改</w:t>
      </w:r>
      <w:r>
        <w:rPr>
          <w:rFonts w:hint="eastAsia" w:ascii="宋体" w:hAnsi="宋体" w:cs="宋体"/>
          <w:color w:val="auto"/>
          <w:spacing w:val="-7"/>
          <w:kern w:val="2"/>
          <w:sz w:val="24"/>
          <w:szCs w:val="24"/>
          <w:lang w:val="en-US" w:eastAsia="zh-CN" w:bidi="ar-SA"/>
        </w:rPr>
        <w:t>检测</w:t>
      </w:r>
      <w:r>
        <w:rPr>
          <w:rFonts w:hint="eastAsia" w:ascii="宋体" w:hAnsi="宋体" w:eastAsia="宋体" w:cs="宋体"/>
          <w:color w:val="auto"/>
          <w:spacing w:val="-7"/>
          <w:kern w:val="2"/>
          <w:sz w:val="24"/>
          <w:szCs w:val="24"/>
          <w:lang w:val="en-US" w:eastAsia="zh-CN" w:bidi="ar-SA"/>
        </w:rPr>
        <w:t>，直至达到消防验收为止，期间产生的复检费用由乙方负责。</w:t>
      </w:r>
    </w:p>
    <w:p w14:paraId="369BDCE9">
      <w:pPr>
        <w:pStyle w:val="3"/>
        <w:keepNext w:val="0"/>
        <w:keepLines w:val="0"/>
        <w:pageBreakBefore w:val="0"/>
        <w:widowControl w:val="0"/>
        <w:kinsoku/>
        <w:wordWrap/>
        <w:overflowPunct/>
        <w:topLinePunct w:val="0"/>
        <w:autoSpaceDE/>
        <w:autoSpaceDN/>
        <w:bidi w:val="0"/>
        <w:adjustRightInd w:val="0"/>
        <w:snapToGrid/>
        <w:spacing w:line="480" w:lineRule="auto"/>
        <w:ind w:left="0" w:leftChars="0" w:firstLine="452" w:firstLineChars="200"/>
        <w:textAlignment w:val="baseline"/>
        <w:rPr>
          <w:rFonts w:hint="eastAsia" w:ascii="宋体" w:hAnsi="宋体" w:eastAsia="宋体" w:cs="宋体"/>
          <w:color w:val="auto"/>
          <w:spacing w:val="-7"/>
          <w:kern w:val="2"/>
          <w:sz w:val="24"/>
          <w:szCs w:val="24"/>
          <w:lang w:val="en-US" w:eastAsia="zh-CN" w:bidi="ar-SA"/>
        </w:rPr>
      </w:pPr>
      <w:r>
        <w:rPr>
          <w:rFonts w:hint="eastAsia" w:ascii="宋体" w:hAnsi="宋体" w:cs="宋体"/>
          <w:color w:val="auto"/>
          <w:spacing w:val="-7"/>
          <w:kern w:val="2"/>
          <w:sz w:val="24"/>
          <w:szCs w:val="24"/>
          <w:lang w:val="en-US" w:eastAsia="zh-CN" w:bidi="ar-SA"/>
        </w:rPr>
        <w:t>3.乙</w:t>
      </w:r>
      <w:r>
        <w:rPr>
          <w:rFonts w:hint="eastAsia" w:ascii="宋体" w:hAnsi="宋体" w:eastAsia="宋体" w:cs="宋体"/>
          <w:color w:val="auto"/>
          <w:spacing w:val="-7"/>
          <w:kern w:val="2"/>
          <w:sz w:val="24"/>
          <w:szCs w:val="24"/>
          <w:lang w:val="en-US" w:eastAsia="zh-CN" w:bidi="ar-SA"/>
        </w:rPr>
        <w:t>方现场检测时应遵守工程安全管理及其他工程现场管理制度。</w:t>
      </w:r>
    </w:p>
    <w:p w14:paraId="37EB7A54">
      <w:pPr>
        <w:pStyle w:val="3"/>
        <w:keepNext w:val="0"/>
        <w:keepLines w:val="0"/>
        <w:pageBreakBefore w:val="0"/>
        <w:widowControl w:val="0"/>
        <w:kinsoku/>
        <w:wordWrap/>
        <w:overflowPunct/>
        <w:topLinePunct w:val="0"/>
        <w:autoSpaceDE/>
        <w:autoSpaceDN/>
        <w:bidi w:val="0"/>
        <w:adjustRightInd w:val="0"/>
        <w:snapToGrid/>
        <w:spacing w:line="480" w:lineRule="auto"/>
        <w:ind w:left="0" w:leftChars="0" w:firstLine="452" w:firstLineChars="200"/>
        <w:textAlignment w:val="baseline"/>
        <w:rPr>
          <w:rFonts w:hint="eastAsia" w:ascii="宋体" w:hAnsi="宋体" w:eastAsia="宋体" w:cs="宋体"/>
          <w:color w:val="auto"/>
          <w:spacing w:val="-7"/>
          <w:kern w:val="2"/>
          <w:sz w:val="24"/>
          <w:szCs w:val="24"/>
          <w:lang w:val="en-US" w:eastAsia="zh-CN" w:bidi="ar-SA"/>
        </w:rPr>
      </w:pPr>
      <w:r>
        <w:rPr>
          <w:rFonts w:hint="eastAsia" w:ascii="宋体" w:hAnsi="宋体" w:cs="宋体"/>
          <w:color w:val="auto"/>
          <w:spacing w:val="-7"/>
          <w:kern w:val="2"/>
          <w:sz w:val="24"/>
          <w:szCs w:val="24"/>
          <w:lang w:val="en-US" w:eastAsia="zh-CN" w:bidi="ar-SA"/>
        </w:rPr>
        <w:t>4.</w:t>
      </w:r>
      <w:r>
        <w:rPr>
          <w:rFonts w:hint="eastAsia" w:ascii="宋体" w:hAnsi="宋体" w:eastAsia="宋体" w:cs="宋体"/>
          <w:color w:val="auto"/>
          <w:spacing w:val="-7"/>
          <w:kern w:val="2"/>
          <w:sz w:val="24"/>
          <w:szCs w:val="24"/>
          <w:lang w:val="en-US" w:eastAsia="zh-CN" w:bidi="ar-SA"/>
        </w:rPr>
        <w:t>在检测过程中，属于违章操作，发生人身、设备机械事故，责任自负，甲方不承担任何责任。</w:t>
      </w:r>
    </w:p>
    <w:p w14:paraId="6F5DD1E0">
      <w:pPr>
        <w:pStyle w:val="3"/>
        <w:keepNext w:val="0"/>
        <w:keepLines w:val="0"/>
        <w:pageBreakBefore w:val="0"/>
        <w:widowControl w:val="0"/>
        <w:kinsoku/>
        <w:wordWrap/>
        <w:overflowPunct/>
        <w:topLinePunct w:val="0"/>
        <w:autoSpaceDE/>
        <w:autoSpaceDN/>
        <w:bidi w:val="0"/>
        <w:adjustRightInd w:val="0"/>
        <w:snapToGrid/>
        <w:spacing w:line="480" w:lineRule="auto"/>
        <w:ind w:left="0" w:leftChars="0" w:firstLine="452" w:firstLineChars="200"/>
        <w:textAlignment w:val="baseline"/>
        <w:rPr>
          <w:rFonts w:hint="eastAsia" w:ascii="宋体" w:hAnsi="宋体" w:eastAsia="宋体" w:cs="宋体"/>
          <w:b/>
          <w:bCs/>
          <w:color w:val="auto"/>
          <w:sz w:val="24"/>
          <w:szCs w:val="24"/>
          <w:lang w:eastAsia="zh-CN"/>
        </w:rPr>
      </w:pPr>
      <w:r>
        <w:rPr>
          <w:rFonts w:hint="eastAsia" w:ascii="宋体" w:hAnsi="宋体" w:cs="宋体"/>
          <w:color w:val="auto"/>
          <w:spacing w:val="-7"/>
          <w:kern w:val="2"/>
          <w:sz w:val="24"/>
          <w:szCs w:val="24"/>
          <w:lang w:val="en-US" w:eastAsia="zh-CN" w:bidi="ar-SA"/>
        </w:rPr>
        <w:t>5.</w:t>
      </w:r>
      <w:r>
        <w:rPr>
          <w:rFonts w:hint="eastAsia" w:ascii="宋体" w:hAnsi="宋体" w:eastAsia="宋体" w:cs="宋体"/>
          <w:color w:val="auto"/>
          <w:spacing w:val="-7"/>
          <w:kern w:val="2"/>
          <w:sz w:val="24"/>
          <w:szCs w:val="24"/>
          <w:lang w:val="en-US" w:eastAsia="zh-CN" w:bidi="ar-SA"/>
        </w:rPr>
        <w:t>乙方按甲方要求的份数提供《检测报告》，并及时将每次检测报告送至甲方。对工程检测的内容、数量和检测结果等情况作出说明。</w:t>
      </w:r>
    </w:p>
    <w:p w14:paraId="4BFB1D12">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每栋办公楼按合同内容、进度及质量要求完成任务，提交的检测鉴定报告应符合国家有关技术规范和标准，要求提交纸质盖章版的正式检测鉴定报告一式陆份。</w:t>
      </w:r>
    </w:p>
    <w:p w14:paraId="4BD996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（四）质量验收标准或规范</w:t>
      </w:r>
    </w:p>
    <w:p w14:paraId="58CDAAB1">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满足现行国家、行业标准及规范，达到合格标准。</w:t>
      </w:r>
    </w:p>
    <w:p w14:paraId="52EDA5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（五）违约责任</w:t>
      </w:r>
    </w:p>
    <w:p w14:paraId="108BB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1．甲乙双方必须遵守本合同并执行合同中的各项规定，保证本合同的正常履行。</w:t>
      </w:r>
    </w:p>
    <w:p w14:paraId="719A3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667E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3.合同争议的解决方式：在执行本合同中发生的或与本合同有关的争端，双方应通过友好协商解决，经协商在30天内不能达成协议时，向甲方所在地有管辖权的人民法院提起诉讼。</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015A4"/>
    <w:multiLevelType w:val="singleLevel"/>
    <w:tmpl w:val="D7E015A4"/>
    <w:lvl w:ilvl="0" w:tentative="0">
      <w:start w:val="2"/>
      <w:numFmt w:val="chineseCounting"/>
      <w:suff w:val="nothing"/>
      <w:lvlText w:val="（%1）"/>
      <w:lvlJc w:val="left"/>
      <w:rPr>
        <w:rFonts w:hint="eastAsia"/>
      </w:rPr>
    </w:lvl>
  </w:abstractNum>
  <w:abstractNum w:abstractNumId="1">
    <w:nsid w:val="7C488796"/>
    <w:multiLevelType w:val="singleLevel"/>
    <w:tmpl w:val="7C48879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0B10"/>
    <w:rsid w:val="00184F72"/>
    <w:rsid w:val="00187846"/>
    <w:rsid w:val="00191A7E"/>
    <w:rsid w:val="00193B5F"/>
    <w:rsid w:val="001947E8"/>
    <w:rsid w:val="00194890"/>
    <w:rsid w:val="00196A1C"/>
    <w:rsid w:val="001A2103"/>
    <w:rsid w:val="001A5309"/>
    <w:rsid w:val="001A5764"/>
    <w:rsid w:val="001B0699"/>
    <w:rsid w:val="001B2019"/>
    <w:rsid w:val="001B26DC"/>
    <w:rsid w:val="001B3EEA"/>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35C1"/>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494A"/>
    <w:rsid w:val="005C6C4F"/>
    <w:rsid w:val="005D000E"/>
    <w:rsid w:val="005D62E5"/>
    <w:rsid w:val="005D7216"/>
    <w:rsid w:val="005E12F7"/>
    <w:rsid w:val="005E339B"/>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6A53"/>
    <w:rsid w:val="007D7D00"/>
    <w:rsid w:val="007E1576"/>
    <w:rsid w:val="007E2BD2"/>
    <w:rsid w:val="007E3D61"/>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1A3"/>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4FE"/>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6563"/>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0E5B11"/>
    <w:rsid w:val="01B9244C"/>
    <w:rsid w:val="01E925F2"/>
    <w:rsid w:val="01EE1A85"/>
    <w:rsid w:val="028440C8"/>
    <w:rsid w:val="02F96864"/>
    <w:rsid w:val="03BB41F9"/>
    <w:rsid w:val="03BC7892"/>
    <w:rsid w:val="03FA5565"/>
    <w:rsid w:val="044153C6"/>
    <w:rsid w:val="06063CC0"/>
    <w:rsid w:val="06876B44"/>
    <w:rsid w:val="06E03DFA"/>
    <w:rsid w:val="071C5217"/>
    <w:rsid w:val="073024BB"/>
    <w:rsid w:val="0753050D"/>
    <w:rsid w:val="077B0190"/>
    <w:rsid w:val="07866B35"/>
    <w:rsid w:val="0797664C"/>
    <w:rsid w:val="07DD509E"/>
    <w:rsid w:val="07E775D3"/>
    <w:rsid w:val="084C69BC"/>
    <w:rsid w:val="088E3EF3"/>
    <w:rsid w:val="08EB6C4F"/>
    <w:rsid w:val="09191727"/>
    <w:rsid w:val="096E162E"/>
    <w:rsid w:val="09C63218"/>
    <w:rsid w:val="09DB3168"/>
    <w:rsid w:val="0A5922DF"/>
    <w:rsid w:val="0BA024DC"/>
    <w:rsid w:val="0C41302A"/>
    <w:rsid w:val="0C7C15F6"/>
    <w:rsid w:val="0CC31C91"/>
    <w:rsid w:val="0D2E57E0"/>
    <w:rsid w:val="0E37750E"/>
    <w:rsid w:val="0F5337A0"/>
    <w:rsid w:val="0F624E0E"/>
    <w:rsid w:val="0FDD12BC"/>
    <w:rsid w:val="10752F31"/>
    <w:rsid w:val="1101524B"/>
    <w:rsid w:val="11390774"/>
    <w:rsid w:val="11B60016"/>
    <w:rsid w:val="12502219"/>
    <w:rsid w:val="126A32DB"/>
    <w:rsid w:val="12723F3D"/>
    <w:rsid w:val="12C66037"/>
    <w:rsid w:val="135E2714"/>
    <w:rsid w:val="13893C35"/>
    <w:rsid w:val="13AC7923"/>
    <w:rsid w:val="13DD7ADC"/>
    <w:rsid w:val="14D64C58"/>
    <w:rsid w:val="16227A29"/>
    <w:rsid w:val="1675661D"/>
    <w:rsid w:val="17081314"/>
    <w:rsid w:val="17E01949"/>
    <w:rsid w:val="17F17DA1"/>
    <w:rsid w:val="18B865C4"/>
    <w:rsid w:val="18CD0120"/>
    <w:rsid w:val="18D314AE"/>
    <w:rsid w:val="18FF22A3"/>
    <w:rsid w:val="19235F91"/>
    <w:rsid w:val="192F2B88"/>
    <w:rsid w:val="19866520"/>
    <w:rsid w:val="198D17F3"/>
    <w:rsid w:val="1A3D12D5"/>
    <w:rsid w:val="1B0F6035"/>
    <w:rsid w:val="1CBD494F"/>
    <w:rsid w:val="1CC45CDD"/>
    <w:rsid w:val="1CEE2D5A"/>
    <w:rsid w:val="1D3C5874"/>
    <w:rsid w:val="1EA57449"/>
    <w:rsid w:val="1EC43D73"/>
    <w:rsid w:val="1EE9607B"/>
    <w:rsid w:val="1F0423C1"/>
    <w:rsid w:val="1F5F3A9B"/>
    <w:rsid w:val="1F877427"/>
    <w:rsid w:val="1FC85AE5"/>
    <w:rsid w:val="21492AFF"/>
    <w:rsid w:val="21FC7CC7"/>
    <w:rsid w:val="222608A0"/>
    <w:rsid w:val="22665141"/>
    <w:rsid w:val="22DE3B4C"/>
    <w:rsid w:val="22EB3FC4"/>
    <w:rsid w:val="239A1546"/>
    <w:rsid w:val="23AB72AF"/>
    <w:rsid w:val="23CB16FF"/>
    <w:rsid w:val="243C3E04"/>
    <w:rsid w:val="24575689"/>
    <w:rsid w:val="2487559B"/>
    <w:rsid w:val="268B68CD"/>
    <w:rsid w:val="26BE379D"/>
    <w:rsid w:val="26F73072"/>
    <w:rsid w:val="2742617D"/>
    <w:rsid w:val="27B30E28"/>
    <w:rsid w:val="27F86829"/>
    <w:rsid w:val="282633A8"/>
    <w:rsid w:val="29233D8C"/>
    <w:rsid w:val="2937651F"/>
    <w:rsid w:val="2A1A0CEB"/>
    <w:rsid w:val="2A7725E1"/>
    <w:rsid w:val="2C6721E1"/>
    <w:rsid w:val="2CE51A84"/>
    <w:rsid w:val="2CF41CC7"/>
    <w:rsid w:val="2CFC5020"/>
    <w:rsid w:val="2D2C42C6"/>
    <w:rsid w:val="2E271C28"/>
    <w:rsid w:val="2E291F20"/>
    <w:rsid w:val="2E49469E"/>
    <w:rsid w:val="2E5D4CF4"/>
    <w:rsid w:val="2EDD678B"/>
    <w:rsid w:val="2F012479"/>
    <w:rsid w:val="301D7787"/>
    <w:rsid w:val="30D410B8"/>
    <w:rsid w:val="3116669A"/>
    <w:rsid w:val="31B859B9"/>
    <w:rsid w:val="31F97D80"/>
    <w:rsid w:val="32227714"/>
    <w:rsid w:val="32F3657D"/>
    <w:rsid w:val="33596D28"/>
    <w:rsid w:val="34545741"/>
    <w:rsid w:val="35431A3E"/>
    <w:rsid w:val="35496928"/>
    <w:rsid w:val="35E45907"/>
    <w:rsid w:val="35ED3757"/>
    <w:rsid w:val="360D7B2F"/>
    <w:rsid w:val="3652180C"/>
    <w:rsid w:val="36631C6B"/>
    <w:rsid w:val="36C941C4"/>
    <w:rsid w:val="3768578B"/>
    <w:rsid w:val="3801798E"/>
    <w:rsid w:val="38710670"/>
    <w:rsid w:val="38CB41BA"/>
    <w:rsid w:val="398D5FBB"/>
    <w:rsid w:val="39DA0497"/>
    <w:rsid w:val="3A14765C"/>
    <w:rsid w:val="3A6B09AD"/>
    <w:rsid w:val="3A884EE0"/>
    <w:rsid w:val="3A99371F"/>
    <w:rsid w:val="3AC56A51"/>
    <w:rsid w:val="3B4007CD"/>
    <w:rsid w:val="3BA4565D"/>
    <w:rsid w:val="3BAD061E"/>
    <w:rsid w:val="3BD5511E"/>
    <w:rsid w:val="3C103F98"/>
    <w:rsid w:val="3C924938"/>
    <w:rsid w:val="3C942B7F"/>
    <w:rsid w:val="3CAC611A"/>
    <w:rsid w:val="3CF25AF7"/>
    <w:rsid w:val="3D235CB1"/>
    <w:rsid w:val="3D5C1616"/>
    <w:rsid w:val="3D8A5D30"/>
    <w:rsid w:val="3D8C1AA8"/>
    <w:rsid w:val="3DB10D89"/>
    <w:rsid w:val="3E5A7DF8"/>
    <w:rsid w:val="3F60143E"/>
    <w:rsid w:val="3F732F1F"/>
    <w:rsid w:val="402204A1"/>
    <w:rsid w:val="4025341F"/>
    <w:rsid w:val="4050500F"/>
    <w:rsid w:val="405D60FF"/>
    <w:rsid w:val="40654401"/>
    <w:rsid w:val="409E016F"/>
    <w:rsid w:val="40B01F51"/>
    <w:rsid w:val="40E90FBF"/>
    <w:rsid w:val="411F0533"/>
    <w:rsid w:val="41A547A0"/>
    <w:rsid w:val="41CA1806"/>
    <w:rsid w:val="41FB71FC"/>
    <w:rsid w:val="42154762"/>
    <w:rsid w:val="42611755"/>
    <w:rsid w:val="4322216B"/>
    <w:rsid w:val="439E0787"/>
    <w:rsid w:val="447D214A"/>
    <w:rsid w:val="44915BF6"/>
    <w:rsid w:val="451F76A5"/>
    <w:rsid w:val="45CC15DB"/>
    <w:rsid w:val="46767799"/>
    <w:rsid w:val="4698770F"/>
    <w:rsid w:val="469A3487"/>
    <w:rsid w:val="46B45864"/>
    <w:rsid w:val="472114B3"/>
    <w:rsid w:val="47240FA3"/>
    <w:rsid w:val="47E26E94"/>
    <w:rsid w:val="47E744AA"/>
    <w:rsid w:val="47FE397B"/>
    <w:rsid w:val="480F1C53"/>
    <w:rsid w:val="486073D2"/>
    <w:rsid w:val="49041E4A"/>
    <w:rsid w:val="4A595408"/>
    <w:rsid w:val="4A7F4E6E"/>
    <w:rsid w:val="4ACB3111"/>
    <w:rsid w:val="4B810772"/>
    <w:rsid w:val="4BBC17AA"/>
    <w:rsid w:val="4BD20FCE"/>
    <w:rsid w:val="4C703CF4"/>
    <w:rsid w:val="4CAE37E9"/>
    <w:rsid w:val="4D7C1D03"/>
    <w:rsid w:val="4DE44FE8"/>
    <w:rsid w:val="4DEA4CF4"/>
    <w:rsid w:val="4E2F2707"/>
    <w:rsid w:val="4F2406B8"/>
    <w:rsid w:val="50E21CB3"/>
    <w:rsid w:val="50E81293"/>
    <w:rsid w:val="51031C29"/>
    <w:rsid w:val="514E7348"/>
    <w:rsid w:val="5167665C"/>
    <w:rsid w:val="51B55619"/>
    <w:rsid w:val="546E385E"/>
    <w:rsid w:val="547A0454"/>
    <w:rsid w:val="54B85FEF"/>
    <w:rsid w:val="54D42EDD"/>
    <w:rsid w:val="54E20E8F"/>
    <w:rsid w:val="5550118A"/>
    <w:rsid w:val="55545149"/>
    <w:rsid w:val="5572737D"/>
    <w:rsid w:val="560E52F8"/>
    <w:rsid w:val="56985BE6"/>
    <w:rsid w:val="56A812A9"/>
    <w:rsid w:val="570C1274"/>
    <w:rsid w:val="57284198"/>
    <w:rsid w:val="57831D16"/>
    <w:rsid w:val="57A811C4"/>
    <w:rsid w:val="57EE3633"/>
    <w:rsid w:val="587E69F3"/>
    <w:rsid w:val="58C47EF0"/>
    <w:rsid w:val="591C5F7E"/>
    <w:rsid w:val="59376914"/>
    <w:rsid w:val="5939268C"/>
    <w:rsid w:val="5947124D"/>
    <w:rsid w:val="59CF4D9E"/>
    <w:rsid w:val="5A513A05"/>
    <w:rsid w:val="5B8B661D"/>
    <w:rsid w:val="5B9C0963"/>
    <w:rsid w:val="5BF84A80"/>
    <w:rsid w:val="5BFB1E7B"/>
    <w:rsid w:val="5C256799"/>
    <w:rsid w:val="5C495FC5"/>
    <w:rsid w:val="5CC42BB4"/>
    <w:rsid w:val="5D1D56ED"/>
    <w:rsid w:val="5D303DA6"/>
    <w:rsid w:val="5E677C9B"/>
    <w:rsid w:val="5EBE02DB"/>
    <w:rsid w:val="5F276FFD"/>
    <w:rsid w:val="5F8328B3"/>
    <w:rsid w:val="603718EF"/>
    <w:rsid w:val="60575D56"/>
    <w:rsid w:val="6145382D"/>
    <w:rsid w:val="61630BEE"/>
    <w:rsid w:val="61972E1C"/>
    <w:rsid w:val="61A3723C"/>
    <w:rsid w:val="61D07906"/>
    <w:rsid w:val="62832BCA"/>
    <w:rsid w:val="630509BB"/>
    <w:rsid w:val="6311467A"/>
    <w:rsid w:val="63BD210C"/>
    <w:rsid w:val="63D1452F"/>
    <w:rsid w:val="640D03E9"/>
    <w:rsid w:val="643E324C"/>
    <w:rsid w:val="647E5D3F"/>
    <w:rsid w:val="64DC071B"/>
    <w:rsid w:val="64DE67DD"/>
    <w:rsid w:val="65501489"/>
    <w:rsid w:val="65652A5B"/>
    <w:rsid w:val="657A02B4"/>
    <w:rsid w:val="669B6734"/>
    <w:rsid w:val="67941A00"/>
    <w:rsid w:val="67C95523"/>
    <w:rsid w:val="68686AEA"/>
    <w:rsid w:val="68A66D41"/>
    <w:rsid w:val="694A2693"/>
    <w:rsid w:val="694C640B"/>
    <w:rsid w:val="69FB573C"/>
    <w:rsid w:val="6A1A051A"/>
    <w:rsid w:val="6AD22940"/>
    <w:rsid w:val="6B127E69"/>
    <w:rsid w:val="6B2A452A"/>
    <w:rsid w:val="6BE75F78"/>
    <w:rsid w:val="6BF6738D"/>
    <w:rsid w:val="6CDA682F"/>
    <w:rsid w:val="6D0F39D8"/>
    <w:rsid w:val="6D231231"/>
    <w:rsid w:val="6D6F091A"/>
    <w:rsid w:val="6D851EEC"/>
    <w:rsid w:val="6E98556D"/>
    <w:rsid w:val="6EF56BFD"/>
    <w:rsid w:val="6F9E4FDF"/>
    <w:rsid w:val="70756248"/>
    <w:rsid w:val="707A1AB0"/>
    <w:rsid w:val="70AD3C34"/>
    <w:rsid w:val="70D70CB1"/>
    <w:rsid w:val="723D2D95"/>
    <w:rsid w:val="72434C03"/>
    <w:rsid w:val="72646574"/>
    <w:rsid w:val="7270316B"/>
    <w:rsid w:val="72931BB1"/>
    <w:rsid w:val="72D03C09"/>
    <w:rsid w:val="72D635C2"/>
    <w:rsid w:val="743326A2"/>
    <w:rsid w:val="74B82BA7"/>
    <w:rsid w:val="759251A6"/>
    <w:rsid w:val="760F2C9B"/>
    <w:rsid w:val="780659D7"/>
    <w:rsid w:val="78AD0549"/>
    <w:rsid w:val="79420C91"/>
    <w:rsid w:val="795F5CE7"/>
    <w:rsid w:val="79D73ACF"/>
    <w:rsid w:val="7B5A76F3"/>
    <w:rsid w:val="7C454F90"/>
    <w:rsid w:val="7C712E7B"/>
    <w:rsid w:val="7C773348"/>
    <w:rsid w:val="7CAB4D9F"/>
    <w:rsid w:val="7CEC5AE4"/>
    <w:rsid w:val="7CF8186A"/>
    <w:rsid w:val="7D6531A0"/>
    <w:rsid w:val="7D6A4C5A"/>
    <w:rsid w:val="7DB163E5"/>
    <w:rsid w:val="7E2C39AD"/>
    <w:rsid w:val="7E357016"/>
    <w:rsid w:val="7F233313"/>
    <w:rsid w:val="7F2F7F0A"/>
    <w:rsid w:val="7F524668"/>
    <w:rsid w:val="7FA75CF2"/>
    <w:rsid w:val="7FAE708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rPr>
  </w:style>
  <w:style w:type="paragraph" w:styleId="4">
    <w:name w:val="annotation text"/>
    <w:basedOn w:val="1"/>
    <w:link w:val="42"/>
    <w:semiHidden/>
    <w:unhideWhenUsed/>
    <w:qFormat/>
    <w:uiPriority w:val="99"/>
    <w:pPr>
      <w:jc w:val="left"/>
    </w:pPr>
  </w:style>
  <w:style w:type="paragraph" w:styleId="5">
    <w:name w:val="Body Text"/>
    <w:basedOn w:val="1"/>
    <w:unhideWhenUsed/>
    <w:qFormat/>
    <w:uiPriority w:val="99"/>
    <w:pPr>
      <w:spacing w:after="120"/>
    </w:pPr>
  </w:style>
  <w:style w:type="paragraph" w:styleId="6">
    <w:name w:val="Body Text Indent"/>
    <w:basedOn w:val="1"/>
    <w:next w:val="7"/>
    <w:qFormat/>
    <w:uiPriority w:val="0"/>
    <w:pPr>
      <w:tabs>
        <w:tab w:val="left" w:pos="900"/>
      </w:tabs>
      <w:spacing w:line="540" w:lineRule="exact"/>
      <w:ind w:firstLine="561"/>
    </w:pPr>
    <w:rPr>
      <w:rFonts w:ascii="仿宋_GB2312" w:eastAsia="仿宋_GB2312"/>
      <w:lang w:val="zh-CN"/>
    </w:rPr>
  </w:style>
  <w:style w:type="paragraph" w:styleId="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alloon Text"/>
    <w:basedOn w:val="1"/>
    <w:link w:val="44"/>
    <w:semiHidden/>
    <w:unhideWhenUsed/>
    <w:qFormat/>
    <w:uiPriority w:val="99"/>
    <w:rPr>
      <w:sz w:val="18"/>
      <w:szCs w:val="18"/>
    </w:rPr>
  </w:style>
  <w:style w:type="paragraph" w:styleId="9">
    <w:name w:val="footer"/>
    <w:basedOn w:val="1"/>
    <w:link w:val="4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4"/>
    <w:next w:val="4"/>
    <w:link w:val="43"/>
    <w:semiHidden/>
    <w:unhideWhenUsed/>
    <w:qFormat/>
    <w:uiPriority w:val="99"/>
    <w:rPr>
      <w:b/>
      <w:bCs/>
    </w:rPr>
  </w:style>
  <w:style w:type="paragraph" w:styleId="12">
    <w:name w:val="Body Text First Indent"/>
    <w:basedOn w:val="1"/>
    <w:qFormat/>
    <w:uiPriority w:val="0"/>
    <w:pPr>
      <w:tabs>
        <w:tab w:val="left" w:pos="208"/>
      </w:tabs>
      <w:ind w:firstLine="420"/>
    </w:pPr>
    <w:rPr>
      <w:lang w:val="zh-CN"/>
    </w:rPr>
  </w:style>
  <w:style w:type="paragraph" w:styleId="13">
    <w:name w:val="Body Text First Indent 2"/>
    <w:basedOn w:val="6"/>
    <w:next w:val="12"/>
    <w:unhideWhenUsed/>
    <w:qFormat/>
    <w:uiPriority w:val="99"/>
    <w:pPr>
      <w:ind w:firstLine="420"/>
    </w:pPr>
  </w:style>
  <w:style w:type="character" w:styleId="16">
    <w:name w:val="annotation reference"/>
    <w:basedOn w:val="15"/>
    <w:semiHidden/>
    <w:unhideWhenUsed/>
    <w:qFormat/>
    <w:uiPriority w:val="99"/>
    <w:rPr>
      <w:sz w:val="21"/>
      <w:szCs w:val="21"/>
    </w:rPr>
  </w:style>
  <w:style w:type="paragraph" w:customStyle="1" w:styleId="1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8">
    <w:name w:val="※封面大标题"/>
    <w:basedOn w:val="1"/>
    <w:next w:val="1"/>
    <w:qFormat/>
    <w:uiPriority w:val="0"/>
    <w:pPr>
      <w:widowControl/>
      <w:jc w:val="center"/>
    </w:pPr>
    <w:rPr>
      <w:rFonts w:ascii="华文中宋" w:hAnsi="华文中宋" w:eastAsia="华文中宋"/>
      <w:sz w:val="96"/>
      <w:szCs w:val="96"/>
    </w:rPr>
  </w:style>
  <w:style w:type="paragraph" w:customStyle="1" w:styleId="19">
    <w:name w:val="※封面题颌"/>
    <w:basedOn w:val="1"/>
    <w:next w:val="1"/>
    <w:qFormat/>
    <w:uiPriority w:val="0"/>
    <w:pPr>
      <w:widowControl/>
      <w:jc w:val="center"/>
    </w:pPr>
    <w:rPr>
      <w:rFonts w:ascii="Calibri Light" w:hAnsi="Calibri Light" w:eastAsia="华文仿宋"/>
      <w:sz w:val="36"/>
      <w:szCs w:val="36"/>
    </w:rPr>
  </w:style>
  <w:style w:type="paragraph" w:customStyle="1" w:styleId="20">
    <w:name w:val="※封面题眉"/>
    <w:basedOn w:val="1"/>
    <w:next w:val="18"/>
    <w:qFormat/>
    <w:uiPriority w:val="0"/>
    <w:pPr>
      <w:widowControl/>
      <w:jc w:val="center"/>
    </w:pPr>
    <w:rPr>
      <w:rFonts w:ascii="华文仿宋" w:hAnsi="华文仿宋" w:eastAsia="华文仿宋"/>
      <w:sz w:val="52"/>
      <w:szCs w:val="28"/>
    </w:rPr>
  </w:style>
  <w:style w:type="paragraph" w:customStyle="1" w:styleId="21">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2">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3">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4">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5">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6">
    <w:name w:val="※小标题 一"/>
    <w:basedOn w:val="25"/>
    <w:next w:val="25"/>
    <w:qFormat/>
    <w:uiPriority w:val="0"/>
    <w:pPr>
      <w:spacing w:before="120" w:line="240" w:lineRule="auto"/>
      <w:outlineLvl w:val="2"/>
    </w:pPr>
    <w:rPr>
      <w:b/>
      <w:color w:val="203864" w:themeColor="accent5" w:themeShade="80"/>
      <w:sz w:val="32"/>
    </w:rPr>
  </w:style>
  <w:style w:type="paragraph" w:customStyle="1" w:styleId="27">
    <w:name w:val="※小标题（1）"/>
    <w:basedOn w:val="1"/>
    <w:next w:val="25"/>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8">
    <w:name w:val="※小标题（一）"/>
    <w:basedOn w:val="1"/>
    <w:next w:val="25"/>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9">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30">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1">
    <w:name w:val="※页眉"/>
    <w:basedOn w:val="25"/>
    <w:qFormat/>
    <w:uiPriority w:val="0"/>
    <w:pPr>
      <w:pBdr>
        <w:bottom w:val="single" w:color="auto" w:sz="4" w:space="1"/>
      </w:pBdr>
      <w:spacing w:line="240" w:lineRule="atLeast"/>
      <w:jc w:val="right"/>
    </w:pPr>
    <w:rPr>
      <w:rFonts w:ascii="宋体" w:hAnsi="宋体" w:eastAsia="宋体"/>
      <w:sz w:val="18"/>
    </w:rPr>
  </w:style>
  <w:style w:type="paragraph" w:customStyle="1" w:styleId="32">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3">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4">
    <w:name w:val="※章节标题（第Z部分分项）"/>
    <w:basedOn w:val="33"/>
    <w:qFormat/>
    <w:uiPriority w:val="0"/>
    <w:pPr>
      <w:outlineLvl w:val="2"/>
    </w:pPr>
  </w:style>
  <w:style w:type="paragraph" w:customStyle="1" w:styleId="35">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6">
    <w:name w:val="※正文（缩进2）"/>
    <w:basedOn w:val="25"/>
    <w:qFormat/>
    <w:uiPriority w:val="0"/>
    <w:pPr>
      <w:ind w:firstLine="200" w:firstLineChars="200"/>
    </w:pPr>
  </w:style>
  <w:style w:type="paragraph" w:customStyle="1" w:styleId="37">
    <w:name w:val="※正文（缩进4）"/>
    <w:basedOn w:val="25"/>
    <w:qFormat/>
    <w:uiPriority w:val="0"/>
    <w:pPr>
      <w:ind w:firstLine="400" w:firstLineChars="400"/>
    </w:pPr>
  </w:style>
  <w:style w:type="paragraph" w:customStyle="1" w:styleId="38">
    <w:name w:val="样式"/>
    <w:link w:val="3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9">
    <w:name w:val="样式 Char Char"/>
    <w:link w:val="38"/>
    <w:qFormat/>
    <w:locked/>
    <w:uiPriority w:val="0"/>
    <w:rPr>
      <w:rFonts w:ascii="宋体" w:hAnsi="宋体" w:eastAsia="宋体" w:cs="宋体"/>
      <w:kern w:val="0"/>
      <w:sz w:val="24"/>
      <w:szCs w:val="24"/>
    </w:rPr>
  </w:style>
  <w:style w:type="character" w:customStyle="1" w:styleId="40">
    <w:name w:val="页眉 Char"/>
    <w:basedOn w:val="15"/>
    <w:link w:val="7"/>
    <w:qFormat/>
    <w:uiPriority w:val="99"/>
    <w:rPr>
      <w:rFonts w:ascii="Calibri" w:hAnsi="Calibri" w:eastAsia="宋体" w:cs="Times New Roman"/>
      <w:sz w:val="18"/>
      <w:szCs w:val="18"/>
    </w:rPr>
  </w:style>
  <w:style w:type="character" w:customStyle="1" w:styleId="41">
    <w:name w:val="页脚 Char"/>
    <w:basedOn w:val="15"/>
    <w:link w:val="9"/>
    <w:qFormat/>
    <w:uiPriority w:val="99"/>
    <w:rPr>
      <w:rFonts w:ascii="Calibri" w:hAnsi="Calibri" w:eastAsia="宋体" w:cs="Times New Roman"/>
      <w:sz w:val="18"/>
      <w:szCs w:val="18"/>
    </w:rPr>
  </w:style>
  <w:style w:type="character" w:customStyle="1" w:styleId="42">
    <w:name w:val="批注文字 Char"/>
    <w:basedOn w:val="15"/>
    <w:link w:val="4"/>
    <w:semiHidden/>
    <w:qFormat/>
    <w:uiPriority w:val="99"/>
    <w:rPr>
      <w:rFonts w:ascii="Calibri" w:hAnsi="Calibri" w:eastAsia="宋体" w:cs="Times New Roman"/>
    </w:rPr>
  </w:style>
  <w:style w:type="character" w:customStyle="1" w:styleId="43">
    <w:name w:val="批注主题 Char"/>
    <w:basedOn w:val="42"/>
    <w:link w:val="11"/>
    <w:semiHidden/>
    <w:qFormat/>
    <w:uiPriority w:val="99"/>
    <w:rPr>
      <w:rFonts w:ascii="Calibri" w:hAnsi="Calibri" w:eastAsia="宋体" w:cs="Times New Roman"/>
      <w:b/>
      <w:bCs/>
    </w:rPr>
  </w:style>
  <w:style w:type="character" w:customStyle="1" w:styleId="44">
    <w:name w:val="批注框文本 Char"/>
    <w:basedOn w:val="15"/>
    <w:link w:val="8"/>
    <w:semiHidden/>
    <w:qFormat/>
    <w:uiPriority w:val="99"/>
    <w:rPr>
      <w:rFonts w:ascii="Calibri" w:hAnsi="Calibri" w:eastAsia="宋体" w:cs="Times New Roman"/>
      <w:sz w:val="18"/>
      <w:szCs w:val="18"/>
    </w:rPr>
  </w:style>
  <w:style w:type="paragraph" w:customStyle="1" w:styleId="45">
    <w:name w:val="null3"/>
    <w:hidden/>
    <w:qFormat/>
    <w:uiPriority w:val="0"/>
    <w:rPr>
      <w:rFonts w:hint="eastAsia" w:asciiTheme="minorHAnsi" w:hAnsiTheme="minorHAnsi" w:eastAsiaTheme="minorEastAsia" w:cstheme="minorBidi"/>
      <w:lang w:val="en-US" w:eastAsia="zh-Hans"/>
    </w:rPr>
  </w:style>
  <w:style w:type="paragraph" w:styleId="4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4452</Words>
  <Characters>4718</Characters>
  <Lines>21</Lines>
  <Paragraphs>6</Paragraphs>
  <TotalTime>0</TotalTime>
  <ScaleCrop>false</ScaleCrop>
  <LinksUpToDate>false</LinksUpToDate>
  <CharactersWithSpaces>4797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学凯</cp:lastModifiedBy>
  <dcterms:modified xsi:type="dcterms:W3CDTF">2025-08-06T08:59:39Z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CA501458B0434B8F92A4CD7936DC071F_13</vt:lpwstr>
  </property>
  <property fmtid="{D5CDD505-2E9C-101B-9397-08002B2CF9AE}" pid="4" name="KSOTemplateDocerSaveRecord">
    <vt:lpwstr>eyJoZGlkIjoiN2FmOGNjMjYxYTkzNGI4NWI0Mjc2YjE5MWY5MDBmMDYiLCJ1c2VySWQiOiIyNjkyNTU4MDcifQ==</vt:lpwstr>
  </property>
</Properties>
</file>