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74E3B">
      <w:pPr>
        <w:pStyle w:val="6"/>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bookmarkStart w:id="0" w:name="_GoBack"/>
      <w:r>
        <w:rPr>
          <w:rFonts w:hint="eastAsia" w:ascii="黑体" w:hAnsi="黑体" w:eastAsia="黑体"/>
          <w:b/>
          <w:sz w:val="32"/>
          <w:szCs w:val="32"/>
        </w:rPr>
        <w:t>谈判公告</w:t>
      </w:r>
    </w:p>
    <w:bookmarkEnd w:id="0"/>
    <w:p w14:paraId="5905F19E">
      <w:pPr>
        <w:pStyle w:val="6"/>
        <w:keepNext w:val="0"/>
        <w:keepLines w:val="0"/>
        <w:pageBreakBefore w:val="0"/>
        <w:kinsoku/>
        <w:overflowPunct/>
        <w:topLinePunct w:val="0"/>
        <w:bidi w:val="0"/>
        <w:spacing w:line="500" w:lineRule="exact"/>
        <w:ind w:firstLine="0" w:firstLineChars="0"/>
        <w:jc w:val="center"/>
        <w:textAlignment w:val="auto"/>
        <w:rPr>
          <w:rFonts w:hint="eastAsia" w:ascii="仿宋" w:hAnsi="仿宋" w:eastAsia="仿宋" w:cs="仿宋"/>
          <w:b w:val="0"/>
          <w:bCs/>
          <w:kern w:val="2"/>
          <w:sz w:val="28"/>
          <w:szCs w:val="28"/>
          <w:lang w:val="en-US" w:eastAsia="zh-CN" w:bidi="ar-SA"/>
        </w:rPr>
      </w:pPr>
    </w:p>
    <w:p w14:paraId="545CE5A1">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战斗班及消防员之家家具购置项目</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u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u w:val="none"/>
          <w:lang w:val="en-US" w:eastAsia="zh-CN"/>
        </w:rPr>
        <w:t>21</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下午13</w:t>
      </w:r>
      <w:r>
        <w:rPr>
          <w:rFonts w:hint="eastAsia" w:ascii="仿宋" w:hAnsi="仿宋" w:eastAsia="仿宋" w:cs="仿宋"/>
          <w:b w:val="0"/>
          <w:bCs/>
          <w:color w:val="auto"/>
          <w:sz w:val="28"/>
          <w:szCs w:val="28"/>
          <w:highlight w:val="none"/>
          <w:lang w:eastAsia="zh-CN"/>
        </w:rPr>
        <w:t>点30</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14:paraId="41A2FF07">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14:paraId="5A5D7E1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color w:val="auto"/>
          <w:sz w:val="28"/>
          <w:szCs w:val="28"/>
          <w:lang w:eastAsia="zh-CN"/>
        </w:rPr>
        <w:t>FGCG-JZXTP-20250</w:t>
      </w:r>
      <w:r>
        <w:rPr>
          <w:rFonts w:hint="eastAsia" w:ascii="仿宋" w:hAnsi="仿宋" w:eastAsia="仿宋" w:cs="仿宋"/>
          <w:b w:val="0"/>
          <w:bCs/>
          <w:color w:val="auto"/>
          <w:sz w:val="28"/>
          <w:szCs w:val="28"/>
          <w:lang w:val="en-US" w:eastAsia="zh-CN"/>
        </w:rPr>
        <w:t>10</w:t>
      </w:r>
    </w:p>
    <w:p w14:paraId="246B4395">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sz w:val="28"/>
          <w:szCs w:val="28"/>
          <w:lang w:eastAsia="zh-CN"/>
        </w:rPr>
        <w:t>战斗班及消防员之家家具购置项目</w:t>
      </w:r>
    </w:p>
    <w:p w14:paraId="33BA8D7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14:paraId="365C3A81">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w:t>
      </w:r>
      <w:r>
        <w:rPr>
          <w:rFonts w:hint="eastAsia" w:ascii="仿宋" w:hAnsi="仿宋" w:eastAsia="仿宋" w:cs="Times New Roman"/>
          <w:sz w:val="28"/>
          <w:szCs w:val="28"/>
          <w:lang w:val="en-US" w:eastAsia="zh-CN"/>
        </w:rPr>
        <w:t>527615.19</w:t>
      </w:r>
      <w:r>
        <w:rPr>
          <w:rFonts w:hint="eastAsia" w:ascii="仿宋" w:hAnsi="仿宋" w:eastAsia="仿宋" w:cs="仿宋"/>
          <w:b w:val="0"/>
          <w:bCs/>
          <w:kern w:val="2"/>
          <w:sz w:val="28"/>
          <w:szCs w:val="28"/>
          <w:lang w:val="en-US" w:eastAsia="zh-CN" w:bidi="ar-SA"/>
        </w:rPr>
        <w:t>元</w:t>
      </w:r>
    </w:p>
    <w:p w14:paraId="4E9D5D72">
      <w:pPr>
        <w:pStyle w:val="7"/>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w:t>
      </w:r>
      <w:r>
        <w:rPr>
          <w:rFonts w:hint="eastAsia" w:ascii="仿宋" w:hAnsi="仿宋" w:eastAsia="仿宋" w:cs="Times New Roman"/>
          <w:sz w:val="28"/>
          <w:szCs w:val="28"/>
          <w:lang w:val="en-US" w:eastAsia="zh-CN"/>
        </w:rPr>
        <w:t>527615.19</w:t>
      </w:r>
      <w:r>
        <w:rPr>
          <w:rFonts w:hint="eastAsia" w:ascii="仿宋" w:hAnsi="仿宋" w:eastAsia="仿宋" w:cs="仿宋"/>
          <w:b w:val="0"/>
          <w:bCs/>
          <w:kern w:val="2"/>
          <w:sz w:val="28"/>
          <w:szCs w:val="28"/>
          <w:lang w:val="en-US" w:eastAsia="zh-CN" w:bidi="ar-SA"/>
        </w:rPr>
        <w:t>元</w:t>
      </w:r>
    </w:p>
    <w:p w14:paraId="2812AA4F">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6、采购需求：</w:t>
      </w:r>
      <w:r>
        <w:rPr>
          <w:rFonts w:hint="eastAsia" w:ascii="仿宋" w:hAnsi="仿宋" w:eastAsia="仿宋" w:cs="仿宋"/>
          <w:bCs/>
        </w:rPr>
        <w:t>根据正规化建设需求，大队对消防员之家和战斗班升级改造，改造完毕后</w:t>
      </w:r>
      <w:r>
        <w:rPr>
          <w:rFonts w:hint="eastAsia" w:ascii="仿宋" w:hAnsi="仿宋" w:eastAsia="仿宋" w:cs="仿宋"/>
          <w:bCs/>
          <w:lang w:val="en-US" w:eastAsia="zh-CN"/>
        </w:rPr>
        <w:t>现</w:t>
      </w:r>
      <w:r>
        <w:rPr>
          <w:rFonts w:hint="eastAsia" w:ascii="仿宋" w:hAnsi="仿宋" w:eastAsia="仿宋" w:cs="仿宋"/>
          <w:bCs/>
        </w:rPr>
        <w:t>需购置餐桌、沙发、备勤桌、鞋柜、会议桌、床、消毒柜、台球案等家具一批，根据需求安装到位，符合要求。</w:t>
      </w:r>
    </w:p>
    <w:p w14:paraId="3875CE8E">
      <w:pPr>
        <w:spacing w:line="500" w:lineRule="exact"/>
        <w:ind w:firstLine="560" w:firstLineChars="200"/>
        <w:rPr>
          <w:rFonts w:ascii="仿宋" w:hAnsi="仿宋" w:eastAsia="仿宋" w:cs="仿宋"/>
          <w:bCs/>
        </w:rPr>
      </w:pPr>
      <w:r>
        <w:rPr>
          <w:rFonts w:hint="eastAsia" w:ascii="仿宋" w:hAnsi="仿宋" w:eastAsia="仿宋" w:cs="仿宋"/>
          <w:bCs/>
        </w:rPr>
        <w:t>具体</w:t>
      </w:r>
      <w:r>
        <w:rPr>
          <w:rFonts w:hint="eastAsia" w:ascii="仿宋" w:hAnsi="仿宋" w:eastAsia="仿宋" w:cs="仿宋"/>
          <w:b w:val="0"/>
          <w:bCs/>
          <w:sz w:val="28"/>
          <w:szCs w:val="28"/>
          <w:lang w:val="en-US" w:eastAsia="zh-CN"/>
        </w:rPr>
        <w:t>内容</w:t>
      </w:r>
      <w:r>
        <w:rPr>
          <w:rFonts w:hint="eastAsia" w:ascii="仿宋" w:hAnsi="仿宋" w:eastAsia="仿宋" w:cs="仿宋"/>
          <w:bCs/>
        </w:rPr>
        <w:t>详见谈判文件第三章〈采购内容及采购要求〉</w:t>
      </w:r>
    </w:p>
    <w:p w14:paraId="40C7AFCC">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交货期：</w:t>
      </w:r>
      <w:r>
        <w:rPr>
          <w:rFonts w:hint="eastAsia" w:ascii="仿宋" w:hAnsi="仿宋" w:eastAsia="仿宋" w:cs="仿宋"/>
          <w:bCs/>
          <w:kern w:val="2"/>
          <w:sz w:val="28"/>
          <w:szCs w:val="28"/>
          <w:lang w:val="en-US" w:eastAsia="zh-CN" w:bidi="ar-SA"/>
        </w:rPr>
        <w:t>合同签订后15天内，所有货物安装到位，达到验收标准。</w:t>
      </w:r>
    </w:p>
    <w:p w14:paraId="0FDCF2B1">
      <w:pPr>
        <w:pStyle w:val="2"/>
        <w:numPr>
          <w:ilvl w:val="0"/>
          <w:numId w:val="1"/>
        </w:numPr>
        <w:spacing w:line="500" w:lineRule="exact"/>
        <w:ind w:firstLine="560" w:firstLineChars="200"/>
        <w:rPr>
          <w:rFonts w:ascii="仿宋" w:hAnsi="仿宋" w:eastAsia="仿宋" w:cs="仿宋"/>
          <w:bCs/>
        </w:rPr>
      </w:pPr>
      <w:r>
        <w:rPr>
          <w:rFonts w:hint="eastAsia" w:ascii="仿宋" w:hAnsi="仿宋" w:eastAsia="仿宋" w:cs="仿宋"/>
          <w:bCs/>
        </w:rPr>
        <w:t>是否接受联合体：否</w:t>
      </w:r>
    </w:p>
    <w:p w14:paraId="0FFE300F">
      <w:pPr>
        <w:spacing w:line="500" w:lineRule="exact"/>
        <w:ind w:firstLine="562" w:firstLineChars="200"/>
        <w:rPr>
          <w:rFonts w:ascii="仿宋" w:hAnsi="仿宋" w:eastAsia="仿宋" w:cs="仿宋"/>
          <w:b/>
          <w:bCs w:val="0"/>
        </w:rPr>
      </w:pPr>
      <w:r>
        <w:rPr>
          <w:rFonts w:hint="eastAsia" w:ascii="仿宋" w:hAnsi="仿宋" w:eastAsia="仿宋" w:cs="仿宋"/>
          <w:b/>
          <w:bCs w:val="0"/>
        </w:rPr>
        <w:t>二、申请人的资格要求：</w:t>
      </w:r>
    </w:p>
    <w:p w14:paraId="512D8130">
      <w:pPr>
        <w:spacing w:line="500" w:lineRule="exact"/>
        <w:ind w:firstLine="560" w:firstLineChars="200"/>
        <w:rPr>
          <w:rFonts w:ascii="仿宋" w:hAnsi="仿宋" w:eastAsia="仿宋" w:cs="仿宋"/>
        </w:rPr>
      </w:pPr>
      <w:r>
        <w:rPr>
          <w:rFonts w:hint="eastAsia" w:ascii="仿宋" w:hAnsi="仿宋" w:eastAsia="仿宋" w:cs="仿宋"/>
        </w:rPr>
        <w:t xml:space="preserve">1、满足《中华人民共和国政府采购法》第二十二条的规定； </w:t>
      </w:r>
    </w:p>
    <w:p w14:paraId="66F52816">
      <w:pPr>
        <w:pStyle w:val="2"/>
        <w:spacing w:line="500" w:lineRule="exact"/>
        <w:ind w:firstLine="548" w:firstLineChars="196"/>
        <w:rPr>
          <w:rFonts w:hint="eastAsia" w:ascii="仿宋" w:hAnsi="仿宋" w:eastAsia="仿宋" w:cs="仿宋"/>
        </w:rPr>
      </w:pPr>
      <w:r>
        <w:rPr>
          <w:rFonts w:hint="eastAsia" w:ascii="仿宋" w:hAnsi="仿宋" w:eastAsia="仿宋" w:cs="仿宋"/>
        </w:rPr>
        <w:t xml:space="preserve">2、落实政府采购政策需满足的资格要求： </w:t>
      </w:r>
    </w:p>
    <w:p w14:paraId="65AD335F">
      <w:pPr>
        <w:pStyle w:val="2"/>
        <w:keepNext w:val="0"/>
        <w:keepLines w:val="0"/>
        <w:pageBreakBefore w:val="0"/>
        <w:widowControl w:val="0"/>
        <w:kinsoku/>
        <w:wordWrap/>
        <w:overflowPunct/>
        <w:topLinePunct w:val="0"/>
        <w:autoSpaceDE/>
        <w:autoSpaceDN/>
        <w:bidi w:val="0"/>
        <w:adjustRightInd/>
        <w:snapToGrid/>
        <w:spacing w:line="500" w:lineRule="exact"/>
        <w:ind w:firstLine="551" w:firstLineChars="196"/>
        <w:textAlignment w:val="auto"/>
        <w:rPr>
          <w:rFonts w:hint="eastAsia"/>
          <w:b/>
        </w:rPr>
      </w:pPr>
      <w:r>
        <w:rPr>
          <w:rFonts w:hint="eastAsia"/>
          <w:b/>
        </w:rPr>
        <w:t>本项目专门面向中小企业采购</w:t>
      </w:r>
      <w:r>
        <w:rPr>
          <w:rFonts w:hint="eastAsia"/>
        </w:rPr>
        <w:t>，</w:t>
      </w:r>
      <w:r>
        <w:rPr>
          <w:rFonts w:hint="eastAsia"/>
          <w:b/>
        </w:rPr>
        <w:t>所有货物必须由中小微企业或残疾人福利性单位或监狱企业生产。</w:t>
      </w:r>
    </w:p>
    <w:p w14:paraId="5C2A97EF">
      <w:pPr>
        <w:spacing w:line="500" w:lineRule="exact"/>
        <w:ind w:firstLine="560" w:firstLineChars="200"/>
        <w:rPr>
          <w:rFonts w:hint="default" w:eastAsia="华文仿宋"/>
          <w:lang w:val="en-US" w:eastAsia="zh-CN"/>
        </w:rPr>
      </w:pPr>
      <w:r>
        <w:rPr>
          <w:rFonts w:hint="eastAsia" w:ascii="华文仿宋" w:hAnsi="华文仿宋" w:cs="华文仿宋"/>
        </w:rPr>
        <w:t>执行政策《政府采购促进中小企业发展管理办法》（财库[2020]46号）、《关于政府采购支持监狱企业发展有关问题的通知》（财库〔2014〕68号）、及《关于促进残疾人就业政府采购政策的通知》（财库〔2017〕141号）。</w:t>
      </w:r>
    </w:p>
    <w:p w14:paraId="605718FB">
      <w:pPr>
        <w:spacing w:line="500" w:lineRule="exact"/>
        <w:ind w:firstLine="560" w:firstLineChars="200"/>
        <w:rPr>
          <w:rFonts w:hint="eastAsia" w:ascii="仿宋" w:hAnsi="仿宋" w:eastAsia="仿宋" w:cs="仿宋"/>
        </w:rPr>
      </w:pPr>
      <w:r>
        <w:rPr>
          <w:rFonts w:hint="eastAsia" w:ascii="仿宋" w:hAnsi="仿宋" w:eastAsia="仿宋" w:cs="仿宋"/>
        </w:rPr>
        <w:t>3、本项目的特定资格要求：</w:t>
      </w:r>
    </w:p>
    <w:p w14:paraId="55E53842">
      <w:pPr>
        <w:widowControl w:val="0"/>
        <w:spacing w:line="460" w:lineRule="exact"/>
        <w:ind w:firstLine="562" w:firstLineChars="200"/>
        <w:rPr>
          <w:rFonts w:ascii="仿宋" w:hAnsi="仿宋" w:eastAsia="仿宋" w:cs="仿宋"/>
        </w:rPr>
      </w:pPr>
      <w:r>
        <w:rPr>
          <w:rFonts w:hint="eastAsia" w:ascii="仿宋" w:hAnsi="仿宋" w:eastAsia="仿宋" w:cs="仿宋"/>
          <w:b/>
          <w:bCs/>
        </w:rPr>
        <w:t>（1）供应商性质证明文件</w:t>
      </w:r>
      <w:r>
        <w:rPr>
          <w:rFonts w:hint="eastAsia" w:ascii="仿宋" w:hAnsi="仿宋" w:eastAsia="仿宋" w:cs="仿宋"/>
        </w:rPr>
        <w:t>：</w:t>
      </w:r>
      <w:r>
        <w:rPr>
          <w:rFonts w:hint="eastAsia" w:ascii="仿宋" w:hAnsi="仿宋" w:eastAsia="仿宋" w:cs="仿宋"/>
          <w:lang w:val="en-US" w:eastAsia="zh-CN"/>
        </w:rPr>
        <w:t>本</w:t>
      </w:r>
      <w:r>
        <w:rPr>
          <w:rFonts w:hint="eastAsia" w:ascii="仿宋" w:hAnsi="仿宋" w:eastAsia="仿宋" w:cs="仿宋"/>
        </w:rPr>
        <w:t>项目专门面向</w:t>
      </w:r>
      <w:r>
        <w:rPr>
          <w:rFonts w:hint="eastAsia" w:ascii="仿宋" w:hAnsi="仿宋" w:eastAsia="仿宋" w:cs="仿宋"/>
          <w:lang w:val="en-US" w:eastAsia="zh-CN"/>
        </w:rPr>
        <w:t>中小</w:t>
      </w:r>
      <w:r>
        <w:rPr>
          <w:rFonts w:hint="eastAsia" w:ascii="仿宋" w:hAnsi="仿宋" w:eastAsia="仿宋" w:cs="仿宋"/>
        </w:rPr>
        <w:t>企业采购，提供有效的中小企业声明函或残疾人福利性单位声明函或监狱企业证明函。</w:t>
      </w:r>
    </w:p>
    <w:p w14:paraId="1C35B3C2">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2</w:t>
      </w:r>
      <w:r>
        <w:rPr>
          <w:rFonts w:ascii="仿宋" w:hAnsi="仿宋" w:eastAsia="仿宋" w:cs="华文仿宋"/>
          <w:b/>
          <w:bCs/>
        </w:rPr>
        <w:t>）</w:t>
      </w:r>
      <w:r>
        <w:rPr>
          <w:rFonts w:ascii="仿宋" w:hAnsi="仿宋" w:eastAsia="仿宋" w:cs="华文仿宋"/>
          <w:b/>
        </w:rPr>
        <w:t>营业执照等主体资格证明文件：</w:t>
      </w:r>
      <w:r>
        <w:rPr>
          <w:rFonts w:ascii="仿宋" w:hAnsi="仿宋" w:eastAsia="仿宋" w:cs="华文仿宋"/>
        </w:rPr>
        <w:t>具有独立承担民事责任能力的法人、其他组织或自然人。企业法人应提供有效的营业执照及</w:t>
      </w:r>
      <w:r>
        <w:rPr>
          <w:rFonts w:hint="eastAsia" w:ascii="仿宋" w:hAnsi="仿宋" w:eastAsia="仿宋" w:cs="华文仿宋"/>
          <w:lang w:val="en-US" w:eastAsia="zh-CN"/>
        </w:rPr>
        <w:t>2024年</w:t>
      </w:r>
      <w:r>
        <w:rPr>
          <w:rFonts w:ascii="仿宋" w:hAnsi="仿宋" w:eastAsia="仿宋" w:cs="华文仿宋"/>
        </w:rPr>
        <w:t>企业年度报告书；其他组织应提供合法有效的登记证明文件；自然人参与的提供其身份证</w:t>
      </w:r>
      <w:r>
        <w:rPr>
          <w:rFonts w:hint="eastAsia" w:ascii="仿宋" w:hAnsi="仿宋" w:eastAsia="仿宋" w:cs="华文仿宋"/>
        </w:rPr>
        <w:t>；</w:t>
      </w:r>
    </w:p>
    <w:p w14:paraId="1F5F754C">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3</w:t>
      </w:r>
      <w:r>
        <w:rPr>
          <w:rFonts w:ascii="仿宋" w:hAnsi="仿宋" w:eastAsia="仿宋" w:cs="华文仿宋"/>
          <w:b/>
          <w:bCs/>
        </w:rPr>
        <w:t>）</w:t>
      </w:r>
      <w:r>
        <w:rPr>
          <w:rFonts w:ascii="仿宋" w:hAnsi="仿宋" w:eastAsia="仿宋" w:cs="华文仿宋"/>
          <w:b/>
        </w:rPr>
        <w:t>提供具有履行合同所必需的设备和专业技术能力的承诺；</w:t>
      </w:r>
      <w:r>
        <w:rPr>
          <w:rFonts w:ascii="仿宋" w:hAnsi="仿宋" w:eastAsia="仿宋" w:cs="华文仿宋"/>
        </w:rPr>
        <w:t>（格式自拟）</w:t>
      </w:r>
    </w:p>
    <w:p w14:paraId="51D9250F">
      <w:pPr>
        <w:spacing w:line="500" w:lineRule="exact"/>
        <w:ind w:firstLine="562" w:firstLineChars="200"/>
        <w:rPr>
          <w:rFonts w:ascii="仿宋" w:hAnsi="仿宋" w:eastAsia="仿宋" w:cs="华文仿宋"/>
        </w:rPr>
      </w:pPr>
      <w:r>
        <w:rPr>
          <w:rFonts w:ascii="仿宋" w:hAnsi="仿宋" w:eastAsia="仿宋" w:cs="华文仿宋"/>
          <w:b/>
          <w:bCs/>
        </w:rPr>
        <w:t>（</w:t>
      </w:r>
      <w:r>
        <w:rPr>
          <w:rFonts w:hint="eastAsia" w:ascii="仿宋" w:hAnsi="仿宋" w:eastAsia="仿宋" w:cs="华文仿宋"/>
          <w:b/>
          <w:bCs/>
          <w:lang w:val="en-US" w:eastAsia="zh-CN"/>
        </w:rPr>
        <w:t>4</w:t>
      </w:r>
      <w:r>
        <w:rPr>
          <w:rFonts w:ascii="仿宋" w:hAnsi="仿宋" w:eastAsia="仿宋" w:cs="华文仿宋"/>
          <w:b/>
          <w:bCs/>
        </w:rPr>
        <w:t>）</w:t>
      </w:r>
      <w:r>
        <w:rPr>
          <w:rFonts w:ascii="仿宋" w:hAnsi="仿宋" w:eastAsia="仿宋" w:cs="华文仿宋"/>
          <w:b/>
        </w:rPr>
        <w:t>财务状况报告：</w:t>
      </w:r>
      <w:r>
        <w:rPr>
          <w:rFonts w:ascii="仿宋" w:hAnsi="仿宋" w:eastAsia="仿宋" w:cs="华文仿宋"/>
        </w:rPr>
        <w:t>提供</w:t>
      </w:r>
      <w:r>
        <w:rPr>
          <w:rFonts w:hint="eastAsia" w:ascii="仿宋" w:hAnsi="仿宋" w:eastAsia="仿宋" w:cs="华文仿宋"/>
          <w:color w:val="auto"/>
          <w:lang w:val="en-US" w:eastAsia="zh-CN"/>
        </w:rPr>
        <w:t>2023年或2024年</w:t>
      </w:r>
      <w:r>
        <w:rPr>
          <w:rFonts w:hint="eastAsia" w:ascii="仿宋" w:hAnsi="仿宋" w:eastAsia="仿宋" w:cs="华文仿宋"/>
          <w:lang w:val="en-US" w:eastAsia="zh-CN"/>
        </w:rPr>
        <w:t>度</w:t>
      </w:r>
      <w:r>
        <w:rPr>
          <w:rFonts w:ascii="仿宋" w:hAnsi="仿宋" w:eastAsia="仿宋" w:cs="华文仿宋"/>
        </w:rPr>
        <w:t>财务审计报告（包括审计报告、资产负债表、利润表、现金流量表，成立时间至提交谈判响应文件截止时间不足一年的可提供成立后任意时段的资产负债表、利润表、现金流量表）或开标时间前三个月内开户银行出具的资信证明；其他组织和自然人提供开标时间前三个月内开户银行出具的资信证明；</w:t>
      </w:r>
    </w:p>
    <w:p w14:paraId="1F75810D">
      <w:pPr>
        <w:widowControl w:val="0"/>
        <w:spacing w:line="460" w:lineRule="exact"/>
        <w:ind w:firstLine="562" w:firstLineChars="200"/>
        <w:rPr>
          <w:rFonts w:ascii="仿宋" w:hAnsi="仿宋" w:eastAsia="仿宋" w:cs="仿宋"/>
        </w:rPr>
      </w:pPr>
      <w:r>
        <w:rPr>
          <w:rFonts w:hint="eastAsia" w:ascii="仿宋" w:hAnsi="仿宋" w:eastAsia="仿宋" w:cs="仿宋"/>
          <w:b/>
          <w:bCs/>
        </w:rPr>
        <w:t>（</w:t>
      </w:r>
      <w:r>
        <w:rPr>
          <w:rFonts w:hint="eastAsia" w:ascii="仿宋" w:hAnsi="仿宋" w:eastAsia="仿宋" w:cs="仿宋"/>
          <w:b/>
          <w:bCs/>
          <w:lang w:val="en-US" w:eastAsia="zh-CN"/>
        </w:rPr>
        <w:t>5</w:t>
      </w:r>
      <w:r>
        <w:rPr>
          <w:rFonts w:hint="eastAsia" w:ascii="仿宋" w:hAnsi="仿宋" w:eastAsia="仿宋" w:cs="仿宋"/>
          <w:b/>
          <w:bCs/>
        </w:rPr>
        <w:t>）社保缴纳证明</w:t>
      </w:r>
      <w:r>
        <w:rPr>
          <w:rFonts w:hint="eastAsia" w:ascii="仿宋" w:hAnsi="仿宋" w:eastAsia="仿宋" w:cs="仿宋"/>
        </w:rPr>
        <w:t>：提供社保经办机构出具的202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6月、7月8月</w:t>
      </w:r>
      <w:r>
        <w:rPr>
          <w:rFonts w:hint="eastAsia" w:ascii="仿宋" w:hAnsi="仿宋" w:eastAsia="仿宋" w:cs="仿宋"/>
        </w:rPr>
        <w:t>份内至少1个月的社会保障资金缴费证明材料（五险一金其中一项即可，应可查询），依法不需要缴纳社会保障资金的单位应提供相关证明材料；</w:t>
      </w:r>
    </w:p>
    <w:p w14:paraId="273A6D03">
      <w:pPr>
        <w:spacing w:line="500" w:lineRule="exact"/>
        <w:ind w:firstLine="562" w:firstLineChars="200"/>
        <w:rPr>
          <w:rFonts w:ascii="仿宋" w:hAnsi="仿宋" w:eastAsia="仿宋" w:cs="华文仿宋"/>
          <w:color w:val="auto"/>
        </w:rPr>
      </w:pPr>
      <w:r>
        <w:rPr>
          <w:rFonts w:ascii="仿宋" w:hAnsi="仿宋" w:eastAsia="仿宋" w:cs="华文仿宋"/>
          <w:b/>
          <w:bCs/>
        </w:rPr>
        <w:t>（</w:t>
      </w:r>
      <w:r>
        <w:rPr>
          <w:rFonts w:hint="eastAsia" w:ascii="仿宋" w:hAnsi="仿宋" w:eastAsia="仿宋" w:cs="华文仿宋"/>
          <w:b/>
          <w:bCs/>
          <w:lang w:val="en-US" w:eastAsia="zh-CN"/>
        </w:rPr>
        <w:t>6</w:t>
      </w:r>
      <w:r>
        <w:rPr>
          <w:rFonts w:ascii="仿宋" w:hAnsi="仿宋" w:eastAsia="仿宋" w:cs="华文仿宋"/>
          <w:b/>
          <w:bCs/>
        </w:rPr>
        <w:t>）</w:t>
      </w:r>
      <w:r>
        <w:rPr>
          <w:rFonts w:ascii="仿宋" w:hAnsi="仿宋" w:eastAsia="仿宋" w:cs="华文仿宋"/>
          <w:b/>
        </w:rPr>
        <w:t>税收缴纳证明：</w:t>
      </w:r>
      <w:r>
        <w:rPr>
          <w:rFonts w:ascii="仿宋" w:hAnsi="仿宋" w:eastAsia="仿宋" w:cs="华文仿宋"/>
          <w:color w:val="auto"/>
        </w:rPr>
        <w:t>提供</w:t>
      </w:r>
      <w:r>
        <w:rPr>
          <w:rFonts w:hint="eastAsia" w:ascii="仿宋" w:hAnsi="仿宋" w:eastAsia="仿宋" w:cs="华文仿宋"/>
          <w:color w:val="auto"/>
          <w:lang w:eastAsia="zh-CN"/>
        </w:rPr>
        <w:t>202</w:t>
      </w:r>
      <w:r>
        <w:rPr>
          <w:rFonts w:hint="eastAsia" w:ascii="仿宋" w:hAnsi="仿宋" w:eastAsia="仿宋" w:cs="华文仿宋"/>
          <w:color w:val="auto"/>
          <w:lang w:val="en-US" w:eastAsia="zh-CN"/>
        </w:rPr>
        <w:t>5</w:t>
      </w:r>
      <w:r>
        <w:rPr>
          <w:rFonts w:hint="eastAsia" w:ascii="仿宋" w:hAnsi="仿宋" w:eastAsia="仿宋" w:cs="华文仿宋"/>
          <w:color w:val="auto"/>
          <w:lang w:eastAsia="zh-CN"/>
        </w:rPr>
        <w:t>年</w:t>
      </w:r>
      <w:r>
        <w:rPr>
          <w:rFonts w:hint="eastAsia" w:ascii="仿宋" w:hAnsi="仿宋" w:eastAsia="仿宋" w:cs="华文仿宋"/>
          <w:color w:val="auto"/>
          <w:lang w:val="en-US" w:eastAsia="zh-CN"/>
        </w:rPr>
        <w:t>3</w:t>
      </w:r>
      <w:r>
        <w:rPr>
          <w:rFonts w:hint="eastAsia" w:ascii="仿宋" w:hAnsi="仿宋" w:eastAsia="仿宋" w:cs="华文仿宋"/>
          <w:color w:val="auto"/>
          <w:lang w:eastAsia="zh-CN"/>
        </w:rPr>
        <w:t>月-</w:t>
      </w:r>
      <w:r>
        <w:rPr>
          <w:rFonts w:hint="eastAsia" w:ascii="仿宋" w:hAnsi="仿宋" w:eastAsia="仿宋" w:cs="华文仿宋"/>
          <w:color w:val="auto"/>
          <w:lang w:val="en-US" w:eastAsia="zh-CN"/>
        </w:rPr>
        <w:t>8</w:t>
      </w:r>
      <w:r>
        <w:rPr>
          <w:rFonts w:hint="eastAsia" w:ascii="仿宋" w:hAnsi="仿宋" w:eastAsia="仿宋" w:cs="华文仿宋"/>
          <w:color w:val="auto"/>
          <w:lang w:eastAsia="zh-CN"/>
        </w:rPr>
        <w:t>月</w:t>
      </w:r>
      <w:r>
        <w:rPr>
          <w:rFonts w:ascii="仿宋" w:hAnsi="仿宋" w:eastAsia="仿宋" w:cs="华文仿宋"/>
          <w:color w:val="auto"/>
        </w:rPr>
        <w:t>内</w:t>
      </w:r>
      <w:r>
        <w:rPr>
          <w:rFonts w:hint="eastAsia" w:ascii="仿宋" w:hAnsi="仿宋" w:eastAsia="仿宋" w:cs="华文仿宋"/>
          <w:color w:val="auto"/>
          <w:lang w:eastAsia="zh-CN"/>
        </w:rPr>
        <w:t>至少1个月</w:t>
      </w:r>
      <w:r>
        <w:rPr>
          <w:rFonts w:ascii="仿宋" w:hAnsi="仿宋" w:eastAsia="仿宋" w:cs="华文仿宋"/>
          <w:color w:val="auto"/>
        </w:rPr>
        <w:t>的纳税证明或完税证明，纳税证明或完税证明上应有代收机构或税务机关的公章或业务专用章。依法免税的供应商应提供相关文件证明材料；</w:t>
      </w:r>
    </w:p>
    <w:p w14:paraId="70CAFDA9">
      <w:pPr>
        <w:widowControl w:val="0"/>
        <w:spacing w:line="460" w:lineRule="exact"/>
        <w:ind w:firstLine="562" w:firstLineChars="200"/>
        <w:rPr>
          <w:rFonts w:hint="eastAsia" w:ascii="仿宋" w:hAnsi="仿宋" w:eastAsia="仿宋" w:cs="仿宋"/>
          <w:color w:val="auto"/>
          <w:sz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华文仿宋" w:hAnsi="华文仿宋" w:cs="华文仿宋"/>
          <w:lang w:val="en-US" w:eastAsia="zh-CN"/>
        </w:rPr>
        <w:t>提供</w:t>
      </w:r>
      <w:r>
        <w:rPr>
          <w:rFonts w:hint="eastAsia" w:ascii="华文仿宋" w:hAnsi="华文仿宋" w:cs="华文仿宋"/>
        </w:rPr>
        <w:t>供应商在参加本次政府采购活动前3年内的经营活动中没有重大违法记录；未被列入【“信用中国”网站</w:t>
      </w:r>
      <w:r>
        <w:rPr>
          <w:rFonts w:ascii="华文仿宋" w:hAnsi="华文仿宋" w:cs="仿宋"/>
          <w:kern w:val="28"/>
          <w:sz w:val="24"/>
          <w:szCs w:val="24"/>
        </w:rPr>
        <w:t>(</w:t>
      </w:r>
      <w:r>
        <w:fldChar w:fldCharType="begin"/>
      </w:r>
      <w:r>
        <w:instrText xml:space="preserve"> HYPERLINK "http://www.creditchina.gov.cn" </w:instrText>
      </w:r>
      <w:r>
        <w:fldChar w:fldCharType="separate"/>
      </w:r>
      <w:r>
        <w:rPr>
          <w:rStyle w:val="5"/>
          <w:rFonts w:ascii="华文仿宋" w:hAnsi="华文仿宋" w:cs="仿宋"/>
          <w:kern w:val="28"/>
          <w:sz w:val="24"/>
          <w:szCs w:val="24"/>
        </w:rPr>
        <w:t>www.creditchina.gov.cn</w:t>
      </w:r>
      <w:r>
        <w:rPr>
          <w:rStyle w:val="5"/>
          <w:rFonts w:ascii="华文仿宋" w:hAnsi="华文仿宋" w:cs="仿宋"/>
          <w:kern w:val="28"/>
          <w:sz w:val="24"/>
          <w:szCs w:val="24"/>
        </w:rPr>
        <w:fldChar w:fldCharType="end"/>
      </w:r>
      <w:r>
        <w:rPr>
          <w:rFonts w:ascii="华文仿宋" w:hAnsi="华文仿宋" w:cs="仿宋"/>
          <w:kern w:val="28"/>
          <w:sz w:val="24"/>
          <w:szCs w:val="24"/>
        </w:rPr>
        <w:t>)】</w:t>
      </w:r>
      <w:r>
        <w:rPr>
          <w:rFonts w:ascii="华文仿宋" w:hAnsi="华文仿宋" w:cs="华文仿宋"/>
        </w:rPr>
        <w:t>失信被执行人、重大税收违法案件当事人名单；不处于【中国政府采购网(</w:t>
      </w:r>
      <w:r>
        <w:fldChar w:fldCharType="begin"/>
      </w:r>
      <w:r>
        <w:instrText xml:space="preserve"> HYPERLINK "http://www.ccgp.gov.cn" </w:instrText>
      </w:r>
      <w:r>
        <w:fldChar w:fldCharType="separate"/>
      </w:r>
      <w:r>
        <w:rPr>
          <w:rStyle w:val="5"/>
          <w:rFonts w:ascii="华文仿宋" w:hAnsi="华文仿宋" w:cs="华文仿宋"/>
          <w:sz w:val="28"/>
        </w:rPr>
        <w:t>www.ccgp.gov.cn</w:t>
      </w:r>
      <w:r>
        <w:rPr>
          <w:rStyle w:val="5"/>
          <w:rFonts w:ascii="华文仿宋" w:hAnsi="华文仿宋" w:cs="华文仿宋"/>
          <w:sz w:val="28"/>
        </w:rPr>
        <w:fldChar w:fldCharType="end"/>
      </w:r>
      <w:r>
        <w:rPr>
          <w:rFonts w:ascii="华文仿宋" w:hAnsi="华文仿宋" w:cs="华文仿宋"/>
        </w:rPr>
        <w:t>)】“政府采购严重违法失信行为信息记录”中的禁止参加政府采购活动期间</w:t>
      </w:r>
      <w:r>
        <w:rPr>
          <w:rFonts w:hint="eastAsia" w:ascii="华文仿宋" w:hAnsi="华文仿宋" w:cs="Calibri Light"/>
          <w:kern w:val="2"/>
          <w:sz w:val="28"/>
        </w:rPr>
        <w:t>的《</w:t>
      </w:r>
      <w:r>
        <w:rPr>
          <w:rFonts w:hint="eastAsia" w:ascii="华文仿宋" w:hAnsi="华文仿宋" w:cs="Calibri Light"/>
          <w:kern w:val="2"/>
          <w:sz w:val="28"/>
          <w:lang w:val="en-US" w:eastAsia="zh-CN"/>
        </w:rPr>
        <w:t>供应商</w:t>
      </w:r>
      <w:r>
        <w:rPr>
          <w:rFonts w:hint="eastAsia" w:ascii="华文仿宋" w:hAnsi="华文仿宋" w:cs="Calibri Light"/>
          <w:kern w:val="2"/>
          <w:sz w:val="28"/>
        </w:rPr>
        <w:t>书面声明函》</w:t>
      </w:r>
      <w:r>
        <w:rPr>
          <w:rFonts w:hint="eastAsia" w:ascii="仿宋" w:hAnsi="仿宋" w:eastAsia="仿宋" w:cs="仿宋"/>
          <w:sz w:val="28"/>
        </w:rPr>
        <w:t>。</w:t>
      </w:r>
      <w:r>
        <w:rPr>
          <w:rFonts w:hint="eastAsia" w:ascii="仿宋" w:hAnsi="仿宋" w:eastAsia="仿宋" w:cs="仿宋"/>
          <w:color w:val="auto"/>
          <w:sz w:val="28"/>
        </w:rPr>
        <w:t>同时提供【“信用中国”网站(</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"http://www.creditchina.gov.cn"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www.creditchina.gov.cn</w:t>
      </w:r>
      <w:r>
        <w:rPr>
          <w:rFonts w:hint="eastAsia" w:ascii="仿宋" w:hAnsi="仿宋" w:eastAsia="仿宋" w:cs="仿宋"/>
          <w:color w:val="auto"/>
          <w:sz w:val="28"/>
        </w:rPr>
        <w:fldChar w:fldCharType="end"/>
      </w:r>
      <w:r>
        <w:rPr>
          <w:rFonts w:hint="eastAsia" w:ascii="仿宋" w:hAnsi="仿宋" w:eastAsia="仿宋" w:cs="仿宋"/>
          <w:color w:val="auto"/>
          <w:sz w:val="28"/>
        </w:rPr>
        <w:t>)】、【“中国政府采购网”(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"http://www.ccgp.gov.cn"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www.ccgp.gov.cn</w:t>
      </w:r>
      <w:r>
        <w:rPr>
          <w:rFonts w:hint="eastAsia" w:ascii="仿宋" w:hAnsi="仿宋" w:eastAsia="仿宋" w:cs="仿宋"/>
          <w:color w:val="auto"/>
          <w:sz w:val="28"/>
        </w:rPr>
        <w:fldChar w:fldCharType="end"/>
      </w:r>
      <w:r>
        <w:rPr>
          <w:rFonts w:hint="eastAsia" w:ascii="仿宋" w:hAnsi="仿宋" w:eastAsia="仿宋" w:cs="仿宋"/>
          <w:color w:val="auto"/>
          <w:sz w:val="28"/>
        </w:rPr>
        <w:t>)】查询的相关信用记录的企业信用报告或完整截图（查询时段为本项目谈判公告发布之日起至提交响应文件截止之日至）；</w:t>
      </w:r>
    </w:p>
    <w:p w14:paraId="386605E5">
      <w:pPr>
        <w:widowControl w:val="0"/>
        <w:spacing w:line="46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提供</w:t>
      </w:r>
      <w:r>
        <w:rPr>
          <w:rFonts w:hint="eastAsia" w:ascii="仿宋" w:hAnsi="仿宋" w:eastAsia="仿宋" w:cs="仿宋"/>
          <w:color w:val="auto"/>
          <w:sz w:val="28"/>
        </w:rPr>
        <w:t>供应商、法定代表人在中国裁判文书网（</w:t>
      </w:r>
      <w:r>
        <w:rPr>
          <w:rFonts w:hint="eastAsia" w:ascii="仿宋" w:hAnsi="仿宋" w:eastAsia="仿宋" w:cs="仿宋"/>
          <w:color w:val="auto"/>
          <w:sz w:val="28"/>
        </w:rPr>
        <w:fldChar w:fldCharType="begin"/>
      </w:r>
      <w:r>
        <w:rPr>
          <w:rFonts w:hint="eastAsia" w:ascii="仿宋" w:hAnsi="仿宋" w:eastAsia="仿宋" w:cs="仿宋"/>
          <w:color w:val="auto"/>
          <w:sz w:val="28"/>
        </w:rPr>
        <w:instrText xml:space="preserve"> HYPERLINK "http://wenshu.court.gov.cn/" </w:instrText>
      </w:r>
      <w:r>
        <w:rPr>
          <w:rFonts w:hint="eastAsia" w:ascii="仿宋" w:hAnsi="仿宋" w:eastAsia="仿宋" w:cs="仿宋"/>
          <w:color w:val="auto"/>
          <w:sz w:val="28"/>
        </w:rPr>
        <w:fldChar w:fldCharType="separate"/>
      </w:r>
      <w:r>
        <w:rPr>
          <w:rFonts w:hint="eastAsia" w:ascii="仿宋" w:hAnsi="仿宋" w:eastAsia="仿宋" w:cs="仿宋"/>
          <w:color w:val="auto"/>
          <w:sz w:val="28"/>
        </w:rPr>
        <w:t>http://wenshu.court.gov.cn/</w:t>
      </w:r>
      <w:r>
        <w:rPr>
          <w:rFonts w:hint="eastAsia" w:ascii="仿宋" w:hAnsi="仿宋" w:eastAsia="仿宋" w:cs="仿宋"/>
          <w:color w:val="auto"/>
          <w:sz w:val="28"/>
        </w:rPr>
        <w:fldChar w:fldCharType="end"/>
      </w:r>
      <w:r>
        <w:rPr>
          <w:rFonts w:hint="eastAsia" w:ascii="仿宋" w:hAnsi="仿宋" w:eastAsia="仿宋" w:cs="仿宋"/>
          <w:color w:val="auto"/>
          <w:sz w:val="28"/>
        </w:rPr>
        <w:t>）近三年内没有行贿犯罪行为</w:t>
      </w:r>
      <w:r>
        <w:rPr>
          <w:rFonts w:hint="eastAsia" w:ascii="仿宋" w:hAnsi="仿宋" w:eastAsia="仿宋" w:cs="仿宋"/>
          <w:color w:val="auto"/>
          <w:sz w:val="28"/>
          <w:lang w:val="en-US" w:eastAsia="zh-CN"/>
        </w:rPr>
        <w:t>的查询截图（</w:t>
      </w:r>
      <w:r>
        <w:rPr>
          <w:rFonts w:hint="eastAsia" w:ascii="仿宋" w:hAnsi="仿宋" w:eastAsia="仿宋" w:cs="仿宋"/>
          <w:color w:val="auto"/>
          <w:sz w:val="28"/>
        </w:rPr>
        <w:t>查询时段为本项目</w:t>
      </w:r>
      <w:r>
        <w:rPr>
          <w:rFonts w:hint="eastAsia" w:ascii="仿宋" w:hAnsi="仿宋" w:eastAsia="仿宋" w:cs="仿宋"/>
          <w:color w:val="auto"/>
          <w:sz w:val="28"/>
          <w:lang w:val="en-US" w:eastAsia="zh-CN"/>
        </w:rPr>
        <w:t>谈判</w:t>
      </w:r>
      <w:r>
        <w:rPr>
          <w:rFonts w:hint="eastAsia" w:ascii="仿宋" w:hAnsi="仿宋" w:eastAsia="仿宋" w:cs="仿宋"/>
          <w:color w:val="auto"/>
          <w:sz w:val="28"/>
        </w:rPr>
        <w:t>公告发布之日起至提交响应文件截止之日止</w:t>
      </w:r>
      <w:r>
        <w:rPr>
          <w:rFonts w:hint="eastAsia" w:ascii="仿宋" w:hAnsi="仿宋" w:eastAsia="仿宋" w:cs="仿宋"/>
          <w:color w:val="auto"/>
          <w:sz w:val="28"/>
          <w:lang w:eastAsia="zh-CN"/>
        </w:rPr>
        <w:t>）</w:t>
      </w:r>
      <w:r>
        <w:rPr>
          <w:rFonts w:hint="eastAsia" w:ascii="仿宋" w:hAnsi="仿宋" w:eastAsia="仿宋" w:cs="仿宋"/>
          <w:color w:val="auto"/>
          <w:sz w:val="28"/>
        </w:rPr>
        <w:t>。</w:t>
      </w:r>
    </w:p>
    <w:p w14:paraId="3421B453">
      <w:pPr>
        <w:numPr>
          <w:ilvl w:val="0"/>
          <w:numId w:val="2"/>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身份证明文件：</w:t>
      </w:r>
      <w:r>
        <w:rPr>
          <w:rFonts w:hint="eastAsia" w:ascii="华文仿宋" w:hAnsi="华文仿宋" w:cs="华文仿宋"/>
        </w:rPr>
        <w:t>法定代表人参加投标的，须提供本人身份证；法定代表人授权他人参加投标的，被授权人必须在供应商提供的社保机构出具的社保缴纳名单中，并提供法定代表人授权委托书；自然人参加投标的，提供身份证。</w:t>
      </w:r>
    </w:p>
    <w:p w14:paraId="12B6444C">
      <w:pPr>
        <w:numPr>
          <w:ilvl w:val="0"/>
          <w:numId w:val="0"/>
        </w:numPr>
        <w:spacing w:line="500" w:lineRule="exact"/>
        <w:ind w:firstLine="562" w:firstLineChars="200"/>
        <w:rPr>
          <w:rFonts w:hint="eastAsia" w:ascii="仿宋" w:hAnsi="仿宋" w:eastAsia="华文仿宋" w:cs="华文仿宋"/>
          <w:lang w:eastAsia="zh-CN"/>
        </w:rPr>
      </w:pPr>
      <w:r>
        <w:rPr>
          <w:rFonts w:ascii="仿宋" w:hAnsi="仿宋" w:eastAsia="仿宋" w:cs="华文仿宋"/>
          <w:b/>
          <w:bCs/>
        </w:rPr>
        <w:t>（</w:t>
      </w:r>
      <w:r>
        <w:rPr>
          <w:rFonts w:hint="eastAsia" w:ascii="仿宋" w:hAnsi="仿宋" w:eastAsia="仿宋" w:cs="华文仿宋"/>
          <w:b/>
          <w:bCs/>
          <w:lang w:val="en-US" w:eastAsia="zh-CN"/>
        </w:rPr>
        <w:t>9</w:t>
      </w:r>
      <w:r>
        <w:rPr>
          <w:rFonts w:ascii="仿宋" w:hAnsi="仿宋" w:eastAsia="仿宋" w:cs="华文仿宋"/>
          <w:b/>
          <w:bCs/>
        </w:rPr>
        <w:t>）</w:t>
      </w:r>
      <w:r>
        <w:rPr>
          <w:rFonts w:ascii="仿宋" w:hAnsi="仿宋" w:eastAsia="仿宋" w:cs="华文仿宋"/>
        </w:rPr>
        <w:t>信用承诺书</w:t>
      </w:r>
      <w:r>
        <w:rPr>
          <w:rFonts w:hint="eastAsia" w:ascii="仿宋" w:hAnsi="仿宋" w:eastAsia="仿宋" w:cs="华文仿宋"/>
          <w:lang w:eastAsia="zh-CN"/>
        </w:rPr>
        <w:t>：</w:t>
      </w:r>
      <w:r>
        <w:rPr>
          <w:rFonts w:hint="eastAsia" w:ascii="华文仿宋" w:hAnsi="华文仿宋" w:cs="华文仿宋"/>
        </w:rPr>
        <w:t>《榆林市政府采购供应商信用承诺书》信用承诺书已上传至“信用中国（陕西榆林）”平台</w:t>
      </w:r>
      <w:r>
        <w:rPr>
          <w:rFonts w:hint="eastAsia" w:ascii="宋体" w:hAnsi="宋体" w:eastAsia="宋体" w:cs="华文仿宋"/>
          <w:sz w:val="24"/>
          <w:szCs w:val="24"/>
          <w:lang w:eastAsia="zh-CN"/>
        </w:rPr>
        <w:t>。</w:t>
      </w:r>
    </w:p>
    <w:p w14:paraId="1A0C2733">
      <w:pPr>
        <w:spacing w:line="500" w:lineRule="exact"/>
        <w:ind w:firstLine="562" w:firstLineChars="200"/>
        <w:rPr>
          <w:rFonts w:hint="eastAsia" w:ascii="仿宋" w:hAnsi="仿宋" w:eastAsia="仿宋" w:cs="华文仿宋"/>
          <w:lang w:eastAsia="zh-CN"/>
        </w:rPr>
      </w:pPr>
      <w:r>
        <w:rPr>
          <w:rFonts w:ascii="仿宋" w:hAnsi="仿宋" w:eastAsia="仿宋" w:cs="华文仿宋"/>
          <w:b/>
          <w:bCs/>
        </w:rPr>
        <w:t>（</w:t>
      </w:r>
      <w:r>
        <w:rPr>
          <w:rFonts w:hint="eastAsia" w:ascii="仿宋" w:hAnsi="仿宋" w:eastAsia="仿宋" w:cs="华文仿宋"/>
          <w:b/>
          <w:bCs/>
          <w:lang w:val="en-US" w:eastAsia="zh-CN"/>
        </w:rPr>
        <w:t>10</w:t>
      </w:r>
      <w:r>
        <w:rPr>
          <w:rFonts w:ascii="仿宋" w:hAnsi="仿宋" w:eastAsia="仿宋" w:cs="华文仿宋"/>
          <w:b/>
          <w:bCs/>
        </w:rPr>
        <w:t>）</w:t>
      </w:r>
      <w:r>
        <w:rPr>
          <w:rFonts w:ascii="仿宋" w:hAnsi="仿宋" w:eastAsia="仿宋" w:cs="华文仿宋"/>
        </w:rPr>
        <w:t>本项目不接受联合体谈判</w:t>
      </w:r>
      <w:r>
        <w:rPr>
          <w:rFonts w:hint="eastAsia" w:ascii="仿宋" w:hAnsi="仿宋" w:eastAsia="仿宋" w:cs="华文仿宋"/>
          <w:lang w:eastAsia="zh-CN"/>
        </w:rPr>
        <w:t>。</w:t>
      </w:r>
    </w:p>
    <w:p w14:paraId="3D784C9D">
      <w:pPr>
        <w:spacing w:line="500" w:lineRule="exact"/>
        <w:ind w:firstLine="562" w:firstLineChars="200"/>
        <w:rPr>
          <w:rFonts w:hint="eastAsia" w:ascii="仿宋" w:hAnsi="仿宋" w:eastAsia="仿宋" w:cs="华文仿宋"/>
          <w:color w:val="FF0000"/>
        </w:rPr>
      </w:pPr>
      <w:r>
        <w:rPr>
          <w:rFonts w:ascii="仿宋" w:hAnsi="仿宋" w:eastAsia="仿宋" w:cs="华文仿宋"/>
          <w:b/>
          <w:bCs/>
        </w:rPr>
        <w:t>（</w:t>
      </w:r>
      <w:r>
        <w:rPr>
          <w:rFonts w:hint="eastAsia" w:ascii="仿宋" w:hAnsi="仿宋" w:eastAsia="仿宋" w:cs="华文仿宋"/>
          <w:b/>
          <w:bCs/>
          <w:lang w:val="en-US" w:eastAsia="zh-CN"/>
        </w:rPr>
        <w:t>11</w:t>
      </w:r>
      <w:r>
        <w:rPr>
          <w:rFonts w:ascii="仿宋" w:hAnsi="仿宋" w:eastAsia="仿宋" w:cs="华文仿宋"/>
        </w:rPr>
        <w:t>）</w:t>
      </w:r>
      <w:r>
        <w:rPr>
          <w:rFonts w:hint="eastAsia" w:ascii="仿宋" w:hAnsi="仿宋" w:eastAsia="仿宋" w:cs="华文仿宋"/>
        </w:rPr>
        <w:t>单位负责人为同一人或者存在直接控股、管理关系的不同供应商，不得同时参加本项目谈判活动。</w:t>
      </w:r>
    </w:p>
    <w:p w14:paraId="5C68DA4F">
      <w:pPr>
        <w:spacing w:line="500" w:lineRule="exact"/>
        <w:ind w:firstLine="593" w:firstLineChars="247"/>
        <w:rPr>
          <w:rFonts w:ascii="微软雅黑" w:hAnsi="微软雅黑" w:eastAsia="微软雅黑"/>
          <w:b/>
          <w:bCs/>
          <w:color w:val="333333"/>
          <w:sz w:val="24"/>
          <w:szCs w:val="24"/>
          <w:shd w:val="clear" w:color="auto" w:fill="FFFFFF"/>
        </w:rPr>
      </w:pPr>
      <w:r>
        <w:rPr>
          <w:rFonts w:hint="eastAsia" w:ascii="微软雅黑" w:hAnsi="微软雅黑" w:eastAsia="微软雅黑"/>
          <w:b/>
          <w:bCs/>
          <w:color w:val="333333"/>
          <w:sz w:val="24"/>
          <w:szCs w:val="24"/>
          <w:shd w:val="clear" w:color="auto" w:fill="FFFFFF"/>
        </w:rPr>
        <w:t>三、执行的其他政府采购政策</w:t>
      </w:r>
    </w:p>
    <w:p w14:paraId="6ACB9D81">
      <w:pPr>
        <w:pStyle w:val="2"/>
        <w:ind w:firstLine="554" w:firstLineChars="198"/>
        <w:rPr>
          <w:rFonts w:ascii="华文仿宋" w:hAnsi="华文仿宋" w:cs="华文仿宋"/>
        </w:rPr>
      </w:pPr>
      <w:r>
        <w:rPr>
          <w:rFonts w:hint="eastAsia" w:ascii="华文仿宋" w:hAnsi="华文仿宋" w:cs="华文仿宋"/>
        </w:rPr>
        <w:t>（1）《关于在政府采购活动中查询及使用信用记录有关问题的通知》（财库〔2016〕125号）。</w:t>
      </w:r>
    </w:p>
    <w:p w14:paraId="6A79F4AF">
      <w:pPr>
        <w:spacing w:line="500" w:lineRule="exact"/>
        <w:ind w:firstLine="560" w:firstLineChars="200"/>
        <w:rPr>
          <w:rFonts w:ascii="华文仿宋" w:hAnsi="华文仿宋" w:cs="华文仿宋"/>
        </w:rPr>
      </w:pPr>
      <w:r>
        <w:rPr>
          <w:rFonts w:hint="eastAsia" w:ascii="华文仿宋" w:hAnsi="华文仿宋" w:cs="华文仿宋"/>
        </w:rPr>
        <w:t>（2）财政部、国家环保总局联合印发《关于环境标志产品政府采购实施的意见》（财库〔2006〕90号）。财政部、国家发改委、生态环境部、市场监管总局联合印发《关于调整优化节能产品、环境标志产品政府采购执行机制的通知》（财库〔2019〕9号）。</w:t>
      </w:r>
    </w:p>
    <w:p w14:paraId="6448CDCA">
      <w:pPr>
        <w:spacing w:line="500" w:lineRule="exact"/>
        <w:ind w:firstLine="560" w:firstLineChars="200"/>
        <w:rPr>
          <w:rFonts w:ascii="华文仿宋" w:hAnsi="华文仿宋" w:cs="华文仿宋"/>
        </w:rPr>
      </w:pPr>
      <w:r>
        <w:rPr>
          <w:rFonts w:hint="eastAsia" w:ascii="华文仿宋" w:hAnsi="华文仿宋" w:cs="华文仿宋"/>
        </w:rPr>
        <w:t>（3）</w:t>
      </w:r>
      <w:r>
        <w:rPr>
          <w:rFonts w:hint="eastAsia" w:ascii="华文仿宋" w:hAnsi="华文仿宋" w:cs="仿宋"/>
        </w:rPr>
        <w:t>《陕西省中小企业政府采购信用融资办法》（陕财办采</w:t>
      </w:r>
      <w:r>
        <w:rPr>
          <w:rFonts w:hint="eastAsia" w:ascii="华文仿宋" w:hAnsi="华文仿宋" w:cs="华文仿宋"/>
        </w:rPr>
        <w:t>〔2018〕23号）、《陕西省财政厅关于加快推进我省中小企业政府采购信用融资工作的通知》（陕财办采〔2020〕15号）、《榆林市财政局关于落实政府采购政策功能有关问题的通知》（榆政财采函〔2021〕8号）。</w:t>
      </w:r>
    </w:p>
    <w:p w14:paraId="15F6A902">
      <w:pPr>
        <w:spacing w:line="500" w:lineRule="exact"/>
        <w:ind w:firstLine="560" w:firstLineChars="200"/>
        <w:rPr>
          <w:rFonts w:hint="eastAsia" w:ascii="仿宋" w:hAnsi="仿宋" w:eastAsia="仿宋" w:cs="华文仿宋"/>
          <w:color w:val="FF0000"/>
        </w:rPr>
      </w:pPr>
      <w:r>
        <w:rPr>
          <w:rFonts w:hint="eastAsia" w:ascii="华文仿宋" w:hAnsi="华文仿宋" w:cs="华文仿宋"/>
        </w:rPr>
        <w:t>（4）详见《投标人须知》中“落实的政府采购政策”有关内容。</w:t>
      </w:r>
    </w:p>
    <w:p w14:paraId="631EC7EC">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14:paraId="7DC182A9">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color w:val="auto"/>
          <w:lang w:val="en-US" w:eastAsia="zh-CN"/>
        </w:rPr>
      </w:pPr>
      <w:r>
        <w:rPr>
          <w:rFonts w:hint="eastAsia" w:ascii="华文仿宋" w:hAnsi="华文仿宋" w:cs="Times New Roman"/>
        </w:rPr>
        <w:t>1、获取时间：</w:t>
      </w:r>
      <w:r>
        <w:rPr>
          <w:rFonts w:hint="eastAsia" w:ascii="华文仿宋" w:hAnsi="华文仿宋" w:cs="Times New Roman"/>
          <w:color w:val="auto"/>
        </w:rPr>
        <w:t>202</w:t>
      </w:r>
      <w:r>
        <w:rPr>
          <w:rFonts w:hint="eastAsia" w:ascii="华文仿宋" w:hAnsi="华文仿宋" w:cs="Times New Roman"/>
          <w:color w:val="auto"/>
          <w:lang w:val="en-US" w:eastAsia="zh-CN"/>
        </w:rPr>
        <w:t>5</w:t>
      </w:r>
      <w:r>
        <w:rPr>
          <w:rFonts w:hint="eastAsia" w:ascii="华文仿宋" w:hAnsi="华文仿宋" w:cs="Times New Roman"/>
          <w:color w:val="auto"/>
        </w:rPr>
        <w:t>年</w:t>
      </w:r>
      <w:r>
        <w:rPr>
          <w:rFonts w:hint="eastAsia" w:ascii="华文仿宋" w:hAnsi="华文仿宋" w:cs="Times New Roman"/>
          <w:color w:val="auto"/>
          <w:lang w:val="en-US" w:eastAsia="zh-CN"/>
        </w:rPr>
        <w:t>8</w:t>
      </w:r>
      <w:r>
        <w:rPr>
          <w:rFonts w:hint="eastAsia" w:ascii="华文仿宋" w:hAnsi="华文仿宋" w:cs="Times New Roman"/>
          <w:color w:val="auto"/>
        </w:rPr>
        <w:t>月</w:t>
      </w:r>
      <w:r>
        <w:rPr>
          <w:rFonts w:hint="eastAsia" w:ascii="华文仿宋" w:hAnsi="华文仿宋" w:cs="Times New Roman"/>
          <w:color w:val="auto"/>
          <w:lang w:val="en-US" w:eastAsia="zh-CN"/>
        </w:rPr>
        <w:t>11</w:t>
      </w:r>
      <w:r>
        <w:rPr>
          <w:rFonts w:hint="eastAsia" w:ascii="华文仿宋" w:hAnsi="华文仿宋" w:cs="Times New Roman"/>
          <w:color w:val="auto"/>
        </w:rPr>
        <w:t>日</w:t>
      </w:r>
      <w:r>
        <w:rPr>
          <w:rFonts w:hint="eastAsia" w:ascii="华文仿宋" w:hAnsi="华文仿宋" w:cs="Times New Roman"/>
          <w:color w:val="auto"/>
          <w:lang w:val="en-US" w:eastAsia="zh-CN"/>
        </w:rPr>
        <w:t>8时</w:t>
      </w:r>
      <w:r>
        <w:rPr>
          <w:rFonts w:hint="eastAsia" w:ascii="华文仿宋" w:hAnsi="华文仿宋" w:cs="Times New Roman"/>
          <w:color w:val="auto"/>
        </w:rPr>
        <w:t>至202</w:t>
      </w:r>
      <w:r>
        <w:rPr>
          <w:rFonts w:hint="eastAsia" w:ascii="华文仿宋" w:hAnsi="华文仿宋" w:cs="Times New Roman"/>
          <w:color w:val="auto"/>
          <w:lang w:val="en-US" w:eastAsia="zh-CN"/>
        </w:rPr>
        <w:t>5</w:t>
      </w:r>
      <w:r>
        <w:rPr>
          <w:rFonts w:hint="eastAsia" w:ascii="华文仿宋" w:hAnsi="华文仿宋" w:cs="Times New Roman"/>
          <w:color w:val="auto"/>
        </w:rPr>
        <w:t>年</w:t>
      </w:r>
      <w:r>
        <w:rPr>
          <w:rFonts w:hint="eastAsia" w:ascii="华文仿宋" w:hAnsi="华文仿宋" w:cs="Times New Roman"/>
          <w:color w:val="auto"/>
          <w:lang w:val="en-US" w:eastAsia="zh-CN"/>
        </w:rPr>
        <w:t>8</w:t>
      </w:r>
      <w:r>
        <w:rPr>
          <w:rFonts w:hint="eastAsia" w:ascii="华文仿宋" w:hAnsi="华文仿宋" w:cs="Times New Roman"/>
          <w:color w:val="auto"/>
        </w:rPr>
        <w:t>月</w:t>
      </w:r>
      <w:r>
        <w:rPr>
          <w:rFonts w:hint="eastAsia" w:ascii="华文仿宋" w:hAnsi="华文仿宋" w:cs="Times New Roman"/>
          <w:color w:val="auto"/>
          <w:lang w:val="en-US" w:eastAsia="zh-CN"/>
        </w:rPr>
        <w:t>13</w:t>
      </w:r>
      <w:r>
        <w:rPr>
          <w:rFonts w:hint="eastAsia" w:ascii="华文仿宋" w:hAnsi="华文仿宋" w:cs="Times New Roman"/>
          <w:color w:val="auto"/>
        </w:rPr>
        <w:t>日</w:t>
      </w:r>
      <w:r>
        <w:rPr>
          <w:rFonts w:hint="eastAsia" w:ascii="华文仿宋" w:hAnsi="华文仿宋" w:cs="Times New Roman"/>
          <w:color w:val="auto"/>
          <w:lang w:val="en-US" w:eastAsia="zh-CN"/>
        </w:rPr>
        <w:t>18时</w:t>
      </w:r>
    </w:p>
    <w:p w14:paraId="3B3BF2B5">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：登录全国公共资源交易平台（陕西省）（www.sxggzyjy.cn）使用数字认证证书（CA锁）报名后自行下载谈判文件。</w:t>
      </w:r>
    </w:p>
    <w:p w14:paraId="26E7E322">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14:paraId="7F1A04DA">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5A47F87E">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 响应文件递交</w:t>
      </w:r>
      <w:r>
        <w:rPr>
          <w:rFonts w:hint="eastAsia" w:ascii="仿宋" w:hAnsi="仿宋" w:eastAsia="仿宋" w:cs="仿宋"/>
          <w:b/>
          <w:sz w:val="28"/>
          <w:szCs w:val="28"/>
          <w:lang w:val="zh-CN" w:eastAsia="zh-CN"/>
        </w:rPr>
        <w:t>截止时间</w:t>
      </w:r>
      <w:r>
        <w:rPr>
          <w:rFonts w:hint="eastAsia" w:ascii="仿宋" w:hAnsi="仿宋" w:eastAsia="仿宋" w:cs="仿宋"/>
          <w:b/>
          <w:sz w:val="28"/>
          <w:szCs w:val="28"/>
          <w:lang w:val="en-US" w:eastAsia="zh-CN"/>
        </w:rPr>
        <w:t>及</w:t>
      </w:r>
      <w:r>
        <w:rPr>
          <w:rFonts w:hint="eastAsia" w:ascii="仿宋" w:hAnsi="仿宋" w:eastAsia="仿宋" w:cs="仿宋"/>
          <w:b/>
          <w:sz w:val="28"/>
          <w:szCs w:val="28"/>
          <w:lang w:val="zh-CN" w:eastAsia="zh-CN"/>
        </w:rPr>
        <w:t>开标时间和地点</w:t>
      </w:r>
    </w:p>
    <w:p w14:paraId="310F4DBA">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default" w:ascii="仿宋" w:hAnsi="仿宋" w:eastAsia="仿宋" w:cs="仿宋"/>
          <w:bCs/>
          <w:color w:val="FF0000"/>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b w:val="0"/>
          <w:bCs/>
          <w:color w:val="auto"/>
          <w:sz w:val="28"/>
          <w:szCs w:val="28"/>
          <w:highlight w:val="none"/>
          <w:lang w:eastAsia="zh-CN"/>
        </w:rPr>
        <w:t>2025年</w:t>
      </w:r>
      <w:r>
        <w:rPr>
          <w:rFonts w:hint="eastAsia" w:ascii="仿宋" w:hAnsi="仿宋" w:eastAsia="仿宋" w:cs="仿宋"/>
          <w:b w:val="0"/>
          <w:bCs/>
          <w:color w:val="auto"/>
          <w:sz w:val="28"/>
          <w:szCs w:val="28"/>
          <w:highlight w:val="none"/>
          <w:u w:val="none"/>
          <w:lang w:val="en-US" w:eastAsia="zh-CN"/>
        </w:rPr>
        <w:t>8</w:t>
      </w:r>
      <w:r>
        <w:rPr>
          <w:rFonts w:hint="eastAsia" w:ascii="仿宋" w:hAnsi="仿宋" w:eastAsia="仿宋" w:cs="仿宋"/>
          <w:b w:val="0"/>
          <w:bCs/>
          <w:color w:val="auto"/>
          <w:sz w:val="28"/>
          <w:szCs w:val="28"/>
          <w:highlight w:val="none"/>
          <w:lang w:eastAsia="zh-CN"/>
        </w:rPr>
        <w:t>月</w:t>
      </w:r>
      <w:r>
        <w:rPr>
          <w:rFonts w:hint="eastAsia" w:ascii="仿宋" w:hAnsi="仿宋" w:eastAsia="仿宋" w:cs="仿宋"/>
          <w:b w:val="0"/>
          <w:bCs/>
          <w:color w:val="auto"/>
          <w:sz w:val="28"/>
          <w:szCs w:val="28"/>
          <w:highlight w:val="none"/>
          <w:u w:val="none"/>
          <w:lang w:val="en-US" w:eastAsia="zh-CN"/>
        </w:rPr>
        <w:t>21</w:t>
      </w:r>
      <w:r>
        <w:rPr>
          <w:rFonts w:hint="eastAsia" w:ascii="仿宋" w:hAnsi="仿宋" w:eastAsia="仿宋" w:cs="仿宋"/>
          <w:b w:val="0"/>
          <w:bCs/>
          <w:color w:val="auto"/>
          <w:sz w:val="28"/>
          <w:szCs w:val="28"/>
          <w:highlight w:val="none"/>
          <w:lang w:eastAsia="zh-CN"/>
        </w:rPr>
        <w:t>日</w:t>
      </w:r>
      <w:r>
        <w:rPr>
          <w:rFonts w:hint="eastAsia" w:ascii="仿宋" w:hAnsi="仿宋" w:eastAsia="仿宋" w:cs="仿宋"/>
          <w:b w:val="0"/>
          <w:bCs/>
          <w:color w:val="auto"/>
          <w:sz w:val="28"/>
          <w:szCs w:val="28"/>
          <w:highlight w:val="none"/>
          <w:lang w:val="en-US" w:eastAsia="zh-CN"/>
        </w:rPr>
        <w:t>下午13</w:t>
      </w:r>
      <w:r>
        <w:rPr>
          <w:rFonts w:hint="eastAsia" w:ascii="仿宋" w:hAnsi="仿宋" w:eastAsia="仿宋" w:cs="仿宋"/>
          <w:b w:val="0"/>
          <w:bCs/>
          <w:color w:val="auto"/>
          <w:sz w:val="28"/>
          <w:szCs w:val="28"/>
          <w:highlight w:val="none"/>
          <w:lang w:eastAsia="zh-CN"/>
        </w:rPr>
        <w:t>点30</w:t>
      </w:r>
    </w:p>
    <w:p w14:paraId="17933597">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14:paraId="47C2ED1C">
      <w:pPr>
        <w:pStyle w:val="2"/>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14:paraId="2AF11206">
      <w:pPr>
        <w:keepNext w:val="0"/>
        <w:keepLines w:val="0"/>
        <w:pageBreakBefore w:val="0"/>
        <w:numPr>
          <w:ilvl w:val="0"/>
          <w:numId w:val="3"/>
        </w:numPr>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zh-CN" w:eastAsia="zh-CN" w:bidi="ar-SA"/>
        </w:rPr>
        <w:t>开标地点：</w:t>
      </w:r>
      <w:r>
        <w:rPr>
          <w:rFonts w:hint="eastAsia" w:ascii="华文仿宋" w:hAnsi="华文仿宋" w:eastAsia="华文仿宋" w:cs="Times New Roman"/>
          <w:kern w:val="2"/>
          <w:sz w:val="28"/>
          <w:szCs w:val="28"/>
          <w:lang w:val="en-US" w:eastAsia="zh-CN" w:bidi="ar-SA"/>
        </w:rPr>
        <w:t>榆林市公共资源交易中心10楼开标7室5座</w:t>
      </w:r>
      <w:r>
        <w:rPr>
          <w:rFonts w:hint="eastAsia" w:ascii="华文仿宋" w:hAnsi="华文仿宋" w:cs="Times New Roman"/>
          <w:kern w:val="2"/>
          <w:sz w:val="28"/>
          <w:szCs w:val="28"/>
          <w:lang w:val="en-US" w:eastAsia="zh-CN" w:bidi="ar-SA"/>
        </w:rPr>
        <w:t>。</w:t>
      </w:r>
    </w:p>
    <w:p w14:paraId="3924921E">
      <w:pPr>
        <w:keepNext w:val="0"/>
        <w:keepLines w:val="0"/>
        <w:pageBreakBefore w:val="0"/>
        <w:numPr>
          <w:ilvl w:val="0"/>
          <w:numId w:val="0"/>
        </w:numPr>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w:t>
      </w:r>
      <w:r>
        <w:rPr>
          <w:rFonts w:hint="eastAsia" w:ascii="华文仿宋" w:hAnsi="华文仿宋" w:eastAsia="华文仿宋" w:cs="Times New Roman"/>
          <w:color w:val="auto"/>
          <w:kern w:val="2"/>
          <w:sz w:val="28"/>
          <w:szCs w:val="28"/>
          <w:lang w:val="zh-CN" w:eastAsia="zh-CN" w:bidi="ar-SA"/>
        </w:rPr>
        <w:t>（4）供应商需自行在电脑上进行二次报价。</w:t>
      </w:r>
    </w:p>
    <w:p w14:paraId="27AF37AA">
      <w:pPr>
        <w:keepNext w:val="0"/>
        <w:keepLines w:val="0"/>
        <w:pageBreakBefore w:val="0"/>
        <w:kinsoku/>
        <w:wordWrap/>
        <w:overflowPunct/>
        <w:topLinePunct w:val="0"/>
        <w:bidi w:val="0"/>
        <w:spacing w:line="480" w:lineRule="exact"/>
        <w:ind w:firstLine="562"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14:paraId="47FD3DEA">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14:paraId="4C1DDB12">
      <w:pPr>
        <w:keepNext w:val="0"/>
        <w:keepLines w:val="0"/>
        <w:pageBreakBefore w:val="0"/>
        <w:numPr>
          <w:ilvl w:val="0"/>
          <w:numId w:val="4"/>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14:paraId="4640283E">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14:paraId="737DC70A">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2、供应商初次使用交易平台，须先完成诚信入库登记、数字认证证书（CA锁）认证及企业信息绑定。</w:t>
      </w:r>
    </w:p>
    <w:p w14:paraId="5D353EAF">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577AFB88">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14:paraId="05272E74">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599797DE">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14:paraId="3CA4E687">
      <w:pPr>
        <w:pStyle w:val="2"/>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28ACBF56">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名称：</w:t>
      </w:r>
      <w:r>
        <w:rPr>
          <w:rFonts w:hint="eastAsia" w:ascii="仿宋" w:hAnsi="仿宋" w:eastAsia="仿宋" w:cs="仿宋"/>
          <w:color w:val="auto"/>
          <w:sz w:val="28"/>
          <w:szCs w:val="28"/>
          <w:lang w:val="en-US" w:eastAsia="zh-CN"/>
        </w:rPr>
        <w:t>府谷县消防救援大队</w:t>
      </w:r>
    </w:p>
    <w:p w14:paraId="5821DFBE">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color w:val="auto"/>
          <w:sz w:val="28"/>
          <w:szCs w:val="28"/>
          <w:lang w:val="en-US" w:eastAsia="zh-CN"/>
        </w:rPr>
        <w:t>府谷县新区民生二路</w:t>
      </w:r>
    </w:p>
    <w:p w14:paraId="604DF4FE">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sz w:val="28"/>
          <w:szCs w:val="28"/>
        </w:rPr>
        <w:t>联系人：</w:t>
      </w:r>
      <w:r>
        <w:rPr>
          <w:rFonts w:hint="eastAsia" w:ascii="仿宋" w:hAnsi="仿宋" w:eastAsia="仿宋" w:cs="仿宋"/>
          <w:color w:val="auto"/>
          <w:sz w:val="28"/>
          <w:szCs w:val="28"/>
          <w:lang w:val="en-US" w:eastAsia="zh-CN"/>
        </w:rPr>
        <w:t>武冠萌</w:t>
      </w:r>
    </w:p>
    <w:p w14:paraId="5CC1CF7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联系电话：17691311119</w:t>
      </w:r>
    </w:p>
    <w:p w14:paraId="18AE1E3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63D131BC">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14:paraId="579D3E50">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地址：府谷县财税中心11楼</w:t>
      </w:r>
    </w:p>
    <w:p w14:paraId="59AD631C">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刘工</w:t>
      </w:r>
    </w:p>
    <w:p w14:paraId="56D407C6">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13720467055</w:t>
      </w:r>
    </w:p>
    <w:p w14:paraId="5CD02273">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sz w:val="28"/>
          <w:szCs w:val="28"/>
          <w:lang w:val="zh-CN"/>
        </w:rPr>
      </w:pPr>
    </w:p>
    <w:p w14:paraId="6140C80A">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14:paraId="565D420C">
      <w:r>
        <w:rPr>
          <w:rFonts w:hint="eastAsia" w:ascii="仿宋" w:hAnsi="仿宋" w:eastAsia="仿宋" w:cs="仿宋"/>
          <w:bCs/>
          <w:sz w:val="28"/>
          <w:szCs w:val="28"/>
          <w:lang w:val="zh-CN"/>
        </w:rPr>
        <w:t xml:space="preserve">                                  </w:t>
      </w:r>
      <w:r>
        <w:rPr>
          <w:rFonts w:hint="eastAsia" w:ascii="仿宋" w:hAnsi="仿宋" w:eastAsia="仿宋" w:cs="仿宋"/>
          <w:bCs/>
          <w:color w:val="FF0000"/>
          <w:sz w:val="28"/>
          <w:szCs w:val="28"/>
          <w:lang w:val="zh-CN"/>
        </w:rPr>
        <w:t xml:space="preserve"> </w:t>
      </w:r>
      <w:r>
        <w:rPr>
          <w:rFonts w:hint="eastAsia" w:ascii="仿宋" w:hAnsi="仿宋" w:eastAsia="仿宋" w:cs="仿宋"/>
          <w:b w:val="0"/>
          <w:bCs w:val="0"/>
          <w:color w:val="FF0000"/>
          <w:sz w:val="28"/>
          <w:szCs w:val="28"/>
          <w:lang w:val="zh-CN"/>
        </w:rPr>
        <w:t xml:space="preserve"> </w:t>
      </w:r>
      <w:r>
        <w:rPr>
          <w:rFonts w:hint="eastAsia" w:ascii="仿宋" w:hAnsi="仿宋" w:eastAsia="仿宋" w:cs="仿宋"/>
          <w:b w:val="0"/>
          <w:bCs w:val="0"/>
          <w:color w:val="auto"/>
          <w:sz w:val="28"/>
          <w:szCs w:val="28"/>
          <w:highlight w:val="none"/>
          <w:lang w:val="en-US" w:eastAsia="zh-CN"/>
        </w:rPr>
        <w:t>2025年8月8日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2E72"/>
    <w:multiLevelType w:val="singleLevel"/>
    <w:tmpl w:val="87332E72"/>
    <w:lvl w:ilvl="0" w:tentative="0">
      <w:start w:val="3"/>
      <w:numFmt w:val="decimal"/>
      <w:suff w:val="nothing"/>
      <w:lvlText w:val="%1、"/>
      <w:lvlJc w:val="left"/>
    </w:lvl>
  </w:abstractNum>
  <w:abstractNum w:abstractNumId="1">
    <w:nsid w:val="D78A9C12"/>
    <w:multiLevelType w:val="singleLevel"/>
    <w:tmpl w:val="D78A9C12"/>
    <w:lvl w:ilvl="0" w:tentative="0">
      <w:start w:val="6"/>
      <w:numFmt w:val="chineseCounting"/>
      <w:suff w:val="nothing"/>
      <w:lvlText w:val="%1、"/>
      <w:lvlJc w:val="left"/>
      <w:rPr>
        <w:rFonts w:hint="eastAsia"/>
        <w:b/>
        <w:bCs/>
      </w:rPr>
    </w:lvl>
  </w:abstractNum>
  <w:abstractNum w:abstractNumId="2">
    <w:nsid w:val="E564BE0E"/>
    <w:multiLevelType w:val="singleLevel"/>
    <w:tmpl w:val="E564BE0E"/>
    <w:lvl w:ilvl="0" w:tentative="0">
      <w:start w:val="7"/>
      <w:numFmt w:val="decimal"/>
      <w:suff w:val="nothing"/>
      <w:lvlText w:val="%1、"/>
      <w:lvlJc w:val="left"/>
      <w:rPr>
        <w:rFonts w:hint="default"/>
        <w:b/>
        <w:bCs/>
      </w:rPr>
    </w:lvl>
  </w:abstractNum>
  <w:abstractNum w:abstractNumId="3">
    <w:nsid w:val="391C90BB"/>
    <w:multiLevelType w:val="singleLevel"/>
    <w:tmpl w:val="391C90BB"/>
    <w:lvl w:ilvl="0" w:tentative="0">
      <w:start w:val="8"/>
      <w:numFmt w:val="decimal"/>
      <w:suff w:val="nothing"/>
      <w:lvlText w:val="（%1）"/>
      <w:lvlJc w:val="left"/>
      <w:rPr>
        <w:rFonts w:hint="default"/>
        <w:b/>
        <w:bC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3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character" w:styleId="5">
    <w:name w:val="Hyperlink"/>
    <w:qFormat/>
    <w:uiPriority w:val="99"/>
    <w:rPr>
      <w:color w:val="000000"/>
      <w:sz w:val="18"/>
      <w:szCs w:val="18"/>
      <w:u w:val="none"/>
    </w:rPr>
  </w:style>
  <w:style w:type="paragraph" w:customStyle="1" w:styleId="6">
    <w:name w:val="※正文（缩进4）"/>
    <w:basedOn w:val="1"/>
    <w:qFormat/>
    <w:uiPriority w:val="0"/>
    <w:pPr>
      <w:wordWrap w:val="0"/>
      <w:ind w:firstLine="400" w:firstLineChars="400"/>
    </w:pPr>
  </w:style>
  <w:style w:type="paragraph" w:customStyle="1" w:styleId="7">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2025-08-08T03:54:29Z</dcterms:created>
  <dc:creator>Administrator</dc:creator>
  <cp:lastModifiedBy>梅芷</cp:lastModifiedBy>
  <dcterms:modified xsi:type="dcterms:W3CDTF">2025-08-08T03:54:37Z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eyJoZGlkIjoiNzA0YWU3MjUwYjcwMTczMTkzNTZiNmJmMjU1ZTZmYmIiLCJ1c2VySWQiOiI0NTcwNzEyMTAifQ==</vt:lpwstr>
  </property>
  <property fmtid="{D5CDD505-2E9C-101B-9397-08002B2CF9AE}" pid="4" name="ICV">
    <vt:lpwstr>2A404EBBCDF54DCD998BF58F1ACE83F2_12</vt:lpwstr>
  </property>
</Properties>
</file>