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73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各标段招标范围：</w:t>
      </w:r>
    </w:p>
    <w:p w14:paraId="49CC46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标段）：退化林修复工程4617亩；</w:t>
      </w:r>
    </w:p>
    <w:p w14:paraId="033321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标段）：退化林修复工程4100亩；</w:t>
      </w:r>
    </w:p>
    <w:p w14:paraId="23D6B5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标段）：退化林修复工程1900亩；</w:t>
      </w:r>
    </w:p>
    <w:p w14:paraId="33330B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标段）：退化林修复工程2765亩；</w:t>
      </w:r>
    </w:p>
    <w:p w14:paraId="2E9D0E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标段）：退化林修复工程1670亩；</w:t>
      </w:r>
    </w:p>
    <w:p w14:paraId="61280C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标段）：退化林修复工程2348亩；</w:t>
      </w:r>
    </w:p>
    <w:p w14:paraId="77429C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标段）：森林抚育工程3766亩；</w:t>
      </w:r>
    </w:p>
    <w:p w14:paraId="0051E3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3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标段）：森林抚育工程2634亩；</w:t>
      </w:r>
    </w:p>
    <w:p w14:paraId="2DDDCB51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陕西省韩城市2025年三北工程林草湿荒一体化保护修复项目（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标段）：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湿地修复工程260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eastAsia="zh-CN"/>
        </w:rPr>
        <w:t>亩；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39AC"/>
    <w:rsid w:val="531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2025-08-08T12:43:00Z</dcterms:created>
  <dc:creator>acer</dc:creator>
  <cp:lastModifiedBy>acer</cp:lastModifiedBy>
  <dcterms:modified xsi:type="dcterms:W3CDTF">2025-08-08T12:43:39Z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7EFC2163B98A413587212D85DED82792_11</vt:lpwstr>
  </property>
  <property fmtid="{D5CDD505-2E9C-101B-9397-08002B2CF9AE}" pid="4" name="KSOTemplateDocerSaveRecord">
    <vt:lpwstr>eyJoZGlkIjoiMTZiNGVkNGRhNzhlY2M2YjdlM2U1YzU2MmE1M2IyZDkiLCJ1c2VySWQiOiI0MzE3MzA1NjEifQ==</vt:lpwstr>
  </property>
</Properties>
</file>