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版本号：ZMZB2025SDW-93R20250718001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2025年重大动物疫情人员防护物资储备项目(二次)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ZMZB2025SDW-93R</w:t>
      </w:r>
      <w:r>
        <w:br/>
      </w:r>
      <w:r>
        <w:br/>
      </w:r>
      <w:r>
        <w:br/>
      </w:r>
    </w:p>
    <w:p>
      <w:pPr>
        <w:pStyle w:val="null3"/>
        <w:jc w:val="center"/>
        <w:outlineLvl w:val="2"/>
      </w:pPr>
      <w:r>
        <w:rPr>
          <w:rFonts w:ascii="仿宋_GB2312" w:hAnsi="仿宋_GB2312" w:cs="仿宋_GB2312" w:eastAsia="仿宋_GB2312"/>
          <w:sz w:val="28"/>
          <w:b/>
        </w:rPr>
        <w:t>陕西省动物卫生与屠宰管理站</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陕西省动物卫生与屠宰管理站</w:t>
      </w:r>
      <w:r>
        <w:rPr>
          <w:rFonts w:ascii="仿宋_GB2312" w:hAnsi="仿宋_GB2312" w:cs="仿宋_GB2312" w:eastAsia="仿宋_GB2312"/>
        </w:rPr>
        <w:t>委托，拟对</w:t>
      </w:r>
      <w:r>
        <w:rPr>
          <w:rFonts w:ascii="仿宋_GB2312" w:hAnsi="仿宋_GB2312" w:cs="仿宋_GB2312" w:eastAsia="仿宋_GB2312"/>
        </w:rPr>
        <w:t>2025年重大动物疫情人员防护物资储备项目(二次)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ZMZB2025SDW-93R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2025年重大动物疫情人员防护物资储备项目(二次)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2025年重大动物疫情人员防护物资储备项目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采购包1（重大动物疫情人员防护物资）：属于专门面向中小企业采购。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2、本项目不接受联合体投标：本项目不接受联合体投标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陕西省动物卫生与屠宰管理站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029-86289356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黄乐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 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陕西省动物卫生与屠宰管理站</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陕西省动物卫生与屠宰管理站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陕西省动物卫生与屠宰管理站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2025年重大动物疫情人员防护物资储备项目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重大动物疫情人员防护物资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标的名称：重大动物疫情人员防护物资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8"/>
              <w:gridCol w:w="339"/>
              <w:gridCol w:w="1147"/>
              <w:gridCol w:w="309"/>
              <w:gridCol w:w="214"/>
              <w:gridCol w:w="303"/>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序号</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名称</w:t>
                  </w:r>
                </w:p>
              </w:tc>
              <w:tc>
                <w:tcPr>
                  <w:tcW w:type="dxa" w:w="1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技术要求</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数量</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单位</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993300"/>
                    </w:rPr>
                    <w:t>备注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一次性防护服</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轻便、具有良好的透气性，高效防尘、防液体飞溅，限次使用型连体服。</w:t>
                  </w:r>
                </w:p>
                <w:p>
                  <w:pPr>
                    <w:pStyle w:val="null3"/>
                    <w:numPr>
                      <w:ilvl w:val="0"/>
                      <w:numId w:val="1"/>
                    </w:numPr>
                    <w:jc w:val="both"/>
                  </w:pPr>
                  <w:r>
                    <w:rPr>
                      <w:rFonts w:ascii="仿宋_GB2312" w:hAnsi="仿宋_GB2312" w:cs="仿宋_GB2312" w:eastAsia="仿宋_GB2312"/>
                      <w:sz w:val="18"/>
                    </w:rPr>
                    <w:t>外层为高质多微孔膜，内层为纺粘聚丙烯无纺布，可过滤</w:t>
                  </w:r>
                  <w:r>
                    <w:rPr>
                      <w:rFonts w:ascii="仿宋_GB2312" w:hAnsi="仿宋_GB2312" w:cs="仿宋_GB2312" w:eastAsia="仿宋_GB2312"/>
                      <w:sz w:val="18"/>
                    </w:rPr>
                    <w:t>99.9%的直径为3微米的微粒，可提供极佳的液体及粉尘防护；</w:t>
                  </w:r>
                </w:p>
                <w:p>
                  <w:pPr>
                    <w:pStyle w:val="null3"/>
                    <w:numPr>
                      <w:ilvl w:val="0"/>
                      <w:numId w:val="1"/>
                    </w:numPr>
                    <w:jc w:val="both"/>
                  </w:pPr>
                  <w:r>
                    <w:rPr>
                      <w:rFonts w:ascii="仿宋_GB2312" w:hAnsi="仿宋_GB2312" w:cs="仿宋_GB2312" w:eastAsia="仿宋_GB2312"/>
                      <w:sz w:val="18"/>
                    </w:rPr>
                    <w:t>对低危害化学液体的轻度飞溅，喷淋，及有害干燥粉尘起保护作用；</w:t>
                  </w:r>
                </w:p>
                <w:p>
                  <w:pPr>
                    <w:pStyle w:val="null3"/>
                    <w:numPr>
                      <w:ilvl w:val="0"/>
                      <w:numId w:val="1"/>
                    </w:numPr>
                    <w:jc w:val="both"/>
                  </w:pPr>
                  <w:r>
                    <w:rPr>
                      <w:rFonts w:ascii="仿宋_GB2312" w:hAnsi="仿宋_GB2312" w:cs="仿宋_GB2312" w:eastAsia="仿宋_GB2312"/>
                      <w:sz w:val="18"/>
                    </w:rPr>
                    <w:t>洁净室环境应用；</w:t>
                  </w:r>
                </w:p>
                <w:p>
                  <w:pPr>
                    <w:pStyle w:val="null3"/>
                    <w:numPr>
                      <w:ilvl w:val="0"/>
                      <w:numId w:val="1"/>
                    </w:numPr>
                    <w:jc w:val="both"/>
                  </w:pPr>
                  <w:r>
                    <w:rPr>
                      <w:rFonts w:ascii="仿宋_GB2312" w:hAnsi="仿宋_GB2312" w:cs="仿宋_GB2312" w:eastAsia="仿宋_GB2312"/>
                      <w:sz w:val="18"/>
                    </w:rPr>
                    <w:t>可用于防止病毒、细菌、液体、粉尘、血液及微生物等的侵入，有效地起到保护作用。</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核心产品）</w:t>
                  </w:r>
                  <w:r>
                    <w:rPr>
                      <w:rFonts w:ascii="仿宋_GB2312" w:hAnsi="仿宋_GB2312" w:cs="仿宋_GB2312" w:eastAsia="仿宋_GB2312"/>
                      <w:sz w:val="18"/>
                    </w:rPr>
                    <w:t>现场提供样品</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一次性鞋套</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一次性，有封扎设施，牢牢包裹住鞋子，不易脱落。</w:t>
                  </w:r>
                </w:p>
                <w:p>
                  <w:pPr>
                    <w:pStyle w:val="null3"/>
                    <w:numPr>
                      <w:ilvl w:val="0"/>
                      <w:numId w:val="1"/>
                    </w:numPr>
                    <w:jc w:val="both"/>
                  </w:pPr>
                  <w:r>
                    <w:rPr>
                      <w:rFonts w:ascii="仿宋_GB2312" w:hAnsi="仿宋_GB2312" w:cs="仿宋_GB2312" w:eastAsia="仿宋_GB2312"/>
                      <w:sz w:val="18"/>
                    </w:rPr>
                    <w:t>材质</w:t>
                  </w:r>
                  <w:r>
                    <w:rPr>
                      <w:rFonts w:ascii="仿宋_GB2312" w:hAnsi="仿宋_GB2312" w:cs="仿宋_GB2312" w:eastAsia="仿宋_GB2312"/>
                      <w:sz w:val="18"/>
                    </w:rPr>
                    <w:t>：外层为高质多微孔膜，内层为纺粘聚丙烯无纺布，可提供</w:t>
                  </w:r>
                  <w:r>
                    <w:rPr>
                      <w:rFonts w:ascii="仿宋_GB2312" w:hAnsi="仿宋_GB2312" w:cs="仿宋_GB2312" w:eastAsia="仿宋_GB2312"/>
                      <w:sz w:val="18"/>
                    </w:rPr>
                    <w:t>良好</w:t>
                  </w:r>
                  <w:r>
                    <w:rPr>
                      <w:rFonts w:ascii="仿宋_GB2312" w:hAnsi="仿宋_GB2312" w:cs="仿宋_GB2312" w:eastAsia="仿宋_GB2312"/>
                      <w:sz w:val="18"/>
                    </w:rPr>
                    <w:t>的液体及粉尘防护采用胶带密合</w:t>
                  </w:r>
                  <w:r>
                    <w:rPr>
                      <w:rFonts w:ascii="仿宋_GB2312" w:hAnsi="仿宋_GB2312" w:cs="仿宋_GB2312" w:eastAsia="仿宋_GB2312"/>
                      <w:sz w:val="18"/>
                    </w:rPr>
                    <w:t>,最大程度地提高对粉尘,液体的防护功效。</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一次性口罩</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规格：</w:t>
                  </w:r>
                  <w:r>
                    <w:rPr>
                      <w:rFonts w:ascii="仿宋_GB2312" w:hAnsi="仿宋_GB2312" w:cs="仿宋_GB2312" w:eastAsia="仿宋_GB2312"/>
                      <w:sz w:val="18"/>
                    </w:rPr>
                    <w:t xml:space="preserve">17cm×9cm  </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.三层结构，两层无纺布，一层过滤纸。中间层过滤纸层由过滤防菌达99%以上的过滤溶喷布经超声波焊接而成,鼻梁处采用环保型全塑条,不含任何金属,配带透汽，舒适；</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.过滤效果 B.F.E 高达99%；</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.在制作上采用环保全塑鼻梁条鼻梁夹设计可依不同脸型做最舒适的调整。选用内覆超声波点焊，耳带均可很牢固不易掉落。</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.材质：无纺布、专业静电高效滤材；</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.包装规格：单个独立包装。</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N95口罩</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采用无纺布原料（内、外层）和过滤布（夹层）热合为成，用于防止空气中的颗粒物吸入呼吸器官对人体造成伤害。</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一次性乳胶手套</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一次性手套，采用</w:t>
                  </w:r>
                  <w:r>
                    <w:rPr>
                      <w:rFonts w:ascii="仿宋_GB2312" w:hAnsi="仿宋_GB2312" w:cs="仿宋_GB2312" w:eastAsia="仿宋_GB2312"/>
                      <w:sz w:val="18"/>
                    </w:rPr>
                    <w:t>100%天然乳胶制成，两手通用,卷边腕口；</w:t>
                  </w:r>
                </w:p>
                <w:p>
                  <w:pPr>
                    <w:pStyle w:val="null3"/>
                    <w:numPr>
                      <w:ilvl w:val="0"/>
                      <w:numId w:val="1"/>
                    </w:numPr>
                    <w:jc w:val="both"/>
                  </w:pPr>
                  <w:r>
                    <w:rPr>
                      <w:rFonts w:ascii="仿宋_GB2312" w:hAnsi="仿宋_GB2312" w:cs="仿宋_GB2312" w:eastAsia="仿宋_GB2312"/>
                      <w:sz w:val="18"/>
                    </w:rPr>
                    <w:t>光滑内表面及卷边易于佩戴；</w:t>
                  </w:r>
                  <w:r>
                    <w:rPr>
                      <w:rFonts w:ascii="仿宋_GB2312" w:hAnsi="仿宋_GB2312" w:cs="仿宋_GB2312" w:eastAsia="仿宋_GB2312"/>
                      <w:sz w:val="18"/>
                    </w:rPr>
                    <w:t>3.</w:t>
                  </w:r>
                  <w:r>
                    <w:rPr>
                      <w:rFonts w:ascii="仿宋_GB2312" w:hAnsi="仿宋_GB2312" w:cs="仿宋_GB2312" w:eastAsia="仿宋_GB2312"/>
                      <w:sz w:val="18"/>
                    </w:rPr>
                    <w:t>具有良好的拉力强度和伸长率</w:t>
                  </w:r>
                  <w:r>
                    <w:rPr>
                      <w:rFonts w:ascii="仿宋_GB2312" w:hAnsi="仿宋_GB2312" w:cs="仿宋_GB2312" w:eastAsia="仿宋_GB2312"/>
                      <w:sz w:val="18"/>
                    </w:rPr>
                    <w:t>,避免在佩戴时撕裂；</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无皮肤刺激、过敏现象。</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防雾安全护目镜</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1.产品防雾、防刮擦、防冲击、防紫外线和防化学品飞溅等。 </w:t>
                  </w:r>
                  <w:r>
                    <w:br/>
                  </w:r>
                  <w:r>
                    <w:rPr>
                      <w:rFonts w:ascii="仿宋_GB2312" w:hAnsi="仿宋_GB2312" w:cs="仿宋_GB2312" w:eastAsia="仿宋_GB2312"/>
                      <w:sz w:val="18"/>
                    </w:rPr>
                    <w:t>2.烟灰色镜框，密封圈有间接通风孔设计；透明镜片，弧形大视野镜片，镜片防雾防刮擦。</w:t>
                  </w:r>
                  <w:r>
                    <w:br/>
                  </w:r>
                  <w:r>
                    <w:rPr>
                      <w:rFonts w:ascii="仿宋_GB2312" w:hAnsi="仿宋_GB2312" w:cs="仿宋_GB2312" w:eastAsia="仿宋_GB2312"/>
                      <w:sz w:val="18"/>
                    </w:rPr>
                    <w:t>3.可调节头带，多角度旋转头带接口，可以与矫正眼镜或者半面具配合使用。</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现场提供样品</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防护型高精度疫苗连续投药器</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产品由投药器液箱、连续投注机构、循环系统、三通转换装置等为整体结构，无任何外接软管连接，全部整体密闭内循环结构。</w:t>
                  </w:r>
                </w:p>
                <w:p>
                  <w:pPr>
                    <w:pStyle w:val="null3"/>
                    <w:numPr>
                      <w:ilvl w:val="0"/>
                      <w:numId w:val="1"/>
                    </w:numPr>
                    <w:jc w:val="both"/>
                  </w:pPr>
                  <w:r>
                    <w:rPr>
                      <w:rFonts w:ascii="仿宋_GB2312" w:hAnsi="仿宋_GB2312" w:cs="仿宋_GB2312" w:eastAsia="仿宋_GB2312"/>
                      <w:sz w:val="18"/>
                    </w:rPr>
                    <w:t>材质：投药器枪体全部采用铜制作，疫苗接触之处均采用铜或医用级高分子材料制作；</w:t>
                  </w:r>
                </w:p>
                <w:p>
                  <w:pPr>
                    <w:pStyle w:val="null3"/>
                    <w:numPr>
                      <w:ilvl w:val="0"/>
                      <w:numId w:val="1"/>
                    </w:numPr>
                    <w:jc w:val="both"/>
                  </w:pPr>
                  <w:r>
                    <w:rPr>
                      <w:rFonts w:ascii="仿宋_GB2312" w:hAnsi="仿宋_GB2312" w:cs="仿宋_GB2312" w:eastAsia="仿宋_GB2312"/>
                      <w:sz w:val="18"/>
                    </w:rPr>
                    <w:t>连接：设置有投药管、针头安装的锁扣装置，通过更换投药管或针头可实现灌服或注射，具有针头及投药管防脱落功能；</w:t>
                  </w:r>
                </w:p>
                <w:p>
                  <w:pPr>
                    <w:pStyle w:val="null3"/>
                    <w:numPr>
                      <w:ilvl w:val="0"/>
                      <w:numId w:val="1"/>
                    </w:numPr>
                    <w:jc w:val="both"/>
                  </w:pPr>
                  <w:r>
                    <w:rPr>
                      <w:rFonts w:ascii="仿宋_GB2312" w:hAnsi="仿宋_GB2312" w:cs="仿宋_GB2312" w:eastAsia="仿宋_GB2312"/>
                      <w:sz w:val="18"/>
                    </w:rPr>
                    <w:t>可注射疫苗量规格：</w:t>
                  </w:r>
                  <w:r>
                    <w:rPr>
                      <w:rFonts w:ascii="仿宋_GB2312" w:hAnsi="仿宋_GB2312" w:cs="仿宋_GB2312" w:eastAsia="仿宋_GB2312"/>
                      <w:sz w:val="18"/>
                    </w:rPr>
                    <w:t>0.2ml-2ml，连续可调；</w:t>
                  </w:r>
                </w:p>
                <w:p>
                  <w:pPr>
                    <w:pStyle w:val="null3"/>
                    <w:numPr>
                      <w:ilvl w:val="0"/>
                      <w:numId w:val="1"/>
                    </w:numPr>
                    <w:jc w:val="both"/>
                  </w:pPr>
                  <w:r>
                    <w:rPr>
                      <w:rFonts w:ascii="仿宋_GB2312" w:hAnsi="仿宋_GB2312" w:cs="仿宋_GB2312" w:eastAsia="仿宋_GB2312"/>
                      <w:sz w:val="18"/>
                    </w:rPr>
                    <w:t>液箱容量：不小于</w:t>
                  </w:r>
                  <w:r>
                    <w:rPr>
                      <w:rFonts w:ascii="仿宋_GB2312" w:hAnsi="仿宋_GB2312" w:cs="仿宋_GB2312" w:eastAsia="仿宋_GB2312"/>
                      <w:sz w:val="18"/>
                    </w:rPr>
                    <w:t>100ml；</w:t>
                  </w:r>
                </w:p>
                <w:p>
                  <w:pPr>
                    <w:pStyle w:val="null3"/>
                    <w:numPr>
                      <w:ilvl w:val="0"/>
                      <w:numId w:val="1"/>
                    </w:numPr>
                    <w:jc w:val="both"/>
                  </w:pPr>
                  <w:r>
                    <w:rPr>
                      <w:rFonts w:ascii="仿宋_GB2312" w:hAnsi="仿宋_GB2312" w:cs="仿宋_GB2312" w:eastAsia="仿宋_GB2312"/>
                      <w:sz w:val="18"/>
                    </w:rPr>
                    <w:t>器身密合性：活塞与针筒体内壁的配合性良好，各部件连接处不允许有渗漏现象。</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现场提供样品</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冷藏包</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箱体、箱盖采用吹塑、注塑中空工艺成形，向上开盖，包口有塑胶密封胶条，背带长度可调节。</w:t>
                  </w:r>
                </w:p>
                <w:p>
                  <w:pPr>
                    <w:pStyle w:val="null3"/>
                    <w:numPr>
                      <w:ilvl w:val="0"/>
                      <w:numId w:val="1"/>
                    </w:numPr>
                    <w:jc w:val="both"/>
                  </w:pPr>
                  <w:r>
                    <w:rPr>
                      <w:rFonts w:ascii="仿宋_GB2312" w:hAnsi="仿宋_GB2312" w:cs="仿宋_GB2312" w:eastAsia="仿宋_GB2312"/>
                      <w:sz w:val="18"/>
                    </w:rPr>
                    <w:t>内容积：</w:t>
                  </w:r>
                  <w:r>
                    <w:rPr>
                      <w:rFonts w:ascii="仿宋_GB2312" w:hAnsi="仿宋_GB2312" w:cs="仿宋_GB2312" w:eastAsia="仿宋_GB2312"/>
                      <w:sz w:val="18"/>
                    </w:rPr>
                    <w:t>6L。</w:t>
                  </w:r>
                </w:p>
                <w:p>
                  <w:pPr>
                    <w:pStyle w:val="null3"/>
                    <w:numPr>
                      <w:ilvl w:val="0"/>
                      <w:numId w:val="1"/>
                    </w:numPr>
                    <w:jc w:val="both"/>
                  </w:pPr>
                  <w:r>
                    <w:rPr>
                      <w:rFonts w:ascii="仿宋_GB2312" w:hAnsi="仿宋_GB2312" w:cs="仿宋_GB2312" w:eastAsia="仿宋_GB2312"/>
                      <w:sz w:val="18"/>
                    </w:rPr>
                    <w:t>保冷时间：冷藏包内温度由</w:t>
                  </w:r>
                  <w:r>
                    <w:rPr>
                      <w:rFonts w:ascii="仿宋_GB2312" w:hAnsi="仿宋_GB2312" w:cs="仿宋_GB2312" w:eastAsia="仿宋_GB2312"/>
                      <w:sz w:val="18"/>
                    </w:rPr>
                    <w:t>2℃至8℃的保冷时间≥40小时。</w:t>
                  </w:r>
                </w:p>
                <w:p>
                  <w:pPr>
                    <w:pStyle w:val="null3"/>
                    <w:numPr>
                      <w:ilvl w:val="0"/>
                      <w:numId w:val="1"/>
                    </w:numPr>
                    <w:jc w:val="both"/>
                  </w:pPr>
                  <w:r>
                    <w:rPr>
                      <w:rFonts w:ascii="仿宋_GB2312" w:hAnsi="仿宋_GB2312" w:cs="仿宋_GB2312" w:eastAsia="仿宋_GB2312"/>
                      <w:sz w:val="18"/>
                    </w:rPr>
                    <w:t>配置：</w:t>
                  </w:r>
                  <w:r>
                    <w:rPr>
                      <w:rFonts w:ascii="仿宋_GB2312" w:hAnsi="仿宋_GB2312" w:cs="仿宋_GB2312" w:eastAsia="仿宋_GB2312"/>
                      <w:sz w:val="18"/>
                    </w:rPr>
                    <w:t>箱体：</w:t>
                  </w:r>
                  <w:r>
                    <w:rPr>
                      <w:rFonts w:ascii="仿宋_GB2312" w:hAnsi="仿宋_GB2312" w:cs="仿宋_GB2312" w:eastAsia="仿宋_GB2312"/>
                      <w:sz w:val="18"/>
                    </w:rPr>
                    <w:t>1个；0.4L冰排6个。</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手动喷雾器</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药箱容积：</w:t>
                  </w:r>
                  <w:r>
                    <w:rPr>
                      <w:rFonts w:ascii="仿宋_GB2312" w:hAnsi="仿宋_GB2312" w:cs="仿宋_GB2312" w:eastAsia="仿宋_GB2312"/>
                      <w:sz w:val="18"/>
                    </w:rPr>
                    <w:t>16升。</w:t>
                  </w:r>
                </w:p>
                <w:p>
                  <w:pPr>
                    <w:pStyle w:val="null3"/>
                    <w:numPr>
                      <w:ilvl w:val="0"/>
                      <w:numId w:val="1"/>
                    </w:numPr>
                    <w:jc w:val="both"/>
                  </w:pPr>
                  <w:r>
                    <w:rPr>
                      <w:rFonts w:ascii="仿宋_GB2312" w:hAnsi="仿宋_GB2312" w:cs="仿宋_GB2312" w:eastAsia="仿宋_GB2312"/>
                      <w:sz w:val="18"/>
                    </w:rPr>
                    <w:t>工作压力：</w:t>
                  </w:r>
                  <w:r>
                    <w:rPr>
                      <w:rFonts w:ascii="仿宋_GB2312" w:hAnsi="仿宋_GB2312" w:cs="仿宋_GB2312" w:eastAsia="仿宋_GB2312"/>
                      <w:sz w:val="18"/>
                    </w:rPr>
                    <w:t>0.2-0.4MPa。</w:t>
                  </w:r>
                </w:p>
                <w:p>
                  <w:pPr>
                    <w:pStyle w:val="null3"/>
                    <w:numPr>
                      <w:ilvl w:val="0"/>
                      <w:numId w:val="1"/>
                    </w:numPr>
                    <w:jc w:val="both"/>
                  </w:pPr>
                  <w:r>
                    <w:rPr>
                      <w:rFonts w:ascii="仿宋_GB2312" w:hAnsi="仿宋_GB2312" w:cs="仿宋_GB2312" w:eastAsia="仿宋_GB2312"/>
                      <w:sz w:val="18"/>
                    </w:rPr>
                    <w:t>重量：</w:t>
                  </w:r>
                  <w:r>
                    <w:rPr>
                      <w:rFonts w:ascii="仿宋_GB2312" w:hAnsi="仿宋_GB2312" w:cs="仿宋_GB2312" w:eastAsia="仿宋_GB2312"/>
                      <w:sz w:val="18"/>
                    </w:rPr>
                    <w:t>4-5公斤。</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充电背负式消毒机</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药箱容积：</w:t>
                  </w:r>
                  <w:r>
                    <w:rPr>
                      <w:rFonts w:ascii="仿宋_GB2312" w:hAnsi="仿宋_GB2312" w:cs="仿宋_GB2312" w:eastAsia="仿宋_GB2312"/>
                      <w:sz w:val="18"/>
                    </w:rPr>
                    <w:t>18升；</w:t>
                  </w:r>
                </w:p>
                <w:p>
                  <w:pPr>
                    <w:pStyle w:val="null3"/>
                    <w:numPr>
                      <w:ilvl w:val="0"/>
                      <w:numId w:val="1"/>
                    </w:numPr>
                    <w:jc w:val="both"/>
                  </w:pPr>
                  <w:r>
                    <w:rPr>
                      <w:rFonts w:ascii="仿宋_GB2312" w:hAnsi="仿宋_GB2312" w:cs="仿宋_GB2312" w:eastAsia="仿宋_GB2312"/>
                      <w:sz w:val="18"/>
                    </w:rPr>
                    <w:t>整机重量：</w:t>
                  </w:r>
                  <w:r>
                    <w:rPr>
                      <w:rFonts w:ascii="仿宋_GB2312" w:hAnsi="仿宋_GB2312" w:cs="仿宋_GB2312" w:eastAsia="仿宋_GB2312"/>
                      <w:sz w:val="18"/>
                    </w:rPr>
                    <w:t>5公斤左右；</w:t>
                  </w:r>
                </w:p>
                <w:p>
                  <w:pPr>
                    <w:pStyle w:val="null3"/>
                    <w:numPr>
                      <w:ilvl w:val="0"/>
                      <w:numId w:val="1"/>
                    </w:numPr>
                    <w:jc w:val="both"/>
                  </w:pPr>
                  <w:r>
                    <w:rPr>
                      <w:rFonts w:ascii="仿宋_GB2312" w:hAnsi="仿宋_GB2312" w:cs="仿宋_GB2312" w:eastAsia="仿宋_GB2312"/>
                      <w:sz w:val="18"/>
                    </w:rPr>
                    <w:t>液泵型式：</w:t>
                  </w:r>
                  <w:r>
                    <w:rPr>
                      <w:rFonts w:ascii="仿宋_GB2312" w:hAnsi="仿宋_GB2312" w:cs="仿宋_GB2312" w:eastAsia="仿宋_GB2312"/>
                      <w:sz w:val="18"/>
                    </w:rPr>
                    <w:t>DC12V（1-2）A，电动隔膜泵，最大压力5.5公斤，流量：1-3L/min；</w:t>
                  </w:r>
                </w:p>
                <w:p>
                  <w:pPr>
                    <w:pStyle w:val="null3"/>
                    <w:numPr>
                      <w:ilvl w:val="0"/>
                      <w:numId w:val="1"/>
                    </w:numPr>
                    <w:jc w:val="both"/>
                  </w:pPr>
                  <w:r>
                    <w:rPr>
                      <w:rFonts w:ascii="仿宋_GB2312" w:hAnsi="仿宋_GB2312" w:cs="仿宋_GB2312" w:eastAsia="仿宋_GB2312"/>
                      <w:sz w:val="18"/>
                    </w:rPr>
                    <w:t>蓄电池：锂电池，</w:t>
                  </w:r>
                  <w:r>
                    <w:rPr>
                      <w:rFonts w:ascii="仿宋_GB2312" w:hAnsi="仿宋_GB2312" w:cs="仿宋_GB2312" w:eastAsia="仿宋_GB2312"/>
                      <w:sz w:val="18"/>
                    </w:rPr>
                    <w:t>DC12V/8AH-12AH；</w:t>
                  </w:r>
                </w:p>
                <w:p>
                  <w:pPr>
                    <w:pStyle w:val="null3"/>
                    <w:numPr>
                      <w:ilvl w:val="0"/>
                      <w:numId w:val="1"/>
                    </w:numPr>
                    <w:jc w:val="both"/>
                  </w:pPr>
                  <w:r>
                    <w:rPr>
                      <w:rFonts w:ascii="仿宋_GB2312" w:hAnsi="仿宋_GB2312" w:cs="仿宋_GB2312" w:eastAsia="仿宋_GB2312"/>
                      <w:sz w:val="18"/>
                    </w:rPr>
                    <w:t>配备扇形雾喷头，圆锥雾喷头和</w:t>
                  </w:r>
                  <w:r>
                    <w:rPr>
                      <w:rFonts w:ascii="仿宋_GB2312" w:hAnsi="仿宋_GB2312" w:cs="仿宋_GB2312" w:eastAsia="仿宋_GB2312"/>
                      <w:sz w:val="18"/>
                    </w:rPr>
                    <w:t>F型喷头；</w:t>
                  </w:r>
                </w:p>
                <w:p>
                  <w:pPr>
                    <w:pStyle w:val="null3"/>
                    <w:numPr>
                      <w:ilvl w:val="0"/>
                      <w:numId w:val="1"/>
                    </w:numPr>
                    <w:jc w:val="both"/>
                  </w:pPr>
                  <w:r>
                    <w:rPr>
                      <w:rFonts w:ascii="仿宋_GB2312" w:hAnsi="仿宋_GB2312" w:cs="仿宋_GB2312" w:eastAsia="仿宋_GB2312"/>
                      <w:sz w:val="18"/>
                    </w:rPr>
                    <w:t>残留液量</w:t>
                  </w:r>
                  <w:r>
                    <w:rPr>
                      <w:rFonts w:ascii="仿宋_GB2312" w:hAnsi="仿宋_GB2312" w:cs="仿宋_GB2312" w:eastAsia="仿宋_GB2312"/>
                      <w:sz w:val="18"/>
                    </w:rPr>
                    <w:t>≤60ml，工作压力：0.15-0.4MPa。</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供货期：一年内，按需配送，5日内交货。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陕西省动物卫生与屠宰管理站指定地点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项目质保期：验收合格通过之日起1年。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1、核心产品：一次性防护服；2、款项结算：合同签订后分批采购，分批付款。每批次产品经甲方确认合格后三个月内，按实际用量据实支付。 其他：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线下递交文件地点：西安市雁塔区科技路 30号合力紫郡B座21层第一会议室，若电子投标文件与纸质投标文件不一致的，以电子投标文件为准。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证明文件：1、具有独立承担民事责任能力的法人、其他组织或自然人：具有独立承担民事责任能力的法人、其他组织或自然人，提供合法有效的统一社会信用代码营业执照（事业单位提供事业单位法人证书，自然人应提供身份证）； 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 3、税收缴纳证明：提供2024年6月以来任意一个月的依法缴纳税收的相关凭据（时间以税款所属时期为准），凭据应有税务机关或代收机关的公章或业务专用章。依法免税或无须缴纳税收的供应商，应提供相应证明文件； 4、社会保障资金缴纳证明：提供2024年6月以来任意一个月的社会保障资金缴存单据或社保机构开具的社会保险参保缴费情况证明。依法不需要缴纳社会保障资金的供应商应提供相关文件证明； 5、具有履行合同所必需的设备和专业技术能力的书面声明：具有履行合同所必需的设备和专业技术能力的书面声明； 6、没有重大违法记录的书面声明：参加政府采购活动前3年内在经营活动中没有重大违法记录的书面声明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供应商资格要求-采购包2.docx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供应商资格要求-采购包2.docx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分项报价表-采购包2.docx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分项报价表-采购包2.docx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交货时间（供货期）不满足招标文件要求 不合格 交货时间满足招标文件要求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 不合格 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 章符合招标文件要求 合格</w:t>
            </w:r>
          </w:p>
        </w:tc>
        <w:tc>
          <w:tcPr>
            <w:tcW w:type="dxa" w:w="1661"/>
          </w:tcPr>
          <w:p>
            <w:pPr>
              <w:pStyle w:val="null3"/>
            </w:pPr>
            <w:r>
              <w:rPr>
                <w:rFonts w:ascii="仿宋_GB2312" w:hAnsi="仿宋_GB2312" w:cs="仿宋_GB2312" w:eastAsia="仿宋_GB2312"/>
              </w:rPr>
              <w:t>开标一览表 供应商资格要求-采购包2.docx 投标函 中小企业声明函 商务应答表 分项报价表-采购包2.docx 标的清单 投标文件封面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投标文件投标有效期达到招标文件要求的合格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投标文件的标的数量不满足采购要求的 不合格 投标文件的标的数量满足 采购要求的合格</w:t>
            </w:r>
          </w:p>
        </w:tc>
        <w:tc>
          <w:tcPr>
            <w:tcW w:type="dxa" w:w="1661"/>
          </w:tcPr>
          <w:p>
            <w:pPr>
              <w:pStyle w:val="null3"/>
            </w:pPr>
            <w:r>
              <w:rPr>
                <w:rFonts w:ascii="仿宋_GB2312" w:hAnsi="仿宋_GB2312" w:cs="仿宋_GB2312" w:eastAsia="仿宋_GB2312"/>
              </w:rPr>
              <w:t>分项报价表-采购包2.docx 标的清单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 （不合格）</w:t>
            </w:r>
          </w:p>
        </w:tc>
        <w:tc>
          <w:tcPr>
            <w:tcW w:type="dxa" w:w="1661"/>
          </w:tcPr>
          <w:p>
            <w:pPr>
              <w:pStyle w:val="null3"/>
            </w:pPr>
            <w:r>
              <w:rPr>
                <w:rFonts w:ascii="仿宋_GB2312" w:hAnsi="仿宋_GB2312" w:cs="仿宋_GB2312" w:eastAsia="仿宋_GB2312"/>
              </w:rPr>
              <w:t>投标函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根据供应商提供所投产品的技术指标（参数）及相应的证明材料（包括但不限于产品彩页、测试报告、官网和功能截图等技术支持性文件（资料），经评审专家审定得分。 基本分（20分）：完全符合、响应招标文件要求，没有负偏离的得20分；参数负偏离一项扣0.5分，扣完为止。 注：招标文件中的技术要求需提供证明材料，未提供或提供的证明材料低于招标文件规定的响应技术指标、参数时视为负偏离。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产品进货渠道正规，投标人需提供所投产品合法正规来源渠道证明文件：包括但不限于厂家授权、销售协议、代理协议等，每提供一个品目计0.5分，最高计5分。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评标委员会通过对样品的材质、观感质量、及制作工艺水平等进行综合评定。 1、样品完全满足采购需求及样品制作标准，材质、观感质量及制作工艺水平高，一次性防护服计10分，防护型高精度疫苗连续投药器计3分，防雾安全护目镜计2分； 2、样品基本满足采购需求及样品制作标准，材质、观感质量、及制作工艺水平较高，一次性防护服计5分，防护型高精度疫苗连续投药器计1.5分，防雾安全护目镜计1分； 3、样品能基本满足采购基本需求，但制作粗糙，材质、观感质量、及制作工艺水平相对较差，一次性防护服计2.5分，防护型高精度疫苗连续投药器计0.75分，防雾安全护目镜计0.5分。 4、未提供样品的不计分。 备注： （1）供应商须提供样品（一次性防护服1套、防雾安全护目镜1副、防护型高精度疫苗连续投药器1个）。样品密封递交。 （2）样品递交时间及地点：同投标文件一致（密封递交）。 中标（成交）投标单位样品作为验收依据转采购人接收，未中标（未成交）投标单位样品采购结果公示后五个工作日内退还。</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针对本项目提供具体的实施方案，方案内容包含①配送人员安排②供货组织方案③组织机构管理体系方案④质量保证措施⑤应急方案⑥验收方案； 提供的上述6项内容完整可行得18分；每有一项未提供扣3分；每有一处有缺陷扣1.5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培训方案； 提供的上述6项内容完整可行得6分；每有一项未提供扣1分；每有一处有缺陷扣0.5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提供供应商2023年1月1日至今所投类似产品项目合同（以合同签订日期为准），每提供1个得1分，最高得5分。备注：响应文件中提供合同复印件。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经国家认证的得0.5分，每有一项为环境标志产品经国家认证的得0.5分，供应商投标产品中每有一项产品同时为节能产品和环境标志产品得1分，本项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价格分统一采用低价优先法计算，即满足招标文件要求且投标价格最低的报价为评标基准价，其价格分为满分。其他供应商的价格分统一按照下列公式计算：价格分=(评标基准价／投标报价)×报价分值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分项报价表-采购包2.docx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详见附件：分项报价表-采购包2.docx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详见附件：供应商资格要求-采购包2.docx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