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0E75">
      <w:pPr>
        <w:pStyle w:val="4"/>
        <w:ind w:left="120"/>
      </w:pPr>
      <w:r>
        <w:rPr>
          <w:rFonts w:ascii="仿宋_GB2312" w:hAnsi="仿宋_GB2312" w:eastAsia="仿宋_GB2312" w:cs="仿宋_GB2312"/>
          <w:color w:val="000000"/>
          <w:sz w:val="18"/>
        </w:rPr>
        <w:t>一、项目概况</w:t>
      </w:r>
    </w:p>
    <w:p w14:paraId="4D88D726">
      <w:pPr>
        <w:pStyle w:val="4"/>
        <w:ind w:right="105" w:firstLine="400"/>
      </w:pPr>
      <w:r>
        <w:rPr>
          <w:rFonts w:ascii="仿宋_GB2312" w:hAnsi="仿宋_GB2312" w:eastAsia="仿宋_GB2312" w:cs="仿宋_GB2312"/>
          <w:color w:val="000000"/>
          <w:sz w:val="18"/>
        </w:rPr>
        <w:t>2025年度自然灾害风险普查基础数据库等运维服务项目</w:t>
      </w:r>
    </w:p>
    <w:p w14:paraId="69BC8DB9">
      <w:pPr>
        <w:pStyle w:val="4"/>
        <w:ind w:left="105" w:right="105" w:firstLine="348"/>
      </w:pPr>
      <w:r>
        <w:rPr>
          <w:rFonts w:ascii="仿宋_GB2312" w:hAnsi="仿宋_GB2312" w:eastAsia="仿宋_GB2312" w:cs="仿宋_GB2312"/>
          <w:color w:val="000000"/>
          <w:sz w:val="18"/>
        </w:rPr>
        <w:t>本项目所属行业为软件和信息技术服务业（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）。</w:t>
      </w:r>
    </w:p>
    <w:p w14:paraId="5B4780BD">
      <w:pPr>
        <w:pStyle w:val="4"/>
        <w:ind w:right="105"/>
      </w:pPr>
      <w:r>
        <w:rPr>
          <w:rFonts w:ascii="仿宋_GB2312" w:hAnsi="仿宋_GB2312" w:eastAsia="仿宋_GB2312" w:cs="仿宋_GB2312"/>
          <w:b/>
          <w:color w:val="000000"/>
          <w:sz w:val="18"/>
        </w:rPr>
        <w:t>二、</w:t>
      </w:r>
      <w:r>
        <w:rPr>
          <w:rFonts w:ascii="仿宋_GB2312" w:hAnsi="仿宋_GB2312" w:eastAsia="仿宋_GB2312" w:cs="仿宋_GB2312"/>
          <w:color w:val="000000"/>
          <w:sz w:val="18"/>
        </w:rPr>
        <w:t>采购内容</w:t>
      </w:r>
    </w:p>
    <w:p w14:paraId="146CC9CD">
      <w:pPr>
        <w:pStyle w:val="4"/>
      </w:pPr>
      <w:r>
        <w:rPr>
          <w:rFonts w:ascii="仿宋_GB2312" w:hAnsi="仿宋_GB2312" w:eastAsia="仿宋_GB2312" w:cs="仿宋_GB2312"/>
          <w:color w:val="000000"/>
          <w:sz w:val="18"/>
        </w:rPr>
        <w:t>2.1服务要求</w:t>
      </w:r>
    </w:p>
    <w:p w14:paraId="0DF17EF4">
      <w:pPr>
        <w:pStyle w:val="4"/>
        <w:ind w:left="225" w:firstLine="416"/>
      </w:pPr>
      <w:r>
        <w:rPr>
          <w:rFonts w:ascii="仿宋_GB2312" w:hAnsi="仿宋_GB2312" w:eastAsia="仿宋_GB2312" w:cs="仿宋_GB2312"/>
          <w:color w:val="000000"/>
          <w:sz w:val="18"/>
        </w:rPr>
        <w:t>2025年度自然灾害风险普查基础数据库等运维服务项目，包括三项内容：</w:t>
      </w:r>
    </w:p>
    <w:p w14:paraId="7E48A2F1">
      <w:pPr>
        <w:pStyle w:val="4"/>
        <w:ind w:left="225" w:firstLine="416"/>
      </w:pPr>
      <w:r>
        <w:rPr>
          <w:rFonts w:ascii="仿宋_GB2312" w:hAnsi="仿宋_GB2312" w:eastAsia="仿宋_GB2312" w:cs="仿宋_GB2312"/>
          <w:color w:val="000000"/>
          <w:sz w:val="18"/>
        </w:rPr>
        <w:t>（1）省级自然灾害风险普查基础数据库平台维护，主要内容为平台备份、恢复与数据库性能优化，系统迁移、升级与故障处理，预防性巡检与日常维护等；</w:t>
      </w:r>
    </w:p>
    <w:p w14:paraId="3CBBC272">
      <w:pPr>
        <w:pStyle w:val="4"/>
        <w:ind w:left="225" w:firstLine="416"/>
      </w:pPr>
      <w:r>
        <w:rPr>
          <w:rFonts w:ascii="仿宋_GB2312" w:hAnsi="仿宋_GB2312" w:eastAsia="仿宋_GB2312" w:cs="仿宋_GB2312"/>
          <w:color w:val="000000"/>
          <w:sz w:val="18"/>
        </w:rPr>
        <w:t>（2）实景三维数据更新入库，主要内容为实景三维数据的生产、治理、清洗及入库等；</w:t>
      </w:r>
    </w:p>
    <w:p w14:paraId="0D0F9D25">
      <w:pPr>
        <w:pStyle w:val="4"/>
        <w:ind w:left="225" w:firstLine="416"/>
      </w:pPr>
      <w:r>
        <w:rPr>
          <w:rFonts w:ascii="仿宋_GB2312" w:hAnsi="仿宋_GB2312" w:eastAsia="仿宋_GB2312" w:cs="仿宋_GB2312"/>
          <w:color w:val="000000"/>
          <w:sz w:val="18"/>
        </w:rPr>
        <w:t>（3）联合有关涉灾部门开展灾害预警预报和实际灾情比照研究，复盘灾情发生过程，主要内容包括结合气象快报、灾害普查成果、地形地貌等数据，对相关区域开展洪涝灾情风险分析及评估，研究提取危险等级较高的承灾体并进行风险提示，对成灾过程进行分析复盘，开展预警预报和实际灾情对比分析研究。</w:t>
      </w:r>
    </w:p>
    <w:p w14:paraId="5BBD4C1A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2.2服务、产品（如有）执行的标准、规范：</w:t>
      </w:r>
    </w:p>
    <w:p w14:paraId="2F239947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（1） 国家标准、规范  /  ；</w:t>
      </w:r>
      <w:bookmarkStart w:id="0" w:name="_GoBack"/>
      <w:bookmarkEnd w:id="0"/>
    </w:p>
    <w:p w14:paraId="261285D7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（2）行业标准、规范  /  ；</w:t>
      </w:r>
    </w:p>
    <w:p w14:paraId="784CBEEB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（3）地方标准、规范  /  ；</w:t>
      </w:r>
    </w:p>
    <w:p w14:paraId="6DFC0D9E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（4）团体标准、规范  /  ；</w:t>
      </w:r>
    </w:p>
    <w:p w14:paraId="630A3EB5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（5）企业标准、规范  /  。</w:t>
      </w:r>
    </w:p>
    <w:p w14:paraId="39B0B881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2.3本章2.2条款未明确服务（产品）执行标准、规范的，按下列方法进行选择：</w:t>
      </w:r>
    </w:p>
    <w:p w14:paraId="35D027FA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□  顺序执行： 国家标准→行业标准→地方标准→ 团体标准→企业标准（有国家标准按国家标准执行，没有国家标 准按行业标准，以此类推）；</w:t>
      </w:r>
    </w:p>
    <w:p w14:paraId="278948F0">
      <w:pPr>
        <w:pStyle w:val="4"/>
        <w:jc w:val="both"/>
      </w:pPr>
      <w:r>
        <w:rPr>
          <w:rFonts w:ascii="仿宋_GB2312" w:hAnsi="仿宋_GB2312" w:eastAsia="仿宋_GB2312" w:cs="仿宋_GB2312"/>
          <w:sz w:val="18"/>
        </w:rPr>
        <w:t>□ 最高标准执行： 国家标准，行业标准，地方标准，团体标准，企业标准（哪个标准高执行哪个标准）</w:t>
      </w:r>
    </w:p>
    <w:p w14:paraId="5BB7AE7A">
      <w:r>
        <w:rPr>
          <w:rFonts w:ascii="仿宋_GB2312" w:hAnsi="仿宋_GB2312" w:eastAsia="仿宋_GB2312" w:cs="仿宋_GB2312"/>
          <w:color w:val="000000"/>
          <w:sz w:val="18"/>
        </w:rPr>
        <w:t>√ 必须执行： 国家（行业）强制性标准。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2025-08-11T08:21:58Z</dcterms:created>
  <dc:creator>Administrator</dc:creator>
  <cp:lastModifiedBy>11</cp:lastModifiedBy>
  <dcterms:modified xsi:type="dcterms:W3CDTF">2025-08-11T08:22:32Z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eyJoZGlkIjoiNzY0NzcyNTM5MDIwNTNmMTRiZjQyNTdiYWFkOGZiMTgiLCJ1c2VySWQiOiIxMDExMTg2NzE1In0=</vt:lpwstr>
  </property>
  <property fmtid="{D5CDD505-2E9C-101B-9397-08002B2CF9AE}" pid="4" name="ICV">
    <vt:lpwstr>1860A4DA7BE84CAEAE3EC200353D43D5_12</vt:lpwstr>
  </property>
</Properties>
</file>