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9D6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lang w:val="en-US" w:eastAsia="zh-CN"/>
        </w:rPr>
        <w:t>项目编号：E-234012XA004-03</w:t>
      </w:r>
    </w:p>
    <w:p w14:paraId="4EE3D412">
      <w:pPr>
        <w:spacing w:before="156" w:beforeLines="50" w:after="156" w:afterLines="50" w:line="360" w:lineRule="auto"/>
        <w:rPr>
          <w:b/>
          <w:bCs/>
          <w:sz w:val="54"/>
          <w:szCs w:val="54"/>
        </w:rPr>
      </w:pPr>
    </w:p>
    <w:p w14:paraId="7790DFEE">
      <w:pPr>
        <w:pStyle w:val="26"/>
        <w:spacing w:before="156" w:beforeLines="50"/>
        <w:jc w:val="both"/>
        <w:rPr>
          <w:rFonts w:ascii="宋体" w:hAnsi="宋体"/>
          <w:b/>
          <w:sz w:val="48"/>
          <w:szCs w:val="48"/>
        </w:rPr>
      </w:pPr>
    </w:p>
    <w:p w14:paraId="6A82CF66">
      <w:pPr>
        <w:pStyle w:val="26"/>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ascii="宋体" w:hAnsi="宋体" w:cs="宋体"/>
          <w:b/>
          <w:bCs w:val="0"/>
          <w:sz w:val="60"/>
          <w:szCs w:val="60"/>
          <w:lang w:eastAsia="zh-CN"/>
        </w:rPr>
      </w:pPr>
      <w:r>
        <w:rPr>
          <w:rFonts w:hint="eastAsia" w:ascii="宋体" w:hAnsi="宋体" w:cs="宋体"/>
          <w:b/>
          <w:bCs w:val="0"/>
          <w:sz w:val="60"/>
          <w:szCs w:val="60"/>
          <w:lang w:eastAsia="zh-CN"/>
        </w:rPr>
        <w:t>超声诊断仪采购项目</w:t>
      </w:r>
    </w:p>
    <w:p w14:paraId="08E40D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sz w:val="44"/>
          <w:szCs w:val="44"/>
          <w:lang w:eastAsia="zh-CN"/>
        </w:rPr>
      </w:pPr>
    </w:p>
    <w:p w14:paraId="31C92918">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051C0102">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3564D107">
      <w:pPr>
        <w:spacing w:before="156" w:beforeLines="50" w:after="156" w:afterLines="50"/>
        <w:ind w:left="-178" w:leftChars="-85" w:right="-334" w:rightChars="-159"/>
        <w:jc w:val="center"/>
        <w:rPr>
          <w:rFonts w:ascii="黑体" w:eastAsia="黑体"/>
          <w:b/>
          <w:spacing w:val="40"/>
          <w:sz w:val="96"/>
          <w:szCs w:val="96"/>
        </w:rPr>
      </w:pPr>
      <w:r>
        <w:rPr>
          <w:rFonts w:hint="eastAsia" w:ascii="黑体" w:eastAsia="黑体"/>
          <w:b/>
          <w:spacing w:val="40"/>
          <w:sz w:val="96"/>
          <w:szCs w:val="96"/>
        </w:rPr>
        <w:t>招标文件</w:t>
      </w:r>
    </w:p>
    <w:p w14:paraId="587087E8">
      <w:pPr>
        <w:pStyle w:val="26"/>
        <w:rPr>
          <w:rFonts w:hAnsi="宋体"/>
          <w:b/>
          <w:spacing w:val="4"/>
          <w:sz w:val="32"/>
          <w:szCs w:val="32"/>
        </w:rPr>
      </w:pPr>
    </w:p>
    <w:p w14:paraId="024CC61E">
      <w:pPr>
        <w:pStyle w:val="16"/>
        <w:ind w:left="0" w:leftChars="0" w:firstLine="0" w:firstLineChars="0"/>
      </w:pPr>
    </w:p>
    <w:p w14:paraId="3CB9DC33">
      <w:pPr>
        <w:pStyle w:val="16"/>
      </w:pPr>
    </w:p>
    <w:p w14:paraId="0EC0E310">
      <w:pPr>
        <w:pStyle w:val="26"/>
        <w:rPr>
          <w:rFonts w:hAnsi="宋体"/>
          <w:b/>
          <w:spacing w:val="4"/>
          <w:sz w:val="32"/>
          <w:szCs w:val="32"/>
        </w:rPr>
      </w:pPr>
    </w:p>
    <w:p w14:paraId="6FD50192">
      <w:pPr>
        <w:pStyle w:val="16"/>
      </w:pPr>
    </w:p>
    <w:p w14:paraId="79DB7B4B">
      <w:pPr>
        <w:pStyle w:val="16"/>
      </w:pPr>
    </w:p>
    <w:p w14:paraId="324FBF2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hAnsi="宋体"/>
          <w:b/>
          <w:spacing w:val="4"/>
          <w:sz w:val="30"/>
          <w:szCs w:val="30"/>
        </w:rPr>
      </w:pPr>
      <w:r>
        <w:rPr>
          <w:rFonts w:hint="eastAsia" w:hAnsi="宋体"/>
          <w:b/>
          <w:spacing w:val="4"/>
          <w:sz w:val="30"/>
          <w:szCs w:val="30"/>
          <w:lang w:val="en-US" w:eastAsia="zh-CN"/>
        </w:rPr>
        <w:t>采    购   人</w:t>
      </w:r>
      <w:r>
        <w:rPr>
          <w:rFonts w:hint="eastAsia" w:hAnsi="宋体"/>
          <w:b/>
          <w:spacing w:val="4"/>
          <w:sz w:val="30"/>
          <w:szCs w:val="30"/>
        </w:rPr>
        <w:t>：咸阳市中心医院</w:t>
      </w:r>
    </w:p>
    <w:p w14:paraId="44D02F0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ascii="宋体" w:hAnsi="宋体" w:cs="宋体"/>
          <w:b/>
          <w:sz w:val="30"/>
          <w:szCs w:val="30"/>
        </w:rPr>
      </w:pPr>
      <w:r>
        <w:rPr>
          <w:rFonts w:hint="eastAsia" w:ascii="宋体" w:hAnsi="宋体" w:cs="宋体"/>
          <w:b/>
          <w:spacing w:val="17"/>
          <w:sz w:val="30"/>
          <w:szCs w:val="30"/>
          <w:lang w:eastAsia="zh-CN"/>
        </w:rPr>
        <w:t>采购代理机构</w:t>
      </w:r>
      <w:r>
        <w:rPr>
          <w:rFonts w:hint="eastAsia" w:ascii="宋体" w:hAnsi="宋体" w:cs="宋体"/>
          <w:b/>
          <w:spacing w:val="17"/>
          <w:sz w:val="30"/>
          <w:szCs w:val="30"/>
        </w:rPr>
        <w:t>：</w:t>
      </w:r>
      <w:r>
        <w:rPr>
          <w:rFonts w:hint="eastAsia" w:ascii="宋体" w:hAnsi="宋体" w:cs="宋体"/>
          <w:b/>
          <w:sz w:val="30"/>
          <w:szCs w:val="30"/>
        </w:rPr>
        <w:t>中航技（北京）工程管理有限公司</w:t>
      </w:r>
    </w:p>
    <w:p w14:paraId="7881CF6A">
      <w:pPr>
        <w:spacing w:line="480" w:lineRule="auto"/>
        <w:jc w:val="center"/>
        <w:rPr>
          <w:rFonts w:ascii="宋体" w:hAnsi="宋体" w:cs="宋体"/>
          <w:b/>
          <w:sz w:val="30"/>
          <w:szCs w:val="30"/>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cs="宋体"/>
          <w:b/>
          <w:sz w:val="30"/>
          <w:szCs w:val="30"/>
        </w:rPr>
        <w:t>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七</w:t>
      </w:r>
      <w:r>
        <w:rPr>
          <w:rFonts w:hint="eastAsia" w:ascii="宋体" w:hAnsi="宋体" w:cs="宋体"/>
          <w:b/>
          <w:sz w:val="30"/>
          <w:szCs w:val="30"/>
        </w:rPr>
        <w:t>月</w:t>
      </w:r>
    </w:p>
    <w:p w14:paraId="3C672E13">
      <w:pPr>
        <w:spacing w:line="480" w:lineRule="auto"/>
        <w:jc w:val="center"/>
        <w:rPr>
          <w:rFonts w:ascii="宋体" w:hAnsi="宋体"/>
          <w:b/>
          <w:bCs/>
          <w:sz w:val="32"/>
          <w:szCs w:val="32"/>
        </w:rPr>
      </w:pPr>
    </w:p>
    <w:sdt>
      <w:sdtPr>
        <w:rPr>
          <w:rFonts w:ascii="宋体" w:hAnsi="宋体"/>
        </w:rPr>
        <w:id w:val="147466966"/>
        <w15:color w:val="DBDBDB"/>
        <w:docPartObj>
          <w:docPartGallery w:val="Table of Contents"/>
          <w:docPartUnique/>
        </w:docPartObj>
      </w:sdtPr>
      <w:sdtEndPr>
        <w:rPr>
          <w:rFonts w:hint="eastAsia" w:ascii="宋体" w:hAnsi="宋体"/>
          <w:szCs w:val="32"/>
        </w:rPr>
      </w:sdtEndPr>
      <w:sdtContent>
        <w:p w14:paraId="4D0E36E8">
          <w:pPr>
            <w:jc w:val="center"/>
            <w:rPr>
              <w:rFonts w:ascii="宋体" w:hAnsi="宋体"/>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47FDF105">
          <w:pPr>
            <w:pStyle w:val="15"/>
            <w:keepNext w:val="0"/>
            <w:keepLines w:val="0"/>
            <w:pageBreakBefore w:val="0"/>
            <w:widowControl w:val="0"/>
            <w:tabs>
              <w:tab w:val="right" w:leader="dot" w:pos="8754"/>
            </w:tabs>
            <w:kinsoku/>
            <w:wordWrap/>
            <w:overflowPunct/>
            <w:topLinePunct w:val="0"/>
            <w:autoSpaceDE/>
            <w:autoSpaceDN/>
            <w:bidi w:val="0"/>
            <w:adjustRightInd/>
            <w:snapToGrid/>
            <w:spacing w:before="313" w:beforeLines="100"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TOC \o "1-1" \h \u </w:instrText>
          </w:r>
          <w:r>
            <w:rPr>
              <w:rFonts w:hint="eastAsia" w:ascii="宋体" w:hAnsi="宋体"/>
              <w:sz w:val="24"/>
              <w:szCs w:val="24"/>
            </w:rPr>
            <w:fldChar w:fldCharType="separate"/>
          </w:r>
          <w:r>
            <w:rPr>
              <w:rFonts w:hint="eastAsia" w:ascii="宋体" w:hAnsi="宋体"/>
              <w:sz w:val="24"/>
              <w:szCs w:val="24"/>
            </w:rPr>
            <w:fldChar w:fldCharType="begin"/>
          </w:r>
          <w:r>
            <w:rPr>
              <w:rFonts w:hint="eastAsia" w:ascii="宋体" w:hAnsi="宋体"/>
              <w:sz w:val="24"/>
              <w:szCs w:val="24"/>
            </w:rPr>
            <w:instrText xml:space="preserve"> HYPERLINK \l _Toc12850 </w:instrText>
          </w:r>
          <w:r>
            <w:rPr>
              <w:rFonts w:hint="eastAsia" w:ascii="宋体" w:hAnsi="宋体"/>
              <w:sz w:val="24"/>
              <w:szCs w:val="24"/>
            </w:rPr>
            <w:fldChar w:fldCharType="separate"/>
          </w:r>
          <w:r>
            <w:rPr>
              <w:rFonts w:hint="eastAsia" w:ascii="宋体" w:hAnsi="宋体"/>
              <w:bCs/>
              <w:sz w:val="24"/>
              <w:szCs w:val="24"/>
              <w:highlight w:val="none"/>
            </w:rPr>
            <w:t>第一章 招标公告</w:t>
          </w:r>
          <w:r>
            <w:rPr>
              <w:sz w:val="24"/>
              <w:szCs w:val="24"/>
            </w:rPr>
            <w:tab/>
          </w:r>
          <w:r>
            <w:rPr>
              <w:sz w:val="24"/>
              <w:szCs w:val="24"/>
            </w:rPr>
            <w:fldChar w:fldCharType="begin"/>
          </w:r>
          <w:r>
            <w:rPr>
              <w:sz w:val="24"/>
              <w:szCs w:val="24"/>
            </w:rPr>
            <w:instrText xml:space="preserve"> PAGEREF _Toc12850 \h </w:instrText>
          </w:r>
          <w:r>
            <w:rPr>
              <w:sz w:val="24"/>
              <w:szCs w:val="24"/>
            </w:rPr>
            <w:fldChar w:fldCharType="separate"/>
          </w:r>
          <w:r>
            <w:rPr>
              <w:sz w:val="24"/>
              <w:szCs w:val="24"/>
            </w:rPr>
            <w:t>3</w:t>
          </w:r>
          <w:r>
            <w:rPr>
              <w:sz w:val="24"/>
              <w:szCs w:val="24"/>
            </w:rPr>
            <w:fldChar w:fldCharType="end"/>
          </w:r>
          <w:r>
            <w:rPr>
              <w:rFonts w:hint="eastAsia" w:ascii="宋体" w:hAnsi="宋体"/>
              <w:sz w:val="24"/>
              <w:szCs w:val="24"/>
            </w:rPr>
            <w:fldChar w:fldCharType="end"/>
          </w:r>
        </w:p>
        <w:p w14:paraId="2FE1222E">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_Toc14082 </w:instrText>
          </w:r>
          <w:r>
            <w:rPr>
              <w:rFonts w:hint="eastAsia" w:ascii="宋体" w:hAnsi="宋体"/>
              <w:sz w:val="24"/>
              <w:szCs w:val="24"/>
            </w:rPr>
            <w:fldChar w:fldCharType="separate"/>
          </w:r>
          <w:r>
            <w:rPr>
              <w:rFonts w:hint="eastAsia" w:ascii="宋体" w:hAnsi="宋体"/>
              <w:sz w:val="24"/>
              <w:szCs w:val="24"/>
            </w:rPr>
            <w:t>第二章 投标人须知</w:t>
          </w:r>
          <w:r>
            <w:rPr>
              <w:sz w:val="24"/>
              <w:szCs w:val="24"/>
            </w:rPr>
            <w:tab/>
          </w:r>
          <w:r>
            <w:rPr>
              <w:sz w:val="24"/>
              <w:szCs w:val="24"/>
            </w:rPr>
            <w:fldChar w:fldCharType="begin"/>
          </w:r>
          <w:r>
            <w:rPr>
              <w:sz w:val="24"/>
              <w:szCs w:val="24"/>
            </w:rPr>
            <w:instrText xml:space="preserve"> PAGEREF _Toc14082 \h </w:instrText>
          </w:r>
          <w:r>
            <w:rPr>
              <w:sz w:val="24"/>
              <w:szCs w:val="24"/>
            </w:rPr>
            <w:fldChar w:fldCharType="separate"/>
          </w:r>
          <w:r>
            <w:rPr>
              <w:sz w:val="24"/>
              <w:szCs w:val="24"/>
            </w:rPr>
            <w:t>6</w:t>
          </w:r>
          <w:r>
            <w:rPr>
              <w:sz w:val="24"/>
              <w:szCs w:val="24"/>
            </w:rPr>
            <w:fldChar w:fldCharType="end"/>
          </w:r>
          <w:r>
            <w:rPr>
              <w:rFonts w:hint="eastAsia" w:ascii="宋体" w:hAnsi="宋体"/>
              <w:sz w:val="24"/>
              <w:szCs w:val="24"/>
            </w:rPr>
            <w:fldChar w:fldCharType="end"/>
          </w:r>
        </w:p>
        <w:p w14:paraId="492ED7AB">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_Toc30918 </w:instrText>
          </w:r>
          <w:r>
            <w:rPr>
              <w:rFonts w:hint="eastAsia" w:ascii="宋体" w:hAnsi="宋体"/>
              <w:sz w:val="24"/>
              <w:szCs w:val="24"/>
            </w:rPr>
            <w:fldChar w:fldCharType="separate"/>
          </w:r>
          <w:r>
            <w:rPr>
              <w:rFonts w:ascii="宋体" w:hAnsi="宋体"/>
              <w:kern w:val="44"/>
              <w:sz w:val="24"/>
              <w:szCs w:val="24"/>
            </w:rPr>
            <w:t>第</w:t>
          </w:r>
          <w:r>
            <w:rPr>
              <w:rFonts w:hint="eastAsia" w:ascii="宋体" w:hAnsi="宋体"/>
              <w:kern w:val="44"/>
              <w:sz w:val="24"/>
              <w:szCs w:val="24"/>
            </w:rPr>
            <w:t>三</w:t>
          </w:r>
          <w:r>
            <w:rPr>
              <w:rFonts w:ascii="宋体" w:hAnsi="宋体"/>
              <w:kern w:val="44"/>
              <w:sz w:val="24"/>
              <w:szCs w:val="24"/>
            </w:rPr>
            <w:t>章 评标标准及方法</w:t>
          </w:r>
          <w:r>
            <w:rPr>
              <w:sz w:val="24"/>
              <w:szCs w:val="24"/>
            </w:rPr>
            <w:tab/>
          </w:r>
          <w:r>
            <w:rPr>
              <w:sz w:val="24"/>
              <w:szCs w:val="24"/>
            </w:rPr>
            <w:fldChar w:fldCharType="begin"/>
          </w:r>
          <w:r>
            <w:rPr>
              <w:sz w:val="24"/>
              <w:szCs w:val="24"/>
            </w:rPr>
            <w:instrText xml:space="preserve"> PAGEREF _Toc30918 \h </w:instrText>
          </w:r>
          <w:r>
            <w:rPr>
              <w:sz w:val="24"/>
              <w:szCs w:val="24"/>
            </w:rPr>
            <w:fldChar w:fldCharType="separate"/>
          </w:r>
          <w:r>
            <w:rPr>
              <w:sz w:val="24"/>
              <w:szCs w:val="24"/>
            </w:rPr>
            <w:t>22</w:t>
          </w:r>
          <w:r>
            <w:rPr>
              <w:sz w:val="24"/>
              <w:szCs w:val="24"/>
            </w:rPr>
            <w:fldChar w:fldCharType="end"/>
          </w:r>
          <w:r>
            <w:rPr>
              <w:rFonts w:hint="eastAsia" w:ascii="宋体" w:hAnsi="宋体"/>
              <w:sz w:val="24"/>
              <w:szCs w:val="24"/>
            </w:rPr>
            <w:fldChar w:fldCharType="end"/>
          </w:r>
        </w:p>
        <w:p w14:paraId="5A6367D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_Toc20180 </w:instrText>
          </w:r>
          <w:r>
            <w:rPr>
              <w:rFonts w:hint="eastAsia" w:ascii="宋体" w:hAnsi="宋体"/>
              <w:sz w:val="24"/>
              <w:szCs w:val="24"/>
            </w:rPr>
            <w:fldChar w:fldCharType="separate"/>
          </w:r>
          <w:r>
            <w:rPr>
              <w:rFonts w:hint="eastAsia" w:ascii="宋体" w:hAnsi="宋体"/>
              <w:kern w:val="44"/>
              <w:sz w:val="24"/>
              <w:szCs w:val="24"/>
            </w:rPr>
            <w:t>第四章 采购内容及要求</w:t>
          </w:r>
          <w:r>
            <w:rPr>
              <w:sz w:val="24"/>
              <w:szCs w:val="24"/>
            </w:rPr>
            <w:tab/>
          </w:r>
          <w:r>
            <w:rPr>
              <w:sz w:val="24"/>
              <w:szCs w:val="24"/>
            </w:rPr>
            <w:fldChar w:fldCharType="begin"/>
          </w:r>
          <w:r>
            <w:rPr>
              <w:sz w:val="24"/>
              <w:szCs w:val="24"/>
            </w:rPr>
            <w:instrText xml:space="preserve"> PAGEREF _Toc20180 \h </w:instrText>
          </w:r>
          <w:r>
            <w:rPr>
              <w:sz w:val="24"/>
              <w:szCs w:val="24"/>
            </w:rPr>
            <w:fldChar w:fldCharType="separate"/>
          </w:r>
          <w:r>
            <w:rPr>
              <w:sz w:val="24"/>
              <w:szCs w:val="24"/>
            </w:rPr>
            <w:t>30</w:t>
          </w:r>
          <w:r>
            <w:rPr>
              <w:sz w:val="24"/>
              <w:szCs w:val="24"/>
            </w:rPr>
            <w:fldChar w:fldCharType="end"/>
          </w:r>
          <w:r>
            <w:rPr>
              <w:rFonts w:hint="eastAsia" w:ascii="宋体" w:hAnsi="宋体"/>
              <w:sz w:val="24"/>
              <w:szCs w:val="24"/>
            </w:rPr>
            <w:fldChar w:fldCharType="end"/>
          </w:r>
        </w:p>
        <w:p w14:paraId="23E132E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_Toc5836 </w:instrText>
          </w:r>
          <w:r>
            <w:rPr>
              <w:rFonts w:hint="eastAsia" w:ascii="宋体" w:hAnsi="宋体"/>
              <w:sz w:val="24"/>
              <w:szCs w:val="24"/>
            </w:rPr>
            <w:fldChar w:fldCharType="separate"/>
          </w:r>
          <w:r>
            <w:rPr>
              <w:rFonts w:hint="eastAsia" w:ascii="宋体" w:hAnsi="宋体"/>
              <w:kern w:val="44"/>
              <w:sz w:val="24"/>
              <w:szCs w:val="24"/>
              <w:lang w:val="en-US" w:eastAsia="zh-CN"/>
            </w:rPr>
            <w:t>第五章 合同条款</w:t>
          </w:r>
          <w:r>
            <w:rPr>
              <w:sz w:val="24"/>
              <w:szCs w:val="24"/>
            </w:rPr>
            <w:tab/>
          </w:r>
          <w:r>
            <w:rPr>
              <w:sz w:val="24"/>
              <w:szCs w:val="24"/>
            </w:rPr>
            <w:fldChar w:fldCharType="begin"/>
          </w:r>
          <w:r>
            <w:rPr>
              <w:sz w:val="24"/>
              <w:szCs w:val="24"/>
            </w:rPr>
            <w:instrText xml:space="preserve"> PAGEREF _Toc5836 \h </w:instrText>
          </w:r>
          <w:r>
            <w:rPr>
              <w:sz w:val="24"/>
              <w:szCs w:val="24"/>
            </w:rPr>
            <w:fldChar w:fldCharType="separate"/>
          </w:r>
          <w:r>
            <w:rPr>
              <w:sz w:val="24"/>
              <w:szCs w:val="24"/>
            </w:rPr>
            <w:t>36</w:t>
          </w:r>
          <w:r>
            <w:rPr>
              <w:sz w:val="24"/>
              <w:szCs w:val="24"/>
            </w:rPr>
            <w:fldChar w:fldCharType="end"/>
          </w:r>
          <w:r>
            <w:rPr>
              <w:rFonts w:hint="eastAsia" w:ascii="宋体" w:hAnsi="宋体"/>
              <w:sz w:val="24"/>
              <w:szCs w:val="24"/>
            </w:rPr>
            <w:fldChar w:fldCharType="end"/>
          </w:r>
        </w:p>
        <w:p w14:paraId="4D1BF22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_Toc19431 </w:instrText>
          </w:r>
          <w:r>
            <w:rPr>
              <w:rFonts w:hint="eastAsia" w:ascii="宋体" w:hAnsi="宋体"/>
              <w:sz w:val="24"/>
              <w:szCs w:val="24"/>
            </w:rPr>
            <w:fldChar w:fldCharType="separate"/>
          </w:r>
          <w:r>
            <w:rPr>
              <w:rFonts w:hint="eastAsia" w:ascii="宋体" w:hAnsi="宋体"/>
              <w:sz w:val="24"/>
              <w:szCs w:val="24"/>
            </w:rPr>
            <w:t>第六章</w:t>
          </w:r>
          <w:r>
            <w:rPr>
              <w:rFonts w:hint="eastAsia" w:ascii="宋体" w:hAnsi="宋体"/>
              <w:sz w:val="24"/>
              <w:szCs w:val="24"/>
              <w:lang w:val="en-US" w:eastAsia="zh-CN"/>
            </w:rPr>
            <w:t xml:space="preserve"> </w:t>
          </w:r>
          <w:r>
            <w:rPr>
              <w:rFonts w:hint="eastAsia" w:ascii="宋体" w:hAnsi="宋体"/>
              <w:sz w:val="24"/>
              <w:szCs w:val="24"/>
            </w:rPr>
            <w:t>投标文件格式</w:t>
          </w:r>
          <w:r>
            <w:rPr>
              <w:sz w:val="24"/>
              <w:szCs w:val="24"/>
            </w:rPr>
            <w:tab/>
          </w:r>
          <w:r>
            <w:rPr>
              <w:sz w:val="24"/>
              <w:szCs w:val="24"/>
            </w:rPr>
            <w:fldChar w:fldCharType="begin"/>
          </w:r>
          <w:r>
            <w:rPr>
              <w:sz w:val="24"/>
              <w:szCs w:val="24"/>
            </w:rPr>
            <w:instrText xml:space="preserve"> PAGEREF _Toc19431 \h </w:instrText>
          </w:r>
          <w:r>
            <w:rPr>
              <w:sz w:val="24"/>
              <w:szCs w:val="24"/>
            </w:rPr>
            <w:fldChar w:fldCharType="separate"/>
          </w:r>
          <w:r>
            <w:rPr>
              <w:sz w:val="24"/>
              <w:szCs w:val="24"/>
            </w:rPr>
            <w:t>42</w:t>
          </w:r>
          <w:r>
            <w:rPr>
              <w:sz w:val="24"/>
              <w:szCs w:val="24"/>
            </w:rPr>
            <w:fldChar w:fldCharType="end"/>
          </w:r>
          <w:r>
            <w:rPr>
              <w:rFonts w:hint="eastAsia" w:ascii="宋体" w:hAnsi="宋体"/>
              <w:sz w:val="24"/>
              <w:szCs w:val="24"/>
            </w:rPr>
            <w:fldChar w:fldCharType="end"/>
          </w:r>
        </w:p>
        <w:p w14:paraId="5AEA6EA1">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_Toc827 </w:instrText>
          </w:r>
          <w:r>
            <w:rPr>
              <w:rFonts w:hint="eastAsia" w:ascii="宋体" w:hAnsi="宋体"/>
              <w:sz w:val="24"/>
              <w:szCs w:val="24"/>
            </w:rPr>
            <w:fldChar w:fldCharType="separate"/>
          </w:r>
          <w:r>
            <w:rPr>
              <w:rFonts w:hint="eastAsia"/>
              <w:sz w:val="24"/>
              <w:szCs w:val="24"/>
              <w:lang w:val="en-US" w:eastAsia="zh-CN"/>
            </w:rPr>
            <w:t xml:space="preserve">第七章 </w:t>
          </w:r>
          <w:r>
            <w:rPr>
              <w:rFonts w:hint="eastAsia"/>
              <w:sz w:val="24"/>
              <w:szCs w:val="24"/>
            </w:rPr>
            <w:t>质疑和投诉</w:t>
          </w:r>
          <w:r>
            <w:rPr>
              <w:sz w:val="24"/>
              <w:szCs w:val="24"/>
            </w:rPr>
            <w:tab/>
          </w:r>
          <w:r>
            <w:rPr>
              <w:sz w:val="24"/>
              <w:szCs w:val="24"/>
            </w:rPr>
            <w:fldChar w:fldCharType="begin"/>
          </w:r>
          <w:r>
            <w:rPr>
              <w:sz w:val="24"/>
              <w:szCs w:val="24"/>
            </w:rPr>
            <w:instrText xml:space="preserve"> PAGEREF _Toc827 \h </w:instrText>
          </w:r>
          <w:r>
            <w:rPr>
              <w:sz w:val="24"/>
              <w:szCs w:val="24"/>
            </w:rPr>
            <w:fldChar w:fldCharType="separate"/>
          </w:r>
          <w:r>
            <w:rPr>
              <w:sz w:val="24"/>
              <w:szCs w:val="24"/>
            </w:rPr>
            <w:t>67</w:t>
          </w:r>
          <w:r>
            <w:rPr>
              <w:sz w:val="24"/>
              <w:szCs w:val="24"/>
            </w:rPr>
            <w:fldChar w:fldCharType="end"/>
          </w:r>
          <w:r>
            <w:rPr>
              <w:rFonts w:hint="eastAsia" w:ascii="宋体" w:hAnsi="宋体"/>
              <w:sz w:val="24"/>
              <w:szCs w:val="24"/>
            </w:rPr>
            <w:fldChar w:fldCharType="end"/>
          </w:r>
        </w:p>
        <w:p w14:paraId="6CF61C2F">
          <w:pPr>
            <w:pStyle w:val="20"/>
            <w:keepNext w:val="0"/>
            <w:keepLines w:val="0"/>
            <w:pageBreakBefore w:val="0"/>
            <w:widowControl w:val="0"/>
            <w:kinsoku/>
            <w:wordWrap/>
            <w:overflowPunct/>
            <w:topLinePunct w:val="0"/>
            <w:autoSpaceDE/>
            <w:autoSpaceDN/>
            <w:bidi w:val="0"/>
            <w:adjustRightInd/>
            <w:snapToGrid/>
            <w:spacing w:line="408" w:lineRule="auto"/>
            <w:textAlignment w:val="auto"/>
            <w:rPr>
              <w:rFonts w:ascii="宋体" w:hAnsi="宋体"/>
              <w:sz w:val="32"/>
              <w:szCs w:val="32"/>
            </w:rPr>
          </w:pPr>
          <w:r>
            <w:rPr>
              <w:rFonts w:hint="eastAsia" w:ascii="宋体" w:hAnsi="宋体"/>
              <w:sz w:val="24"/>
              <w:szCs w:val="24"/>
            </w:rPr>
            <w:fldChar w:fldCharType="end"/>
          </w:r>
        </w:p>
      </w:sdtContent>
    </w:sdt>
    <w:p w14:paraId="641FFB28">
      <w:pPr>
        <w:pStyle w:val="20"/>
        <w:ind w:firstLine="640"/>
        <w:rPr>
          <w:rFonts w:ascii="宋体" w:hAnsi="宋体"/>
          <w:sz w:val="32"/>
          <w:szCs w:val="32"/>
        </w:rPr>
      </w:pPr>
    </w:p>
    <w:p w14:paraId="252A93B9">
      <w:pPr>
        <w:pStyle w:val="20"/>
        <w:ind w:firstLine="640"/>
        <w:rPr>
          <w:rFonts w:ascii="宋体" w:hAnsi="宋体"/>
          <w:sz w:val="32"/>
          <w:szCs w:val="32"/>
        </w:rPr>
      </w:pPr>
    </w:p>
    <w:p w14:paraId="4320342B">
      <w:pPr>
        <w:pStyle w:val="20"/>
        <w:ind w:firstLine="640"/>
        <w:rPr>
          <w:rFonts w:ascii="宋体" w:hAnsi="宋体"/>
          <w:sz w:val="32"/>
          <w:szCs w:val="32"/>
        </w:rPr>
      </w:pPr>
    </w:p>
    <w:p w14:paraId="3D95D4BD">
      <w:pPr>
        <w:pStyle w:val="20"/>
        <w:ind w:firstLine="640"/>
        <w:rPr>
          <w:rFonts w:ascii="宋体" w:hAnsi="宋体"/>
          <w:sz w:val="32"/>
          <w:szCs w:val="32"/>
        </w:rPr>
      </w:pPr>
    </w:p>
    <w:p w14:paraId="24A46D39">
      <w:pPr>
        <w:pStyle w:val="20"/>
        <w:ind w:firstLine="640"/>
        <w:rPr>
          <w:rFonts w:ascii="宋体" w:hAnsi="宋体"/>
          <w:sz w:val="32"/>
          <w:szCs w:val="32"/>
        </w:rPr>
      </w:pPr>
    </w:p>
    <w:p w14:paraId="030EE10E">
      <w:pPr>
        <w:pStyle w:val="20"/>
        <w:ind w:firstLine="640"/>
        <w:rPr>
          <w:rFonts w:ascii="宋体" w:hAnsi="宋体"/>
          <w:sz w:val="32"/>
          <w:szCs w:val="32"/>
        </w:rPr>
      </w:pPr>
    </w:p>
    <w:p w14:paraId="2E226B55">
      <w:pPr>
        <w:pStyle w:val="20"/>
        <w:ind w:firstLine="640"/>
        <w:rPr>
          <w:rFonts w:ascii="宋体" w:hAnsi="宋体"/>
          <w:sz w:val="32"/>
          <w:szCs w:val="32"/>
        </w:rPr>
      </w:pPr>
    </w:p>
    <w:p w14:paraId="06F31274">
      <w:pPr>
        <w:pStyle w:val="20"/>
        <w:ind w:firstLine="640"/>
        <w:rPr>
          <w:rFonts w:ascii="宋体" w:hAnsi="宋体"/>
          <w:sz w:val="32"/>
          <w:szCs w:val="32"/>
        </w:rPr>
      </w:pPr>
    </w:p>
    <w:p w14:paraId="02696C94">
      <w:pPr>
        <w:pStyle w:val="20"/>
        <w:ind w:firstLine="640"/>
        <w:rPr>
          <w:rFonts w:ascii="宋体" w:hAnsi="宋体"/>
          <w:sz w:val="32"/>
          <w:szCs w:val="32"/>
        </w:rPr>
      </w:pPr>
    </w:p>
    <w:p w14:paraId="30C4D835">
      <w:pPr>
        <w:pStyle w:val="20"/>
        <w:ind w:firstLine="640"/>
        <w:rPr>
          <w:rFonts w:ascii="宋体" w:hAnsi="宋体"/>
          <w:sz w:val="32"/>
          <w:szCs w:val="32"/>
        </w:rPr>
      </w:pPr>
    </w:p>
    <w:p w14:paraId="49020BFA">
      <w:pPr>
        <w:pStyle w:val="20"/>
        <w:ind w:firstLine="640"/>
        <w:rPr>
          <w:rFonts w:ascii="宋体" w:hAnsi="宋体"/>
          <w:sz w:val="32"/>
          <w:szCs w:val="32"/>
        </w:rPr>
      </w:pPr>
    </w:p>
    <w:p w14:paraId="2AE05D5D">
      <w:pPr>
        <w:pStyle w:val="20"/>
        <w:ind w:firstLine="640"/>
        <w:rPr>
          <w:rFonts w:ascii="宋体" w:hAnsi="宋体"/>
          <w:sz w:val="32"/>
          <w:szCs w:val="32"/>
        </w:rPr>
      </w:pPr>
    </w:p>
    <w:p w14:paraId="76D25875">
      <w:pPr>
        <w:rPr>
          <w:rFonts w:ascii="宋体" w:hAnsi="宋体"/>
          <w:b/>
          <w:bCs/>
          <w:sz w:val="32"/>
          <w:szCs w:val="32"/>
        </w:rPr>
      </w:pPr>
      <w:bookmarkStart w:id="0" w:name="_Toc674"/>
      <w:bookmarkStart w:id="1" w:name="_Toc9496"/>
      <w:r>
        <w:rPr>
          <w:rFonts w:hint="eastAsia" w:ascii="宋体" w:hAnsi="宋体"/>
          <w:b/>
          <w:bCs/>
          <w:sz w:val="32"/>
          <w:szCs w:val="32"/>
        </w:rPr>
        <w:br w:type="page"/>
      </w:r>
    </w:p>
    <w:p w14:paraId="49E4CC9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0"/>
        <w:rPr>
          <w:rFonts w:ascii="宋体" w:hAnsi="宋体"/>
          <w:sz w:val="24"/>
          <w:highlight w:val="none"/>
        </w:rPr>
      </w:pPr>
      <w:bookmarkStart w:id="2" w:name="_Toc12850"/>
      <w:r>
        <w:rPr>
          <w:rFonts w:hint="eastAsia" w:ascii="宋体" w:hAnsi="宋体"/>
          <w:b/>
          <w:bCs/>
          <w:sz w:val="32"/>
          <w:szCs w:val="32"/>
          <w:highlight w:val="none"/>
        </w:rPr>
        <w:t>第一章 招标公告</w:t>
      </w:r>
      <w:bookmarkEnd w:id="0"/>
      <w:bookmarkEnd w:id="1"/>
      <w:bookmarkEnd w:id="2"/>
    </w:p>
    <w:p w14:paraId="529BEE1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咸阳市中心医院超声诊断仪采购项目</w:t>
      </w:r>
    </w:p>
    <w:p w14:paraId="0CD0358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default" w:ascii="宋体" w:hAnsi="宋体" w:eastAsia="宋体"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招标公告</w:t>
      </w:r>
    </w:p>
    <w:p w14:paraId="4AED3DE4">
      <w:pPr>
        <w:bidi w:val="0"/>
        <w:rPr>
          <w:rFonts w:hint="eastAsia"/>
          <w:lang w:val="en-US" w:eastAsia="zh-CN"/>
        </w:rPr>
      </w:pPr>
      <w:r>
        <w:rPr>
          <w:rFonts w:hint="eastAsia"/>
          <w:lang w:val="en-US" w:eastAsia="zh-CN"/>
        </w:rPr>
        <w:t>项目概况</w:t>
      </w:r>
    </w:p>
    <w:p w14:paraId="467D97A4">
      <w:pPr>
        <w:pStyle w:val="18"/>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pPr>
      <w:r>
        <w:rPr>
          <w:rFonts w:hint="eastAsia" w:cs="宋体"/>
          <w:b w:val="0"/>
          <w:bCs w:val="0"/>
          <w:i w:val="0"/>
          <w:iCs w:val="0"/>
          <w:caps w:val="0"/>
          <w:color w:val="auto"/>
          <w:spacing w:val="0"/>
          <w:kern w:val="0"/>
          <w:sz w:val="21"/>
          <w:szCs w:val="21"/>
          <w:highlight w:val="none"/>
          <w:shd w:val="clear" w:color="auto" w:fill="auto"/>
          <w:lang w:val="en-US" w:eastAsia="zh-CN" w:bidi="ar-SA"/>
        </w:rPr>
        <w:t>超声诊断仪采购项目</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招标项目的潜在投标人应在西安市高新区沣惠南路34号摩尔中心A座24层获取招标文件，并于202</w:t>
      </w:r>
      <w:r>
        <w:rPr>
          <w:rFonts w:hint="eastAsia" w:cs="宋体"/>
          <w:b w:val="0"/>
          <w:bCs w:val="0"/>
          <w:i w:val="0"/>
          <w:iCs w:val="0"/>
          <w:caps w:val="0"/>
          <w:color w:val="auto"/>
          <w:spacing w:val="0"/>
          <w:kern w:val="0"/>
          <w:sz w:val="21"/>
          <w:szCs w:val="21"/>
          <w:highlight w:val="none"/>
          <w:shd w:val="clear" w:color="auto" w:fill="auto"/>
          <w:lang w:val="en-US" w:eastAsia="zh-CN" w:bidi="ar-SA"/>
        </w:rPr>
        <w:t>5</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年</w:t>
      </w:r>
      <w:r>
        <w:rPr>
          <w:rFonts w:hint="eastAsia" w:cs="宋体"/>
          <w:b w:val="0"/>
          <w:bCs w:val="0"/>
          <w:i w:val="0"/>
          <w:iCs w:val="0"/>
          <w:caps w:val="0"/>
          <w:color w:val="auto"/>
          <w:spacing w:val="0"/>
          <w:kern w:val="0"/>
          <w:sz w:val="21"/>
          <w:szCs w:val="21"/>
          <w:highlight w:val="none"/>
          <w:shd w:val="clear" w:color="auto" w:fill="auto"/>
          <w:lang w:val="en-US" w:eastAsia="zh-CN" w:bidi="ar-SA"/>
        </w:rPr>
        <w:t>8</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月</w:t>
      </w:r>
      <w:r>
        <w:rPr>
          <w:rFonts w:hint="eastAsia" w:cs="宋体"/>
          <w:b w:val="0"/>
          <w:bCs w:val="0"/>
          <w:i w:val="0"/>
          <w:iCs w:val="0"/>
          <w:caps w:val="0"/>
          <w:color w:val="auto"/>
          <w:spacing w:val="0"/>
          <w:kern w:val="0"/>
          <w:sz w:val="21"/>
          <w:szCs w:val="21"/>
          <w:highlight w:val="none"/>
          <w:shd w:val="clear" w:color="auto" w:fill="auto"/>
          <w:lang w:val="en-US" w:eastAsia="zh-CN" w:bidi="ar-SA"/>
        </w:rPr>
        <w:t>7</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日</w:t>
      </w:r>
      <w:r>
        <w:rPr>
          <w:rFonts w:hint="eastAsia" w:cs="宋体"/>
          <w:b w:val="0"/>
          <w:bCs w:val="0"/>
          <w:i w:val="0"/>
          <w:iCs w:val="0"/>
          <w:caps w:val="0"/>
          <w:color w:val="auto"/>
          <w:spacing w:val="0"/>
          <w:kern w:val="0"/>
          <w:sz w:val="21"/>
          <w:szCs w:val="21"/>
          <w:highlight w:val="none"/>
          <w:shd w:val="clear" w:color="auto" w:fill="auto"/>
          <w:lang w:val="en-US" w:eastAsia="zh-CN" w:bidi="ar-SA"/>
        </w:rPr>
        <w:t>14</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时</w:t>
      </w:r>
      <w:r>
        <w:rPr>
          <w:rFonts w:hint="eastAsia" w:cs="宋体"/>
          <w:b w:val="0"/>
          <w:bCs w:val="0"/>
          <w:i w:val="0"/>
          <w:iCs w:val="0"/>
          <w:caps w:val="0"/>
          <w:color w:val="auto"/>
          <w:spacing w:val="0"/>
          <w:kern w:val="0"/>
          <w:sz w:val="21"/>
          <w:szCs w:val="21"/>
          <w:highlight w:val="none"/>
          <w:shd w:val="clear" w:color="auto" w:fill="auto"/>
          <w:lang w:val="en-US" w:eastAsia="zh-CN" w:bidi="ar-SA"/>
        </w:rPr>
        <w:t>30</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分（北京时间）前递交投标文件。</w:t>
      </w:r>
    </w:p>
    <w:p w14:paraId="1BF4D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一、项目基本情况</w:t>
      </w:r>
    </w:p>
    <w:p w14:paraId="02CFECA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项目编号：E-234012XA004-03</w:t>
      </w:r>
    </w:p>
    <w:p w14:paraId="1D8E3A2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项目名称：</w:t>
      </w:r>
      <w:r>
        <w:rPr>
          <w:rFonts w:hint="eastAsia" w:cs="宋体"/>
          <w:i w:val="0"/>
          <w:iCs w:val="0"/>
          <w:caps w:val="0"/>
          <w:color w:val="auto"/>
          <w:spacing w:val="0"/>
          <w:sz w:val="21"/>
          <w:szCs w:val="21"/>
          <w:highlight w:val="none"/>
          <w:shd w:val="clear" w:color="auto" w:fill="auto"/>
          <w:lang w:eastAsia="zh-CN"/>
        </w:rPr>
        <w:t>超声诊断仪采购项目</w:t>
      </w:r>
    </w:p>
    <w:p w14:paraId="32B47BF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采购方式：公开招标</w:t>
      </w:r>
    </w:p>
    <w:p w14:paraId="59DAA7F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预算金额：</w:t>
      </w:r>
      <w:r>
        <w:rPr>
          <w:rFonts w:hint="eastAsia" w:cs="宋体"/>
          <w:i w:val="0"/>
          <w:iCs w:val="0"/>
          <w:caps w:val="0"/>
          <w:color w:val="auto"/>
          <w:spacing w:val="0"/>
          <w:sz w:val="21"/>
          <w:szCs w:val="21"/>
          <w:highlight w:val="none"/>
          <w:shd w:val="clear" w:color="auto" w:fill="auto"/>
          <w:lang w:val="en-US" w:eastAsia="zh-CN"/>
        </w:rPr>
        <w:t>5500000.00</w:t>
      </w:r>
      <w:r>
        <w:rPr>
          <w:rFonts w:hint="eastAsia" w:ascii="宋体" w:hAnsi="宋体" w:eastAsia="宋体" w:cs="宋体"/>
          <w:i w:val="0"/>
          <w:iCs w:val="0"/>
          <w:caps w:val="0"/>
          <w:color w:val="auto"/>
          <w:spacing w:val="0"/>
          <w:sz w:val="21"/>
          <w:szCs w:val="21"/>
          <w:highlight w:val="none"/>
          <w:shd w:val="clear" w:color="auto" w:fill="auto"/>
        </w:rPr>
        <w:t>元</w:t>
      </w:r>
    </w:p>
    <w:p w14:paraId="6834D7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采购需求：</w:t>
      </w:r>
    </w:p>
    <w:p w14:paraId="0EB96A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w:t>
      </w:r>
      <w:r>
        <w:rPr>
          <w:rFonts w:hint="eastAsia" w:cs="宋体"/>
          <w:i w:val="0"/>
          <w:iCs w:val="0"/>
          <w:caps w:val="0"/>
          <w:color w:val="auto"/>
          <w:spacing w:val="0"/>
          <w:sz w:val="21"/>
          <w:szCs w:val="21"/>
          <w:highlight w:val="none"/>
          <w:shd w:val="clear" w:color="auto" w:fill="auto"/>
          <w:lang w:eastAsia="zh-CN"/>
        </w:rPr>
        <w:t>超声诊断仪采购项目</w:t>
      </w:r>
      <w:r>
        <w:rPr>
          <w:rFonts w:hint="eastAsia" w:ascii="宋体" w:hAnsi="宋体" w:eastAsia="宋体" w:cs="宋体"/>
          <w:i w:val="0"/>
          <w:iCs w:val="0"/>
          <w:caps w:val="0"/>
          <w:color w:val="auto"/>
          <w:spacing w:val="0"/>
          <w:sz w:val="21"/>
          <w:szCs w:val="21"/>
          <w:highlight w:val="none"/>
          <w:shd w:val="clear" w:color="auto" w:fill="auto"/>
        </w:rPr>
        <w:t>):</w:t>
      </w:r>
    </w:p>
    <w:p w14:paraId="44C0C2A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w:t>
      </w:r>
      <w:r>
        <w:rPr>
          <w:rFonts w:hint="eastAsia" w:cs="宋体"/>
          <w:i w:val="0"/>
          <w:iCs w:val="0"/>
          <w:caps w:val="0"/>
          <w:color w:val="auto"/>
          <w:spacing w:val="0"/>
          <w:sz w:val="21"/>
          <w:szCs w:val="21"/>
          <w:highlight w:val="none"/>
          <w:shd w:val="clear" w:color="auto" w:fill="auto"/>
          <w:lang w:val="en-US" w:eastAsia="zh-CN"/>
        </w:rPr>
        <w:t>5500000.00</w:t>
      </w:r>
      <w:r>
        <w:rPr>
          <w:rFonts w:hint="eastAsia" w:ascii="宋体" w:hAnsi="宋体" w:eastAsia="宋体" w:cs="宋体"/>
          <w:i w:val="0"/>
          <w:iCs w:val="0"/>
          <w:caps w:val="0"/>
          <w:color w:val="auto"/>
          <w:spacing w:val="0"/>
          <w:sz w:val="21"/>
          <w:szCs w:val="21"/>
          <w:highlight w:val="none"/>
          <w:shd w:val="clear" w:color="auto" w:fill="auto"/>
        </w:rPr>
        <w:t>元</w:t>
      </w:r>
    </w:p>
    <w:p w14:paraId="3E517D2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w:t>
      </w:r>
      <w:r>
        <w:rPr>
          <w:rFonts w:hint="eastAsia" w:cs="宋体"/>
          <w:i w:val="0"/>
          <w:iCs w:val="0"/>
          <w:caps w:val="0"/>
          <w:color w:val="auto"/>
          <w:spacing w:val="0"/>
          <w:sz w:val="21"/>
          <w:szCs w:val="21"/>
          <w:highlight w:val="none"/>
          <w:shd w:val="clear" w:color="auto" w:fill="auto"/>
          <w:lang w:val="en-US" w:eastAsia="zh-CN"/>
        </w:rPr>
        <w:t>5500000.00</w:t>
      </w:r>
      <w:r>
        <w:rPr>
          <w:rFonts w:hint="eastAsia" w:ascii="宋体" w:hAnsi="宋体" w:eastAsia="宋体" w:cs="宋体"/>
          <w:i w:val="0"/>
          <w:iCs w:val="0"/>
          <w:caps w:val="0"/>
          <w:color w:val="auto"/>
          <w:spacing w:val="0"/>
          <w:sz w:val="21"/>
          <w:szCs w:val="21"/>
          <w:highlight w:val="none"/>
          <w:shd w:val="clear" w:color="auto" w:fill="auto"/>
        </w:rPr>
        <w:t>元</w:t>
      </w:r>
    </w:p>
    <w:tbl>
      <w:tblPr>
        <w:tblStyle w:val="22"/>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25"/>
        <w:gridCol w:w="1266"/>
        <w:gridCol w:w="977"/>
        <w:gridCol w:w="1571"/>
        <w:gridCol w:w="1386"/>
        <w:gridCol w:w="1386"/>
      </w:tblGrid>
      <w:tr w14:paraId="56E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14:paraId="7B784D8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14:paraId="3EC7020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266" w:type="dxa"/>
            <w:vAlign w:val="center"/>
          </w:tcPr>
          <w:p w14:paraId="3DD5D1B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14:paraId="2F4ED5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1571" w:type="dxa"/>
            <w:vAlign w:val="center"/>
          </w:tcPr>
          <w:p w14:paraId="06005D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14:paraId="4A0B916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14:paraId="66145FA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14:paraId="059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14:paraId="4604A6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1-1</w:t>
            </w:r>
          </w:p>
        </w:tc>
        <w:tc>
          <w:tcPr>
            <w:tcW w:w="1125" w:type="dxa"/>
            <w:vAlign w:val="center"/>
          </w:tcPr>
          <w:p w14:paraId="006088F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医用超声波仪器及设备</w:t>
            </w:r>
          </w:p>
        </w:tc>
        <w:tc>
          <w:tcPr>
            <w:tcW w:w="1266" w:type="dxa"/>
            <w:vAlign w:val="center"/>
          </w:tcPr>
          <w:p w14:paraId="4F2DD40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1200000.00</w:t>
            </w:r>
          </w:p>
        </w:tc>
        <w:tc>
          <w:tcPr>
            <w:tcW w:w="977" w:type="dxa"/>
            <w:vAlign w:val="center"/>
          </w:tcPr>
          <w:p w14:paraId="04DCD87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w:t>
            </w:r>
            <w:r>
              <w:rPr>
                <w:rFonts w:hint="eastAsia" w:ascii="宋体" w:hAnsi="宋体" w:eastAsia="宋体" w:cs="宋体"/>
                <w:b w:val="0"/>
                <w:bCs w:val="0"/>
                <w:i w:val="0"/>
                <w:iCs w:val="0"/>
                <w:caps w:val="0"/>
                <w:color w:val="auto"/>
                <w:spacing w:val="0"/>
                <w:sz w:val="21"/>
                <w:szCs w:val="21"/>
                <w:highlight w:val="none"/>
                <w:shd w:val="clear" w:color="auto" w:fill="auto"/>
                <w:vertAlign w:val="baseline"/>
                <w:lang w:val="en-US" w:eastAsia="zh-CN"/>
              </w:rPr>
              <w:t>台</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w:t>
            </w:r>
          </w:p>
        </w:tc>
        <w:tc>
          <w:tcPr>
            <w:tcW w:w="1571" w:type="dxa"/>
            <w:vAlign w:val="center"/>
          </w:tcPr>
          <w:p w14:paraId="5201A4C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详见采购文件</w:t>
            </w:r>
          </w:p>
        </w:tc>
        <w:tc>
          <w:tcPr>
            <w:tcW w:w="0" w:type="auto"/>
            <w:vAlign w:val="center"/>
          </w:tcPr>
          <w:p w14:paraId="63B7DCB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1200000.00</w:t>
            </w:r>
          </w:p>
        </w:tc>
        <w:tc>
          <w:tcPr>
            <w:tcW w:w="0" w:type="auto"/>
            <w:vAlign w:val="center"/>
          </w:tcPr>
          <w:p w14:paraId="52C3865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i w:val="0"/>
                <w:iCs w:val="0"/>
                <w:caps w:val="0"/>
                <w:color w:val="auto"/>
                <w:spacing w:val="0"/>
                <w:sz w:val="21"/>
                <w:szCs w:val="21"/>
                <w:highlight w:val="none"/>
                <w:shd w:val="clear" w:color="auto" w:fill="auto"/>
                <w:lang w:val="en-US" w:eastAsia="zh-CN"/>
              </w:rPr>
              <w:t>1200000.00</w:t>
            </w:r>
          </w:p>
        </w:tc>
      </w:tr>
      <w:tr w14:paraId="75FD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14:paraId="6438980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b w:val="0"/>
                <w:bCs w:val="0"/>
                <w:i w:val="0"/>
                <w:iCs w:val="0"/>
                <w:caps w:val="0"/>
                <w:color w:val="auto"/>
                <w:spacing w:val="0"/>
                <w:sz w:val="21"/>
                <w:szCs w:val="21"/>
                <w:highlight w:val="none"/>
                <w:shd w:val="clear" w:color="auto" w:fill="auto"/>
                <w:vertAlign w:val="baseline"/>
                <w:lang w:val="en-US" w:eastAsia="zh-CN"/>
              </w:rPr>
              <w:t>1-2</w:t>
            </w:r>
          </w:p>
        </w:tc>
        <w:tc>
          <w:tcPr>
            <w:tcW w:w="1125" w:type="dxa"/>
            <w:vAlign w:val="center"/>
          </w:tcPr>
          <w:p w14:paraId="3087459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医用超声波仪器及设备</w:t>
            </w:r>
          </w:p>
        </w:tc>
        <w:tc>
          <w:tcPr>
            <w:tcW w:w="1266" w:type="dxa"/>
            <w:vAlign w:val="center"/>
          </w:tcPr>
          <w:p w14:paraId="098475D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4300000.00</w:t>
            </w:r>
          </w:p>
        </w:tc>
        <w:tc>
          <w:tcPr>
            <w:tcW w:w="977" w:type="dxa"/>
            <w:vAlign w:val="center"/>
          </w:tcPr>
          <w:p w14:paraId="6E0FE6E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b w:val="0"/>
                <w:bCs w:val="0"/>
                <w:i w:val="0"/>
                <w:iCs w:val="0"/>
                <w:caps w:val="0"/>
                <w:color w:val="auto"/>
                <w:spacing w:val="0"/>
                <w:sz w:val="21"/>
                <w:szCs w:val="21"/>
                <w:highlight w:val="none"/>
                <w:shd w:val="clear" w:color="auto" w:fill="auto"/>
                <w:vertAlign w:val="baseline"/>
                <w:lang w:val="en-US" w:eastAsia="zh-CN"/>
              </w:rPr>
              <w:t>2</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w:t>
            </w:r>
            <w:r>
              <w:rPr>
                <w:rFonts w:hint="eastAsia" w:ascii="宋体" w:hAnsi="宋体" w:eastAsia="宋体" w:cs="宋体"/>
                <w:b w:val="0"/>
                <w:bCs w:val="0"/>
                <w:i w:val="0"/>
                <w:iCs w:val="0"/>
                <w:caps w:val="0"/>
                <w:color w:val="auto"/>
                <w:spacing w:val="0"/>
                <w:sz w:val="21"/>
                <w:szCs w:val="21"/>
                <w:highlight w:val="none"/>
                <w:shd w:val="clear" w:color="auto" w:fill="auto"/>
                <w:vertAlign w:val="baseline"/>
                <w:lang w:val="en-US" w:eastAsia="zh-CN"/>
              </w:rPr>
              <w:t>台</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w:t>
            </w:r>
          </w:p>
        </w:tc>
        <w:tc>
          <w:tcPr>
            <w:tcW w:w="1571" w:type="dxa"/>
            <w:vAlign w:val="center"/>
          </w:tcPr>
          <w:p w14:paraId="21435AC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详见采购文件</w:t>
            </w:r>
          </w:p>
        </w:tc>
        <w:tc>
          <w:tcPr>
            <w:tcW w:w="0" w:type="auto"/>
            <w:vAlign w:val="center"/>
          </w:tcPr>
          <w:p w14:paraId="62EF81A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4300000.00</w:t>
            </w:r>
          </w:p>
        </w:tc>
        <w:tc>
          <w:tcPr>
            <w:tcW w:w="0" w:type="auto"/>
            <w:vAlign w:val="center"/>
          </w:tcPr>
          <w:p w14:paraId="45A8C0D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4300000.00</w:t>
            </w:r>
          </w:p>
        </w:tc>
      </w:tr>
    </w:tbl>
    <w:p w14:paraId="582DB1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14:paraId="5DA7CD9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合同履行期限：</w:t>
      </w:r>
      <w:r>
        <w:rPr>
          <w:rFonts w:hint="eastAsia" w:cs="宋体"/>
          <w:i w:val="0"/>
          <w:iCs w:val="0"/>
          <w:caps w:val="0"/>
          <w:color w:val="333333"/>
          <w:spacing w:val="0"/>
          <w:sz w:val="21"/>
          <w:szCs w:val="21"/>
          <w:shd w:val="clear" w:fill="FFFFFF"/>
          <w:vertAlign w:val="baseline"/>
          <w:lang w:val="en-US" w:eastAsia="zh-CN"/>
        </w:rPr>
        <w:t>交付期：签订采购合同后，60天到货。</w:t>
      </w:r>
    </w:p>
    <w:p w14:paraId="1BAC71D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二、申请人的资格要求：</w:t>
      </w:r>
    </w:p>
    <w:p w14:paraId="10E0BA7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1.满足《中华人民共和国政府采购法》第二十二条规定</w:t>
      </w:r>
      <w:r>
        <w:rPr>
          <w:rFonts w:hint="eastAsia" w:cs="宋体"/>
          <w:i w:val="0"/>
          <w:iCs w:val="0"/>
          <w:caps w:val="0"/>
          <w:color w:val="auto"/>
          <w:spacing w:val="0"/>
          <w:sz w:val="21"/>
          <w:szCs w:val="21"/>
          <w:highlight w:val="none"/>
          <w:shd w:val="clear" w:color="auto" w:fill="auto"/>
          <w:lang w:eastAsia="zh-CN"/>
        </w:rPr>
        <w:t>；</w:t>
      </w:r>
    </w:p>
    <w:p w14:paraId="68BD22A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2.落实政府采购政策需满足的资格要求：</w:t>
      </w:r>
    </w:p>
    <w:p w14:paraId="324E92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2" w:firstLineChars="20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eastAsia="zh-CN"/>
        </w:rPr>
      </w:pPr>
      <w:r>
        <w:rPr>
          <w:rFonts w:hint="eastAsia" w:cs="宋体"/>
          <w:b/>
          <w:bCs/>
          <w:i w:val="0"/>
          <w:iCs w:val="0"/>
          <w:caps w:val="0"/>
          <w:color w:val="auto"/>
          <w:spacing w:val="0"/>
          <w:sz w:val="21"/>
          <w:szCs w:val="21"/>
          <w:highlight w:val="none"/>
          <w:shd w:val="clear" w:color="auto" w:fill="auto"/>
          <w:lang w:val="en-US" w:eastAsia="zh-CN"/>
        </w:rPr>
        <w:t>本项目非面向中小企业。</w:t>
      </w:r>
    </w:p>
    <w:p w14:paraId="5F3B492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3.本项目的特定资格要求：</w:t>
      </w:r>
    </w:p>
    <w:p w14:paraId="6FBAE4E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w:t>
      </w: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628AB6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2</w:t>
      </w:r>
      <w:r>
        <w:rPr>
          <w:rFonts w:hint="eastAsia" w:cs="宋体"/>
          <w:i w:val="0"/>
          <w:iCs w:val="0"/>
          <w:caps w:val="0"/>
          <w:color w:val="auto"/>
          <w:spacing w:val="0"/>
          <w:sz w:val="21"/>
          <w:szCs w:val="21"/>
          <w:highlight w:val="none"/>
          <w:shd w:val="clear" w:color="auto" w:fill="auto"/>
          <w:lang w:eastAsia="zh-CN"/>
        </w:rPr>
        <w:t>）提供</w:t>
      </w:r>
      <w:r>
        <w:rPr>
          <w:rFonts w:hint="eastAsia" w:cs="宋体"/>
          <w:i w:val="0"/>
          <w:iCs w:val="0"/>
          <w:caps w:val="0"/>
          <w:color w:val="auto"/>
          <w:spacing w:val="0"/>
          <w:sz w:val="21"/>
          <w:szCs w:val="21"/>
          <w:highlight w:val="none"/>
          <w:shd w:val="clear" w:color="auto" w:fill="auto"/>
          <w:lang w:val="en-US" w:eastAsia="zh-CN"/>
        </w:rPr>
        <w:t>投标人</w:t>
      </w:r>
      <w:r>
        <w:rPr>
          <w:rFonts w:hint="eastAsia"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cs="宋体"/>
          <w:i w:val="0"/>
          <w:iCs w:val="0"/>
          <w:caps w:val="0"/>
          <w:color w:val="auto"/>
          <w:spacing w:val="0"/>
          <w:sz w:val="21"/>
          <w:szCs w:val="21"/>
          <w:highlight w:val="none"/>
          <w:shd w:val="clear" w:color="auto" w:fill="auto"/>
          <w:lang w:val="en-US" w:eastAsia="zh-CN"/>
        </w:rPr>
        <w:t>投标</w:t>
      </w:r>
      <w:r>
        <w:rPr>
          <w:rFonts w:hint="eastAsia" w:cs="宋体"/>
          <w:i w:val="0"/>
          <w:iCs w:val="0"/>
          <w:caps w:val="0"/>
          <w:color w:val="auto"/>
          <w:spacing w:val="0"/>
          <w:sz w:val="21"/>
          <w:szCs w:val="21"/>
          <w:highlight w:val="none"/>
          <w:shd w:val="clear" w:color="auto" w:fill="auto"/>
          <w:lang w:eastAsia="zh-CN"/>
        </w:rPr>
        <w:t>的提供身份证明及身份证复印件；</w:t>
      </w:r>
    </w:p>
    <w:p w14:paraId="37132C1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3</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p w14:paraId="663C1B9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三、获取招标文件</w:t>
      </w:r>
    </w:p>
    <w:p w14:paraId="2308CA6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7</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18</w:t>
      </w:r>
      <w:r>
        <w:rPr>
          <w:rFonts w:hint="eastAsia" w:ascii="宋体" w:hAnsi="宋体" w:eastAsia="宋体" w:cs="宋体"/>
          <w:i w:val="0"/>
          <w:iCs w:val="0"/>
          <w:caps w:val="0"/>
          <w:color w:val="auto"/>
          <w:spacing w:val="0"/>
          <w:sz w:val="21"/>
          <w:szCs w:val="21"/>
          <w:highlight w:val="none"/>
          <w:shd w:val="clear" w:color="auto" w:fill="auto"/>
        </w:rPr>
        <w:t>日至202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7</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24</w:t>
      </w:r>
      <w:r>
        <w:rPr>
          <w:rFonts w:hint="eastAsia" w:ascii="宋体" w:hAnsi="宋体" w:eastAsia="宋体" w:cs="宋体"/>
          <w:i w:val="0"/>
          <w:iCs w:val="0"/>
          <w:caps w:val="0"/>
          <w:color w:val="auto"/>
          <w:spacing w:val="0"/>
          <w:sz w:val="21"/>
          <w:szCs w:val="21"/>
          <w:highlight w:val="none"/>
          <w:shd w:val="clear" w:color="auto" w:fill="auto"/>
        </w:rPr>
        <w:t>日，每天上午 09:00:00 至 12:00:00 ，下午 1</w:t>
      </w:r>
      <w:r>
        <w:rPr>
          <w:rFonts w:hint="eastAsia" w:cs="宋体"/>
          <w:i w:val="0"/>
          <w:iCs w:val="0"/>
          <w:caps w:val="0"/>
          <w:color w:val="auto"/>
          <w:spacing w:val="0"/>
          <w:sz w:val="21"/>
          <w:szCs w:val="21"/>
          <w:highlight w:val="none"/>
          <w:shd w:val="clear" w:color="auto" w:fill="auto"/>
          <w:lang w:val="en-US" w:eastAsia="zh-CN"/>
        </w:rPr>
        <w:t>4</w:t>
      </w:r>
      <w:r>
        <w:rPr>
          <w:rFonts w:hint="eastAsia" w:ascii="宋体" w:hAnsi="宋体" w:eastAsia="宋体" w:cs="宋体"/>
          <w:i w:val="0"/>
          <w:iCs w:val="0"/>
          <w:caps w:val="0"/>
          <w:color w:val="auto"/>
          <w:spacing w:val="0"/>
          <w:sz w:val="21"/>
          <w:szCs w:val="21"/>
          <w:highlight w:val="none"/>
          <w:shd w:val="clear" w:color="auto" w:fill="auto"/>
        </w:rPr>
        <w:t>:00:00 至 17:00:00 （北京时间</w:t>
      </w: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节假日除外</w:t>
      </w:r>
      <w:r>
        <w:rPr>
          <w:rFonts w:hint="eastAsia" w:ascii="宋体" w:hAnsi="宋体" w:eastAsia="宋体" w:cs="宋体"/>
          <w:i w:val="0"/>
          <w:iCs w:val="0"/>
          <w:caps w:val="0"/>
          <w:color w:val="auto"/>
          <w:spacing w:val="0"/>
          <w:sz w:val="21"/>
          <w:szCs w:val="21"/>
          <w:highlight w:val="none"/>
          <w:shd w:val="clear" w:color="auto" w:fill="auto"/>
        </w:rPr>
        <w:t>）</w:t>
      </w:r>
    </w:p>
    <w:p w14:paraId="09E1C4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途径：西安市高新区沣惠南路34号摩尔中心A座24层</w:t>
      </w:r>
    </w:p>
    <w:p w14:paraId="38CF16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方式：现场获取</w:t>
      </w:r>
    </w:p>
    <w:p w14:paraId="3A59C2D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售价：0元</w:t>
      </w:r>
    </w:p>
    <w:p w14:paraId="41DC179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四、提交投标文件截止时间、开标时间和地点</w:t>
      </w:r>
    </w:p>
    <w:p w14:paraId="24065A4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8</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7</w:t>
      </w:r>
      <w:r>
        <w:rPr>
          <w:rFonts w:hint="eastAsia" w:ascii="宋体" w:hAnsi="宋体" w:eastAsia="宋体" w:cs="宋体"/>
          <w:i w:val="0"/>
          <w:iCs w:val="0"/>
          <w:caps w:val="0"/>
          <w:color w:val="auto"/>
          <w:spacing w:val="0"/>
          <w:sz w:val="21"/>
          <w:szCs w:val="21"/>
          <w:highlight w:val="none"/>
          <w:shd w:val="clear" w:color="auto" w:fill="auto"/>
        </w:rPr>
        <w:t>日</w:t>
      </w:r>
      <w:r>
        <w:rPr>
          <w:rFonts w:hint="eastAsia" w:cs="宋体"/>
          <w:i w:val="0"/>
          <w:iCs w:val="0"/>
          <w:caps w:val="0"/>
          <w:color w:val="auto"/>
          <w:spacing w:val="0"/>
          <w:sz w:val="21"/>
          <w:szCs w:val="21"/>
          <w:highlight w:val="none"/>
          <w:shd w:val="clear" w:color="auto" w:fill="auto"/>
          <w:lang w:val="en-US" w:eastAsia="zh-CN"/>
        </w:rPr>
        <w:t>14</w:t>
      </w:r>
      <w:r>
        <w:rPr>
          <w:rFonts w:hint="eastAsia" w:ascii="宋体" w:hAnsi="宋体" w:eastAsia="宋体" w:cs="宋体"/>
          <w:i w:val="0"/>
          <w:iCs w:val="0"/>
          <w:caps w:val="0"/>
          <w:color w:val="auto"/>
          <w:spacing w:val="0"/>
          <w:sz w:val="21"/>
          <w:szCs w:val="21"/>
          <w:highlight w:val="none"/>
          <w:shd w:val="clear" w:color="auto" w:fill="auto"/>
        </w:rPr>
        <w:t>时</w:t>
      </w:r>
      <w:r>
        <w:rPr>
          <w:rFonts w:hint="eastAsia" w:cs="宋体"/>
          <w:i w:val="0"/>
          <w:iCs w:val="0"/>
          <w:caps w:val="0"/>
          <w:color w:val="auto"/>
          <w:spacing w:val="0"/>
          <w:sz w:val="21"/>
          <w:szCs w:val="21"/>
          <w:highlight w:val="none"/>
          <w:shd w:val="clear" w:color="auto" w:fill="auto"/>
          <w:lang w:val="en-US" w:eastAsia="zh-CN"/>
        </w:rPr>
        <w:t>30</w:t>
      </w:r>
      <w:r>
        <w:rPr>
          <w:rFonts w:hint="eastAsia" w:ascii="宋体" w:hAnsi="宋体" w:eastAsia="宋体" w:cs="宋体"/>
          <w:i w:val="0"/>
          <w:iCs w:val="0"/>
          <w:caps w:val="0"/>
          <w:color w:val="auto"/>
          <w:spacing w:val="0"/>
          <w:sz w:val="21"/>
          <w:szCs w:val="21"/>
          <w:highlight w:val="none"/>
          <w:shd w:val="clear" w:color="auto" w:fill="auto"/>
        </w:rPr>
        <w:t>分</w:t>
      </w:r>
      <w:r>
        <w:rPr>
          <w:rFonts w:hint="eastAsia" w:cs="宋体"/>
          <w:i w:val="0"/>
          <w:iCs w:val="0"/>
          <w:caps w:val="0"/>
          <w:color w:val="auto"/>
          <w:spacing w:val="0"/>
          <w:sz w:val="21"/>
          <w:szCs w:val="21"/>
          <w:highlight w:val="none"/>
          <w:shd w:val="clear" w:color="auto" w:fill="auto"/>
          <w:lang w:val="en-US" w:eastAsia="zh-CN"/>
        </w:rPr>
        <w:t>00秒</w:t>
      </w:r>
      <w:r>
        <w:rPr>
          <w:rFonts w:hint="eastAsia" w:ascii="宋体" w:hAnsi="宋体" w:eastAsia="宋体" w:cs="宋体"/>
          <w:i w:val="0"/>
          <w:iCs w:val="0"/>
          <w:caps w:val="0"/>
          <w:color w:val="auto"/>
          <w:spacing w:val="0"/>
          <w:sz w:val="21"/>
          <w:szCs w:val="21"/>
          <w:highlight w:val="none"/>
          <w:shd w:val="clear" w:color="auto" w:fill="auto"/>
        </w:rPr>
        <w:t>（北京时间）</w:t>
      </w:r>
    </w:p>
    <w:p w14:paraId="01995B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提交投标文件地点：西安市高新区沣惠南路34号摩尔中心A座24层</w:t>
      </w:r>
    </w:p>
    <w:p w14:paraId="69CFF6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开标地点：</w:t>
      </w:r>
      <w:bookmarkStart w:id="182" w:name="_GoBack"/>
      <w:r>
        <w:rPr>
          <w:rFonts w:hint="eastAsia" w:ascii="宋体" w:hAnsi="宋体" w:eastAsia="宋体" w:cs="宋体"/>
          <w:i w:val="0"/>
          <w:iCs w:val="0"/>
          <w:caps w:val="0"/>
          <w:color w:val="auto"/>
          <w:spacing w:val="0"/>
          <w:sz w:val="21"/>
          <w:szCs w:val="21"/>
          <w:highlight w:val="none"/>
          <w:shd w:val="clear" w:color="auto" w:fill="auto"/>
        </w:rPr>
        <w:t>西安市高新区沣惠南路34号摩尔中心A座24层</w:t>
      </w:r>
      <w:bookmarkEnd w:id="182"/>
    </w:p>
    <w:p w14:paraId="60CF45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五、公告期限</w:t>
      </w:r>
    </w:p>
    <w:p w14:paraId="13E14E6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自本公告发布之日起5个工作日。</w:t>
      </w:r>
    </w:p>
    <w:p w14:paraId="3B2617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六、其他补充事宜</w:t>
      </w:r>
    </w:p>
    <w:p w14:paraId="6FCC0F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.1</w:t>
      </w:r>
      <w:r>
        <w:rPr>
          <w:rFonts w:hint="eastAsia" w:cs="宋体"/>
          <w:b w:val="0"/>
          <w:bCs w:val="0"/>
          <w:i w:val="0"/>
          <w:iCs w:val="0"/>
          <w:caps w:val="0"/>
          <w:color w:val="auto"/>
          <w:spacing w:val="0"/>
          <w:sz w:val="21"/>
          <w:szCs w:val="21"/>
          <w:highlight w:val="none"/>
          <w:shd w:val="clear" w:color="auto" w:fill="auto"/>
          <w:lang w:val="en-US"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须在</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文件获取时间内携带单位介绍信或授权委托书、经办人身份证及身份证复印件（加盖公章）</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至代理公司获取</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w:t>
      </w:r>
    </w:p>
    <w:p w14:paraId="23274E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2</w:t>
      </w:r>
      <w:r>
        <w:rPr>
          <w:rFonts w:hint="eastAsia" w:ascii="宋体" w:hAnsi="宋体" w:eastAsia="宋体" w:cs="宋体"/>
          <w:b w:val="0"/>
          <w:bCs w:val="0"/>
          <w:i w:val="0"/>
          <w:iCs w:val="0"/>
          <w:caps w:val="0"/>
          <w:color w:val="auto"/>
          <w:spacing w:val="0"/>
          <w:sz w:val="21"/>
          <w:szCs w:val="21"/>
          <w:highlight w:val="none"/>
          <w:shd w:val="clear" w:color="auto" w:fill="auto"/>
        </w:rPr>
        <w:t>本项目采购活动执行下列政府采购政策：</w:t>
      </w:r>
    </w:p>
    <w:p w14:paraId="0395787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(1)《关于进一步加大政府采购支持中小企业力度的通知》财库〔2022〕19号；</w:t>
      </w:r>
    </w:p>
    <w:p w14:paraId="09C5240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(2)《财政部、农业农村部、国家乡村振兴局关于运用政府采购政策支持乡村产业振兴的通知》（财库〔2021〕19号）；</w:t>
      </w:r>
    </w:p>
    <w:p w14:paraId="1E862D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(3)《政府采购促进中小企业发展管理办法》（财库〔2020〕46号）；</w:t>
      </w:r>
    </w:p>
    <w:p w14:paraId="4A260E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(4)《财政部发展改革委生态环境部市场监管总局关于调整优化节能产品、环境标志产品政府采购执行机制的通知》（财库〔2019〕9号）；</w:t>
      </w:r>
    </w:p>
    <w:p w14:paraId="1C9E88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(5)《关于印发节能产品政府采购品目清单的通知》（财库〔2019〕19号）；</w:t>
      </w:r>
    </w:p>
    <w:p w14:paraId="43970C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(6)关于印发环境标志产品政府采购品目清单的通知（财库〔2019〕18号）；</w:t>
      </w:r>
    </w:p>
    <w:p w14:paraId="65B208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(7)《陕西省中小企业政府采购信用融资办法》（陕财办采〔2018〕23号）；</w:t>
      </w:r>
    </w:p>
    <w:p w14:paraId="70F0B1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(8)《三部门联合发布关于促进残疾人就业政府采购政策的通知》（财库〔2017〕141号）；</w:t>
      </w:r>
    </w:p>
    <w:p w14:paraId="6D3643C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(9)《财政部司法部关于政府采购支持监狱企业发展有关问题的通知》（财库〔2014〕68 号）；</w:t>
      </w:r>
    </w:p>
    <w:p w14:paraId="392897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(10)《国务院办公厅关于建立政府强制采购节能产品制度的通知》（国发办〔2007〕51号）；</w:t>
      </w:r>
    </w:p>
    <w:p w14:paraId="642120D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(11)财政部、国家环保总局联合印发《关于环境标志产品政府采购实施的意见》（财库〔2006〕90号）；</w:t>
      </w:r>
    </w:p>
    <w:p w14:paraId="241225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(12)财政部、国家发展改革委《关于印发〈节能产品政府采购实施意见〉的通知》（财库〔2004〕185号）；</w:t>
      </w:r>
    </w:p>
    <w:p w14:paraId="0ACEC3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(13)其他需要落实的政府采购政策。如有最新颁布的政府采购政策，按最新的文件执行。</w:t>
      </w:r>
    </w:p>
    <w:p w14:paraId="6B58259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3</w:t>
      </w:r>
      <w:r>
        <w:rPr>
          <w:rFonts w:hint="eastAsia" w:ascii="宋体" w:hAnsi="宋体" w:eastAsia="宋体" w:cs="宋体"/>
          <w:b w:val="0"/>
          <w:bCs w:val="0"/>
          <w:i w:val="0"/>
          <w:iCs w:val="0"/>
          <w:caps w:val="0"/>
          <w:color w:val="auto"/>
          <w:spacing w:val="0"/>
          <w:sz w:val="21"/>
          <w:szCs w:val="21"/>
          <w:highlight w:val="none"/>
          <w:shd w:val="clear" w:color="auto" w:fill="auto"/>
        </w:rPr>
        <w:t>请投标人按照陕西省财政厅关于政府采购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注册登记有关事项的通知中的要求，通过陕西省政府采购网（http://www.ccgp-shaanxi.gov.cn/）注册登记加入陕西省政府采购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库。</w:t>
      </w:r>
    </w:p>
    <w:p w14:paraId="6E0A0CD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kern w:val="0"/>
          <w:sz w:val="21"/>
          <w:szCs w:val="21"/>
          <w:shd w:val="clear" w:fill="auto"/>
          <w:lang w:val="en-US" w:eastAsia="zh-CN" w:bidi="ar-SA"/>
        </w:rPr>
        <w:t>6.4</w:t>
      </w:r>
      <w:r>
        <w:rPr>
          <w:rFonts w:hint="eastAsia" w:ascii="宋体" w:hAnsi="宋体" w:eastAsia="宋体" w:cs="宋体"/>
          <w:b w:val="0"/>
          <w:bCs w:val="0"/>
          <w:i w:val="0"/>
          <w:iCs w:val="0"/>
          <w:caps w:val="0"/>
          <w:color w:val="auto"/>
          <w:spacing w:val="0"/>
          <w:sz w:val="21"/>
          <w:szCs w:val="21"/>
          <w:highlight w:val="none"/>
          <w:shd w:val="clear" w:color="auto" w:fill="auto"/>
        </w:rPr>
        <w:t>投标人登记免费领取招标文件的，如不参与项目投标，应在递交投标文件截止时间前一天以书面形式告知采购代理机构。否则，采购代理机构可以向财政部门反应情况并提供相应佐证。投标人一年内累计出现三次该情形，将被监管部门记录为失信行为。</w:t>
      </w:r>
    </w:p>
    <w:p w14:paraId="7E89C93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5</w:t>
      </w:r>
      <w:r>
        <w:rPr>
          <w:rFonts w:hint="eastAsia" w:ascii="宋体" w:hAnsi="宋体" w:eastAsia="宋体" w:cs="宋体"/>
          <w:b w:val="0"/>
          <w:bCs w:val="0"/>
          <w:i w:val="0"/>
          <w:iCs w:val="0"/>
          <w:caps w:val="0"/>
          <w:color w:val="auto"/>
          <w:spacing w:val="0"/>
          <w:sz w:val="21"/>
          <w:szCs w:val="21"/>
          <w:highlight w:val="none"/>
          <w:shd w:val="clear" w:color="auto" w:fill="auto"/>
        </w:rPr>
        <w:t>本项目</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公告在《</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陕西省</w:t>
      </w:r>
      <w:r>
        <w:rPr>
          <w:rFonts w:hint="eastAsia" w:ascii="宋体" w:hAnsi="宋体" w:eastAsia="宋体" w:cs="宋体"/>
          <w:b w:val="0"/>
          <w:bCs w:val="0"/>
          <w:i w:val="0"/>
          <w:iCs w:val="0"/>
          <w:caps w:val="0"/>
          <w:color w:val="auto"/>
          <w:spacing w:val="0"/>
          <w:sz w:val="21"/>
          <w:szCs w:val="21"/>
          <w:highlight w:val="none"/>
          <w:shd w:val="clear" w:color="auto" w:fill="auto"/>
        </w:rPr>
        <w:t>政府采购网》网站发布。</w:t>
      </w:r>
    </w:p>
    <w:p w14:paraId="11FDCC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七、对本次招标提出询问，请按以下方式联系。</w:t>
      </w:r>
    </w:p>
    <w:p w14:paraId="2B6D42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1.采购人信息</w:t>
      </w:r>
    </w:p>
    <w:p w14:paraId="7D556EE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名称：咸阳市中心医院</w:t>
      </w:r>
    </w:p>
    <w:p w14:paraId="2057C8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地址：咸阳市人民东路78号</w:t>
      </w:r>
    </w:p>
    <w:p w14:paraId="4D4BBDC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联系方式：</w:t>
      </w:r>
      <w:r>
        <w:rPr>
          <w:rFonts w:hint="eastAsia" w:cs="宋体"/>
          <w:b w:val="0"/>
          <w:bCs w:val="0"/>
          <w:i w:val="0"/>
          <w:iCs w:val="0"/>
          <w:caps w:val="0"/>
          <w:color w:val="auto"/>
          <w:spacing w:val="0"/>
          <w:sz w:val="21"/>
          <w:szCs w:val="21"/>
          <w:highlight w:val="none"/>
          <w:shd w:val="clear" w:color="auto" w:fill="auto"/>
          <w:lang w:eastAsia="zh-CN"/>
        </w:rPr>
        <w:t>029-33287237</w:t>
      </w:r>
    </w:p>
    <w:p w14:paraId="3451EAA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2.采购代理机构信息</w:t>
      </w:r>
    </w:p>
    <w:p w14:paraId="2E108AF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名称：中航技（北京）工程管理有限公司</w:t>
      </w:r>
    </w:p>
    <w:p w14:paraId="39CF188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地址：西安市高新区沣惠南路34号摩尔中心A座</w:t>
      </w:r>
      <w:r>
        <w:rPr>
          <w:rFonts w:hint="eastAsia" w:ascii="宋体" w:hAnsi="宋体" w:eastAsia="宋体" w:cs="宋体"/>
          <w:b w:val="0"/>
          <w:bCs w:val="0"/>
          <w:i w:val="0"/>
          <w:iCs w:val="0"/>
          <w:caps w:val="0"/>
          <w:color w:val="auto"/>
          <w:spacing w:val="0"/>
          <w:sz w:val="21"/>
          <w:szCs w:val="21"/>
          <w:highlight w:val="none"/>
          <w:shd w:val="clear" w:color="auto" w:fill="auto"/>
          <w:lang w:eastAsia="zh-CN"/>
        </w:rPr>
        <w:t>24层</w:t>
      </w:r>
    </w:p>
    <w:p w14:paraId="1A2EEF3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联系方式：029-89187077</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auto"/>
        </w:rPr>
        <w:t>电子信箱：zhjbj123456@163.com</w:t>
      </w:r>
    </w:p>
    <w:p w14:paraId="7129FA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3.项目联系方式</w:t>
      </w:r>
    </w:p>
    <w:p w14:paraId="54599A4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rPr>
      </w:pPr>
      <w:r>
        <w:rPr>
          <w:rFonts w:hint="eastAsia" w:ascii="宋体" w:hAnsi="宋体" w:eastAsia="宋体" w:cs="宋体"/>
          <w:b w:val="0"/>
          <w:bCs w:val="0"/>
          <w:i w:val="0"/>
          <w:iCs w:val="0"/>
          <w:caps w:val="0"/>
          <w:color w:val="auto"/>
          <w:spacing w:val="0"/>
          <w:sz w:val="21"/>
          <w:szCs w:val="21"/>
          <w:highlight w:val="none"/>
          <w:shd w:val="clear" w:color="auto" w:fill="auto"/>
        </w:rPr>
        <w:t>项目联系人：赵伟、杨晶莹、李静</w:t>
      </w:r>
    </w:p>
    <w:p w14:paraId="53828BB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ascii="宋体" w:hAnsi="宋体" w:cs="宋体"/>
          <w:sz w:val="24"/>
        </w:rPr>
      </w:pPr>
      <w:r>
        <w:rPr>
          <w:rFonts w:hint="eastAsia" w:ascii="宋体" w:hAnsi="宋体" w:eastAsia="宋体" w:cs="宋体"/>
          <w:b w:val="0"/>
          <w:bCs w:val="0"/>
          <w:i w:val="0"/>
          <w:iCs w:val="0"/>
          <w:caps w:val="0"/>
          <w:color w:val="auto"/>
          <w:spacing w:val="0"/>
          <w:sz w:val="21"/>
          <w:szCs w:val="21"/>
          <w:highlight w:val="none"/>
          <w:shd w:val="clear" w:color="auto" w:fill="auto"/>
        </w:rPr>
        <w:t>电话：029-89187077</w:t>
      </w:r>
      <w:r>
        <w:rPr>
          <w:rFonts w:ascii="宋体" w:hAnsi="宋体" w:cs="宋体"/>
          <w:sz w:val="24"/>
        </w:rPr>
        <w:br w:type="page"/>
      </w:r>
    </w:p>
    <w:p w14:paraId="747853A2">
      <w:pPr>
        <w:pStyle w:val="2"/>
        <w:spacing w:after="240" w:line="240" w:lineRule="auto"/>
        <w:ind w:left="0" w:firstLine="0"/>
        <w:jc w:val="center"/>
        <w:rPr>
          <w:rFonts w:ascii="宋体" w:hAnsi="宋体"/>
          <w:sz w:val="32"/>
          <w:szCs w:val="32"/>
        </w:rPr>
      </w:pPr>
      <w:bookmarkStart w:id="3" w:name="_Toc1447"/>
      <w:bookmarkStart w:id="4" w:name="_Toc5339"/>
      <w:bookmarkStart w:id="5" w:name="_Toc18266"/>
      <w:bookmarkStart w:id="6" w:name="_Toc14082"/>
      <w:r>
        <w:rPr>
          <w:rFonts w:hint="eastAsia" w:ascii="宋体" w:hAnsi="宋体"/>
          <w:sz w:val="32"/>
          <w:szCs w:val="32"/>
        </w:rPr>
        <w:t>第二章  投标人须知</w:t>
      </w:r>
      <w:bookmarkEnd w:id="3"/>
      <w:bookmarkEnd w:id="4"/>
      <w:bookmarkEnd w:id="5"/>
      <w:bookmarkEnd w:id="6"/>
    </w:p>
    <w:p w14:paraId="371AC99B">
      <w:pPr>
        <w:pStyle w:val="3"/>
        <w:bidi w:val="0"/>
        <w:jc w:val="center"/>
        <w:rPr>
          <w:sz w:val="24"/>
          <w:szCs w:val="24"/>
        </w:rPr>
      </w:pPr>
      <w:r>
        <w:rPr>
          <w:rFonts w:hint="eastAsia"/>
          <w:sz w:val="24"/>
          <w:szCs w:val="24"/>
        </w:rPr>
        <w:t>投标人</w:t>
      </w:r>
      <w:r>
        <w:rPr>
          <w:sz w:val="24"/>
          <w:szCs w:val="24"/>
        </w:rPr>
        <w:t>须知前附表</w:t>
      </w:r>
    </w:p>
    <w:tbl>
      <w:tblPr>
        <w:tblStyle w:val="21"/>
        <w:tblW w:w="9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8"/>
        <w:gridCol w:w="7349"/>
      </w:tblGrid>
      <w:tr w14:paraId="18087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5" w:type="dxa"/>
            <w:vAlign w:val="center"/>
          </w:tcPr>
          <w:p w14:paraId="441ACBFD">
            <w:pPr>
              <w:jc w:val="center"/>
              <w:rPr>
                <w:rFonts w:ascii="宋体" w:hAnsi="宋体" w:cs="宋体"/>
                <w:b/>
                <w:szCs w:val="21"/>
              </w:rPr>
            </w:pPr>
            <w:r>
              <w:rPr>
                <w:rFonts w:hint="eastAsia" w:ascii="宋体" w:hAnsi="宋体" w:cs="宋体"/>
                <w:b/>
                <w:szCs w:val="21"/>
              </w:rPr>
              <w:t>序号</w:t>
            </w:r>
          </w:p>
        </w:tc>
        <w:tc>
          <w:tcPr>
            <w:tcW w:w="1708" w:type="dxa"/>
            <w:vAlign w:val="center"/>
          </w:tcPr>
          <w:p w14:paraId="015D54CD">
            <w:pPr>
              <w:jc w:val="center"/>
              <w:rPr>
                <w:rFonts w:ascii="宋体" w:hAnsi="宋体" w:cs="宋体"/>
                <w:b/>
                <w:szCs w:val="21"/>
              </w:rPr>
            </w:pPr>
            <w:r>
              <w:rPr>
                <w:rFonts w:hint="eastAsia" w:ascii="宋体" w:hAnsi="宋体" w:cs="宋体"/>
                <w:b/>
                <w:szCs w:val="21"/>
              </w:rPr>
              <w:t>条款名称</w:t>
            </w:r>
          </w:p>
        </w:tc>
        <w:tc>
          <w:tcPr>
            <w:tcW w:w="7349" w:type="dxa"/>
            <w:vAlign w:val="center"/>
          </w:tcPr>
          <w:p w14:paraId="093B378A">
            <w:pPr>
              <w:jc w:val="center"/>
              <w:rPr>
                <w:rFonts w:ascii="宋体" w:hAnsi="宋体" w:cs="宋体"/>
                <w:b/>
                <w:szCs w:val="21"/>
              </w:rPr>
            </w:pPr>
            <w:r>
              <w:rPr>
                <w:rFonts w:hint="eastAsia" w:ascii="宋体" w:hAnsi="宋体" w:cs="宋体"/>
                <w:b/>
                <w:szCs w:val="21"/>
              </w:rPr>
              <w:t xml:space="preserve"> 内    容</w:t>
            </w:r>
          </w:p>
        </w:tc>
      </w:tr>
      <w:tr w14:paraId="0F932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5" w:type="dxa"/>
            <w:vAlign w:val="center"/>
          </w:tcPr>
          <w:p w14:paraId="46E59A16">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.1.2</w:t>
            </w:r>
          </w:p>
        </w:tc>
        <w:tc>
          <w:tcPr>
            <w:tcW w:w="1708" w:type="dxa"/>
            <w:vAlign w:val="center"/>
          </w:tcPr>
          <w:p w14:paraId="2F5BE1A6">
            <w:pPr>
              <w:jc w:val="center"/>
              <w:rPr>
                <w:rFonts w:hint="eastAsia" w:ascii="宋体" w:hAnsi="宋体" w:eastAsia="宋体" w:cs="宋体"/>
                <w:szCs w:val="21"/>
                <w:lang w:eastAsia="zh-CN"/>
              </w:rPr>
            </w:pPr>
            <w:r>
              <w:rPr>
                <w:rFonts w:hint="eastAsia" w:ascii="宋体" w:hAnsi="宋体" w:cs="宋体"/>
                <w:szCs w:val="21"/>
                <w:lang w:eastAsia="zh-CN"/>
              </w:rPr>
              <w:t>采购人</w:t>
            </w:r>
          </w:p>
        </w:tc>
        <w:tc>
          <w:tcPr>
            <w:tcW w:w="7349" w:type="dxa"/>
            <w:vAlign w:val="center"/>
          </w:tcPr>
          <w:p w14:paraId="39BA25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名称：咸阳市中心医院</w:t>
            </w:r>
          </w:p>
          <w:p w14:paraId="106FC1B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地址：咸阳市人民东路78号</w:t>
            </w:r>
          </w:p>
          <w:p w14:paraId="1E47A1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祁</w:t>
            </w:r>
            <w:r>
              <w:rPr>
                <w:rFonts w:hint="eastAsia" w:ascii="宋体" w:hAnsi="宋体" w:cs="宋体"/>
                <w:szCs w:val="21"/>
              </w:rPr>
              <w:t>老师</w:t>
            </w:r>
          </w:p>
          <w:p w14:paraId="29D690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电话：</w:t>
            </w:r>
            <w:r>
              <w:rPr>
                <w:rFonts w:hint="eastAsia" w:ascii="宋体" w:hAnsi="宋体" w:cs="宋体"/>
                <w:szCs w:val="21"/>
                <w:lang w:eastAsia="zh-CN"/>
              </w:rPr>
              <w:t>029-33287237</w:t>
            </w:r>
          </w:p>
        </w:tc>
      </w:tr>
      <w:tr w14:paraId="4C70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4F0E7320">
            <w:pPr>
              <w:jc w:val="center"/>
              <w:rPr>
                <w:rFonts w:hint="default" w:ascii="宋体" w:hAnsi="宋体" w:eastAsia="宋体" w:cs="宋体"/>
                <w:szCs w:val="21"/>
                <w:lang w:val="en-US" w:eastAsia="zh-CN"/>
              </w:rPr>
            </w:pPr>
            <w:r>
              <w:rPr>
                <w:rFonts w:hint="eastAsia" w:ascii="宋体" w:hAnsi="宋体" w:cs="宋体"/>
                <w:szCs w:val="21"/>
                <w:lang w:val="en-US" w:eastAsia="zh-CN"/>
              </w:rPr>
              <w:t>1.1.3</w:t>
            </w:r>
          </w:p>
        </w:tc>
        <w:tc>
          <w:tcPr>
            <w:tcW w:w="1708" w:type="dxa"/>
            <w:vAlign w:val="center"/>
          </w:tcPr>
          <w:p w14:paraId="165450E4">
            <w:pPr>
              <w:jc w:val="center"/>
              <w:rPr>
                <w:rFonts w:hint="eastAsia" w:ascii="宋体" w:hAnsi="宋体" w:eastAsia="宋体" w:cs="宋体"/>
                <w:szCs w:val="21"/>
                <w:lang w:eastAsia="zh-CN"/>
              </w:rPr>
            </w:pPr>
            <w:r>
              <w:rPr>
                <w:rFonts w:hint="eastAsia" w:ascii="宋体" w:hAnsi="宋体" w:cs="宋体"/>
                <w:szCs w:val="21"/>
                <w:lang w:eastAsia="zh-CN"/>
              </w:rPr>
              <w:t>采购代理机构</w:t>
            </w:r>
          </w:p>
        </w:tc>
        <w:tc>
          <w:tcPr>
            <w:tcW w:w="7349" w:type="dxa"/>
            <w:vAlign w:val="center"/>
          </w:tcPr>
          <w:p w14:paraId="1632A119">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lang w:val="en-US" w:eastAsia="zh-CN"/>
              </w:rPr>
              <w:t>名称</w:t>
            </w:r>
            <w:r>
              <w:rPr>
                <w:rFonts w:hint="eastAsia" w:ascii="宋体" w:hAnsi="宋体" w:cs="宋体"/>
                <w:szCs w:val="21"/>
              </w:rPr>
              <w:t>：中航技（北京）工程管理有限公司</w:t>
            </w:r>
          </w:p>
          <w:p w14:paraId="263D0E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地址：西安市高新区沣惠南路34号摩尔中心A座</w:t>
            </w:r>
            <w:r>
              <w:rPr>
                <w:rFonts w:hint="eastAsia" w:ascii="宋体" w:hAnsi="宋体" w:cs="宋体"/>
                <w:szCs w:val="21"/>
                <w:lang w:eastAsia="zh-CN"/>
              </w:rPr>
              <w:t>24层</w:t>
            </w:r>
          </w:p>
          <w:p w14:paraId="4E6D1C2D">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cs="宋体"/>
                <w:szCs w:val="21"/>
                <w:lang w:val="en-US"/>
              </w:rPr>
            </w:pPr>
            <w:r>
              <w:rPr>
                <w:rFonts w:hint="eastAsia" w:ascii="宋体" w:hAnsi="宋体" w:cs="宋体"/>
                <w:szCs w:val="21"/>
              </w:rPr>
              <w:t>联系人：赵伟、杨晶莹、李静</w:t>
            </w:r>
          </w:p>
          <w:p w14:paraId="0C8E7904">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电话：</w:t>
            </w:r>
            <w:r>
              <w:rPr>
                <w:rFonts w:hint="eastAsia" w:ascii="宋体" w:hAnsi="宋体" w:cs="宋体"/>
                <w:szCs w:val="21"/>
                <w:highlight w:val="none"/>
              </w:rPr>
              <w:t>029-</w:t>
            </w:r>
            <w:r>
              <w:rPr>
                <w:rFonts w:hint="eastAsia" w:ascii="宋体" w:hAnsi="宋体" w:cs="宋体"/>
                <w:szCs w:val="21"/>
                <w:highlight w:val="none"/>
                <w:lang w:val="en-US" w:eastAsia="zh-CN"/>
              </w:rPr>
              <w:t>89187077</w:t>
            </w:r>
          </w:p>
        </w:tc>
      </w:tr>
      <w:tr w14:paraId="63415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vAlign w:val="center"/>
          </w:tcPr>
          <w:p w14:paraId="4003B1DC">
            <w:pPr>
              <w:jc w:val="center"/>
              <w:rPr>
                <w:rFonts w:hint="default" w:ascii="宋体" w:hAnsi="宋体" w:eastAsia="宋体" w:cs="宋体"/>
                <w:szCs w:val="21"/>
                <w:lang w:val="en-US" w:eastAsia="zh-CN"/>
              </w:rPr>
            </w:pPr>
            <w:r>
              <w:rPr>
                <w:rFonts w:hint="eastAsia" w:ascii="宋体" w:hAnsi="宋体" w:cs="宋体"/>
                <w:szCs w:val="21"/>
                <w:lang w:val="en-US" w:eastAsia="zh-CN"/>
              </w:rPr>
              <w:t>1.1.4</w:t>
            </w:r>
          </w:p>
        </w:tc>
        <w:tc>
          <w:tcPr>
            <w:tcW w:w="1708" w:type="dxa"/>
            <w:vAlign w:val="center"/>
          </w:tcPr>
          <w:p w14:paraId="4CA8D341">
            <w:pPr>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名称</w:t>
            </w:r>
          </w:p>
        </w:tc>
        <w:tc>
          <w:tcPr>
            <w:tcW w:w="7349" w:type="dxa"/>
            <w:vAlign w:val="center"/>
          </w:tcPr>
          <w:p w14:paraId="3C15D8E8">
            <w:pPr>
              <w:rPr>
                <w:rFonts w:hint="eastAsia" w:ascii="宋体" w:hAnsi="宋体" w:eastAsia="宋体" w:cs="宋体"/>
                <w:szCs w:val="21"/>
                <w:lang w:eastAsia="zh-CN"/>
              </w:rPr>
            </w:pPr>
            <w:r>
              <w:rPr>
                <w:rFonts w:hint="eastAsia" w:ascii="宋体" w:hAnsi="宋体" w:cs="宋体"/>
                <w:szCs w:val="21"/>
                <w:lang w:eastAsia="zh-CN"/>
              </w:rPr>
              <w:t>超声诊断仪采购项目</w:t>
            </w:r>
          </w:p>
        </w:tc>
      </w:tr>
      <w:tr w14:paraId="58EDC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3EF0A564">
            <w:pPr>
              <w:jc w:val="center"/>
              <w:rPr>
                <w:rFonts w:hint="eastAsia" w:ascii="宋体" w:hAnsi="宋体" w:cs="宋体"/>
                <w:szCs w:val="21"/>
                <w:lang w:val="en-US" w:eastAsia="zh-CN"/>
              </w:rPr>
            </w:pPr>
            <w:r>
              <w:rPr>
                <w:rFonts w:hint="eastAsia" w:ascii="宋体" w:hAnsi="宋体" w:cs="宋体"/>
                <w:szCs w:val="21"/>
                <w:lang w:val="en-US" w:eastAsia="zh-CN"/>
              </w:rPr>
              <w:t>1.1.5</w:t>
            </w:r>
          </w:p>
        </w:tc>
        <w:tc>
          <w:tcPr>
            <w:tcW w:w="1708" w:type="dxa"/>
            <w:shd w:val="clear" w:color="auto" w:fill="auto"/>
            <w:vAlign w:val="center"/>
          </w:tcPr>
          <w:p w14:paraId="603EEE12">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交付地点</w:t>
            </w:r>
          </w:p>
        </w:tc>
        <w:tc>
          <w:tcPr>
            <w:tcW w:w="7349" w:type="dxa"/>
            <w:shd w:val="clear" w:color="auto" w:fill="auto"/>
            <w:vAlign w:val="center"/>
          </w:tcPr>
          <w:p w14:paraId="3235E1DC">
            <w:pPr>
              <w:widowControl/>
              <w:rPr>
                <w:rFonts w:hint="eastAsia" w:ascii="宋体" w:hAnsi="宋体" w:eastAsia="宋体" w:cs="宋体"/>
                <w:b/>
                <w:kern w:val="2"/>
                <w:sz w:val="21"/>
                <w:szCs w:val="21"/>
                <w:lang w:val="en-US" w:eastAsia="zh-CN" w:bidi="ar-SA"/>
              </w:rPr>
            </w:pPr>
            <w:r>
              <w:rPr>
                <w:rFonts w:hint="eastAsia" w:ascii="宋体" w:hAnsi="宋体" w:cs="宋体"/>
                <w:szCs w:val="21"/>
                <w:lang w:eastAsia="zh-CN"/>
              </w:rPr>
              <w:t>采购人指定地点</w:t>
            </w:r>
          </w:p>
        </w:tc>
      </w:tr>
      <w:tr w14:paraId="73483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7D05CEFB">
            <w:pPr>
              <w:jc w:val="center"/>
              <w:rPr>
                <w:rFonts w:hint="default" w:ascii="宋体" w:hAnsi="宋体" w:cs="宋体"/>
                <w:szCs w:val="21"/>
                <w:lang w:val="en-US" w:eastAsia="zh-CN"/>
              </w:rPr>
            </w:pPr>
            <w:r>
              <w:rPr>
                <w:rFonts w:hint="eastAsia" w:ascii="宋体" w:hAnsi="宋体" w:cs="宋体"/>
                <w:szCs w:val="21"/>
                <w:lang w:val="en-US" w:eastAsia="zh-CN"/>
              </w:rPr>
              <w:t>1.1.6</w:t>
            </w:r>
          </w:p>
        </w:tc>
        <w:tc>
          <w:tcPr>
            <w:tcW w:w="1708" w:type="dxa"/>
            <w:vAlign w:val="center"/>
          </w:tcPr>
          <w:p w14:paraId="3406D36D">
            <w:pPr>
              <w:jc w:val="center"/>
              <w:rPr>
                <w:rFonts w:hint="eastAsia" w:ascii="宋体" w:hAnsi="宋体" w:cs="宋体"/>
                <w:szCs w:val="21"/>
                <w:highlight w:val="none"/>
              </w:rPr>
            </w:pPr>
            <w:r>
              <w:rPr>
                <w:rFonts w:hint="eastAsia" w:ascii="宋体" w:hAnsi="宋体" w:cs="宋体"/>
                <w:szCs w:val="21"/>
                <w:highlight w:val="none"/>
                <w:lang w:eastAsia="zh-CN"/>
              </w:rPr>
              <w:t>交付时间</w:t>
            </w:r>
          </w:p>
        </w:tc>
        <w:tc>
          <w:tcPr>
            <w:tcW w:w="7349" w:type="dxa"/>
            <w:vAlign w:val="center"/>
          </w:tcPr>
          <w:p w14:paraId="61A4E1A3">
            <w:pPr>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cs="宋体"/>
                <w:i w:val="0"/>
                <w:iCs w:val="0"/>
                <w:caps w:val="0"/>
                <w:color w:val="333333"/>
                <w:spacing w:val="0"/>
                <w:sz w:val="21"/>
                <w:szCs w:val="21"/>
                <w:shd w:val="clear" w:fill="FFFFFF"/>
                <w:vertAlign w:val="baseline"/>
                <w:lang w:val="en-US" w:eastAsia="zh-CN"/>
              </w:rPr>
              <w:t>签订采购合同后，60天到货</w:t>
            </w:r>
          </w:p>
        </w:tc>
      </w:tr>
      <w:tr w14:paraId="4031D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1E4E77A">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1.1.7</w:t>
            </w:r>
          </w:p>
        </w:tc>
        <w:tc>
          <w:tcPr>
            <w:tcW w:w="1708" w:type="dxa"/>
            <w:vAlign w:val="center"/>
          </w:tcPr>
          <w:p w14:paraId="549C0B4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质保期</w:t>
            </w:r>
          </w:p>
        </w:tc>
        <w:tc>
          <w:tcPr>
            <w:tcW w:w="7349" w:type="dxa"/>
            <w:vAlign w:val="center"/>
          </w:tcPr>
          <w:p w14:paraId="1EF2F929">
            <w:pPr>
              <w:rPr>
                <w:rFonts w:hint="default" w:ascii="宋体" w:hAnsi="宋体" w:cs="宋体"/>
                <w:szCs w:val="21"/>
                <w:highlight w:val="none"/>
                <w:lang w:val="en-US" w:eastAsia="zh-CN"/>
              </w:rPr>
            </w:pPr>
            <w:r>
              <w:rPr>
                <w:rFonts w:hint="eastAsia" w:ascii="宋体" w:hAnsi="宋体" w:cs="宋体"/>
                <w:szCs w:val="21"/>
                <w:highlight w:val="none"/>
                <w:lang w:val="en-US" w:eastAsia="zh-CN"/>
              </w:rPr>
              <w:t>产品全套质保≥3年，全部软件终生免费升级</w:t>
            </w:r>
          </w:p>
        </w:tc>
      </w:tr>
      <w:tr w14:paraId="1B60C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6F2C739">
            <w:pPr>
              <w:jc w:val="center"/>
              <w:rPr>
                <w:rFonts w:hint="default" w:ascii="宋体" w:hAnsi="宋体" w:eastAsia="宋体" w:cs="宋体"/>
                <w:szCs w:val="21"/>
                <w:lang w:val="en-US" w:eastAsia="zh-CN"/>
              </w:rPr>
            </w:pPr>
            <w:r>
              <w:rPr>
                <w:rFonts w:hint="eastAsia" w:ascii="宋体" w:hAnsi="宋体" w:cs="宋体"/>
                <w:szCs w:val="21"/>
                <w:lang w:val="en-US" w:eastAsia="zh-CN"/>
              </w:rPr>
              <w:t>1.1.8</w:t>
            </w:r>
          </w:p>
        </w:tc>
        <w:tc>
          <w:tcPr>
            <w:tcW w:w="1708" w:type="dxa"/>
            <w:vAlign w:val="center"/>
          </w:tcPr>
          <w:p w14:paraId="44E64A62">
            <w:pPr>
              <w:jc w:val="center"/>
              <w:rPr>
                <w:rFonts w:ascii="宋体" w:hAnsi="宋体" w:cs="宋体"/>
                <w:szCs w:val="21"/>
                <w:highlight w:val="none"/>
              </w:rPr>
            </w:pPr>
            <w:r>
              <w:rPr>
                <w:rFonts w:hint="eastAsia" w:ascii="宋体" w:hAnsi="宋体" w:cs="宋体"/>
                <w:szCs w:val="21"/>
                <w:highlight w:val="none"/>
              </w:rPr>
              <w:t>项目概况</w:t>
            </w:r>
          </w:p>
        </w:tc>
        <w:tc>
          <w:tcPr>
            <w:tcW w:w="7349" w:type="dxa"/>
            <w:vAlign w:val="center"/>
          </w:tcPr>
          <w:p w14:paraId="5BABFA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采购彩色超声诊断仪一台，高端全身超声诊断仪两台。</w:t>
            </w:r>
          </w:p>
        </w:tc>
      </w:tr>
      <w:tr w14:paraId="270A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31035A9">
            <w:pPr>
              <w:jc w:val="center"/>
              <w:rPr>
                <w:rFonts w:hint="default" w:ascii="宋体" w:hAnsi="宋体" w:eastAsia="宋体" w:cs="宋体"/>
                <w:szCs w:val="21"/>
                <w:highlight w:val="yellow"/>
                <w:lang w:val="en-US" w:eastAsia="zh-CN"/>
              </w:rPr>
            </w:pPr>
            <w:r>
              <w:rPr>
                <w:rFonts w:hint="eastAsia" w:ascii="宋体" w:hAnsi="宋体" w:cs="宋体"/>
                <w:szCs w:val="21"/>
                <w:lang w:val="en-US" w:eastAsia="zh-CN"/>
              </w:rPr>
              <w:t>1.2.1</w:t>
            </w:r>
          </w:p>
        </w:tc>
        <w:tc>
          <w:tcPr>
            <w:tcW w:w="1708" w:type="dxa"/>
            <w:vAlign w:val="center"/>
          </w:tcPr>
          <w:p w14:paraId="575046A3">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采购预算</w:t>
            </w:r>
          </w:p>
        </w:tc>
        <w:tc>
          <w:tcPr>
            <w:tcW w:w="7349" w:type="dxa"/>
            <w:vAlign w:val="center"/>
          </w:tcPr>
          <w:p w14:paraId="73B84C23">
            <w:pPr>
              <w:rPr>
                <w:rFonts w:hint="default" w:ascii="宋体" w:hAnsi="宋体" w:cs="宋体"/>
                <w:szCs w:val="21"/>
                <w:highlight w:val="none"/>
                <w:lang w:val="en-US" w:eastAsia="zh-CN"/>
              </w:rPr>
            </w:pPr>
            <w:r>
              <w:rPr>
                <w:rFonts w:hint="eastAsia" w:ascii="宋体" w:hAnsi="宋体" w:cs="宋体"/>
                <w:szCs w:val="21"/>
                <w:highlight w:val="none"/>
                <w:lang w:val="en-US" w:eastAsia="zh-CN"/>
              </w:rPr>
              <w:t>550.00万元</w:t>
            </w:r>
          </w:p>
        </w:tc>
      </w:tr>
      <w:tr w14:paraId="13394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6A55AF7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1.2.2</w:t>
            </w:r>
          </w:p>
        </w:tc>
        <w:tc>
          <w:tcPr>
            <w:tcW w:w="1708" w:type="dxa"/>
            <w:vAlign w:val="center"/>
          </w:tcPr>
          <w:p w14:paraId="24462D0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资金来源</w:t>
            </w:r>
          </w:p>
        </w:tc>
        <w:tc>
          <w:tcPr>
            <w:tcW w:w="7349" w:type="dxa"/>
            <w:vAlign w:val="center"/>
          </w:tcPr>
          <w:p w14:paraId="60A3DA70">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自有资金</w:t>
            </w:r>
          </w:p>
        </w:tc>
      </w:tr>
      <w:tr w14:paraId="27113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7A0CF144">
            <w:pPr>
              <w:jc w:val="center"/>
              <w:rPr>
                <w:rFonts w:hint="default" w:ascii="宋体" w:hAnsi="宋体" w:eastAsia="宋体" w:cs="宋体"/>
                <w:szCs w:val="21"/>
                <w:lang w:val="en-US" w:eastAsia="zh-CN"/>
              </w:rPr>
            </w:pPr>
            <w:r>
              <w:rPr>
                <w:rFonts w:hint="eastAsia" w:ascii="宋体" w:hAnsi="宋体" w:cs="宋体"/>
                <w:szCs w:val="21"/>
                <w:lang w:val="en-US" w:eastAsia="zh-CN"/>
              </w:rPr>
              <w:t>1.3.1</w:t>
            </w:r>
          </w:p>
        </w:tc>
        <w:tc>
          <w:tcPr>
            <w:tcW w:w="1708" w:type="dxa"/>
            <w:vAlign w:val="center"/>
          </w:tcPr>
          <w:p w14:paraId="56358696">
            <w:pPr>
              <w:jc w:val="center"/>
              <w:rPr>
                <w:rFonts w:ascii="宋体" w:hAnsi="宋体" w:cs="宋体"/>
                <w:szCs w:val="21"/>
                <w:highlight w:val="none"/>
              </w:rPr>
            </w:pPr>
            <w:r>
              <w:rPr>
                <w:rFonts w:hint="eastAsia" w:ascii="宋体" w:hAnsi="宋体" w:cs="宋体"/>
                <w:szCs w:val="21"/>
                <w:highlight w:val="none"/>
              </w:rPr>
              <w:t>投标人资格要求</w:t>
            </w:r>
          </w:p>
        </w:tc>
        <w:tc>
          <w:tcPr>
            <w:tcW w:w="7349" w:type="dxa"/>
            <w:vAlign w:val="center"/>
          </w:tcPr>
          <w:p w14:paraId="335137C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530AEE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41EB3C8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w:t>
            </w:r>
            <w:r>
              <w:rPr>
                <w:rFonts w:hint="eastAsia"/>
                <w:sz w:val="21"/>
                <w:szCs w:val="21"/>
                <w:highlight w:val="none"/>
                <w:lang w:val="en-US" w:eastAsia="zh-CN"/>
              </w:rPr>
              <w:t>2024年度</w:t>
            </w:r>
            <w:r>
              <w:rPr>
                <w:rFonts w:hint="eastAsia"/>
                <w:sz w:val="21"/>
                <w:szCs w:val="21"/>
                <w:highlight w:val="none"/>
              </w:rPr>
              <w:t>经审计的财务报告复印件</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rPr>
              <w:t>提供具有良好商业信誉和健全的财务会计制度的承诺函。（以上</w:t>
            </w:r>
            <w:r>
              <w:rPr>
                <w:rFonts w:hint="eastAsia"/>
                <w:sz w:val="21"/>
                <w:szCs w:val="21"/>
                <w:highlight w:val="none"/>
                <w:lang w:val="en-US" w:eastAsia="zh-CN"/>
              </w:rPr>
              <w:t>三</w:t>
            </w:r>
            <w:r>
              <w:rPr>
                <w:rFonts w:hint="eastAsia"/>
                <w:sz w:val="21"/>
                <w:szCs w:val="21"/>
                <w:highlight w:val="none"/>
              </w:rPr>
              <w:t>种形式的资料提供任何一种即可）</w:t>
            </w:r>
          </w:p>
          <w:p w14:paraId="7D40509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eastAsia="宋体"/>
                <w:sz w:val="21"/>
                <w:szCs w:val="21"/>
                <w:highlight w:val="none"/>
                <w:lang w:eastAsia="zh-CN"/>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w:t>
            </w:r>
            <w:r>
              <w:rPr>
                <w:rFonts w:hint="eastAsia"/>
                <w:sz w:val="21"/>
                <w:szCs w:val="21"/>
                <w:highlight w:val="none"/>
                <w:lang w:val="en-US" w:eastAsia="zh-CN"/>
              </w:rPr>
              <w:t>或</w:t>
            </w:r>
            <w:r>
              <w:rPr>
                <w:rFonts w:hint="eastAsia"/>
                <w:sz w:val="21"/>
                <w:szCs w:val="21"/>
                <w:highlight w:val="none"/>
              </w:rPr>
              <w:t>提供具有依法纳税良好记录的承诺函。以上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依法免税的投标人应提供相关证明材料</w:t>
            </w:r>
            <w:r>
              <w:rPr>
                <w:rFonts w:hint="eastAsia"/>
                <w:sz w:val="21"/>
                <w:szCs w:val="21"/>
                <w:highlight w:val="none"/>
                <w:lang w:eastAsia="zh-CN"/>
              </w:rPr>
              <w:t>。</w:t>
            </w:r>
          </w:p>
          <w:p w14:paraId="28CFBB3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lang w:eastAsia="zh-CN"/>
              </w:rPr>
              <w:t>提供具有依法缴纳社会保障资金良好记录的承诺函。</w:t>
            </w:r>
            <w:r>
              <w:rPr>
                <w:rFonts w:hint="eastAsia"/>
                <w:sz w:val="21"/>
                <w:szCs w:val="21"/>
                <w:highlight w:val="none"/>
              </w:rPr>
              <w:t>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依法不需要缴纳社会保障资金的投标人应提供相关证明材料；</w:t>
            </w:r>
          </w:p>
          <w:p w14:paraId="1D06FBD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4432236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6）提供“参加政府采购活动前3年内在经营活动中没有重大违法记录的书面声明”；</w:t>
            </w:r>
          </w:p>
          <w:p w14:paraId="4E391D7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2、落实政府采购政策需满足的资格要求：</w:t>
            </w:r>
          </w:p>
          <w:p w14:paraId="00E5491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本项目非专门面向中小企业。</w:t>
            </w:r>
          </w:p>
          <w:p w14:paraId="12213C1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ascii="宋体" w:hAnsi="宋体" w:eastAsia="宋体" w:cs="Times New Roman"/>
                <w:kern w:val="0"/>
                <w:sz w:val="21"/>
                <w:szCs w:val="21"/>
                <w:lang w:val="en-US" w:eastAsia="zh-CN" w:bidi="ar-SA"/>
              </w:rPr>
              <w:t>3、</w:t>
            </w:r>
            <w:r>
              <w:rPr>
                <w:rFonts w:hint="eastAsia"/>
                <w:sz w:val="21"/>
                <w:szCs w:val="21"/>
                <w:highlight w:val="none"/>
                <w:lang w:val="en-US" w:eastAsia="zh-CN"/>
              </w:rPr>
              <w:t>特定资格条件：</w:t>
            </w:r>
          </w:p>
          <w:p w14:paraId="767B20A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2A8DB89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2</w:t>
            </w:r>
            <w:r>
              <w:rPr>
                <w:rFonts w:hint="eastAsia" w:ascii="宋体" w:hAnsi="宋体" w:eastAsia="宋体" w:cs="宋体"/>
                <w:i w:val="0"/>
                <w:iCs w:val="0"/>
                <w:caps w:val="0"/>
                <w:color w:val="auto"/>
                <w:spacing w:val="0"/>
                <w:sz w:val="21"/>
                <w:szCs w:val="21"/>
                <w:highlight w:val="none"/>
                <w:shd w:val="clear" w:color="auto" w:fill="auto"/>
                <w:lang w:eastAsia="zh-CN"/>
              </w:rPr>
              <w:t>）提供</w:t>
            </w:r>
            <w:r>
              <w:rPr>
                <w:rFonts w:hint="eastAsia" w:ascii="宋体" w:hAnsi="宋体" w:eastAsia="宋体" w:cs="宋体"/>
                <w:i w:val="0"/>
                <w:iCs w:val="0"/>
                <w:caps w:val="0"/>
                <w:color w:val="auto"/>
                <w:spacing w:val="0"/>
                <w:sz w:val="21"/>
                <w:szCs w:val="21"/>
                <w:highlight w:val="none"/>
                <w:shd w:val="clear" w:color="auto" w:fill="auto"/>
                <w:lang w:val="en-US" w:eastAsia="zh-CN"/>
              </w:rPr>
              <w:t>投标人</w:t>
            </w:r>
            <w:r>
              <w:rPr>
                <w:rFonts w:hint="eastAsia" w:ascii="宋体" w:hAnsi="宋体" w:eastAsia="宋体"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ascii="宋体" w:hAnsi="宋体" w:eastAsia="宋体" w:cs="宋体"/>
                <w:i w:val="0"/>
                <w:iCs w:val="0"/>
                <w:caps w:val="0"/>
                <w:color w:val="auto"/>
                <w:spacing w:val="0"/>
                <w:sz w:val="21"/>
                <w:szCs w:val="21"/>
                <w:highlight w:val="none"/>
                <w:shd w:val="clear" w:color="auto" w:fill="auto"/>
                <w:lang w:val="en-US" w:eastAsia="zh-CN"/>
              </w:rPr>
              <w:t>投标</w:t>
            </w:r>
            <w:r>
              <w:rPr>
                <w:rFonts w:hint="eastAsia" w:ascii="宋体" w:hAnsi="宋体" w:eastAsia="宋体" w:cs="宋体"/>
                <w:i w:val="0"/>
                <w:iCs w:val="0"/>
                <w:caps w:val="0"/>
                <w:color w:val="auto"/>
                <w:spacing w:val="0"/>
                <w:sz w:val="21"/>
                <w:szCs w:val="21"/>
                <w:highlight w:val="none"/>
                <w:shd w:val="clear" w:color="auto" w:fill="auto"/>
                <w:lang w:eastAsia="zh-CN"/>
              </w:rPr>
              <w:t>的提供身份证明及身份证复印件；</w:t>
            </w:r>
          </w:p>
          <w:p w14:paraId="728F3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3）</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r>
              <w:rPr>
                <w:rFonts w:hint="eastAsia" w:cs="宋体"/>
                <w:i w:val="0"/>
                <w:iCs w:val="0"/>
                <w:caps w:val="0"/>
                <w:color w:val="auto"/>
                <w:spacing w:val="0"/>
                <w:sz w:val="21"/>
                <w:szCs w:val="21"/>
                <w:highlight w:val="none"/>
                <w:shd w:val="clear" w:color="auto" w:fill="auto"/>
                <w:lang w:val="en-US" w:eastAsia="zh-CN"/>
              </w:rPr>
              <w:t>投标人无需提供资料，以开标现场代理机构查询结果为准。</w:t>
            </w:r>
            <w:r>
              <w:rPr>
                <w:rFonts w:hint="eastAsia" w:cs="宋体"/>
                <w:i w:val="0"/>
                <w:iCs w:val="0"/>
                <w:caps w:val="0"/>
                <w:color w:val="auto"/>
                <w:spacing w:val="0"/>
                <w:sz w:val="21"/>
                <w:szCs w:val="21"/>
                <w:highlight w:val="none"/>
                <w:shd w:val="clear" w:color="auto" w:fill="auto"/>
                <w:lang w:eastAsia="zh-CN"/>
              </w:rPr>
              <w:t>）</w:t>
            </w:r>
          </w:p>
        </w:tc>
      </w:tr>
      <w:tr w14:paraId="03016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4122B41D">
            <w:pPr>
              <w:jc w:val="center"/>
              <w:rPr>
                <w:rFonts w:hint="default" w:ascii="宋体" w:hAnsi="宋体" w:cs="宋体"/>
                <w:szCs w:val="21"/>
                <w:lang w:val="en-US" w:eastAsia="zh-CN"/>
              </w:rPr>
            </w:pPr>
            <w:r>
              <w:rPr>
                <w:rFonts w:hint="eastAsia" w:ascii="宋体" w:hAnsi="宋体" w:cs="宋体"/>
                <w:szCs w:val="21"/>
                <w:lang w:val="en-US" w:eastAsia="zh-CN"/>
              </w:rPr>
              <w:t>1.7</w:t>
            </w:r>
          </w:p>
        </w:tc>
        <w:tc>
          <w:tcPr>
            <w:tcW w:w="1708" w:type="dxa"/>
            <w:vAlign w:val="center"/>
          </w:tcPr>
          <w:p w14:paraId="3E320AAD">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现场踏勘</w:t>
            </w:r>
          </w:p>
        </w:tc>
        <w:tc>
          <w:tcPr>
            <w:tcW w:w="7349" w:type="dxa"/>
            <w:vAlign w:val="center"/>
          </w:tcPr>
          <w:p w14:paraId="28BDC4A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本项目不组织现场踏勘</w:t>
            </w:r>
          </w:p>
        </w:tc>
      </w:tr>
      <w:tr w14:paraId="4069C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35" w:type="dxa"/>
            <w:vAlign w:val="center"/>
          </w:tcPr>
          <w:p w14:paraId="1F872997">
            <w:pPr>
              <w:jc w:val="center"/>
              <w:rPr>
                <w:rFonts w:hint="default" w:ascii="宋体" w:hAnsi="宋体" w:eastAsia="宋体" w:cs="宋体"/>
                <w:szCs w:val="21"/>
                <w:lang w:val="en-US" w:eastAsia="zh-CN"/>
              </w:rPr>
            </w:pPr>
            <w:r>
              <w:rPr>
                <w:rFonts w:hint="eastAsia" w:ascii="宋体" w:hAnsi="宋体" w:cs="宋体"/>
                <w:szCs w:val="21"/>
                <w:lang w:val="en-US" w:eastAsia="zh-CN"/>
              </w:rPr>
              <w:t>2.2.2</w:t>
            </w:r>
          </w:p>
        </w:tc>
        <w:tc>
          <w:tcPr>
            <w:tcW w:w="1708" w:type="dxa"/>
            <w:vAlign w:val="center"/>
          </w:tcPr>
          <w:p w14:paraId="56F38EB0">
            <w:pPr>
              <w:spacing w:line="288" w:lineRule="auto"/>
              <w:jc w:val="center"/>
              <w:rPr>
                <w:rFonts w:ascii="宋体" w:hAnsi="宋体" w:cs="宋体"/>
                <w:szCs w:val="21"/>
              </w:rPr>
            </w:pPr>
            <w:r>
              <w:rPr>
                <w:rFonts w:hint="eastAsia" w:ascii="宋体" w:hAnsi="宋体" w:cs="宋体"/>
                <w:szCs w:val="21"/>
              </w:rPr>
              <w:t>招标文件澄清和修改</w:t>
            </w:r>
          </w:p>
        </w:tc>
        <w:tc>
          <w:tcPr>
            <w:tcW w:w="7349" w:type="dxa"/>
            <w:vAlign w:val="center"/>
          </w:tcPr>
          <w:p w14:paraId="1F83107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bookmarkStart w:id="7" w:name="_Toc11785"/>
            <w:r>
              <w:rPr>
                <w:rFonts w:hint="eastAsia" w:ascii="宋体" w:hAnsi="宋体" w:cs="宋体"/>
                <w:szCs w:val="21"/>
              </w:rPr>
              <w:t>招标文件的澄清和修改：投标截止时间15日前</w:t>
            </w:r>
          </w:p>
          <w:p w14:paraId="51EF616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在投标截止时间15日前，</w:t>
            </w:r>
            <w:r>
              <w:rPr>
                <w:rFonts w:hint="eastAsia" w:ascii="宋体" w:hAnsi="宋体" w:cs="宋体"/>
                <w:szCs w:val="21"/>
                <w:lang w:eastAsia="zh-CN"/>
              </w:rPr>
              <w:t>采购人</w:t>
            </w:r>
            <w:r>
              <w:rPr>
                <w:rFonts w:hint="eastAsia" w:ascii="宋体" w:hAnsi="宋体" w:cs="宋体"/>
                <w:szCs w:val="21"/>
              </w:rPr>
              <w:t>可以澄清或修改招标文件，并以书面形式通知各投标人。如果修改招标文件的时间距投标截止时间不足15日时，</w:t>
            </w:r>
            <w:r>
              <w:rPr>
                <w:rFonts w:hint="eastAsia" w:ascii="宋体" w:hAnsi="宋体" w:cs="宋体"/>
                <w:szCs w:val="21"/>
                <w:lang w:eastAsia="zh-CN"/>
              </w:rPr>
              <w:t>采购人</w:t>
            </w:r>
            <w:r>
              <w:rPr>
                <w:rFonts w:hint="eastAsia" w:ascii="宋体" w:hAnsi="宋体" w:cs="宋体"/>
                <w:szCs w:val="21"/>
              </w:rPr>
              <w:t>将酌情延长投标截止时间。</w:t>
            </w:r>
            <w:bookmarkEnd w:id="7"/>
          </w:p>
        </w:tc>
      </w:tr>
      <w:tr w14:paraId="1D260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AD6D5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3.4.1</w:t>
            </w:r>
          </w:p>
        </w:tc>
        <w:tc>
          <w:tcPr>
            <w:tcW w:w="1708" w:type="dxa"/>
            <w:shd w:val="clear" w:color="auto" w:fill="auto"/>
            <w:vAlign w:val="center"/>
          </w:tcPr>
          <w:p w14:paraId="2AD36A3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投标报价</w:t>
            </w:r>
          </w:p>
        </w:tc>
        <w:tc>
          <w:tcPr>
            <w:tcW w:w="7349" w:type="dxa"/>
            <w:shd w:val="clear" w:color="auto" w:fill="auto"/>
            <w:vAlign w:val="center"/>
          </w:tcPr>
          <w:p w14:paraId="497D4FC7">
            <w:pPr>
              <w:spacing w:line="360" w:lineRule="exact"/>
              <w:rPr>
                <w:rFonts w:hint="eastAsia" w:ascii="宋体" w:hAnsi="宋体" w:cs="宋体"/>
                <w:szCs w:val="21"/>
              </w:rPr>
            </w:pPr>
            <w:r>
              <w:rPr>
                <w:rFonts w:hint="eastAsia" w:ascii="宋体" w:hAnsi="宋体" w:cs="宋体"/>
                <w:szCs w:val="21"/>
              </w:rPr>
              <w:t>自主填报，但不得超出本项目的采购预算。如超出将按照无效投标处理。</w:t>
            </w:r>
          </w:p>
          <w:p w14:paraId="1EFF68E0">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投标报价包括本项目采购需求和投入使用的所有费用</w:t>
            </w:r>
            <w:r>
              <w:rPr>
                <w:rFonts w:hint="eastAsia" w:ascii="宋体" w:hAnsi="宋体" w:cs="宋体"/>
                <w:szCs w:val="21"/>
                <w:lang w:val="en-US" w:eastAsia="zh-CN"/>
              </w:rPr>
              <w:t>。</w:t>
            </w:r>
            <w:r>
              <w:rPr>
                <w:rFonts w:hint="eastAsia" w:ascii="宋体" w:hAnsi="宋体" w:cs="宋体"/>
                <w:szCs w:val="21"/>
              </w:rPr>
              <w:t>包括但不限于：直接费、间接费等相关的一切费用。</w:t>
            </w:r>
          </w:p>
        </w:tc>
      </w:tr>
      <w:tr w14:paraId="33E0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5" w:type="dxa"/>
            <w:shd w:val="clear" w:color="auto" w:fill="auto"/>
            <w:vAlign w:val="center"/>
          </w:tcPr>
          <w:p w14:paraId="53EB24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3.4.4</w:t>
            </w:r>
          </w:p>
        </w:tc>
        <w:tc>
          <w:tcPr>
            <w:tcW w:w="1708" w:type="dxa"/>
            <w:shd w:val="clear" w:color="auto" w:fill="auto"/>
            <w:vAlign w:val="center"/>
          </w:tcPr>
          <w:p w14:paraId="7D05A99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是否允许递交备选方案</w:t>
            </w:r>
          </w:p>
        </w:tc>
        <w:tc>
          <w:tcPr>
            <w:tcW w:w="7349" w:type="dxa"/>
            <w:shd w:val="clear" w:color="auto" w:fill="auto"/>
            <w:vAlign w:val="center"/>
          </w:tcPr>
          <w:p w14:paraId="7A50C8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不允许</w:t>
            </w:r>
          </w:p>
        </w:tc>
      </w:tr>
      <w:tr w14:paraId="1401B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E54F014">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3.6.2</w:t>
            </w:r>
          </w:p>
        </w:tc>
        <w:tc>
          <w:tcPr>
            <w:tcW w:w="1708" w:type="dxa"/>
            <w:vAlign w:val="center"/>
          </w:tcPr>
          <w:p w14:paraId="634A855A">
            <w:pPr>
              <w:jc w:val="both"/>
              <w:rPr>
                <w:rFonts w:hint="eastAsia" w:ascii="宋体" w:hAnsi="宋体" w:cs="宋体"/>
                <w:sz w:val="21"/>
                <w:szCs w:val="21"/>
              </w:rPr>
            </w:pPr>
            <w:r>
              <w:rPr>
                <w:rFonts w:hint="eastAsia" w:ascii="宋体" w:hAnsi="宋体" w:cs="宋体"/>
                <w:sz w:val="21"/>
                <w:szCs w:val="21"/>
              </w:rPr>
              <w:t>投标保证金</w:t>
            </w:r>
          </w:p>
        </w:tc>
        <w:tc>
          <w:tcPr>
            <w:tcW w:w="7349" w:type="dxa"/>
            <w:vAlign w:val="center"/>
          </w:tcPr>
          <w:p w14:paraId="0F87B72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本项目免收保证金</w:t>
            </w:r>
          </w:p>
        </w:tc>
      </w:tr>
      <w:tr w14:paraId="0A254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B70069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3.7.1</w:t>
            </w:r>
          </w:p>
        </w:tc>
        <w:tc>
          <w:tcPr>
            <w:tcW w:w="1708" w:type="dxa"/>
            <w:vAlign w:val="center"/>
          </w:tcPr>
          <w:p w14:paraId="6BE5D78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投标有效期</w:t>
            </w:r>
          </w:p>
        </w:tc>
        <w:tc>
          <w:tcPr>
            <w:tcW w:w="7349" w:type="dxa"/>
            <w:vAlign w:val="center"/>
          </w:tcPr>
          <w:p w14:paraId="41FDA7E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90天（从提交投标文件的截止之日起算）</w:t>
            </w:r>
          </w:p>
        </w:tc>
      </w:tr>
      <w:tr w14:paraId="73EA9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35" w:type="dxa"/>
            <w:vAlign w:val="center"/>
          </w:tcPr>
          <w:p w14:paraId="05C786BB">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3.8.1</w:t>
            </w:r>
          </w:p>
        </w:tc>
        <w:tc>
          <w:tcPr>
            <w:tcW w:w="1708" w:type="dxa"/>
            <w:vAlign w:val="center"/>
          </w:tcPr>
          <w:p w14:paraId="235422C6">
            <w:pPr>
              <w:spacing w:line="288" w:lineRule="auto"/>
              <w:jc w:val="center"/>
              <w:rPr>
                <w:rFonts w:ascii="宋体" w:hAnsi="宋体" w:cs="宋体"/>
                <w:szCs w:val="21"/>
                <w:highlight w:val="none"/>
              </w:rPr>
            </w:pPr>
            <w:r>
              <w:rPr>
                <w:rFonts w:hint="eastAsia" w:ascii="宋体" w:hAnsi="宋体" w:cs="宋体"/>
                <w:szCs w:val="21"/>
                <w:highlight w:val="none"/>
              </w:rPr>
              <w:t>投标文件的份数及装订要求</w:t>
            </w:r>
          </w:p>
        </w:tc>
        <w:tc>
          <w:tcPr>
            <w:tcW w:w="7349" w:type="dxa"/>
            <w:vAlign w:val="center"/>
          </w:tcPr>
          <w:p w14:paraId="513529B0">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份数要求：</w:t>
            </w:r>
          </w:p>
          <w:p w14:paraId="23EDE3C6">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b/>
                <w:bCs/>
                <w:color w:val="000000"/>
                <w:sz w:val="21"/>
                <w:szCs w:val="21"/>
                <w:highlight w:val="none"/>
              </w:rPr>
              <w:t>一份投标文件正本和</w:t>
            </w:r>
            <w:r>
              <w:rPr>
                <w:rFonts w:hint="eastAsia" w:ascii="宋体" w:hAnsi="宋体"/>
                <w:b/>
                <w:bCs/>
                <w:color w:val="000000"/>
                <w:sz w:val="21"/>
                <w:szCs w:val="21"/>
                <w:highlight w:val="none"/>
                <w:lang w:val="en-US" w:eastAsia="zh-CN"/>
              </w:rPr>
              <w:t>2</w:t>
            </w:r>
            <w:r>
              <w:rPr>
                <w:rFonts w:hint="eastAsia" w:ascii="宋体" w:hAnsi="宋体"/>
                <w:b/>
                <w:bCs/>
                <w:color w:val="000000"/>
                <w:sz w:val="21"/>
                <w:szCs w:val="21"/>
                <w:highlight w:val="none"/>
              </w:rPr>
              <w:t>份</w:t>
            </w:r>
            <w:r>
              <w:rPr>
                <w:rFonts w:ascii="宋体" w:hAnsi="宋体"/>
                <w:b/>
                <w:bCs/>
                <w:color w:val="000000"/>
                <w:sz w:val="21"/>
                <w:szCs w:val="21"/>
                <w:highlight w:val="none"/>
              </w:rPr>
              <w:t>副本</w:t>
            </w:r>
            <w:r>
              <w:rPr>
                <w:rFonts w:ascii="宋体" w:hAnsi="宋体"/>
                <w:color w:val="000000"/>
                <w:sz w:val="21"/>
                <w:szCs w:val="21"/>
                <w:highlight w:val="none"/>
              </w:rPr>
              <w:t>，每套投标文件须清楚地标明“正本”或“副本”</w:t>
            </w:r>
            <w:r>
              <w:rPr>
                <w:rFonts w:hint="eastAsia" w:ascii="宋体" w:hAnsi="宋体"/>
                <w:color w:val="000000"/>
                <w:sz w:val="21"/>
                <w:szCs w:val="21"/>
                <w:highlight w:val="none"/>
              </w:rPr>
              <w:t>，</w:t>
            </w:r>
            <w:r>
              <w:rPr>
                <w:rFonts w:ascii="宋体" w:hAnsi="宋体"/>
                <w:color w:val="000000"/>
                <w:sz w:val="21"/>
                <w:szCs w:val="21"/>
                <w:highlight w:val="none"/>
              </w:rPr>
              <w:t>若副本与正本不符，以正本为准</w:t>
            </w:r>
            <w:r>
              <w:rPr>
                <w:rFonts w:hint="eastAsia" w:ascii="宋体" w:hAnsi="宋体"/>
                <w:color w:val="000000"/>
                <w:sz w:val="21"/>
                <w:szCs w:val="21"/>
                <w:highlight w:val="none"/>
              </w:rPr>
              <w:t>；</w:t>
            </w:r>
          </w:p>
          <w:p w14:paraId="6AF0A62D">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b/>
                <w:bCs/>
                <w:color w:val="000000"/>
                <w:sz w:val="21"/>
                <w:szCs w:val="21"/>
                <w:highlight w:val="none"/>
                <w:lang w:val="en-US" w:eastAsia="zh-CN"/>
              </w:rPr>
              <w:t>按招标文件要求</w:t>
            </w:r>
            <w:r>
              <w:rPr>
                <w:rFonts w:hint="eastAsia" w:ascii="宋体" w:hAnsi="宋体"/>
                <w:b/>
                <w:bCs/>
                <w:color w:val="000000"/>
                <w:sz w:val="21"/>
                <w:szCs w:val="21"/>
                <w:highlight w:val="none"/>
              </w:rPr>
              <w:t>签字</w:t>
            </w:r>
            <w:r>
              <w:rPr>
                <w:rFonts w:hint="eastAsia" w:ascii="宋体" w:hAnsi="宋体"/>
                <w:b/>
                <w:bCs/>
                <w:color w:val="000000"/>
                <w:sz w:val="21"/>
                <w:szCs w:val="21"/>
                <w:highlight w:val="none"/>
                <w:lang w:val="en-US" w:eastAsia="zh-CN"/>
              </w:rPr>
              <w:t>盖章</w:t>
            </w:r>
            <w:r>
              <w:rPr>
                <w:rFonts w:hint="eastAsia" w:ascii="宋体" w:hAnsi="宋体"/>
                <w:b/>
                <w:bCs/>
                <w:color w:val="000000"/>
                <w:sz w:val="21"/>
                <w:szCs w:val="21"/>
                <w:highlight w:val="none"/>
              </w:rPr>
              <w:t>的“开标一览表”2份</w:t>
            </w:r>
            <w:r>
              <w:rPr>
                <w:rFonts w:hint="eastAsia" w:ascii="宋体" w:hAnsi="宋体"/>
                <w:color w:val="000000"/>
                <w:sz w:val="21"/>
                <w:szCs w:val="21"/>
                <w:highlight w:val="none"/>
              </w:rPr>
              <w:t>；</w:t>
            </w:r>
          </w:p>
          <w:p w14:paraId="22CED696">
            <w:pPr>
              <w:pStyle w:val="9"/>
              <w:rPr>
                <w:rFonts w:ascii="宋体" w:hAnsi="宋体" w:cs="宋体"/>
                <w:b/>
                <w:bCs/>
                <w:sz w:val="21"/>
                <w:szCs w:val="21"/>
                <w:highlight w:val="none"/>
              </w:rPr>
            </w:pPr>
            <w:r>
              <w:rPr>
                <w:rFonts w:hint="eastAsia" w:ascii="宋体" w:hAnsi="宋体"/>
                <w:color w:val="000000"/>
                <w:sz w:val="21"/>
                <w:szCs w:val="21"/>
                <w:highlight w:val="none"/>
              </w:rPr>
              <w:t>3）</w:t>
            </w:r>
            <w:r>
              <w:rPr>
                <w:rFonts w:ascii="宋体" w:hAnsi="宋体"/>
                <w:b/>
                <w:bCs/>
                <w:color w:val="000000"/>
                <w:sz w:val="21"/>
                <w:szCs w:val="21"/>
                <w:highlight w:val="none"/>
              </w:rPr>
              <w:t>同时提供</w:t>
            </w:r>
            <w:r>
              <w:rPr>
                <w:rFonts w:hint="eastAsia" w:ascii="宋体" w:hAnsi="宋体"/>
                <w:b/>
                <w:bCs/>
                <w:color w:val="000000"/>
                <w:sz w:val="21"/>
                <w:szCs w:val="21"/>
                <w:highlight w:val="none"/>
              </w:rPr>
              <w:t>1份</w:t>
            </w:r>
            <w:r>
              <w:rPr>
                <w:rFonts w:ascii="宋体" w:hAnsi="宋体"/>
                <w:b/>
                <w:bCs/>
                <w:color w:val="000000"/>
                <w:sz w:val="21"/>
                <w:szCs w:val="21"/>
                <w:highlight w:val="none"/>
              </w:rPr>
              <w:t>电子介质的投标文件</w:t>
            </w:r>
            <w:r>
              <w:rPr>
                <w:rFonts w:hint="eastAsia" w:ascii="宋体" w:hAnsi="宋体"/>
                <w:b/>
                <w:bCs/>
                <w:color w:val="000000"/>
                <w:sz w:val="21"/>
                <w:szCs w:val="21"/>
                <w:highlight w:val="none"/>
              </w:rPr>
              <w:t>（U盘）</w:t>
            </w:r>
            <w:r>
              <w:rPr>
                <w:rFonts w:hint="eastAsia" w:ascii="宋体" w:hAnsi="宋体"/>
                <w:color w:val="000000"/>
                <w:sz w:val="21"/>
                <w:szCs w:val="21"/>
                <w:highlight w:val="none"/>
              </w:rPr>
              <w:t>，包括投标文件正本完整版（PDF格式</w:t>
            </w:r>
            <w:r>
              <w:rPr>
                <w:rFonts w:hint="eastAsia" w:ascii="宋体" w:hAnsi="宋体"/>
                <w:color w:val="000000"/>
                <w:sz w:val="21"/>
                <w:szCs w:val="21"/>
                <w:highlight w:val="none"/>
                <w:lang w:val="en-US" w:eastAsia="zh-CN"/>
              </w:rPr>
              <w:t>和</w:t>
            </w:r>
            <w:r>
              <w:rPr>
                <w:rFonts w:hint="eastAsia" w:ascii="宋体" w:hAnsi="宋体"/>
                <w:color w:val="000000"/>
                <w:sz w:val="21"/>
                <w:szCs w:val="21"/>
                <w:highlight w:val="none"/>
              </w:rPr>
              <w:t>WORD格式）</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项</w:t>
            </w:r>
            <w:r>
              <w:rPr>
                <w:rFonts w:ascii="宋体" w:hAnsi="宋体"/>
                <w:color w:val="000000"/>
                <w:sz w:val="21"/>
                <w:szCs w:val="21"/>
                <w:highlight w:val="none"/>
              </w:rPr>
              <w:t>。电子介质的投标文件与纸质投标文件具有同等的法律效力。当电子介质的投标文件与纸质投标文件不一致时，以纸质投标文件为准。</w:t>
            </w:r>
          </w:p>
          <w:p w14:paraId="1FBEE84E">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cs="宋体"/>
                <w:szCs w:val="21"/>
                <w:highlight w:val="none"/>
              </w:rPr>
            </w:pPr>
            <w:r>
              <w:rPr>
                <w:rFonts w:hint="eastAsia" w:ascii="宋体" w:hAnsi="宋体" w:cs="宋体"/>
                <w:szCs w:val="21"/>
                <w:highlight w:val="none"/>
              </w:rPr>
              <w:t>装订要求：正、副本分别</w:t>
            </w:r>
            <w:r>
              <w:rPr>
                <w:rFonts w:hint="eastAsia" w:ascii="宋体" w:hAnsi="宋体" w:cs="宋体"/>
                <w:szCs w:val="21"/>
                <w:highlight w:val="none"/>
                <w:lang w:val="en-US" w:eastAsia="zh-CN"/>
              </w:rPr>
              <w:t>胶装</w:t>
            </w:r>
            <w:r>
              <w:rPr>
                <w:rFonts w:hint="eastAsia" w:ascii="宋体" w:hAnsi="宋体" w:cs="宋体"/>
                <w:szCs w:val="21"/>
                <w:highlight w:val="none"/>
              </w:rPr>
              <w:t>成册，如有彩页应装订成册，不允许活页夹装订；书脊处标明项目名称及投标人名称。</w:t>
            </w:r>
          </w:p>
        </w:tc>
      </w:tr>
      <w:tr w14:paraId="7FBAD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5" w:type="dxa"/>
            <w:shd w:val="clear" w:color="auto" w:fill="auto"/>
            <w:vAlign w:val="center"/>
          </w:tcPr>
          <w:p w14:paraId="00E908D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3.8.2</w:t>
            </w:r>
          </w:p>
        </w:tc>
        <w:tc>
          <w:tcPr>
            <w:tcW w:w="1708" w:type="dxa"/>
            <w:shd w:val="clear" w:color="auto" w:fill="auto"/>
            <w:vAlign w:val="center"/>
          </w:tcPr>
          <w:p w14:paraId="1B57B0E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签字或盖章要求</w:t>
            </w:r>
          </w:p>
        </w:tc>
        <w:tc>
          <w:tcPr>
            <w:tcW w:w="7349" w:type="dxa"/>
            <w:shd w:val="clear" w:color="auto" w:fill="auto"/>
            <w:vAlign w:val="center"/>
          </w:tcPr>
          <w:p w14:paraId="1002E1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rPr>
              <w:t>纸质投标文件封面及其它有要求的部位应加盖投标人公章并经</w:t>
            </w:r>
            <w:r>
              <w:rPr>
                <w:rFonts w:hint="eastAsia" w:ascii="宋体" w:hAnsi="宋体" w:cs="宋体"/>
                <w:szCs w:val="21"/>
                <w:lang w:eastAsia="zh-CN"/>
              </w:rPr>
              <w:t>法定代表人（负责人）</w:t>
            </w:r>
            <w:r>
              <w:rPr>
                <w:rFonts w:hint="eastAsia" w:ascii="宋体" w:hAnsi="宋体" w:cs="宋体"/>
                <w:szCs w:val="21"/>
              </w:rPr>
              <w:t>或其委托代理人签字或盖章。</w:t>
            </w:r>
          </w:p>
        </w:tc>
      </w:tr>
      <w:tr w14:paraId="4931A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35" w:type="dxa"/>
            <w:vMerge w:val="restart"/>
            <w:vAlign w:val="center"/>
          </w:tcPr>
          <w:p w14:paraId="5B246B08">
            <w:pPr>
              <w:spacing w:line="288"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4.1.1</w:t>
            </w:r>
          </w:p>
        </w:tc>
        <w:tc>
          <w:tcPr>
            <w:tcW w:w="1708" w:type="dxa"/>
            <w:vMerge w:val="restart"/>
            <w:vAlign w:val="center"/>
          </w:tcPr>
          <w:p w14:paraId="06C1F42E">
            <w:pPr>
              <w:spacing w:line="288" w:lineRule="auto"/>
              <w:jc w:val="center"/>
              <w:rPr>
                <w:rFonts w:hint="eastAsia" w:ascii="宋体" w:hAnsi="宋体" w:cs="宋体"/>
                <w:szCs w:val="21"/>
                <w:highlight w:val="none"/>
              </w:rPr>
            </w:pPr>
            <w:r>
              <w:rPr>
                <w:rFonts w:hint="eastAsia" w:ascii="宋体" w:hAnsi="宋体" w:cs="宋体"/>
                <w:szCs w:val="21"/>
                <w:highlight w:val="none"/>
              </w:rPr>
              <w:t>投标文件的密封和标记</w:t>
            </w:r>
          </w:p>
        </w:tc>
        <w:tc>
          <w:tcPr>
            <w:tcW w:w="7349" w:type="dxa"/>
            <w:vAlign w:val="center"/>
          </w:tcPr>
          <w:p w14:paraId="32BD3A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投标人应将①开标一览表</w:t>
            </w:r>
            <w:r>
              <w:rPr>
                <w:rFonts w:hint="eastAsia" w:ascii="宋体" w:hAnsi="宋体" w:cs="宋体"/>
                <w:szCs w:val="21"/>
                <w:highlight w:val="none"/>
                <w:lang w:eastAsia="zh-CN"/>
              </w:rPr>
              <w:t>、</w:t>
            </w:r>
            <w:r>
              <w:rPr>
                <w:rFonts w:hint="eastAsia" w:ascii="宋体" w:hAnsi="宋体" w:cs="宋体"/>
                <w:szCs w:val="21"/>
                <w:highlight w:val="none"/>
              </w:rPr>
              <w:t>电子投标文件单独密封提交并在信封上标注“开标一览表</w:t>
            </w:r>
            <w:r>
              <w:rPr>
                <w:rFonts w:hint="eastAsia" w:ascii="宋体" w:hAnsi="宋体" w:cs="宋体"/>
                <w:szCs w:val="21"/>
                <w:highlight w:val="none"/>
                <w:lang w:val="en-US" w:eastAsia="zh-CN"/>
              </w:rPr>
              <w:t>及电子投标文件</w:t>
            </w:r>
            <w:r>
              <w:rPr>
                <w:rFonts w:hint="eastAsia" w:ascii="宋体" w:hAnsi="宋体" w:cs="宋体"/>
                <w:szCs w:val="21"/>
                <w:highlight w:val="none"/>
                <w:lang w:eastAsia="zh-CN"/>
              </w:rPr>
              <w:t>”</w:t>
            </w:r>
            <w:r>
              <w:rPr>
                <w:rFonts w:hint="eastAsia" w:ascii="宋体" w:hAnsi="宋体" w:cs="宋体"/>
                <w:szCs w:val="21"/>
                <w:highlight w:val="none"/>
              </w:rPr>
              <w:t>字样，②投标文件正本</w:t>
            </w:r>
            <w:r>
              <w:rPr>
                <w:rFonts w:hint="eastAsia" w:ascii="宋体" w:hAnsi="宋体" w:cs="宋体"/>
                <w:szCs w:val="21"/>
                <w:highlight w:val="none"/>
                <w:lang w:eastAsia="zh-CN"/>
              </w:rPr>
              <w:t>、</w:t>
            </w:r>
            <w:r>
              <w:rPr>
                <w:rFonts w:hint="eastAsia" w:ascii="宋体" w:hAnsi="宋体" w:cs="宋体"/>
                <w:szCs w:val="21"/>
                <w:highlight w:val="none"/>
              </w:rPr>
              <w:t>所有的副本封装在一个信封中，</w:t>
            </w:r>
            <w:r>
              <w:rPr>
                <w:rFonts w:hint="eastAsia" w:ascii="宋体" w:hAnsi="宋体" w:cs="宋体"/>
                <w:szCs w:val="21"/>
                <w:highlight w:val="none"/>
                <w:lang w:val="en-US" w:eastAsia="zh-CN"/>
              </w:rPr>
              <w:t>也可以正本副本分成两个或多个</w:t>
            </w:r>
            <w:r>
              <w:rPr>
                <w:rFonts w:hint="eastAsia" w:ascii="宋体" w:hAnsi="宋体" w:cs="宋体"/>
                <w:szCs w:val="21"/>
                <w:highlight w:val="none"/>
              </w:rPr>
              <w:t>信封密封包装。</w:t>
            </w:r>
            <w:r>
              <w:rPr>
                <w:rFonts w:hint="eastAsia" w:ascii="宋体" w:hAnsi="宋体" w:cs="宋体"/>
                <w:szCs w:val="21"/>
                <w:highlight w:val="none"/>
                <w:lang w:eastAsia="zh-CN"/>
              </w:rPr>
              <w:t>采购人</w:t>
            </w:r>
            <w:r>
              <w:rPr>
                <w:rFonts w:hint="eastAsia" w:ascii="宋体" w:hAnsi="宋体" w:cs="宋体"/>
                <w:szCs w:val="21"/>
                <w:highlight w:val="none"/>
              </w:rPr>
              <w:t>将拒收不按招标文件要求密封的投标文件。</w:t>
            </w:r>
          </w:p>
        </w:tc>
      </w:tr>
      <w:tr w14:paraId="1118E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57C0DC9D">
            <w:pPr>
              <w:jc w:val="center"/>
              <w:rPr>
                <w:rFonts w:ascii="宋体" w:hAnsi="宋体" w:cs="宋体"/>
                <w:szCs w:val="21"/>
              </w:rPr>
            </w:pPr>
          </w:p>
        </w:tc>
        <w:tc>
          <w:tcPr>
            <w:tcW w:w="1708" w:type="dxa"/>
            <w:vMerge w:val="continue"/>
            <w:vAlign w:val="center"/>
          </w:tcPr>
          <w:p w14:paraId="67E33BAE">
            <w:pPr>
              <w:spacing w:line="288" w:lineRule="auto"/>
              <w:jc w:val="center"/>
              <w:rPr>
                <w:rFonts w:ascii="宋体" w:hAnsi="宋体" w:cs="宋体"/>
                <w:szCs w:val="21"/>
              </w:rPr>
            </w:pPr>
          </w:p>
        </w:tc>
        <w:tc>
          <w:tcPr>
            <w:tcW w:w="7349" w:type="dxa"/>
            <w:vAlign w:val="center"/>
          </w:tcPr>
          <w:p w14:paraId="77276A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外层信封均应标明</w:t>
            </w:r>
            <w:r>
              <w:rPr>
                <w:rFonts w:hint="eastAsia" w:ascii="宋体" w:hAnsi="宋体" w:cs="宋体"/>
                <w:szCs w:val="21"/>
                <w:lang w:val="en-US" w:eastAsia="zh-CN"/>
              </w:rPr>
              <w:t>以下字样</w:t>
            </w:r>
            <w:r>
              <w:rPr>
                <w:rFonts w:hint="eastAsia" w:ascii="宋体" w:hAnsi="宋体" w:cs="宋体"/>
                <w:szCs w:val="21"/>
              </w:rPr>
              <w:t>：</w:t>
            </w:r>
          </w:p>
          <w:p w14:paraId="1288F80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超声诊断仪采购项目</w:t>
            </w:r>
            <w:r>
              <w:rPr>
                <w:rFonts w:hint="eastAsia" w:ascii="宋体" w:hAnsi="宋体" w:cs="宋体"/>
                <w:szCs w:val="21"/>
                <w:lang w:val="en-US" w:eastAsia="zh-CN"/>
              </w:rPr>
              <w:t xml:space="preserve">    投标文件</w:t>
            </w:r>
          </w:p>
          <w:p w14:paraId="68E4814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投标人名称（盖章）：</w:t>
            </w:r>
          </w:p>
          <w:p w14:paraId="53FBAA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在</w:t>
            </w:r>
            <w:r>
              <w:rPr>
                <w:rFonts w:hint="eastAsia" w:ascii="宋体" w:hAnsi="宋体" w:cs="宋体"/>
                <w:szCs w:val="21"/>
                <w:lang w:val="en-US" w:eastAsia="zh-CN"/>
              </w:rPr>
              <w:t>投标文件递交截止时间</w:t>
            </w:r>
            <w:r>
              <w:rPr>
                <w:rFonts w:hint="eastAsia" w:ascii="宋体" w:hAnsi="宋体" w:cs="宋体"/>
                <w:szCs w:val="21"/>
              </w:rPr>
              <w:t>之前不得启封。</w:t>
            </w:r>
          </w:p>
        </w:tc>
      </w:tr>
      <w:tr w14:paraId="05E0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restart"/>
            <w:vAlign w:val="center"/>
          </w:tcPr>
          <w:p w14:paraId="284A051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lang w:val="en-US" w:eastAsia="zh-CN"/>
              </w:rPr>
            </w:pPr>
            <w:r>
              <w:rPr>
                <w:rFonts w:hint="eastAsia" w:ascii="宋体" w:hAnsi="宋体" w:eastAsia="宋体" w:cs="宋体"/>
                <w:szCs w:val="21"/>
                <w:lang w:eastAsia="zh-CN"/>
              </w:rPr>
              <w:t>4.2</w:t>
            </w:r>
            <w:r>
              <w:rPr>
                <w:rFonts w:hint="eastAsia" w:ascii="宋体" w:hAnsi="宋体" w:eastAsia="宋体" w:cs="宋体"/>
                <w:szCs w:val="21"/>
                <w:lang w:val="en-US" w:eastAsia="zh-CN"/>
              </w:rPr>
              <w:t>.1</w:t>
            </w:r>
          </w:p>
        </w:tc>
        <w:tc>
          <w:tcPr>
            <w:tcW w:w="1708" w:type="dxa"/>
            <w:vAlign w:val="center"/>
          </w:tcPr>
          <w:p w14:paraId="256428B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投标文件递交截止时间</w:t>
            </w:r>
          </w:p>
        </w:tc>
        <w:tc>
          <w:tcPr>
            <w:tcW w:w="7349" w:type="dxa"/>
            <w:vAlign w:val="center"/>
          </w:tcPr>
          <w:p w14:paraId="52A30B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202</w:t>
            </w:r>
            <w:r>
              <w:rPr>
                <w:rFonts w:hint="eastAsia" w:ascii="宋体" w:hAnsi="宋体" w:eastAsia="宋体" w:cs="宋体"/>
                <w:szCs w:val="21"/>
                <w:lang w:val="en-US" w:eastAsia="zh-CN"/>
              </w:rPr>
              <w:t>5</w:t>
            </w:r>
            <w:r>
              <w:rPr>
                <w:rFonts w:hint="eastAsia" w:ascii="宋体" w:hAnsi="宋体" w:eastAsia="宋体" w:cs="宋体"/>
                <w:szCs w:val="21"/>
                <w:lang w:eastAsia="zh-CN"/>
              </w:rPr>
              <w:t>年</w:t>
            </w:r>
            <w:r>
              <w:rPr>
                <w:rFonts w:hint="eastAsia" w:ascii="宋体" w:hAnsi="宋体" w:cs="宋体"/>
                <w:szCs w:val="21"/>
                <w:lang w:val="en-US" w:eastAsia="zh-CN"/>
              </w:rPr>
              <w:t>8</w:t>
            </w:r>
            <w:r>
              <w:rPr>
                <w:rFonts w:hint="eastAsia" w:ascii="宋体" w:hAnsi="宋体" w:eastAsia="宋体" w:cs="宋体"/>
                <w:szCs w:val="21"/>
                <w:lang w:eastAsia="zh-CN"/>
              </w:rPr>
              <w:t>月</w:t>
            </w:r>
            <w:r>
              <w:rPr>
                <w:rFonts w:hint="eastAsia" w:ascii="宋体" w:hAnsi="宋体" w:cs="宋体"/>
                <w:szCs w:val="21"/>
                <w:lang w:val="en-US" w:eastAsia="zh-CN"/>
              </w:rPr>
              <w:t>7</w:t>
            </w:r>
            <w:r>
              <w:rPr>
                <w:rFonts w:hint="eastAsia" w:ascii="宋体" w:hAnsi="宋体" w:eastAsia="宋体" w:cs="宋体"/>
                <w:szCs w:val="21"/>
                <w:lang w:eastAsia="zh-CN"/>
              </w:rPr>
              <w:t>日</w:t>
            </w:r>
            <w:r>
              <w:rPr>
                <w:rFonts w:hint="eastAsia" w:ascii="宋体" w:hAnsi="宋体" w:cs="宋体"/>
                <w:szCs w:val="21"/>
                <w:lang w:val="en-US" w:eastAsia="zh-CN"/>
              </w:rPr>
              <w:t>14</w:t>
            </w:r>
            <w:r>
              <w:rPr>
                <w:rFonts w:hint="eastAsia" w:ascii="宋体" w:hAnsi="宋体" w:eastAsia="宋体" w:cs="宋体"/>
                <w:szCs w:val="21"/>
                <w:lang w:eastAsia="zh-CN"/>
              </w:rPr>
              <w:t>时</w:t>
            </w:r>
            <w:r>
              <w:rPr>
                <w:rFonts w:hint="eastAsia" w:ascii="宋体" w:hAnsi="宋体" w:cs="宋体"/>
                <w:szCs w:val="21"/>
                <w:lang w:val="en-US" w:eastAsia="zh-CN"/>
              </w:rPr>
              <w:t>30</w:t>
            </w:r>
            <w:r>
              <w:rPr>
                <w:rFonts w:hint="eastAsia" w:ascii="宋体" w:hAnsi="宋体" w:eastAsia="宋体" w:cs="宋体"/>
                <w:szCs w:val="21"/>
                <w:lang w:eastAsia="zh-CN"/>
              </w:rPr>
              <w:t>分</w:t>
            </w:r>
          </w:p>
        </w:tc>
      </w:tr>
      <w:tr w14:paraId="4F00A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1AF348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p>
        </w:tc>
        <w:tc>
          <w:tcPr>
            <w:tcW w:w="1708" w:type="dxa"/>
            <w:vAlign w:val="center"/>
          </w:tcPr>
          <w:p w14:paraId="156212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递交投标文件地点</w:t>
            </w:r>
          </w:p>
        </w:tc>
        <w:tc>
          <w:tcPr>
            <w:tcW w:w="7349" w:type="dxa"/>
            <w:vAlign w:val="center"/>
          </w:tcPr>
          <w:p w14:paraId="61A71B7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西安市高新区沣惠南路34号摩尔中心A座24层</w:t>
            </w:r>
          </w:p>
        </w:tc>
      </w:tr>
      <w:tr w14:paraId="37E31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5400C44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6.1.1</w:t>
            </w:r>
          </w:p>
        </w:tc>
        <w:tc>
          <w:tcPr>
            <w:tcW w:w="1708" w:type="dxa"/>
            <w:vAlign w:val="center"/>
          </w:tcPr>
          <w:p w14:paraId="5F70AC63">
            <w:pPr>
              <w:spacing w:line="288" w:lineRule="auto"/>
              <w:jc w:val="center"/>
              <w:rPr>
                <w:rFonts w:ascii="宋体" w:hAnsi="宋体" w:cs="宋体"/>
                <w:szCs w:val="21"/>
              </w:rPr>
            </w:pPr>
            <w:r>
              <w:rPr>
                <w:rFonts w:hint="eastAsia" w:ascii="宋体" w:hAnsi="宋体" w:cs="宋体"/>
                <w:szCs w:val="21"/>
              </w:rPr>
              <w:t>评标委员会</w:t>
            </w:r>
          </w:p>
          <w:p w14:paraId="5595589D">
            <w:pPr>
              <w:spacing w:line="288" w:lineRule="auto"/>
              <w:jc w:val="center"/>
              <w:rPr>
                <w:rFonts w:ascii="宋体" w:hAnsi="宋体" w:cs="宋体"/>
                <w:szCs w:val="21"/>
              </w:rPr>
            </w:pPr>
            <w:r>
              <w:rPr>
                <w:rFonts w:hint="eastAsia" w:ascii="宋体" w:hAnsi="宋体" w:cs="宋体"/>
                <w:szCs w:val="21"/>
              </w:rPr>
              <w:t>的组建</w:t>
            </w:r>
          </w:p>
        </w:tc>
        <w:tc>
          <w:tcPr>
            <w:tcW w:w="7349" w:type="dxa"/>
            <w:vAlign w:val="center"/>
          </w:tcPr>
          <w:p w14:paraId="1D493579">
            <w:pPr>
              <w:spacing w:line="288" w:lineRule="auto"/>
              <w:jc w:val="left"/>
              <w:rPr>
                <w:rFonts w:ascii="宋体" w:hAnsi="宋体" w:cs="宋体"/>
                <w:szCs w:val="21"/>
              </w:rPr>
            </w:pPr>
            <w:r>
              <w:rPr>
                <w:rFonts w:hint="eastAsia" w:ascii="宋体" w:hAnsi="宋体" w:cs="宋体"/>
                <w:szCs w:val="21"/>
              </w:rPr>
              <w:t>评标委员会构成：5人，其中</w:t>
            </w:r>
            <w:r>
              <w:rPr>
                <w:rFonts w:hint="eastAsia" w:ascii="宋体" w:hAnsi="宋体" w:cs="宋体"/>
                <w:szCs w:val="21"/>
                <w:lang w:eastAsia="zh-CN"/>
              </w:rPr>
              <w:t>采购人</w:t>
            </w:r>
            <w:r>
              <w:rPr>
                <w:rFonts w:hint="eastAsia" w:ascii="宋体" w:hAnsi="宋体" w:cs="宋体"/>
                <w:szCs w:val="21"/>
              </w:rPr>
              <w:t>代表1名、专家4名。</w:t>
            </w:r>
          </w:p>
          <w:p w14:paraId="124E863B">
            <w:pPr>
              <w:spacing w:line="288" w:lineRule="auto"/>
              <w:jc w:val="left"/>
              <w:rPr>
                <w:rFonts w:ascii="宋体" w:hAnsi="宋体" w:cs="宋体"/>
                <w:szCs w:val="21"/>
              </w:rPr>
            </w:pPr>
            <w:r>
              <w:rPr>
                <w:rFonts w:hint="eastAsia" w:ascii="宋体" w:hAnsi="宋体" w:cs="宋体"/>
                <w:szCs w:val="21"/>
              </w:rPr>
              <w:t>评标专家确定方式：</w:t>
            </w:r>
            <w:r>
              <w:rPr>
                <w:rFonts w:hint="eastAsia" w:ascii="宋体" w:hAnsi="宋体" w:cs="宋体"/>
                <w:szCs w:val="21"/>
                <w:lang w:val="en-US" w:eastAsia="zh-CN"/>
              </w:rPr>
              <w:t>在政府采购</w:t>
            </w:r>
            <w:r>
              <w:rPr>
                <w:rFonts w:hint="eastAsia" w:ascii="宋体" w:hAnsi="宋体" w:cs="宋体"/>
                <w:szCs w:val="21"/>
              </w:rPr>
              <w:t>评审专家库中随机抽取。</w:t>
            </w:r>
          </w:p>
        </w:tc>
      </w:tr>
      <w:tr w14:paraId="0988E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20139D17">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1708" w:type="dxa"/>
            <w:vAlign w:val="center"/>
          </w:tcPr>
          <w:p w14:paraId="3167BA0F">
            <w:pPr>
              <w:spacing w:line="288" w:lineRule="auto"/>
              <w:jc w:val="center"/>
              <w:rPr>
                <w:rFonts w:hint="default" w:ascii="宋体" w:hAnsi="宋体" w:eastAsia="宋体" w:cs="宋体"/>
                <w:szCs w:val="21"/>
                <w:lang w:val="en-US" w:eastAsia="zh-CN"/>
              </w:rPr>
            </w:pPr>
            <w:r>
              <w:rPr>
                <w:rFonts w:hint="eastAsia" w:ascii="宋体" w:hAnsi="宋体" w:cs="宋体"/>
                <w:szCs w:val="21"/>
              </w:rPr>
              <w:t>评标委员会</w:t>
            </w:r>
            <w:r>
              <w:rPr>
                <w:rFonts w:hint="eastAsia" w:ascii="宋体" w:hAnsi="宋体" w:cs="宋体"/>
                <w:szCs w:val="21"/>
                <w:lang w:val="en-US" w:eastAsia="zh-CN"/>
              </w:rPr>
              <w:t>推荐中标候选人数量</w:t>
            </w:r>
          </w:p>
        </w:tc>
        <w:tc>
          <w:tcPr>
            <w:tcW w:w="7349" w:type="dxa"/>
            <w:vAlign w:val="center"/>
          </w:tcPr>
          <w:p w14:paraId="22B092FF">
            <w:pPr>
              <w:rPr>
                <w:rFonts w:ascii="宋体" w:hAnsi="宋体" w:cs="宋体"/>
                <w:szCs w:val="21"/>
              </w:rPr>
            </w:pPr>
            <w:r>
              <w:rPr>
                <w:rFonts w:hint="eastAsia" w:ascii="宋体" w:hAnsi="宋体" w:cs="宋体"/>
                <w:szCs w:val="21"/>
              </w:rPr>
              <w:t>推荐的中标候选人数量：3名</w:t>
            </w:r>
          </w:p>
        </w:tc>
      </w:tr>
      <w:tr w14:paraId="084B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8F66E1C">
            <w:pPr>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057" w:type="dxa"/>
            <w:gridSpan w:val="2"/>
            <w:vAlign w:val="center"/>
          </w:tcPr>
          <w:p w14:paraId="7E906BF0">
            <w:pPr>
              <w:jc w:val="left"/>
              <w:rPr>
                <w:rFonts w:ascii="宋体" w:hAnsi="宋体" w:cs="宋体"/>
                <w:szCs w:val="21"/>
              </w:rPr>
            </w:pPr>
            <w:r>
              <w:rPr>
                <w:rFonts w:hint="eastAsia" w:ascii="宋体" w:hAnsi="宋体" w:cs="宋体"/>
                <w:szCs w:val="21"/>
              </w:rPr>
              <w:t>需要补充的其他内容</w:t>
            </w:r>
          </w:p>
        </w:tc>
      </w:tr>
      <w:tr w14:paraId="1B918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3FAD9E99">
            <w:pPr>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708" w:type="dxa"/>
            <w:vAlign w:val="center"/>
          </w:tcPr>
          <w:p w14:paraId="6FC5D4D8">
            <w:pPr>
              <w:jc w:val="center"/>
              <w:rPr>
                <w:rFonts w:hint="eastAsia" w:ascii="宋体" w:hAnsi="宋体" w:cs="宋体"/>
                <w:szCs w:val="21"/>
              </w:rPr>
            </w:pPr>
            <w:r>
              <w:rPr>
                <w:rFonts w:hint="eastAsia" w:ascii="宋体" w:hAnsi="宋体" w:cs="宋体"/>
                <w:szCs w:val="21"/>
              </w:rPr>
              <w:t>付款方式</w:t>
            </w:r>
          </w:p>
        </w:tc>
        <w:tc>
          <w:tcPr>
            <w:tcW w:w="7349" w:type="dxa"/>
            <w:vAlign w:val="center"/>
          </w:tcPr>
          <w:p w14:paraId="15342CD8">
            <w:pPr>
              <w:rPr>
                <w:rFonts w:hint="eastAsia" w:ascii="宋体" w:hAnsi="宋体" w:cs="宋体"/>
                <w:szCs w:val="21"/>
                <w:lang w:val="zh-CN"/>
              </w:rPr>
            </w:pPr>
            <w:r>
              <w:rPr>
                <w:rFonts w:hint="eastAsia" w:ascii="宋体" w:hAnsi="宋体" w:cs="宋体"/>
                <w:szCs w:val="21"/>
              </w:rPr>
              <w:t>详见第五章合同条款</w:t>
            </w:r>
          </w:p>
        </w:tc>
      </w:tr>
      <w:tr w14:paraId="36246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564E244">
            <w:pPr>
              <w:jc w:val="center"/>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708" w:type="dxa"/>
            <w:vAlign w:val="center"/>
          </w:tcPr>
          <w:p w14:paraId="08D012F6">
            <w:pPr>
              <w:jc w:val="center"/>
              <w:rPr>
                <w:rFonts w:ascii="宋体" w:hAnsi="宋体" w:cs="宋体"/>
                <w:szCs w:val="21"/>
              </w:rPr>
            </w:pPr>
            <w:r>
              <w:rPr>
                <w:rFonts w:hint="eastAsia" w:ascii="宋体" w:hAnsi="宋体" w:cs="宋体"/>
                <w:szCs w:val="21"/>
              </w:rPr>
              <w:t>招标代理服务费</w:t>
            </w:r>
          </w:p>
        </w:tc>
        <w:tc>
          <w:tcPr>
            <w:tcW w:w="7349" w:type="dxa"/>
            <w:vAlign w:val="center"/>
          </w:tcPr>
          <w:p w14:paraId="4517D45C">
            <w:pPr>
              <w:spacing w:line="288" w:lineRule="auto"/>
              <w:jc w:val="left"/>
              <w:rPr>
                <w:rFonts w:hint="eastAsia" w:ascii="宋体" w:hAnsi="宋体" w:cs="宋体"/>
                <w:szCs w:val="21"/>
                <w:lang w:val="zh-CN"/>
              </w:rPr>
            </w:pPr>
            <w:r>
              <w:rPr>
                <w:rFonts w:hint="eastAsia" w:ascii="宋体" w:hAnsi="宋体" w:cs="宋体"/>
                <w:szCs w:val="21"/>
                <w:lang w:val="zh-CN"/>
              </w:rPr>
              <w:t>1、按照国家计委颁布的«招标代理服务收费管理暂行办法»（计价格[2002]1980号）和国家发改委办公厅颁布的«国家发改委办公厅关于招标代理服务收费有关问题的通知（发改办价格[2003]857号）规定</w:t>
            </w:r>
            <w:r>
              <w:rPr>
                <w:rFonts w:hint="eastAsia" w:ascii="宋体" w:hAnsi="宋体" w:cs="宋体"/>
                <w:szCs w:val="21"/>
                <w:lang w:val="zh-CN" w:eastAsia="zh-CN"/>
              </w:rPr>
              <w:t>按固定下浮百分比取费</w:t>
            </w:r>
            <w:r>
              <w:rPr>
                <w:rFonts w:hint="eastAsia" w:ascii="宋体" w:hAnsi="宋体" w:cs="宋体"/>
                <w:szCs w:val="21"/>
                <w:lang w:val="zh-CN"/>
              </w:rPr>
              <w:t>。由</w:t>
            </w:r>
            <w:r>
              <w:rPr>
                <w:rFonts w:hint="eastAsia" w:ascii="宋体" w:hAnsi="宋体" w:cs="宋体"/>
                <w:szCs w:val="21"/>
                <w:lang w:val="zh-CN" w:eastAsia="zh-CN"/>
              </w:rPr>
              <w:t>中标人</w:t>
            </w:r>
            <w:r>
              <w:rPr>
                <w:rFonts w:hint="eastAsia" w:ascii="宋体" w:hAnsi="宋体" w:cs="宋体"/>
                <w:szCs w:val="21"/>
                <w:lang w:val="zh-CN"/>
              </w:rPr>
              <w:t>在领取</w:t>
            </w:r>
            <w:r>
              <w:rPr>
                <w:rFonts w:hint="eastAsia" w:ascii="宋体" w:hAnsi="宋体" w:cs="宋体"/>
                <w:szCs w:val="21"/>
                <w:lang w:val="zh-CN" w:eastAsia="zh-CN"/>
              </w:rPr>
              <w:t>中标</w:t>
            </w:r>
            <w:r>
              <w:rPr>
                <w:rFonts w:hint="eastAsia" w:ascii="宋体" w:hAnsi="宋体" w:cs="宋体"/>
                <w:szCs w:val="21"/>
                <w:lang w:val="zh-CN"/>
              </w:rPr>
              <w:t>通知书之前支付。</w:t>
            </w:r>
          </w:p>
          <w:p w14:paraId="10621736">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中标金额＜100万元，按照标准下浮30%收取。</w:t>
            </w:r>
          </w:p>
          <w:p w14:paraId="77FDDB7E">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100万元≤中标金额＜200万元，按照标准下浮35%收取。</w:t>
            </w:r>
          </w:p>
          <w:p w14:paraId="2D9D7647">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200万元≤中标金额＜500万元，按照标准下浮40%收取。</w:t>
            </w:r>
          </w:p>
          <w:p w14:paraId="52259ECA">
            <w:pPr>
              <w:spacing w:line="288" w:lineRule="auto"/>
              <w:jc w:val="left"/>
              <w:rPr>
                <w:rFonts w:hint="eastAsia" w:ascii="宋体" w:hAnsi="宋体" w:cs="宋体"/>
                <w:szCs w:val="21"/>
                <w:lang w:val="zh-CN"/>
              </w:rPr>
            </w:pPr>
            <w:r>
              <w:rPr>
                <w:rFonts w:hint="eastAsia" w:ascii="宋体" w:hAnsi="宋体" w:cs="宋体"/>
                <w:szCs w:val="21"/>
                <w:lang w:val="zh-CN" w:eastAsia="zh-CN"/>
              </w:rPr>
              <w:t>500万元≤中标金额＜1000万元，按照标准下浮45%收取</w:t>
            </w:r>
            <w:r>
              <w:rPr>
                <w:rFonts w:hint="eastAsia" w:ascii="宋体" w:hAnsi="宋体" w:cs="宋体"/>
                <w:szCs w:val="21"/>
                <w:lang w:val="zh-CN"/>
              </w:rPr>
              <w:t>。</w:t>
            </w:r>
          </w:p>
          <w:p w14:paraId="3D0A7881">
            <w:pPr>
              <w:spacing w:line="288" w:lineRule="auto"/>
              <w:jc w:val="left"/>
              <w:rPr>
                <w:rFonts w:ascii="宋体" w:hAnsi="宋体" w:cs="宋体"/>
                <w:szCs w:val="21"/>
                <w:lang w:val="zh-CN"/>
              </w:rPr>
            </w:pPr>
            <w:r>
              <w:rPr>
                <w:rFonts w:hint="eastAsia" w:ascii="宋体" w:hAnsi="宋体" w:cs="宋体"/>
                <w:szCs w:val="21"/>
                <w:lang w:val="zh-CN"/>
              </w:rPr>
              <w:t>由中标人在领取中标通知书前向</w:t>
            </w:r>
            <w:r>
              <w:rPr>
                <w:rFonts w:hint="eastAsia" w:ascii="宋体" w:hAnsi="宋体" w:cs="宋体"/>
                <w:szCs w:val="21"/>
                <w:lang w:eastAsia="zh-CN"/>
              </w:rPr>
              <w:t>采购代理机构</w:t>
            </w:r>
            <w:r>
              <w:rPr>
                <w:rFonts w:hint="eastAsia" w:ascii="宋体" w:hAnsi="宋体" w:cs="宋体"/>
                <w:szCs w:val="21"/>
                <w:lang w:val="zh-CN"/>
              </w:rPr>
              <w:t>一次性支付。</w:t>
            </w:r>
          </w:p>
          <w:p w14:paraId="12675BE8">
            <w:pPr>
              <w:spacing w:line="288" w:lineRule="auto"/>
              <w:jc w:val="left"/>
              <w:rPr>
                <w:rFonts w:ascii="宋体" w:hAnsi="宋体" w:cs="宋体"/>
                <w:szCs w:val="21"/>
              </w:rPr>
            </w:pPr>
            <w:r>
              <w:rPr>
                <w:rFonts w:hint="eastAsia" w:ascii="宋体" w:hAnsi="宋体" w:cs="宋体"/>
                <w:szCs w:val="21"/>
              </w:rPr>
              <w:t>2、招标代理服务费交纳信息</w:t>
            </w:r>
          </w:p>
          <w:p w14:paraId="1BD4AA34">
            <w:pPr>
              <w:spacing w:line="288" w:lineRule="auto"/>
              <w:jc w:val="left"/>
              <w:rPr>
                <w:rFonts w:ascii="宋体" w:hAnsi="宋体" w:cs="宋体"/>
                <w:szCs w:val="21"/>
              </w:rPr>
            </w:pPr>
            <w:r>
              <w:rPr>
                <w:rFonts w:hint="eastAsia" w:ascii="宋体" w:hAnsi="宋体" w:cs="宋体"/>
                <w:szCs w:val="21"/>
              </w:rPr>
              <w:t>账户</w:t>
            </w:r>
            <w:r>
              <w:rPr>
                <w:rFonts w:hint="eastAsia" w:ascii="宋体" w:hAnsi="宋体" w:cs="宋体"/>
                <w:szCs w:val="21"/>
                <w:lang w:val="zh-CN"/>
              </w:rPr>
              <w:t>名称：中航技（北京）工程管理有限公司西安分公司</w:t>
            </w:r>
          </w:p>
          <w:p w14:paraId="53A4FE2A">
            <w:pPr>
              <w:spacing w:line="288" w:lineRule="auto"/>
              <w:jc w:val="left"/>
              <w:rPr>
                <w:rFonts w:ascii="宋体" w:hAnsi="宋体" w:cs="宋体"/>
                <w:szCs w:val="21"/>
                <w:lang w:val="zh-CN"/>
              </w:rPr>
            </w:pPr>
            <w:r>
              <w:rPr>
                <w:rFonts w:hint="eastAsia" w:ascii="宋体" w:hAnsi="宋体" w:cs="宋体"/>
                <w:szCs w:val="21"/>
                <w:lang w:val="zh-CN"/>
              </w:rPr>
              <w:t>开户银行：中国银行西安高科智慧园支行</w:t>
            </w:r>
          </w:p>
          <w:p w14:paraId="3BA96A64">
            <w:pPr>
              <w:spacing w:line="288" w:lineRule="auto"/>
              <w:jc w:val="left"/>
              <w:rPr>
                <w:rFonts w:ascii="宋体" w:hAnsi="宋体" w:cs="宋体"/>
                <w:szCs w:val="21"/>
              </w:rPr>
            </w:pPr>
            <w:r>
              <w:rPr>
                <w:rFonts w:hint="eastAsia" w:ascii="宋体" w:hAnsi="宋体" w:cs="宋体"/>
                <w:szCs w:val="21"/>
                <w:lang w:val="zh-CN"/>
              </w:rPr>
              <w:t>账    号：102876626131</w:t>
            </w:r>
          </w:p>
        </w:tc>
      </w:tr>
      <w:tr w14:paraId="7E659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74D8E776">
            <w:pPr>
              <w:jc w:val="center"/>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708" w:type="dxa"/>
            <w:vAlign w:val="center"/>
          </w:tcPr>
          <w:p w14:paraId="5903E0A2">
            <w:pPr>
              <w:jc w:val="center"/>
              <w:rPr>
                <w:rFonts w:hint="default" w:ascii="宋体" w:hAnsi="宋体" w:eastAsia="宋体" w:cs="宋体"/>
                <w:szCs w:val="21"/>
                <w:lang w:val="en-US" w:eastAsia="zh-CN"/>
              </w:rPr>
            </w:pPr>
            <w:r>
              <w:rPr>
                <w:rFonts w:hint="eastAsia" w:ascii="宋体" w:hAnsi="宋体" w:cs="宋体"/>
                <w:b/>
                <w:bCs/>
                <w:szCs w:val="21"/>
                <w:lang w:val="en-US" w:eastAsia="zh-CN"/>
              </w:rPr>
              <w:t>信用查询</w:t>
            </w:r>
          </w:p>
        </w:tc>
        <w:tc>
          <w:tcPr>
            <w:tcW w:w="7349" w:type="dxa"/>
            <w:vAlign w:val="center"/>
          </w:tcPr>
          <w:p w14:paraId="7F85B60F">
            <w:pPr>
              <w:spacing w:line="288" w:lineRule="auto"/>
              <w:jc w:val="left"/>
              <w:rPr>
                <w:rFonts w:hint="default" w:ascii="宋体" w:hAnsi="宋体" w:eastAsia="宋体" w:cs="宋体"/>
                <w:szCs w:val="21"/>
                <w:lang w:val="en-US" w:eastAsia="zh-CN"/>
              </w:rPr>
            </w:pPr>
            <w:r>
              <w:rPr>
                <w:rFonts w:hint="eastAsia" w:ascii="宋体" w:hAnsi="宋体" w:cs="宋体"/>
                <w:sz w:val="21"/>
                <w:szCs w:val="21"/>
                <w:lang w:val="en-US" w:eastAsia="zh-CN"/>
              </w:rPr>
              <w:t>投标截止时间止（开标当天），采购代理机构将通过“信用中国”和“</w:t>
            </w:r>
            <w:r>
              <w:rPr>
                <w:rFonts w:hint="eastAsia" w:ascii="宋体" w:hAnsi="宋体" w:cs="宋体"/>
                <w:sz w:val="21"/>
                <w:szCs w:val="21"/>
              </w:rPr>
              <w:t>中国政府采购网</w:t>
            </w:r>
            <w:r>
              <w:rPr>
                <w:rFonts w:hint="eastAsia" w:ascii="宋体" w:hAnsi="宋体" w:cs="宋体"/>
                <w:sz w:val="21"/>
                <w:szCs w:val="21"/>
                <w:lang w:val="en-US" w:eastAsia="zh-CN"/>
              </w:rPr>
              <w:t>”网站对投标人的信誉情况进行查询，核实是否被列入“失信被执行人”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重大税收违法失信主体</w:t>
            </w:r>
            <w:r>
              <w:rPr>
                <w:rFonts w:hint="eastAsia" w:ascii="宋体" w:hAnsi="宋体" w:cs="宋体"/>
                <w:szCs w:val="21"/>
              </w:rPr>
              <w:t>”</w:t>
            </w:r>
            <w:r>
              <w:rPr>
                <w:rFonts w:hint="default" w:ascii="宋体" w:hAnsi="宋体" w:cs="宋体"/>
                <w:sz w:val="21"/>
                <w:szCs w:val="21"/>
                <w:lang w:val="en-US" w:eastAsia="zh-CN"/>
              </w:rPr>
              <w:t>和</w:t>
            </w:r>
            <w:r>
              <w:rPr>
                <w:rFonts w:hint="eastAsia" w:ascii="宋体" w:hAnsi="宋体" w:cs="宋体"/>
                <w:sz w:val="21"/>
                <w:szCs w:val="21"/>
                <w:lang w:val="en-US" w:eastAsia="zh-CN"/>
              </w:rPr>
              <w:t>“政府采购严重违法失信行为记录名单”。如被列入，其投标按无效处理。</w:t>
            </w:r>
          </w:p>
        </w:tc>
      </w:tr>
      <w:tr w14:paraId="17B9F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4EE544EA">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p>
        </w:tc>
        <w:tc>
          <w:tcPr>
            <w:tcW w:w="1708" w:type="dxa"/>
            <w:vAlign w:val="center"/>
          </w:tcPr>
          <w:p w14:paraId="0CAA9CFF">
            <w:pPr>
              <w:jc w:val="center"/>
              <w:rPr>
                <w:rFonts w:hint="default" w:ascii="宋体" w:hAnsi="宋体" w:cs="宋体"/>
                <w:b/>
                <w:bCs/>
                <w:szCs w:val="21"/>
                <w:lang w:val="en-US" w:eastAsia="zh-CN"/>
              </w:rPr>
            </w:pPr>
            <w:r>
              <w:rPr>
                <w:rFonts w:hint="eastAsia" w:ascii="宋体" w:hAnsi="宋体" w:cs="宋体"/>
                <w:b/>
                <w:bCs/>
                <w:szCs w:val="21"/>
                <w:lang w:val="en-US" w:eastAsia="zh-CN"/>
              </w:rPr>
              <w:t>核心产品</w:t>
            </w:r>
          </w:p>
        </w:tc>
        <w:tc>
          <w:tcPr>
            <w:tcW w:w="7349" w:type="dxa"/>
            <w:vAlign w:val="center"/>
          </w:tcPr>
          <w:p w14:paraId="3A2C8FDA">
            <w:pPr>
              <w:spacing w:line="288"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高端全身超声诊断仪</w:t>
            </w:r>
          </w:p>
        </w:tc>
      </w:tr>
      <w:tr w14:paraId="4F8AF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47866B64">
            <w:pPr>
              <w:jc w:val="center"/>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708" w:type="dxa"/>
            <w:shd w:val="clear" w:color="auto" w:fill="auto"/>
            <w:vAlign w:val="center"/>
          </w:tcPr>
          <w:p w14:paraId="6FD2B1DF">
            <w:pPr>
              <w:jc w:val="center"/>
              <w:rPr>
                <w:rFonts w:hint="eastAsia" w:ascii="宋体" w:hAnsi="宋体" w:eastAsia="宋体" w:cs="宋体"/>
                <w:kern w:val="2"/>
                <w:sz w:val="21"/>
                <w:szCs w:val="21"/>
                <w:lang w:val="en-US" w:eastAsia="zh-CN" w:bidi="ar-SA"/>
              </w:rPr>
            </w:pPr>
            <w:r>
              <w:rPr>
                <w:rFonts w:hint="eastAsia" w:ascii="宋体" w:hAnsi="宋体" w:cs="宋体"/>
                <w:szCs w:val="21"/>
                <w:lang w:val="zh-CN"/>
              </w:rPr>
              <w:t>项目所属行业</w:t>
            </w:r>
          </w:p>
        </w:tc>
        <w:tc>
          <w:tcPr>
            <w:tcW w:w="7349" w:type="dxa"/>
            <w:shd w:val="clear" w:color="auto" w:fill="auto"/>
            <w:vAlign w:val="center"/>
          </w:tcPr>
          <w:p w14:paraId="1CD6B1DD">
            <w:pPr>
              <w:jc w:val="left"/>
              <w:rPr>
                <w:rFonts w:hint="eastAsia" w:ascii="宋体" w:hAnsi="宋体" w:eastAsia="宋体" w:cs="宋体"/>
                <w:kern w:val="2"/>
                <w:sz w:val="21"/>
                <w:szCs w:val="21"/>
                <w:shd w:val="clear" w:color="auto" w:fill="FFFFFF"/>
                <w:lang w:val="en-US" w:eastAsia="zh-CN" w:bidi="ar-SA"/>
              </w:rPr>
            </w:pPr>
            <w:r>
              <w:rPr>
                <w:rFonts w:hint="eastAsia" w:ascii="宋体" w:hAnsi="宋体" w:cs="宋体"/>
                <w:szCs w:val="21"/>
                <w:lang w:val="zh-CN"/>
              </w:rPr>
              <w:t>本项目采购标的对应的《中小企业划型标准规定》所属行业为：</w:t>
            </w:r>
            <w:r>
              <w:rPr>
                <w:rFonts w:hint="eastAsia" w:ascii="宋体" w:hAnsi="宋体" w:cs="宋体"/>
                <w:szCs w:val="21"/>
                <w:lang w:val="en-US" w:eastAsia="zh-CN"/>
              </w:rPr>
              <w:t>工业</w:t>
            </w:r>
          </w:p>
        </w:tc>
      </w:tr>
      <w:tr w14:paraId="41538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681F147C">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p>
        </w:tc>
        <w:tc>
          <w:tcPr>
            <w:tcW w:w="9057" w:type="dxa"/>
            <w:gridSpan w:val="2"/>
            <w:vAlign w:val="center"/>
          </w:tcPr>
          <w:p w14:paraId="26B658F8">
            <w:pPr>
              <w:jc w:val="left"/>
              <w:rPr>
                <w:rFonts w:ascii="宋体" w:hAnsi="宋体" w:cs="宋体"/>
                <w:szCs w:val="21"/>
              </w:rPr>
            </w:pPr>
            <w:r>
              <w:rPr>
                <w:rFonts w:hint="eastAsia" w:ascii="宋体" w:hAnsi="宋体" w:cs="宋体"/>
                <w:szCs w:val="21"/>
              </w:rPr>
              <w:t>投标人须知前附表和须知不一致的地方，以前附表为准。</w:t>
            </w:r>
          </w:p>
        </w:tc>
      </w:tr>
      <w:tr w14:paraId="3D4AD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70601EB3">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p>
        </w:tc>
        <w:tc>
          <w:tcPr>
            <w:tcW w:w="9057" w:type="dxa"/>
            <w:gridSpan w:val="2"/>
            <w:vAlign w:val="center"/>
          </w:tcPr>
          <w:p w14:paraId="2642ADA1">
            <w:pPr>
              <w:jc w:val="left"/>
              <w:rPr>
                <w:rFonts w:ascii="宋体" w:hAnsi="宋体" w:cs="宋体"/>
                <w:szCs w:val="21"/>
              </w:rPr>
            </w:pPr>
            <w:r>
              <w:rPr>
                <w:rFonts w:hint="eastAsia" w:ascii="宋体" w:hAnsi="宋体" w:cs="宋体"/>
                <w:szCs w:val="21"/>
              </w:rPr>
              <w:t>文件未明确的其他事项，按照有关法律、法规或省市有关规定执行。</w:t>
            </w:r>
          </w:p>
        </w:tc>
      </w:tr>
    </w:tbl>
    <w:p w14:paraId="61CF0610">
      <w:r>
        <w:br w:type="page"/>
      </w:r>
    </w:p>
    <w:p w14:paraId="62E7EA14">
      <w:pPr>
        <w:pStyle w:val="3"/>
        <w:bidi w:val="0"/>
        <w:rPr>
          <w:rFonts w:hint="eastAsia"/>
          <w:sz w:val="22"/>
          <w:szCs w:val="16"/>
        </w:rPr>
      </w:pPr>
      <w:r>
        <w:rPr>
          <w:rFonts w:hint="eastAsia"/>
          <w:sz w:val="22"/>
          <w:szCs w:val="16"/>
        </w:rPr>
        <w:t>一、总  则</w:t>
      </w:r>
    </w:p>
    <w:p w14:paraId="2DD9C23C">
      <w:pPr>
        <w:spacing w:line="360" w:lineRule="auto"/>
        <w:rPr>
          <w:rFonts w:ascii="宋体" w:hAnsi="宋体"/>
          <w:b/>
          <w:sz w:val="21"/>
          <w:szCs w:val="21"/>
        </w:rPr>
      </w:pPr>
      <w:bookmarkStart w:id="8" w:name="_Toc30853"/>
      <w:bookmarkStart w:id="9" w:name="_Toc238899378"/>
      <w:bookmarkStart w:id="10" w:name="_Toc269407612"/>
      <w:bookmarkStart w:id="11" w:name="_Toc250572264"/>
      <w:bookmarkStart w:id="12" w:name="_Toc54404815"/>
      <w:bookmarkStart w:id="13" w:name="_Toc235544703"/>
      <w:bookmarkStart w:id="14" w:name="_Toc67552688"/>
      <w:r>
        <w:rPr>
          <w:rFonts w:hint="eastAsia" w:ascii="宋体" w:hAnsi="宋体"/>
          <w:b/>
          <w:sz w:val="21"/>
          <w:szCs w:val="21"/>
        </w:rPr>
        <w:t>1.1 项目概况</w:t>
      </w:r>
    </w:p>
    <w:p w14:paraId="3B8880D4">
      <w:pPr>
        <w:spacing w:line="360" w:lineRule="auto"/>
        <w:ind w:firstLine="420" w:firstLineChars="200"/>
        <w:rPr>
          <w:rFonts w:ascii="宋体" w:hAnsi="宋体"/>
          <w:sz w:val="21"/>
          <w:szCs w:val="21"/>
        </w:rPr>
      </w:pPr>
      <w:r>
        <w:rPr>
          <w:rFonts w:hint="eastAsia" w:ascii="宋体" w:hAnsi="宋体"/>
          <w:sz w:val="21"/>
          <w:szCs w:val="21"/>
        </w:rPr>
        <w:t>1.1.1 根据《中华人民共和国政府采购法》及实施条例等有关法律、法规和规章的规定，本招标项目已具备招标条件，现对本项目进行招标。</w:t>
      </w:r>
    </w:p>
    <w:p w14:paraId="7F8F727A">
      <w:pPr>
        <w:spacing w:line="360" w:lineRule="auto"/>
        <w:ind w:firstLine="420" w:firstLineChars="200"/>
        <w:rPr>
          <w:rFonts w:ascii="宋体" w:hAnsi="宋体"/>
          <w:sz w:val="21"/>
          <w:szCs w:val="21"/>
        </w:rPr>
      </w:pPr>
      <w:r>
        <w:rPr>
          <w:rFonts w:hint="eastAsia" w:ascii="宋体" w:hAnsi="宋体"/>
          <w:sz w:val="21"/>
          <w:szCs w:val="21"/>
        </w:rPr>
        <w:t xml:space="preserve">1.1.2 </w:t>
      </w:r>
      <w:r>
        <w:rPr>
          <w:rFonts w:hint="eastAsia" w:ascii="宋体" w:hAnsi="宋体"/>
          <w:sz w:val="21"/>
          <w:szCs w:val="21"/>
          <w:lang w:eastAsia="zh-CN"/>
        </w:rPr>
        <w:t>采购人</w:t>
      </w:r>
      <w:r>
        <w:rPr>
          <w:rFonts w:hint="eastAsia" w:ascii="宋体" w:hAnsi="宋体"/>
          <w:sz w:val="21"/>
          <w:szCs w:val="21"/>
        </w:rPr>
        <w:t>：见投标人须知前附表。</w:t>
      </w:r>
    </w:p>
    <w:p w14:paraId="53656837">
      <w:pPr>
        <w:spacing w:line="360" w:lineRule="auto"/>
        <w:ind w:firstLine="420" w:firstLineChars="200"/>
        <w:rPr>
          <w:rFonts w:ascii="宋体" w:hAnsi="宋体"/>
          <w:sz w:val="21"/>
          <w:szCs w:val="21"/>
        </w:rPr>
      </w:pPr>
      <w:r>
        <w:rPr>
          <w:rFonts w:hint="eastAsia" w:ascii="宋体" w:hAnsi="宋体"/>
          <w:sz w:val="21"/>
          <w:szCs w:val="21"/>
        </w:rPr>
        <w:t xml:space="preserve">1.1.3 </w:t>
      </w:r>
      <w:r>
        <w:rPr>
          <w:rFonts w:hint="eastAsia" w:ascii="宋体" w:hAnsi="宋体"/>
          <w:sz w:val="21"/>
          <w:szCs w:val="21"/>
          <w:lang w:eastAsia="zh-CN"/>
        </w:rPr>
        <w:t>采购代理机构</w:t>
      </w:r>
      <w:r>
        <w:rPr>
          <w:rFonts w:hint="eastAsia" w:ascii="宋体" w:hAnsi="宋体"/>
          <w:sz w:val="21"/>
          <w:szCs w:val="21"/>
        </w:rPr>
        <w:t>：见投标人须知前附表。</w:t>
      </w:r>
    </w:p>
    <w:p w14:paraId="2D5D9993">
      <w:pPr>
        <w:spacing w:line="360" w:lineRule="auto"/>
        <w:ind w:firstLine="420" w:firstLineChars="200"/>
        <w:rPr>
          <w:rFonts w:ascii="宋体" w:hAnsi="宋体"/>
          <w:sz w:val="21"/>
          <w:szCs w:val="21"/>
        </w:rPr>
      </w:pPr>
      <w:r>
        <w:rPr>
          <w:rFonts w:hint="eastAsia" w:ascii="宋体" w:hAnsi="宋体"/>
          <w:sz w:val="21"/>
          <w:szCs w:val="21"/>
        </w:rPr>
        <w:t>1.1.4 项目名称：见投标人须知前附表。</w:t>
      </w:r>
    </w:p>
    <w:p w14:paraId="4F4C6EA6">
      <w:pPr>
        <w:spacing w:line="360" w:lineRule="auto"/>
        <w:ind w:firstLine="420" w:firstLineChars="200"/>
        <w:rPr>
          <w:rFonts w:ascii="宋体" w:hAnsi="宋体"/>
          <w:sz w:val="21"/>
          <w:szCs w:val="21"/>
        </w:rPr>
      </w:pPr>
      <w:r>
        <w:rPr>
          <w:rFonts w:hint="eastAsia" w:ascii="宋体" w:hAnsi="宋体"/>
          <w:sz w:val="21"/>
          <w:szCs w:val="21"/>
        </w:rPr>
        <w:t xml:space="preserve">1.1.5 </w:t>
      </w:r>
      <w:r>
        <w:rPr>
          <w:rFonts w:hint="eastAsia" w:ascii="宋体" w:hAnsi="宋体"/>
          <w:sz w:val="21"/>
          <w:szCs w:val="21"/>
          <w:lang w:val="en-US" w:eastAsia="zh-CN"/>
        </w:rPr>
        <w:t>交付地点</w:t>
      </w:r>
      <w:r>
        <w:rPr>
          <w:rFonts w:hint="eastAsia" w:ascii="宋体" w:hAnsi="宋体"/>
          <w:sz w:val="21"/>
          <w:szCs w:val="21"/>
        </w:rPr>
        <w:t>：见投标人须知前附表。</w:t>
      </w:r>
    </w:p>
    <w:p w14:paraId="54097719">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1.1.6 交付时间：</w:t>
      </w:r>
      <w:r>
        <w:rPr>
          <w:rFonts w:hint="eastAsia" w:ascii="宋体" w:hAnsi="宋体"/>
          <w:sz w:val="21"/>
          <w:szCs w:val="21"/>
        </w:rPr>
        <w:t>见投标人须知前附表。</w:t>
      </w:r>
    </w:p>
    <w:p w14:paraId="2BE069DF">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1.1.7 质保期：</w:t>
      </w:r>
      <w:r>
        <w:rPr>
          <w:rFonts w:hint="eastAsia" w:ascii="宋体" w:hAnsi="宋体"/>
          <w:sz w:val="21"/>
          <w:szCs w:val="21"/>
        </w:rPr>
        <w:t>见投标人须知前附表。</w:t>
      </w:r>
    </w:p>
    <w:p w14:paraId="3EA2101D">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1.1.8 项目概况：</w:t>
      </w:r>
      <w:r>
        <w:rPr>
          <w:rFonts w:hint="eastAsia" w:ascii="宋体" w:hAnsi="宋体"/>
          <w:sz w:val="21"/>
          <w:szCs w:val="21"/>
        </w:rPr>
        <w:t>见投标人须知前附表。</w:t>
      </w:r>
    </w:p>
    <w:p w14:paraId="71307CB6">
      <w:pPr>
        <w:spacing w:line="360" w:lineRule="auto"/>
        <w:rPr>
          <w:rFonts w:ascii="宋体" w:hAnsi="宋体"/>
          <w:b/>
          <w:sz w:val="21"/>
          <w:szCs w:val="21"/>
        </w:rPr>
      </w:pPr>
      <w:r>
        <w:rPr>
          <w:rFonts w:hint="eastAsia" w:ascii="宋体" w:hAnsi="宋体"/>
          <w:b/>
          <w:sz w:val="21"/>
          <w:szCs w:val="21"/>
        </w:rPr>
        <w:t>1.2 资金来源</w:t>
      </w:r>
    </w:p>
    <w:p w14:paraId="683FAA5A">
      <w:pPr>
        <w:spacing w:line="360" w:lineRule="auto"/>
        <w:ind w:firstLine="420" w:firstLineChars="200"/>
        <w:rPr>
          <w:rFonts w:hint="eastAsia" w:ascii="宋体" w:hAnsi="宋体"/>
          <w:sz w:val="21"/>
          <w:szCs w:val="21"/>
        </w:rPr>
      </w:pPr>
      <w:r>
        <w:rPr>
          <w:rFonts w:hint="eastAsia" w:ascii="宋体" w:hAnsi="宋体"/>
          <w:sz w:val="21"/>
          <w:szCs w:val="21"/>
        </w:rPr>
        <w:t>1.2.1 采购预算：见投标人须知前附表。</w:t>
      </w:r>
    </w:p>
    <w:p w14:paraId="5F123337">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1.2.2 资金来源：</w:t>
      </w:r>
      <w:r>
        <w:rPr>
          <w:rFonts w:hint="eastAsia" w:ascii="宋体" w:hAnsi="宋体"/>
          <w:sz w:val="21"/>
          <w:szCs w:val="21"/>
        </w:rPr>
        <w:t>见投标人须知前附表。</w:t>
      </w:r>
    </w:p>
    <w:p w14:paraId="121B9E4B">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3</w:t>
      </w:r>
      <w:r>
        <w:rPr>
          <w:rFonts w:hint="eastAsia" w:ascii="宋体" w:hAnsi="宋体"/>
          <w:b/>
          <w:sz w:val="21"/>
          <w:szCs w:val="21"/>
        </w:rPr>
        <w:t xml:space="preserve"> 投标人资格要求</w:t>
      </w:r>
    </w:p>
    <w:p w14:paraId="6EDE6B90">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.1 投标人应具备承担本项目的资质条件：见投标人须知前附表。</w:t>
      </w:r>
    </w:p>
    <w:p w14:paraId="70DEBA0F">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.2 单位负责人为同一人或者存在控股、管理关系的不同单位，不得同时参加本招标项目投标。</w:t>
      </w:r>
    </w:p>
    <w:p w14:paraId="4BDF2616">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4</w:t>
      </w:r>
      <w:r>
        <w:rPr>
          <w:rFonts w:hint="eastAsia" w:ascii="宋体" w:hAnsi="宋体"/>
          <w:b/>
          <w:sz w:val="21"/>
          <w:szCs w:val="21"/>
        </w:rPr>
        <w:t xml:space="preserve"> 费用承担</w:t>
      </w:r>
    </w:p>
    <w:p w14:paraId="4D3DF4AF">
      <w:pPr>
        <w:spacing w:line="360" w:lineRule="auto"/>
        <w:ind w:firstLine="420" w:firstLineChars="200"/>
        <w:rPr>
          <w:rFonts w:ascii="宋体" w:hAnsi="宋体"/>
          <w:sz w:val="21"/>
          <w:szCs w:val="21"/>
        </w:rPr>
      </w:pPr>
      <w:r>
        <w:rPr>
          <w:rFonts w:hint="eastAsia" w:ascii="宋体" w:hAnsi="宋体"/>
          <w:sz w:val="21"/>
          <w:szCs w:val="21"/>
        </w:rPr>
        <w:t>投标人准备和参加投标活动发生的费用自理。</w:t>
      </w:r>
    </w:p>
    <w:p w14:paraId="73B4AC03">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5</w:t>
      </w:r>
      <w:r>
        <w:rPr>
          <w:rFonts w:hint="eastAsia" w:ascii="宋体" w:hAnsi="宋体"/>
          <w:b/>
          <w:sz w:val="21"/>
          <w:szCs w:val="21"/>
        </w:rPr>
        <w:t xml:space="preserve"> 保密</w:t>
      </w:r>
    </w:p>
    <w:p w14:paraId="39832BDA">
      <w:pPr>
        <w:spacing w:line="360" w:lineRule="auto"/>
        <w:ind w:firstLine="420" w:firstLineChars="200"/>
        <w:rPr>
          <w:rFonts w:ascii="宋体" w:hAnsi="宋体"/>
          <w:sz w:val="21"/>
          <w:szCs w:val="21"/>
        </w:rPr>
      </w:pPr>
      <w:r>
        <w:rPr>
          <w:rFonts w:hint="eastAsia" w:ascii="宋体" w:hAnsi="宋体"/>
          <w:sz w:val="21"/>
          <w:szCs w:val="21"/>
        </w:rPr>
        <w:t>参与招标投标活动的各方应对招标文件和投标文件中的商业和技术等秘密保密，违者应对由此造成的后果承担法律责任。</w:t>
      </w:r>
    </w:p>
    <w:p w14:paraId="5902390D">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6</w:t>
      </w:r>
      <w:r>
        <w:rPr>
          <w:rFonts w:hint="eastAsia" w:ascii="宋体" w:hAnsi="宋体"/>
          <w:b/>
          <w:sz w:val="21"/>
          <w:szCs w:val="21"/>
        </w:rPr>
        <w:t xml:space="preserve"> 语言文字</w:t>
      </w:r>
    </w:p>
    <w:p w14:paraId="12325EAD">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1投标人提交的投标文件以及投标人与采购代理机构就有关投标所有来往书面文件均须使用中文简体。投标文件中如附有外文资料，必须对应翻译成中文并加盖投标人公章后附在相关外文资料后面，否则，投标人的投标文件将作为无效投标处理。</w:t>
      </w:r>
    </w:p>
    <w:p w14:paraId="38219C9A">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.2翻译的中文资料与外文资料如果出现差异和矛盾以中文为准。投标人不能以响应招标文件为目的将不满足招标文件要求和规定的投标故意翻译成满足的投标，否则，投标人的投标将作为无效投标处理。</w:t>
      </w:r>
    </w:p>
    <w:p w14:paraId="0A7CCC94">
      <w:pPr>
        <w:spacing w:line="360" w:lineRule="auto"/>
        <w:rPr>
          <w:rFonts w:ascii="宋体" w:hAnsi="宋体"/>
          <w:b/>
          <w:sz w:val="21"/>
          <w:szCs w:val="21"/>
        </w:rPr>
      </w:pPr>
      <w:r>
        <w:rPr>
          <w:rFonts w:hint="eastAsia" w:ascii="宋体" w:hAnsi="宋体"/>
          <w:b/>
          <w:sz w:val="21"/>
          <w:szCs w:val="21"/>
        </w:rPr>
        <w:t>1.8 计量单位</w:t>
      </w:r>
    </w:p>
    <w:p w14:paraId="6454D3A5">
      <w:pPr>
        <w:spacing w:line="360" w:lineRule="auto"/>
        <w:ind w:firstLine="420" w:firstLineChars="200"/>
        <w:rPr>
          <w:rFonts w:hint="eastAsia" w:ascii="宋体" w:hAnsi="宋体"/>
          <w:sz w:val="21"/>
          <w:szCs w:val="21"/>
        </w:rPr>
      </w:pPr>
      <w:r>
        <w:rPr>
          <w:rFonts w:hint="eastAsia" w:ascii="宋体" w:hAnsi="宋体"/>
          <w:sz w:val="21"/>
          <w:szCs w:val="21"/>
        </w:rPr>
        <w:t>投标文件中所使用的计量单位，除技术规格及要求另有规定外，本采购项目的投标均采用中华人民共和国法定计量单位。</w:t>
      </w:r>
    </w:p>
    <w:p w14:paraId="61C0E730">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7</w:t>
      </w:r>
      <w:r>
        <w:rPr>
          <w:rFonts w:hint="eastAsia" w:ascii="宋体" w:hAnsi="宋体"/>
          <w:b/>
          <w:sz w:val="21"/>
          <w:szCs w:val="21"/>
        </w:rPr>
        <w:t xml:space="preserve"> 踏勘现场</w:t>
      </w:r>
    </w:p>
    <w:p w14:paraId="6759270E">
      <w:pPr>
        <w:bidi w:val="0"/>
        <w:ind w:firstLine="420" w:firstLineChars="200"/>
        <w:rPr>
          <w:rFonts w:hint="default" w:eastAsia="宋体"/>
          <w:lang w:val="en-US" w:eastAsia="zh-CN"/>
        </w:rPr>
      </w:pPr>
      <w:r>
        <w:rPr>
          <w:rFonts w:hint="eastAsia"/>
          <w:lang w:val="en-US" w:eastAsia="zh-CN"/>
        </w:rPr>
        <w:t>详见投标人须知前附表。</w:t>
      </w:r>
    </w:p>
    <w:p w14:paraId="6BB2E9EC">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8</w:t>
      </w:r>
      <w:r>
        <w:rPr>
          <w:rFonts w:hint="eastAsia" w:ascii="宋体" w:hAnsi="宋体"/>
          <w:b/>
          <w:sz w:val="21"/>
          <w:szCs w:val="21"/>
        </w:rPr>
        <w:t>招标文件取得</w:t>
      </w:r>
    </w:p>
    <w:p w14:paraId="02A559FB">
      <w:pPr>
        <w:spacing w:line="360" w:lineRule="auto"/>
        <w:ind w:firstLine="420" w:firstLineChars="200"/>
        <w:rPr>
          <w:rFonts w:hint="eastAsia" w:ascii="宋体" w:hAnsi="宋体"/>
          <w:sz w:val="21"/>
          <w:szCs w:val="21"/>
        </w:rPr>
      </w:pPr>
      <w:r>
        <w:rPr>
          <w:rFonts w:hint="eastAsia" w:ascii="宋体" w:hAnsi="宋体"/>
          <w:sz w:val="21"/>
          <w:szCs w:val="21"/>
        </w:rPr>
        <w:t>招标公告在陕西省政府采购网发布并以此为准，有意愿投标的合格投标人必须在采购代理机构获取招标文件，凡未在采购代理机构获取本项目招标文件或未在采购代理机构获取本项目招标文件采取复制他人招标文件的投标将被拒绝。</w:t>
      </w:r>
    </w:p>
    <w:p w14:paraId="51F316A5">
      <w:pPr>
        <w:spacing w:line="360" w:lineRule="auto"/>
        <w:rPr>
          <w:rFonts w:hint="eastAsia" w:ascii="宋体" w:hAnsi="宋体" w:eastAsia="宋体" w:cs="Times New Roman"/>
          <w:b/>
          <w:sz w:val="21"/>
          <w:szCs w:val="21"/>
        </w:rPr>
      </w:pPr>
      <w:bookmarkStart w:id="15" w:name="_Toc52064303"/>
      <w:bookmarkStart w:id="16" w:name="_Toc48301710"/>
      <w:bookmarkStart w:id="17" w:name="_Toc52064846"/>
      <w:r>
        <w:rPr>
          <w:rFonts w:hint="eastAsia" w:ascii="宋体" w:hAnsi="宋体" w:eastAsia="宋体" w:cs="Times New Roman"/>
          <w:b/>
          <w:sz w:val="21"/>
          <w:szCs w:val="21"/>
        </w:rPr>
        <w:t>1.</w:t>
      </w:r>
      <w:r>
        <w:rPr>
          <w:rFonts w:hint="eastAsia" w:ascii="宋体" w:hAnsi="宋体" w:cs="Times New Roman"/>
          <w:b/>
          <w:sz w:val="21"/>
          <w:szCs w:val="21"/>
          <w:lang w:val="en-US" w:eastAsia="zh-CN"/>
        </w:rPr>
        <w:t>9</w:t>
      </w:r>
      <w:r>
        <w:rPr>
          <w:rFonts w:hint="eastAsia" w:ascii="宋体" w:hAnsi="宋体" w:eastAsia="宋体" w:cs="Times New Roman"/>
          <w:b/>
          <w:sz w:val="21"/>
          <w:szCs w:val="21"/>
        </w:rPr>
        <w:t>投标文件的货币单位</w:t>
      </w:r>
      <w:bookmarkEnd w:id="15"/>
      <w:bookmarkEnd w:id="16"/>
      <w:bookmarkEnd w:id="17"/>
    </w:p>
    <w:p w14:paraId="01DB07F5">
      <w:pPr>
        <w:spacing w:line="360" w:lineRule="auto"/>
        <w:ind w:firstLine="420" w:firstLineChars="200"/>
        <w:rPr>
          <w:rFonts w:ascii="宋体" w:hAnsi="宋体"/>
          <w:sz w:val="21"/>
          <w:szCs w:val="21"/>
        </w:rPr>
      </w:pPr>
      <w:r>
        <w:rPr>
          <w:rFonts w:hint="eastAsia" w:ascii="宋体" w:hAnsi="宋体"/>
          <w:sz w:val="21"/>
          <w:szCs w:val="21"/>
        </w:rPr>
        <w:t>本项目投标文件所采用的货币单位：元</w:t>
      </w:r>
    </w:p>
    <w:p w14:paraId="75FC27AE">
      <w:pPr>
        <w:spacing w:line="360" w:lineRule="auto"/>
        <w:rPr>
          <w:rFonts w:hint="eastAsia" w:ascii="宋体" w:hAnsi="宋体"/>
          <w:b/>
          <w:sz w:val="21"/>
          <w:szCs w:val="21"/>
        </w:rPr>
      </w:pPr>
      <w:bookmarkStart w:id="18" w:name="_Toc48301711"/>
      <w:bookmarkStart w:id="19" w:name="_Toc52064304"/>
      <w:bookmarkStart w:id="20" w:name="_Toc52064847"/>
      <w:r>
        <w:rPr>
          <w:rFonts w:hint="eastAsia" w:ascii="宋体" w:hAnsi="宋体"/>
          <w:b/>
          <w:sz w:val="21"/>
          <w:szCs w:val="21"/>
        </w:rPr>
        <w:t>1.1</w:t>
      </w:r>
      <w:r>
        <w:rPr>
          <w:rFonts w:hint="eastAsia" w:ascii="宋体" w:hAnsi="宋体"/>
          <w:b/>
          <w:sz w:val="21"/>
          <w:szCs w:val="21"/>
          <w:lang w:val="en-US" w:eastAsia="zh-CN"/>
        </w:rPr>
        <w:t>0</w:t>
      </w:r>
      <w:r>
        <w:rPr>
          <w:rFonts w:hint="eastAsia" w:ascii="宋体" w:hAnsi="宋体"/>
          <w:b/>
          <w:sz w:val="21"/>
          <w:szCs w:val="21"/>
        </w:rPr>
        <w:t>投标文件的投标范围</w:t>
      </w:r>
      <w:bookmarkEnd w:id="18"/>
      <w:bookmarkEnd w:id="19"/>
      <w:bookmarkEnd w:id="20"/>
    </w:p>
    <w:p w14:paraId="78666831">
      <w:pPr>
        <w:spacing w:line="360" w:lineRule="auto"/>
        <w:ind w:firstLine="420" w:firstLineChars="200"/>
        <w:rPr>
          <w:rFonts w:hint="eastAsia" w:ascii="宋体" w:hAnsi="宋体"/>
          <w:sz w:val="21"/>
          <w:szCs w:val="21"/>
        </w:rPr>
      </w:pPr>
      <w:r>
        <w:rPr>
          <w:rFonts w:hint="eastAsia" w:ascii="宋体" w:hAnsi="宋体"/>
          <w:sz w:val="21"/>
          <w:szCs w:val="21"/>
        </w:rPr>
        <w:t>投标人可以对招标文件中采购项目所列货物进行投标，但不得将同一个包中的内容拆开投标，将同一个包内容拆开的投标将按无效投标处理。</w:t>
      </w:r>
    </w:p>
    <w:p w14:paraId="28E9D41A">
      <w:pPr>
        <w:spacing w:line="360" w:lineRule="auto"/>
        <w:rPr>
          <w:rFonts w:hint="eastAsia" w:ascii="宋体" w:hAnsi="宋体"/>
          <w:b/>
          <w:sz w:val="21"/>
          <w:szCs w:val="21"/>
        </w:rPr>
      </w:pPr>
      <w:bookmarkStart w:id="21" w:name="_Toc48301712"/>
      <w:bookmarkStart w:id="22" w:name="_Toc52064848"/>
      <w:bookmarkStart w:id="23" w:name="_Toc52064305"/>
      <w:r>
        <w:rPr>
          <w:rFonts w:hint="eastAsia" w:ascii="宋体" w:hAnsi="宋体"/>
          <w:b/>
          <w:sz w:val="21"/>
          <w:szCs w:val="21"/>
        </w:rPr>
        <w:t>1.1</w:t>
      </w:r>
      <w:r>
        <w:rPr>
          <w:rFonts w:hint="eastAsia" w:ascii="宋体" w:hAnsi="宋体"/>
          <w:b/>
          <w:sz w:val="21"/>
          <w:szCs w:val="21"/>
          <w:lang w:val="en-US" w:eastAsia="zh-CN"/>
        </w:rPr>
        <w:t>1</w:t>
      </w:r>
      <w:r>
        <w:rPr>
          <w:rFonts w:hint="eastAsia" w:ascii="宋体" w:hAnsi="宋体"/>
          <w:b/>
          <w:sz w:val="21"/>
          <w:szCs w:val="21"/>
        </w:rPr>
        <w:t>联合体投标的规定</w:t>
      </w:r>
      <w:bookmarkEnd w:id="21"/>
      <w:bookmarkEnd w:id="22"/>
      <w:bookmarkEnd w:id="23"/>
    </w:p>
    <w:p w14:paraId="6BD860C2">
      <w:pPr>
        <w:spacing w:line="360" w:lineRule="auto"/>
        <w:ind w:firstLine="420" w:firstLineChars="200"/>
        <w:rPr>
          <w:rFonts w:hint="eastAsia" w:ascii="宋体" w:hAnsi="宋体"/>
          <w:sz w:val="21"/>
          <w:szCs w:val="21"/>
        </w:rPr>
      </w:pPr>
      <w:r>
        <w:rPr>
          <w:rFonts w:hint="eastAsia" w:ascii="宋体" w:hAnsi="宋体"/>
          <w:sz w:val="21"/>
          <w:szCs w:val="21"/>
        </w:rPr>
        <w:t>本次采购活动不接受联合体投标。</w:t>
      </w:r>
    </w:p>
    <w:p w14:paraId="7797CB3A">
      <w:pPr>
        <w:spacing w:line="360" w:lineRule="auto"/>
        <w:rPr>
          <w:rFonts w:hint="eastAsia" w:ascii="宋体" w:hAnsi="宋体"/>
          <w:b/>
          <w:sz w:val="21"/>
          <w:szCs w:val="21"/>
        </w:rPr>
      </w:pPr>
      <w:bookmarkStart w:id="24" w:name="_Toc52064849"/>
      <w:bookmarkStart w:id="25" w:name="_Toc48301713"/>
      <w:bookmarkStart w:id="26" w:name="_Toc52064306"/>
      <w:r>
        <w:rPr>
          <w:rFonts w:hint="eastAsia" w:ascii="宋体" w:hAnsi="宋体"/>
          <w:b/>
          <w:sz w:val="21"/>
          <w:szCs w:val="21"/>
        </w:rPr>
        <w:t>1.1</w:t>
      </w:r>
      <w:r>
        <w:rPr>
          <w:rFonts w:hint="eastAsia" w:ascii="宋体" w:hAnsi="宋体"/>
          <w:b/>
          <w:sz w:val="21"/>
          <w:szCs w:val="21"/>
          <w:lang w:val="en-US" w:eastAsia="zh-CN"/>
        </w:rPr>
        <w:t>2</w:t>
      </w:r>
      <w:r>
        <w:rPr>
          <w:rFonts w:hint="eastAsia" w:ascii="宋体" w:hAnsi="宋体"/>
          <w:b/>
          <w:sz w:val="21"/>
          <w:szCs w:val="21"/>
        </w:rPr>
        <w:t>所涉及的知识产权</w:t>
      </w:r>
      <w:bookmarkEnd w:id="24"/>
      <w:bookmarkEnd w:id="25"/>
      <w:bookmarkEnd w:id="26"/>
    </w:p>
    <w:p w14:paraId="2B147664">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.1投标人应保证对本项目投标的任何货物（包括部分使用）时，不会产生因第三方提出侵犯其专利权、商标权或其它知识产权而引起的法律和经济纠纷，否则，由投标人承担所有相关责任。</w:t>
      </w:r>
    </w:p>
    <w:p w14:paraId="0372641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.2</w:t>
      </w:r>
      <w:r>
        <w:rPr>
          <w:rFonts w:hint="eastAsia" w:ascii="宋体" w:hAnsi="宋体"/>
          <w:sz w:val="21"/>
          <w:szCs w:val="21"/>
          <w:lang w:val="en-US" w:eastAsia="zh-CN"/>
        </w:rPr>
        <w:t>采</w:t>
      </w:r>
      <w:r>
        <w:rPr>
          <w:rFonts w:hint="eastAsia" w:ascii="宋体" w:hAnsi="宋体"/>
          <w:sz w:val="21"/>
          <w:szCs w:val="21"/>
        </w:rPr>
        <w:t>购人享有本项目实施过程中产生的知识成果及知识产权。</w:t>
      </w:r>
    </w:p>
    <w:p w14:paraId="304769FF">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3投标人如欲在项目实施过程中采用自有知识成果，需在投标文件中声明并提供知识产权和市场准入的相关证明文件。使用该知识成果后，投标人需提供和开放开发接口和开发手册等技术文档，并承诺提供无限期技术支持，采购人享有永久使用权。</w:t>
      </w:r>
    </w:p>
    <w:p w14:paraId="22A3E20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.4如采用投标人所不拥有的知识产权，则在投标报价中必须包括合法获取该知识产权无限制使用的相关费用。</w:t>
      </w:r>
    </w:p>
    <w:p w14:paraId="163D5677">
      <w:pPr>
        <w:spacing w:line="360" w:lineRule="auto"/>
        <w:rPr>
          <w:rFonts w:hint="eastAsia" w:ascii="宋体" w:hAnsi="宋体"/>
          <w:b/>
          <w:sz w:val="21"/>
          <w:szCs w:val="21"/>
        </w:rPr>
      </w:pPr>
      <w:r>
        <w:rPr>
          <w:rFonts w:hint="eastAsia" w:ascii="宋体" w:hAnsi="宋体"/>
          <w:b/>
          <w:sz w:val="21"/>
          <w:szCs w:val="21"/>
        </w:rPr>
        <w:t>1.1</w:t>
      </w:r>
      <w:r>
        <w:rPr>
          <w:rFonts w:hint="eastAsia" w:ascii="宋体" w:hAnsi="宋体"/>
          <w:b/>
          <w:sz w:val="21"/>
          <w:szCs w:val="21"/>
          <w:lang w:val="en-US" w:eastAsia="zh-CN"/>
        </w:rPr>
        <w:t>3</w:t>
      </w:r>
      <w:r>
        <w:rPr>
          <w:rFonts w:hint="eastAsia" w:ascii="宋体" w:hAnsi="宋体"/>
          <w:b/>
          <w:sz w:val="21"/>
          <w:szCs w:val="21"/>
        </w:rPr>
        <w:t>应落实的政府采购政策</w:t>
      </w:r>
    </w:p>
    <w:p w14:paraId="2A90F81F">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.1对中小企业、监狱企业、残疾人福利性单位的优惠政策</w:t>
      </w:r>
    </w:p>
    <w:p w14:paraId="0979B033">
      <w:pPr>
        <w:spacing w:line="360" w:lineRule="auto"/>
        <w:ind w:firstLine="525" w:firstLineChars="250"/>
        <w:rPr>
          <w:rFonts w:hint="eastAsia" w:ascii="宋体" w:hAnsi="宋体"/>
          <w:szCs w:val="21"/>
          <w:highlight w:val="none"/>
        </w:rPr>
      </w:pPr>
      <w:r>
        <w:rPr>
          <w:rFonts w:hint="eastAsia" w:ascii="宋体" w:hAnsi="宋体"/>
          <w:szCs w:val="21"/>
          <w:highlight w:val="none"/>
        </w:rPr>
        <w:t>对中小企业、监狱企业、残疾人福利性单位的优惠政策</w:t>
      </w:r>
    </w:p>
    <w:p w14:paraId="22F00ED7">
      <w:pPr>
        <w:spacing w:line="360" w:lineRule="auto"/>
        <w:ind w:firstLine="525" w:firstLineChars="250"/>
        <w:rPr>
          <w:rFonts w:ascii="宋体" w:hAnsi="宋体"/>
          <w:szCs w:val="21"/>
        </w:rPr>
      </w:pPr>
      <w:r>
        <w:rPr>
          <w:rFonts w:hint="eastAsia" w:ascii="宋体" w:hAnsi="宋体"/>
          <w:szCs w:val="21"/>
          <w:highlight w:val="none"/>
        </w:rPr>
        <w:t>（1）对于经主管预算单位统筹后未预留</w:t>
      </w:r>
      <w:r>
        <w:rPr>
          <w:rFonts w:hint="eastAsia" w:ascii="宋体" w:hAnsi="宋体"/>
          <w:szCs w:val="21"/>
        </w:rPr>
        <w:t>份额专门面向中小企业采购的采购项目，以及预留份额项目中的非预留部分采购包，根据《财政部关于进一步加大政府采购支持中小企业力度的通知》（财库〔2022〕19号）的有关规定，提供小微企业制造的货物、承接的服务（不包括使用大型、中型企业商号或者注册商标的货物）参与政府采购活动时对小型和微型企业报价给予10%—20%的扣除，政府采购工程的价格评审优惠执行《政府采购促进中小企业发展管理办法》财库〔2020〕46号文件，对小型和微型企业报价给予3%—5%的扣除（实际价格扣除比例以第三章《评审标准和方法》中的具体规定为准），用扣除后的价格参加评审。同时，依据该办法第四条第二款规定在货物采购项目中，</w:t>
      </w:r>
      <w:r>
        <w:rPr>
          <w:rFonts w:hint="eastAsia" w:ascii="宋体" w:hAnsi="宋体"/>
          <w:szCs w:val="21"/>
          <w:lang w:eastAsia="zh-CN"/>
        </w:rPr>
        <w:t>投标人</w:t>
      </w:r>
      <w:r>
        <w:rPr>
          <w:rFonts w:hint="eastAsia" w:ascii="宋体" w:hAnsi="宋体"/>
          <w:szCs w:val="21"/>
        </w:rPr>
        <w:t>提供的货物既有中小企业制造货物，也有大型企业制造货物的，不享受中小企业扶持政策。</w:t>
      </w:r>
    </w:p>
    <w:p w14:paraId="7D27FCE4">
      <w:pPr>
        <w:spacing w:line="360" w:lineRule="auto"/>
        <w:ind w:firstLine="525" w:firstLineChars="250"/>
        <w:rPr>
          <w:rFonts w:ascii="宋体" w:hAnsi="宋体"/>
          <w:szCs w:val="21"/>
        </w:rPr>
      </w:pPr>
      <w:r>
        <w:rPr>
          <w:rFonts w:hint="eastAsia" w:ascii="宋体" w:hAnsi="宋体"/>
          <w:szCs w:val="21"/>
        </w:rPr>
        <w:t>（2）根据财政部、司法部联合下发的《关于政府采购支持监狱企业发展有关问题的通知》（财库〔2014〕68号）的规定，监狱企业视同小型、微型企业。</w:t>
      </w:r>
    </w:p>
    <w:p w14:paraId="60E9672E">
      <w:pPr>
        <w:spacing w:line="360" w:lineRule="auto"/>
        <w:ind w:firstLine="525" w:firstLineChars="250"/>
        <w:rPr>
          <w:rFonts w:ascii="宋体" w:hAnsi="宋体"/>
          <w:szCs w:val="21"/>
        </w:rPr>
      </w:pPr>
      <w:r>
        <w:rPr>
          <w:rFonts w:hint="eastAsia" w:ascii="宋体" w:hAnsi="宋体"/>
          <w:szCs w:val="21"/>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A557034">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szCs w:val="21"/>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w:t>
      </w:r>
      <w:r>
        <w:rPr>
          <w:rFonts w:hint="eastAsia" w:ascii="宋体" w:hAnsi="宋体"/>
          <w:szCs w:val="21"/>
          <w:lang w:val="en-US" w:eastAsia="zh-CN"/>
        </w:rPr>
        <w:t>招标</w:t>
      </w:r>
      <w:r>
        <w:rPr>
          <w:rFonts w:hint="eastAsia" w:ascii="宋体" w:hAnsi="宋体"/>
          <w:szCs w:val="21"/>
        </w:rPr>
        <w:t>文件规定的价格扣除，但不影响</w:t>
      </w:r>
      <w:r>
        <w:rPr>
          <w:rFonts w:hint="eastAsia" w:ascii="宋体" w:hAnsi="宋体"/>
          <w:szCs w:val="21"/>
          <w:lang w:val="en-US" w:eastAsia="zh-CN"/>
        </w:rPr>
        <w:t>投标文件</w:t>
      </w:r>
      <w:r>
        <w:rPr>
          <w:rFonts w:hint="eastAsia" w:ascii="宋体" w:hAnsi="宋体"/>
          <w:szCs w:val="21"/>
        </w:rPr>
        <w:t>的有效性。</w:t>
      </w:r>
    </w:p>
    <w:p w14:paraId="6DB7F74E">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.2节能、环保产品采购政策</w:t>
      </w:r>
    </w:p>
    <w:p w14:paraId="59969C96">
      <w:pPr>
        <w:spacing w:line="360" w:lineRule="auto"/>
        <w:ind w:firstLine="525" w:firstLineChars="250"/>
        <w:rPr>
          <w:rFonts w:hint="eastAsia" w:ascii="宋体" w:hAnsi="宋体"/>
          <w:sz w:val="21"/>
          <w:szCs w:val="21"/>
        </w:rPr>
      </w:pPr>
      <w:r>
        <w:rPr>
          <w:rFonts w:hint="eastAsia" w:ascii="宋体" w:hAnsi="宋体"/>
          <w:sz w:val="21"/>
          <w:szCs w:val="21"/>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49C5296">
      <w:pPr>
        <w:spacing w:line="360" w:lineRule="auto"/>
        <w:ind w:firstLine="525" w:firstLineChars="250"/>
        <w:rPr>
          <w:rFonts w:hint="eastAsia" w:ascii="宋体" w:hAnsi="宋体"/>
          <w:sz w:val="21"/>
          <w:szCs w:val="21"/>
        </w:rPr>
      </w:pPr>
      <w:r>
        <w:rPr>
          <w:rFonts w:hint="eastAsia" w:ascii="宋体" w:hAnsi="宋体"/>
          <w:sz w:val="21"/>
          <w:szCs w:val="21"/>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82984B0">
      <w:pPr>
        <w:spacing w:line="360" w:lineRule="auto"/>
        <w:ind w:firstLine="525" w:firstLineChars="250"/>
        <w:rPr>
          <w:rFonts w:hint="eastAsia" w:ascii="宋体" w:hAnsi="宋体"/>
          <w:sz w:val="21"/>
          <w:szCs w:val="21"/>
        </w:rPr>
      </w:pPr>
      <w:r>
        <w:rPr>
          <w:rFonts w:hint="eastAsia" w:ascii="宋体" w:hAnsi="宋体"/>
          <w:sz w:val="21"/>
          <w:szCs w:val="21"/>
        </w:rPr>
        <w:t>（3）《节能产品政府采购品目清单》见财政部、发展改革委《关于印发节能产品政府采购品目清单的通知》（财库〔2019〕19号）附件。</w:t>
      </w:r>
    </w:p>
    <w:p w14:paraId="60CA6F26">
      <w:pPr>
        <w:spacing w:line="360" w:lineRule="auto"/>
        <w:ind w:firstLine="525" w:firstLineChars="250"/>
        <w:rPr>
          <w:rFonts w:hint="eastAsia" w:ascii="宋体" w:hAnsi="宋体"/>
          <w:sz w:val="21"/>
          <w:szCs w:val="21"/>
        </w:rPr>
      </w:pPr>
      <w:r>
        <w:rPr>
          <w:rFonts w:hint="eastAsia" w:ascii="宋体" w:hAnsi="宋体"/>
          <w:sz w:val="21"/>
          <w:szCs w:val="21"/>
        </w:rPr>
        <w:t>（4）《环境标志产品政府采购品目清单》见财政部、生态环境部《关于印发环境标志产品政府采购品目清单的通知》（财库〔2019〕18号）附件。</w:t>
      </w:r>
    </w:p>
    <w:p w14:paraId="4D931F02">
      <w:pPr>
        <w:spacing w:line="360" w:lineRule="auto"/>
        <w:ind w:firstLine="525" w:firstLineChars="250"/>
        <w:rPr>
          <w:rFonts w:hint="eastAsia" w:ascii="宋体" w:hAnsi="宋体"/>
          <w:sz w:val="21"/>
          <w:szCs w:val="21"/>
        </w:rPr>
      </w:pPr>
      <w:r>
        <w:rPr>
          <w:rFonts w:hint="eastAsia" w:ascii="宋体" w:hAnsi="宋体"/>
          <w:sz w:val="21"/>
          <w:szCs w:val="21"/>
        </w:rPr>
        <w:t>（5）“国家确定的认证机构”名单见市场监管总局《关于发布参与实施政府采购节能产品、环境标志产品认证机构名录的公告》（2019年第16号）。</w:t>
      </w:r>
    </w:p>
    <w:p w14:paraId="5191EB58">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.3陕西省中小企业政府采购信用融资办法</w:t>
      </w:r>
    </w:p>
    <w:p w14:paraId="171C8BE5">
      <w:pPr>
        <w:spacing w:line="360" w:lineRule="auto"/>
        <w:ind w:firstLine="525" w:firstLineChars="250"/>
        <w:rPr>
          <w:rFonts w:hint="eastAsia" w:ascii="宋体" w:hAnsi="宋体"/>
          <w:sz w:val="21"/>
          <w:szCs w:val="21"/>
          <w:highlight w:val="none"/>
        </w:rPr>
      </w:pPr>
      <w:r>
        <w:rPr>
          <w:rFonts w:hint="eastAsia" w:ascii="宋体" w:hAnsi="宋体"/>
          <w:sz w:val="21"/>
          <w:szCs w:val="21"/>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B17968D">
      <w:pPr>
        <w:spacing w:line="360" w:lineRule="auto"/>
        <w:rPr>
          <w:rFonts w:ascii="宋体" w:hAnsi="宋体"/>
          <w:b/>
          <w:bCs/>
          <w:sz w:val="21"/>
          <w:szCs w:val="21"/>
        </w:rPr>
      </w:pPr>
      <w:r>
        <w:rPr>
          <w:rFonts w:hint="eastAsia" w:ascii="宋体" w:hAnsi="宋体"/>
          <w:b/>
          <w:bCs/>
          <w:sz w:val="21"/>
          <w:szCs w:val="21"/>
        </w:rPr>
        <w:t>1.1</w:t>
      </w:r>
      <w:r>
        <w:rPr>
          <w:rFonts w:hint="eastAsia" w:ascii="宋体" w:hAnsi="宋体"/>
          <w:b/>
          <w:bCs/>
          <w:sz w:val="21"/>
          <w:szCs w:val="21"/>
          <w:lang w:val="en-US" w:eastAsia="zh-CN"/>
        </w:rPr>
        <w:t>4</w:t>
      </w:r>
      <w:r>
        <w:rPr>
          <w:rFonts w:hint="eastAsia" w:ascii="宋体" w:hAnsi="宋体"/>
          <w:b/>
          <w:bCs/>
          <w:sz w:val="21"/>
          <w:szCs w:val="21"/>
        </w:rPr>
        <w:t>相同品牌认定</w:t>
      </w:r>
    </w:p>
    <w:p w14:paraId="237B2F97">
      <w:pPr>
        <w:autoSpaceDE w:val="0"/>
        <w:autoSpaceDN w:val="0"/>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hint="eastAsia" w:ascii="宋体" w:hAnsi="宋体"/>
          <w:sz w:val="21"/>
          <w:szCs w:val="21"/>
          <w:lang w:eastAsia="zh-CN"/>
        </w:rPr>
        <w:t>（</w:t>
      </w:r>
      <w:r>
        <w:rPr>
          <w:rFonts w:hint="eastAsia" w:ascii="宋体" w:hAnsi="宋体"/>
          <w:sz w:val="21"/>
          <w:szCs w:val="21"/>
          <w:lang w:val="en-US" w:eastAsia="zh-CN"/>
        </w:rPr>
        <w:t>根据报价由低到高的方式，如报价相同</w:t>
      </w:r>
      <w:r>
        <w:rPr>
          <w:rFonts w:hint="eastAsia" w:ascii="宋体" w:hAnsi="宋体"/>
          <w:sz w:val="21"/>
          <w:szCs w:val="21"/>
        </w:rPr>
        <w:t>采取随机抽取方式</w:t>
      </w:r>
      <w:r>
        <w:rPr>
          <w:rFonts w:hint="eastAsia" w:ascii="宋体" w:hAnsi="宋体"/>
          <w:sz w:val="21"/>
          <w:szCs w:val="21"/>
          <w:lang w:eastAsia="zh-CN"/>
        </w:rPr>
        <w:t>）</w:t>
      </w:r>
      <w:r>
        <w:rPr>
          <w:rFonts w:hint="eastAsia" w:ascii="宋体" w:hAnsi="宋体"/>
          <w:sz w:val="21"/>
          <w:szCs w:val="21"/>
        </w:rPr>
        <w:t>确定一个投标人获得中标人推荐资格，招标文件未规定的采取随机抽取方式确定，其他同品牌投标人不作为中标候选人。</w:t>
      </w:r>
    </w:p>
    <w:p w14:paraId="23D963CB">
      <w:pPr>
        <w:pStyle w:val="3"/>
        <w:bidi w:val="0"/>
        <w:ind w:left="0" w:firstLine="0"/>
        <w:rPr>
          <w:rFonts w:hint="eastAsia" w:ascii="宋体" w:hAnsi="宋体" w:eastAsia="宋体"/>
          <w:sz w:val="22"/>
          <w:szCs w:val="16"/>
        </w:rPr>
      </w:pPr>
      <w:r>
        <w:rPr>
          <w:rFonts w:hint="eastAsia" w:ascii="宋体" w:hAnsi="宋体" w:eastAsia="宋体"/>
          <w:sz w:val="22"/>
          <w:szCs w:val="16"/>
        </w:rPr>
        <w:t>二、招标文件</w:t>
      </w:r>
      <w:bookmarkEnd w:id="8"/>
      <w:bookmarkEnd w:id="9"/>
      <w:bookmarkEnd w:id="10"/>
      <w:bookmarkEnd w:id="11"/>
      <w:bookmarkEnd w:id="12"/>
      <w:bookmarkEnd w:id="13"/>
      <w:bookmarkEnd w:id="14"/>
    </w:p>
    <w:p w14:paraId="778FBED3">
      <w:pPr>
        <w:spacing w:line="360" w:lineRule="auto"/>
        <w:ind w:firstLine="420" w:firstLineChars="200"/>
        <w:jc w:val="left"/>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招标文件的构成</w:t>
      </w:r>
    </w:p>
    <w:p w14:paraId="76934332">
      <w:pPr>
        <w:spacing w:line="360" w:lineRule="auto"/>
        <w:ind w:firstLine="420" w:firstLineChars="200"/>
        <w:jc w:val="left"/>
        <w:rPr>
          <w:rFonts w:ascii="宋体" w:hAnsi="宋体" w:cs="宋体"/>
          <w:szCs w:val="21"/>
        </w:rPr>
      </w:pPr>
      <w:r>
        <w:rPr>
          <w:rFonts w:hint="eastAsia" w:ascii="宋体" w:hAnsi="宋体" w:cs="宋体"/>
          <w:szCs w:val="21"/>
          <w:lang w:val="en-US" w:eastAsia="zh-CN"/>
        </w:rPr>
        <w:t>2.1.1</w:t>
      </w:r>
      <w:r>
        <w:rPr>
          <w:rFonts w:hint="eastAsia" w:ascii="宋体" w:hAnsi="宋体" w:cs="宋体"/>
          <w:szCs w:val="21"/>
        </w:rPr>
        <w:t>招标文件包括下列内容：</w:t>
      </w:r>
    </w:p>
    <w:p w14:paraId="591390D3">
      <w:pPr>
        <w:spacing w:line="360" w:lineRule="auto"/>
        <w:ind w:firstLine="420" w:firstLineChars="200"/>
        <w:jc w:val="left"/>
        <w:rPr>
          <w:rFonts w:ascii="宋体" w:hAnsi="宋体" w:cs="宋体"/>
          <w:szCs w:val="21"/>
        </w:rPr>
      </w:pPr>
      <w:r>
        <w:rPr>
          <w:rFonts w:hint="eastAsia" w:ascii="宋体" w:hAnsi="宋体" w:cs="宋体"/>
          <w:szCs w:val="21"/>
        </w:rPr>
        <w:t>第一章  招标公告</w:t>
      </w:r>
    </w:p>
    <w:p w14:paraId="5946D24E">
      <w:pPr>
        <w:spacing w:line="360" w:lineRule="auto"/>
        <w:ind w:firstLine="420" w:firstLineChars="200"/>
        <w:jc w:val="left"/>
        <w:rPr>
          <w:rFonts w:ascii="宋体" w:hAnsi="宋体" w:cs="宋体"/>
          <w:szCs w:val="21"/>
        </w:rPr>
      </w:pPr>
      <w:r>
        <w:rPr>
          <w:rFonts w:hint="eastAsia" w:ascii="宋体" w:hAnsi="宋体" w:cs="宋体"/>
          <w:szCs w:val="21"/>
        </w:rPr>
        <w:t>第二章  投标人须知</w:t>
      </w:r>
    </w:p>
    <w:p w14:paraId="41A90185">
      <w:pPr>
        <w:spacing w:line="360" w:lineRule="auto"/>
        <w:ind w:firstLine="420" w:firstLineChars="200"/>
        <w:jc w:val="left"/>
        <w:rPr>
          <w:rFonts w:ascii="宋体" w:hAnsi="宋体" w:cs="宋体"/>
          <w:szCs w:val="21"/>
        </w:rPr>
      </w:pPr>
      <w:r>
        <w:rPr>
          <w:rFonts w:hint="eastAsia" w:ascii="宋体" w:hAnsi="宋体" w:cs="宋体"/>
          <w:szCs w:val="21"/>
        </w:rPr>
        <w:t>第三章  评标标准及方法</w:t>
      </w:r>
    </w:p>
    <w:p w14:paraId="487418B8">
      <w:pPr>
        <w:spacing w:line="360" w:lineRule="auto"/>
        <w:ind w:firstLine="420" w:firstLineChars="200"/>
        <w:jc w:val="left"/>
        <w:rPr>
          <w:rFonts w:ascii="宋体" w:hAnsi="宋体" w:cs="宋体"/>
          <w:szCs w:val="21"/>
        </w:rPr>
      </w:pPr>
      <w:r>
        <w:rPr>
          <w:rFonts w:hint="eastAsia" w:ascii="宋体" w:hAnsi="宋体" w:cs="宋体"/>
          <w:szCs w:val="21"/>
        </w:rPr>
        <w:t>第四章  采购内容及要求</w:t>
      </w:r>
    </w:p>
    <w:p w14:paraId="0653D9A3">
      <w:pPr>
        <w:spacing w:line="360" w:lineRule="auto"/>
        <w:ind w:firstLine="420" w:firstLineChars="200"/>
        <w:jc w:val="left"/>
        <w:rPr>
          <w:rFonts w:ascii="宋体" w:hAnsi="宋体" w:cs="宋体"/>
          <w:szCs w:val="21"/>
        </w:rPr>
      </w:pPr>
      <w:r>
        <w:rPr>
          <w:rFonts w:hint="eastAsia" w:ascii="宋体" w:hAnsi="宋体" w:cs="宋体"/>
          <w:szCs w:val="21"/>
        </w:rPr>
        <w:t>第五章  合同条款</w:t>
      </w:r>
    </w:p>
    <w:p w14:paraId="39F2E927">
      <w:pPr>
        <w:spacing w:line="360" w:lineRule="auto"/>
        <w:ind w:firstLine="420" w:firstLineChars="200"/>
        <w:jc w:val="left"/>
        <w:rPr>
          <w:rFonts w:hint="eastAsia" w:ascii="宋体" w:hAnsi="宋体" w:cs="宋体"/>
          <w:szCs w:val="21"/>
        </w:rPr>
      </w:pPr>
      <w:r>
        <w:rPr>
          <w:rFonts w:hint="eastAsia" w:ascii="宋体" w:hAnsi="宋体" w:cs="宋体"/>
          <w:szCs w:val="21"/>
        </w:rPr>
        <w:t>第六章  投标文件格式</w:t>
      </w:r>
    </w:p>
    <w:p w14:paraId="747E5FC8">
      <w:pPr>
        <w:bidi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第七章  质疑和投诉</w:t>
      </w:r>
    </w:p>
    <w:p w14:paraId="4B765A7B">
      <w:pPr>
        <w:spacing w:line="360" w:lineRule="auto"/>
        <w:ind w:firstLine="420" w:firstLineChars="200"/>
        <w:jc w:val="left"/>
        <w:rPr>
          <w:rFonts w:ascii="宋体" w:hAnsi="宋体" w:cs="宋体"/>
          <w:szCs w:val="21"/>
        </w:rPr>
      </w:pPr>
      <w:r>
        <w:rPr>
          <w:rFonts w:hint="eastAsia" w:ascii="宋体" w:hAnsi="宋体" w:cs="宋体"/>
          <w:szCs w:val="21"/>
        </w:rPr>
        <w:t>2.1.2</w:t>
      </w:r>
      <w:r>
        <w:rPr>
          <w:rFonts w:hint="eastAsia" w:ascii="宋体" w:hAnsi="宋体" w:cs="宋体"/>
          <w:szCs w:val="21"/>
          <w:lang w:eastAsia="zh-CN"/>
        </w:rPr>
        <w:t>采购代理机构</w:t>
      </w:r>
      <w:r>
        <w:rPr>
          <w:rFonts w:hint="eastAsia" w:ascii="宋体" w:hAnsi="宋体" w:cs="宋体"/>
          <w:szCs w:val="21"/>
        </w:rPr>
        <w:t>以书面形式发给投标人的解释、修改、补充通知等也是本招标文件的正式组成部分。</w:t>
      </w:r>
    </w:p>
    <w:p w14:paraId="723120F9">
      <w:pPr>
        <w:spacing w:line="360" w:lineRule="auto"/>
        <w:ind w:firstLine="420" w:firstLineChars="200"/>
        <w:jc w:val="left"/>
        <w:rPr>
          <w:rFonts w:hint="eastAsia" w:ascii="宋体" w:hAnsi="宋体" w:cs="宋体"/>
          <w:szCs w:val="21"/>
        </w:rPr>
      </w:pPr>
      <w:bookmarkStart w:id="27" w:name="_Toc52064292"/>
      <w:bookmarkStart w:id="28" w:name="_Toc48301700"/>
      <w:bookmarkStart w:id="29" w:name="_Toc52064835"/>
      <w:r>
        <w:rPr>
          <w:rFonts w:hint="eastAsia" w:ascii="宋体" w:hAnsi="宋体" w:cs="宋体"/>
          <w:szCs w:val="21"/>
        </w:rPr>
        <w:t>2.2招标文件澄清或者修改</w:t>
      </w:r>
      <w:bookmarkEnd w:id="27"/>
      <w:bookmarkEnd w:id="28"/>
      <w:bookmarkEnd w:id="29"/>
    </w:p>
    <w:p w14:paraId="674EFA65">
      <w:pPr>
        <w:spacing w:line="360" w:lineRule="auto"/>
        <w:ind w:firstLine="420" w:firstLineChars="200"/>
        <w:jc w:val="left"/>
        <w:rPr>
          <w:rFonts w:hint="eastAsia" w:ascii="宋体" w:hAnsi="宋体" w:cs="宋体"/>
          <w:szCs w:val="21"/>
        </w:rPr>
      </w:pPr>
      <w:r>
        <w:rPr>
          <w:rFonts w:hint="eastAsia" w:ascii="宋体" w:hAnsi="宋体" w:cs="宋体"/>
          <w:szCs w:val="21"/>
        </w:rPr>
        <w:t>2.2.1采购代理机构可以对已发出的招标文件进行必要澄清和修改，但不得改变采购标的和资格条件。澄清或者修改应当在原公告发布媒体上发布澄清公告。澄清或修改的内容为招标文件组成部分。</w:t>
      </w:r>
    </w:p>
    <w:p w14:paraId="716B1C7F">
      <w:pPr>
        <w:spacing w:line="360" w:lineRule="auto"/>
        <w:ind w:firstLine="420" w:firstLineChars="200"/>
        <w:jc w:val="left"/>
        <w:rPr>
          <w:rFonts w:hint="eastAsia" w:ascii="宋体" w:hAnsi="宋体" w:cs="宋体"/>
          <w:szCs w:val="21"/>
        </w:rPr>
      </w:pPr>
      <w:r>
        <w:rPr>
          <w:rFonts w:hint="eastAsia" w:ascii="宋体" w:hAnsi="宋体" w:cs="宋体"/>
          <w:szCs w:val="21"/>
        </w:rPr>
        <w:t>2.2.2澄清或者修改的内容可能影响投标文件编制的，采购代理机构应当在投标截止时间至少15日前，以书面形式或者电子邮件通知所有获取招标文件的潜在投标人；不足15日的，采购代理机构应当顺延提交投标文件的截止时间。</w:t>
      </w:r>
    </w:p>
    <w:p w14:paraId="552DF957">
      <w:pPr>
        <w:spacing w:line="360" w:lineRule="auto"/>
        <w:ind w:firstLine="420" w:firstLineChars="200"/>
        <w:jc w:val="left"/>
        <w:rPr>
          <w:rFonts w:hint="eastAsia" w:ascii="宋体" w:hAnsi="宋体" w:cs="宋体"/>
          <w:szCs w:val="21"/>
        </w:rPr>
      </w:pPr>
      <w:r>
        <w:rPr>
          <w:rFonts w:hint="eastAsia" w:ascii="宋体" w:hAnsi="宋体" w:cs="宋体"/>
          <w:szCs w:val="21"/>
        </w:rPr>
        <w:t>2.2.3获取招标文件的潜在投标人在投标截止时间15日前收到的澄清或者修改，要求潜在投标人以书面或电子邮件形式回复和盖章确认，方式为原件送达采购代理机构或者盖章后的PDF格式文档通过电子邮件回复至代理机构规定的邮箱地址。招标文件澄清或者修改的书面或电子邮件通知与潜在投标人预留的联系方式无法联系或发送，或者潜在投标人对已发出的招标文件澄清或者修改的书面或电子邮件通知未以书面或电子邮件形式按照要求回复和确认的，采购代理机构视同潜在投标人对招标文件澄清或者修改的书面或电子邮件通知已经认可。</w:t>
      </w:r>
    </w:p>
    <w:p w14:paraId="10095122">
      <w:pPr>
        <w:pStyle w:val="3"/>
        <w:bidi w:val="0"/>
        <w:ind w:left="0" w:firstLine="0"/>
        <w:rPr>
          <w:rFonts w:hint="eastAsia" w:ascii="宋体" w:hAnsi="宋体" w:eastAsia="宋体"/>
          <w:sz w:val="22"/>
          <w:szCs w:val="16"/>
        </w:rPr>
      </w:pPr>
      <w:bookmarkStart w:id="30" w:name="_Toc67552689"/>
      <w:bookmarkStart w:id="31" w:name="_Toc54404816"/>
      <w:bookmarkStart w:id="32" w:name="_Toc14169"/>
      <w:bookmarkStart w:id="33" w:name="_Toc269407613"/>
      <w:bookmarkStart w:id="34" w:name="_Toc250572265"/>
      <w:bookmarkStart w:id="35" w:name="_Toc235544704"/>
      <w:bookmarkStart w:id="36" w:name="_Toc238899379"/>
      <w:r>
        <w:rPr>
          <w:rFonts w:hint="eastAsia" w:ascii="宋体" w:hAnsi="宋体" w:eastAsia="宋体"/>
          <w:sz w:val="22"/>
          <w:szCs w:val="16"/>
        </w:rPr>
        <w:t>三、投标文件</w:t>
      </w:r>
      <w:bookmarkEnd w:id="30"/>
      <w:bookmarkEnd w:id="31"/>
      <w:bookmarkEnd w:id="32"/>
      <w:bookmarkEnd w:id="33"/>
      <w:bookmarkEnd w:id="34"/>
      <w:bookmarkEnd w:id="35"/>
      <w:bookmarkEnd w:id="36"/>
    </w:p>
    <w:p w14:paraId="6B3B8356">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投标要求</w:t>
      </w:r>
    </w:p>
    <w:p w14:paraId="2235D050">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.1 投标人获取招标文件后，应仔细检查招标文件的所有内容，如有残缺、印刷不清等问题应在获得招标文件2日内向</w:t>
      </w:r>
      <w:r>
        <w:rPr>
          <w:rFonts w:hint="eastAsia" w:ascii="宋体" w:hAnsi="宋体" w:cs="宋体"/>
          <w:szCs w:val="21"/>
          <w:lang w:eastAsia="zh-CN"/>
        </w:rPr>
        <w:t>采购代理机构</w:t>
      </w:r>
      <w:r>
        <w:rPr>
          <w:rFonts w:hint="eastAsia" w:ascii="宋体" w:hAnsi="宋体" w:cs="宋体"/>
          <w:szCs w:val="21"/>
        </w:rPr>
        <w:t>提出，否则，由此引起的损失由投标人自行承担。投标人同时应认真阅读招标文件中的所有内容、格式、条款和规范要求，按招标文件的要求编写和提交投标文件，并保证所提供的全部资料的真实性。若投标人的投标文件没有按招标文件要求提交，或投标文件没有对招标文件作出实质性的响应等，根据相关条款规定其投标可能被拒绝。</w:t>
      </w:r>
    </w:p>
    <w:p w14:paraId="3F23C84D">
      <w:pPr>
        <w:spacing w:line="360" w:lineRule="auto"/>
        <w:ind w:firstLine="420" w:firstLineChars="200"/>
        <w:jc w:val="left"/>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投标文件的组成</w:t>
      </w:r>
    </w:p>
    <w:p w14:paraId="47D302D6">
      <w:pPr>
        <w:spacing w:line="360" w:lineRule="auto"/>
        <w:ind w:firstLine="420" w:firstLineChars="200"/>
        <w:jc w:val="left"/>
        <w:rPr>
          <w:rFonts w:ascii="宋体" w:hAnsi="宋体" w:cs="宋体"/>
          <w:szCs w:val="21"/>
        </w:rPr>
      </w:pPr>
      <w:r>
        <w:rPr>
          <w:rFonts w:hint="eastAsia" w:ascii="宋体" w:hAnsi="宋体" w:cs="宋体"/>
          <w:szCs w:val="21"/>
        </w:rPr>
        <w:t>投标文件由以下内容、并按顺序以及提供的格式（如有）组成：</w:t>
      </w:r>
    </w:p>
    <w:p w14:paraId="0597D37F">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  投标函</w:t>
      </w:r>
    </w:p>
    <w:p w14:paraId="57F01B5A">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二  </w:t>
      </w:r>
      <w:r>
        <w:rPr>
          <w:rFonts w:hint="eastAsia" w:ascii="宋体" w:hAnsi="宋体" w:cs="宋体"/>
          <w:szCs w:val="21"/>
          <w:highlight w:val="none"/>
          <w:lang w:val="en-US" w:eastAsia="zh-CN"/>
        </w:rPr>
        <w:t>开标一览表</w:t>
      </w:r>
    </w:p>
    <w:p w14:paraId="6B4FFB2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三  投标人资格</w:t>
      </w:r>
    </w:p>
    <w:p w14:paraId="178800D7">
      <w:pPr>
        <w:spacing w:line="360" w:lineRule="auto"/>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 xml:space="preserve">四  </w:t>
      </w:r>
      <w:r>
        <w:rPr>
          <w:rFonts w:hint="eastAsia" w:ascii="宋体" w:hAnsi="宋体" w:cs="宋体"/>
          <w:bCs/>
          <w:szCs w:val="21"/>
          <w:highlight w:val="none"/>
          <w:lang w:val="en-US" w:eastAsia="zh-CN"/>
        </w:rPr>
        <w:t>投标方案</w:t>
      </w:r>
    </w:p>
    <w:p w14:paraId="1D869758">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val="en-US" w:eastAsia="zh-CN"/>
        </w:rPr>
        <w:t>五</w:t>
      </w:r>
      <w:r>
        <w:rPr>
          <w:rFonts w:hint="eastAsia" w:ascii="宋体" w:hAnsi="宋体" w:cs="宋体"/>
          <w:bCs/>
          <w:szCs w:val="21"/>
          <w:highlight w:val="none"/>
        </w:rPr>
        <w:t xml:space="preserve">  商务响应</w:t>
      </w:r>
    </w:p>
    <w:p w14:paraId="7B0B5A7A">
      <w:pPr>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lang w:val="en-US" w:eastAsia="zh-CN"/>
        </w:rPr>
        <w:t>六</w:t>
      </w:r>
      <w:r>
        <w:rPr>
          <w:rFonts w:hint="eastAsia" w:ascii="宋体" w:hAnsi="宋体" w:cs="宋体"/>
          <w:bCs/>
          <w:szCs w:val="21"/>
          <w:highlight w:val="none"/>
        </w:rPr>
        <w:t xml:space="preserve">  其他资料</w:t>
      </w:r>
    </w:p>
    <w:p w14:paraId="4A24D65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投标文件格式</w:t>
      </w:r>
    </w:p>
    <w:p w14:paraId="2A2049F0">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.1 投标人提供的投标文件应设置目录且逐页标注页码。</w:t>
      </w:r>
    </w:p>
    <w:p w14:paraId="0B6DF60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.2 投标人应严格按招标文件中提供的投标文件格式填写投标函、技术要求响应表、投标报价清单等。</w:t>
      </w:r>
    </w:p>
    <w:p w14:paraId="6A29D189">
      <w:pPr>
        <w:spacing w:line="360" w:lineRule="auto"/>
        <w:ind w:firstLine="420" w:firstLineChars="200"/>
        <w:jc w:val="left"/>
        <w:rPr>
          <w:rFonts w:ascii="宋体" w:hAnsi="宋体" w:cs="宋体"/>
          <w:szCs w:val="21"/>
        </w:rPr>
      </w:pPr>
      <w:r>
        <w:rPr>
          <w:rFonts w:hint="eastAsia" w:ascii="宋体" w:hAnsi="宋体" w:cs="宋体"/>
          <w:szCs w:val="21"/>
          <w:lang w:val="en-US" w:eastAsia="zh-CN"/>
        </w:rPr>
        <w:t>3.4</w:t>
      </w:r>
      <w:r>
        <w:rPr>
          <w:rFonts w:hint="eastAsia" w:ascii="宋体" w:hAnsi="宋体" w:cs="宋体"/>
          <w:szCs w:val="21"/>
        </w:rPr>
        <w:t xml:space="preserve"> 投标报价</w:t>
      </w:r>
    </w:p>
    <w:p w14:paraId="41C1B41A">
      <w:pPr>
        <w:spacing w:line="360" w:lineRule="auto"/>
        <w:ind w:firstLine="420" w:firstLineChars="200"/>
        <w:jc w:val="left"/>
        <w:rPr>
          <w:rFonts w:hint="eastAsia" w:ascii="宋体" w:hAnsi="宋体" w:cs="宋体"/>
          <w:szCs w:val="21"/>
        </w:rPr>
      </w:pPr>
      <w:r>
        <w:rPr>
          <w:rFonts w:hint="eastAsia" w:ascii="宋体" w:hAnsi="宋体" w:cs="宋体"/>
          <w:szCs w:val="21"/>
        </w:rPr>
        <w:t>3.4.1自主填报，但不得超出本项目的采购预算。如超出将按照无效投标处理。</w:t>
      </w:r>
    </w:p>
    <w:p w14:paraId="6A37A999">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val="en-US" w:eastAsia="zh-CN"/>
        </w:rPr>
        <w:t>投标报价包括本项目采购需求和投入使用的所有费用。</w:t>
      </w:r>
      <w:r>
        <w:rPr>
          <w:rFonts w:hint="eastAsia" w:ascii="宋体" w:hAnsi="宋体" w:cs="宋体"/>
          <w:szCs w:val="21"/>
        </w:rPr>
        <w:t>包括但不限于：直接费、间接费等相关的一切费用。</w:t>
      </w:r>
    </w:p>
    <w:p w14:paraId="17E33C30">
      <w:pPr>
        <w:spacing w:line="360" w:lineRule="auto"/>
        <w:ind w:firstLine="420" w:firstLineChars="200"/>
        <w:jc w:val="left"/>
        <w:rPr>
          <w:rFonts w:hint="eastAsia" w:ascii="宋体" w:hAnsi="宋体" w:cs="宋体"/>
          <w:szCs w:val="21"/>
        </w:rPr>
      </w:pPr>
      <w:r>
        <w:rPr>
          <w:rFonts w:hint="eastAsia" w:ascii="宋体" w:hAnsi="宋体" w:cs="宋体"/>
          <w:szCs w:val="21"/>
        </w:rPr>
        <w:t>投标人应充分考虑各种费用、市场风险、责任、合同主要条款和付款条件等。投标报价不受市场价格变化的影响，一次包死。</w:t>
      </w:r>
    </w:p>
    <w:p w14:paraId="01E9ACC2">
      <w:pPr>
        <w:spacing w:line="360" w:lineRule="auto"/>
        <w:ind w:firstLine="420" w:firstLineChars="200"/>
        <w:jc w:val="left"/>
        <w:rPr>
          <w:rFonts w:hint="eastAsia" w:ascii="宋体" w:hAnsi="宋体" w:cs="宋体"/>
          <w:szCs w:val="21"/>
        </w:rPr>
      </w:pPr>
      <w:r>
        <w:rPr>
          <w:rFonts w:hint="eastAsia" w:ascii="宋体" w:hAnsi="宋体" w:cs="宋体"/>
          <w:szCs w:val="21"/>
        </w:rPr>
        <w:t>3.4.2 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316E14A9">
      <w:pPr>
        <w:spacing w:line="360" w:lineRule="auto"/>
        <w:ind w:firstLine="420" w:firstLineChars="200"/>
        <w:jc w:val="left"/>
        <w:rPr>
          <w:rFonts w:hint="eastAsia" w:ascii="宋体" w:hAnsi="宋体" w:cs="宋体"/>
          <w:szCs w:val="21"/>
        </w:rPr>
      </w:pPr>
      <w:r>
        <w:rPr>
          <w:rFonts w:hint="eastAsia" w:ascii="宋体" w:hAnsi="宋体" w:cs="宋体"/>
          <w:szCs w:val="21"/>
        </w:rPr>
        <w:t>3.4.3 如果在招标文件中没有允许提供备选方案，则每个投标人只允许提交一个投标方案，否则，其投标按照无效投标处理。如果允许提供备选方案，则按照评标方法中的规定对备选方案进行评审。</w:t>
      </w:r>
    </w:p>
    <w:p w14:paraId="6DB1A56A">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投标货物符合招标文件规定的技术规格参数及其他要求。</w:t>
      </w:r>
    </w:p>
    <w:p w14:paraId="79DD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.1投标人应对招标文件中的各项条款做出清晰准确的答复。</w:t>
      </w:r>
    </w:p>
    <w:p w14:paraId="01050FC9">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.2 上述文件可以是文字资料、图纸和数据，并须提供货物主要性能的详细描述。</w:t>
      </w:r>
    </w:p>
    <w:p w14:paraId="382FD47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投标保证金</w:t>
      </w:r>
    </w:p>
    <w:p w14:paraId="5BB660A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.1 投标保证金为投标文件的组成部分之一。</w:t>
      </w:r>
    </w:p>
    <w:p w14:paraId="2756C46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.2 投标人应向</w:t>
      </w:r>
      <w:r>
        <w:rPr>
          <w:rFonts w:hint="eastAsia" w:ascii="宋体" w:hAnsi="宋体" w:cs="宋体"/>
          <w:szCs w:val="21"/>
          <w:lang w:eastAsia="zh-CN"/>
        </w:rPr>
        <w:t>采购代理机构</w:t>
      </w:r>
      <w:r>
        <w:rPr>
          <w:rFonts w:hint="eastAsia" w:ascii="宋体" w:hAnsi="宋体" w:cs="宋体"/>
          <w:szCs w:val="21"/>
        </w:rPr>
        <w:t>提交投标保证金：金额见投标人须知前附表。</w:t>
      </w:r>
    </w:p>
    <w:p w14:paraId="238F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.3 投标保证金用于本次招标免受因投标人的行为而引起的风险。</w:t>
      </w:r>
    </w:p>
    <w:p w14:paraId="0340EBB8">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.4 未按前附表规定提交投标保证金的投标，将被视为投标无效。</w:t>
      </w:r>
    </w:p>
    <w:p w14:paraId="3B36633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.5 投标保证金退回时间：中标通知书发出之日起5个工作日内退还</w:t>
      </w:r>
      <w:r>
        <w:rPr>
          <w:rFonts w:hint="eastAsia" w:ascii="宋体" w:hAnsi="宋体" w:cs="宋体"/>
          <w:szCs w:val="21"/>
          <w:lang w:val="en-US" w:eastAsia="zh-CN"/>
        </w:rPr>
        <w:t>未</w:t>
      </w:r>
      <w:r>
        <w:rPr>
          <w:rFonts w:hint="eastAsia" w:ascii="宋体" w:hAnsi="宋体" w:cs="宋体"/>
          <w:szCs w:val="21"/>
        </w:rPr>
        <w:t>中标投标人的投标保证金，</w:t>
      </w:r>
      <w:r>
        <w:rPr>
          <w:rFonts w:hint="eastAsia" w:ascii="宋体" w:hAnsi="宋体" w:cs="宋体"/>
          <w:szCs w:val="21"/>
          <w:lang w:eastAsia="zh-CN"/>
        </w:rPr>
        <w:t>采购人</w:t>
      </w:r>
      <w:r>
        <w:rPr>
          <w:rFonts w:hint="eastAsia" w:ascii="宋体" w:hAnsi="宋体" w:cs="宋体"/>
          <w:szCs w:val="21"/>
        </w:rPr>
        <w:t>与中标投标人签订合同后5个工作日内退还中标投标人的投标保证金。</w:t>
      </w:r>
    </w:p>
    <w:p w14:paraId="46D131F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 如投标人有下列情况之一，将不予退还投标保证金：</w:t>
      </w:r>
    </w:p>
    <w:p w14:paraId="341712E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.6.1 开标后投标人在投标有效期内撤回投标文件的；</w:t>
      </w:r>
    </w:p>
    <w:p w14:paraId="556D26E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.6.2 中标人未能按招标文件规定签订合同的；</w:t>
      </w:r>
    </w:p>
    <w:p w14:paraId="48374CD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.6.3投标人弄虚作假、采取不正当手段骗取中标的。</w:t>
      </w:r>
    </w:p>
    <w:p w14:paraId="0C22EB00">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投标有效期</w:t>
      </w:r>
    </w:p>
    <w:p w14:paraId="015656FC">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.1 投标有效期：见投标人须知前附表。</w:t>
      </w:r>
    </w:p>
    <w:p w14:paraId="45B3BA05">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.2 特殊情况下，投标人可于投标有效期满之前要求投标人同意延长有效期，要求与答复均以书面形式。投标人可以拒绝上述要求而其投标保证金将予以退还。对于同意该要求的投标人，既不要求也不允许其修改投标文件，但将要求其相应延长投标保证金的有效期，有关退还和不予退还投标保证金的规定在投标有效期的延长期内继续有效。</w:t>
      </w:r>
    </w:p>
    <w:p w14:paraId="338736E8">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投标文件的签署及规定</w:t>
      </w:r>
    </w:p>
    <w:p w14:paraId="428D8825">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.1 投标人须按照招标文件的份数要求提供投标文件，在每一份投标文件上要明确注明“正本”、“副本”字样，正副本内容不致的，以正本为准。</w:t>
      </w:r>
    </w:p>
    <w:p w14:paraId="79EAC8F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.2 投标文件正本和副本均应使用不能擦去的墨水打印或书写，并由投标人法定代表人或其正式授权的委托代理人签署，且加盖投标人公章。</w:t>
      </w:r>
    </w:p>
    <w:p w14:paraId="566B0F2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.3 投标人除对错处作必要修改外，投标文件中不许有加行、涂抹或改写。若有修改须由投标文件</w:t>
      </w:r>
      <w:r>
        <w:rPr>
          <w:rFonts w:hint="eastAsia" w:ascii="宋体" w:hAnsi="宋体" w:cs="宋体"/>
          <w:szCs w:val="21"/>
          <w:lang w:eastAsia="zh-CN"/>
        </w:rPr>
        <w:t>法定代表人（负责人）</w:t>
      </w:r>
      <w:r>
        <w:rPr>
          <w:rFonts w:hint="eastAsia" w:ascii="宋体" w:hAnsi="宋体" w:cs="宋体"/>
          <w:szCs w:val="21"/>
        </w:rPr>
        <w:t>或其委托代理人签字。</w:t>
      </w:r>
    </w:p>
    <w:p w14:paraId="2CE5D732">
      <w:pPr>
        <w:spacing w:line="360" w:lineRule="auto"/>
        <w:ind w:firstLine="420" w:firstLineChars="200"/>
        <w:jc w:val="left"/>
        <w:rPr>
          <w:rFonts w:ascii="宋体" w:hAnsi="宋体" w:cs="宋体"/>
          <w:b/>
          <w:bCs/>
          <w:szCs w:val="21"/>
        </w:rPr>
      </w:pPr>
      <w:r>
        <w:rPr>
          <w:rFonts w:hint="eastAsia" w:ascii="宋体" w:hAnsi="宋体" w:cs="宋体"/>
          <w:szCs w:val="21"/>
          <w:lang w:val="en-US" w:eastAsia="zh-CN"/>
        </w:rPr>
        <w:t>3.8</w:t>
      </w:r>
      <w:r>
        <w:rPr>
          <w:rFonts w:hint="eastAsia" w:ascii="宋体" w:hAnsi="宋体" w:cs="宋体"/>
          <w:szCs w:val="21"/>
        </w:rPr>
        <w:t>.4 以电报、电话、传真、电子邮件等形式投标概不接受。</w:t>
      </w:r>
      <w:bookmarkStart w:id="37" w:name="_Toc67552690"/>
      <w:bookmarkStart w:id="38" w:name="_Toc238899380"/>
      <w:bookmarkStart w:id="39" w:name="_Toc250572266"/>
      <w:bookmarkStart w:id="40" w:name="_Toc12453"/>
      <w:bookmarkStart w:id="41" w:name="_Toc54404817"/>
      <w:bookmarkStart w:id="42" w:name="_Toc269407614"/>
      <w:bookmarkStart w:id="43" w:name="_Toc235544705"/>
    </w:p>
    <w:p w14:paraId="62219470">
      <w:pPr>
        <w:pStyle w:val="3"/>
        <w:bidi w:val="0"/>
        <w:ind w:left="0" w:firstLine="0"/>
        <w:rPr>
          <w:rFonts w:hint="eastAsia" w:ascii="宋体" w:hAnsi="宋体" w:eastAsia="宋体"/>
          <w:sz w:val="22"/>
          <w:szCs w:val="16"/>
        </w:rPr>
      </w:pPr>
      <w:r>
        <w:rPr>
          <w:rFonts w:hint="eastAsia" w:ascii="宋体" w:hAnsi="宋体" w:eastAsia="宋体"/>
          <w:sz w:val="22"/>
          <w:szCs w:val="16"/>
        </w:rPr>
        <w:t>四、投标文件的递交</w:t>
      </w:r>
      <w:bookmarkEnd w:id="37"/>
      <w:bookmarkEnd w:id="38"/>
      <w:bookmarkEnd w:id="39"/>
      <w:bookmarkEnd w:id="40"/>
      <w:bookmarkEnd w:id="41"/>
      <w:bookmarkEnd w:id="42"/>
      <w:bookmarkEnd w:id="43"/>
    </w:p>
    <w:p w14:paraId="060BD26F">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投标文件的密封、标记</w:t>
      </w:r>
    </w:p>
    <w:p w14:paraId="43320F50">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.1 投标人应将正、副本分别装订，密封包装，密封袋上标明的内容见投标人须知前附表，并在密封袋封口处加盖投标人公章。</w:t>
      </w:r>
    </w:p>
    <w:p w14:paraId="32BC4041">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.2 如果未按上述规定进行密封和标记，</w:t>
      </w:r>
      <w:r>
        <w:rPr>
          <w:rFonts w:hint="eastAsia" w:ascii="宋体" w:hAnsi="宋体" w:cs="宋体"/>
          <w:szCs w:val="21"/>
          <w:lang w:eastAsia="zh-CN"/>
        </w:rPr>
        <w:t>采购人</w:t>
      </w:r>
      <w:r>
        <w:rPr>
          <w:rFonts w:hint="eastAsia" w:ascii="宋体" w:hAnsi="宋体" w:cs="宋体"/>
          <w:szCs w:val="21"/>
        </w:rPr>
        <w:t>可以拒收或者告知投标人，</w:t>
      </w:r>
      <w:r>
        <w:rPr>
          <w:rFonts w:hint="eastAsia" w:ascii="宋体" w:hAnsi="宋体" w:cs="宋体"/>
          <w:szCs w:val="21"/>
          <w:lang w:eastAsia="zh-CN"/>
        </w:rPr>
        <w:t>采购人</w:t>
      </w:r>
      <w:r>
        <w:rPr>
          <w:rFonts w:hint="eastAsia" w:ascii="宋体" w:hAnsi="宋体" w:cs="宋体"/>
          <w:szCs w:val="21"/>
        </w:rPr>
        <w:t>将不承担投标文件错放、提前开封、泄露商业机密等任何责任。对于提前开封的投标文件将视为投标无效。</w:t>
      </w:r>
    </w:p>
    <w:p w14:paraId="07B88268">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递交投标文件的截止时间</w:t>
      </w:r>
    </w:p>
    <w:p w14:paraId="569DCD0A">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.1 投标文件由专人提交，投标人应将投标文件按投标人须知的规定进行密封和标记，按投标人须知前附表要求的时间、地点送交</w:t>
      </w:r>
      <w:r>
        <w:rPr>
          <w:rFonts w:hint="eastAsia" w:ascii="宋体" w:hAnsi="宋体" w:cs="宋体"/>
          <w:szCs w:val="21"/>
          <w:lang w:eastAsia="zh-CN"/>
        </w:rPr>
        <w:t>采购代理机构</w:t>
      </w:r>
      <w:r>
        <w:rPr>
          <w:rFonts w:hint="eastAsia" w:ascii="宋体" w:hAnsi="宋体" w:cs="宋体"/>
          <w:szCs w:val="21"/>
        </w:rPr>
        <w:t>，超过规定时限送交的投标文件，</w:t>
      </w:r>
      <w:r>
        <w:rPr>
          <w:rFonts w:hint="eastAsia" w:ascii="宋体" w:hAnsi="宋体" w:cs="宋体"/>
          <w:szCs w:val="21"/>
          <w:lang w:eastAsia="zh-CN"/>
        </w:rPr>
        <w:t>采购人</w:t>
      </w:r>
      <w:r>
        <w:rPr>
          <w:rFonts w:hint="eastAsia" w:ascii="宋体" w:hAnsi="宋体" w:cs="宋体"/>
          <w:szCs w:val="21"/>
        </w:rPr>
        <w:t>将不予接收。</w:t>
      </w:r>
    </w:p>
    <w:p w14:paraId="5D8E1BCC">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 xml:space="preserve">.2 </w:t>
      </w:r>
      <w:r>
        <w:rPr>
          <w:rFonts w:hint="eastAsia" w:ascii="宋体" w:hAnsi="宋体" w:cs="宋体"/>
          <w:szCs w:val="21"/>
          <w:lang w:eastAsia="zh-CN"/>
        </w:rPr>
        <w:t>采购人</w:t>
      </w:r>
      <w:r>
        <w:rPr>
          <w:rFonts w:hint="eastAsia" w:ascii="宋体" w:hAnsi="宋体" w:cs="宋体"/>
          <w:szCs w:val="21"/>
        </w:rPr>
        <w:t>可以以修改补充通知的方式，酌情延长提交投标文件的截止时间。在此情况下，投标人的所有权利和义务以及投标人受制约的截止时间，均以延长后新的投标截止时间为准。</w:t>
      </w:r>
    </w:p>
    <w:p w14:paraId="392D8A0A">
      <w:pPr>
        <w:spacing w:line="360" w:lineRule="auto"/>
        <w:ind w:firstLine="420" w:firstLineChars="200"/>
        <w:jc w:val="left"/>
        <w:rPr>
          <w:rFonts w:ascii="宋体" w:hAnsi="宋体" w:cs="宋体"/>
          <w:szCs w:val="21"/>
        </w:rPr>
      </w:pPr>
      <w:r>
        <w:rPr>
          <w:rFonts w:hint="eastAsia" w:ascii="宋体" w:hAnsi="宋体" w:cs="宋体"/>
          <w:szCs w:val="21"/>
          <w:lang w:val="en-US" w:eastAsia="zh-CN"/>
        </w:rPr>
        <w:t>4.3</w:t>
      </w:r>
      <w:r>
        <w:rPr>
          <w:rFonts w:hint="eastAsia" w:ascii="宋体" w:hAnsi="宋体" w:cs="宋体"/>
          <w:szCs w:val="21"/>
        </w:rPr>
        <w:t>投标文件有下列情形之一的，</w:t>
      </w:r>
      <w:r>
        <w:rPr>
          <w:rFonts w:hint="eastAsia" w:ascii="宋体" w:hAnsi="宋体" w:cs="宋体"/>
          <w:szCs w:val="21"/>
          <w:lang w:eastAsia="zh-CN"/>
        </w:rPr>
        <w:t>采购人</w:t>
      </w:r>
      <w:r>
        <w:rPr>
          <w:rFonts w:hint="eastAsia" w:ascii="宋体" w:hAnsi="宋体" w:cs="宋体"/>
          <w:szCs w:val="21"/>
        </w:rPr>
        <w:t>不予受理：</w:t>
      </w:r>
    </w:p>
    <w:p w14:paraId="4249EBBF">
      <w:pPr>
        <w:spacing w:line="360" w:lineRule="auto"/>
        <w:ind w:firstLine="420" w:firstLineChars="200"/>
        <w:jc w:val="left"/>
        <w:rPr>
          <w:rFonts w:ascii="宋体" w:hAnsi="宋体" w:cs="宋体"/>
          <w:szCs w:val="21"/>
        </w:rPr>
      </w:pPr>
      <w:r>
        <w:rPr>
          <w:rFonts w:hint="eastAsia" w:ascii="宋体" w:hAnsi="宋体" w:cs="宋体"/>
          <w:szCs w:val="21"/>
        </w:rPr>
        <w:t>（一）逾期送达的或者未送达指定地点的；</w:t>
      </w:r>
    </w:p>
    <w:p w14:paraId="3CF69DA3">
      <w:pPr>
        <w:spacing w:line="360" w:lineRule="auto"/>
        <w:ind w:firstLine="420" w:firstLineChars="200"/>
        <w:jc w:val="left"/>
        <w:rPr>
          <w:rFonts w:ascii="宋体" w:hAnsi="宋体" w:cs="宋体"/>
          <w:szCs w:val="21"/>
        </w:rPr>
      </w:pPr>
      <w:r>
        <w:rPr>
          <w:rFonts w:hint="eastAsia" w:ascii="宋体" w:hAnsi="宋体" w:cs="宋体"/>
          <w:szCs w:val="21"/>
        </w:rPr>
        <w:t>（二）未按招标文件要求密封的。</w:t>
      </w:r>
    </w:p>
    <w:p w14:paraId="760D197D">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投标文件的修改和撤销</w:t>
      </w:r>
    </w:p>
    <w:p w14:paraId="6742D0C8">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.1 投标人在提交投标文件以后，在规定的投标截止时间之前，可以书面形式补充修改或撤回已提交的投标文件，并以书面形式通知</w:t>
      </w:r>
      <w:r>
        <w:rPr>
          <w:rFonts w:hint="eastAsia" w:ascii="宋体" w:hAnsi="宋体" w:cs="宋体"/>
          <w:szCs w:val="21"/>
          <w:lang w:eastAsia="zh-CN"/>
        </w:rPr>
        <w:t>采购人</w:t>
      </w:r>
      <w:r>
        <w:rPr>
          <w:rFonts w:hint="eastAsia" w:ascii="宋体" w:hAnsi="宋体" w:cs="宋体"/>
          <w:szCs w:val="21"/>
        </w:rPr>
        <w:t>。补充、修改的内容作为投标文件的组成部分。</w:t>
      </w:r>
    </w:p>
    <w:p w14:paraId="2ADD4C99">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.2 投标人对投标文件的补充、修改，应按本须知有关规定密封、标记和提交，并在内外层投标文件密封袋上清楚标明“补充、修改”或“撤回”字样。</w:t>
      </w:r>
    </w:p>
    <w:p w14:paraId="6A1222C3">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.3 投标截止时间以后，投标人不得补充、修改投标文件。</w:t>
      </w:r>
    </w:p>
    <w:p w14:paraId="6301AC4E">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.4 投标人不得在投标有效期内，撤销投标文件。否则</w:t>
      </w:r>
      <w:r>
        <w:rPr>
          <w:rFonts w:hint="eastAsia" w:ascii="宋体" w:hAnsi="宋体" w:cs="宋体"/>
          <w:szCs w:val="21"/>
          <w:lang w:eastAsia="zh-CN"/>
        </w:rPr>
        <w:t>采购人</w:t>
      </w:r>
      <w:r>
        <w:rPr>
          <w:rFonts w:hint="eastAsia" w:ascii="宋体" w:hAnsi="宋体" w:cs="宋体"/>
          <w:szCs w:val="21"/>
        </w:rPr>
        <w:t>将不予退还其投标保证金。</w:t>
      </w:r>
    </w:p>
    <w:p w14:paraId="0988E8F5">
      <w:pPr>
        <w:pStyle w:val="3"/>
        <w:bidi w:val="0"/>
        <w:ind w:left="0" w:firstLine="0"/>
        <w:rPr>
          <w:rFonts w:hint="eastAsia" w:ascii="宋体" w:hAnsi="宋体" w:eastAsia="宋体"/>
          <w:sz w:val="22"/>
          <w:szCs w:val="16"/>
        </w:rPr>
      </w:pPr>
      <w:bookmarkStart w:id="44" w:name="_Toc250572267"/>
      <w:bookmarkStart w:id="45" w:name="_Toc238899381"/>
      <w:bookmarkStart w:id="46" w:name="_Toc9240"/>
      <w:bookmarkStart w:id="47" w:name="_Toc67552691"/>
      <w:bookmarkStart w:id="48" w:name="_Toc269407615"/>
      <w:bookmarkStart w:id="49" w:name="_Toc235544706"/>
      <w:bookmarkStart w:id="50" w:name="_Toc54404818"/>
      <w:r>
        <w:rPr>
          <w:rFonts w:hint="eastAsia" w:ascii="宋体" w:hAnsi="宋体" w:eastAsia="宋体"/>
          <w:sz w:val="22"/>
          <w:szCs w:val="16"/>
        </w:rPr>
        <w:t>五、开标</w:t>
      </w:r>
      <w:bookmarkEnd w:id="44"/>
      <w:bookmarkEnd w:id="45"/>
      <w:bookmarkEnd w:id="46"/>
      <w:bookmarkEnd w:id="47"/>
      <w:bookmarkEnd w:id="48"/>
      <w:bookmarkEnd w:id="49"/>
      <w:bookmarkEnd w:id="50"/>
    </w:p>
    <w:p w14:paraId="3EF457FD">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开标</w:t>
      </w:r>
    </w:p>
    <w:p w14:paraId="41AA0235">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 xml:space="preserve">.1 </w:t>
      </w:r>
      <w:r>
        <w:rPr>
          <w:rFonts w:hint="eastAsia" w:ascii="宋体" w:hAnsi="宋体" w:cs="宋体"/>
          <w:szCs w:val="21"/>
          <w:lang w:eastAsia="zh-CN"/>
        </w:rPr>
        <w:t>采购人</w:t>
      </w:r>
      <w:r>
        <w:rPr>
          <w:rFonts w:hint="eastAsia" w:ascii="宋体" w:hAnsi="宋体" w:cs="宋体"/>
          <w:szCs w:val="21"/>
        </w:rPr>
        <w:t>在规定的投标截止时间（开标时间）和投标人须知前附表规定的地点公开开标，并邀请所有投标人的</w:t>
      </w:r>
      <w:r>
        <w:rPr>
          <w:rFonts w:hint="eastAsia" w:ascii="宋体" w:hAnsi="宋体" w:cs="宋体"/>
          <w:szCs w:val="21"/>
          <w:lang w:eastAsia="zh-CN"/>
        </w:rPr>
        <w:t>法定代表人（负责人）</w:t>
      </w:r>
      <w:r>
        <w:rPr>
          <w:rFonts w:hint="eastAsia" w:ascii="宋体" w:hAnsi="宋体" w:cs="宋体"/>
          <w:szCs w:val="21"/>
        </w:rPr>
        <w:t>或其委托代理人准时参加。</w:t>
      </w:r>
    </w:p>
    <w:p w14:paraId="687C642A">
      <w:pPr>
        <w:spacing w:line="360" w:lineRule="auto"/>
        <w:ind w:firstLine="420" w:firstLineChars="200"/>
        <w:jc w:val="left"/>
        <w:rPr>
          <w:rFonts w:hint="eastAsia" w:ascii="宋体" w:hAnsi="宋体" w:cs="宋体"/>
          <w:szCs w:val="21"/>
        </w:rPr>
      </w:pPr>
      <w:r>
        <w:rPr>
          <w:rFonts w:hint="eastAsia" w:ascii="宋体" w:hAnsi="宋体" w:cs="宋体"/>
          <w:szCs w:val="21"/>
        </w:rPr>
        <w:t>5.2采购代理机构在招标文件规定的时间和地点组织公开开标，邀请投标人代表或法定代表人参加；</w:t>
      </w:r>
    </w:p>
    <w:p w14:paraId="0FD9609D">
      <w:pPr>
        <w:spacing w:line="360" w:lineRule="auto"/>
        <w:ind w:firstLine="420" w:firstLineChars="200"/>
        <w:jc w:val="left"/>
        <w:rPr>
          <w:rFonts w:hint="eastAsia" w:ascii="宋体" w:hAnsi="宋体" w:cs="宋体"/>
          <w:szCs w:val="21"/>
        </w:rPr>
      </w:pPr>
      <w:r>
        <w:rPr>
          <w:rFonts w:hint="eastAsia" w:ascii="宋体" w:hAnsi="宋体" w:cs="宋体"/>
          <w:szCs w:val="21"/>
        </w:rPr>
        <w:t>5.3开标时，应当由投标人或者其推选的代表检查投标文件的密封情况；经确认无误后，由采购代理机构工作人员当众拆封，宣布投标人名称、投标价格和招标文件规定的需要宣布的其他内容；</w:t>
      </w:r>
    </w:p>
    <w:p w14:paraId="6403E295">
      <w:pPr>
        <w:spacing w:line="360" w:lineRule="auto"/>
        <w:ind w:firstLine="420" w:firstLineChars="200"/>
        <w:jc w:val="left"/>
        <w:rPr>
          <w:rFonts w:hint="eastAsia" w:ascii="宋体" w:hAnsi="宋体" w:cs="宋体"/>
          <w:szCs w:val="21"/>
        </w:rPr>
      </w:pPr>
      <w:r>
        <w:rPr>
          <w:rFonts w:hint="eastAsia" w:ascii="宋体" w:hAnsi="宋体" w:cs="宋体"/>
          <w:szCs w:val="21"/>
        </w:rPr>
        <w:t>5.4投标人不足三家不得开标；</w:t>
      </w:r>
    </w:p>
    <w:p w14:paraId="30823A5B">
      <w:pPr>
        <w:spacing w:line="360" w:lineRule="auto"/>
        <w:ind w:firstLine="420" w:firstLineChars="200"/>
        <w:jc w:val="left"/>
        <w:rPr>
          <w:rFonts w:hint="eastAsia" w:ascii="宋体" w:hAnsi="宋体" w:cs="宋体"/>
          <w:szCs w:val="21"/>
        </w:rPr>
      </w:pPr>
      <w:r>
        <w:rPr>
          <w:rFonts w:hint="eastAsia" w:ascii="宋体" w:hAnsi="宋体" w:cs="宋体"/>
          <w:szCs w:val="21"/>
        </w:rPr>
        <w:t>5.5开标过程应当由采购代理机构负责记录，由参加开标的各投标人代表和相关工作人员签字确认；</w:t>
      </w:r>
    </w:p>
    <w:p w14:paraId="0A03385D">
      <w:pPr>
        <w:spacing w:line="360" w:lineRule="auto"/>
        <w:ind w:firstLine="420" w:firstLineChars="200"/>
        <w:jc w:val="left"/>
        <w:rPr>
          <w:rFonts w:hint="eastAsia" w:ascii="宋体" w:hAnsi="宋体" w:cs="宋体"/>
          <w:szCs w:val="21"/>
        </w:rPr>
      </w:pPr>
      <w:r>
        <w:rPr>
          <w:rFonts w:hint="eastAsia" w:ascii="宋体" w:hAnsi="宋体" w:cs="宋体"/>
          <w:szCs w:val="21"/>
        </w:rPr>
        <w:t>5.6投标人代表对开标过程和开标记录有疑义，以及认为采购代理机构相关工作人员有需要回避的情形的，应当场提出询问或者回避申请；</w:t>
      </w:r>
    </w:p>
    <w:p w14:paraId="29226682">
      <w:pPr>
        <w:spacing w:line="360" w:lineRule="auto"/>
        <w:ind w:firstLine="420" w:firstLineChars="200"/>
        <w:jc w:val="left"/>
        <w:rPr>
          <w:rFonts w:hint="eastAsia" w:ascii="宋体" w:hAnsi="宋体" w:cs="宋体"/>
          <w:szCs w:val="21"/>
        </w:rPr>
      </w:pPr>
      <w:r>
        <w:rPr>
          <w:rFonts w:hint="eastAsia" w:ascii="宋体" w:hAnsi="宋体" w:cs="宋体"/>
          <w:szCs w:val="21"/>
        </w:rPr>
        <w:t>5.7投标人未参加开标的，视同认可开标结果；</w:t>
      </w:r>
    </w:p>
    <w:p w14:paraId="41D0B340">
      <w:pPr>
        <w:spacing w:line="360" w:lineRule="auto"/>
        <w:ind w:firstLine="420" w:firstLineChars="200"/>
        <w:jc w:val="left"/>
        <w:rPr>
          <w:rFonts w:hint="eastAsia" w:ascii="宋体" w:hAnsi="宋体" w:cs="宋体"/>
          <w:szCs w:val="21"/>
        </w:rPr>
      </w:pPr>
      <w:r>
        <w:rPr>
          <w:rFonts w:hint="eastAsia" w:ascii="宋体" w:hAnsi="宋体" w:cs="宋体"/>
          <w:szCs w:val="21"/>
        </w:rPr>
        <w:t>5.8开标时，“投标报价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被拒绝；</w:t>
      </w:r>
    </w:p>
    <w:p w14:paraId="0CC9CC21">
      <w:pPr>
        <w:spacing w:line="360" w:lineRule="auto"/>
        <w:ind w:firstLine="420" w:firstLineChars="200"/>
        <w:jc w:val="left"/>
        <w:rPr>
          <w:rFonts w:hint="eastAsia" w:ascii="宋体" w:hAnsi="宋体" w:cs="宋体"/>
          <w:szCs w:val="21"/>
        </w:rPr>
      </w:pPr>
      <w:r>
        <w:rPr>
          <w:rFonts w:hint="eastAsia" w:ascii="宋体" w:hAnsi="宋体" w:cs="宋体"/>
          <w:szCs w:val="21"/>
        </w:rPr>
        <w:t>5.9开标过程应当全程录音录像并保存归档。</w:t>
      </w:r>
    </w:p>
    <w:p w14:paraId="6B4457B3">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六、</w:t>
      </w:r>
      <w:r>
        <w:rPr>
          <w:rFonts w:hint="eastAsia" w:ascii="宋体" w:hAnsi="宋体" w:eastAsia="宋体"/>
          <w:sz w:val="22"/>
          <w:szCs w:val="16"/>
          <w:lang w:val="en-US" w:eastAsia="zh-CN"/>
        </w:rPr>
        <w:t>评标</w:t>
      </w:r>
    </w:p>
    <w:p w14:paraId="67A94CF4">
      <w:pPr>
        <w:spacing w:line="360" w:lineRule="auto"/>
        <w:ind w:firstLine="420" w:firstLineChars="200"/>
        <w:jc w:val="left"/>
        <w:rPr>
          <w:rFonts w:hint="eastAsia" w:ascii="宋体" w:hAnsi="宋体" w:cs="宋体"/>
          <w:szCs w:val="21"/>
        </w:rPr>
      </w:pPr>
      <w:r>
        <w:rPr>
          <w:rFonts w:hint="eastAsia" w:ascii="宋体" w:hAnsi="宋体" w:cs="宋体"/>
          <w:szCs w:val="21"/>
        </w:rPr>
        <w:t>6.1 评标组织及评标原则</w:t>
      </w:r>
    </w:p>
    <w:p w14:paraId="2B7D9A1F">
      <w:pPr>
        <w:spacing w:line="360" w:lineRule="auto"/>
        <w:ind w:firstLine="420" w:firstLineChars="200"/>
        <w:jc w:val="left"/>
        <w:rPr>
          <w:rFonts w:hint="eastAsia" w:ascii="宋体" w:hAnsi="宋体" w:cs="宋体"/>
          <w:szCs w:val="21"/>
        </w:rPr>
      </w:pPr>
      <w:r>
        <w:rPr>
          <w:rFonts w:hint="eastAsia" w:ascii="宋体" w:hAnsi="宋体" w:cs="宋体"/>
          <w:szCs w:val="21"/>
        </w:rPr>
        <w:t>6.1.1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47CCE1E1">
      <w:pPr>
        <w:spacing w:line="360" w:lineRule="auto"/>
        <w:ind w:firstLine="420" w:firstLineChars="200"/>
        <w:jc w:val="left"/>
        <w:rPr>
          <w:rFonts w:hint="eastAsia" w:ascii="宋体" w:hAnsi="宋体" w:cs="宋体"/>
          <w:szCs w:val="21"/>
        </w:rPr>
      </w:pPr>
      <w:r>
        <w:rPr>
          <w:rFonts w:hint="eastAsia" w:ascii="宋体" w:hAnsi="宋体" w:cs="宋体"/>
          <w:szCs w:val="21"/>
        </w:rPr>
        <w:t>6.1.2评标委员会按照第三章“评标办法”规定的方法、评审因素、标准和程序对投标文件进行评审。第三章“评标办法”没有规定的方法、评审因素和标准，不作为评标依据。</w:t>
      </w:r>
    </w:p>
    <w:p w14:paraId="55A5E922">
      <w:pPr>
        <w:spacing w:line="360" w:lineRule="auto"/>
        <w:ind w:firstLine="420" w:firstLineChars="200"/>
        <w:jc w:val="left"/>
        <w:rPr>
          <w:rFonts w:hint="eastAsia" w:ascii="宋体" w:hAnsi="宋体" w:cs="宋体"/>
          <w:szCs w:val="21"/>
        </w:rPr>
      </w:pPr>
      <w:r>
        <w:rPr>
          <w:rFonts w:hint="eastAsia" w:ascii="宋体" w:hAnsi="宋体" w:cs="宋体"/>
          <w:szCs w:val="21"/>
        </w:rPr>
        <w:t>招标文件和投标文件是评标的依据。在评标中，不得改变招标文件中规定的评标标准、方法和中标条件。投标人不得在开标后使用任何方式对投标文件的实质性内容做任何更改。</w:t>
      </w:r>
    </w:p>
    <w:p w14:paraId="43EBB692">
      <w:pPr>
        <w:spacing w:line="360" w:lineRule="auto"/>
        <w:ind w:firstLine="420" w:firstLineChars="200"/>
        <w:jc w:val="left"/>
        <w:rPr>
          <w:rFonts w:hint="eastAsia" w:ascii="宋体" w:hAnsi="宋体" w:cs="宋体"/>
          <w:szCs w:val="21"/>
        </w:rPr>
      </w:pPr>
      <w:r>
        <w:rPr>
          <w:rFonts w:hint="eastAsia" w:ascii="宋体" w:hAnsi="宋体" w:cs="宋体"/>
          <w:szCs w:val="21"/>
        </w:rPr>
        <w:t>6.1.3在评标期间，对于投标文件中含义不明确、同类问题表述不一致或者有明显文字和计算错误的内容，评标委员会应当以书面形式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0A2AE4E4">
      <w:pPr>
        <w:spacing w:line="360" w:lineRule="auto"/>
        <w:ind w:firstLine="420" w:firstLineChars="200"/>
        <w:jc w:val="left"/>
        <w:rPr>
          <w:rFonts w:hint="eastAsia" w:ascii="宋体" w:hAnsi="宋体" w:cs="宋体"/>
          <w:szCs w:val="21"/>
        </w:rPr>
      </w:pPr>
      <w:r>
        <w:rPr>
          <w:rFonts w:hint="eastAsia" w:ascii="宋体" w:hAnsi="宋体" w:cs="宋体"/>
          <w:szCs w:val="21"/>
        </w:rPr>
        <w:t>6.1.4如果投标人在规定时限内，未能答复或拒绝答复评委会提出的澄清、说明或者补正的要求，将由评委会根据其投标文件按最大风险进行评标。</w:t>
      </w:r>
    </w:p>
    <w:p w14:paraId="294A827C">
      <w:pPr>
        <w:spacing w:line="360" w:lineRule="auto"/>
        <w:ind w:firstLine="420" w:firstLineChars="200"/>
        <w:jc w:val="left"/>
        <w:rPr>
          <w:rFonts w:hint="eastAsia" w:ascii="宋体" w:hAnsi="宋体" w:cs="宋体"/>
          <w:szCs w:val="21"/>
        </w:rPr>
      </w:pPr>
      <w:r>
        <w:rPr>
          <w:rFonts w:hint="eastAsia" w:ascii="宋体" w:hAnsi="宋体" w:cs="宋体"/>
          <w:szCs w:val="21"/>
        </w:rPr>
        <w:t>6.2 评标过程的保密</w:t>
      </w:r>
    </w:p>
    <w:p w14:paraId="0459F73F">
      <w:pPr>
        <w:spacing w:line="360" w:lineRule="auto"/>
        <w:ind w:firstLine="420" w:firstLineChars="200"/>
        <w:jc w:val="left"/>
        <w:rPr>
          <w:rFonts w:hint="eastAsia" w:ascii="宋体" w:hAnsi="宋体" w:cs="宋体"/>
          <w:szCs w:val="21"/>
        </w:rPr>
      </w:pPr>
      <w:r>
        <w:rPr>
          <w:rFonts w:hint="eastAsia" w:ascii="宋体" w:hAnsi="宋体" w:cs="宋体"/>
          <w:szCs w:val="21"/>
        </w:rPr>
        <w:t>6.2.1开标后，直至授予中标人合同为止，凡属于对投标文件的审查、澄清、评价和比较的有关资料以及中标候选人的推荐情况，与评标有关的其他任何情况均严格保密。</w:t>
      </w:r>
    </w:p>
    <w:p w14:paraId="7EEEAB4B">
      <w:pPr>
        <w:spacing w:line="360" w:lineRule="auto"/>
        <w:ind w:firstLine="420" w:firstLineChars="200"/>
        <w:jc w:val="left"/>
        <w:rPr>
          <w:rFonts w:hint="eastAsia" w:ascii="宋体" w:hAnsi="宋体" w:cs="宋体"/>
          <w:szCs w:val="21"/>
        </w:rPr>
      </w:pPr>
      <w:r>
        <w:rPr>
          <w:rFonts w:hint="eastAsia" w:ascii="宋体" w:hAnsi="宋体" w:cs="宋体"/>
          <w:szCs w:val="21"/>
        </w:rPr>
        <w:t>6.2.2在投标文件的评审和比较、中标候选人推荐以及授予合同的过程中，投标人向</w:t>
      </w:r>
      <w:r>
        <w:rPr>
          <w:rFonts w:hint="eastAsia" w:ascii="宋体" w:hAnsi="宋体" w:cs="宋体"/>
          <w:szCs w:val="21"/>
          <w:lang w:eastAsia="zh-CN"/>
        </w:rPr>
        <w:t>采购人</w:t>
      </w:r>
      <w:r>
        <w:rPr>
          <w:rFonts w:hint="eastAsia" w:ascii="宋体" w:hAnsi="宋体" w:cs="宋体"/>
          <w:szCs w:val="21"/>
        </w:rPr>
        <w:t>和评标委员会施加影响的任何行为，都将会导致其投标被拒绝。</w:t>
      </w:r>
    </w:p>
    <w:p w14:paraId="10718693">
      <w:pPr>
        <w:spacing w:line="360" w:lineRule="auto"/>
        <w:ind w:firstLine="420" w:firstLineChars="200"/>
        <w:jc w:val="left"/>
        <w:rPr>
          <w:rFonts w:hint="eastAsia" w:ascii="宋体" w:hAnsi="宋体" w:cs="宋体"/>
          <w:szCs w:val="21"/>
        </w:rPr>
      </w:pPr>
      <w:r>
        <w:rPr>
          <w:rFonts w:hint="eastAsia" w:ascii="宋体" w:hAnsi="宋体" w:cs="宋体"/>
          <w:szCs w:val="21"/>
        </w:rPr>
        <w:t>6.2.3中标人确定后，</w:t>
      </w:r>
      <w:r>
        <w:rPr>
          <w:rFonts w:hint="eastAsia" w:ascii="宋体" w:hAnsi="宋体" w:cs="宋体"/>
          <w:szCs w:val="21"/>
          <w:lang w:eastAsia="zh-CN"/>
        </w:rPr>
        <w:t>采购人</w:t>
      </w:r>
      <w:r>
        <w:rPr>
          <w:rFonts w:hint="eastAsia" w:ascii="宋体" w:hAnsi="宋体" w:cs="宋体"/>
          <w:szCs w:val="21"/>
        </w:rPr>
        <w:t>不对未中标人就评标过程以及未能中标原因作出任何解释,亦不退回投标文件。未中标人不得向评标委员会组成人员和</w:t>
      </w:r>
      <w:r>
        <w:rPr>
          <w:rFonts w:hint="eastAsia" w:ascii="宋体" w:hAnsi="宋体" w:cs="宋体"/>
          <w:szCs w:val="21"/>
          <w:lang w:eastAsia="zh-CN"/>
        </w:rPr>
        <w:t>采购人</w:t>
      </w:r>
      <w:r>
        <w:rPr>
          <w:rFonts w:hint="eastAsia" w:ascii="宋体" w:hAnsi="宋体" w:cs="宋体"/>
          <w:szCs w:val="21"/>
        </w:rPr>
        <w:t>或其他有关人员索问评标过程的情况和材料。</w:t>
      </w:r>
    </w:p>
    <w:p w14:paraId="7CBF9537">
      <w:pPr>
        <w:spacing w:line="360" w:lineRule="auto"/>
        <w:ind w:firstLine="420" w:firstLineChars="200"/>
        <w:jc w:val="left"/>
        <w:rPr>
          <w:rFonts w:hint="eastAsia" w:ascii="宋体" w:hAnsi="宋体" w:cs="宋体"/>
          <w:szCs w:val="21"/>
        </w:rPr>
      </w:pPr>
      <w:r>
        <w:rPr>
          <w:rFonts w:hint="eastAsia" w:ascii="宋体" w:hAnsi="宋体" w:cs="宋体"/>
          <w:szCs w:val="21"/>
        </w:rPr>
        <w:t>6.3评标方法</w:t>
      </w:r>
    </w:p>
    <w:p w14:paraId="7C05B851">
      <w:pPr>
        <w:spacing w:line="360" w:lineRule="auto"/>
        <w:ind w:firstLine="420" w:firstLineChars="200"/>
        <w:jc w:val="left"/>
        <w:rPr>
          <w:rFonts w:hint="eastAsia" w:ascii="宋体" w:hAnsi="宋体" w:cs="宋体"/>
          <w:szCs w:val="21"/>
        </w:rPr>
      </w:pPr>
      <w:r>
        <w:rPr>
          <w:rFonts w:hint="eastAsia" w:ascii="宋体" w:hAnsi="宋体" w:cs="宋体"/>
          <w:szCs w:val="21"/>
        </w:rPr>
        <w:t>6.3.1本次评标采用以下评标方法</w:t>
      </w:r>
      <w:r>
        <w:rPr>
          <w:rFonts w:hint="eastAsia" w:ascii="宋体" w:hAnsi="宋体" w:cs="宋体"/>
          <w:szCs w:val="21"/>
          <w:lang w:eastAsia="zh-CN"/>
        </w:rPr>
        <w:t>：</w:t>
      </w:r>
      <w:r>
        <w:rPr>
          <w:rFonts w:hint="eastAsia" w:ascii="宋体" w:hAnsi="宋体" w:cs="宋体"/>
          <w:szCs w:val="21"/>
        </w:rPr>
        <w:t>综合评分法，是指投标文件满足招标文件全部实质性要求，且按照评审因素的量化指标评审得分最高的投标人为中标候选人的评标方法。</w:t>
      </w:r>
    </w:p>
    <w:p w14:paraId="4DC26ABD">
      <w:pPr>
        <w:spacing w:line="360" w:lineRule="auto"/>
        <w:ind w:firstLine="420" w:firstLineChars="200"/>
        <w:jc w:val="left"/>
        <w:rPr>
          <w:rFonts w:hint="eastAsia" w:ascii="宋体" w:hAnsi="宋体" w:cs="宋体"/>
          <w:szCs w:val="21"/>
        </w:rPr>
      </w:pPr>
      <w:r>
        <w:rPr>
          <w:rFonts w:hint="eastAsia" w:ascii="宋体" w:hAnsi="宋体" w:cs="宋体"/>
          <w:szCs w:val="21"/>
        </w:rPr>
        <w:t>6.4评标程序</w:t>
      </w:r>
    </w:p>
    <w:p w14:paraId="4F73C13F">
      <w:pPr>
        <w:spacing w:line="360" w:lineRule="auto"/>
        <w:ind w:firstLine="420" w:firstLineChars="200"/>
        <w:jc w:val="left"/>
        <w:rPr>
          <w:rFonts w:hint="eastAsia" w:ascii="宋体" w:hAnsi="宋体" w:cs="宋体"/>
          <w:szCs w:val="21"/>
        </w:rPr>
      </w:pPr>
      <w:r>
        <w:rPr>
          <w:rFonts w:hint="eastAsia" w:ascii="宋体" w:hAnsi="宋体" w:cs="宋体"/>
          <w:szCs w:val="21"/>
        </w:rPr>
        <w:t>评标程序为投标文件审查、澄清、比较与评价、</w:t>
      </w:r>
      <w:r>
        <w:rPr>
          <w:rFonts w:hint="eastAsia" w:ascii="宋体" w:hAnsi="宋体" w:cs="宋体"/>
          <w:szCs w:val="21"/>
          <w:lang w:val="en-US" w:eastAsia="zh-CN"/>
        </w:rPr>
        <w:t>推荐</w:t>
      </w:r>
      <w:r>
        <w:rPr>
          <w:rFonts w:hint="eastAsia" w:ascii="宋体" w:hAnsi="宋体" w:cs="宋体"/>
          <w:szCs w:val="21"/>
        </w:rPr>
        <w:t>中标候选人名单。</w:t>
      </w:r>
    </w:p>
    <w:p w14:paraId="70CC7E51">
      <w:pPr>
        <w:spacing w:line="360" w:lineRule="auto"/>
        <w:ind w:firstLine="420" w:firstLineChars="200"/>
        <w:jc w:val="left"/>
        <w:rPr>
          <w:rFonts w:hint="eastAsia" w:ascii="宋体" w:hAnsi="宋体" w:cs="宋体"/>
          <w:szCs w:val="21"/>
        </w:rPr>
      </w:pPr>
    </w:p>
    <w:p w14:paraId="4D883053">
      <w:pPr>
        <w:pStyle w:val="3"/>
        <w:bidi w:val="0"/>
        <w:ind w:left="0" w:firstLine="0"/>
        <w:rPr>
          <w:rFonts w:hint="eastAsia" w:ascii="宋体" w:hAnsi="宋体" w:eastAsia="宋体"/>
          <w:sz w:val="22"/>
          <w:szCs w:val="16"/>
          <w:lang w:val="en-US" w:eastAsia="zh-CN"/>
        </w:rPr>
      </w:pPr>
      <w:r>
        <w:rPr>
          <w:rFonts w:hint="eastAsia"/>
          <w:sz w:val="22"/>
          <w:szCs w:val="16"/>
          <w:lang w:val="en-US" w:eastAsia="zh-CN"/>
        </w:rPr>
        <w:t>七、</w:t>
      </w:r>
      <w:r>
        <w:rPr>
          <w:rFonts w:hint="eastAsia" w:ascii="宋体" w:hAnsi="宋体" w:eastAsia="宋体"/>
          <w:sz w:val="22"/>
          <w:szCs w:val="16"/>
          <w:lang w:val="en-US" w:eastAsia="zh-CN"/>
        </w:rPr>
        <w:t>中标</w:t>
      </w:r>
    </w:p>
    <w:p w14:paraId="77A34D5E">
      <w:pPr>
        <w:spacing w:line="360" w:lineRule="auto"/>
        <w:ind w:firstLine="420" w:firstLineChars="200"/>
        <w:jc w:val="left"/>
        <w:rPr>
          <w:rFonts w:hint="eastAsia" w:ascii="宋体" w:hAnsi="宋体" w:cs="宋体"/>
          <w:szCs w:val="21"/>
        </w:rPr>
      </w:pPr>
      <w:r>
        <w:rPr>
          <w:rFonts w:hint="eastAsia" w:ascii="宋体" w:hAnsi="宋体" w:cs="宋体"/>
          <w:szCs w:val="21"/>
        </w:rPr>
        <w:t>7.1采购代理机构在评标结束后2个工作日内将评标报告送采购人；</w:t>
      </w:r>
    </w:p>
    <w:p w14:paraId="289FC834">
      <w:pPr>
        <w:spacing w:line="360" w:lineRule="auto"/>
        <w:ind w:firstLine="420" w:firstLineChars="200"/>
        <w:jc w:val="left"/>
        <w:rPr>
          <w:rFonts w:hint="eastAsia" w:ascii="宋体" w:hAnsi="宋体" w:cs="宋体"/>
          <w:szCs w:val="21"/>
        </w:rPr>
      </w:pPr>
      <w:r>
        <w:rPr>
          <w:rFonts w:hint="eastAsia" w:ascii="宋体" w:hAnsi="宋体" w:cs="宋体"/>
          <w:szCs w:val="21"/>
        </w:rPr>
        <w:t>7.2采购人在收到评标报告后5个工作日内，按照评标报告中推荐的中标候选人顺序确定中标人；</w:t>
      </w:r>
    </w:p>
    <w:p w14:paraId="3A77C35A">
      <w:pPr>
        <w:spacing w:line="360" w:lineRule="auto"/>
        <w:ind w:firstLine="420" w:firstLineChars="200"/>
        <w:jc w:val="left"/>
        <w:rPr>
          <w:rFonts w:hint="eastAsia" w:ascii="宋体" w:hAnsi="宋体" w:cs="宋体"/>
          <w:szCs w:val="21"/>
        </w:rPr>
      </w:pPr>
      <w:r>
        <w:rPr>
          <w:rFonts w:hint="eastAsia" w:ascii="宋体" w:hAnsi="宋体" w:cs="宋体"/>
          <w:szCs w:val="21"/>
        </w:rPr>
        <w:t>7.3根据采购人确定的中标人，采购代理机构在采购人确定中标人之日起2个工作日内在陕西省政府采购网上发布中标公告，同时向中标人发出中标通知书；</w:t>
      </w:r>
    </w:p>
    <w:p w14:paraId="6DC695E0">
      <w:pPr>
        <w:spacing w:line="360" w:lineRule="auto"/>
        <w:ind w:firstLine="420" w:firstLineChars="200"/>
        <w:jc w:val="left"/>
        <w:rPr>
          <w:rFonts w:hint="eastAsia" w:ascii="宋体" w:hAnsi="宋体" w:cs="宋体"/>
          <w:szCs w:val="21"/>
        </w:rPr>
      </w:pPr>
      <w:r>
        <w:rPr>
          <w:rFonts w:hint="eastAsia" w:ascii="宋体" w:hAnsi="宋体" w:cs="宋体"/>
          <w:szCs w:val="21"/>
        </w:rPr>
        <w:t>7.4中标公告期限为1个工作日；</w:t>
      </w:r>
    </w:p>
    <w:p w14:paraId="76943D29">
      <w:pPr>
        <w:spacing w:line="360" w:lineRule="auto"/>
        <w:ind w:firstLine="420" w:firstLineChars="200"/>
        <w:jc w:val="left"/>
        <w:rPr>
          <w:rFonts w:hint="eastAsia" w:ascii="宋体" w:hAnsi="宋体" w:cs="宋体"/>
          <w:szCs w:val="21"/>
        </w:rPr>
      </w:pPr>
      <w:r>
        <w:rPr>
          <w:rFonts w:hint="eastAsia" w:ascii="宋体" w:hAnsi="宋体" w:cs="宋体"/>
          <w:szCs w:val="21"/>
        </w:rPr>
        <w:t>7.5对未通过资格审查的投标人，采购代理机构应当告知其未通过的原因，以及未中标人的评审得分与排序；</w:t>
      </w:r>
    </w:p>
    <w:p w14:paraId="5A4ECDBB">
      <w:pPr>
        <w:spacing w:line="360" w:lineRule="auto"/>
        <w:ind w:firstLine="420" w:firstLineChars="200"/>
        <w:jc w:val="left"/>
        <w:rPr>
          <w:rFonts w:hint="eastAsia" w:ascii="宋体" w:hAnsi="宋体" w:cs="宋体"/>
          <w:szCs w:val="21"/>
        </w:rPr>
      </w:pPr>
      <w:r>
        <w:rPr>
          <w:rFonts w:hint="eastAsia" w:ascii="宋体" w:hAnsi="宋体" w:cs="宋体"/>
          <w:szCs w:val="21"/>
        </w:rPr>
        <w:t>7.8中标通知书：</w:t>
      </w:r>
    </w:p>
    <w:p w14:paraId="0572E069">
      <w:pPr>
        <w:spacing w:line="360" w:lineRule="auto"/>
        <w:ind w:firstLine="420" w:firstLineChars="200"/>
        <w:jc w:val="left"/>
        <w:rPr>
          <w:rFonts w:hint="eastAsia" w:ascii="宋体" w:hAnsi="宋体" w:cs="宋体"/>
          <w:szCs w:val="21"/>
        </w:rPr>
      </w:pPr>
      <w:r>
        <w:rPr>
          <w:rFonts w:hint="eastAsia" w:ascii="宋体" w:hAnsi="宋体" w:cs="宋体"/>
          <w:szCs w:val="21"/>
        </w:rPr>
        <w:t>7.8.1中标通知书为签订采购合同的依据，是合同的有效组成部分；</w:t>
      </w:r>
    </w:p>
    <w:p w14:paraId="1B0D13DB">
      <w:pPr>
        <w:spacing w:line="360" w:lineRule="auto"/>
        <w:ind w:firstLine="420" w:firstLineChars="200"/>
        <w:jc w:val="left"/>
        <w:rPr>
          <w:rFonts w:hint="eastAsia" w:ascii="宋体" w:hAnsi="宋体" w:cs="宋体"/>
          <w:szCs w:val="21"/>
        </w:rPr>
      </w:pPr>
      <w:r>
        <w:rPr>
          <w:rFonts w:hint="eastAsia" w:ascii="宋体" w:hAnsi="宋体" w:cs="宋体"/>
          <w:szCs w:val="21"/>
        </w:rPr>
        <w:t>7.8.2中标通知书对采购人和中标人均具有法律效力。中标通知书发出后，采购人改变中标结果，或者中标人无正当理由放弃中标的，应当承担相应的法律责任；</w:t>
      </w:r>
    </w:p>
    <w:p w14:paraId="7CBC0B4F">
      <w:pPr>
        <w:spacing w:line="360" w:lineRule="auto"/>
        <w:ind w:firstLine="420" w:firstLineChars="200"/>
        <w:jc w:val="left"/>
        <w:rPr>
          <w:rFonts w:hint="eastAsia" w:ascii="宋体" w:hAnsi="宋体" w:cs="宋体"/>
          <w:szCs w:val="21"/>
        </w:rPr>
      </w:pPr>
      <w:r>
        <w:rPr>
          <w:rFonts w:hint="eastAsia" w:ascii="宋体" w:hAnsi="宋体" w:cs="宋体"/>
          <w:szCs w:val="21"/>
        </w:rPr>
        <w:t>7.8.3中标人的投标文件本应作为无效投标处理或者有采购相关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68AA68DF">
      <w:pPr>
        <w:spacing w:line="360" w:lineRule="auto"/>
        <w:ind w:firstLine="420" w:firstLineChars="200"/>
        <w:jc w:val="left"/>
        <w:rPr>
          <w:rFonts w:hint="eastAsia" w:ascii="宋体" w:hAnsi="宋体" w:cs="宋体"/>
          <w:szCs w:val="21"/>
        </w:rPr>
      </w:pPr>
      <w:r>
        <w:rPr>
          <w:rFonts w:hint="eastAsia" w:ascii="宋体" w:hAnsi="宋体" w:cs="宋体"/>
          <w:szCs w:val="21"/>
        </w:rPr>
        <w:t>7.9中标服务费</w:t>
      </w:r>
    </w:p>
    <w:p w14:paraId="030E402A">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7.9.11、按照国家计委颁布的«招标代理服务收费管理暂行办法»（计价格[2002]1980号）和国家发改委办公厅颁布的«国家发改委办公厅关于招标代理服务收费有关问题的通知（发改办价格[2003]857号）规定按固定下浮百分比取费。由中标人在领取中标通知书之前支付。详见投标人须知前附表。</w:t>
      </w:r>
    </w:p>
    <w:p w14:paraId="2AC21C3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八、</w:t>
      </w:r>
      <w:r>
        <w:rPr>
          <w:rFonts w:hint="eastAsia" w:ascii="宋体" w:hAnsi="宋体" w:eastAsia="宋体"/>
          <w:sz w:val="22"/>
          <w:szCs w:val="16"/>
          <w:lang w:val="en-US" w:eastAsia="zh-CN"/>
        </w:rPr>
        <w:t>合同授予</w:t>
      </w:r>
    </w:p>
    <w:p w14:paraId="1DFFBD74">
      <w:pPr>
        <w:spacing w:line="360" w:lineRule="auto"/>
        <w:ind w:firstLine="420" w:firstLineChars="200"/>
        <w:jc w:val="left"/>
        <w:rPr>
          <w:rFonts w:hint="eastAsia" w:ascii="宋体" w:hAnsi="宋体" w:cs="宋体"/>
          <w:szCs w:val="21"/>
        </w:rPr>
      </w:pPr>
      <w:r>
        <w:rPr>
          <w:rFonts w:hint="eastAsia" w:ascii="宋体" w:hAnsi="宋体" w:cs="宋体"/>
          <w:szCs w:val="21"/>
        </w:rPr>
        <w:t>8.1签订时间的约束</w:t>
      </w:r>
    </w:p>
    <w:p w14:paraId="7DAA372D">
      <w:pPr>
        <w:spacing w:line="360" w:lineRule="auto"/>
        <w:ind w:firstLine="420" w:firstLineChars="200"/>
        <w:jc w:val="left"/>
        <w:rPr>
          <w:rFonts w:hint="eastAsia" w:ascii="宋体" w:hAnsi="宋体" w:cs="宋体"/>
          <w:szCs w:val="21"/>
        </w:rPr>
      </w:pPr>
      <w:r>
        <w:rPr>
          <w:rFonts w:hint="eastAsia" w:ascii="宋体" w:hAnsi="宋体" w:cs="宋体"/>
          <w:szCs w:val="21"/>
        </w:rPr>
        <w:t>自中标通知书发出之日起30日内，按照招标文件和中标人投标文件的规定，采购人应当与中标人签订书面合同。采购人不得违法改变中标结果，中标人无正当理由不得放弃中标。</w:t>
      </w:r>
    </w:p>
    <w:p w14:paraId="3AC432D2">
      <w:pPr>
        <w:spacing w:line="360" w:lineRule="auto"/>
        <w:ind w:firstLine="420" w:firstLineChars="200"/>
        <w:jc w:val="left"/>
        <w:rPr>
          <w:rFonts w:hint="eastAsia" w:ascii="宋体" w:hAnsi="宋体" w:cs="宋体"/>
          <w:szCs w:val="21"/>
        </w:rPr>
      </w:pPr>
      <w:r>
        <w:rPr>
          <w:rFonts w:hint="eastAsia" w:ascii="宋体" w:hAnsi="宋体" w:cs="宋体"/>
          <w:szCs w:val="21"/>
        </w:rPr>
        <w:t>8.2签订内容的约束</w:t>
      </w:r>
    </w:p>
    <w:p w14:paraId="67203C60">
      <w:pPr>
        <w:spacing w:line="360" w:lineRule="auto"/>
        <w:ind w:firstLine="420" w:firstLineChars="200"/>
        <w:jc w:val="left"/>
        <w:rPr>
          <w:rFonts w:hint="eastAsia" w:ascii="宋体" w:hAnsi="宋体" w:cs="宋体"/>
          <w:szCs w:val="21"/>
        </w:rPr>
      </w:pPr>
      <w:r>
        <w:rPr>
          <w:rFonts w:hint="eastAsia" w:ascii="宋体" w:hAnsi="宋体" w:cs="宋体"/>
          <w:szCs w:val="21"/>
        </w:rPr>
        <w:t>8.2.1所签订的合同不得对招标文件确定的事项和中标人投标文件作实质性修改，中标人应当严格接受招标文件和中标人投标文件的约束，不得对投标产品的名称、型号规格、数量、技术规格、配置、商务和招标文件要求的内容做实质性变动。采购人不得向中标人提出任何不合理的要求作为签订合同的条件。</w:t>
      </w:r>
    </w:p>
    <w:p w14:paraId="2F0C3E9A">
      <w:pPr>
        <w:spacing w:line="360" w:lineRule="auto"/>
        <w:ind w:firstLine="420" w:firstLineChars="200"/>
        <w:jc w:val="left"/>
        <w:rPr>
          <w:rFonts w:hint="eastAsia" w:ascii="宋体" w:hAnsi="宋体" w:cs="宋体"/>
          <w:szCs w:val="21"/>
        </w:rPr>
      </w:pPr>
      <w:r>
        <w:rPr>
          <w:rFonts w:hint="eastAsia" w:ascii="宋体" w:hAnsi="宋体" w:cs="宋体"/>
          <w:szCs w:val="21"/>
        </w:rPr>
        <w:t>8.2.2政府采购合同应当包括采购人与中标人的名称和住所、标的、数量、质量、价款或者报酬、履行期限及地点和方式、验收要求、违约责任、解决争议的方法等内容。</w:t>
      </w:r>
    </w:p>
    <w:p w14:paraId="719FE522">
      <w:pPr>
        <w:spacing w:line="360" w:lineRule="auto"/>
        <w:ind w:firstLine="420" w:firstLineChars="200"/>
        <w:jc w:val="left"/>
        <w:rPr>
          <w:rFonts w:hint="eastAsia" w:ascii="宋体" w:hAnsi="宋体" w:cs="宋体"/>
          <w:szCs w:val="21"/>
        </w:rPr>
      </w:pPr>
      <w:r>
        <w:rPr>
          <w:rFonts w:hint="eastAsia" w:ascii="宋体" w:hAnsi="宋体" w:cs="宋体"/>
          <w:szCs w:val="21"/>
        </w:rPr>
        <w:t>8.2.3采购人与中标人应当根据合同的约定依法履行合同义务。政府采购合同的履行、违约责任和解决争议的方法等适用《中华人民共和国民法典》。</w:t>
      </w:r>
    </w:p>
    <w:p w14:paraId="1F0C7AD2">
      <w:pPr>
        <w:spacing w:line="360" w:lineRule="auto"/>
        <w:ind w:firstLine="420" w:firstLineChars="200"/>
        <w:jc w:val="left"/>
        <w:rPr>
          <w:rFonts w:hint="eastAsia" w:ascii="宋体" w:hAnsi="宋体" w:cs="宋体"/>
          <w:szCs w:val="21"/>
        </w:rPr>
      </w:pPr>
      <w:r>
        <w:rPr>
          <w:rFonts w:hint="eastAsia" w:ascii="宋体" w:hAnsi="宋体" w:cs="宋体"/>
          <w:szCs w:val="21"/>
        </w:rPr>
        <w:t>8.3合同履约的约束</w:t>
      </w:r>
    </w:p>
    <w:p w14:paraId="4A20B6D3">
      <w:pPr>
        <w:spacing w:line="360" w:lineRule="auto"/>
        <w:ind w:firstLine="420" w:firstLineChars="200"/>
        <w:jc w:val="left"/>
        <w:rPr>
          <w:rFonts w:hint="eastAsia" w:ascii="宋体" w:hAnsi="宋体" w:cs="宋体"/>
          <w:szCs w:val="21"/>
        </w:rPr>
      </w:pPr>
      <w:r>
        <w:rPr>
          <w:rFonts w:hint="eastAsia" w:ascii="宋体" w:hAnsi="宋体" w:cs="宋体"/>
          <w:szCs w:val="21"/>
        </w:rPr>
        <w:t>8.3.1货物必须符合招标文件规定的国家相关标准、行业标准、地方标准或者其他标准、规范；</w:t>
      </w:r>
    </w:p>
    <w:p w14:paraId="6539B97C">
      <w:pPr>
        <w:spacing w:line="360" w:lineRule="auto"/>
        <w:ind w:firstLine="420" w:firstLineChars="200"/>
        <w:jc w:val="left"/>
        <w:rPr>
          <w:rFonts w:hint="eastAsia" w:ascii="宋体" w:hAnsi="宋体" w:cs="宋体"/>
          <w:szCs w:val="21"/>
        </w:rPr>
      </w:pPr>
      <w:r>
        <w:rPr>
          <w:rFonts w:hint="eastAsia" w:ascii="宋体" w:hAnsi="宋体" w:cs="宋体"/>
          <w:szCs w:val="21"/>
        </w:rPr>
        <w:t>8.3.2货物必须符合招标文件规定的质量、安全、技术规格、物理特性等要求；</w:t>
      </w:r>
    </w:p>
    <w:p w14:paraId="47704B62">
      <w:pPr>
        <w:spacing w:line="360" w:lineRule="auto"/>
        <w:ind w:firstLine="420" w:firstLineChars="200"/>
        <w:jc w:val="left"/>
        <w:rPr>
          <w:rFonts w:hint="eastAsia" w:ascii="宋体" w:hAnsi="宋体" w:cs="宋体"/>
          <w:szCs w:val="21"/>
        </w:rPr>
      </w:pPr>
      <w:r>
        <w:rPr>
          <w:rFonts w:hint="eastAsia" w:ascii="宋体" w:hAnsi="宋体" w:cs="宋体"/>
          <w:szCs w:val="21"/>
        </w:rPr>
        <w:t>8.3.3货物必须符合招标文件和中标人投标文件规定的数量、项目交付或者实施的时间和地点。</w:t>
      </w:r>
    </w:p>
    <w:p w14:paraId="7EB5B867">
      <w:pPr>
        <w:spacing w:line="360" w:lineRule="auto"/>
        <w:ind w:firstLine="420" w:firstLineChars="200"/>
        <w:jc w:val="left"/>
        <w:rPr>
          <w:rFonts w:hint="eastAsia" w:ascii="宋体" w:hAnsi="宋体" w:cs="宋体"/>
          <w:szCs w:val="21"/>
        </w:rPr>
      </w:pPr>
      <w:r>
        <w:rPr>
          <w:rFonts w:hint="eastAsia" w:ascii="宋体" w:hAnsi="宋体" w:cs="宋体"/>
          <w:szCs w:val="21"/>
        </w:rPr>
        <w:t>8.3.4中标人需提供满足项目实施的货物的标准、期限、实现的效率等规定和措施；</w:t>
      </w:r>
    </w:p>
    <w:p w14:paraId="6D66C43E">
      <w:pPr>
        <w:spacing w:line="360" w:lineRule="auto"/>
        <w:ind w:firstLine="420" w:firstLineChars="200"/>
        <w:jc w:val="left"/>
        <w:rPr>
          <w:rFonts w:hint="eastAsia" w:ascii="宋体" w:hAnsi="宋体" w:cs="宋体"/>
          <w:szCs w:val="21"/>
        </w:rPr>
      </w:pPr>
      <w:r>
        <w:rPr>
          <w:rFonts w:hint="eastAsia" w:ascii="宋体" w:hAnsi="宋体" w:cs="宋体"/>
          <w:szCs w:val="21"/>
        </w:rPr>
        <w:t>8.3.5中标人应当提供完成项目的计划方案、相关资料或借鉴完成类似项目的检验大纲等验收依据或者完备、合理和科学的验收标准，以及相关的其他技术、服务等支持；</w:t>
      </w:r>
    </w:p>
    <w:p w14:paraId="4D244EF4">
      <w:pPr>
        <w:spacing w:line="360" w:lineRule="auto"/>
        <w:ind w:firstLine="420" w:firstLineChars="200"/>
        <w:jc w:val="left"/>
        <w:rPr>
          <w:rFonts w:hint="eastAsia" w:ascii="宋体" w:hAnsi="宋体" w:cs="宋体"/>
          <w:szCs w:val="21"/>
        </w:rPr>
      </w:pPr>
      <w:r>
        <w:rPr>
          <w:rFonts w:hint="eastAsia" w:ascii="宋体" w:hAnsi="宋体" w:cs="宋体"/>
          <w:szCs w:val="21"/>
        </w:rPr>
        <w:t>8.3.6中标人应当积极配合采购人及时对项目进行验收。或者必要时采购人可以邀请参加本项目的其他投标人或者第三方机构参与验收的配合。</w:t>
      </w:r>
    </w:p>
    <w:p w14:paraId="1C9338B5">
      <w:pPr>
        <w:spacing w:line="360" w:lineRule="auto"/>
        <w:ind w:firstLine="420" w:firstLineChars="200"/>
        <w:jc w:val="left"/>
        <w:rPr>
          <w:rFonts w:hint="eastAsia" w:ascii="宋体" w:hAnsi="宋体" w:cs="宋体"/>
          <w:szCs w:val="21"/>
        </w:rPr>
      </w:pPr>
      <w:r>
        <w:rPr>
          <w:rFonts w:hint="eastAsia" w:ascii="宋体" w:hAnsi="宋体" w:cs="宋体"/>
          <w:szCs w:val="21"/>
        </w:rPr>
        <w:t>8.3.7对于中标人违反采购合同约定的行为，采购人应当及时处理，依法追究其违约责任。</w:t>
      </w:r>
    </w:p>
    <w:p w14:paraId="7C1CEBED">
      <w:pPr>
        <w:spacing w:line="360" w:lineRule="auto"/>
        <w:ind w:firstLine="420" w:firstLineChars="200"/>
        <w:jc w:val="left"/>
        <w:rPr>
          <w:rFonts w:hint="eastAsia" w:ascii="宋体" w:hAnsi="宋体" w:cs="宋体"/>
          <w:szCs w:val="21"/>
        </w:rPr>
      </w:pPr>
      <w:r>
        <w:rPr>
          <w:rFonts w:hint="eastAsia" w:ascii="宋体" w:hAnsi="宋体" w:cs="宋体"/>
          <w:szCs w:val="21"/>
        </w:rPr>
        <w:t>8.4合同签订事项</w:t>
      </w:r>
    </w:p>
    <w:p w14:paraId="2D5E9CE8">
      <w:pPr>
        <w:spacing w:line="360" w:lineRule="auto"/>
        <w:ind w:firstLine="420" w:firstLineChars="200"/>
        <w:jc w:val="left"/>
        <w:rPr>
          <w:rFonts w:hint="eastAsia" w:ascii="宋体" w:hAnsi="宋体" w:cs="宋体"/>
          <w:szCs w:val="21"/>
        </w:rPr>
      </w:pPr>
      <w:r>
        <w:rPr>
          <w:rFonts w:hint="eastAsia" w:ascii="宋体" w:hAnsi="宋体" w:cs="宋体"/>
          <w:szCs w:val="21"/>
        </w:rPr>
        <w:t>8.4.1中标人在收到</w:t>
      </w:r>
      <w:r>
        <w:rPr>
          <w:rFonts w:hint="eastAsia" w:ascii="宋体" w:hAnsi="宋体" w:cs="宋体"/>
          <w:szCs w:val="21"/>
          <w:lang w:eastAsia="zh-CN"/>
        </w:rPr>
        <w:t>采购人</w:t>
      </w:r>
      <w:r>
        <w:rPr>
          <w:rFonts w:hint="eastAsia" w:ascii="宋体" w:hAnsi="宋体" w:cs="宋体"/>
          <w:szCs w:val="21"/>
        </w:rPr>
        <w:t>发出的《中标通知书》后，应在规定的时间内与采购人签订采购合同。由于中标人的原因逾期未与采购人签订采购合同的，将视为放弃中标，取消其中标资格并将按相关规定进行处理。</w:t>
      </w:r>
    </w:p>
    <w:p w14:paraId="0E3D36E5">
      <w:pPr>
        <w:spacing w:line="360" w:lineRule="auto"/>
        <w:ind w:firstLine="420" w:firstLineChars="200"/>
        <w:jc w:val="left"/>
        <w:rPr>
          <w:rFonts w:hint="eastAsia" w:ascii="宋体" w:hAnsi="宋体" w:cs="宋体"/>
          <w:szCs w:val="21"/>
        </w:rPr>
      </w:pPr>
      <w:r>
        <w:rPr>
          <w:rFonts w:hint="eastAsia" w:ascii="宋体" w:hAnsi="宋体" w:cs="宋体"/>
          <w:szCs w:val="21"/>
        </w:rPr>
        <w:t>8.4.2采购人不得向中标人提出任何不合理的要求，作为签订合同的条件。中标人拒绝按照招标文件和投标文件签订合同的或者签订的合同对服务内容做出了实质性修改，采购人有权终止合同，并保留要求经济赔偿的权利。</w:t>
      </w:r>
    </w:p>
    <w:p w14:paraId="510CA8B3">
      <w:pPr>
        <w:spacing w:line="360" w:lineRule="auto"/>
        <w:ind w:firstLine="420" w:firstLineChars="200"/>
        <w:jc w:val="left"/>
        <w:rPr>
          <w:rFonts w:hint="eastAsia" w:ascii="宋体" w:hAnsi="宋体" w:cs="宋体"/>
          <w:szCs w:val="21"/>
        </w:rPr>
      </w:pPr>
      <w:r>
        <w:rPr>
          <w:rFonts w:hint="eastAsia" w:ascii="宋体" w:hAnsi="宋体" w:cs="宋体"/>
          <w:szCs w:val="21"/>
        </w:rPr>
        <w:t>8.4.3中标人因不可抗力原因不能履行采购合同或放弃中标的，采购人可以与排在中标人之后第一位的中标候选人签订采购合同，以此类推。</w:t>
      </w:r>
    </w:p>
    <w:p w14:paraId="5881BFEA">
      <w:pPr>
        <w:spacing w:line="360" w:lineRule="auto"/>
        <w:ind w:firstLine="420" w:firstLineChars="200"/>
        <w:jc w:val="left"/>
        <w:rPr>
          <w:rFonts w:hint="eastAsia" w:ascii="宋体" w:hAnsi="宋体" w:cs="宋体"/>
          <w:szCs w:val="21"/>
        </w:rPr>
      </w:pPr>
      <w:r>
        <w:rPr>
          <w:rFonts w:hint="eastAsia" w:ascii="宋体" w:hAnsi="宋体" w:cs="宋体"/>
          <w:szCs w:val="21"/>
        </w:rPr>
        <w:t>8.4.4中标人在合同签订之后三个工作日内，将签订的合同（原件1份）送采购代理机构留存。</w:t>
      </w:r>
    </w:p>
    <w:p w14:paraId="432F2379">
      <w:pPr>
        <w:pStyle w:val="3"/>
        <w:bidi w:val="0"/>
        <w:ind w:left="0" w:firstLine="0"/>
        <w:rPr>
          <w:rFonts w:hint="eastAsia" w:ascii="宋体" w:hAnsi="宋体" w:eastAsia="宋体"/>
          <w:sz w:val="22"/>
          <w:szCs w:val="16"/>
          <w:lang w:val="en-US" w:eastAsia="zh-CN"/>
        </w:rPr>
      </w:pPr>
      <w:r>
        <w:rPr>
          <w:rFonts w:hint="eastAsia"/>
          <w:sz w:val="22"/>
          <w:szCs w:val="16"/>
          <w:lang w:val="en-US" w:eastAsia="zh-CN"/>
        </w:rPr>
        <w:t>九、</w:t>
      </w:r>
      <w:r>
        <w:rPr>
          <w:rFonts w:hint="eastAsia" w:ascii="宋体" w:hAnsi="宋体" w:eastAsia="宋体"/>
          <w:sz w:val="22"/>
          <w:szCs w:val="16"/>
          <w:lang w:val="en-US" w:eastAsia="zh-CN"/>
        </w:rPr>
        <w:t>样品</w:t>
      </w:r>
    </w:p>
    <w:p w14:paraId="67032FCA">
      <w:pPr>
        <w:spacing w:line="360" w:lineRule="auto"/>
        <w:ind w:firstLine="420" w:firstLineChars="200"/>
        <w:jc w:val="left"/>
        <w:rPr>
          <w:rFonts w:hint="eastAsia" w:ascii="宋体" w:hAnsi="宋体" w:cs="宋体"/>
          <w:szCs w:val="21"/>
        </w:rPr>
      </w:pPr>
      <w:r>
        <w:rPr>
          <w:rFonts w:hint="eastAsia" w:ascii="宋体" w:hAnsi="宋体" w:cs="宋体"/>
          <w:szCs w:val="21"/>
        </w:rPr>
        <w:t>本次采购活动不要求提供样品。</w:t>
      </w:r>
    </w:p>
    <w:p w14:paraId="1EB5EFD5">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w:t>
      </w:r>
      <w:r>
        <w:rPr>
          <w:rFonts w:hint="eastAsia" w:ascii="宋体" w:hAnsi="宋体" w:eastAsia="宋体"/>
          <w:sz w:val="22"/>
          <w:szCs w:val="16"/>
          <w:lang w:val="en-US" w:eastAsia="zh-CN"/>
        </w:rPr>
        <w:t>图纸</w:t>
      </w:r>
    </w:p>
    <w:p w14:paraId="03699F2D">
      <w:pPr>
        <w:spacing w:line="360" w:lineRule="auto"/>
        <w:ind w:firstLine="420" w:firstLineChars="200"/>
        <w:jc w:val="left"/>
        <w:rPr>
          <w:rFonts w:hint="eastAsia" w:ascii="宋体" w:hAnsi="宋体" w:cs="宋体"/>
          <w:szCs w:val="21"/>
        </w:rPr>
      </w:pPr>
      <w:r>
        <w:rPr>
          <w:rFonts w:hint="eastAsia" w:ascii="宋体" w:hAnsi="宋体" w:cs="宋体"/>
          <w:szCs w:val="21"/>
        </w:rPr>
        <w:t>本次采购活动</w:t>
      </w:r>
      <w:r>
        <w:rPr>
          <w:rFonts w:hint="eastAsia" w:ascii="宋体" w:hAnsi="宋体" w:cs="宋体"/>
          <w:szCs w:val="21"/>
          <w:lang w:val="en-US" w:eastAsia="zh-CN"/>
        </w:rPr>
        <w:t>无图纸</w:t>
      </w:r>
      <w:r>
        <w:rPr>
          <w:rFonts w:hint="eastAsia" w:ascii="宋体" w:hAnsi="宋体" w:cs="宋体"/>
          <w:szCs w:val="21"/>
        </w:rPr>
        <w:t>。</w:t>
      </w:r>
    </w:p>
    <w:p w14:paraId="124B18F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十一、</w:t>
      </w:r>
      <w:r>
        <w:rPr>
          <w:rFonts w:hint="eastAsia" w:ascii="宋体" w:hAnsi="宋体" w:eastAsia="宋体"/>
          <w:sz w:val="22"/>
          <w:szCs w:val="16"/>
          <w:lang w:val="en-US" w:eastAsia="zh-CN"/>
        </w:rPr>
        <w:t>招标活动的终止</w:t>
      </w:r>
    </w:p>
    <w:p w14:paraId="31D839B3">
      <w:pPr>
        <w:spacing w:line="360" w:lineRule="auto"/>
        <w:ind w:firstLine="420" w:firstLineChars="200"/>
        <w:jc w:val="left"/>
        <w:rPr>
          <w:rFonts w:hint="eastAsia" w:ascii="宋体" w:hAnsi="宋体" w:cs="宋体"/>
          <w:szCs w:val="21"/>
        </w:rPr>
      </w:pPr>
      <w:r>
        <w:rPr>
          <w:rFonts w:hint="eastAsia" w:ascii="宋体" w:hAnsi="宋体" w:cs="宋体"/>
          <w:szCs w:val="21"/>
        </w:rPr>
        <w:t>采购代理机构在发布招标公告后，除因重大变故采购任务取消情况外，不得擅自终止招标活动。</w:t>
      </w:r>
    </w:p>
    <w:p w14:paraId="26295270">
      <w:pPr>
        <w:spacing w:line="360" w:lineRule="auto"/>
        <w:ind w:firstLine="420" w:firstLineChars="200"/>
        <w:jc w:val="left"/>
        <w:rPr>
          <w:rFonts w:hint="eastAsia" w:ascii="宋体" w:hAnsi="宋体" w:cs="宋体"/>
          <w:szCs w:val="21"/>
        </w:rPr>
      </w:pPr>
      <w:r>
        <w:rPr>
          <w:rFonts w:hint="eastAsia" w:ascii="宋体" w:hAnsi="宋体" w:cs="宋体"/>
          <w:szCs w:val="21"/>
        </w:rPr>
        <w:t>终止招标的，采购代理机构应当及时在原公告发布媒体上发布终止公告，以书面或电子邮件形式通知已获取招标文件的潜在投标人。</w:t>
      </w:r>
    </w:p>
    <w:p w14:paraId="0C46EE99">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十二、</w:t>
      </w:r>
      <w:r>
        <w:rPr>
          <w:rFonts w:hint="eastAsia" w:ascii="宋体" w:hAnsi="宋体" w:eastAsia="宋体"/>
          <w:sz w:val="22"/>
          <w:szCs w:val="16"/>
          <w:lang w:val="en-US" w:eastAsia="zh-CN"/>
        </w:rPr>
        <w:t>行贿与受贿约束</w:t>
      </w:r>
    </w:p>
    <w:p w14:paraId="12161537">
      <w:pPr>
        <w:spacing w:line="360" w:lineRule="auto"/>
        <w:ind w:firstLine="420" w:firstLineChars="200"/>
        <w:jc w:val="left"/>
        <w:rPr>
          <w:rFonts w:hint="eastAsia" w:ascii="宋体" w:hAnsi="宋体" w:cs="宋体"/>
          <w:szCs w:val="21"/>
        </w:rPr>
      </w:pPr>
      <w:r>
        <w:rPr>
          <w:rFonts w:hint="eastAsia" w:ascii="宋体" w:hAnsi="宋体" w:cs="宋体"/>
          <w:szCs w:val="21"/>
        </w:rPr>
        <w:t>投标人在获取招标文件后，在投标过程中不得向采购代理机构工作人员提供、赠予、给予等任何形式的有价物品，不得向采购人给予赠品、回扣或者与采购无关的其他商品、服务，坚决杜绝和抵制影响采购招标的正常决策行为。投标人一旦发生上述行为且证据明确，其投标资格被取消并承担相应法律责任。</w:t>
      </w:r>
    </w:p>
    <w:p w14:paraId="05D05F21">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十三、</w:t>
      </w:r>
      <w:r>
        <w:rPr>
          <w:rFonts w:hint="eastAsia" w:ascii="宋体" w:hAnsi="宋体" w:eastAsia="宋体"/>
          <w:sz w:val="22"/>
          <w:szCs w:val="16"/>
          <w:lang w:val="en-US" w:eastAsia="zh-CN"/>
        </w:rPr>
        <w:t>投标人信用查询方法和途径</w:t>
      </w:r>
    </w:p>
    <w:p w14:paraId="75DBAB78">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13.1</w:t>
      </w:r>
      <w:r>
        <w:rPr>
          <w:rFonts w:hint="eastAsia" w:ascii="宋体" w:hAnsi="宋体" w:cs="宋体"/>
          <w:szCs w:val="21"/>
        </w:rPr>
        <w:t>根据财政部《关于在政府采购活动中查询及使用信用记录有关问题的通知》（财库〔2016〕125号）第二条有关要求，采购人将在资格审查阶段通过【信用中国】（</w:t>
      </w:r>
      <w:r>
        <w:rPr>
          <w:rFonts w:hint="eastAsia" w:ascii="宋体" w:hAnsi="宋体" w:cs="宋体"/>
          <w:szCs w:val="21"/>
        </w:rPr>
        <w:fldChar w:fldCharType="begin"/>
      </w:r>
      <w:r>
        <w:rPr>
          <w:rFonts w:hint="eastAsia" w:ascii="宋体" w:hAnsi="宋体" w:cs="宋体"/>
          <w:szCs w:val="21"/>
        </w:rPr>
        <w:instrText xml:space="preserve"> HYPERLINK "https://www.creditchina.gov.cn" </w:instrText>
      </w:r>
      <w:r>
        <w:rPr>
          <w:rFonts w:hint="eastAsia" w:ascii="宋体" w:hAnsi="宋体" w:cs="宋体"/>
          <w:szCs w:val="21"/>
        </w:rPr>
        <w:fldChar w:fldCharType="separate"/>
      </w:r>
      <w:r>
        <w:rPr>
          <w:rFonts w:hint="eastAsia" w:ascii="宋体" w:hAnsi="宋体" w:cs="宋体"/>
          <w:szCs w:val="21"/>
        </w:rPr>
        <w:t>https://www.creditchina.gov.cn</w:t>
      </w:r>
      <w:r>
        <w:rPr>
          <w:rFonts w:hint="eastAsia" w:ascii="宋体" w:hAnsi="宋体" w:cs="宋体"/>
          <w:szCs w:val="21"/>
        </w:rPr>
        <w:fldChar w:fldCharType="end"/>
      </w:r>
      <w:r>
        <w:rPr>
          <w:rFonts w:hint="eastAsia" w:ascii="宋体" w:hAnsi="宋体" w:cs="宋体"/>
          <w:szCs w:val="21"/>
        </w:rPr>
        <w:t>/）和【中国政府采购网】（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http://www.ccgp.gov.cn/）</w:t>
      </w:r>
      <w:r>
        <w:rPr>
          <w:rFonts w:hint="eastAsia" w:ascii="宋体" w:hAnsi="宋体" w:cs="宋体"/>
          <w:szCs w:val="21"/>
        </w:rPr>
        <w:fldChar w:fldCharType="end"/>
      </w:r>
      <w:r>
        <w:rPr>
          <w:rFonts w:hint="eastAsia" w:ascii="宋体" w:hAnsi="宋体" w:cs="宋体"/>
          <w:szCs w:val="21"/>
        </w:rPr>
        <w:t>对</w:t>
      </w:r>
      <w:r>
        <w:rPr>
          <w:rFonts w:hint="eastAsia" w:ascii="宋体" w:hAnsi="宋体" w:cs="宋体"/>
          <w:szCs w:val="21"/>
          <w:lang w:eastAsia="zh-CN"/>
        </w:rPr>
        <w:t>投标人</w:t>
      </w:r>
      <w:r>
        <w:rPr>
          <w:rFonts w:hint="eastAsia" w:ascii="宋体" w:hAnsi="宋体" w:cs="宋体"/>
          <w:szCs w:val="21"/>
        </w:rPr>
        <w:t>的信用情况进行甄别。</w:t>
      </w:r>
    </w:p>
    <w:p w14:paraId="729807B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13.2</w:t>
      </w:r>
      <w:r>
        <w:rPr>
          <w:rFonts w:hint="eastAsia" w:ascii="宋体" w:hAnsi="宋体" w:cs="宋体"/>
          <w:szCs w:val="21"/>
        </w:rPr>
        <w:t>对列入失信被执行人、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、政府采购严重违法失信行为记录名单及其他不符合《中华人民共和国政府采购法》第二十二条规定条件的</w:t>
      </w:r>
      <w:r>
        <w:rPr>
          <w:rFonts w:hint="eastAsia" w:ascii="宋体" w:hAnsi="宋体" w:cs="宋体"/>
          <w:szCs w:val="21"/>
          <w:lang w:eastAsia="zh-CN"/>
        </w:rPr>
        <w:t>投标人</w:t>
      </w:r>
      <w:r>
        <w:rPr>
          <w:rFonts w:hint="eastAsia" w:ascii="宋体" w:hAnsi="宋体" w:cs="宋体"/>
          <w:szCs w:val="21"/>
        </w:rPr>
        <w:t>，将拒绝其参与政府采购活动。</w:t>
      </w:r>
    </w:p>
    <w:p w14:paraId="1AAA71D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13.3</w:t>
      </w:r>
      <w:r>
        <w:rPr>
          <w:rFonts w:hint="eastAsia" w:ascii="宋体" w:hAnsi="宋体" w:cs="宋体"/>
          <w:szCs w:val="21"/>
          <w:lang w:eastAsia="zh-CN"/>
        </w:rPr>
        <w:t>投标人</w:t>
      </w:r>
      <w:r>
        <w:rPr>
          <w:rFonts w:hint="eastAsia" w:ascii="宋体" w:hAnsi="宋体" w:cs="宋体"/>
          <w:szCs w:val="21"/>
        </w:rPr>
        <w:t>在参加政府采购活动前3年内因违法经营被禁止在一定期限内参加政府采购活动，期限届满的，可以参加政府采购活动的，但</w:t>
      </w:r>
      <w:r>
        <w:rPr>
          <w:rFonts w:hint="eastAsia" w:ascii="宋体" w:hAnsi="宋体" w:cs="宋体"/>
          <w:szCs w:val="21"/>
          <w:lang w:eastAsia="zh-CN"/>
        </w:rPr>
        <w:t>投标人</w:t>
      </w:r>
      <w:r>
        <w:rPr>
          <w:rFonts w:hint="eastAsia" w:ascii="宋体" w:hAnsi="宋体" w:cs="宋体"/>
          <w:szCs w:val="21"/>
        </w:rPr>
        <w:t>应提供相关证明材料。</w:t>
      </w:r>
    </w:p>
    <w:p w14:paraId="531E742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13.4</w:t>
      </w:r>
      <w:r>
        <w:rPr>
          <w:rFonts w:hint="eastAsia" w:ascii="宋体" w:hAnsi="宋体" w:cs="宋体"/>
          <w:szCs w:val="21"/>
        </w:rPr>
        <w:t>信用记录查询结果打印后，将与其他采购文件一并保存。</w:t>
      </w:r>
    </w:p>
    <w:p w14:paraId="3FC91854">
      <w:pPr>
        <w:pStyle w:val="3"/>
        <w:bidi w:val="0"/>
        <w:ind w:left="0" w:firstLine="0"/>
        <w:rPr>
          <w:rFonts w:hint="eastAsia"/>
          <w:sz w:val="22"/>
          <w:szCs w:val="16"/>
          <w:lang w:val="en-US" w:eastAsia="zh-CN"/>
        </w:rPr>
      </w:pPr>
      <w:r>
        <w:rPr>
          <w:rFonts w:hint="eastAsia"/>
          <w:sz w:val="22"/>
          <w:szCs w:val="16"/>
          <w:lang w:val="en-US" w:eastAsia="zh-CN"/>
        </w:rPr>
        <w:t>十四、其他说明</w:t>
      </w:r>
    </w:p>
    <w:p w14:paraId="41C7864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投标人不得存在下列情形之一，否则</w:t>
      </w:r>
      <w:r>
        <w:rPr>
          <w:rFonts w:hint="eastAsia" w:ascii="宋体" w:hAnsi="宋体" w:cs="宋体"/>
          <w:color w:val="000000"/>
          <w:szCs w:val="21"/>
        </w:rPr>
        <w:t>其投标将被否决：</w:t>
      </w:r>
    </w:p>
    <w:p w14:paraId="5FDDE84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（1）为</w:t>
      </w:r>
      <w:r>
        <w:rPr>
          <w:rFonts w:hint="eastAsia" w:ascii="宋体" w:hAnsi="宋体" w:cs="宋体"/>
          <w:kern w:val="0"/>
          <w:szCs w:val="21"/>
          <w:lang w:eastAsia="zh-CN"/>
        </w:rPr>
        <w:t>采购人</w:t>
      </w:r>
      <w:r>
        <w:rPr>
          <w:rFonts w:hint="eastAsia" w:ascii="宋体" w:hAnsi="宋体" w:cs="宋体"/>
          <w:kern w:val="0"/>
          <w:szCs w:val="21"/>
        </w:rPr>
        <w:t xml:space="preserve">不具有独立法人资格的附属机构（单位）； </w:t>
      </w:r>
    </w:p>
    <w:p w14:paraId="180BCD8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（2）为本项目提供招标代理服务的； </w:t>
      </w:r>
    </w:p>
    <w:p w14:paraId="5642911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（3）被责令停业的； </w:t>
      </w:r>
    </w:p>
    <w:p w14:paraId="6AAF5D2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（4）被暂停或取消投标资格的； </w:t>
      </w:r>
    </w:p>
    <w:p w14:paraId="37068AB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（5）财产被接管或冻结的；</w:t>
      </w:r>
    </w:p>
    <w:p w14:paraId="04A19FC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（6）在最近三年内有骗取中标或严重违约或重大质量问题的；</w:t>
      </w:r>
    </w:p>
    <w:p w14:paraId="0DD6F043">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（7）存在提供虚假的财务状况、业绩、虚假的信用状况等弄虚作假的行为；</w:t>
      </w:r>
    </w:p>
    <w:p w14:paraId="64E44822">
      <w:pPr>
        <w:widowControl/>
        <w:spacing w:line="360" w:lineRule="auto"/>
        <w:ind w:firstLine="420" w:firstLineChars="200"/>
        <w:jc w:val="left"/>
        <w:rPr>
          <w:rFonts w:ascii="宋体" w:hAnsi="宋体" w:cs="宋体"/>
          <w:szCs w:val="21"/>
        </w:rPr>
      </w:pPr>
      <w:r>
        <w:rPr>
          <w:rFonts w:hint="eastAsia" w:ascii="宋体" w:hAnsi="宋体" w:cs="宋体"/>
          <w:color w:val="000000"/>
          <w:szCs w:val="21"/>
        </w:rPr>
        <w:t>（8）</w:t>
      </w:r>
      <w:r>
        <w:rPr>
          <w:rFonts w:hint="eastAsia" w:ascii="宋体" w:hAnsi="宋体" w:cs="宋体"/>
          <w:szCs w:val="21"/>
        </w:rPr>
        <w:t>不按评标委员会要求澄清、说明或补正的。</w:t>
      </w:r>
    </w:p>
    <w:p w14:paraId="0B59CEE0">
      <w:pPr>
        <w:rPr>
          <w:rFonts w:ascii="宋体" w:hAnsi="宋体" w:cs="宋体"/>
          <w:sz w:val="24"/>
        </w:rPr>
      </w:pPr>
      <w:r>
        <w:rPr>
          <w:rFonts w:hint="eastAsia" w:ascii="宋体" w:hAnsi="宋体" w:cs="宋体"/>
          <w:sz w:val="24"/>
        </w:rPr>
        <w:br w:type="page"/>
      </w:r>
    </w:p>
    <w:p w14:paraId="414E90E7">
      <w:pPr>
        <w:spacing w:line="360" w:lineRule="auto"/>
        <w:jc w:val="center"/>
        <w:outlineLvl w:val="0"/>
        <w:rPr>
          <w:rFonts w:ascii="宋体" w:hAnsi="宋体"/>
          <w:b/>
          <w:kern w:val="44"/>
          <w:sz w:val="32"/>
        </w:rPr>
      </w:pPr>
      <w:bookmarkStart w:id="51" w:name="_Toc20329"/>
      <w:bookmarkStart w:id="52" w:name="_Toc30918"/>
      <w:bookmarkStart w:id="53" w:name="_Toc23925"/>
      <w:r>
        <w:rPr>
          <w:rFonts w:ascii="宋体" w:hAnsi="宋体"/>
          <w:b/>
          <w:kern w:val="44"/>
          <w:sz w:val="32"/>
        </w:rPr>
        <w:t>第</w:t>
      </w:r>
      <w:r>
        <w:rPr>
          <w:rFonts w:hint="eastAsia" w:ascii="宋体" w:hAnsi="宋体"/>
          <w:b/>
          <w:kern w:val="44"/>
          <w:sz w:val="32"/>
        </w:rPr>
        <w:t>三</w:t>
      </w:r>
      <w:r>
        <w:rPr>
          <w:rFonts w:ascii="宋体" w:hAnsi="宋体"/>
          <w:b/>
          <w:kern w:val="44"/>
          <w:sz w:val="32"/>
        </w:rPr>
        <w:t>章  评标标准及方法</w:t>
      </w:r>
      <w:bookmarkEnd w:id="51"/>
      <w:bookmarkEnd w:id="52"/>
      <w:bookmarkEnd w:id="53"/>
    </w:p>
    <w:p w14:paraId="5299E507">
      <w:pPr>
        <w:pStyle w:val="3"/>
        <w:spacing w:before="78" w:after="78"/>
        <w:rPr>
          <w:rFonts w:hint="eastAsia" w:ascii="宋体" w:hAnsi="宋体"/>
        </w:rPr>
      </w:pPr>
      <w:bookmarkStart w:id="54" w:name="_Toc29875"/>
      <w:bookmarkStart w:id="55" w:name="_Toc363463332"/>
      <w:r>
        <w:rPr>
          <w:rFonts w:hint="eastAsia" w:ascii="宋体" w:hAnsi="宋体"/>
        </w:rPr>
        <w:t>一</w:t>
      </w:r>
      <w:r>
        <w:rPr>
          <w:rFonts w:hint="eastAsia"/>
          <w:lang w:eastAsia="zh-CN"/>
        </w:rPr>
        <w:t>、</w:t>
      </w:r>
      <w:r>
        <w:rPr>
          <w:rFonts w:hint="eastAsia" w:ascii="宋体" w:hAnsi="宋体"/>
        </w:rPr>
        <w:t>评标方法</w:t>
      </w:r>
      <w:bookmarkEnd w:id="54"/>
      <w:bookmarkEnd w:id="55"/>
    </w:p>
    <w:p w14:paraId="7F357594">
      <w:pPr>
        <w:spacing w:line="360" w:lineRule="auto"/>
        <w:ind w:firstLine="420" w:firstLineChars="200"/>
        <w:rPr>
          <w:rFonts w:ascii="宋体" w:hAnsi="宋体" w:cs="宋体"/>
          <w:bCs/>
          <w:sz w:val="21"/>
          <w:szCs w:val="21"/>
        </w:rPr>
      </w:pPr>
      <w:r>
        <w:rPr>
          <w:rFonts w:hint="eastAsia" w:ascii="宋体" w:hAnsi="宋体"/>
          <w:sz w:val="21"/>
          <w:szCs w:val="21"/>
        </w:rPr>
        <w:t>按照《中华人民共和国政府采购法》、《中华人民共和国政府采购法实施条例》和《政府采购服务和服务招标投标管理办法》的规定，本次评标采用综合评分法--投标文件满足招标文件全部实质性要求，且按照评审因素的量化指标评审得分最高的投标人为中标候选人。（最低报价不是中标的唯一标准）。</w:t>
      </w:r>
    </w:p>
    <w:p w14:paraId="5A29CF98">
      <w:pPr>
        <w:pStyle w:val="3"/>
        <w:spacing w:before="78" w:after="78"/>
        <w:rPr>
          <w:rFonts w:hint="eastAsia" w:ascii="宋体" w:hAnsi="宋体"/>
          <w:lang w:val="en-US" w:eastAsia="zh-CN"/>
        </w:rPr>
      </w:pPr>
      <w:bookmarkStart w:id="56" w:name="_Toc30213"/>
      <w:r>
        <w:rPr>
          <w:rFonts w:hint="eastAsia" w:ascii="宋体" w:hAnsi="宋体"/>
          <w:lang w:val="en-US" w:eastAsia="zh-CN"/>
        </w:rPr>
        <w:t>二</w:t>
      </w:r>
      <w:r>
        <w:rPr>
          <w:rFonts w:hint="eastAsia"/>
          <w:lang w:val="en-US" w:eastAsia="zh-CN"/>
        </w:rPr>
        <w:t>、</w:t>
      </w:r>
      <w:r>
        <w:rPr>
          <w:rFonts w:hint="eastAsia" w:ascii="宋体" w:hAnsi="宋体"/>
          <w:lang w:val="en-US" w:eastAsia="zh-CN"/>
        </w:rPr>
        <w:t>资格审查</w:t>
      </w:r>
      <w:bookmarkEnd w:id="56"/>
    </w:p>
    <w:p w14:paraId="00361D5F">
      <w:pPr>
        <w:spacing w:line="360" w:lineRule="auto"/>
        <w:ind w:firstLine="420" w:firstLineChars="200"/>
        <w:rPr>
          <w:rFonts w:hint="eastAsia" w:ascii="宋体" w:hAnsi="宋体"/>
          <w:sz w:val="21"/>
          <w:szCs w:val="21"/>
        </w:rPr>
      </w:pPr>
      <w:r>
        <w:rPr>
          <w:rFonts w:hint="eastAsia" w:ascii="宋体" w:hAnsi="宋体"/>
          <w:sz w:val="21"/>
          <w:szCs w:val="21"/>
        </w:rPr>
        <w:t>资格评审标准：开标结束后，采购代理机构应当依法对投标人的资格进行审查。合格投标人不足三家的，不得评标。</w:t>
      </w:r>
    </w:p>
    <w:p w14:paraId="42DDCFC9">
      <w:pPr>
        <w:spacing w:line="360" w:lineRule="auto"/>
        <w:ind w:firstLine="420" w:firstLineChars="200"/>
        <w:rPr>
          <w:rFonts w:hint="eastAsia" w:ascii="宋体" w:hAnsi="宋体"/>
          <w:sz w:val="21"/>
          <w:szCs w:val="21"/>
        </w:rPr>
      </w:pPr>
      <w:r>
        <w:rPr>
          <w:rFonts w:hint="eastAsia" w:ascii="宋体" w:hAnsi="宋体"/>
          <w:sz w:val="21"/>
          <w:szCs w:val="21"/>
        </w:rPr>
        <w:t>审查内容出现任何一项不符合，按无效响应处理。资格审查内容如下：</w:t>
      </w:r>
    </w:p>
    <w:tbl>
      <w:tblPr>
        <w:tblStyle w:val="21"/>
        <w:tblW w:w="935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8618"/>
      </w:tblGrid>
      <w:tr w14:paraId="3EA7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740" w:type="dxa"/>
            <w:vAlign w:val="center"/>
          </w:tcPr>
          <w:p w14:paraId="20025A91">
            <w:pPr>
              <w:jc w:val="center"/>
              <w:rPr>
                <w:rFonts w:ascii="宋体" w:hAnsi="宋体" w:cs="宋体"/>
                <w:kern w:val="0"/>
                <w:sz w:val="21"/>
                <w:szCs w:val="21"/>
              </w:rPr>
            </w:pPr>
            <w:r>
              <w:rPr>
                <w:rFonts w:hint="eastAsia" w:ascii="宋体" w:hAnsi="宋体" w:cs="宋体"/>
                <w:kern w:val="0"/>
                <w:sz w:val="21"/>
                <w:szCs w:val="21"/>
              </w:rPr>
              <w:t>序号</w:t>
            </w:r>
          </w:p>
        </w:tc>
        <w:tc>
          <w:tcPr>
            <w:tcW w:w="8618" w:type="dxa"/>
            <w:vAlign w:val="center"/>
          </w:tcPr>
          <w:p w14:paraId="24B3AC56">
            <w:pPr>
              <w:jc w:val="left"/>
              <w:rPr>
                <w:rFonts w:ascii="宋体" w:hAnsi="宋体" w:cs="宋体"/>
                <w:kern w:val="0"/>
                <w:sz w:val="21"/>
                <w:szCs w:val="21"/>
              </w:rPr>
            </w:pPr>
            <w:r>
              <w:rPr>
                <w:rFonts w:hint="eastAsia" w:ascii="宋体" w:hAnsi="宋体" w:cs="宋体"/>
                <w:kern w:val="0"/>
                <w:sz w:val="21"/>
                <w:szCs w:val="21"/>
              </w:rPr>
              <w:t>审查内容</w:t>
            </w:r>
          </w:p>
        </w:tc>
      </w:tr>
      <w:tr w14:paraId="5DE06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0" w:type="dxa"/>
            <w:vAlign w:val="center"/>
          </w:tcPr>
          <w:p w14:paraId="06CD7AEF">
            <w:pPr>
              <w:jc w:val="center"/>
              <w:rPr>
                <w:rFonts w:ascii="宋体" w:hAnsi="宋体" w:cs="宋体"/>
                <w:kern w:val="0"/>
                <w:sz w:val="21"/>
                <w:szCs w:val="21"/>
              </w:rPr>
            </w:pPr>
            <w:r>
              <w:rPr>
                <w:rFonts w:hint="eastAsia" w:ascii="宋体" w:hAnsi="宋体" w:cs="宋体"/>
                <w:kern w:val="0"/>
                <w:sz w:val="21"/>
                <w:szCs w:val="21"/>
              </w:rPr>
              <w:t>1</w:t>
            </w:r>
          </w:p>
        </w:tc>
        <w:tc>
          <w:tcPr>
            <w:tcW w:w="8618" w:type="dxa"/>
            <w:vAlign w:val="center"/>
          </w:tcPr>
          <w:p w14:paraId="5D1CEB0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34E5F64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726C32C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w:t>
            </w:r>
            <w:r>
              <w:rPr>
                <w:rFonts w:hint="eastAsia"/>
                <w:sz w:val="21"/>
                <w:szCs w:val="21"/>
                <w:highlight w:val="none"/>
                <w:lang w:val="en-US" w:eastAsia="zh-CN"/>
              </w:rPr>
              <w:t>2024年度</w:t>
            </w:r>
            <w:r>
              <w:rPr>
                <w:rFonts w:hint="eastAsia"/>
                <w:sz w:val="21"/>
                <w:szCs w:val="21"/>
                <w:highlight w:val="none"/>
              </w:rPr>
              <w:t>经审计的财务报告复印件</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rPr>
              <w:t>提供具有良好商业信誉和健全的财务会计制度的承诺函。（以上</w:t>
            </w:r>
            <w:r>
              <w:rPr>
                <w:rFonts w:hint="eastAsia"/>
                <w:sz w:val="21"/>
                <w:szCs w:val="21"/>
                <w:highlight w:val="none"/>
                <w:lang w:val="en-US" w:eastAsia="zh-CN"/>
              </w:rPr>
              <w:t>三</w:t>
            </w:r>
            <w:r>
              <w:rPr>
                <w:rFonts w:hint="eastAsia"/>
                <w:sz w:val="21"/>
                <w:szCs w:val="21"/>
                <w:highlight w:val="none"/>
              </w:rPr>
              <w:t>种形式的资料提供任何一种即可）</w:t>
            </w:r>
          </w:p>
          <w:p w14:paraId="1BFE0FF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eastAsia="宋体"/>
                <w:sz w:val="21"/>
                <w:szCs w:val="21"/>
                <w:highlight w:val="none"/>
                <w:lang w:eastAsia="zh-CN"/>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w:t>
            </w:r>
            <w:r>
              <w:rPr>
                <w:rFonts w:hint="eastAsia"/>
                <w:sz w:val="21"/>
                <w:szCs w:val="21"/>
                <w:highlight w:val="none"/>
                <w:lang w:val="en-US" w:eastAsia="zh-CN"/>
              </w:rPr>
              <w:t>或</w:t>
            </w:r>
            <w:r>
              <w:rPr>
                <w:rFonts w:hint="eastAsia"/>
                <w:sz w:val="21"/>
                <w:szCs w:val="21"/>
                <w:highlight w:val="none"/>
              </w:rPr>
              <w:t>提供具有依法纳税良好记录的承诺函。以上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依法免税的投标人应提供相关证明材料</w:t>
            </w:r>
            <w:r>
              <w:rPr>
                <w:rFonts w:hint="eastAsia"/>
                <w:sz w:val="21"/>
                <w:szCs w:val="21"/>
                <w:highlight w:val="none"/>
                <w:lang w:eastAsia="zh-CN"/>
              </w:rPr>
              <w:t>。</w:t>
            </w:r>
          </w:p>
          <w:p w14:paraId="469738D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lang w:eastAsia="zh-CN"/>
              </w:rPr>
              <w:t>提供具有依法缴纳社会保障资金良好记录的承诺函。</w:t>
            </w:r>
            <w:r>
              <w:rPr>
                <w:rFonts w:hint="eastAsia"/>
                <w:sz w:val="21"/>
                <w:szCs w:val="21"/>
                <w:highlight w:val="none"/>
              </w:rPr>
              <w:t>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依法不需要缴纳社会保障资金的投标人应提供相关证明材料；</w:t>
            </w:r>
          </w:p>
          <w:p w14:paraId="0095AC8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57A5F1F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lang w:val="en-US" w:eastAsia="zh-CN"/>
              </w:rPr>
              <w:t>6）提供“参加政府采购活动前3年内在经营活动中没有重大违法记录的书面声明”；</w:t>
            </w:r>
          </w:p>
        </w:tc>
      </w:tr>
      <w:tr w14:paraId="79A4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40" w:type="dxa"/>
            <w:vAlign w:val="center"/>
          </w:tcPr>
          <w:p w14:paraId="12DC9422">
            <w:pPr>
              <w:jc w:val="center"/>
              <w:rPr>
                <w:rFonts w:ascii="宋体" w:hAnsi="宋体" w:cs="宋体"/>
                <w:kern w:val="0"/>
                <w:sz w:val="21"/>
                <w:szCs w:val="21"/>
              </w:rPr>
            </w:pPr>
            <w:r>
              <w:rPr>
                <w:rFonts w:hint="eastAsia" w:ascii="宋体" w:hAnsi="宋体" w:cs="宋体"/>
                <w:kern w:val="0"/>
                <w:sz w:val="21"/>
                <w:szCs w:val="21"/>
              </w:rPr>
              <w:t>2</w:t>
            </w:r>
          </w:p>
        </w:tc>
        <w:tc>
          <w:tcPr>
            <w:tcW w:w="8618" w:type="dxa"/>
            <w:vAlign w:val="center"/>
          </w:tcPr>
          <w:p w14:paraId="46FE6F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rPr>
              <w:t>提供投标人法定代表人授权委托书，附法定代表人及授权人代表身份证复印件并依照规定格式签署和盖章，法定代表人参加投标的提供身份证明及身份证复印件；</w:t>
            </w:r>
          </w:p>
        </w:tc>
      </w:tr>
      <w:tr w14:paraId="0E18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740" w:type="dxa"/>
            <w:vAlign w:val="center"/>
          </w:tcPr>
          <w:p w14:paraId="12B59227">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618" w:type="dxa"/>
            <w:vAlign w:val="center"/>
          </w:tcPr>
          <w:p w14:paraId="75ED052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cs="宋体"/>
                <w:sz w:val="21"/>
                <w:szCs w:val="21"/>
              </w:rPr>
            </w:pP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tc>
      </w:tr>
      <w:tr w14:paraId="6725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740" w:type="dxa"/>
            <w:vAlign w:val="center"/>
          </w:tcPr>
          <w:p w14:paraId="79451C74">
            <w:pPr>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c>
          <w:tcPr>
            <w:tcW w:w="8618" w:type="dxa"/>
            <w:vAlign w:val="center"/>
          </w:tcPr>
          <w:p w14:paraId="6C12DE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kern w:val="0"/>
                <w:sz w:val="21"/>
                <w:szCs w:val="21"/>
                <w:highlight w:val="none"/>
              </w:rPr>
            </w:pP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tc>
      </w:tr>
    </w:tbl>
    <w:p w14:paraId="6EC8184E">
      <w:pPr>
        <w:pStyle w:val="3"/>
        <w:spacing w:before="78" w:after="78"/>
        <w:rPr>
          <w:rFonts w:hint="eastAsia" w:ascii="宋体" w:hAnsi="宋体"/>
          <w:lang w:val="en-US" w:eastAsia="zh-CN"/>
        </w:rPr>
      </w:pPr>
      <w:bookmarkStart w:id="57" w:name="_Toc25772"/>
      <w:bookmarkStart w:id="58" w:name="_Toc52064327"/>
      <w:bookmarkStart w:id="59" w:name="_Toc52064870"/>
      <w:bookmarkStart w:id="60" w:name="_Toc48301729"/>
      <w:r>
        <w:rPr>
          <w:rFonts w:hint="eastAsia" w:ascii="宋体" w:hAnsi="宋体"/>
          <w:lang w:val="en-US" w:eastAsia="zh-CN"/>
        </w:rPr>
        <w:t>三</w:t>
      </w:r>
      <w:r>
        <w:rPr>
          <w:rFonts w:hint="eastAsia"/>
          <w:lang w:val="en-US" w:eastAsia="zh-CN"/>
        </w:rPr>
        <w:t>、</w:t>
      </w:r>
      <w:r>
        <w:rPr>
          <w:rFonts w:hint="eastAsia" w:ascii="宋体" w:hAnsi="宋体"/>
          <w:lang w:val="en-US" w:eastAsia="zh-CN"/>
        </w:rPr>
        <w:t>评标</w:t>
      </w:r>
      <w:bookmarkEnd w:id="57"/>
      <w:bookmarkEnd w:id="58"/>
      <w:bookmarkEnd w:id="59"/>
      <w:bookmarkEnd w:id="60"/>
    </w:p>
    <w:p w14:paraId="7DE81DAA">
      <w:pPr>
        <w:spacing w:line="360" w:lineRule="auto"/>
        <w:ind w:firstLine="420" w:firstLineChars="200"/>
        <w:rPr>
          <w:rFonts w:hint="eastAsia" w:ascii="宋体" w:hAnsi="宋体"/>
          <w:sz w:val="21"/>
          <w:szCs w:val="21"/>
        </w:rPr>
      </w:pPr>
      <w:r>
        <w:rPr>
          <w:rFonts w:hint="eastAsia" w:ascii="宋体" w:hAnsi="宋体"/>
          <w:sz w:val="21"/>
          <w:szCs w:val="21"/>
        </w:rPr>
        <w:t>（一）采购代理机构负责组织评标工作，并履行下列职责：</w:t>
      </w:r>
    </w:p>
    <w:p w14:paraId="12B5B0D4">
      <w:pPr>
        <w:spacing w:line="360" w:lineRule="auto"/>
        <w:ind w:firstLine="420" w:firstLineChars="200"/>
        <w:rPr>
          <w:rFonts w:hint="eastAsia" w:ascii="宋体" w:hAnsi="宋体"/>
          <w:sz w:val="21"/>
          <w:szCs w:val="21"/>
        </w:rPr>
      </w:pPr>
      <w:r>
        <w:rPr>
          <w:rFonts w:hint="eastAsia" w:ascii="宋体" w:hAnsi="宋体"/>
          <w:sz w:val="21"/>
          <w:szCs w:val="21"/>
        </w:rPr>
        <w:t>1、核对评审专家身份和采购人对采购人代表授权函，对评审专家在政府采购活动重的职责履行情况予以记录，并及时将有关违法违规行为向财政部门报告；</w:t>
      </w:r>
    </w:p>
    <w:p w14:paraId="7C190CF1">
      <w:pPr>
        <w:spacing w:line="360" w:lineRule="auto"/>
        <w:ind w:firstLine="420" w:firstLineChars="200"/>
        <w:rPr>
          <w:rFonts w:hint="eastAsia" w:ascii="宋体" w:hAnsi="宋体"/>
          <w:sz w:val="21"/>
          <w:szCs w:val="21"/>
        </w:rPr>
      </w:pPr>
      <w:r>
        <w:rPr>
          <w:rFonts w:hint="eastAsia" w:ascii="宋体" w:hAnsi="宋体"/>
          <w:sz w:val="21"/>
          <w:szCs w:val="21"/>
        </w:rPr>
        <w:t>2、宣布评标纪律；</w:t>
      </w:r>
    </w:p>
    <w:p w14:paraId="3E57C71A">
      <w:pPr>
        <w:spacing w:line="360" w:lineRule="auto"/>
        <w:ind w:firstLine="420" w:firstLineChars="200"/>
        <w:rPr>
          <w:rFonts w:hint="eastAsia" w:ascii="宋体" w:hAnsi="宋体"/>
          <w:sz w:val="21"/>
          <w:szCs w:val="21"/>
        </w:rPr>
      </w:pPr>
      <w:r>
        <w:rPr>
          <w:rFonts w:hint="eastAsia" w:ascii="宋体" w:hAnsi="宋体"/>
          <w:sz w:val="21"/>
          <w:szCs w:val="21"/>
        </w:rPr>
        <w:t>3、公布投标人名单，告知评审专家应当回避的情形；</w:t>
      </w:r>
    </w:p>
    <w:p w14:paraId="1D90BF5E">
      <w:pPr>
        <w:spacing w:line="360" w:lineRule="auto"/>
        <w:ind w:firstLine="420" w:firstLineChars="200"/>
        <w:rPr>
          <w:rFonts w:hint="eastAsia" w:ascii="宋体" w:hAnsi="宋体"/>
          <w:sz w:val="21"/>
          <w:szCs w:val="21"/>
        </w:rPr>
      </w:pPr>
      <w:r>
        <w:rPr>
          <w:rFonts w:hint="eastAsia" w:ascii="宋体" w:hAnsi="宋体"/>
          <w:sz w:val="21"/>
          <w:szCs w:val="21"/>
        </w:rPr>
        <w:t>4、组织评审委员会推选评标组长；</w:t>
      </w:r>
    </w:p>
    <w:p w14:paraId="0A9AFB7E">
      <w:pPr>
        <w:spacing w:line="360" w:lineRule="auto"/>
        <w:ind w:firstLine="420" w:firstLineChars="200"/>
        <w:rPr>
          <w:rFonts w:hint="eastAsia" w:ascii="宋体" w:hAnsi="宋体"/>
          <w:sz w:val="21"/>
          <w:szCs w:val="21"/>
        </w:rPr>
      </w:pPr>
      <w:r>
        <w:rPr>
          <w:rFonts w:hint="eastAsia" w:ascii="宋体" w:hAnsi="宋体"/>
          <w:sz w:val="21"/>
          <w:szCs w:val="21"/>
        </w:rPr>
        <w:t>5、在评标期间采取必要的通讯管理措施，保证评标活动不受外界干扰；</w:t>
      </w:r>
    </w:p>
    <w:p w14:paraId="2965BB78">
      <w:pPr>
        <w:spacing w:line="360" w:lineRule="auto"/>
        <w:ind w:firstLine="420" w:firstLineChars="200"/>
        <w:rPr>
          <w:rFonts w:hint="eastAsia" w:ascii="宋体" w:hAnsi="宋体"/>
          <w:sz w:val="21"/>
          <w:szCs w:val="21"/>
        </w:rPr>
      </w:pPr>
      <w:r>
        <w:rPr>
          <w:rFonts w:hint="eastAsia" w:ascii="宋体" w:hAnsi="宋体"/>
          <w:sz w:val="21"/>
          <w:szCs w:val="21"/>
        </w:rPr>
        <w:t>6、根据评标委员会的要求介绍政府采购相关法规和招标文件规定及要求；</w:t>
      </w:r>
    </w:p>
    <w:p w14:paraId="4D9EB8E0">
      <w:pPr>
        <w:spacing w:line="360" w:lineRule="auto"/>
        <w:ind w:firstLine="420" w:firstLineChars="200"/>
        <w:rPr>
          <w:rFonts w:hint="eastAsia" w:ascii="宋体" w:hAnsi="宋体"/>
          <w:sz w:val="21"/>
          <w:szCs w:val="21"/>
        </w:rPr>
      </w:pPr>
      <w:r>
        <w:rPr>
          <w:rFonts w:hint="eastAsia" w:ascii="宋体" w:hAnsi="宋体"/>
          <w:sz w:val="21"/>
          <w:szCs w:val="21"/>
        </w:rPr>
        <w:t>7、维护评标秩序，监督评标委员会依照招标文件规定的评标程序、方法和标准进行独立评审，及时制止和纠正采购人代表、评审专家的倾向性言论或者违法违规行为；</w:t>
      </w:r>
    </w:p>
    <w:p w14:paraId="320AE2FE">
      <w:pPr>
        <w:spacing w:line="360" w:lineRule="auto"/>
        <w:ind w:firstLine="420" w:firstLineChars="200"/>
        <w:rPr>
          <w:rFonts w:hint="eastAsia" w:ascii="宋体" w:hAnsi="宋体"/>
          <w:sz w:val="21"/>
          <w:szCs w:val="21"/>
        </w:rPr>
      </w:pPr>
      <w:r>
        <w:rPr>
          <w:rFonts w:hint="eastAsia" w:ascii="宋体" w:hAnsi="宋体"/>
          <w:sz w:val="21"/>
          <w:szCs w:val="21"/>
        </w:rPr>
        <w:t>8、核对评标结果；</w:t>
      </w:r>
    </w:p>
    <w:p w14:paraId="1064F011">
      <w:pPr>
        <w:spacing w:line="360" w:lineRule="auto"/>
        <w:ind w:firstLine="420" w:firstLineChars="200"/>
        <w:rPr>
          <w:rFonts w:hint="eastAsia" w:ascii="宋体" w:hAnsi="宋体"/>
          <w:sz w:val="21"/>
          <w:szCs w:val="21"/>
        </w:rPr>
      </w:pPr>
      <w:r>
        <w:rPr>
          <w:rFonts w:hint="eastAsia" w:ascii="宋体" w:hAnsi="宋体"/>
          <w:sz w:val="21"/>
          <w:szCs w:val="21"/>
        </w:rPr>
        <w:t>9、处理与评标有关的其他事项。</w:t>
      </w:r>
    </w:p>
    <w:p w14:paraId="7520C2CC">
      <w:pPr>
        <w:spacing w:line="360" w:lineRule="auto"/>
        <w:ind w:firstLine="420" w:firstLineChars="200"/>
        <w:rPr>
          <w:rFonts w:hint="eastAsia" w:ascii="宋体" w:hAnsi="宋体"/>
          <w:sz w:val="21"/>
          <w:szCs w:val="21"/>
        </w:rPr>
      </w:pPr>
      <w:r>
        <w:rPr>
          <w:rFonts w:hint="eastAsia" w:ascii="宋体" w:hAnsi="宋体"/>
          <w:sz w:val="21"/>
          <w:szCs w:val="21"/>
        </w:rPr>
        <w:t>（二）评标委员会由采购人代表和评审专家组成，按监督部门规定于开标之前抽取。</w:t>
      </w:r>
    </w:p>
    <w:p w14:paraId="4EB6999D">
      <w:pPr>
        <w:spacing w:line="360" w:lineRule="auto"/>
        <w:ind w:firstLine="420" w:firstLineChars="200"/>
        <w:rPr>
          <w:rFonts w:hint="eastAsia" w:ascii="宋体" w:hAnsi="宋体"/>
          <w:sz w:val="21"/>
          <w:szCs w:val="21"/>
        </w:rPr>
      </w:pPr>
      <w:r>
        <w:rPr>
          <w:rFonts w:hint="eastAsia" w:ascii="宋体" w:hAnsi="宋体"/>
          <w:sz w:val="21"/>
          <w:szCs w:val="21"/>
        </w:rPr>
        <w:t>（三）评标委员会负责具体评标事务，并独立履行下列职责：</w:t>
      </w:r>
    </w:p>
    <w:p w14:paraId="421BD9C1">
      <w:pPr>
        <w:spacing w:line="360" w:lineRule="auto"/>
        <w:ind w:firstLine="420" w:firstLineChars="200"/>
        <w:rPr>
          <w:rFonts w:hint="eastAsia" w:ascii="宋体" w:hAnsi="宋体"/>
          <w:sz w:val="21"/>
          <w:szCs w:val="21"/>
        </w:rPr>
      </w:pPr>
      <w:r>
        <w:rPr>
          <w:rFonts w:hint="eastAsia" w:ascii="宋体" w:hAnsi="宋体"/>
          <w:sz w:val="21"/>
          <w:szCs w:val="21"/>
        </w:rPr>
        <w:t>1、通过符合性审查，审查、评价投标文件是否符合招标文件要求的完整性、签署和盖章，以及是否满足商务、技术实质性要求。</w:t>
      </w:r>
    </w:p>
    <w:p w14:paraId="4380BA7B">
      <w:pPr>
        <w:spacing w:line="360" w:lineRule="auto"/>
        <w:ind w:firstLine="420" w:firstLineChars="200"/>
        <w:rPr>
          <w:rFonts w:hint="eastAsia" w:ascii="宋体" w:hAnsi="宋体"/>
          <w:sz w:val="21"/>
          <w:szCs w:val="21"/>
        </w:rPr>
      </w:pPr>
      <w:r>
        <w:rPr>
          <w:rFonts w:hint="eastAsia" w:ascii="宋体" w:hAnsi="宋体"/>
          <w:sz w:val="21"/>
          <w:szCs w:val="21"/>
        </w:rPr>
        <w:t>2、审查内容出现任何一项不符合，按无效响应处理。符合性审查内容如下：</w:t>
      </w:r>
    </w:p>
    <w:tbl>
      <w:tblPr>
        <w:tblStyle w:val="21"/>
        <w:tblW w:w="8893"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8092"/>
      </w:tblGrid>
      <w:tr w14:paraId="509F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03D92820">
            <w:pPr>
              <w:spacing w:line="360" w:lineRule="auto"/>
              <w:jc w:val="left"/>
              <w:rPr>
                <w:rFonts w:hint="eastAsia" w:ascii="宋体" w:hAnsi="宋体"/>
                <w:sz w:val="21"/>
                <w:szCs w:val="21"/>
              </w:rPr>
            </w:pPr>
            <w:r>
              <w:rPr>
                <w:rFonts w:hint="eastAsia" w:ascii="宋体" w:hAnsi="宋体"/>
                <w:sz w:val="21"/>
                <w:szCs w:val="21"/>
              </w:rPr>
              <w:t>序号</w:t>
            </w:r>
          </w:p>
        </w:tc>
        <w:tc>
          <w:tcPr>
            <w:tcW w:w="8092" w:type="dxa"/>
            <w:noWrap w:val="0"/>
            <w:vAlign w:val="center"/>
          </w:tcPr>
          <w:p w14:paraId="764E8E33">
            <w:pPr>
              <w:spacing w:line="360" w:lineRule="auto"/>
              <w:jc w:val="left"/>
              <w:rPr>
                <w:rFonts w:hint="eastAsia" w:ascii="宋体" w:hAnsi="宋体"/>
                <w:sz w:val="21"/>
                <w:szCs w:val="21"/>
              </w:rPr>
            </w:pPr>
            <w:r>
              <w:rPr>
                <w:rFonts w:hint="eastAsia" w:ascii="宋体" w:hAnsi="宋体"/>
                <w:sz w:val="21"/>
                <w:szCs w:val="21"/>
              </w:rPr>
              <w:t>审查内容</w:t>
            </w:r>
          </w:p>
        </w:tc>
      </w:tr>
      <w:tr w14:paraId="1C16A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01" w:type="dxa"/>
            <w:noWrap w:val="0"/>
            <w:vAlign w:val="center"/>
          </w:tcPr>
          <w:p w14:paraId="0B312D94">
            <w:pPr>
              <w:spacing w:line="360" w:lineRule="auto"/>
              <w:jc w:val="center"/>
              <w:rPr>
                <w:rFonts w:hint="eastAsia" w:ascii="宋体" w:hAnsi="宋体"/>
                <w:sz w:val="21"/>
                <w:szCs w:val="21"/>
              </w:rPr>
            </w:pPr>
            <w:r>
              <w:rPr>
                <w:rFonts w:hint="eastAsia" w:ascii="宋体" w:hAnsi="宋体"/>
                <w:sz w:val="21"/>
                <w:szCs w:val="21"/>
              </w:rPr>
              <w:t>1</w:t>
            </w:r>
          </w:p>
        </w:tc>
        <w:tc>
          <w:tcPr>
            <w:tcW w:w="8092" w:type="dxa"/>
            <w:noWrap w:val="0"/>
            <w:vAlign w:val="center"/>
          </w:tcPr>
          <w:p w14:paraId="1DC6ACE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1"/>
                <w:szCs w:val="21"/>
              </w:rPr>
            </w:pPr>
            <w:r>
              <w:rPr>
                <w:rFonts w:hint="eastAsia" w:ascii="宋体" w:hAnsi="宋体"/>
                <w:sz w:val="21"/>
                <w:szCs w:val="21"/>
              </w:rPr>
              <w:t>投标内容基本完整，无重大错漏，并按“</w:t>
            </w:r>
            <w:r>
              <w:rPr>
                <w:rFonts w:hint="eastAsia" w:ascii="宋体" w:hAnsi="宋体"/>
                <w:sz w:val="21"/>
                <w:szCs w:val="21"/>
                <w:lang w:val="en-US" w:eastAsia="zh-CN"/>
              </w:rPr>
              <w:t>投标</w:t>
            </w:r>
            <w:r>
              <w:rPr>
                <w:rFonts w:hint="eastAsia" w:ascii="宋体" w:hAnsi="宋体"/>
                <w:sz w:val="21"/>
                <w:szCs w:val="21"/>
              </w:rPr>
              <w:t>文件格式”和</w:t>
            </w:r>
            <w:r>
              <w:rPr>
                <w:rFonts w:hint="eastAsia" w:ascii="宋体" w:hAnsi="宋体"/>
                <w:sz w:val="21"/>
                <w:szCs w:val="21"/>
                <w:lang w:val="en-US" w:eastAsia="zh-CN"/>
              </w:rPr>
              <w:t>招标</w:t>
            </w:r>
            <w:r>
              <w:rPr>
                <w:rFonts w:hint="eastAsia" w:ascii="宋体" w:hAnsi="宋体"/>
                <w:sz w:val="21"/>
                <w:szCs w:val="21"/>
              </w:rPr>
              <w:t>文件要求填写、签署、盖章。（不得因文件排序等非实质性的格式、形式问题限制和影响</w:t>
            </w:r>
            <w:r>
              <w:rPr>
                <w:rFonts w:hint="eastAsia" w:ascii="宋体" w:hAnsi="宋体"/>
                <w:sz w:val="21"/>
                <w:szCs w:val="21"/>
                <w:lang w:val="en-US" w:eastAsia="zh-CN"/>
              </w:rPr>
              <w:t>投标人</w:t>
            </w:r>
            <w:r>
              <w:rPr>
                <w:rFonts w:hint="eastAsia" w:ascii="宋体" w:hAnsi="宋体"/>
                <w:sz w:val="21"/>
                <w:szCs w:val="21"/>
              </w:rPr>
              <w:t>投标)</w:t>
            </w:r>
          </w:p>
        </w:tc>
      </w:tr>
      <w:tr w14:paraId="59D61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754931DD">
            <w:pPr>
              <w:spacing w:line="360" w:lineRule="auto"/>
              <w:jc w:val="center"/>
              <w:rPr>
                <w:rFonts w:hint="eastAsia" w:ascii="宋体" w:hAnsi="宋体"/>
                <w:sz w:val="21"/>
                <w:szCs w:val="21"/>
              </w:rPr>
            </w:pPr>
            <w:r>
              <w:rPr>
                <w:rFonts w:hint="eastAsia" w:ascii="宋体" w:hAnsi="宋体"/>
                <w:sz w:val="21"/>
                <w:szCs w:val="21"/>
              </w:rPr>
              <w:t>2</w:t>
            </w:r>
          </w:p>
        </w:tc>
        <w:tc>
          <w:tcPr>
            <w:tcW w:w="8092" w:type="dxa"/>
            <w:shd w:val="clear" w:color="auto" w:fill="auto"/>
            <w:noWrap w:val="0"/>
            <w:vAlign w:val="center"/>
          </w:tcPr>
          <w:p w14:paraId="02A6EA8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投标有效期符合招标文件要求。</w:t>
            </w:r>
          </w:p>
        </w:tc>
      </w:tr>
      <w:tr w14:paraId="3FBFD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63926E83">
            <w:pPr>
              <w:spacing w:line="360" w:lineRule="auto"/>
              <w:jc w:val="center"/>
              <w:rPr>
                <w:rFonts w:hint="eastAsia" w:ascii="宋体" w:hAnsi="宋体"/>
                <w:sz w:val="21"/>
                <w:szCs w:val="21"/>
              </w:rPr>
            </w:pPr>
            <w:r>
              <w:rPr>
                <w:rFonts w:hint="eastAsia" w:ascii="宋体" w:hAnsi="宋体"/>
                <w:sz w:val="21"/>
                <w:szCs w:val="21"/>
              </w:rPr>
              <w:t>3</w:t>
            </w:r>
          </w:p>
        </w:tc>
        <w:tc>
          <w:tcPr>
            <w:tcW w:w="8092" w:type="dxa"/>
            <w:shd w:val="clear" w:color="auto" w:fill="auto"/>
            <w:noWrap w:val="0"/>
            <w:vAlign w:val="center"/>
          </w:tcPr>
          <w:p w14:paraId="7CC502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投标报价</w:t>
            </w:r>
            <w:r>
              <w:rPr>
                <w:rFonts w:hint="eastAsia" w:ascii="宋体" w:hAnsi="宋体"/>
                <w:sz w:val="21"/>
                <w:szCs w:val="21"/>
                <w:lang w:val="en-US" w:eastAsia="zh-CN"/>
              </w:rPr>
              <w:t>未</w:t>
            </w:r>
            <w:r>
              <w:rPr>
                <w:rFonts w:hint="eastAsia" w:ascii="宋体" w:hAnsi="宋体"/>
                <w:sz w:val="21"/>
                <w:szCs w:val="21"/>
              </w:rPr>
              <w:t>超过采购预算</w:t>
            </w:r>
          </w:p>
        </w:tc>
      </w:tr>
      <w:tr w14:paraId="3156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A69109A">
            <w:pPr>
              <w:spacing w:line="360" w:lineRule="auto"/>
              <w:jc w:val="center"/>
              <w:rPr>
                <w:rFonts w:hint="eastAsia" w:ascii="宋体" w:hAnsi="宋体"/>
                <w:sz w:val="21"/>
                <w:szCs w:val="21"/>
              </w:rPr>
            </w:pPr>
            <w:r>
              <w:rPr>
                <w:rFonts w:hint="eastAsia" w:ascii="宋体" w:hAnsi="宋体"/>
                <w:sz w:val="21"/>
                <w:szCs w:val="21"/>
              </w:rPr>
              <w:t>4</w:t>
            </w:r>
          </w:p>
        </w:tc>
        <w:tc>
          <w:tcPr>
            <w:tcW w:w="8092" w:type="dxa"/>
            <w:shd w:val="clear" w:color="auto" w:fill="auto"/>
            <w:noWrap w:val="0"/>
            <w:vAlign w:val="center"/>
          </w:tcPr>
          <w:p w14:paraId="229A82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交付时间符合招标文件要求。</w:t>
            </w:r>
          </w:p>
        </w:tc>
      </w:tr>
      <w:tr w14:paraId="393C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5B3F4FE3">
            <w:pPr>
              <w:spacing w:line="360" w:lineRule="auto"/>
              <w:jc w:val="center"/>
              <w:rPr>
                <w:rFonts w:hint="eastAsia" w:ascii="宋体" w:hAnsi="宋体"/>
                <w:sz w:val="21"/>
                <w:szCs w:val="21"/>
              </w:rPr>
            </w:pPr>
            <w:r>
              <w:rPr>
                <w:rFonts w:hint="eastAsia" w:ascii="宋体" w:hAnsi="宋体"/>
                <w:sz w:val="21"/>
                <w:szCs w:val="21"/>
              </w:rPr>
              <w:t>5</w:t>
            </w:r>
          </w:p>
        </w:tc>
        <w:tc>
          <w:tcPr>
            <w:tcW w:w="8092" w:type="dxa"/>
            <w:shd w:val="clear" w:color="auto" w:fill="auto"/>
            <w:noWrap w:val="0"/>
            <w:vAlign w:val="center"/>
          </w:tcPr>
          <w:p w14:paraId="53AE98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质保期符合招标文件要求。</w:t>
            </w:r>
          </w:p>
        </w:tc>
      </w:tr>
      <w:tr w14:paraId="70B4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97950E0">
            <w:pPr>
              <w:spacing w:line="360" w:lineRule="auto"/>
              <w:jc w:val="center"/>
              <w:rPr>
                <w:rFonts w:hint="eastAsia" w:ascii="宋体" w:hAnsi="宋体"/>
                <w:sz w:val="21"/>
                <w:szCs w:val="21"/>
              </w:rPr>
            </w:pPr>
            <w:r>
              <w:rPr>
                <w:rFonts w:hint="eastAsia" w:ascii="宋体" w:hAnsi="宋体"/>
                <w:sz w:val="21"/>
                <w:szCs w:val="21"/>
              </w:rPr>
              <w:t>6</w:t>
            </w:r>
          </w:p>
        </w:tc>
        <w:tc>
          <w:tcPr>
            <w:tcW w:w="8092" w:type="dxa"/>
            <w:shd w:val="clear" w:color="auto" w:fill="auto"/>
            <w:noWrap w:val="0"/>
            <w:vAlign w:val="center"/>
          </w:tcPr>
          <w:p w14:paraId="317AFD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rPr>
              <w:t>投标没有出现招标文件规定的其它无效响应情形。</w:t>
            </w:r>
          </w:p>
        </w:tc>
      </w:tr>
    </w:tbl>
    <w:p w14:paraId="31704F73">
      <w:pPr>
        <w:spacing w:line="360" w:lineRule="auto"/>
        <w:ind w:firstLine="420" w:firstLineChars="200"/>
        <w:rPr>
          <w:rFonts w:hint="eastAsia" w:ascii="宋体" w:hAnsi="宋体"/>
          <w:sz w:val="21"/>
          <w:szCs w:val="21"/>
        </w:rPr>
      </w:pPr>
      <w:r>
        <w:rPr>
          <w:rFonts w:hint="eastAsia" w:ascii="宋体" w:hAnsi="宋体"/>
          <w:sz w:val="21"/>
          <w:szCs w:val="21"/>
        </w:rPr>
        <w:t>3、要求投标人对投标文件有关事项作出澄清或者说明；</w:t>
      </w:r>
    </w:p>
    <w:p w14:paraId="5C85CFF6">
      <w:pPr>
        <w:spacing w:line="360" w:lineRule="auto"/>
        <w:ind w:firstLine="420" w:firstLineChars="200"/>
        <w:rPr>
          <w:rFonts w:hint="eastAsia" w:ascii="宋体" w:hAnsi="宋体"/>
          <w:sz w:val="21"/>
          <w:szCs w:val="21"/>
        </w:rPr>
      </w:pPr>
      <w:r>
        <w:rPr>
          <w:rFonts w:hint="eastAsia" w:ascii="宋体" w:hAnsi="宋体"/>
          <w:sz w:val="21"/>
          <w:szCs w:val="21"/>
        </w:rPr>
        <w:t>4、对投标文件进行对比和评价；</w:t>
      </w:r>
    </w:p>
    <w:p w14:paraId="487A2AEA">
      <w:pPr>
        <w:spacing w:line="360" w:lineRule="auto"/>
        <w:ind w:firstLine="420" w:firstLineChars="200"/>
        <w:rPr>
          <w:rFonts w:hint="eastAsia" w:ascii="宋体" w:hAnsi="宋体"/>
          <w:sz w:val="21"/>
          <w:szCs w:val="21"/>
        </w:rPr>
      </w:pPr>
      <w:r>
        <w:rPr>
          <w:rFonts w:hint="eastAsia" w:ascii="宋体" w:hAnsi="宋体"/>
          <w:sz w:val="21"/>
          <w:szCs w:val="21"/>
        </w:rPr>
        <w:t>5、确定中标候选人名单，以及根据采购人委托直接确定中标人；</w:t>
      </w:r>
    </w:p>
    <w:p w14:paraId="0A426465">
      <w:pPr>
        <w:spacing w:line="360" w:lineRule="auto"/>
        <w:ind w:firstLine="420" w:firstLineChars="200"/>
        <w:rPr>
          <w:rFonts w:hint="eastAsia" w:ascii="宋体" w:hAnsi="宋体"/>
          <w:sz w:val="21"/>
          <w:szCs w:val="21"/>
        </w:rPr>
      </w:pPr>
      <w:r>
        <w:rPr>
          <w:rFonts w:hint="eastAsia" w:ascii="宋体" w:hAnsi="宋体"/>
          <w:sz w:val="21"/>
          <w:szCs w:val="21"/>
        </w:rPr>
        <w:t>6、向采购代理机构或者有关部门报告评标中发现的违法行为。</w:t>
      </w:r>
    </w:p>
    <w:p w14:paraId="505DEA9A">
      <w:pPr>
        <w:spacing w:line="360" w:lineRule="auto"/>
        <w:ind w:firstLine="420" w:firstLineChars="200"/>
        <w:rPr>
          <w:rFonts w:hint="eastAsia" w:ascii="宋体" w:hAnsi="宋体"/>
          <w:sz w:val="21"/>
          <w:szCs w:val="21"/>
        </w:rPr>
      </w:pPr>
      <w:r>
        <w:rPr>
          <w:rFonts w:hint="eastAsia" w:ascii="宋体" w:hAnsi="宋体"/>
          <w:sz w:val="21"/>
          <w:szCs w:val="21"/>
        </w:rPr>
        <w:t>（四）评标委员会应当按照招标文件中规定的评标方法和标准，对符合性审查合格的投标文件进行商务和技术评估，综合比较与评价。</w:t>
      </w:r>
    </w:p>
    <w:p w14:paraId="7C98FD2F">
      <w:pPr>
        <w:spacing w:line="360" w:lineRule="auto"/>
        <w:ind w:firstLine="420" w:firstLineChars="200"/>
        <w:rPr>
          <w:rFonts w:hint="eastAsia" w:ascii="宋体" w:hAnsi="宋体"/>
          <w:sz w:val="21"/>
          <w:szCs w:val="21"/>
        </w:rPr>
      </w:pPr>
      <w:r>
        <w:rPr>
          <w:rFonts w:hint="eastAsia" w:ascii="宋体" w:hAnsi="宋体"/>
          <w:sz w:val="21"/>
          <w:szCs w:val="21"/>
        </w:rPr>
        <w:t>1、本项目评标以</w:t>
      </w:r>
      <w:r>
        <w:rPr>
          <w:rFonts w:hint="eastAsia" w:ascii="宋体" w:hAnsi="宋体"/>
          <w:sz w:val="21"/>
          <w:szCs w:val="21"/>
          <w:lang w:val="en-US" w:eastAsia="zh-CN"/>
        </w:rPr>
        <w:t>货物</w:t>
      </w:r>
      <w:r>
        <w:rPr>
          <w:rFonts w:hint="eastAsia" w:ascii="宋体" w:hAnsi="宋体"/>
          <w:sz w:val="21"/>
          <w:szCs w:val="21"/>
        </w:rPr>
        <w:t>为核心采用综合评分法，评审因素与投标人所提供的</w:t>
      </w:r>
      <w:r>
        <w:rPr>
          <w:rFonts w:hint="eastAsia" w:ascii="宋体" w:hAnsi="宋体"/>
          <w:sz w:val="21"/>
          <w:szCs w:val="21"/>
          <w:lang w:val="en-US" w:eastAsia="zh-CN"/>
        </w:rPr>
        <w:t>货物</w:t>
      </w:r>
      <w:r>
        <w:rPr>
          <w:rFonts w:hint="eastAsia" w:ascii="宋体" w:hAnsi="宋体"/>
          <w:sz w:val="21"/>
          <w:szCs w:val="21"/>
        </w:rPr>
        <w:t>的质量和服务的标准相关，包括投标报价、</w:t>
      </w:r>
      <w:r>
        <w:rPr>
          <w:rFonts w:hint="eastAsia" w:ascii="宋体" w:hAnsi="宋体"/>
          <w:sz w:val="21"/>
          <w:szCs w:val="21"/>
          <w:lang w:val="en-US" w:eastAsia="zh-CN"/>
        </w:rPr>
        <w:t>技术参数响应</w:t>
      </w:r>
      <w:r>
        <w:rPr>
          <w:rFonts w:hint="eastAsia" w:ascii="宋体" w:hAnsi="宋体"/>
          <w:sz w:val="21"/>
          <w:szCs w:val="21"/>
        </w:rPr>
        <w:t>、履约能力、售后服务及培训等因素。</w:t>
      </w:r>
    </w:p>
    <w:p w14:paraId="1963E8AE">
      <w:pPr>
        <w:spacing w:line="360" w:lineRule="auto"/>
        <w:ind w:firstLine="420" w:firstLineChars="200"/>
        <w:rPr>
          <w:rFonts w:hint="eastAsia" w:ascii="宋体" w:hAnsi="宋体"/>
          <w:sz w:val="21"/>
          <w:szCs w:val="21"/>
        </w:rPr>
      </w:pPr>
      <w:r>
        <w:rPr>
          <w:rFonts w:hint="eastAsia" w:ascii="宋体" w:hAnsi="宋体"/>
          <w:sz w:val="21"/>
          <w:szCs w:val="21"/>
        </w:rPr>
        <w:t>2、综合评审因素及分值：</w:t>
      </w:r>
    </w:p>
    <w:tbl>
      <w:tblPr>
        <w:tblStyle w:val="21"/>
        <w:tblW w:w="949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48"/>
        <w:gridCol w:w="900"/>
        <w:gridCol w:w="5507"/>
      </w:tblGrid>
      <w:tr w14:paraId="6FF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ACA4294">
            <w:pPr>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4A5DC8">
            <w:pPr>
              <w:jc w:val="center"/>
              <w:rPr>
                <w:rFonts w:ascii="宋体" w:hAnsi="宋体" w:cs="宋体"/>
                <w:b/>
                <w:szCs w:val="21"/>
              </w:rPr>
            </w:pPr>
            <w:r>
              <w:rPr>
                <w:rFonts w:hint="eastAsia" w:ascii="宋体" w:hAnsi="宋体" w:cs="宋体"/>
                <w:b/>
                <w:szCs w:val="21"/>
              </w:rPr>
              <w:t>总分</w:t>
            </w:r>
          </w:p>
        </w:tc>
        <w:tc>
          <w:tcPr>
            <w:tcW w:w="1648" w:type="dxa"/>
            <w:tcBorders>
              <w:top w:val="single" w:color="auto" w:sz="4" w:space="0"/>
              <w:left w:val="single" w:color="auto" w:sz="4" w:space="0"/>
              <w:bottom w:val="single" w:color="auto" w:sz="4" w:space="0"/>
              <w:right w:val="single" w:color="auto" w:sz="4" w:space="0"/>
            </w:tcBorders>
            <w:vAlign w:val="center"/>
          </w:tcPr>
          <w:p w14:paraId="5AEFD5A6">
            <w:pPr>
              <w:jc w:val="center"/>
              <w:rPr>
                <w:rFonts w:ascii="宋体" w:hAnsi="宋体" w:cs="宋体"/>
                <w:b/>
                <w:szCs w:val="21"/>
              </w:rPr>
            </w:pPr>
            <w:r>
              <w:rPr>
                <w:rFonts w:hint="eastAsia" w:ascii="宋体" w:hAnsi="宋体" w:cs="宋体"/>
                <w:b/>
                <w:szCs w:val="21"/>
              </w:rPr>
              <w:t>评审内容</w:t>
            </w:r>
          </w:p>
        </w:tc>
        <w:tc>
          <w:tcPr>
            <w:tcW w:w="900" w:type="dxa"/>
            <w:tcBorders>
              <w:top w:val="single" w:color="auto" w:sz="4" w:space="0"/>
              <w:left w:val="single" w:color="auto" w:sz="4" w:space="0"/>
              <w:bottom w:val="single" w:color="auto" w:sz="4" w:space="0"/>
              <w:right w:val="single" w:color="auto" w:sz="4" w:space="0"/>
            </w:tcBorders>
            <w:vAlign w:val="center"/>
          </w:tcPr>
          <w:p w14:paraId="3C5ADCE7">
            <w:pPr>
              <w:jc w:val="center"/>
              <w:rPr>
                <w:rFonts w:ascii="宋体" w:hAnsi="宋体" w:cs="宋体"/>
                <w:b/>
                <w:szCs w:val="21"/>
              </w:rPr>
            </w:pPr>
            <w:r>
              <w:rPr>
                <w:rFonts w:hint="eastAsia" w:ascii="宋体" w:hAnsi="宋体" w:cs="宋体"/>
                <w:b/>
                <w:szCs w:val="21"/>
              </w:rPr>
              <w:t>最高</w:t>
            </w:r>
          </w:p>
          <w:p w14:paraId="0C8FD2E9">
            <w:pPr>
              <w:jc w:val="center"/>
              <w:rPr>
                <w:rFonts w:ascii="宋体" w:hAnsi="宋体" w:cs="宋体"/>
                <w:b/>
                <w:szCs w:val="21"/>
              </w:rPr>
            </w:pPr>
            <w:r>
              <w:rPr>
                <w:rFonts w:hint="eastAsia" w:ascii="宋体" w:hAnsi="宋体" w:cs="宋体"/>
                <w:b/>
                <w:szCs w:val="21"/>
              </w:rPr>
              <w:t>得分</w:t>
            </w:r>
          </w:p>
        </w:tc>
        <w:tc>
          <w:tcPr>
            <w:tcW w:w="5507" w:type="dxa"/>
            <w:tcBorders>
              <w:top w:val="single" w:color="auto" w:sz="4" w:space="0"/>
              <w:left w:val="single" w:color="auto" w:sz="4" w:space="0"/>
              <w:bottom w:val="single" w:color="auto" w:sz="4" w:space="0"/>
              <w:right w:val="single" w:color="auto" w:sz="4" w:space="0"/>
            </w:tcBorders>
            <w:vAlign w:val="center"/>
          </w:tcPr>
          <w:p w14:paraId="76281CE5">
            <w:pPr>
              <w:jc w:val="center"/>
              <w:rPr>
                <w:rFonts w:ascii="宋体" w:hAnsi="宋体" w:cs="宋体"/>
                <w:b/>
                <w:szCs w:val="21"/>
              </w:rPr>
            </w:pPr>
            <w:r>
              <w:rPr>
                <w:rFonts w:hint="eastAsia" w:ascii="宋体" w:hAnsi="宋体" w:cs="宋体"/>
                <w:b/>
                <w:szCs w:val="21"/>
              </w:rPr>
              <w:t>说明</w:t>
            </w:r>
          </w:p>
        </w:tc>
      </w:tr>
      <w:tr w14:paraId="7583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540" w:type="dxa"/>
            <w:tcBorders>
              <w:top w:val="single" w:color="auto" w:sz="4" w:space="0"/>
              <w:left w:val="single" w:color="auto" w:sz="4" w:space="0"/>
              <w:right w:val="single" w:color="auto" w:sz="4" w:space="0"/>
            </w:tcBorders>
            <w:vAlign w:val="center"/>
          </w:tcPr>
          <w:p w14:paraId="241CE204">
            <w:pPr>
              <w:jc w:val="center"/>
              <w:rPr>
                <w:rFonts w:hint="eastAsia" w:ascii="宋体" w:hAnsi="宋体" w:eastAsia="宋体" w:cs="宋体"/>
                <w:sz w:val="21"/>
                <w:szCs w:val="21"/>
              </w:rPr>
            </w:pPr>
            <w:r>
              <w:rPr>
                <w:rFonts w:hint="eastAsia" w:ascii="宋体" w:hAnsi="宋体" w:eastAsia="宋体" w:cs="宋体"/>
                <w:sz w:val="21"/>
                <w:szCs w:val="21"/>
              </w:rPr>
              <w:t>价格</w:t>
            </w:r>
          </w:p>
        </w:tc>
        <w:tc>
          <w:tcPr>
            <w:tcW w:w="900" w:type="dxa"/>
            <w:tcBorders>
              <w:top w:val="single" w:color="auto" w:sz="4" w:space="0"/>
              <w:left w:val="single" w:color="auto" w:sz="4" w:space="0"/>
              <w:bottom w:val="single" w:color="auto" w:sz="4" w:space="0"/>
              <w:right w:val="single" w:color="auto" w:sz="4" w:space="0"/>
            </w:tcBorders>
            <w:vAlign w:val="center"/>
          </w:tcPr>
          <w:p w14:paraId="5B6B9DE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1648" w:type="dxa"/>
            <w:tcBorders>
              <w:top w:val="single" w:color="auto" w:sz="4" w:space="0"/>
              <w:left w:val="single" w:color="auto" w:sz="4" w:space="0"/>
              <w:bottom w:val="single" w:color="auto" w:sz="4" w:space="0"/>
              <w:right w:val="single" w:color="auto" w:sz="4" w:space="0"/>
            </w:tcBorders>
            <w:vAlign w:val="center"/>
          </w:tcPr>
          <w:p w14:paraId="7010024B">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14:paraId="1914CA8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2F9BFD7E">
            <w:pPr>
              <w:ind w:firstLine="420" w:firstLineChars="200"/>
              <w:rPr>
                <w:rFonts w:hint="eastAsia" w:ascii="宋体" w:hAnsi="宋体" w:eastAsia="宋体" w:cs="宋体"/>
                <w:sz w:val="21"/>
                <w:szCs w:val="21"/>
              </w:rPr>
            </w:pPr>
            <w:r>
              <w:rPr>
                <w:rFonts w:hint="eastAsia" w:ascii="宋体" w:hAnsi="宋体" w:eastAsia="宋体" w:cs="宋体"/>
                <w:sz w:val="21"/>
                <w:szCs w:val="21"/>
              </w:rPr>
              <w:t>采用低价优先法计算，即满足招标文件要求且投标价格最低的投标报价为评标基准价，其价格分为满分。投标报价得分＝（评标基准价/投标报价）*30。</w:t>
            </w:r>
          </w:p>
          <w:p w14:paraId="5D722CED">
            <w:pPr>
              <w:rPr>
                <w:rFonts w:hint="eastAsia" w:ascii="宋体" w:hAnsi="宋体" w:eastAsia="宋体" w:cs="宋体"/>
                <w:sz w:val="21"/>
                <w:szCs w:val="21"/>
              </w:rPr>
            </w:pPr>
            <w:r>
              <w:rPr>
                <w:rFonts w:hint="eastAsia" w:ascii="宋体" w:hAnsi="宋体" w:eastAsia="宋体" w:cs="宋体"/>
                <w:sz w:val="21"/>
                <w:szCs w:val="21"/>
              </w:rPr>
              <w:t>备注：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文件处理。</w:t>
            </w:r>
          </w:p>
          <w:p w14:paraId="71EB8C9B">
            <w:pPr>
              <w:rPr>
                <w:rFonts w:hint="default" w:ascii="宋体" w:hAnsi="宋体" w:eastAsia="宋体" w:cs="宋体"/>
                <w:sz w:val="21"/>
                <w:szCs w:val="21"/>
                <w:lang w:val="en-US" w:eastAsia="zh-CN"/>
              </w:rPr>
            </w:pPr>
            <w:r>
              <w:rPr>
                <w:rFonts w:hint="eastAsia" w:ascii="宋体" w:hAnsi="宋体" w:cs="宋体"/>
                <w:sz w:val="21"/>
                <w:szCs w:val="21"/>
                <w:lang w:val="en-US" w:eastAsia="zh-CN"/>
              </w:rPr>
              <w:t>本项目对符合中小企业政策享受的价格折扣：10%。</w:t>
            </w:r>
          </w:p>
        </w:tc>
      </w:tr>
      <w:tr w14:paraId="750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tcBorders>
              <w:top w:val="single" w:color="auto" w:sz="4" w:space="0"/>
              <w:left w:val="single" w:color="auto" w:sz="4" w:space="0"/>
              <w:right w:val="single" w:color="auto" w:sz="4" w:space="0"/>
            </w:tcBorders>
            <w:vAlign w:val="center"/>
          </w:tcPr>
          <w:p w14:paraId="58E7AFA4">
            <w:pPr>
              <w:jc w:val="center"/>
              <w:rPr>
                <w:rFonts w:hint="eastAsia" w:ascii="宋体" w:hAnsi="宋体" w:eastAsia="宋体" w:cs="宋体"/>
                <w:sz w:val="21"/>
                <w:szCs w:val="21"/>
              </w:rPr>
            </w:pPr>
            <w:r>
              <w:rPr>
                <w:rFonts w:hint="eastAsia" w:ascii="宋体" w:hAnsi="宋体" w:eastAsia="宋体" w:cs="宋体"/>
                <w:sz w:val="21"/>
                <w:szCs w:val="21"/>
              </w:rPr>
              <w:t>技术</w:t>
            </w:r>
          </w:p>
        </w:tc>
        <w:tc>
          <w:tcPr>
            <w:tcW w:w="900" w:type="dxa"/>
            <w:vMerge w:val="restart"/>
            <w:tcBorders>
              <w:top w:val="single" w:color="auto" w:sz="4" w:space="0"/>
              <w:left w:val="single" w:color="auto" w:sz="4" w:space="0"/>
              <w:right w:val="single" w:color="auto" w:sz="4" w:space="0"/>
            </w:tcBorders>
            <w:vAlign w:val="center"/>
          </w:tcPr>
          <w:p w14:paraId="5847F7CC">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1648" w:type="dxa"/>
            <w:tcBorders>
              <w:top w:val="single" w:color="auto" w:sz="4" w:space="0"/>
              <w:left w:val="single" w:color="auto" w:sz="4" w:space="0"/>
              <w:right w:val="single" w:color="auto" w:sz="4" w:space="0"/>
            </w:tcBorders>
            <w:vAlign w:val="center"/>
          </w:tcPr>
          <w:p w14:paraId="0FDDF7FA">
            <w:pPr>
              <w:autoSpaceDE w:val="0"/>
              <w:autoSpaceDN w:val="0"/>
              <w:adjustRightInd w:val="0"/>
              <w:spacing w:line="320" w:lineRule="exact"/>
              <w:ind w:firstLine="105" w:firstLineChars="5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技术</w:t>
            </w:r>
            <w:r>
              <w:rPr>
                <w:rFonts w:hint="eastAsia" w:ascii="宋体" w:hAnsi="宋体" w:eastAsia="宋体" w:cs="宋体"/>
                <w:color w:val="auto"/>
                <w:sz w:val="21"/>
                <w:szCs w:val="21"/>
                <w:lang w:val="en-US" w:eastAsia="zh-CN"/>
              </w:rPr>
              <w:t>性能</w:t>
            </w:r>
            <w:r>
              <w:rPr>
                <w:rFonts w:hint="eastAsia" w:ascii="宋体" w:hAnsi="宋体" w:eastAsia="宋体" w:cs="宋体"/>
                <w:color w:val="auto"/>
                <w:sz w:val="21"/>
                <w:szCs w:val="21"/>
              </w:rPr>
              <w:t>指标</w:t>
            </w:r>
          </w:p>
        </w:tc>
        <w:tc>
          <w:tcPr>
            <w:tcW w:w="900" w:type="dxa"/>
            <w:tcBorders>
              <w:top w:val="single" w:color="auto" w:sz="4" w:space="0"/>
              <w:left w:val="single" w:color="auto" w:sz="4" w:space="0"/>
              <w:right w:val="single" w:color="auto" w:sz="4" w:space="0"/>
            </w:tcBorders>
            <w:vAlign w:val="center"/>
          </w:tcPr>
          <w:p w14:paraId="14A11C67">
            <w:pPr>
              <w:autoSpaceDE w:val="0"/>
              <w:autoSpaceDN w:val="0"/>
              <w:adjustRightInd w:val="0"/>
              <w:spacing w:line="320" w:lineRule="exact"/>
              <w:ind w:firstLine="105" w:firstLineChars="5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c>
          <w:tcPr>
            <w:tcW w:w="5507" w:type="dxa"/>
            <w:tcBorders>
              <w:top w:val="single" w:color="auto" w:sz="4" w:space="0"/>
              <w:left w:val="single" w:color="auto" w:sz="4" w:space="0"/>
              <w:right w:val="single" w:color="auto" w:sz="4" w:space="0"/>
            </w:tcBorders>
            <w:vAlign w:val="center"/>
          </w:tcPr>
          <w:p w14:paraId="7CA38DC3">
            <w:pPr>
              <w:snapToGrid w:val="0"/>
              <w:spacing w:line="32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综合考虑产品配置、对招标文件中“技术参数要求”的响应程度、投标货物的先进性、投标货物的可靠性、性能指标等。</w:t>
            </w:r>
          </w:p>
          <w:p w14:paraId="676F7623">
            <w:pPr>
              <w:snapToGri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技术指标</w:t>
            </w:r>
            <w:r>
              <w:rPr>
                <w:rFonts w:hint="eastAsia" w:ascii="宋体" w:hAnsi="宋体" w:eastAsia="宋体" w:cs="宋体"/>
                <w:color w:val="auto"/>
                <w:sz w:val="21"/>
                <w:szCs w:val="21"/>
                <w:lang w:val="en-US" w:eastAsia="zh-CN"/>
              </w:rPr>
              <w:t>完全</w:t>
            </w:r>
            <w:r>
              <w:rPr>
                <w:rFonts w:hint="eastAsia" w:ascii="宋体" w:hAnsi="宋体" w:eastAsia="宋体" w:cs="宋体"/>
                <w:color w:val="auto"/>
                <w:sz w:val="21"/>
                <w:szCs w:val="21"/>
              </w:rPr>
              <w:t>满足招标要求</w:t>
            </w:r>
            <w:r>
              <w:rPr>
                <w:rFonts w:hint="eastAsia" w:ascii="宋体" w:hAnsi="宋体" w:cs="宋体"/>
                <w:color w:val="auto"/>
                <w:sz w:val="21"/>
                <w:szCs w:val="21"/>
                <w:lang w:val="en-US" w:eastAsia="zh-CN"/>
              </w:rPr>
              <w:t>得35</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指标每负偏离一项扣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eastAsia="宋体" w:cs="宋体"/>
                <w:color w:val="auto"/>
                <w:sz w:val="21"/>
                <w:szCs w:val="21"/>
              </w:rPr>
              <w:t>扣完为止。</w:t>
            </w:r>
          </w:p>
        </w:tc>
      </w:tr>
      <w:tr w14:paraId="2365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tcBorders>
              <w:left w:val="single" w:color="auto" w:sz="4" w:space="0"/>
              <w:right w:val="single" w:color="auto" w:sz="4" w:space="0"/>
            </w:tcBorders>
            <w:vAlign w:val="center"/>
          </w:tcPr>
          <w:p w14:paraId="38B1734A">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66BF51E2">
            <w:pPr>
              <w:jc w:val="center"/>
              <w:rPr>
                <w:rFonts w:hint="eastAsia" w:ascii="宋体" w:hAnsi="宋体" w:eastAsia="宋体" w:cs="宋体"/>
                <w:sz w:val="21"/>
                <w:szCs w:val="21"/>
              </w:rPr>
            </w:pPr>
          </w:p>
        </w:tc>
        <w:tc>
          <w:tcPr>
            <w:tcW w:w="1648" w:type="dxa"/>
            <w:vMerge w:val="restart"/>
            <w:tcBorders>
              <w:top w:val="single" w:color="auto" w:sz="4" w:space="0"/>
              <w:left w:val="single" w:color="auto" w:sz="4" w:space="0"/>
              <w:right w:val="single" w:color="auto" w:sz="4" w:space="0"/>
            </w:tcBorders>
            <w:vAlign w:val="center"/>
          </w:tcPr>
          <w:p w14:paraId="6C07274D">
            <w:pPr>
              <w:snapToGrid w:val="0"/>
              <w:spacing w:line="32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产品配置及质量保证</w:t>
            </w:r>
          </w:p>
        </w:tc>
        <w:tc>
          <w:tcPr>
            <w:tcW w:w="900" w:type="dxa"/>
            <w:tcBorders>
              <w:top w:val="single" w:color="auto" w:sz="4" w:space="0"/>
              <w:left w:val="single" w:color="auto" w:sz="4" w:space="0"/>
              <w:right w:val="single" w:color="auto" w:sz="4" w:space="0"/>
            </w:tcBorders>
            <w:vAlign w:val="center"/>
          </w:tcPr>
          <w:p w14:paraId="10C589E6">
            <w:pPr>
              <w:snapToGrid w:val="0"/>
              <w:spacing w:line="32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tc>
        <w:tc>
          <w:tcPr>
            <w:tcW w:w="5507" w:type="dxa"/>
            <w:tcBorders>
              <w:top w:val="single" w:color="auto" w:sz="4" w:space="0"/>
              <w:left w:val="single" w:color="auto" w:sz="4" w:space="0"/>
              <w:right w:val="single" w:color="auto" w:sz="4" w:space="0"/>
            </w:tcBorders>
            <w:vAlign w:val="center"/>
          </w:tcPr>
          <w:p w14:paraId="4DA61505">
            <w:pPr>
              <w:snapToGrid w:val="0"/>
              <w:spacing w:line="320" w:lineRule="atLeas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所</w:t>
            </w: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val="zh-CN" w:eastAsia="zh-CN"/>
              </w:rPr>
              <w:t>产品选型合理、配置齐全，整体功能完备且满足使用要求，</w:t>
            </w:r>
            <w:r>
              <w:rPr>
                <w:rFonts w:hint="eastAsia" w:ascii="宋体" w:hAnsi="宋体" w:eastAsia="宋体" w:cs="宋体"/>
                <w:color w:val="auto"/>
                <w:sz w:val="21"/>
                <w:szCs w:val="21"/>
                <w:lang w:val="en-US" w:eastAsia="zh-CN"/>
              </w:rPr>
              <w:t>提供的相关证明材料（如检测报告、技术白皮书、产品说明书等）齐全，图片清晰，设备功能描述详细</w:t>
            </w:r>
            <w:r>
              <w:rPr>
                <w:rFonts w:hint="eastAsia" w:ascii="宋体" w:hAnsi="宋体" w:eastAsia="宋体" w:cs="宋体"/>
                <w:color w:val="auto"/>
                <w:sz w:val="21"/>
                <w:szCs w:val="21"/>
                <w:lang w:val="zh-CN" w:eastAsia="zh-CN"/>
              </w:rPr>
              <w:t>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eastAsia="zh-CN"/>
              </w:rPr>
              <w:t>分；</w:t>
            </w:r>
          </w:p>
          <w:p w14:paraId="3B95AB48">
            <w:pPr>
              <w:snapToGrid w:val="0"/>
              <w:spacing w:line="320" w:lineRule="atLeas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所</w:t>
            </w: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val="zh-CN" w:eastAsia="zh-CN"/>
              </w:rPr>
              <w:t>产品选型</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lang w:val="zh-CN" w:eastAsia="zh-CN"/>
              </w:rPr>
              <w:t>合理、配置</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lang w:val="zh-CN" w:eastAsia="zh-CN"/>
              </w:rPr>
              <w:t>齐全，整体功能</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lang w:val="zh-CN" w:eastAsia="zh-CN"/>
              </w:rPr>
              <w:t>满足使用要求，</w:t>
            </w:r>
            <w:r>
              <w:rPr>
                <w:rFonts w:hint="eastAsia" w:ascii="宋体" w:hAnsi="宋体" w:eastAsia="宋体" w:cs="宋体"/>
                <w:color w:val="auto"/>
                <w:sz w:val="21"/>
                <w:szCs w:val="21"/>
                <w:lang w:val="en-US" w:eastAsia="zh-CN"/>
              </w:rPr>
              <w:t>提供的相关证明材料（如检测报告、技术白皮书、产品说明书等）较齐全，图片清晰，设备功能描述详细</w:t>
            </w:r>
            <w:r>
              <w:rPr>
                <w:rFonts w:hint="eastAsia" w:ascii="宋体" w:hAnsi="宋体" w:eastAsia="宋体" w:cs="宋体"/>
                <w:color w:val="auto"/>
                <w:sz w:val="21"/>
                <w:szCs w:val="21"/>
                <w:lang w:val="zh-CN"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eastAsia="zh-CN"/>
              </w:rPr>
              <w:t>分；</w:t>
            </w:r>
          </w:p>
          <w:p w14:paraId="6302E615">
            <w:pPr>
              <w:snapToGri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所</w:t>
            </w: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val="en-US" w:eastAsia="zh-CN"/>
              </w:rPr>
              <w:t>产品选型较差，相关证明资料不齐全，图片模糊，设备功能描述不详细得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w:t>
            </w:r>
          </w:p>
          <w:p w14:paraId="2F466DE6">
            <w:pPr>
              <w:snapToGrid w:val="0"/>
              <w:spacing w:line="320" w:lineRule="atLeas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未提供不得分。</w:t>
            </w:r>
          </w:p>
        </w:tc>
      </w:tr>
      <w:tr w14:paraId="0F3B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tcBorders>
              <w:left w:val="single" w:color="auto" w:sz="4" w:space="0"/>
              <w:right w:val="single" w:color="auto" w:sz="4" w:space="0"/>
            </w:tcBorders>
            <w:vAlign w:val="center"/>
          </w:tcPr>
          <w:p w14:paraId="66C91231">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5EACE71D">
            <w:pPr>
              <w:jc w:val="center"/>
              <w:rPr>
                <w:rFonts w:hint="eastAsia" w:ascii="宋体" w:hAnsi="宋体" w:eastAsia="宋体" w:cs="宋体"/>
                <w:sz w:val="21"/>
                <w:szCs w:val="21"/>
              </w:rPr>
            </w:pPr>
          </w:p>
        </w:tc>
        <w:tc>
          <w:tcPr>
            <w:tcW w:w="1648" w:type="dxa"/>
            <w:vMerge w:val="continue"/>
            <w:tcBorders>
              <w:left w:val="single" w:color="auto" w:sz="4" w:space="0"/>
              <w:right w:val="single" w:color="auto" w:sz="4" w:space="0"/>
            </w:tcBorders>
            <w:vAlign w:val="center"/>
          </w:tcPr>
          <w:p w14:paraId="0F5DFDEE">
            <w:pPr>
              <w:snapToGrid w:val="0"/>
              <w:spacing w:line="320" w:lineRule="atLeast"/>
              <w:jc w:val="center"/>
              <w:rPr>
                <w:rFonts w:hint="eastAsia" w:ascii="宋体" w:hAnsi="宋体" w:eastAsia="宋体" w:cs="宋体"/>
                <w:color w:val="auto"/>
                <w:sz w:val="21"/>
                <w:szCs w:val="21"/>
                <w:lang w:val="en-US" w:eastAsia="zh-CN"/>
              </w:rPr>
            </w:pPr>
          </w:p>
        </w:tc>
        <w:tc>
          <w:tcPr>
            <w:tcW w:w="900" w:type="dxa"/>
            <w:tcBorders>
              <w:top w:val="single" w:color="auto" w:sz="4" w:space="0"/>
              <w:left w:val="single" w:color="auto" w:sz="4" w:space="0"/>
              <w:right w:val="single" w:color="auto" w:sz="4" w:space="0"/>
            </w:tcBorders>
            <w:vAlign w:val="center"/>
          </w:tcPr>
          <w:p w14:paraId="5DEEA156">
            <w:pPr>
              <w:snapToGrid w:val="0"/>
              <w:spacing w:line="320" w:lineRule="atLeas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4分</w:t>
            </w:r>
          </w:p>
        </w:tc>
        <w:tc>
          <w:tcPr>
            <w:tcW w:w="5507" w:type="dxa"/>
            <w:tcBorders>
              <w:top w:val="single" w:color="auto" w:sz="4" w:space="0"/>
              <w:left w:val="single" w:color="auto" w:sz="4" w:space="0"/>
              <w:right w:val="single" w:color="auto" w:sz="4" w:space="0"/>
            </w:tcBorders>
            <w:vAlign w:val="center"/>
          </w:tcPr>
          <w:p w14:paraId="57FBE984">
            <w:pPr>
              <w:spacing w:line="320" w:lineRule="atLeast"/>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产品来源渠道合法的证明文件（包括但不限于销售协议、代理协议、原厂授权等）</w:t>
            </w:r>
            <w:r>
              <w:rPr>
                <w:rFonts w:hint="eastAsia" w:ascii="宋体" w:hAnsi="宋体" w:cs="宋体"/>
                <w:color w:val="auto"/>
                <w:sz w:val="21"/>
                <w:szCs w:val="21"/>
                <w:lang w:val="en-US" w:eastAsia="zh-CN"/>
              </w:rPr>
              <w:t>；</w:t>
            </w:r>
          </w:p>
          <w:p w14:paraId="62FFF761">
            <w:pPr>
              <w:spacing w:line="320" w:lineRule="atLeas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提供的资料完整的得4分；</w:t>
            </w:r>
          </w:p>
          <w:p w14:paraId="4710284D">
            <w:pPr>
              <w:snapToGrid w:val="0"/>
              <w:spacing w:line="320" w:lineRule="atLeas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提供的资料不完整或未提供得0分。</w:t>
            </w:r>
          </w:p>
        </w:tc>
      </w:tr>
      <w:tr w14:paraId="5D22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40" w:type="dxa"/>
            <w:vMerge w:val="continue"/>
            <w:tcBorders>
              <w:left w:val="single" w:color="auto" w:sz="4" w:space="0"/>
              <w:right w:val="single" w:color="auto" w:sz="4" w:space="0"/>
            </w:tcBorders>
            <w:vAlign w:val="center"/>
          </w:tcPr>
          <w:p w14:paraId="233885CE">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3299EA40">
            <w:pPr>
              <w:jc w:val="center"/>
              <w:rPr>
                <w:rFonts w:hint="eastAsia" w:ascii="宋体" w:hAnsi="宋体" w:eastAsia="宋体" w:cs="宋体"/>
                <w:sz w:val="21"/>
                <w:szCs w:val="21"/>
              </w:rPr>
            </w:pPr>
          </w:p>
        </w:tc>
        <w:tc>
          <w:tcPr>
            <w:tcW w:w="1648" w:type="dxa"/>
            <w:tcBorders>
              <w:left w:val="single" w:color="auto" w:sz="4" w:space="0"/>
              <w:right w:val="single" w:color="auto" w:sz="4" w:space="0"/>
            </w:tcBorders>
            <w:vAlign w:val="center"/>
          </w:tcPr>
          <w:p w14:paraId="18AE3002">
            <w:pPr>
              <w:spacing w:line="32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实施方案</w:t>
            </w:r>
          </w:p>
        </w:tc>
        <w:tc>
          <w:tcPr>
            <w:tcW w:w="900" w:type="dxa"/>
            <w:tcBorders>
              <w:top w:val="single" w:color="auto" w:sz="4" w:space="0"/>
              <w:left w:val="single" w:color="auto" w:sz="4" w:space="0"/>
              <w:right w:val="single" w:color="auto" w:sz="4" w:space="0"/>
            </w:tcBorders>
            <w:vAlign w:val="center"/>
          </w:tcPr>
          <w:p w14:paraId="0C9DA10F">
            <w:pPr>
              <w:spacing w:line="3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c>
          <w:tcPr>
            <w:tcW w:w="5507" w:type="dxa"/>
            <w:tcBorders>
              <w:top w:val="single" w:color="auto" w:sz="4" w:space="0"/>
              <w:left w:val="single" w:color="auto" w:sz="4" w:space="0"/>
              <w:right w:val="single" w:color="auto" w:sz="4" w:space="0"/>
            </w:tcBorders>
            <w:vAlign w:val="center"/>
          </w:tcPr>
          <w:p w14:paraId="70974871">
            <w:pPr>
              <w:autoSpaceDE w:val="0"/>
              <w:autoSpaceDN w:val="0"/>
              <w:adjustRightInd w:val="0"/>
              <w:spacing w:line="320" w:lineRule="atLeast"/>
              <w:ind w:firstLine="422" w:firstLineChars="200"/>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评审内容：</w:t>
            </w:r>
          </w:p>
          <w:p w14:paraId="32AB198E">
            <w:pPr>
              <w:autoSpaceDE w:val="0"/>
              <w:autoSpaceDN w:val="0"/>
              <w:adjustRightInd w:val="0"/>
              <w:spacing w:line="320" w:lineRule="atLeas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①</w:t>
            </w:r>
            <w:r>
              <w:rPr>
                <w:rFonts w:hint="eastAsia" w:ascii="宋体" w:hAnsi="宋体" w:eastAsia="宋体" w:cs="宋体"/>
                <w:color w:val="auto"/>
                <w:sz w:val="21"/>
                <w:szCs w:val="21"/>
                <w:lang w:val="en-US" w:eastAsia="zh-CN"/>
              </w:rPr>
              <w:t>提供针对本项目的备货、供货方案</w:t>
            </w:r>
            <w:r>
              <w:rPr>
                <w:rFonts w:hint="eastAsia" w:ascii="宋体" w:hAnsi="宋体" w:cs="宋体"/>
                <w:color w:val="auto"/>
                <w:sz w:val="21"/>
                <w:szCs w:val="21"/>
                <w:lang w:val="en-US" w:eastAsia="zh-CN"/>
              </w:rPr>
              <w:t>；</w:t>
            </w:r>
          </w:p>
          <w:p w14:paraId="3F0018F2">
            <w:pPr>
              <w:autoSpaceDE w:val="0"/>
              <w:autoSpaceDN w:val="0"/>
              <w:adjustRightInd w:val="0"/>
              <w:spacing w:line="32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②</w:t>
            </w:r>
            <w:r>
              <w:rPr>
                <w:rFonts w:hint="eastAsia" w:ascii="宋体" w:hAnsi="宋体" w:eastAsia="宋体" w:cs="宋体"/>
                <w:color w:val="auto"/>
                <w:sz w:val="21"/>
                <w:szCs w:val="21"/>
                <w:lang w:val="en-US" w:eastAsia="zh-CN"/>
              </w:rPr>
              <w:t>提供针对本项目进度保证措施</w:t>
            </w:r>
            <w:r>
              <w:rPr>
                <w:rFonts w:hint="eastAsia" w:ascii="宋体" w:hAnsi="宋体" w:cs="宋体"/>
                <w:color w:val="auto"/>
                <w:sz w:val="21"/>
                <w:szCs w:val="21"/>
                <w:lang w:val="en-US" w:eastAsia="zh-CN"/>
              </w:rPr>
              <w:t>；</w:t>
            </w:r>
          </w:p>
          <w:p w14:paraId="7157AD4A">
            <w:pPr>
              <w:autoSpaceDE w:val="0"/>
              <w:autoSpaceDN w:val="0"/>
              <w:adjustRightInd w:val="0"/>
              <w:spacing w:line="320" w:lineRule="atLeast"/>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rPr>
              <w:t>③拟投入人员配备</w:t>
            </w:r>
            <w:r>
              <w:rPr>
                <w:rFonts w:hint="eastAsia" w:ascii="宋体" w:hAnsi="宋体" w:eastAsia="宋体" w:cs="宋体"/>
                <w:color w:val="auto"/>
                <w:sz w:val="21"/>
                <w:szCs w:val="21"/>
                <w:lang w:val="en-US" w:eastAsia="zh-CN"/>
              </w:rPr>
              <w:t>及各人员职责分工</w:t>
            </w:r>
            <w:r>
              <w:rPr>
                <w:rFonts w:hint="eastAsia" w:ascii="宋体" w:hAnsi="宋体" w:cs="宋体"/>
                <w:color w:val="auto"/>
                <w:sz w:val="21"/>
                <w:szCs w:val="21"/>
                <w:lang w:val="en-US" w:eastAsia="zh-CN"/>
              </w:rPr>
              <w:t>；</w:t>
            </w:r>
          </w:p>
          <w:p w14:paraId="36697ACB">
            <w:pPr>
              <w:autoSpaceDE w:val="0"/>
              <w:autoSpaceDN w:val="0"/>
              <w:adjustRightInd w:val="0"/>
              <w:spacing w:line="320" w:lineRule="atLeast"/>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④提供的产品安装、检测、调试等方面保证措施</w:t>
            </w:r>
            <w:r>
              <w:rPr>
                <w:rFonts w:hint="eastAsia" w:ascii="宋体" w:hAnsi="宋体" w:cs="宋体"/>
                <w:color w:val="auto"/>
                <w:sz w:val="21"/>
                <w:szCs w:val="21"/>
                <w:lang w:val="en-US" w:eastAsia="zh-CN"/>
              </w:rPr>
              <w:t>；</w:t>
            </w:r>
          </w:p>
          <w:p w14:paraId="6443A7BC">
            <w:pPr>
              <w:autoSpaceDE w:val="0"/>
              <w:autoSpaceDN w:val="0"/>
              <w:adjustRightInd w:val="0"/>
              <w:spacing w:line="320" w:lineRule="atLeast"/>
              <w:ind w:firstLine="422" w:firstLineChars="200"/>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lang w:val="en-US" w:eastAsia="zh-CN"/>
              </w:rPr>
              <w:t>评审依据：</w:t>
            </w:r>
          </w:p>
          <w:p w14:paraId="400ECAD4">
            <w:pPr>
              <w:autoSpaceDE w:val="0"/>
              <w:autoSpaceDN w:val="0"/>
              <w:adjustRightIn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①方案内容齐全、详尽，切实可行每项得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p>
          <w:p w14:paraId="4EC0D217">
            <w:pPr>
              <w:autoSpaceDE w:val="0"/>
              <w:autoSpaceDN w:val="0"/>
              <w:adjustRightIn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②方案内容不全面，描述不完整，可行性较差，每项得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674F71E4">
            <w:pPr>
              <w:autoSpaceDE w:val="0"/>
              <w:autoSpaceDN w:val="0"/>
              <w:adjustRightIn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③方案内容有描述，但不可行，每项得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lang w:val="en-US" w:eastAsia="zh-CN"/>
              </w:rPr>
              <w:t>分；</w:t>
            </w:r>
          </w:p>
          <w:p w14:paraId="64FC73F4">
            <w:pPr>
              <w:autoSpaceDE w:val="0"/>
              <w:autoSpaceDN w:val="0"/>
              <w:adjustRightInd w:val="0"/>
              <w:spacing w:line="32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④未提供不得分</w:t>
            </w:r>
            <w:r>
              <w:rPr>
                <w:rFonts w:hint="eastAsia" w:ascii="宋体" w:hAnsi="宋体" w:cs="宋体"/>
                <w:color w:val="auto"/>
                <w:sz w:val="21"/>
                <w:szCs w:val="21"/>
                <w:lang w:val="en-US" w:eastAsia="zh-CN"/>
              </w:rPr>
              <w:t>。</w:t>
            </w:r>
          </w:p>
        </w:tc>
      </w:tr>
      <w:tr w14:paraId="3F7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540" w:type="dxa"/>
            <w:vMerge w:val="continue"/>
            <w:tcBorders>
              <w:left w:val="single" w:color="auto" w:sz="4" w:space="0"/>
              <w:right w:val="single" w:color="auto" w:sz="4" w:space="0"/>
            </w:tcBorders>
            <w:vAlign w:val="center"/>
          </w:tcPr>
          <w:p w14:paraId="054B16A3">
            <w:pPr>
              <w:jc w:val="center"/>
              <w:rPr>
                <w:rFonts w:hint="eastAsia" w:ascii="宋体" w:hAnsi="宋体" w:eastAsia="宋体" w:cs="宋体"/>
                <w:b/>
                <w:bCs/>
                <w:sz w:val="21"/>
                <w:szCs w:val="21"/>
              </w:rPr>
            </w:pPr>
          </w:p>
        </w:tc>
        <w:tc>
          <w:tcPr>
            <w:tcW w:w="900" w:type="dxa"/>
            <w:vMerge w:val="continue"/>
            <w:tcBorders>
              <w:left w:val="single" w:color="auto" w:sz="4" w:space="0"/>
              <w:right w:val="single" w:color="auto" w:sz="4" w:space="0"/>
            </w:tcBorders>
            <w:vAlign w:val="center"/>
          </w:tcPr>
          <w:p w14:paraId="1001B3BA">
            <w:pPr>
              <w:jc w:val="center"/>
              <w:rPr>
                <w:rFonts w:hint="eastAsia" w:ascii="宋体" w:hAnsi="宋体" w:eastAsia="宋体" w:cs="宋体"/>
                <w:b/>
                <w:bCs/>
                <w:sz w:val="21"/>
                <w:szCs w:val="21"/>
              </w:rPr>
            </w:pPr>
          </w:p>
        </w:tc>
        <w:tc>
          <w:tcPr>
            <w:tcW w:w="1648" w:type="dxa"/>
            <w:vMerge w:val="restart"/>
            <w:tcBorders>
              <w:left w:val="single" w:color="auto" w:sz="4" w:space="0"/>
              <w:right w:val="single" w:color="auto" w:sz="4" w:space="0"/>
            </w:tcBorders>
            <w:vAlign w:val="center"/>
          </w:tcPr>
          <w:p w14:paraId="34382A82">
            <w:pPr>
              <w:jc w:val="cente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售后服务</w:t>
            </w:r>
          </w:p>
        </w:tc>
        <w:tc>
          <w:tcPr>
            <w:tcW w:w="900" w:type="dxa"/>
            <w:tcBorders>
              <w:top w:val="single" w:color="auto" w:sz="4" w:space="0"/>
              <w:left w:val="single" w:color="auto" w:sz="4" w:space="0"/>
              <w:bottom w:val="single" w:color="auto" w:sz="4" w:space="0"/>
              <w:right w:val="single" w:color="auto" w:sz="4" w:space="0"/>
            </w:tcBorders>
            <w:vAlign w:val="center"/>
          </w:tcPr>
          <w:p w14:paraId="2F99B389">
            <w:pPr>
              <w:autoSpaceDE w:val="0"/>
              <w:autoSpaceDN w:val="0"/>
              <w:adjustRightInd w:val="0"/>
              <w:spacing w:line="300" w:lineRule="exact"/>
              <w:jc w:val="center"/>
              <w:rPr>
                <w:rFonts w:hint="eastAsia" w:ascii="宋体" w:hAnsi="宋体" w:eastAsia="宋体" w:cs="宋体"/>
                <w:b/>
                <w:bCs/>
                <w:sz w:val="21"/>
                <w:szCs w:val="21"/>
              </w:rPr>
            </w:pPr>
            <w:r>
              <w:rPr>
                <w:rFonts w:hint="eastAsia" w:ascii="宋体" w:hAnsi="宋体" w:eastAsia="宋体" w:cs="宋体"/>
                <w:sz w:val="21"/>
                <w:szCs w:val="21"/>
              </w:rPr>
              <w:t>培训方案</w:t>
            </w: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628D0D4F">
            <w:pPr>
              <w:autoSpaceDE w:val="0"/>
              <w:autoSpaceDN w:val="0"/>
              <w:adjustRightInd w:val="0"/>
              <w:spacing w:line="320" w:lineRule="atLeas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评审内容：</w:t>
            </w:r>
          </w:p>
          <w:p w14:paraId="354D98E9">
            <w:pPr>
              <w:spacing w:line="320" w:lineRule="atLeast"/>
              <w:ind w:firstLine="420" w:firstLineChars="200"/>
              <w:rPr>
                <w:rFonts w:hint="eastAsia" w:ascii="宋体" w:hAnsi="宋体" w:cs="宋体"/>
                <w:sz w:val="21"/>
                <w:szCs w:val="21"/>
                <w:lang w:eastAsia="zh-CN"/>
              </w:rPr>
            </w:pPr>
            <w:r>
              <w:rPr>
                <w:rFonts w:hint="eastAsia" w:ascii="宋体" w:hAnsi="宋体" w:eastAsia="宋体" w:cs="宋体"/>
                <w:sz w:val="21"/>
                <w:szCs w:val="21"/>
              </w:rPr>
              <w:t>有完整、可行的培训方案</w:t>
            </w:r>
            <w:r>
              <w:rPr>
                <w:rFonts w:hint="eastAsia" w:ascii="宋体" w:hAnsi="宋体" w:cs="宋体"/>
                <w:sz w:val="21"/>
                <w:szCs w:val="21"/>
                <w:lang w:eastAsia="zh-CN"/>
              </w:rPr>
              <w:t>，</w:t>
            </w:r>
            <w:r>
              <w:rPr>
                <w:rFonts w:hint="eastAsia" w:ascii="宋体" w:hAnsi="宋体" w:cs="宋体"/>
                <w:sz w:val="21"/>
                <w:szCs w:val="21"/>
                <w:lang w:val="en-US" w:eastAsia="zh-CN"/>
              </w:rPr>
              <w:t>包含：</w:t>
            </w:r>
          </w:p>
          <w:p w14:paraId="5EF2B894">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①具体培训方式</w:t>
            </w:r>
          </w:p>
          <w:p w14:paraId="4CE29F8D">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②培训内容</w:t>
            </w:r>
          </w:p>
          <w:p w14:paraId="349CBE9E">
            <w:pPr>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培训课时</w:t>
            </w:r>
          </w:p>
          <w:p w14:paraId="0495AFB9">
            <w:pPr>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④培训人员</w:t>
            </w:r>
          </w:p>
          <w:p w14:paraId="105502CC">
            <w:pPr>
              <w:pStyle w:val="5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评审依据：</w:t>
            </w:r>
          </w:p>
          <w:p w14:paraId="7C684637">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培训内容完整详细，切实可行；培训课时安排合理；拟派培训人员经验丰富；</w:t>
            </w:r>
          </w:p>
          <w:p w14:paraId="14D3BACF">
            <w:pPr>
              <w:autoSpaceDE w:val="0"/>
              <w:autoSpaceDN w:val="0"/>
              <w:adjustRightInd w:val="0"/>
              <w:spacing w:line="320" w:lineRule="atLeast"/>
              <w:ind w:firstLine="420" w:firstLineChars="200"/>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rPr>
              <w:t>完全满足采购需求每项得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分，部分满足采购需求每项得</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分，未提供或不满足采购需求不得分。</w:t>
            </w:r>
          </w:p>
        </w:tc>
      </w:tr>
      <w:tr w14:paraId="6752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tcBorders>
              <w:left w:val="single" w:color="auto" w:sz="4" w:space="0"/>
              <w:right w:val="single" w:color="auto" w:sz="4" w:space="0"/>
            </w:tcBorders>
            <w:vAlign w:val="center"/>
          </w:tcPr>
          <w:p w14:paraId="412B452E">
            <w:pPr>
              <w:jc w:val="center"/>
              <w:rPr>
                <w:rFonts w:hint="eastAsia" w:ascii="宋体" w:hAnsi="宋体" w:eastAsia="宋体" w:cs="宋体"/>
                <w:b/>
                <w:bCs/>
                <w:sz w:val="21"/>
                <w:szCs w:val="21"/>
              </w:rPr>
            </w:pPr>
          </w:p>
        </w:tc>
        <w:tc>
          <w:tcPr>
            <w:tcW w:w="900" w:type="dxa"/>
            <w:vMerge w:val="continue"/>
            <w:tcBorders>
              <w:left w:val="single" w:color="auto" w:sz="4" w:space="0"/>
              <w:right w:val="single" w:color="auto" w:sz="4" w:space="0"/>
            </w:tcBorders>
            <w:vAlign w:val="center"/>
          </w:tcPr>
          <w:p w14:paraId="799A6D7E">
            <w:pPr>
              <w:jc w:val="center"/>
              <w:rPr>
                <w:rFonts w:hint="eastAsia" w:ascii="宋体" w:hAnsi="宋体" w:eastAsia="宋体" w:cs="宋体"/>
                <w:b/>
                <w:bCs/>
                <w:sz w:val="21"/>
                <w:szCs w:val="21"/>
              </w:rPr>
            </w:pPr>
          </w:p>
        </w:tc>
        <w:tc>
          <w:tcPr>
            <w:tcW w:w="1648" w:type="dxa"/>
            <w:vMerge w:val="continue"/>
            <w:tcBorders>
              <w:left w:val="single" w:color="auto" w:sz="4" w:space="0"/>
              <w:right w:val="single" w:color="auto" w:sz="4" w:space="0"/>
            </w:tcBorders>
            <w:vAlign w:val="center"/>
          </w:tcPr>
          <w:p w14:paraId="4C050E34">
            <w:pPr>
              <w:jc w:val="center"/>
              <w:rPr>
                <w:rFonts w:hint="eastAsia" w:ascii="宋体" w:hAnsi="宋体" w:eastAsia="宋体" w:cs="宋体"/>
                <w:b/>
                <w:bCs/>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C63579A">
            <w:pPr>
              <w:autoSpaceDE w:val="0"/>
              <w:autoSpaceDN w:val="0"/>
              <w:adjustRightInd w:val="0"/>
              <w:spacing w:line="300" w:lineRule="exact"/>
              <w:jc w:val="center"/>
              <w:rPr>
                <w:rFonts w:hint="default" w:ascii="宋体" w:hAnsi="宋体" w:eastAsia="宋体" w:cs="宋体"/>
                <w:b/>
                <w:bCs/>
                <w:sz w:val="21"/>
                <w:szCs w:val="21"/>
                <w:highlight w:val="none"/>
                <w:lang w:val="en-US" w:eastAsia="zh-CN"/>
              </w:rPr>
            </w:pPr>
            <w:r>
              <w:rPr>
                <w:rFonts w:hint="eastAsia" w:ascii="宋体" w:hAnsi="宋体" w:cs="宋体"/>
                <w:b w:val="0"/>
                <w:bCs w:val="0"/>
                <w:sz w:val="21"/>
                <w:szCs w:val="21"/>
                <w:highlight w:val="none"/>
                <w:lang w:val="en-US" w:eastAsia="zh-CN"/>
              </w:rPr>
              <w:t>后期维保方案9分</w:t>
            </w:r>
          </w:p>
        </w:tc>
        <w:tc>
          <w:tcPr>
            <w:tcW w:w="5507" w:type="dxa"/>
            <w:tcBorders>
              <w:top w:val="single" w:color="auto" w:sz="4" w:space="0"/>
              <w:left w:val="single" w:color="auto" w:sz="4" w:space="0"/>
              <w:bottom w:val="single" w:color="auto" w:sz="4" w:space="0"/>
              <w:right w:val="single" w:color="auto" w:sz="4" w:space="0"/>
            </w:tcBorders>
            <w:vAlign w:val="center"/>
          </w:tcPr>
          <w:p w14:paraId="11838FD9">
            <w:pPr>
              <w:autoSpaceDE w:val="0"/>
              <w:autoSpaceDN w:val="0"/>
              <w:adjustRightInd w:val="0"/>
              <w:spacing w:line="320" w:lineRule="atLeast"/>
              <w:rPr>
                <w:rFonts w:hint="eastAsia" w:ascii="宋体" w:hAnsi="宋体" w:eastAsia="宋体" w:cs="宋体"/>
                <w:sz w:val="21"/>
                <w:szCs w:val="21"/>
              </w:rPr>
            </w:pPr>
            <w:r>
              <w:rPr>
                <w:rFonts w:hint="eastAsia" w:ascii="宋体" w:hAnsi="宋体" w:cs="宋体"/>
                <w:b/>
                <w:bCs/>
                <w:sz w:val="21"/>
                <w:szCs w:val="21"/>
                <w:lang w:val="en-US" w:eastAsia="zh-CN"/>
              </w:rPr>
              <w:t>评审内容：</w:t>
            </w:r>
          </w:p>
          <w:p w14:paraId="16875224">
            <w:pPr>
              <w:autoSpaceDE w:val="0"/>
              <w:autoSpaceDN w:val="0"/>
              <w:adjustRightInd w:val="0"/>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rPr>
              <w:t>提供</w:t>
            </w:r>
            <w:r>
              <w:rPr>
                <w:rFonts w:hint="eastAsia" w:ascii="宋体" w:hAnsi="宋体" w:cs="宋体"/>
                <w:sz w:val="21"/>
                <w:szCs w:val="21"/>
                <w:lang w:val="en-US" w:eastAsia="zh-CN"/>
              </w:rPr>
              <w:t>完整、可行的</w:t>
            </w:r>
            <w:r>
              <w:rPr>
                <w:rFonts w:hint="eastAsia" w:ascii="宋体" w:hAnsi="宋体" w:eastAsia="宋体" w:cs="宋体"/>
                <w:sz w:val="21"/>
                <w:szCs w:val="21"/>
              </w:rPr>
              <w:t>后期维护方案，</w:t>
            </w:r>
            <w:r>
              <w:rPr>
                <w:rFonts w:hint="eastAsia" w:ascii="宋体" w:hAnsi="宋体" w:cs="宋体"/>
                <w:sz w:val="21"/>
                <w:szCs w:val="21"/>
                <w:lang w:val="en-US" w:eastAsia="zh-CN"/>
              </w:rPr>
              <w:t>包含：</w:t>
            </w:r>
          </w:p>
          <w:p w14:paraId="71A6B4E9">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设备</w:t>
            </w:r>
            <w:r>
              <w:rPr>
                <w:rFonts w:hint="eastAsia" w:ascii="宋体" w:hAnsi="宋体" w:eastAsia="宋体" w:cs="宋体"/>
                <w:sz w:val="21"/>
                <w:szCs w:val="21"/>
              </w:rPr>
              <w:t>日常</w:t>
            </w:r>
            <w:r>
              <w:rPr>
                <w:rFonts w:hint="eastAsia" w:ascii="宋体" w:hAnsi="宋体" w:eastAsia="宋体" w:cs="宋体"/>
                <w:sz w:val="21"/>
                <w:szCs w:val="21"/>
                <w:lang w:val="en-US" w:eastAsia="zh-CN"/>
              </w:rPr>
              <w:t>巡查</w:t>
            </w:r>
          </w:p>
          <w:p w14:paraId="77012D48">
            <w:pPr>
              <w:autoSpaceDE w:val="0"/>
              <w:autoSpaceDN w:val="0"/>
              <w:adjustRightIn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②故障维护与故障报修</w:t>
            </w:r>
          </w:p>
          <w:p w14:paraId="38D0AFCA">
            <w:pPr>
              <w:autoSpaceDE w:val="0"/>
              <w:autoSpaceDN w:val="0"/>
              <w:adjustRightIn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③保养维护计划</w:t>
            </w:r>
          </w:p>
          <w:p w14:paraId="7EB95C6E">
            <w:pPr>
              <w:pStyle w:val="5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评审依据：</w:t>
            </w:r>
          </w:p>
          <w:p w14:paraId="5AF4BB46">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①方案内容齐全、详尽，切实可行每项得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p w14:paraId="362C601C">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②方案内容不全面，描述不完整，可行性较差，每项得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14:paraId="3171E753">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③方案内容有描述，但不可行，每项得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p w14:paraId="62779A86">
            <w:pPr>
              <w:autoSpaceDE w:val="0"/>
              <w:autoSpaceDN w:val="0"/>
              <w:adjustRightInd w:val="0"/>
              <w:spacing w:line="320" w:lineRule="atLeast"/>
              <w:ind w:firstLine="420" w:firstLineChars="200"/>
              <w:rPr>
                <w:rFonts w:hint="default" w:ascii="宋体" w:hAnsi="宋体" w:eastAsia="宋体" w:cs="宋体"/>
                <w:b/>
                <w:bCs/>
                <w:sz w:val="21"/>
                <w:szCs w:val="21"/>
                <w:highlight w:val="none"/>
                <w:lang w:val="en-US" w:eastAsia="zh-CN"/>
              </w:rPr>
            </w:pPr>
            <w:r>
              <w:rPr>
                <w:rFonts w:hint="eastAsia" w:ascii="宋体" w:hAnsi="宋体" w:eastAsia="宋体" w:cs="宋体"/>
                <w:sz w:val="21"/>
                <w:szCs w:val="21"/>
                <w:lang w:val="en-US" w:eastAsia="zh-CN"/>
              </w:rPr>
              <w:t>④未提供不得分</w:t>
            </w:r>
            <w:r>
              <w:rPr>
                <w:rFonts w:hint="eastAsia" w:ascii="宋体" w:hAnsi="宋体" w:cs="宋体"/>
                <w:sz w:val="21"/>
                <w:szCs w:val="21"/>
                <w:lang w:val="en-US" w:eastAsia="zh-CN"/>
              </w:rPr>
              <w:t>。</w:t>
            </w:r>
          </w:p>
        </w:tc>
      </w:tr>
      <w:tr w14:paraId="5707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540" w:type="dxa"/>
            <w:tcBorders>
              <w:left w:val="single" w:color="auto" w:sz="4" w:space="0"/>
              <w:right w:val="single" w:color="auto" w:sz="4" w:space="0"/>
            </w:tcBorders>
            <w:vAlign w:val="center"/>
          </w:tcPr>
          <w:p w14:paraId="2A2386AE">
            <w:pPr>
              <w:widowControl/>
              <w:jc w:val="center"/>
              <w:rPr>
                <w:rFonts w:hint="eastAsia" w:ascii="宋体" w:hAnsi="宋体" w:eastAsia="宋体" w:cs="宋体"/>
                <w:sz w:val="21"/>
                <w:szCs w:val="21"/>
              </w:rPr>
            </w:pPr>
            <w:r>
              <w:rPr>
                <w:rFonts w:hint="eastAsia" w:ascii="宋体" w:hAnsi="宋体" w:eastAsia="宋体" w:cs="宋体"/>
                <w:sz w:val="21"/>
                <w:szCs w:val="21"/>
              </w:rPr>
              <w:t>商务</w:t>
            </w:r>
          </w:p>
        </w:tc>
        <w:tc>
          <w:tcPr>
            <w:tcW w:w="900" w:type="dxa"/>
            <w:tcBorders>
              <w:left w:val="single" w:color="auto" w:sz="4" w:space="0"/>
              <w:right w:val="single" w:color="auto" w:sz="4" w:space="0"/>
            </w:tcBorders>
            <w:vAlign w:val="center"/>
          </w:tcPr>
          <w:p w14:paraId="4EC71AC7">
            <w:pPr>
              <w:widowControl/>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c>
          <w:tcPr>
            <w:tcW w:w="1648" w:type="dxa"/>
            <w:tcBorders>
              <w:top w:val="single" w:color="auto" w:sz="4" w:space="0"/>
              <w:left w:val="single" w:color="auto" w:sz="4" w:space="0"/>
              <w:bottom w:val="single" w:color="auto" w:sz="4" w:space="0"/>
              <w:right w:val="single" w:color="auto" w:sz="4" w:space="0"/>
            </w:tcBorders>
            <w:vAlign w:val="center"/>
          </w:tcPr>
          <w:p w14:paraId="74A08508">
            <w:pPr>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业绩</w:t>
            </w:r>
          </w:p>
        </w:tc>
        <w:tc>
          <w:tcPr>
            <w:tcW w:w="900" w:type="dxa"/>
            <w:tcBorders>
              <w:top w:val="single" w:color="auto" w:sz="4" w:space="0"/>
              <w:left w:val="single" w:color="auto" w:sz="4" w:space="0"/>
              <w:bottom w:val="single" w:color="auto" w:sz="4" w:space="0"/>
              <w:right w:val="single" w:color="auto" w:sz="4" w:space="0"/>
            </w:tcBorders>
            <w:vAlign w:val="center"/>
          </w:tcPr>
          <w:p w14:paraId="5CE5BA15">
            <w:pPr>
              <w:autoSpaceDE w:val="0"/>
              <w:autoSpaceDN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7E008BCB">
            <w:pPr>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月至今</w:t>
            </w:r>
            <w:r>
              <w:rPr>
                <w:rFonts w:hint="eastAsia" w:ascii="宋体" w:hAnsi="宋体" w:cs="宋体"/>
                <w:color w:val="auto"/>
                <w:sz w:val="21"/>
                <w:szCs w:val="21"/>
                <w:highlight w:val="none"/>
                <w:lang w:val="en-US" w:eastAsia="zh-CN"/>
              </w:rPr>
              <w:t>所投</w:t>
            </w:r>
            <w:r>
              <w:rPr>
                <w:rFonts w:hint="eastAsia" w:ascii="宋体" w:hAnsi="宋体" w:eastAsia="宋体" w:cs="宋体"/>
                <w:color w:val="auto"/>
                <w:sz w:val="21"/>
                <w:szCs w:val="21"/>
                <w:highlight w:val="none"/>
                <w:lang w:val="en-US" w:eastAsia="zh-CN"/>
              </w:rPr>
              <w:t>产品业绩</w:t>
            </w:r>
            <w:r>
              <w:rPr>
                <w:rFonts w:hint="eastAsia" w:ascii="宋体" w:hAnsi="宋体" w:eastAsia="宋体" w:cs="宋体"/>
                <w:color w:val="auto"/>
                <w:sz w:val="21"/>
                <w:szCs w:val="21"/>
                <w:highlight w:val="none"/>
              </w:rPr>
              <w:t>，每提供1个符合要求的业绩得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4F4447D">
            <w:pPr>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评审依据：提供合同复印件。</w:t>
            </w:r>
          </w:p>
        </w:tc>
      </w:tr>
      <w:tr w14:paraId="2F7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540" w:type="dxa"/>
            <w:tcBorders>
              <w:top w:val="single" w:color="auto" w:sz="4" w:space="0"/>
              <w:left w:val="single" w:color="auto" w:sz="4" w:space="0"/>
              <w:bottom w:val="single" w:color="auto" w:sz="4" w:space="0"/>
              <w:right w:val="single" w:color="auto" w:sz="4" w:space="0"/>
            </w:tcBorders>
            <w:vAlign w:val="center"/>
          </w:tcPr>
          <w:p w14:paraId="70DD033A">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8955" w:type="dxa"/>
            <w:gridSpan w:val="4"/>
            <w:tcBorders>
              <w:top w:val="single" w:color="auto" w:sz="4" w:space="0"/>
              <w:left w:val="single" w:color="auto" w:sz="4" w:space="0"/>
              <w:bottom w:val="single" w:color="auto" w:sz="4" w:space="0"/>
              <w:right w:val="single" w:color="auto" w:sz="4" w:space="0"/>
            </w:tcBorders>
            <w:vAlign w:val="center"/>
          </w:tcPr>
          <w:p w14:paraId="53B93EB8">
            <w:pPr>
              <w:spacing w:line="320" w:lineRule="exact"/>
              <w:rPr>
                <w:rFonts w:hint="eastAsia" w:ascii="宋体" w:hAnsi="宋体" w:eastAsia="宋体" w:cs="宋体"/>
                <w:sz w:val="21"/>
                <w:szCs w:val="21"/>
              </w:rPr>
            </w:pPr>
            <w:r>
              <w:rPr>
                <w:rFonts w:hint="eastAsia" w:ascii="宋体" w:hAnsi="宋体" w:eastAsia="宋体" w:cs="宋体"/>
                <w:sz w:val="21"/>
                <w:szCs w:val="21"/>
              </w:rPr>
              <w:t>1、通过</w:t>
            </w:r>
            <w:r>
              <w:rPr>
                <w:rFonts w:hint="eastAsia" w:ascii="宋体" w:hAnsi="宋体" w:cs="宋体"/>
                <w:sz w:val="21"/>
                <w:szCs w:val="21"/>
                <w:lang w:val="en-US" w:eastAsia="zh-CN"/>
              </w:rPr>
              <w:t>符合性审查</w:t>
            </w:r>
            <w:r>
              <w:rPr>
                <w:rFonts w:hint="eastAsia" w:ascii="宋体" w:hAnsi="宋体" w:eastAsia="宋体" w:cs="宋体"/>
                <w:sz w:val="21"/>
                <w:szCs w:val="21"/>
              </w:rPr>
              <w:t>为有效投标。</w:t>
            </w:r>
          </w:p>
          <w:p w14:paraId="5BD5BD43">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2、以上评分项有缺项时，按0分计取。</w:t>
            </w:r>
          </w:p>
          <w:p w14:paraId="6AB72592">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3、若出现综合得分并列时，比较价格得分此分项得分高者排序在前；若</w:t>
            </w:r>
            <w:r>
              <w:rPr>
                <w:rFonts w:hint="eastAsia" w:ascii="宋体" w:hAnsi="宋体" w:eastAsia="宋体" w:cs="宋体"/>
                <w:sz w:val="21"/>
                <w:szCs w:val="21"/>
                <w:lang w:val="en-US" w:eastAsia="zh-CN"/>
              </w:rPr>
              <w:t>价格</w:t>
            </w:r>
            <w:r>
              <w:rPr>
                <w:rFonts w:hint="eastAsia" w:ascii="宋体" w:hAnsi="宋体" w:eastAsia="宋体" w:cs="宋体"/>
                <w:sz w:val="21"/>
                <w:szCs w:val="21"/>
              </w:rPr>
              <w:t>得分仍相同，依次比较技术</w:t>
            </w:r>
            <w:r>
              <w:rPr>
                <w:rFonts w:hint="eastAsia" w:ascii="宋体" w:hAnsi="宋体" w:eastAsia="宋体" w:cs="宋体"/>
                <w:sz w:val="21"/>
                <w:szCs w:val="21"/>
                <w:lang w:val="en-US" w:eastAsia="zh-CN"/>
              </w:rPr>
              <w:t>性能</w:t>
            </w:r>
            <w:r>
              <w:rPr>
                <w:rFonts w:hint="eastAsia" w:ascii="宋体" w:hAnsi="宋体" w:eastAsia="宋体" w:cs="宋体"/>
                <w:sz w:val="21"/>
                <w:szCs w:val="21"/>
              </w:rPr>
              <w:t>指标、</w:t>
            </w:r>
            <w:r>
              <w:rPr>
                <w:rFonts w:hint="eastAsia" w:ascii="宋体" w:hAnsi="宋体" w:eastAsia="宋体" w:cs="宋体"/>
                <w:sz w:val="21"/>
                <w:szCs w:val="21"/>
                <w:lang w:val="en-US" w:eastAsia="zh-CN"/>
              </w:rPr>
              <w:t>产品配置及质量保证</w:t>
            </w:r>
            <w:r>
              <w:rPr>
                <w:rFonts w:hint="eastAsia" w:ascii="宋体" w:hAnsi="宋体" w:eastAsia="宋体" w:cs="宋体"/>
                <w:sz w:val="21"/>
                <w:szCs w:val="21"/>
              </w:rPr>
              <w:t>，此分项得分高者排序在前；若得分仍相同，则由全体评委成员无记名投票，得票高者排序在前。</w:t>
            </w:r>
          </w:p>
          <w:p w14:paraId="1BCDF055">
            <w:pPr>
              <w:spacing w:line="320" w:lineRule="exact"/>
              <w:rPr>
                <w:rFonts w:hint="eastAsia" w:ascii="宋体" w:hAnsi="宋体" w:eastAsia="宋体" w:cs="宋体"/>
                <w:sz w:val="21"/>
                <w:szCs w:val="21"/>
              </w:rPr>
            </w:pPr>
            <w:r>
              <w:rPr>
                <w:rFonts w:hint="eastAsia" w:ascii="宋体" w:hAnsi="宋体" w:eastAsia="宋体" w:cs="宋体"/>
                <w:sz w:val="21"/>
                <w:szCs w:val="21"/>
              </w:rPr>
              <w:t>4、评委打分超过得分界限或未按本方法赋分时，该评委的打分按废票处理。</w:t>
            </w:r>
          </w:p>
        </w:tc>
      </w:tr>
    </w:tbl>
    <w:p w14:paraId="03D98F6A">
      <w:pPr>
        <w:pStyle w:val="26"/>
      </w:pPr>
    </w:p>
    <w:p w14:paraId="149F7190">
      <w:pPr>
        <w:spacing w:line="360" w:lineRule="auto"/>
        <w:ind w:firstLine="420" w:firstLineChars="200"/>
        <w:rPr>
          <w:rFonts w:hint="eastAsia" w:ascii="宋体" w:hAnsi="宋体"/>
          <w:sz w:val="21"/>
          <w:szCs w:val="21"/>
        </w:rPr>
      </w:pPr>
      <w:r>
        <w:rPr>
          <w:rFonts w:hint="eastAsia" w:ascii="宋体" w:hAnsi="宋体"/>
          <w:sz w:val="21"/>
          <w:szCs w:val="21"/>
        </w:rPr>
        <w:t>（五）投标文件报价出现前后不一致的，除招标文件另有规定外，按照下列规定修正：</w:t>
      </w:r>
    </w:p>
    <w:p w14:paraId="09438B8A">
      <w:pPr>
        <w:spacing w:line="360" w:lineRule="auto"/>
        <w:ind w:firstLine="420" w:firstLineChars="200"/>
        <w:rPr>
          <w:rFonts w:hint="eastAsia" w:ascii="宋体" w:hAnsi="宋体"/>
          <w:sz w:val="21"/>
          <w:szCs w:val="21"/>
        </w:rPr>
      </w:pPr>
      <w:r>
        <w:rPr>
          <w:rFonts w:hint="eastAsia" w:ascii="宋体" w:hAnsi="宋体"/>
          <w:sz w:val="21"/>
          <w:szCs w:val="21"/>
        </w:rPr>
        <w:t>1、大写金额和小写金额不一致的，以大写金额为准；</w:t>
      </w:r>
    </w:p>
    <w:p w14:paraId="3D5AA36C">
      <w:pPr>
        <w:spacing w:line="360" w:lineRule="auto"/>
        <w:ind w:firstLine="420" w:firstLineChars="200"/>
        <w:rPr>
          <w:rFonts w:hint="eastAsia" w:ascii="宋体" w:hAnsi="宋体"/>
          <w:sz w:val="21"/>
          <w:szCs w:val="21"/>
        </w:rPr>
      </w:pPr>
      <w:r>
        <w:rPr>
          <w:rFonts w:hint="eastAsia" w:ascii="宋体" w:hAnsi="宋体"/>
          <w:sz w:val="21"/>
          <w:szCs w:val="21"/>
        </w:rPr>
        <w:t>2、总价金额与按单价汇总金额不一致的，以单价金额计算结果为准；</w:t>
      </w:r>
    </w:p>
    <w:p w14:paraId="23D25257">
      <w:pPr>
        <w:spacing w:line="360" w:lineRule="auto"/>
        <w:ind w:firstLine="420" w:firstLineChars="200"/>
        <w:rPr>
          <w:rFonts w:hint="eastAsia" w:ascii="宋体" w:hAnsi="宋体"/>
          <w:sz w:val="21"/>
          <w:szCs w:val="21"/>
        </w:rPr>
      </w:pPr>
      <w:r>
        <w:rPr>
          <w:rFonts w:hint="eastAsia" w:ascii="宋体" w:hAnsi="宋体"/>
          <w:sz w:val="21"/>
          <w:szCs w:val="21"/>
        </w:rPr>
        <w:t>3、单价金额小数点有明显错位的，应以总价为准，并修改单价；</w:t>
      </w:r>
    </w:p>
    <w:p w14:paraId="1257C1FA">
      <w:pPr>
        <w:spacing w:line="360" w:lineRule="auto"/>
        <w:ind w:firstLine="420" w:firstLineChars="200"/>
        <w:rPr>
          <w:rFonts w:hint="eastAsia" w:ascii="宋体" w:hAnsi="宋体"/>
          <w:sz w:val="21"/>
          <w:szCs w:val="21"/>
        </w:rPr>
      </w:pPr>
      <w:r>
        <w:rPr>
          <w:rFonts w:hint="eastAsia" w:ascii="宋体" w:hAnsi="宋体"/>
          <w:sz w:val="21"/>
          <w:szCs w:val="21"/>
        </w:rPr>
        <w:t>4、投标文件开标一览表（报价表）内容与投标文件中相应内容不一致的，以开标一览表（报价表）为准；</w:t>
      </w:r>
    </w:p>
    <w:p w14:paraId="1E03C35D">
      <w:pPr>
        <w:spacing w:line="360" w:lineRule="auto"/>
        <w:ind w:firstLine="420" w:firstLineChars="200"/>
        <w:rPr>
          <w:rFonts w:hint="eastAsia" w:ascii="宋体" w:hAnsi="宋体"/>
          <w:sz w:val="21"/>
          <w:szCs w:val="21"/>
        </w:rPr>
      </w:pPr>
      <w:r>
        <w:rPr>
          <w:rFonts w:hint="eastAsia" w:ascii="宋体" w:hAnsi="宋体"/>
          <w:sz w:val="21"/>
          <w:szCs w:val="21"/>
        </w:rPr>
        <w:t>5、修正后的报价经投标人的确认后产生约束力，投标人不确认的，其投标无效；</w:t>
      </w:r>
    </w:p>
    <w:p w14:paraId="7F5E71EC">
      <w:pPr>
        <w:spacing w:line="360" w:lineRule="auto"/>
        <w:ind w:firstLine="420" w:firstLineChars="200"/>
        <w:rPr>
          <w:rFonts w:hint="eastAsia" w:ascii="宋体" w:hAnsi="宋体"/>
          <w:sz w:val="21"/>
          <w:szCs w:val="21"/>
        </w:rPr>
      </w:pPr>
      <w:r>
        <w:rPr>
          <w:rFonts w:hint="eastAsia" w:ascii="宋体" w:hAnsi="宋体"/>
          <w:sz w:val="21"/>
          <w:szCs w:val="21"/>
        </w:rPr>
        <w:t>（六）投标文件内容不一致的，按下列方式处理：</w:t>
      </w:r>
    </w:p>
    <w:p w14:paraId="77DFA1DB">
      <w:pPr>
        <w:spacing w:line="360" w:lineRule="auto"/>
        <w:ind w:firstLine="420" w:firstLineChars="200"/>
        <w:rPr>
          <w:rFonts w:hint="eastAsia" w:ascii="宋体" w:hAnsi="宋体"/>
          <w:sz w:val="21"/>
          <w:szCs w:val="21"/>
        </w:rPr>
      </w:pPr>
      <w:r>
        <w:rPr>
          <w:rFonts w:hint="eastAsia" w:ascii="宋体" w:hAnsi="宋体"/>
          <w:sz w:val="21"/>
          <w:szCs w:val="21"/>
        </w:rPr>
        <w:t>1、对不同文字文本投标文件的解释发生异议的，以中文文本为准；</w:t>
      </w:r>
    </w:p>
    <w:p w14:paraId="1AA7BB82">
      <w:pPr>
        <w:spacing w:line="360" w:lineRule="auto"/>
        <w:ind w:firstLine="420" w:firstLineChars="200"/>
        <w:rPr>
          <w:rFonts w:hint="eastAsia" w:ascii="宋体" w:hAnsi="宋体"/>
          <w:sz w:val="21"/>
          <w:szCs w:val="21"/>
        </w:rPr>
      </w:pPr>
      <w:r>
        <w:rPr>
          <w:rFonts w:hint="eastAsia" w:ascii="宋体" w:hAnsi="宋体"/>
          <w:sz w:val="21"/>
          <w:szCs w:val="21"/>
        </w:rPr>
        <w:t>2、文字与图表不一致的，以文字为准；</w:t>
      </w:r>
    </w:p>
    <w:p w14:paraId="3720480E">
      <w:pPr>
        <w:spacing w:line="360" w:lineRule="auto"/>
        <w:ind w:firstLine="420" w:firstLineChars="200"/>
        <w:rPr>
          <w:rFonts w:hint="eastAsia" w:ascii="宋体" w:hAnsi="宋体"/>
          <w:sz w:val="21"/>
          <w:szCs w:val="21"/>
        </w:rPr>
      </w:pPr>
      <w:r>
        <w:rPr>
          <w:rFonts w:hint="eastAsia" w:ascii="宋体" w:hAnsi="宋体"/>
          <w:sz w:val="21"/>
          <w:szCs w:val="21"/>
        </w:rPr>
        <w:t>3、正本与副本不一致的，以正本为准；</w:t>
      </w:r>
    </w:p>
    <w:p w14:paraId="1DCB9B5F">
      <w:pPr>
        <w:spacing w:line="360" w:lineRule="auto"/>
        <w:ind w:firstLine="420" w:firstLineChars="200"/>
        <w:rPr>
          <w:rFonts w:hint="eastAsia" w:ascii="宋体" w:hAnsi="宋体"/>
          <w:sz w:val="21"/>
          <w:szCs w:val="21"/>
        </w:rPr>
      </w:pPr>
      <w:r>
        <w:rPr>
          <w:rFonts w:hint="eastAsia" w:ascii="宋体" w:hAnsi="宋体"/>
          <w:sz w:val="21"/>
          <w:szCs w:val="21"/>
        </w:rPr>
        <w:t>4、电子文件与纸质文件不一致的，以纸质文件为准；</w:t>
      </w:r>
    </w:p>
    <w:p w14:paraId="17F8BE05">
      <w:pPr>
        <w:spacing w:line="360" w:lineRule="auto"/>
        <w:ind w:firstLine="420" w:firstLineChars="200"/>
        <w:rPr>
          <w:rFonts w:hint="eastAsia" w:ascii="宋体" w:hAnsi="宋体"/>
          <w:sz w:val="21"/>
          <w:szCs w:val="21"/>
        </w:rPr>
      </w:pPr>
      <w:r>
        <w:rPr>
          <w:rFonts w:hint="eastAsia" w:ascii="宋体" w:hAnsi="宋体"/>
          <w:sz w:val="21"/>
          <w:szCs w:val="21"/>
        </w:rPr>
        <w:t>5、投标文件的文字叙述与制造厂商的技术白皮书、检测报告不符时，以技术白皮书、检测报告为准，技术资料不包括用于销售宣传的彩页和厂商网站、微信公众号、微博等公开宣传的下载资料。</w:t>
      </w:r>
    </w:p>
    <w:p w14:paraId="0673A2A3">
      <w:pPr>
        <w:spacing w:line="360" w:lineRule="auto"/>
        <w:ind w:firstLine="420" w:firstLineChars="200"/>
        <w:rPr>
          <w:rFonts w:hint="eastAsia" w:ascii="宋体" w:hAnsi="宋体"/>
          <w:sz w:val="21"/>
          <w:szCs w:val="21"/>
        </w:rPr>
      </w:pPr>
      <w:r>
        <w:rPr>
          <w:rFonts w:hint="eastAsia" w:ascii="宋体" w:hAnsi="宋体"/>
          <w:sz w:val="21"/>
          <w:szCs w:val="21"/>
        </w:rPr>
        <w:t>（七）最低报价不作为中标的唯一条件。评标委员会认为投标人的报价明显低于其它通过符合性审查投标人的报价，有可能影响产品质量或者不能诚信履约的，要求投标人应当在评标现场合理的时间内提供书面说明，必要时按照评标委员会允许的时间提交相关证明材料；投标人不能证明其报价合理性和提供证明材料的，评标委员会应当将其作为无效投标处理。</w:t>
      </w:r>
    </w:p>
    <w:p w14:paraId="4E35EB06">
      <w:pPr>
        <w:spacing w:line="360" w:lineRule="auto"/>
        <w:ind w:firstLine="420" w:firstLineChars="200"/>
        <w:rPr>
          <w:rFonts w:hint="eastAsia" w:ascii="宋体" w:hAnsi="宋体"/>
          <w:sz w:val="21"/>
          <w:szCs w:val="21"/>
        </w:rPr>
      </w:pPr>
      <w:r>
        <w:rPr>
          <w:rFonts w:hint="eastAsia" w:ascii="宋体" w:hAnsi="宋体"/>
          <w:sz w:val="21"/>
          <w:szCs w:val="21"/>
        </w:rPr>
        <w:t>（八）政府采购政策评分标准</w:t>
      </w:r>
    </w:p>
    <w:p w14:paraId="4C9F2980">
      <w:pPr>
        <w:spacing w:line="360" w:lineRule="auto"/>
        <w:ind w:firstLine="420" w:firstLineChars="200"/>
        <w:rPr>
          <w:rFonts w:hint="eastAsia" w:ascii="宋体" w:hAnsi="宋体"/>
          <w:sz w:val="21"/>
          <w:szCs w:val="21"/>
        </w:rPr>
      </w:pPr>
      <w:r>
        <w:rPr>
          <w:rFonts w:hint="eastAsia" w:ascii="宋体" w:hAnsi="宋体"/>
          <w:sz w:val="21"/>
          <w:szCs w:val="21"/>
        </w:rPr>
        <w:t>1小微企业的价格评分标准</w:t>
      </w:r>
    </w:p>
    <w:p w14:paraId="580319EB">
      <w:pPr>
        <w:spacing w:line="360" w:lineRule="auto"/>
        <w:ind w:firstLine="420" w:firstLineChars="200"/>
        <w:rPr>
          <w:rFonts w:hint="eastAsia" w:ascii="宋体" w:hAnsi="宋体"/>
          <w:sz w:val="21"/>
          <w:szCs w:val="21"/>
        </w:rPr>
      </w:pPr>
      <w:r>
        <w:rPr>
          <w:rFonts w:hint="eastAsia" w:ascii="宋体" w:hAnsi="宋体"/>
          <w:sz w:val="21"/>
          <w:szCs w:val="21"/>
        </w:rPr>
        <w:t>1.1根据《关于进一步加大政府采购支持中小企业力度的通知》（财库〔2022〕19号）的办法，对于非专门面向中小企业的项目，对小型和微型企业产品的价格给予10%的扣除，用扣除后的价格参与评审，其评审价=投标报价*（1-10%）。</w:t>
      </w:r>
    </w:p>
    <w:p w14:paraId="4010D2D2">
      <w:pPr>
        <w:spacing w:line="360" w:lineRule="auto"/>
        <w:ind w:firstLine="420" w:firstLineChars="200"/>
        <w:rPr>
          <w:rFonts w:hint="eastAsia" w:ascii="宋体" w:hAnsi="宋体"/>
          <w:sz w:val="21"/>
          <w:szCs w:val="21"/>
        </w:rPr>
      </w:pPr>
      <w:r>
        <w:rPr>
          <w:rFonts w:hint="eastAsia" w:ascii="宋体" w:hAnsi="宋体"/>
          <w:sz w:val="21"/>
          <w:szCs w:val="21"/>
        </w:rPr>
        <w:t>1.2联合体共同参加非专门面向中小企业的政府采购活动，联合协议中约定，小型和微型企业的协议合同金额占到联合体协议合同金额的30%以上的，可给予联合体4%的价格扣除，用扣除后的价格参与评审，其评审价=投标报价*（1-4%）。</w:t>
      </w:r>
    </w:p>
    <w:p w14:paraId="429B9DD6">
      <w:pPr>
        <w:spacing w:line="360" w:lineRule="auto"/>
        <w:ind w:firstLine="420" w:firstLineChars="200"/>
        <w:rPr>
          <w:rFonts w:hint="eastAsia" w:ascii="宋体" w:hAnsi="宋体"/>
          <w:sz w:val="21"/>
          <w:szCs w:val="21"/>
        </w:rPr>
      </w:pPr>
      <w:r>
        <w:rPr>
          <w:rFonts w:hint="eastAsia" w:ascii="宋体" w:hAnsi="宋体"/>
          <w:sz w:val="21"/>
          <w:szCs w:val="21"/>
        </w:rPr>
        <w:t>1.3参加本项目的小微企业须提供《中小企业声明函》（式样见投标文件格式），未提供的不视为小微企业。本项目提供的货物不包括使用大型企业注册商标的货物，小型、微型企业提供中型企业制造的货物的，视同为中型企业。投标人须作出承诺，保证真实性，如有虚假，将依法承担相应责任。</w:t>
      </w:r>
    </w:p>
    <w:p w14:paraId="7EF380D3">
      <w:pPr>
        <w:spacing w:line="360" w:lineRule="auto"/>
        <w:ind w:firstLine="420" w:firstLineChars="200"/>
        <w:rPr>
          <w:rFonts w:hint="eastAsia" w:ascii="宋体" w:hAnsi="宋体"/>
          <w:sz w:val="21"/>
          <w:szCs w:val="21"/>
        </w:rPr>
      </w:pPr>
      <w:r>
        <w:rPr>
          <w:rFonts w:hint="eastAsia" w:ascii="宋体" w:hAnsi="宋体"/>
          <w:sz w:val="21"/>
          <w:szCs w:val="21"/>
        </w:rPr>
        <w:t>1.4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6D635A77">
      <w:pPr>
        <w:spacing w:line="360" w:lineRule="auto"/>
        <w:ind w:firstLine="420" w:firstLineChars="200"/>
        <w:rPr>
          <w:rFonts w:hint="eastAsia" w:ascii="宋体" w:hAnsi="宋体"/>
          <w:sz w:val="21"/>
          <w:szCs w:val="21"/>
        </w:rPr>
      </w:pPr>
      <w:r>
        <w:rPr>
          <w:rFonts w:hint="eastAsia" w:ascii="宋体" w:hAnsi="宋体"/>
          <w:sz w:val="21"/>
          <w:szCs w:val="21"/>
        </w:rPr>
        <w:t>1.5在服务采购项目中，服务的承接商应当为中小企业，不对其中涉及的货物的制造商作出要求。</w:t>
      </w:r>
    </w:p>
    <w:p w14:paraId="68C28D5A">
      <w:pPr>
        <w:spacing w:line="360" w:lineRule="auto"/>
        <w:ind w:firstLine="420" w:firstLineChars="200"/>
        <w:rPr>
          <w:rFonts w:hint="eastAsia" w:ascii="宋体" w:hAnsi="宋体"/>
          <w:sz w:val="21"/>
          <w:szCs w:val="21"/>
        </w:rPr>
      </w:pPr>
      <w:r>
        <w:rPr>
          <w:rFonts w:hint="eastAsia" w:ascii="宋体" w:hAnsi="宋体"/>
          <w:sz w:val="21"/>
          <w:szCs w:val="21"/>
        </w:rPr>
        <w:t>2监狱企业的价格评分标准</w:t>
      </w:r>
    </w:p>
    <w:p w14:paraId="295E8A6D">
      <w:pPr>
        <w:spacing w:line="360" w:lineRule="auto"/>
        <w:ind w:firstLine="420" w:firstLineChars="200"/>
        <w:rPr>
          <w:rFonts w:hint="eastAsia" w:ascii="宋体" w:hAnsi="宋体"/>
          <w:sz w:val="21"/>
          <w:szCs w:val="21"/>
        </w:rPr>
      </w:pPr>
      <w:r>
        <w:rPr>
          <w:rFonts w:hint="eastAsia" w:ascii="宋体" w:hAnsi="宋体"/>
          <w:sz w:val="21"/>
          <w:szCs w:val="21"/>
        </w:rPr>
        <w:t>2.1在政府采购活动中，监狱企业视同小型、微型企业，享受预留份额、评审中价格扣除等政府采购促进中小企业发展的政府采购政策。</w:t>
      </w:r>
    </w:p>
    <w:p w14:paraId="125D04B9">
      <w:pPr>
        <w:spacing w:line="360" w:lineRule="auto"/>
        <w:ind w:firstLine="420" w:firstLineChars="200"/>
        <w:rPr>
          <w:rFonts w:hint="eastAsia" w:ascii="宋体" w:hAnsi="宋体"/>
          <w:sz w:val="21"/>
          <w:szCs w:val="21"/>
        </w:rPr>
      </w:pPr>
      <w:r>
        <w:rPr>
          <w:rFonts w:hint="eastAsia" w:ascii="宋体" w:hAnsi="宋体"/>
          <w:sz w:val="21"/>
          <w:szCs w:val="21"/>
        </w:rPr>
        <w:t>2.2监狱企业参加政府采购活动时，应当提供由省级以上监狱管理局、戒毒管理局（含新疆生产建设兵团）出具的属于监狱企业的证明文件。</w:t>
      </w:r>
    </w:p>
    <w:p w14:paraId="188211E2">
      <w:pPr>
        <w:spacing w:line="360" w:lineRule="auto"/>
        <w:ind w:firstLine="420" w:firstLineChars="200"/>
        <w:rPr>
          <w:rFonts w:hint="eastAsia" w:ascii="宋体" w:hAnsi="宋体"/>
          <w:sz w:val="21"/>
          <w:szCs w:val="21"/>
        </w:rPr>
      </w:pPr>
      <w:r>
        <w:rPr>
          <w:rFonts w:hint="eastAsia" w:ascii="宋体" w:hAnsi="宋体"/>
          <w:sz w:val="21"/>
          <w:szCs w:val="21"/>
        </w:rPr>
        <w:t>2.3监狱企业按《财政部、司法部关于政府采购支持监狱企业发展有关问题的通知》（财库〔2014〕68号）文件规定标准执行。</w:t>
      </w:r>
    </w:p>
    <w:p w14:paraId="0958DB0C">
      <w:pPr>
        <w:spacing w:line="360" w:lineRule="auto"/>
        <w:ind w:firstLine="420" w:firstLineChars="200"/>
        <w:rPr>
          <w:rFonts w:hint="eastAsia" w:ascii="宋体" w:hAnsi="宋体"/>
          <w:sz w:val="21"/>
          <w:szCs w:val="21"/>
        </w:rPr>
      </w:pPr>
      <w:r>
        <w:rPr>
          <w:rFonts w:hint="eastAsia" w:ascii="宋体" w:hAnsi="宋体"/>
          <w:sz w:val="21"/>
          <w:szCs w:val="21"/>
        </w:rPr>
        <w:t>3残疾人福利性单位的价格评分标准</w:t>
      </w:r>
    </w:p>
    <w:p w14:paraId="7D6ED2D8">
      <w:pPr>
        <w:spacing w:line="360" w:lineRule="auto"/>
        <w:ind w:firstLine="420" w:firstLineChars="200"/>
        <w:rPr>
          <w:rFonts w:hint="eastAsia" w:ascii="宋体" w:hAnsi="宋体"/>
          <w:sz w:val="21"/>
          <w:szCs w:val="21"/>
        </w:rPr>
      </w:pPr>
      <w:r>
        <w:rPr>
          <w:rFonts w:hint="eastAsia" w:ascii="宋体" w:hAnsi="宋体"/>
          <w:sz w:val="21"/>
          <w:szCs w:val="21"/>
        </w:rPr>
        <w:t>3.1在政府采购活动中，残疾人福利性单位视同小型、微型企业，享受预留份额、评审中价格扣除等政府采购促进中小企业发展的政府采购政策。</w:t>
      </w:r>
    </w:p>
    <w:p w14:paraId="26549570">
      <w:pPr>
        <w:spacing w:line="360" w:lineRule="auto"/>
        <w:ind w:firstLine="420" w:firstLineChars="200"/>
        <w:rPr>
          <w:rFonts w:hint="eastAsia" w:ascii="宋体" w:hAnsi="宋体"/>
          <w:sz w:val="21"/>
          <w:szCs w:val="21"/>
        </w:rPr>
      </w:pPr>
      <w:r>
        <w:rPr>
          <w:rFonts w:hint="eastAsia" w:ascii="宋体" w:hAnsi="宋体"/>
          <w:sz w:val="21"/>
          <w:szCs w:val="21"/>
        </w:rPr>
        <w:t>3.2残疾人福利性单位属于小型、微型企业的，不重复享受政策。</w:t>
      </w:r>
    </w:p>
    <w:p w14:paraId="6CC95AF7">
      <w:pPr>
        <w:spacing w:line="360" w:lineRule="auto"/>
        <w:ind w:firstLine="420" w:firstLineChars="200"/>
        <w:rPr>
          <w:rFonts w:hint="eastAsia" w:ascii="宋体" w:hAnsi="宋体"/>
          <w:sz w:val="21"/>
          <w:szCs w:val="21"/>
        </w:rPr>
      </w:pPr>
      <w:r>
        <w:rPr>
          <w:rFonts w:hint="eastAsia" w:ascii="宋体" w:hAnsi="宋体"/>
          <w:sz w:val="21"/>
          <w:szCs w:val="21"/>
        </w:rPr>
        <w:t xml:space="preserve">3.3符合条件的残疾人福利性单位在参加政府采购活动时，应当提供本通知规定的《残疾人福利性单位声明函》（式样见投标文件格式），并对声明的真实性负责，未提供的不视为残疾人福利性单位。 </w:t>
      </w:r>
    </w:p>
    <w:p w14:paraId="7EC06D34">
      <w:pPr>
        <w:spacing w:line="360" w:lineRule="auto"/>
        <w:ind w:firstLine="420" w:firstLineChars="200"/>
        <w:rPr>
          <w:rFonts w:hint="eastAsia" w:ascii="宋体" w:hAnsi="宋体"/>
          <w:sz w:val="21"/>
          <w:szCs w:val="21"/>
        </w:rPr>
      </w:pPr>
      <w:r>
        <w:rPr>
          <w:rFonts w:hint="eastAsia" w:ascii="宋体" w:hAnsi="宋体"/>
          <w:sz w:val="21"/>
          <w:szCs w:val="21"/>
        </w:rPr>
        <w:t>4节能产品、环境标志产品政策</w:t>
      </w:r>
    </w:p>
    <w:p w14:paraId="53428D85">
      <w:pPr>
        <w:spacing w:line="360" w:lineRule="auto"/>
        <w:ind w:firstLine="420" w:firstLineChars="200"/>
        <w:rPr>
          <w:rFonts w:hint="eastAsia" w:ascii="宋体" w:hAnsi="宋体"/>
          <w:sz w:val="21"/>
          <w:szCs w:val="21"/>
        </w:rPr>
      </w:pPr>
      <w:r>
        <w:rPr>
          <w:rFonts w:hint="eastAsia" w:ascii="宋体" w:hAnsi="宋体"/>
          <w:sz w:val="21"/>
          <w:szCs w:val="21"/>
        </w:rPr>
        <w:t>4.1投标</w:t>
      </w:r>
      <w:r>
        <w:rPr>
          <w:rFonts w:hint="eastAsia" w:ascii="宋体" w:hAnsi="宋体"/>
          <w:sz w:val="21"/>
          <w:szCs w:val="21"/>
          <w:lang w:val="zh-CN"/>
        </w:rPr>
        <w:t>产品为节能、环保、环境标志产品清单中的产品，符合</w:t>
      </w:r>
      <w:r>
        <w:rPr>
          <w:rFonts w:hint="eastAsia" w:ascii="宋体" w:hAnsi="宋体"/>
          <w:sz w:val="21"/>
          <w:szCs w:val="21"/>
        </w:rPr>
        <w:t>招标</w:t>
      </w:r>
      <w:r>
        <w:rPr>
          <w:rFonts w:hint="eastAsia" w:ascii="宋体" w:hAnsi="宋体"/>
          <w:sz w:val="21"/>
          <w:szCs w:val="21"/>
          <w:lang w:val="zh-CN"/>
        </w:rPr>
        <w:t>文件要求的，可优先采购，价格扣除百分比计算公式为：节能、环保、环境标志产品清单中的产品价格占</w:t>
      </w:r>
      <w:r>
        <w:rPr>
          <w:rFonts w:hint="eastAsia" w:ascii="宋体" w:hAnsi="宋体"/>
          <w:sz w:val="21"/>
          <w:szCs w:val="21"/>
        </w:rPr>
        <w:t>投标</w:t>
      </w:r>
      <w:r>
        <w:rPr>
          <w:rFonts w:hint="eastAsia" w:ascii="宋体" w:hAnsi="宋体"/>
          <w:sz w:val="21"/>
          <w:szCs w:val="21"/>
          <w:lang w:val="zh-CN"/>
        </w:rPr>
        <w:t>总价的百分比×5%，用扣除后的价格参与评审。</w:t>
      </w:r>
    </w:p>
    <w:p w14:paraId="0A54E4B2">
      <w:pPr>
        <w:spacing w:line="360" w:lineRule="auto"/>
        <w:ind w:firstLine="420" w:firstLineChars="200"/>
        <w:rPr>
          <w:rFonts w:hint="eastAsia" w:ascii="宋体" w:hAnsi="宋体"/>
          <w:sz w:val="21"/>
          <w:szCs w:val="21"/>
        </w:rPr>
      </w:pPr>
      <w:r>
        <w:rPr>
          <w:rFonts w:hint="eastAsia" w:ascii="宋体" w:hAnsi="宋体"/>
          <w:sz w:val="21"/>
          <w:szCs w:val="21"/>
        </w:rPr>
        <w:t>4.2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350BBEB0">
      <w:pPr>
        <w:spacing w:line="360" w:lineRule="auto"/>
        <w:ind w:firstLine="420" w:firstLineChars="200"/>
        <w:rPr>
          <w:rFonts w:hint="eastAsia" w:ascii="宋体" w:hAnsi="宋体"/>
          <w:sz w:val="21"/>
          <w:szCs w:val="21"/>
        </w:rPr>
      </w:pPr>
      <w:r>
        <w:rPr>
          <w:rFonts w:hint="eastAsia" w:ascii="宋体" w:hAnsi="宋体"/>
          <w:sz w:val="21"/>
          <w:szCs w:val="21"/>
        </w:rPr>
        <w:t xml:space="preserve">4.3投标人在投标文件中对所投产品为节能、环保、环境标志产品品目清单中的产品，在投标报价时必须对此类产品单独分项报价，并提供认证机构出具的、处于有效期之内的节能产品、环境标志产品认证证书，未提供认证证书的不给予计分。 </w:t>
      </w:r>
    </w:p>
    <w:p w14:paraId="083DB260">
      <w:pPr>
        <w:spacing w:line="360" w:lineRule="auto"/>
        <w:ind w:firstLine="420" w:firstLineChars="200"/>
        <w:rPr>
          <w:rFonts w:hint="eastAsia" w:ascii="宋体" w:hAnsi="宋体"/>
          <w:sz w:val="21"/>
          <w:szCs w:val="21"/>
        </w:rPr>
      </w:pPr>
      <w:r>
        <w:rPr>
          <w:rFonts w:hint="eastAsia" w:ascii="宋体" w:hAnsi="宋体"/>
          <w:sz w:val="21"/>
          <w:szCs w:val="21"/>
        </w:rPr>
        <w:t>4.4若节能、环保、环境标志品目清单内的产品仅是构成所投产品的部件、组件或零件的，则该所投产品不享受鼓励优惠政策。</w:t>
      </w:r>
    </w:p>
    <w:p w14:paraId="7162C058">
      <w:pPr>
        <w:spacing w:line="360" w:lineRule="auto"/>
        <w:ind w:firstLine="420" w:firstLineChars="200"/>
        <w:rPr>
          <w:rFonts w:hint="eastAsia" w:ascii="宋体" w:hAnsi="宋体"/>
          <w:sz w:val="21"/>
          <w:szCs w:val="21"/>
        </w:rPr>
      </w:pPr>
      <w:r>
        <w:rPr>
          <w:rFonts w:hint="eastAsia" w:ascii="宋体" w:hAnsi="宋体"/>
          <w:sz w:val="21"/>
          <w:szCs w:val="21"/>
        </w:rPr>
        <w:t xml:space="preserve">4.5节能、环保、环境标志产品部分计分只对属于品目清单内的非强制类产品进行计分，强制类产品不给予计分。 </w:t>
      </w:r>
    </w:p>
    <w:p w14:paraId="58ED35BC">
      <w:pPr>
        <w:spacing w:line="360" w:lineRule="auto"/>
        <w:ind w:firstLine="420" w:firstLineChars="200"/>
        <w:rPr>
          <w:rFonts w:hint="eastAsia" w:ascii="宋体" w:hAnsi="宋体"/>
          <w:sz w:val="21"/>
          <w:szCs w:val="21"/>
        </w:rPr>
      </w:pPr>
      <w:r>
        <w:rPr>
          <w:rFonts w:hint="eastAsia" w:ascii="宋体" w:hAnsi="宋体"/>
          <w:sz w:val="21"/>
          <w:szCs w:val="21"/>
        </w:rPr>
        <w:t xml:space="preserve">4.6对于同时列入环保品目清单和节能品目清单的产品，应当优先于只列入其中一个清单的产品。 </w:t>
      </w:r>
    </w:p>
    <w:p w14:paraId="13DE9813">
      <w:pPr>
        <w:spacing w:line="360" w:lineRule="auto"/>
        <w:ind w:firstLine="420" w:firstLineChars="200"/>
        <w:rPr>
          <w:rFonts w:hint="eastAsia" w:ascii="宋体" w:hAnsi="宋体"/>
          <w:sz w:val="21"/>
          <w:szCs w:val="21"/>
        </w:rPr>
      </w:pPr>
      <w:r>
        <w:rPr>
          <w:rFonts w:hint="eastAsia" w:ascii="宋体" w:hAnsi="宋体"/>
          <w:sz w:val="21"/>
          <w:szCs w:val="21"/>
        </w:rPr>
        <w:t>4.7获得上述认证的产品在</w:t>
      </w:r>
      <w:r>
        <w:rPr>
          <w:rFonts w:hint="eastAsia" w:ascii="宋体" w:hAnsi="宋体"/>
          <w:sz w:val="21"/>
          <w:szCs w:val="21"/>
          <w:lang w:val="en-US" w:eastAsia="zh-CN"/>
        </w:rPr>
        <w:t>投标</w:t>
      </w:r>
      <w:r>
        <w:rPr>
          <w:rFonts w:hint="eastAsia" w:ascii="宋体" w:hAnsi="宋体"/>
          <w:sz w:val="21"/>
          <w:szCs w:val="21"/>
        </w:rPr>
        <w:t>时应提供有效证明材料。</w:t>
      </w:r>
    </w:p>
    <w:p w14:paraId="551A2AE7">
      <w:pPr>
        <w:spacing w:line="360" w:lineRule="auto"/>
        <w:ind w:firstLine="420" w:firstLineChars="200"/>
        <w:rPr>
          <w:rFonts w:hint="eastAsia" w:ascii="宋体" w:hAnsi="宋体"/>
          <w:sz w:val="21"/>
          <w:szCs w:val="21"/>
        </w:rPr>
      </w:pPr>
      <w:r>
        <w:rPr>
          <w:rFonts w:hint="eastAsia" w:ascii="宋体" w:hAnsi="宋体"/>
          <w:sz w:val="21"/>
          <w:szCs w:val="21"/>
        </w:rPr>
        <w:t>（九）评标委员会评价最终得分由高至低排列名序，推荐中标候选投标人。</w:t>
      </w:r>
    </w:p>
    <w:p w14:paraId="753CA59D">
      <w:pPr>
        <w:spacing w:line="360" w:lineRule="auto"/>
        <w:ind w:firstLine="420" w:firstLineChars="200"/>
        <w:rPr>
          <w:rFonts w:hint="eastAsia" w:ascii="宋体" w:hAnsi="宋体"/>
          <w:sz w:val="21"/>
          <w:szCs w:val="21"/>
        </w:rPr>
      </w:pPr>
      <w:r>
        <w:rPr>
          <w:rFonts w:hint="eastAsia" w:ascii="宋体" w:hAnsi="宋体"/>
          <w:sz w:val="21"/>
          <w:szCs w:val="21"/>
        </w:rPr>
        <w:t>（十）特殊情况的处理</w:t>
      </w:r>
    </w:p>
    <w:p w14:paraId="00862AD2">
      <w:pPr>
        <w:spacing w:line="360" w:lineRule="auto"/>
        <w:ind w:firstLine="420" w:firstLineChars="200"/>
        <w:rPr>
          <w:rFonts w:hint="eastAsia" w:ascii="宋体" w:hAnsi="宋体"/>
          <w:sz w:val="21"/>
          <w:szCs w:val="21"/>
        </w:rPr>
      </w:pPr>
      <w:r>
        <w:rPr>
          <w:rFonts w:hint="eastAsia" w:ascii="宋体" w:hAnsi="宋体"/>
          <w:sz w:val="21"/>
          <w:szCs w:val="21"/>
        </w:rPr>
        <w:t>1单一产品采购项目中，提供相同品牌的产品的不同投标人参加同一合同项下投标的，按以下方法处理：</w:t>
      </w:r>
    </w:p>
    <w:p w14:paraId="1BC9383A">
      <w:pPr>
        <w:spacing w:line="360" w:lineRule="auto"/>
        <w:ind w:firstLine="420" w:firstLineChars="200"/>
        <w:rPr>
          <w:rFonts w:hint="eastAsia" w:ascii="宋体" w:hAnsi="宋体"/>
          <w:sz w:val="21"/>
          <w:szCs w:val="21"/>
        </w:rPr>
      </w:pPr>
      <w:r>
        <w:rPr>
          <w:rFonts w:hint="eastAsia" w:ascii="宋体" w:hAnsi="宋体"/>
          <w:sz w:val="21"/>
          <w:szCs w:val="21"/>
        </w:rPr>
        <w:t>1.1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B540B2A">
      <w:pPr>
        <w:spacing w:line="360" w:lineRule="auto"/>
        <w:ind w:firstLine="420" w:firstLineChars="200"/>
        <w:rPr>
          <w:rFonts w:hint="eastAsia" w:ascii="宋体" w:hAnsi="宋体"/>
          <w:sz w:val="21"/>
          <w:szCs w:val="21"/>
        </w:rPr>
      </w:pPr>
      <w:r>
        <w:rPr>
          <w:rFonts w:hint="eastAsia" w:ascii="宋体" w:hAnsi="宋体"/>
          <w:sz w:val="21"/>
          <w:szCs w:val="21"/>
        </w:rPr>
        <w:t>2非单一产品采购项目中，提供相同品牌的核心产品的不同投标人参加同一合同项下投标的，按以下方法处理：</w:t>
      </w:r>
    </w:p>
    <w:p w14:paraId="4E75838D">
      <w:pPr>
        <w:spacing w:line="360" w:lineRule="auto"/>
        <w:ind w:firstLine="420" w:firstLineChars="200"/>
        <w:rPr>
          <w:rFonts w:hint="eastAsia" w:ascii="宋体" w:hAnsi="宋体"/>
          <w:sz w:val="21"/>
          <w:szCs w:val="21"/>
        </w:rPr>
      </w:pPr>
      <w:r>
        <w:rPr>
          <w:rFonts w:hint="eastAsia" w:ascii="宋体" w:hAnsi="宋体"/>
          <w:sz w:val="21"/>
          <w:szCs w:val="21"/>
        </w:rPr>
        <w:t>2.1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19AD27D1">
      <w:pPr>
        <w:spacing w:line="360" w:lineRule="auto"/>
        <w:ind w:firstLine="420" w:firstLineChars="200"/>
        <w:rPr>
          <w:rFonts w:hint="eastAsia" w:ascii="宋体" w:hAnsi="宋体"/>
          <w:sz w:val="21"/>
          <w:szCs w:val="21"/>
        </w:rPr>
      </w:pPr>
      <w:r>
        <w:rPr>
          <w:rFonts w:hint="eastAsia" w:ascii="宋体" w:hAnsi="宋体"/>
          <w:sz w:val="21"/>
          <w:szCs w:val="21"/>
        </w:rPr>
        <w:t>2.2核心产品为两个及以上时，当所有核心产品品牌均相同时，在评审时按同一投标人计算；部分核心产品品牌相同时按不同投标人计算。</w:t>
      </w:r>
    </w:p>
    <w:p w14:paraId="507E80CC">
      <w:pPr>
        <w:pStyle w:val="3"/>
        <w:spacing w:before="78" w:after="78"/>
        <w:rPr>
          <w:rFonts w:hint="eastAsia" w:ascii="宋体" w:hAnsi="宋体"/>
          <w:lang w:val="en-US" w:eastAsia="zh-CN"/>
        </w:rPr>
      </w:pPr>
      <w:bookmarkStart w:id="61" w:name="_Toc23246"/>
      <w:bookmarkStart w:id="62" w:name="_Toc52064328"/>
      <w:bookmarkStart w:id="63" w:name="_Toc52064871"/>
      <w:bookmarkStart w:id="64" w:name="_Toc48301730"/>
      <w:r>
        <w:rPr>
          <w:rFonts w:hint="eastAsia" w:ascii="宋体" w:hAnsi="宋体"/>
          <w:lang w:val="en-US" w:eastAsia="zh-CN"/>
        </w:rPr>
        <w:t>四</w:t>
      </w:r>
      <w:r>
        <w:rPr>
          <w:rFonts w:hint="eastAsia"/>
          <w:lang w:val="en-US" w:eastAsia="zh-CN"/>
        </w:rPr>
        <w:t>、</w:t>
      </w:r>
      <w:r>
        <w:rPr>
          <w:rFonts w:hint="eastAsia" w:ascii="宋体" w:hAnsi="宋体"/>
          <w:lang w:val="en-US" w:eastAsia="zh-CN"/>
        </w:rPr>
        <w:t>投标无效情形</w:t>
      </w:r>
      <w:bookmarkEnd w:id="61"/>
      <w:bookmarkEnd w:id="62"/>
      <w:bookmarkEnd w:id="63"/>
      <w:bookmarkEnd w:id="64"/>
    </w:p>
    <w:p w14:paraId="53726E85">
      <w:pPr>
        <w:spacing w:line="360" w:lineRule="auto"/>
        <w:ind w:firstLine="420" w:firstLineChars="200"/>
        <w:rPr>
          <w:rFonts w:hint="eastAsia" w:ascii="宋体" w:hAnsi="宋体"/>
          <w:sz w:val="21"/>
          <w:szCs w:val="21"/>
        </w:rPr>
      </w:pPr>
      <w:r>
        <w:rPr>
          <w:rFonts w:hint="eastAsia" w:ascii="宋体" w:hAnsi="宋体"/>
          <w:sz w:val="21"/>
          <w:szCs w:val="21"/>
        </w:rPr>
        <w:t>（一）投标文件未按招标文件要求签署、盖章的；</w:t>
      </w:r>
    </w:p>
    <w:p w14:paraId="32789EC1">
      <w:pPr>
        <w:spacing w:line="360" w:lineRule="auto"/>
        <w:ind w:firstLine="420" w:firstLineChars="200"/>
        <w:rPr>
          <w:rFonts w:hint="eastAsia" w:ascii="宋体" w:hAnsi="宋体"/>
          <w:sz w:val="21"/>
          <w:szCs w:val="21"/>
        </w:rPr>
      </w:pPr>
      <w:r>
        <w:rPr>
          <w:rFonts w:hint="eastAsia" w:ascii="宋体" w:hAnsi="宋体"/>
          <w:sz w:val="21"/>
          <w:szCs w:val="21"/>
        </w:rPr>
        <w:t>（二）不具备招标文件中规定的资格要求的；</w:t>
      </w:r>
    </w:p>
    <w:p w14:paraId="4D9E868C">
      <w:pPr>
        <w:spacing w:line="360" w:lineRule="auto"/>
        <w:ind w:firstLine="420" w:firstLineChars="200"/>
        <w:rPr>
          <w:rFonts w:hint="eastAsia" w:ascii="宋体" w:hAnsi="宋体"/>
          <w:sz w:val="21"/>
          <w:szCs w:val="21"/>
        </w:rPr>
      </w:pPr>
      <w:r>
        <w:rPr>
          <w:rFonts w:hint="eastAsia" w:ascii="宋体" w:hAnsi="宋体"/>
          <w:sz w:val="21"/>
          <w:szCs w:val="21"/>
        </w:rPr>
        <w:t>（三）报价超过招标文件中规定的预算金额或者最高限价的；</w:t>
      </w:r>
    </w:p>
    <w:p w14:paraId="527E4D00">
      <w:pPr>
        <w:spacing w:line="360" w:lineRule="auto"/>
        <w:ind w:firstLine="420" w:firstLineChars="200"/>
        <w:rPr>
          <w:rFonts w:hint="eastAsia" w:ascii="宋体" w:hAnsi="宋体"/>
          <w:sz w:val="21"/>
          <w:szCs w:val="21"/>
        </w:rPr>
      </w:pPr>
      <w:r>
        <w:rPr>
          <w:rFonts w:hint="eastAsia" w:ascii="宋体" w:hAnsi="宋体"/>
          <w:sz w:val="21"/>
          <w:szCs w:val="21"/>
        </w:rPr>
        <w:t>（四）投标文件含有采购人不能接受的附加条件的；</w:t>
      </w:r>
    </w:p>
    <w:p w14:paraId="366514EB">
      <w:pPr>
        <w:spacing w:line="360" w:lineRule="auto"/>
        <w:ind w:firstLine="420" w:firstLineChars="200"/>
        <w:rPr>
          <w:rFonts w:hint="eastAsia" w:ascii="宋体" w:hAnsi="宋体"/>
          <w:sz w:val="21"/>
          <w:szCs w:val="21"/>
        </w:rPr>
      </w:pPr>
      <w:r>
        <w:rPr>
          <w:rFonts w:hint="eastAsia" w:ascii="宋体" w:hAnsi="宋体"/>
          <w:sz w:val="21"/>
          <w:szCs w:val="21"/>
        </w:rPr>
        <w:t>（五）法律、法规和招标文件规定的其他无效情形。</w:t>
      </w:r>
      <w:bookmarkStart w:id="65" w:name="_Toc52064872"/>
      <w:bookmarkStart w:id="66" w:name="_Toc52064329"/>
    </w:p>
    <w:p w14:paraId="4CFF70F2">
      <w:pPr>
        <w:pStyle w:val="3"/>
        <w:spacing w:before="78" w:after="78"/>
        <w:rPr>
          <w:rFonts w:hint="eastAsia" w:ascii="宋体" w:hAnsi="宋体"/>
          <w:lang w:val="en-US" w:eastAsia="zh-CN"/>
        </w:rPr>
      </w:pPr>
      <w:bookmarkStart w:id="67" w:name="_Toc9301"/>
      <w:r>
        <w:rPr>
          <w:rFonts w:hint="eastAsia" w:ascii="宋体" w:hAnsi="宋体"/>
          <w:lang w:val="en-US" w:eastAsia="zh-CN"/>
        </w:rPr>
        <w:t>五</w:t>
      </w:r>
      <w:r>
        <w:rPr>
          <w:rFonts w:hint="eastAsia"/>
          <w:lang w:val="en-US" w:eastAsia="zh-CN"/>
        </w:rPr>
        <w:t>、</w:t>
      </w:r>
      <w:r>
        <w:rPr>
          <w:rFonts w:hint="eastAsia" w:ascii="宋体" w:hAnsi="宋体"/>
          <w:lang w:val="en-US" w:eastAsia="zh-CN"/>
        </w:rPr>
        <w:t>采购方式改变或重新招标</w:t>
      </w:r>
      <w:bookmarkEnd w:id="65"/>
      <w:bookmarkEnd w:id="66"/>
      <w:bookmarkEnd w:id="67"/>
    </w:p>
    <w:p w14:paraId="5BAF7D9B">
      <w:pPr>
        <w:spacing w:line="360" w:lineRule="auto"/>
        <w:ind w:firstLine="420" w:firstLineChars="200"/>
        <w:rPr>
          <w:rFonts w:hint="eastAsia" w:ascii="宋体" w:hAnsi="宋体"/>
          <w:sz w:val="21"/>
          <w:szCs w:val="21"/>
        </w:rPr>
      </w:pPr>
      <w:r>
        <w:rPr>
          <w:rFonts w:hint="eastAsia" w:ascii="宋体" w:hAnsi="宋体"/>
          <w:sz w:val="21"/>
          <w:szCs w:val="21"/>
        </w:rPr>
        <w:t>（一）投标截止后投标人不足3家或者通过资格审查或符合性审查的投标人不足3家的，除采购任务取消情形外，按照以下方式处理：</w:t>
      </w:r>
    </w:p>
    <w:p w14:paraId="35B3DC5A">
      <w:pPr>
        <w:spacing w:line="360" w:lineRule="auto"/>
        <w:ind w:firstLine="420" w:firstLineChars="200"/>
        <w:rPr>
          <w:rFonts w:hint="eastAsia" w:ascii="宋体" w:hAnsi="宋体"/>
          <w:sz w:val="21"/>
          <w:szCs w:val="21"/>
        </w:rPr>
      </w:pPr>
      <w:r>
        <w:rPr>
          <w:rFonts w:hint="eastAsia" w:ascii="宋体" w:hAnsi="宋体"/>
          <w:sz w:val="21"/>
          <w:szCs w:val="21"/>
        </w:rPr>
        <w:t>（二）招标文件存在不合理条款或者招标程序不符合规定的，采购人、采购代理机构改正后依法重新招标；</w:t>
      </w:r>
    </w:p>
    <w:p w14:paraId="07DCCE6C">
      <w:pPr>
        <w:spacing w:line="360" w:lineRule="auto"/>
        <w:ind w:firstLine="420" w:firstLineChars="200"/>
        <w:rPr>
          <w:rFonts w:hint="eastAsia" w:ascii="宋体" w:hAnsi="宋体"/>
          <w:sz w:val="21"/>
          <w:szCs w:val="21"/>
        </w:rPr>
      </w:pPr>
      <w:r>
        <w:rPr>
          <w:rFonts w:hint="eastAsia" w:ascii="宋体" w:hAnsi="宋体"/>
          <w:sz w:val="21"/>
          <w:szCs w:val="21"/>
        </w:rPr>
        <w:t>（三）招标文件没有不合理条款、招标程序符合规定，需要采用其他采购方式采购的，采购人应当依法报财政部门批准；</w:t>
      </w:r>
    </w:p>
    <w:p w14:paraId="7AD44101">
      <w:pPr>
        <w:spacing w:line="360" w:lineRule="auto"/>
        <w:ind w:firstLine="420" w:firstLineChars="200"/>
        <w:rPr>
          <w:rFonts w:hint="eastAsia" w:ascii="宋体" w:hAnsi="宋体"/>
          <w:sz w:val="21"/>
          <w:szCs w:val="21"/>
        </w:rPr>
      </w:pPr>
      <w:r>
        <w:rPr>
          <w:rFonts w:hint="eastAsia" w:ascii="宋体" w:hAnsi="宋体"/>
          <w:sz w:val="21"/>
          <w:szCs w:val="21"/>
        </w:rPr>
        <w:t>（四）招标文件内容违反法律、行政法规、强制性标准、政府采购政策，或者违反公开透明、公平竞争、公正和诚实信用原则，影响潜在投标人投标的，采购代理机构应当修改招标文件后重新招标。</w:t>
      </w:r>
      <w:bookmarkStart w:id="68" w:name="_Toc52064330"/>
      <w:bookmarkStart w:id="69" w:name="_Toc48301732"/>
      <w:bookmarkStart w:id="70" w:name="_Toc52064873"/>
    </w:p>
    <w:p w14:paraId="622EA9B1">
      <w:pPr>
        <w:pStyle w:val="3"/>
        <w:spacing w:before="78" w:after="78"/>
        <w:rPr>
          <w:rFonts w:hint="eastAsia" w:ascii="宋体" w:hAnsi="宋体"/>
          <w:sz w:val="21"/>
          <w:szCs w:val="18"/>
          <w:lang w:val="en-US" w:eastAsia="zh-CN"/>
        </w:rPr>
      </w:pPr>
      <w:bookmarkStart w:id="71" w:name="_Toc11628"/>
      <w:r>
        <w:rPr>
          <w:rFonts w:hint="eastAsia" w:ascii="宋体" w:hAnsi="宋体"/>
          <w:sz w:val="21"/>
          <w:szCs w:val="18"/>
          <w:lang w:val="en-US" w:eastAsia="zh-CN"/>
        </w:rPr>
        <w:t>六</w:t>
      </w:r>
      <w:r>
        <w:rPr>
          <w:rFonts w:hint="eastAsia"/>
          <w:sz w:val="21"/>
          <w:szCs w:val="18"/>
          <w:lang w:val="en-US" w:eastAsia="zh-CN"/>
        </w:rPr>
        <w:t>、</w:t>
      </w:r>
      <w:r>
        <w:rPr>
          <w:rFonts w:hint="eastAsia" w:ascii="宋体" w:hAnsi="宋体"/>
          <w:sz w:val="21"/>
          <w:szCs w:val="18"/>
          <w:lang w:val="en-US" w:eastAsia="zh-CN"/>
        </w:rPr>
        <w:t>采购项目终止</w:t>
      </w:r>
      <w:bookmarkEnd w:id="68"/>
      <w:bookmarkEnd w:id="69"/>
      <w:bookmarkEnd w:id="70"/>
      <w:bookmarkEnd w:id="71"/>
    </w:p>
    <w:p w14:paraId="146F5B7D">
      <w:pPr>
        <w:spacing w:line="360" w:lineRule="auto"/>
        <w:ind w:firstLine="420" w:firstLineChars="200"/>
        <w:rPr>
          <w:rFonts w:hint="eastAsia" w:ascii="宋体" w:hAnsi="宋体"/>
          <w:sz w:val="21"/>
          <w:szCs w:val="21"/>
        </w:rPr>
      </w:pPr>
      <w:r>
        <w:rPr>
          <w:rFonts w:hint="eastAsia" w:ascii="宋体" w:hAnsi="宋体"/>
          <w:sz w:val="21"/>
          <w:szCs w:val="21"/>
        </w:rPr>
        <w:t>本次采购活动中，出现下列情形之一的，将终止招标：</w:t>
      </w:r>
    </w:p>
    <w:p w14:paraId="30254ED4">
      <w:pPr>
        <w:spacing w:line="360" w:lineRule="auto"/>
        <w:ind w:firstLine="420" w:firstLineChars="200"/>
        <w:rPr>
          <w:rFonts w:hint="eastAsia" w:ascii="宋体" w:hAnsi="宋体"/>
          <w:sz w:val="21"/>
          <w:szCs w:val="21"/>
        </w:rPr>
      </w:pPr>
      <w:r>
        <w:rPr>
          <w:rFonts w:hint="eastAsia" w:ascii="宋体" w:hAnsi="宋体"/>
          <w:sz w:val="21"/>
          <w:szCs w:val="21"/>
        </w:rPr>
        <w:t>（一）符合专业条件的投标人不足三家或者对招标文件作实质响应的投标人不足三家，采购人不需要采用其他采购方式采购的；</w:t>
      </w:r>
    </w:p>
    <w:p w14:paraId="4FBC7B14">
      <w:pPr>
        <w:spacing w:line="360" w:lineRule="auto"/>
        <w:ind w:firstLine="420" w:firstLineChars="200"/>
        <w:rPr>
          <w:rFonts w:hint="eastAsia" w:ascii="宋体" w:hAnsi="宋体"/>
          <w:sz w:val="21"/>
          <w:szCs w:val="21"/>
        </w:rPr>
      </w:pPr>
      <w:r>
        <w:rPr>
          <w:rFonts w:hint="eastAsia" w:ascii="宋体" w:hAnsi="宋体"/>
          <w:sz w:val="21"/>
          <w:szCs w:val="21"/>
        </w:rPr>
        <w:t>（二）出现影响采购公正公平的违法、违规行为的；</w:t>
      </w:r>
    </w:p>
    <w:p w14:paraId="2FE4A8F7">
      <w:pPr>
        <w:spacing w:line="360" w:lineRule="auto"/>
        <w:ind w:firstLine="420" w:firstLineChars="200"/>
        <w:rPr>
          <w:rFonts w:hint="eastAsia" w:ascii="宋体" w:hAnsi="宋体"/>
          <w:sz w:val="21"/>
          <w:szCs w:val="21"/>
        </w:rPr>
      </w:pPr>
      <w:r>
        <w:rPr>
          <w:rFonts w:hint="eastAsia" w:ascii="宋体" w:hAnsi="宋体"/>
          <w:sz w:val="21"/>
          <w:szCs w:val="21"/>
        </w:rPr>
        <w:t>（三）因重大变故，采购任务取消的。</w:t>
      </w:r>
    </w:p>
    <w:p w14:paraId="738B35FA">
      <w:pPr>
        <w:spacing w:line="360" w:lineRule="auto"/>
        <w:ind w:firstLine="420" w:firstLineChars="200"/>
        <w:rPr>
          <w:rFonts w:hint="eastAsia" w:ascii="宋体" w:hAnsi="宋体"/>
          <w:sz w:val="21"/>
          <w:szCs w:val="21"/>
        </w:rPr>
      </w:pPr>
      <w:r>
        <w:rPr>
          <w:rFonts w:hint="eastAsia" w:ascii="宋体" w:hAnsi="宋体"/>
          <w:sz w:val="21"/>
          <w:szCs w:val="21"/>
        </w:rPr>
        <w:t>（四）终止招标后，采购代理机构应当在</w:t>
      </w:r>
      <w:r>
        <w:rPr>
          <w:rFonts w:hint="eastAsia" w:ascii="宋体" w:hAnsi="宋体"/>
          <w:sz w:val="21"/>
          <w:szCs w:val="21"/>
          <w:lang w:val="en-US" w:eastAsia="zh-CN"/>
        </w:rPr>
        <w:t>陕西省政府采购网</w:t>
      </w:r>
      <w:r>
        <w:rPr>
          <w:rFonts w:hint="eastAsia" w:ascii="宋体" w:hAnsi="宋体"/>
          <w:sz w:val="21"/>
          <w:szCs w:val="21"/>
        </w:rPr>
        <w:t>公告。</w:t>
      </w:r>
      <w:r>
        <w:rPr>
          <w:rFonts w:hint="eastAsia" w:ascii="宋体" w:hAnsi="宋体"/>
          <w:sz w:val="21"/>
          <w:szCs w:val="21"/>
        </w:rPr>
        <w:br w:type="page"/>
      </w:r>
    </w:p>
    <w:p w14:paraId="739DC79E">
      <w:pPr>
        <w:numPr>
          <w:ilvl w:val="0"/>
          <w:numId w:val="0"/>
        </w:numPr>
        <w:spacing w:line="360" w:lineRule="auto"/>
        <w:jc w:val="center"/>
        <w:outlineLvl w:val="0"/>
        <w:rPr>
          <w:rFonts w:hint="eastAsia" w:ascii="宋体" w:hAnsi="宋体"/>
          <w:b/>
          <w:kern w:val="44"/>
          <w:sz w:val="32"/>
        </w:rPr>
      </w:pPr>
      <w:r>
        <w:rPr>
          <w:rFonts w:hint="eastAsia" w:ascii="宋体" w:hAnsi="宋体" w:eastAsia="宋体" w:cs="Times New Roman"/>
          <w:b/>
          <w:kern w:val="44"/>
          <w:sz w:val="32"/>
          <w:szCs w:val="24"/>
          <w:lang w:val="en-US" w:eastAsia="zh-CN" w:bidi="ar-SA"/>
        </w:rPr>
        <w:t>第四章</w:t>
      </w:r>
      <w:r>
        <w:rPr>
          <w:rFonts w:hint="eastAsia" w:ascii="宋体" w:hAnsi="宋体"/>
          <w:b/>
          <w:kern w:val="44"/>
          <w:sz w:val="32"/>
          <w:lang w:val="en-US" w:eastAsia="zh-CN"/>
        </w:rPr>
        <w:t xml:space="preserve">  </w:t>
      </w:r>
      <w:bookmarkStart w:id="72" w:name="_Toc20180"/>
      <w:r>
        <w:rPr>
          <w:rFonts w:hint="eastAsia" w:ascii="宋体" w:hAnsi="宋体"/>
          <w:b/>
          <w:kern w:val="44"/>
          <w:sz w:val="32"/>
        </w:rPr>
        <w:t>采购内容及要求</w:t>
      </w:r>
      <w:bookmarkEnd w:id="72"/>
    </w:p>
    <w:tbl>
      <w:tblPr>
        <w:tblStyle w:val="2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000"/>
        <w:gridCol w:w="2700"/>
      </w:tblGrid>
      <w:tr w14:paraId="6660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57CF300A">
            <w:pPr>
              <w:bidi w:val="0"/>
              <w:rPr>
                <w:rFonts w:hint="eastAsia" w:eastAsia="宋体"/>
                <w:vertAlign w:val="baseline"/>
                <w:lang w:val="en-US" w:eastAsia="zh-CN"/>
              </w:rPr>
            </w:pPr>
            <w:r>
              <w:rPr>
                <w:rFonts w:hint="eastAsia"/>
                <w:vertAlign w:val="baseline"/>
                <w:lang w:val="en-US" w:eastAsia="zh-CN"/>
              </w:rPr>
              <w:t>序号</w:t>
            </w:r>
          </w:p>
        </w:tc>
        <w:tc>
          <w:tcPr>
            <w:tcW w:w="5000" w:type="dxa"/>
          </w:tcPr>
          <w:p w14:paraId="278462D9">
            <w:pPr>
              <w:bidi w:val="0"/>
              <w:rPr>
                <w:rFonts w:hint="default" w:eastAsia="宋体"/>
                <w:vertAlign w:val="baseline"/>
                <w:lang w:val="en-US" w:eastAsia="zh-CN"/>
              </w:rPr>
            </w:pPr>
            <w:r>
              <w:rPr>
                <w:rFonts w:hint="eastAsia"/>
                <w:vertAlign w:val="baseline"/>
                <w:lang w:val="en-US" w:eastAsia="zh-CN"/>
              </w:rPr>
              <w:t>设备名称</w:t>
            </w:r>
          </w:p>
        </w:tc>
        <w:tc>
          <w:tcPr>
            <w:tcW w:w="2700" w:type="dxa"/>
          </w:tcPr>
          <w:p w14:paraId="4DDEB390">
            <w:pPr>
              <w:bidi w:val="0"/>
              <w:rPr>
                <w:rFonts w:hint="eastAsia" w:eastAsia="宋体"/>
                <w:vertAlign w:val="baseline"/>
                <w:lang w:val="en-US" w:eastAsia="zh-CN"/>
              </w:rPr>
            </w:pPr>
            <w:r>
              <w:rPr>
                <w:rFonts w:hint="eastAsia"/>
                <w:vertAlign w:val="baseline"/>
                <w:lang w:val="en-US" w:eastAsia="zh-CN"/>
              </w:rPr>
              <w:t>数量</w:t>
            </w:r>
          </w:p>
        </w:tc>
      </w:tr>
      <w:tr w14:paraId="0F7E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38C2DC1B">
            <w:pPr>
              <w:bidi w:val="0"/>
              <w:jc w:val="center"/>
              <w:rPr>
                <w:rFonts w:hint="eastAsia" w:eastAsia="宋体"/>
                <w:vertAlign w:val="baseline"/>
                <w:lang w:val="en-US" w:eastAsia="zh-CN"/>
              </w:rPr>
            </w:pPr>
            <w:r>
              <w:rPr>
                <w:rFonts w:hint="eastAsia"/>
                <w:vertAlign w:val="baseline"/>
                <w:lang w:val="en-US" w:eastAsia="zh-CN"/>
              </w:rPr>
              <w:t>1</w:t>
            </w:r>
          </w:p>
        </w:tc>
        <w:tc>
          <w:tcPr>
            <w:tcW w:w="5000" w:type="dxa"/>
          </w:tcPr>
          <w:p w14:paraId="5754613D">
            <w:pPr>
              <w:bidi w:val="0"/>
              <w:rPr>
                <w:rFonts w:hint="eastAsia"/>
                <w:vertAlign w:val="baseline"/>
              </w:rPr>
            </w:pPr>
            <w:r>
              <w:rPr>
                <w:rFonts w:hint="eastAsia"/>
                <w:vertAlign w:val="baseline"/>
                <w:lang w:val="en-US" w:eastAsia="zh-CN"/>
              </w:rPr>
              <w:t>彩色超声诊断仪</w:t>
            </w:r>
          </w:p>
        </w:tc>
        <w:tc>
          <w:tcPr>
            <w:tcW w:w="2700" w:type="dxa"/>
          </w:tcPr>
          <w:p w14:paraId="5B1EB7E6">
            <w:pPr>
              <w:bidi w:val="0"/>
              <w:rPr>
                <w:rFonts w:hint="default" w:eastAsia="宋体"/>
                <w:vertAlign w:val="baseline"/>
                <w:lang w:val="en-US" w:eastAsia="zh-CN"/>
              </w:rPr>
            </w:pPr>
            <w:r>
              <w:rPr>
                <w:rFonts w:hint="eastAsia"/>
                <w:vertAlign w:val="baseline"/>
                <w:lang w:val="en-US" w:eastAsia="zh-CN"/>
              </w:rPr>
              <w:t>1台</w:t>
            </w:r>
          </w:p>
        </w:tc>
      </w:tr>
      <w:tr w14:paraId="66EB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796250C5">
            <w:pPr>
              <w:bidi w:val="0"/>
              <w:jc w:val="center"/>
              <w:rPr>
                <w:rFonts w:hint="eastAsia" w:eastAsia="宋体"/>
                <w:vertAlign w:val="baseline"/>
                <w:lang w:val="en-US" w:eastAsia="zh-CN"/>
              </w:rPr>
            </w:pPr>
            <w:r>
              <w:rPr>
                <w:rFonts w:hint="eastAsia"/>
                <w:vertAlign w:val="baseline"/>
                <w:lang w:val="en-US" w:eastAsia="zh-CN"/>
              </w:rPr>
              <w:t>2</w:t>
            </w:r>
          </w:p>
        </w:tc>
        <w:tc>
          <w:tcPr>
            <w:tcW w:w="5000" w:type="dxa"/>
          </w:tcPr>
          <w:p w14:paraId="7932A2E7">
            <w:pPr>
              <w:bidi w:val="0"/>
              <w:rPr>
                <w:rFonts w:hint="eastAsia"/>
                <w:vertAlign w:val="baseline"/>
              </w:rPr>
            </w:pPr>
            <w:r>
              <w:rPr>
                <w:rFonts w:hint="eastAsia"/>
                <w:vertAlign w:val="baseline"/>
                <w:lang w:val="en-US" w:eastAsia="zh-CN"/>
              </w:rPr>
              <w:t>高端全身超声诊断仪</w:t>
            </w:r>
          </w:p>
        </w:tc>
        <w:tc>
          <w:tcPr>
            <w:tcW w:w="2700" w:type="dxa"/>
          </w:tcPr>
          <w:p w14:paraId="389C2656">
            <w:pPr>
              <w:bidi w:val="0"/>
              <w:rPr>
                <w:rFonts w:hint="default" w:eastAsia="宋体"/>
                <w:vertAlign w:val="baseline"/>
                <w:lang w:val="en-US" w:eastAsia="zh-CN"/>
              </w:rPr>
            </w:pPr>
            <w:r>
              <w:rPr>
                <w:rFonts w:hint="eastAsia"/>
                <w:vertAlign w:val="baseline"/>
                <w:lang w:val="en-US" w:eastAsia="zh-CN"/>
              </w:rPr>
              <w:t>2台</w:t>
            </w:r>
          </w:p>
        </w:tc>
      </w:tr>
    </w:tbl>
    <w:p w14:paraId="4C208BFC">
      <w:pPr>
        <w:bidi w:val="0"/>
        <w:rPr>
          <w:rFonts w:hint="eastAsia"/>
        </w:rPr>
      </w:pPr>
    </w:p>
    <w:p w14:paraId="5B91AE21">
      <w:pPr>
        <w:ind w:firstLine="241" w:firstLineChars="100"/>
        <w:rPr>
          <w:rFonts w:hint="eastAsia" w:ascii="宋体" w:hAnsi="宋体" w:eastAsia="宋体" w:cs="宋体"/>
          <w:sz w:val="24"/>
          <w:szCs w:val="24"/>
        </w:rPr>
      </w:pPr>
      <w:r>
        <w:rPr>
          <w:rFonts w:hint="eastAsia" w:ascii="宋体" w:hAnsi="宋体" w:eastAsia="宋体" w:cs="宋体"/>
          <w:b/>
          <w:bCs/>
          <w:color w:val="000000"/>
          <w:kern w:val="2"/>
          <w:sz w:val="24"/>
          <w:szCs w:val="24"/>
          <w:lang w:val="en-US" w:eastAsia="zh-CN" w:bidi="ar-SA"/>
        </w:rPr>
        <w:t>设备名称：彩色超声诊断仪</w:t>
      </w:r>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690"/>
      </w:tblGrid>
      <w:tr w14:paraId="1AB0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6057A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kern w:val="2"/>
                <w:sz w:val="22"/>
                <w:szCs w:val="22"/>
                <w:highlight w:val="none"/>
                <w:lang w:val="en-US" w:eastAsia="zh-CN" w:bidi="ar-SA"/>
              </w:rPr>
              <w:t>序号</w:t>
            </w:r>
          </w:p>
        </w:tc>
        <w:tc>
          <w:tcPr>
            <w:tcW w:w="7690" w:type="dxa"/>
            <w:noWrap w:val="0"/>
            <w:vAlign w:val="center"/>
          </w:tcPr>
          <w:p w14:paraId="6E807EA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kern w:val="2"/>
                <w:sz w:val="22"/>
                <w:szCs w:val="22"/>
                <w:highlight w:val="none"/>
                <w:lang w:val="en-US" w:eastAsia="zh-CN" w:bidi="ar-SA"/>
              </w:rPr>
              <w:t>技术参数或要求</w:t>
            </w:r>
          </w:p>
        </w:tc>
      </w:tr>
      <w:tr w14:paraId="6852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18730F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w:t>
            </w:r>
          </w:p>
        </w:tc>
        <w:tc>
          <w:tcPr>
            <w:tcW w:w="7690" w:type="dxa"/>
            <w:noWrap w:val="0"/>
            <w:vAlign w:val="center"/>
          </w:tcPr>
          <w:p w14:paraId="4C8093AC">
            <w:pPr>
              <w:numPr>
                <w:ilvl w:val="0"/>
                <w:numId w:val="0"/>
              </w:numPr>
              <w:spacing w:line="240" w:lineRule="auto"/>
              <w:jc w:val="both"/>
              <w:rPr>
                <w:rFonts w:hint="eastAsia" w:ascii="宋体" w:hAnsi="宋体" w:eastAsia="宋体" w:cs="宋体"/>
                <w:bCs/>
                <w:sz w:val="22"/>
                <w:szCs w:val="22"/>
                <w:highlight w:val="none"/>
              </w:rPr>
            </w:pPr>
            <w:r>
              <w:rPr>
                <w:rFonts w:hint="eastAsia" w:ascii="宋体" w:hAnsi="宋体" w:eastAsia="宋体" w:cs="宋体"/>
                <w:bCs/>
                <w:sz w:val="22"/>
                <w:szCs w:val="22"/>
                <w:highlight w:val="none"/>
              </w:rPr>
              <w:t>设备用途</w:t>
            </w:r>
            <w:r>
              <w:rPr>
                <w:rFonts w:hint="eastAsia" w:ascii="宋体" w:hAnsi="宋体" w:eastAsia="宋体" w:cs="宋体"/>
                <w:bCs/>
                <w:sz w:val="22"/>
                <w:szCs w:val="22"/>
                <w:highlight w:val="none"/>
                <w:lang w:val="en-US" w:eastAsia="zh-CN"/>
              </w:rPr>
              <w:t>：主要适用于人体的超声诊断检查</w:t>
            </w:r>
            <w:r>
              <w:rPr>
                <w:rFonts w:hint="eastAsia" w:ascii="宋体" w:hAnsi="宋体" w:cs="宋体"/>
                <w:kern w:val="0"/>
                <w:sz w:val="22"/>
                <w:szCs w:val="22"/>
                <w:highlight w:val="none"/>
                <w:lang w:val="en-US" w:eastAsia="zh-CN"/>
              </w:rPr>
              <w:t>；</w:t>
            </w:r>
          </w:p>
        </w:tc>
      </w:tr>
      <w:tr w14:paraId="39D2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BDC58F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w:t>
            </w:r>
          </w:p>
        </w:tc>
        <w:tc>
          <w:tcPr>
            <w:tcW w:w="7690" w:type="dxa"/>
            <w:noWrap w:val="0"/>
            <w:vAlign w:val="center"/>
          </w:tcPr>
          <w:p w14:paraId="0F22399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主要技术参数</w:t>
            </w:r>
          </w:p>
        </w:tc>
      </w:tr>
      <w:tr w14:paraId="6B98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37356B1">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w:t>
            </w:r>
          </w:p>
        </w:tc>
        <w:tc>
          <w:tcPr>
            <w:tcW w:w="7690" w:type="dxa"/>
            <w:noWrap w:val="0"/>
            <w:vAlign w:val="center"/>
          </w:tcPr>
          <w:p w14:paraId="7F196B49">
            <w:pPr>
              <w:numPr>
                <w:ilvl w:val="0"/>
                <w:numId w:val="0"/>
              </w:numPr>
              <w:spacing w:line="240" w:lineRule="auto"/>
              <w:ind w:leftChars="0"/>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val="en-US" w:eastAsia="zh-CN"/>
              </w:rPr>
              <w:t>全数字化彩色多普勒超声诊断系统主机</w:t>
            </w:r>
            <w:r>
              <w:rPr>
                <w:rFonts w:hint="eastAsia" w:ascii="宋体" w:hAnsi="宋体" w:cs="宋体"/>
                <w:kern w:val="0"/>
                <w:sz w:val="22"/>
                <w:szCs w:val="22"/>
                <w:highlight w:val="none"/>
                <w:lang w:val="en-US" w:eastAsia="zh-CN"/>
              </w:rPr>
              <w:t>；</w:t>
            </w:r>
          </w:p>
        </w:tc>
      </w:tr>
      <w:tr w14:paraId="4034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584B8A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w:t>
            </w:r>
          </w:p>
        </w:tc>
        <w:tc>
          <w:tcPr>
            <w:tcW w:w="7690" w:type="dxa"/>
            <w:noWrap w:val="0"/>
            <w:vAlign w:val="center"/>
          </w:tcPr>
          <w:p w14:paraId="687852D6">
            <w:pPr>
              <w:numPr>
                <w:ilvl w:val="0"/>
                <w:numId w:val="0"/>
              </w:numPr>
              <w:spacing w:line="240" w:lineRule="auto"/>
              <w:ind w:leftChars="0"/>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eastAsia="zh-CN"/>
              </w:rPr>
              <w:t>高分辨率彩色液晶显示器≥21英寸</w:t>
            </w:r>
            <w:r>
              <w:rPr>
                <w:rFonts w:hint="eastAsia" w:ascii="宋体" w:hAnsi="宋体" w:cs="宋体"/>
                <w:kern w:val="0"/>
                <w:sz w:val="22"/>
                <w:szCs w:val="22"/>
                <w:highlight w:val="none"/>
                <w:lang w:val="en-US" w:eastAsia="zh-CN"/>
              </w:rPr>
              <w:t>；</w:t>
            </w:r>
          </w:p>
        </w:tc>
      </w:tr>
      <w:tr w14:paraId="50E1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1A97C4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w:t>
            </w:r>
          </w:p>
        </w:tc>
        <w:tc>
          <w:tcPr>
            <w:tcW w:w="7690" w:type="dxa"/>
            <w:noWrap w:val="0"/>
            <w:vAlign w:val="center"/>
          </w:tcPr>
          <w:p w14:paraId="4591AEF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eastAsia="zh-CN"/>
              </w:rPr>
              <w:t>高灵敏度防反光彩色触摸屏≥13英寸，支持手势操作，触摸屏角度可调</w:t>
            </w:r>
            <w:r>
              <w:rPr>
                <w:rFonts w:hint="eastAsia" w:ascii="宋体" w:hAnsi="宋体" w:eastAsia="宋体" w:cs="宋体"/>
                <w:kern w:val="0"/>
                <w:sz w:val="22"/>
                <w:szCs w:val="22"/>
                <w:highlight w:val="none"/>
                <w:lang w:val="en-US" w:eastAsia="zh-CN"/>
              </w:rPr>
              <w:t>;</w:t>
            </w:r>
          </w:p>
        </w:tc>
      </w:tr>
      <w:tr w14:paraId="7BFB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47BF9A8">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w:t>
            </w:r>
          </w:p>
        </w:tc>
        <w:tc>
          <w:tcPr>
            <w:tcW w:w="7690" w:type="dxa"/>
            <w:noWrap w:val="0"/>
            <w:vAlign w:val="center"/>
          </w:tcPr>
          <w:p w14:paraId="7D73703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eastAsia="zh-CN"/>
              </w:rPr>
              <w:t>控制面板可独立旋转、升降及平移</w:t>
            </w:r>
            <w:r>
              <w:rPr>
                <w:rFonts w:hint="eastAsia" w:ascii="宋体" w:hAnsi="宋体" w:eastAsia="宋体" w:cs="宋体"/>
                <w:kern w:val="0"/>
                <w:sz w:val="22"/>
                <w:szCs w:val="22"/>
                <w:highlight w:val="none"/>
                <w:lang w:val="en-US" w:eastAsia="zh-CN"/>
              </w:rPr>
              <w:t>;</w:t>
            </w:r>
          </w:p>
        </w:tc>
      </w:tr>
      <w:tr w14:paraId="3640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B4A10C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w:t>
            </w:r>
          </w:p>
        </w:tc>
        <w:tc>
          <w:tcPr>
            <w:tcW w:w="7690" w:type="dxa"/>
            <w:noWrap w:val="0"/>
            <w:vAlign w:val="center"/>
          </w:tcPr>
          <w:p w14:paraId="33552DD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val="en-US" w:eastAsia="zh-CN"/>
              </w:rPr>
              <w:t>具备</w:t>
            </w:r>
            <w:r>
              <w:rPr>
                <w:rFonts w:hint="eastAsia" w:ascii="宋体" w:hAnsi="宋体" w:eastAsia="宋体" w:cs="宋体"/>
                <w:kern w:val="0"/>
                <w:sz w:val="22"/>
                <w:szCs w:val="22"/>
                <w:highlight w:val="none"/>
                <w:lang w:eastAsia="zh-CN"/>
              </w:rPr>
              <w:t>全程发射及全程接收聚焦，使得图像近、中、远场保持均匀一致；</w:t>
            </w:r>
          </w:p>
        </w:tc>
      </w:tr>
      <w:tr w14:paraId="12F7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0ABC8E7">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w:t>
            </w:r>
          </w:p>
        </w:tc>
        <w:tc>
          <w:tcPr>
            <w:tcW w:w="7690" w:type="dxa"/>
            <w:noWrap w:val="0"/>
            <w:vAlign w:val="center"/>
          </w:tcPr>
          <w:p w14:paraId="4376900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kern w:val="0"/>
                <w:sz w:val="22"/>
                <w:szCs w:val="22"/>
                <w:highlight w:val="none"/>
                <w:lang w:val="en-US" w:eastAsia="zh-CN"/>
              </w:rPr>
              <w:t>具备</w:t>
            </w:r>
            <w:r>
              <w:rPr>
                <w:rFonts w:hint="eastAsia" w:ascii="宋体" w:hAnsi="宋体" w:eastAsia="宋体" w:cs="宋体"/>
                <w:kern w:val="0"/>
                <w:sz w:val="22"/>
                <w:szCs w:val="22"/>
                <w:highlight w:val="none"/>
                <w:lang w:eastAsia="zh-CN"/>
              </w:rPr>
              <w:t>不同脏器预设最佳声波传播速度用于计算成像；</w:t>
            </w:r>
          </w:p>
        </w:tc>
      </w:tr>
      <w:tr w14:paraId="6F80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421C16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2.7</w:t>
            </w:r>
          </w:p>
        </w:tc>
        <w:tc>
          <w:tcPr>
            <w:tcW w:w="7690" w:type="dxa"/>
            <w:noWrap w:val="0"/>
            <w:vAlign w:val="center"/>
          </w:tcPr>
          <w:p w14:paraId="6D3F8483">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具备</w:t>
            </w:r>
            <w:r>
              <w:rPr>
                <w:rFonts w:hint="eastAsia" w:ascii="宋体" w:hAnsi="宋体" w:eastAsia="宋体" w:cs="宋体"/>
                <w:kern w:val="0"/>
                <w:sz w:val="22"/>
                <w:szCs w:val="22"/>
                <w:highlight w:val="none"/>
                <w:lang w:eastAsia="zh-CN"/>
              </w:rPr>
              <w:t>声速匹配技术；</w:t>
            </w:r>
          </w:p>
        </w:tc>
      </w:tr>
      <w:tr w14:paraId="34C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611C0D7">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2.8</w:t>
            </w:r>
          </w:p>
        </w:tc>
        <w:tc>
          <w:tcPr>
            <w:tcW w:w="7690" w:type="dxa"/>
            <w:noWrap w:val="0"/>
            <w:vAlign w:val="center"/>
          </w:tcPr>
          <w:p w14:paraId="66CF1D49">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具有</w:t>
            </w:r>
            <w:r>
              <w:rPr>
                <w:rFonts w:hint="eastAsia" w:ascii="宋体" w:hAnsi="宋体" w:eastAsia="宋体" w:cs="宋体"/>
                <w:kern w:val="0"/>
                <w:sz w:val="22"/>
                <w:szCs w:val="22"/>
                <w:highlight w:val="none"/>
                <w:lang w:eastAsia="zh-CN"/>
              </w:rPr>
              <w:t>多级信号、高倍波束并行处理系统；</w:t>
            </w:r>
          </w:p>
        </w:tc>
      </w:tr>
      <w:tr w14:paraId="5A14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C5110F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2.9</w:t>
            </w:r>
          </w:p>
        </w:tc>
        <w:tc>
          <w:tcPr>
            <w:tcW w:w="7690" w:type="dxa"/>
            <w:noWrap w:val="0"/>
            <w:vAlign w:val="center"/>
          </w:tcPr>
          <w:p w14:paraId="66D45B2D">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探头接口≥5个；</w:t>
            </w:r>
          </w:p>
        </w:tc>
      </w:tr>
      <w:tr w14:paraId="3E34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57C0973">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2.10</w:t>
            </w:r>
          </w:p>
        </w:tc>
        <w:tc>
          <w:tcPr>
            <w:tcW w:w="7690" w:type="dxa"/>
            <w:noWrap w:val="0"/>
            <w:vAlign w:val="center"/>
          </w:tcPr>
          <w:p w14:paraId="4120B4BA">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数字化二维灰阶成像及M型显像单元；</w:t>
            </w:r>
          </w:p>
        </w:tc>
      </w:tr>
      <w:tr w14:paraId="40D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8F337F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2.11</w:t>
            </w:r>
          </w:p>
        </w:tc>
        <w:tc>
          <w:tcPr>
            <w:tcW w:w="7690" w:type="dxa"/>
            <w:noWrap w:val="0"/>
            <w:vAlign w:val="center"/>
          </w:tcPr>
          <w:p w14:paraId="42D6CC4B">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解剖M型技术,可360度任意旋转M型取样线角度，取样线≥</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lang w:eastAsia="zh-CN"/>
              </w:rPr>
              <w:t>条；</w:t>
            </w:r>
          </w:p>
        </w:tc>
      </w:tr>
      <w:tr w14:paraId="125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4B956F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2.12</w:t>
            </w:r>
          </w:p>
        </w:tc>
        <w:tc>
          <w:tcPr>
            <w:tcW w:w="7690" w:type="dxa"/>
            <w:noWrap w:val="0"/>
            <w:vAlign w:val="center"/>
          </w:tcPr>
          <w:p w14:paraId="125A4C8B">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彩色多普勒成像（包括彩色、能量、方向能量多普勒模式）；</w:t>
            </w:r>
          </w:p>
        </w:tc>
      </w:tr>
      <w:tr w14:paraId="02B9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DEC17D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2.13</w:t>
            </w:r>
          </w:p>
        </w:tc>
        <w:tc>
          <w:tcPr>
            <w:tcW w:w="7690" w:type="dxa"/>
            <w:noWrap w:val="0"/>
            <w:vAlign w:val="center"/>
          </w:tcPr>
          <w:p w14:paraId="0ADFF9E0">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color w:val="auto"/>
                <w:kern w:val="0"/>
                <w:sz w:val="22"/>
                <w:szCs w:val="22"/>
                <w:highlight w:val="none"/>
                <w:lang w:eastAsia="zh-CN"/>
              </w:rPr>
              <w:t>频谱多普勒成像</w:t>
            </w:r>
            <w:r>
              <w:rPr>
                <w:rFonts w:hint="eastAsia" w:ascii="宋体" w:hAnsi="宋体" w:eastAsia="宋体" w:cs="宋体"/>
                <w:color w:val="auto"/>
                <w:kern w:val="0"/>
                <w:sz w:val="22"/>
                <w:szCs w:val="22"/>
                <w:highlight w:val="none"/>
                <w:lang w:val="en-US" w:eastAsia="zh-CN"/>
              </w:rPr>
              <w:t>；</w:t>
            </w:r>
          </w:p>
        </w:tc>
      </w:tr>
      <w:tr w14:paraId="5553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BEEEF0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2.14</w:t>
            </w:r>
          </w:p>
        </w:tc>
        <w:tc>
          <w:tcPr>
            <w:tcW w:w="7690" w:type="dxa"/>
            <w:noWrap w:val="0"/>
            <w:vAlign w:val="center"/>
          </w:tcPr>
          <w:p w14:paraId="6EF0BE47">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组织多普勒成像；</w:t>
            </w:r>
          </w:p>
        </w:tc>
      </w:tr>
      <w:tr w14:paraId="3145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91E7D7A">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2.15</w:t>
            </w:r>
          </w:p>
        </w:tc>
        <w:tc>
          <w:tcPr>
            <w:tcW w:w="7690" w:type="dxa"/>
            <w:noWrap w:val="0"/>
            <w:vAlign w:val="center"/>
          </w:tcPr>
          <w:p w14:paraId="794B81D9">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支持全屏放大及局部放大（支持前端、后端放大）；</w:t>
            </w:r>
          </w:p>
        </w:tc>
      </w:tr>
      <w:tr w14:paraId="015C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771F49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2.16</w:t>
            </w:r>
          </w:p>
        </w:tc>
        <w:tc>
          <w:tcPr>
            <w:tcW w:w="7690" w:type="dxa"/>
            <w:noWrap w:val="0"/>
            <w:vAlign w:val="center"/>
          </w:tcPr>
          <w:p w14:paraId="331F1BD6">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具有</w:t>
            </w:r>
            <w:r>
              <w:rPr>
                <w:rFonts w:hint="eastAsia" w:ascii="宋体" w:hAnsi="宋体" w:eastAsia="宋体" w:cs="宋体"/>
                <w:kern w:val="0"/>
                <w:sz w:val="22"/>
                <w:szCs w:val="22"/>
                <w:highlight w:val="none"/>
                <w:lang w:eastAsia="zh-CN"/>
              </w:rPr>
              <w:t>造影及造影定量分析功能，支持腹部探头、浅表探头，支持低机械指数造影，支持向后存储，≥</w:t>
            </w:r>
            <w:r>
              <w:rPr>
                <w:rFonts w:hint="eastAsia" w:ascii="宋体" w:hAnsi="宋体" w:eastAsia="宋体" w:cs="宋体"/>
                <w:kern w:val="0"/>
                <w:sz w:val="22"/>
                <w:szCs w:val="22"/>
                <w:highlight w:val="none"/>
                <w:lang w:val="en-US" w:eastAsia="zh-CN"/>
              </w:rPr>
              <w:t>8</w:t>
            </w:r>
            <w:r>
              <w:rPr>
                <w:rFonts w:hint="eastAsia" w:ascii="宋体" w:hAnsi="宋体" w:eastAsia="宋体" w:cs="宋体"/>
                <w:kern w:val="0"/>
                <w:sz w:val="22"/>
                <w:szCs w:val="22"/>
                <w:highlight w:val="none"/>
                <w:lang w:eastAsia="zh-CN"/>
              </w:rPr>
              <w:t>分钟电影及向前存储；</w:t>
            </w:r>
          </w:p>
        </w:tc>
      </w:tr>
      <w:tr w14:paraId="60A9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E04B9D1">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2.17</w:t>
            </w:r>
          </w:p>
        </w:tc>
        <w:tc>
          <w:tcPr>
            <w:tcW w:w="7690" w:type="dxa"/>
            <w:noWrap w:val="0"/>
            <w:vAlign w:val="center"/>
          </w:tcPr>
          <w:p w14:paraId="2E824801">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实时显示组织图像和造影图像，支持造影击碎和斑点噪声抑制，支持造影图像和组织图像位置互换，支持微血管造影增强功能和支持造影定量分析；</w:t>
            </w:r>
          </w:p>
        </w:tc>
      </w:tr>
      <w:tr w14:paraId="6E7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03EC3E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2.18</w:t>
            </w:r>
          </w:p>
        </w:tc>
        <w:tc>
          <w:tcPr>
            <w:tcW w:w="7690" w:type="dxa"/>
            <w:noWrap w:val="0"/>
            <w:vAlign w:val="center"/>
          </w:tcPr>
          <w:p w14:paraId="536A88B9">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支持应变式弹性成像功能；</w:t>
            </w:r>
          </w:p>
        </w:tc>
      </w:tr>
      <w:tr w14:paraId="38ED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76F87B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2.19</w:t>
            </w:r>
          </w:p>
        </w:tc>
        <w:tc>
          <w:tcPr>
            <w:tcW w:w="7690" w:type="dxa"/>
            <w:noWrap w:val="0"/>
            <w:vAlign w:val="center"/>
          </w:tcPr>
          <w:p w14:paraId="7F062FE7">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具备组织硬度定量分析软件、压力曲线提示图标，直方图等分析工具；</w:t>
            </w:r>
          </w:p>
        </w:tc>
      </w:tr>
      <w:tr w14:paraId="1568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5C888A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2.20</w:t>
            </w:r>
          </w:p>
        </w:tc>
        <w:tc>
          <w:tcPr>
            <w:tcW w:w="7690" w:type="dxa"/>
            <w:noWrap w:val="0"/>
            <w:vAlign w:val="center"/>
          </w:tcPr>
          <w:p w14:paraId="561E33F4">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具备肿块周边组织与正常组织、肿块周边组织与肿块内组织弹性定量分析功能；</w:t>
            </w:r>
          </w:p>
        </w:tc>
      </w:tr>
      <w:tr w14:paraId="0B04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19B41FA">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2.21</w:t>
            </w:r>
          </w:p>
        </w:tc>
        <w:tc>
          <w:tcPr>
            <w:tcW w:w="7690" w:type="dxa"/>
            <w:noWrap w:val="0"/>
            <w:vAlign w:val="center"/>
          </w:tcPr>
          <w:p w14:paraId="28CDD10D">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支持剪切波定量式弹性成像功能并具备3种以上弹性质控方式，可以动态显示二维剪切波弹性成像图，具备三种定量参数，包括剪切波速度，杨氏模量等；</w:t>
            </w:r>
          </w:p>
        </w:tc>
      </w:tr>
      <w:tr w14:paraId="6CB8CC32">
        <w:tblPrEx>
          <w:tblCellMar>
            <w:top w:w="0" w:type="dxa"/>
            <w:left w:w="108" w:type="dxa"/>
            <w:bottom w:w="0" w:type="dxa"/>
            <w:right w:w="108" w:type="dxa"/>
          </w:tblCellMar>
        </w:tblPrEx>
        <w:trPr>
          <w:trHeight w:val="57" w:hRule="atLeast"/>
          <w:jc w:val="center"/>
        </w:trPr>
        <w:tc>
          <w:tcPr>
            <w:tcW w:w="850" w:type="dxa"/>
            <w:noWrap w:val="0"/>
            <w:vAlign w:val="center"/>
          </w:tcPr>
          <w:p w14:paraId="5BA5CBF8">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2.22</w:t>
            </w:r>
          </w:p>
        </w:tc>
        <w:tc>
          <w:tcPr>
            <w:tcW w:w="7690" w:type="dxa"/>
            <w:noWrap w:val="0"/>
            <w:vAlign w:val="center"/>
          </w:tcPr>
          <w:p w14:paraId="051B6BB1">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支持立体血流成像技术；</w:t>
            </w:r>
          </w:p>
        </w:tc>
      </w:tr>
      <w:tr w14:paraId="0CCC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F17876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2.23</w:t>
            </w:r>
          </w:p>
        </w:tc>
        <w:tc>
          <w:tcPr>
            <w:tcW w:w="7690" w:type="dxa"/>
            <w:noWrap w:val="0"/>
            <w:vAlign w:val="center"/>
          </w:tcPr>
          <w:p w14:paraId="13E4415F">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支持自动肝肾比测量；</w:t>
            </w:r>
          </w:p>
        </w:tc>
      </w:tr>
      <w:tr w14:paraId="0EB1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F4800A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2.24</w:t>
            </w:r>
          </w:p>
        </w:tc>
        <w:tc>
          <w:tcPr>
            <w:tcW w:w="7690" w:type="dxa"/>
            <w:noWrap w:val="0"/>
            <w:vAlign w:val="center"/>
          </w:tcPr>
          <w:p w14:paraId="29F0AC68">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具备穿刺针增强技术，具有双屏实时对比显示，增强前后效果，并同时支持增强平面多角度可调；</w:t>
            </w:r>
          </w:p>
        </w:tc>
      </w:tr>
      <w:tr w14:paraId="4C9E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6168F3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2.25</w:t>
            </w:r>
          </w:p>
        </w:tc>
        <w:tc>
          <w:tcPr>
            <w:tcW w:w="7690" w:type="dxa"/>
            <w:noWrap w:val="0"/>
            <w:vAlign w:val="center"/>
          </w:tcPr>
          <w:p w14:paraId="37133D7D">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支持英语,中文语言（包括键盘输入、注释、操作面板等）；</w:t>
            </w:r>
          </w:p>
        </w:tc>
      </w:tr>
      <w:tr w14:paraId="65C2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5F7F36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2.26</w:t>
            </w:r>
          </w:p>
        </w:tc>
        <w:tc>
          <w:tcPr>
            <w:tcW w:w="7690" w:type="dxa"/>
            <w:noWrap w:val="0"/>
            <w:vAlign w:val="center"/>
          </w:tcPr>
          <w:p w14:paraId="76E805B2">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支持常规测量、多普勒测量、自动频谱测量；</w:t>
            </w:r>
          </w:p>
        </w:tc>
      </w:tr>
      <w:tr w14:paraId="733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F34ADC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2.27</w:t>
            </w:r>
          </w:p>
        </w:tc>
        <w:tc>
          <w:tcPr>
            <w:tcW w:w="7690" w:type="dxa"/>
            <w:noWrap w:val="0"/>
            <w:vAlign w:val="center"/>
          </w:tcPr>
          <w:p w14:paraId="1F7B54B7">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具有</w:t>
            </w:r>
            <w:r>
              <w:rPr>
                <w:rFonts w:hint="eastAsia" w:ascii="宋体" w:hAnsi="宋体" w:eastAsia="宋体" w:cs="宋体"/>
                <w:kern w:val="0"/>
                <w:sz w:val="22"/>
                <w:szCs w:val="22"/>
                <w:highlight w:val="none"/>
                <w:lang w:eastAsia="zh-CN"/>
              </w:rPr>
              <w:t>腹部、妇科、产科、心脏、泌尿、小器官、儿科、血管、神经、急诊科全科测量包，可自动生成报告；</w:t>
            </w:r>
          </w:p>
        </w:tc>
      </w:tr>
      <w:tr w14:paraId="4238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BDDFCD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2.28</w:t>
            </w:r>
          </w:p>
        </w:tc>
        <w:tc>
          <w:tcPr>
            <w:tcW w:w="7690" w:type="dxa"/>
            <w:noWrap w:val="0"/>
            <w:vAlign w:val="center"/>
          </w:tcPr>
          <w:p w14:paraId="45D432A2">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血管内中膜可自动测量，可同时自动描记血管前、后壁的内中膜、自动生成测量数据结果，并具备ＩＭＴ评估曲线分析；</w:t>
            </w:r>
          </w:p>
        </w:tc>
      </w:tr>
      <w:tr w14:paraId="6A52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53ACC94">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2.29</w:t>
            </w:r>
          </w:p>
        </w:tc>
        <w:tc>
          <w:tcPr>
            <w:tcW w:w="7690" w:type="dxa"/>
            <w:noWrap w:val="0"/>
            <w:vAlign w:val="center"/>
          </w:tcPr>
          <w:p w14:paraId="3CC239C5">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支持血管内中膜自动实时测量,自动获取6组IMT内膜厚度值,并实时更新；</w:t>
            </w:r>
          </w:p>
        </w:tc>
      </w:tr>
      <w:tr w14:paraId="7A6E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BED1026">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2.30</w:t>
            </w:r>
          </w:p>
        </w:tc>
        <w:tc>
          <w:tcPr>
            <w:tcW w:w="7690" w:type="dxa"/>
            <w:noWrap w:val="0"/>
            <w:vAlign w:val="center"/>
          </w:tcPr>
          <w:p w14:paraId="09B74A1C">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支持血管体位图手动编辑功能；</w:t>
            </w:r>
          </w:p>
        </w:tc>
      </w:tr>
      <w:tr w14:paraId="00C2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BF9B5D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2.31</w:t>
            </w:r>
          </w:p>
        </w:tc>
        <w:tc>
          <w:tcPr>
            <w:tcW w:w="7690" w:type="dxa"/>
            <w:noWrap w:val="0"/>
            <w:vAlign w:val="center"/>
          </w:tcPr>
          <w:p w14:paraId="424395EB">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胎儿心脏评估软件：用于胎儿心脏发育异常产前筛查评估，支持心脏15个测量项目，并同时获得心脏发育评分；</w:t>
            </w:r>
          </w:p>
        </w:tc>
      </w:tr>
      <w:tr w14:paraId="5287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747A657">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2.32</w:t>
            </w:r>
          </w:p>
        </w:tc>
        <w:tc>
          <w:tcPr>
            <w:tcW w:w="7690" w:type="dxa"/>
            <w:noWrap w:val="0"/>
            <w:vAlign w:val="center"/>
          </w:tcPr>
          <w:p w14:paraId="1D6FAFB6">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探头频率：超宽频带或变频探头；</w:t>
            </w:r>
          </w:p>
        </w:tc>
      </w:tr>
      <w:tr w14:paraId="37DB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34D86F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2.33</w:t>
            </w:r>
          </w:p>
        </w:tc>
        <w:tc>
          <w:tcPr>
            <w:tcW w:w="7690" w:type="dxa"/>
            <w:noWrap w:val="0"/>
            <w:vAlign w:val="center"/>
          </w:tcPr>
          <w:p w14:paraId="316EA39B">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单晶凸阵探</w:t>
            </w:r>
            <w:r>
              <w:rPr>
                <w:rFonts w:hint="eastAsia" w:ascii="宋体" w:hAnsi="宋体" w:eastAsia="宋体" w:cs="宋体"/>
                <w:color w:val="auto"/>
                <w:kern w:val="0"/>
                <w:sz w:val="22"/>
                <w:szCs w:val="22"/>
                <w:highlight w:val="none"/>
                <w:lang w:val="en-US" w:eastAsia="zh-CN"/>
              </w:rPr>
              <w:t>头</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把，</w:t>
            </w:r>
            <w:r>
              <w:rPr>
                <w:rFonts w:hint="eastAsia" w:ascii="宋体" w:hAnsi="宋体" w:eastAsia="宋体" w:cs="宋体"/>
                <w:kern w:val="0"/>
                <w:sz w:val="22"/>
                <w:szCs w:val="22"/>
                <w:highlight w:val="none"/>
                <w:lang w:val="en-US" w:eastAsia="zh-CN"/>
              </w:rPr>
              <w:t>超声频率范围</w:t>
            </w:r>
            <w:r>
              <w:rPr>
                <w:rFonts w:hint="eastAsia" w:ascii="宋体" w:hAnsi="宋体" w:cs="宋体"/>
                <w:kern w:val="0"/>
                <w:sz w:val="22"/>
                <w:szCs w:val="22"/>
                <w:highlight w:val="none"/>
                <w:lang w:val="en-US" w:eastAsia="zh-CN"/>
              </w:rPr>
              <w:t>：</w:t>
            </w:r>
            <w:r>
              <w:rPr>
                <w:rFonts w:hint="eastAsia" w:ascii="宋体" w:hAnsi="宋体" w:eastAsia="宋体" w:cs="宋体"/>
                <w:kern w:val="0"/>
                <w:sz w:val="22"/>
                <w:szCs w:val="22"/>
                <w:highlight w:val="none"/>
                <w:lang w:val="en-US" w:eastAsia="zh-CN"/>
              </w:rPr>
              <w:t>1.2-6.0MHz，角度≥72°,可应用于腹部、妇产、外周血管、小器官、泌尿；</w:t>
            </w:r>
          </w:p>
        </w:tc>
      </w:tr>
      <w:tr w14:paraId="283D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1EA2B78">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2.34</w:t>
            </w:r>
          </w:p>
        </w:tc>
        <w:tc>
          <w:tcPr>
            <w:tcW w:w="7690" w:type="dxa"/>
            <w:noWrap w:val="0"/>
            <w:vAlign w:val="center"/>
          </w:tcPr>
          <w:p w14:paraId="547DE795">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单晶相控阵探头1把，超声频率范围:1.5- 4.5MHz，角度≥90°,可应用于心脏、经颅、腹部；</w:t>
            </w:r>
          </w:p>
        </w:tc>
      </w:tr>
      <w:tr w14:paraId="3078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7F12B9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2.35</w:t>
            </w:r>
          </w:p>
        </w:tc>
        <w:tc>
          <w:tcPr>
            <w:tcW w:w="7690" w:type="dxa"/>
            <w:noWrap w:val="0"/>
            <w:vAlign w:val="center"/>
          </w:tcPr>
          <w:p w14:paraId="1B5C2C73">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线阵探头1把，超声频率范围: 3.8-15.4 MHz,可应用于小器官、外周血管、腹部、儿科；</w:t>
            </w:r>
          </w:p>
        </w:tc>
      </w:tr>
      <w:tr w14:paraId="1D0F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0937941">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2.36</w:t>
            </w:r>
          </w:p>
        </w:tc>
        <w:tc>
          <w:tcPr>
            <w:tcW w:w="7690" w:type="dxa"/>
            <w:noWrap w:val="0"/>
            <w:vAlign w:val="center"/>
          </w:tcPr>
          <w:p w14:paraId="569EF145">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腔内探头2把，超声频率范围:2.6-12.8 MHz,可用于妇产科、泌尿；</w:t>
            </w:r>
          </w:p>
        </w:tc>
      </w:tr>
      <w:tr w14:paraId="2FC6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F6036B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2.37</w:t>
            </w:r>
          </w:p>
        </w:tc>
        <w:tc>
          <w:tcPr>
            <w:tcW w:w="7690" w:type="dxa"/>
            <w:noWrap w:val="0"/>
            <w:vAlign w:val="center"/>
          </w:tcPr>
          <w:p w14:paraId="461749EA">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二维、彩色、多普勒均可独立变频；</w:t>
            </w:r>
          </w:p>
        </w:tc>
      </w:tr>
      <w:tr w14:paraId="4566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381D5B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2.38</w:t>
            </w:r>
          </w:p>
        </w:tc>
        <w:tc>
          <w:tcPr>
            <w:tcW w:w="7690" w:type="dxa"/>
            <w:noWrap w:val="0"/>
            <w:vAlign w:val="center"/>
          </w:tcPr>
          <w:p w14:paraId="3FF7C850">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穿刺引导，凸阵、线阵、相控阵具备多角度穿刺引导功能；</w:t>
            </w:r>
          </w:p>
        </w:tc>
      </w:tr>
      <w:tr w14:paraId="25BD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9E27FB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2.39</w:t>
            </w:r>
          </w:p>
        </w:tc>
        <w:tc>
          <w:tcPr>
            <w:tcW w:w="7690" w:type="dxa"/>
            <w:noWrap w:val="0"/>
            <w:vAlign w:val="center"/>
          </w:tcPr>
          <w:p w14:paraId="7AE9B57A">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数字化声束形成器；</w:t>
            </w:r>
          </w:p>
        </w:tc>
      </w:tr>
      <w:tr w14:paraId="6C46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F147BF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2.40</w:t>
            </w:r>
          </w:p>
        </w:tc>
        <w:tc>
          <w:tcPr>
            <w:tcW w:w="7690" w:type="dxa"/>
            <w:noWrap w:val="0"/>
            <w:vAlign w:val="center"/>
          </w:tcPr>
          <w:p w14:paraId="194200E0">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全程动态聚焦；</w:t>
            </w:r>
          </w:p>
        </w:tc>
      </w:tr>
      <w:tr w14:paraId="2E4D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A0676B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2.42</w:t>
            </w:r>
          </w:p>
        </w:tc>
        <w:tc>
          <w:tcPr>
            <w:tcW w:w="7690" w:type="dxa"/>
            <w:noWrap w:val="0"/>
            <w:vAlign w:val="center"/>
          </w:tcPr>
          <w:p w14:paraId="722CFF9E">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多倍信号并行处理；</w:t>
            </w:r>
          </w:p>
        </w:tc>
      </w:tr>
      <w:tr w14:paraId="4256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523477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2.43</w:t>
            </w:r>
          </w:p>
        </w:tc>
        <w:tc>
          <w:tcPr>
            <w:tcW w:w="7690" w:type="dxa"/>
            <w:noWrap w:val="0"/>
            <w:vAlign w:val="center"/>
          </w:tcPr>
          <w:p w14:paraId="67370475">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扫描频率：最大帧率: ≥650 帧/秒；</w:t>
            </w:r>
          </w:p>
        </w:tc>
      </w:tr>
      <w:tr w14:paraId="11C9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75C0B7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2.44</w:t>
            </w:r>
          </w:p>
        </w:tc>
        <w:tc>
          <w:tcPr>
            <w:tcW w:w="7690" w:type="dxa"/>
            <w:noWrap w:val="0"/>
            <w:vAlign w:val="center"/>
          </w:tcPr>
          <w:p w14:paraId="0C7170A0">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增益调节：具备物理TGC按键增益补偿≥8 段，LGC侧向增益补偿≥8 段；</w:t>
            </w:r>
          </w:p>
        </w:tc>
      </w:tr>
      <w:tr w14:paraId="50AA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27694FF">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2.45</w:t>
            </w:r>
          </w:p>
        </w:tc>
        <w:tc>
          <w:tcPr>
            <w:tcW w:w="7690" w:type="dxa"/>
            <w:noWrap w:val="0"/>
            <w:vAlign w:val="center"/>
          </w:tcPr>
          <w:p w14:paraId="1D6139EB">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二维灰阶：≥256；</w:t>
            </w:r>
          </w:p>
        </w:tc>
      </w:tr>
      <w:tr w14:paraId="35A1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D4A64F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2.46</w:t>
            </w:r>
          </w:p>
        </w:tc>
        <w:tc>
          <w:tcPr>
            <w:tcW w:w="7690" w:type="dxa"/>
            <w:noWrap w:val="0"/>
            <w:vAlign w:val="center"/>
          </w:tcPr>
          <w:p w14:paraId="61D7781B">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动态范围: ≥</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lang w:eastAsia="zh-CN"/>
              </w:rPr>
              <w:t>60</w:t>
            </w:r>
            <w:r>
              <w:rPr>
                <w:rFonts w:hint="eastAsia" w:ascii="宋体" w:hAnsi="宋体" w:eastAsia="宋体" w:cs="宋体"/>
                <w:kern w:val="0"/>
                <w:sz w:val="22"/>
                <w:szCs w:val="22"/>
                <w:highlight w:val="none"/>
                <w:lang w:val="en-US" w:eastAsia="zh-CN"/>
              </w:rPr>
              <w:t>db</w:t>
            </w:r>
            <w:r>
              <w:rPr>
                <w:rFonts w:hint="eastAsia" w:ascii="宋体" w:hAnsi="宋体" w:eastAsia="宋体" w:cs="宋体"/>
                <w:kern w:val="0"/>
                <w:sz w:val="22"/>
                <w:szCs w:val="22"/>
                <w:highlight w:val="none"/>
                <w:lang w:eastAsia="zh-CN"/>
              </w:rPr>
              <w:t>；</w:t>
            </w:r>
          </w:p>
        </w:tc>
      </w:tr>
      <w:tr w14:paraId="4687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7DD8A03">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2.47</w:t>
            </w:r>
          </w:p>
        </w:tc>
        <w:tc>
          <w:tcPr>
            <w:tcW w:w="7690" w:type="dxa"/>
            <w:noWrap w:val="0"/>
            <w:vAlign w:val="center"/>
          </w:tcPr>
          <w:p w14:paraId="4467E7C6">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增益调节: B/M/D分别独立可调，≥100；</w:t>
            </w:r>
          </w:p>
        </w:tc>
      </w:tr>
      <w:tr w14:paraId="5C0B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3B69EF7">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2.48</w:t>
            </w:r>
          </w:p>
        </w:tc>
        <w:tc>
          <w:tcPr>
            <w:tcW w:w="7690" w:type="dxa"/>
            <w:noWrap w:val="0"/>
            <w:vAlign w:val="center"/>
          </w:tcPr>
          <w:p w14:paraId="7AF3A496">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伪彩图谱: ≥8种；</w:t>
            </w:r>
          </w:p>
        </w:tc>
      </w:tr>
      <w:tr w14:paraId="2C80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C0D4BE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2.49</w:t>
            </w:r>
          </w:p>
        </w:tc>
        <w:tc>
          <w:tcPr>
            <w:tcW w:w="7690" w:type="dxa"/>
            <w:noWrap w:val="0"/>
            <w:vAlign w:val="center"/>
          </w:tcPr>
          <w:p w14:paraId="5B586B13">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频谱多普勒成像包括脉冲多普勒、高脉冲重复频率、连续多普勒；显示方式：B,PW，B/PW, B/C/PW, B/CW,B/C/CW等；</w:t>
            </w:r>
          </w:p>
        </w:tc>
      </w:tr>
      <w:tr w14:paraId="582E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C182D2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2.50</w:t>
            </w:r>
          </w:p>
        </w:tc>
        <w:tc>
          <w:tcPr>
            <w:tcW w:w="7690" w:type="dxa"/>
            <w:noWrap w:val="0"/>
            <w:vAlign w:val="center"/>
          </w:tcPr>
          <w:p w14:paraId="10B4366A">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频谱多普勒成像显示控制：反转、零移位、B刷新、D扩展、B/D扩展等；</w:t>
            </w:r>
          </w:p>
        </w:tc>
      </w:tr>
      <w:tr w14:paraId="70B2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632B8D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2.51</w:t>
            </w:r>
          </w:p>
        </w:tc>
        <w:tc>
          <w:tcPr>
            <w:tcW w:w="7690" w:type="dxa"/>
            <w:noWrap w:val="0"/>
            <w:vAlign w:val="center"/>
          </w:tcPr>
          <w:p w14:paraId="17F2C0BA">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频谱多普勒成像最大速度</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eastAsia="zh-CN"/>
              </w:rPr>
              <w:t>≥7.60m/s（连续多普勒速度</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eastAsia="zh-CN"/>
              </w:rPr>
              <w:t xml:space="preserve"> ≥30m/s）；最小速度:≤1 mm /s（非噪声信号）；取样容积</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eastAsia="zh-CN"/>
              </w:rPr>
              <w:t>0.5-</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lang w:eastAsia="zh-CN"/>
              </w:rPr>
              <w:t>0mm,支持所有探头；</w:t>
            </w:r>
          </w:p>
        </w:tc>
      </w:tr>
      <w:tr w14:paraId="42FB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CF0875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2.52</w:t>
            </w:r>
          </w:p>
        </w:tc>
        <w:tc>
          <w:tcPr>
            <w:tcW w:w="7690" w:type="dxa"/>
            <w:noWrap w:val="0"/>
            <w:vAlign w:val="center"/>
          </w:tcPr>
          <w:p w14:paraId="15E5F23B">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频谱多普勒成像偏转角度</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eastAsia="zh-CN"/>
              </w:rPr>
              <w:t xml:space="preserve"> ≥±30度 (线阵探头)；零位移动：≥8 级；</w:t>
            </w:r>
          </w:p>
        </w:tc>
      </w:tr>
      <w:tr w14:paraId="7309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E0EE8D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2.53</w:t>
            </w:r>
          </w:p>
        </w:tc>
        <w:tc>
          <w:tcPr>
            <w:tcW w:w="7690" w:type="dxa"/>
            <w:noWrap w:val="0"/>
            <w:vAlign w:val="center"/>
          </w:tcPr>
          <w:p w14:paraId="3890B085">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频谱多普勒成像快速角度校正；支持频谱自动测量；</w:t>
            </w:r>
          </w:p>
          <w:p w14:paraId="53D244FA">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53.</w:t>
            </w:r>
            <w:r>
              <w:rPr>
                <w:rFonts w:hint="eastAsia" w:ascii="宋体" w:hAnsi="宋体" w:eastAsia="宋体" w:cs="宋体"/>
                <w:kern w:val="0"/>
                <w:sz w:val="22"/>
                <w:szCs w:val="22"/>
                <w:highlight w:val="none"/>
                <w:lang w:eastAsia="zh-CN"/>
              </w:rPr>
              <w:t>彩色多普勒成像取样框偏转</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eastAsia="zh-CN"/>
              </w:rPr>
              <w:t xml:space="preserve"> ≥±30度 (线阵探头)；最大帧率: ≥200 帧/秒；支持B/C同宽；</w:t>
            </w:r>
          </w:p>
        </w:tc>
      </w:tr>
      <w:tr w14:paraId="067B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A9F5E53">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2.54</w:t>
            </w:r>
          </w:p>
        </w:tc>
        <w:tc>
          <w:tcPr>
            <w:tcW w:w="7690" w:type="dxa"/>
            <w:noWrap w:val="0"/>
            <w:vAlign w:val="center"/>
          </w:tcPr>
          <w:p w14:paraId="539764E2">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检查存储≥1T硬盘；</w:t>
            </w:r>
          </w:p>
        </w:tc>
      </w:tr>
      <w:tr w14:paraId="31E2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93BFE46">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2.55</w:t>
            </w:r>
          </w:p>
        </w:tc>
        <w:tc>
          <w:tcPr>
            <w:tcW w:w="7690" w:type="dxa"/>
            <w:noWrap w:val="0"/>
            <w:vAlign w:val="center"/>
          </w:tcPr>
          <w:p w14:paraId="6078C002">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支持移动设备无线传输；</w:t>
            </w:r>
          </w:p>
        </w:tc>
      </w:tr>
      <w:tr w14:paraId="6DEE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6431227">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2.56</w:t>
            </w:r>
          </w:p>
        </w:tc>
        <w:tc>
          <w:tcPr>
            <w:tcW w:w="7690" w:type="dxa"/>
            <w:noWrap w:val="0"/>
            <w:vAlign w:val="center"/>
          </w:tcPr>
          <w:p w14:paraId="2F075E28">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可</w:t>
            </w:r>
            <w:r>
              <w:rPr>
                <w:rFonts w:hint="eastAsia" w:ascii="宋体" w:hAnsi="宋体" w:eastAsia="宋体" w:cs="宋体"/>
                <w:kern w:val="0"/>
                <w:sz w:val="22"/>
                <w:szCs w:val="22"/>
                <w:highlight w:val="none"/>
                <w:lang w:eastAsia="zh-CN"/>
              </w:rPr>
              <w:t>通过无线传输支持移动终端设备进行远程控制超声机器图像参数调节、远程病人信息管理: 浏览，查询，获取，删除病人信息等；</w:t>
            </w:r>
          </w:p>
        </w:tc>
      </w:tr>
      <w:tr w14:paraId="403A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D2DD86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2.57</w:t>
            </w:r>
          </w:p>
        </w:tc>
        <w:tc>
          <w:tcPr>
            <w:tcW w:w="7690" w:type="dxa"/>
            <w:noWrap w:val="0"/>
            <w:vAlign w:val="center"/>
          </w:tcPr>
          <w:p w14:paraId="5505383C">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DICOM3.0，DICOM妇产科、心脏、血管、乳腺结构化报告；</w:t>
            </w:r>
          </w:p>
        </w:tc>
      </w:tr>
      <w:tr w14:paraId="490F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DB67A2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2.58</w:t>
            </w:r>
          </w:p>
        </w:tc>
        <w:tc>
          <w:tcPr>
            <w:tcW w:w="7690" w:type="dxa"/>
            <w:noWrap w:val="0"/>
            <w:vAlign w:val="center"/>
          </w:tcPr>
          <w:p w14:paraId="4BBCAF5C">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支持视频/音频输入、输出，ECG/PCG信号；</w:t>
            </w:r>
          </w:p>
        </w:tc>
      </w:tr>
      <w:tr w14:paraId="151E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77958456">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2.59</w:t>
            </w:r>
          </w:p>
        </w:tc>
        <w:tc>
          <w:tcPr>
            <w:tcW w:w="7690" w:type="dxa"/>
            <w:noWrap w:val="0"/>
            <w:vAlign w:val="center"/>
          </w:tcPr>
          <w:p w14:paraId="68C934E7">
            <w:pPr>
              <w:numPr>
                <w:ilvl w:val="0"/>
                <w:numId w:val="0"/>
              </w:numPr>
              <w:spacing w:line="240" w:lineRule="auto"/>
              <w:ind w:leftChars="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支持≥５个USB接口；</w:t>
            </w:r>
          </w:p>
        </w:tc>
      </w:tr>
      <w:tr w14:paraId="440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8B0DB4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2.60</w:t>
            </w:r>
          </w:p>
        </w:tc>
        <w:tc>
          <w:tcPr>
            <w:tcW w:w="7690" w:type="dxa"/>
            <w:noWrap w:val="0"/>
            <w:vAlign w:val="center"/>
          </w:tcPr>
          <w:p w14:paraId="724327D2">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具有</w:t>
            </w:r>
            <w:r>
              <w:rPr>
                <w:rFonts w:hint="eastAsia" w:ascii="宋体" w:hAnsi="宋体" w:eastAsia="宋体" w:cs="宋体"/>
                <w:kern w:val="0"/>
                <w:sz w:val="22"/>
                <w:szCs w:val="22"/>
                <w:highlight w:val="none"/>
                <w:lang w:eastAsia="zh-CN"/>
              </w:rPr>
              <w:t>DVD R/W 刻录光驱；</w:t>
            </w:r>
          </w:p>
        </w:tc>
      </w:tr>
      <w:tr w14:paraId="5E61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1AB03F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2.61</w:t>
            </w:r>
          </w:p>
        </w:tc>
        <w:tc>
          <w:tcPr>
            <w:tcW w:w="7690" w:type="dxa"/>
            <w:noWrap w:val="0"/>
            <w:vAlign w:val="center"/>
          </w:tcPr>
          <w:p w14:paraId="037A7CAD">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电影回放和原始所有模式下可用；</w:t>
            </w:r>
          </w:p>
        </w:tc>
      </w:tr>
      <w:tr w14:paraId="6B5F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6FB955A">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2.62</w:t>
            </w:r>
          </w:p>
        </w:tc>
        <w:tc>
          <w:tcPr>
            <w:tcW w:w="7690" w:type="dxa"/>
            <w:noWrap w:val="0"/>
            <w:vAlign w:val="center"/>
          </w:tcPr>
          <w:p w14:paraId="56A07FB8">
            <w:pPr>
              <w:numPr>
                <w:ilvl w:val="0"/>
                <w:numId w:val="0"/>
              </w:numPr>
              <w:spacing w:line="240" w:lineRule="auto"/>
              <w:ind w:leftChars="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支持手动、自动回放、4D 电影回放以及向后存储和向前存储，时间长度可预置，向后存储≥5分钟的电影、支持图像对比（动态、静态）；</w:t>
            </w:r>
          </w:p>
        </w:tc>
      </w:tr>
      <w:tr w14:paraId="546D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AC25D8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2.63</w:t>
            </w:r>
          </w:p>
        </w:tc>
        <w:tc>
          <w:tcPr>
            <w:tcW w:w="7690" w:type="dxa"/>
            <w:noWrap w:val="0"/>
            <w:vAlign w:val="center"/>
          </w:tcPr>
          <w:p w14:paraId="4C25EB3C">
            <w:pPr>
              <w:numPr>
                <w:ilvl w:val="0"/>
                <w:numId w:val="0"/>
              </w:numPr>
              <w:spacing w:line="240" w:lineRule="auto"/>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原始数据处理，支持动、静态图像冻结后，最大可进行多项参数调节；</w:t>
            </w:r>
          </w:p>
        </w:tc>
      </w:tr>
      <w:tr w14:paraId="32BA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846AF0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2.64</w:t>
            </w:r>
          </w:p>
        </w:tc>
        <w:tc>
          <w:tcPr>
            <w:tcW w:w="7690" w:type="dxa"/>
            <w:noWrap w:val="0"/>
            <w:vAlign w:val="center"/>
          </w:tcPr>
          <w:p w14:paraId="13AEB1B3">
            <w:pPr>
              <w:numPr>
                <w:ilvl w:val="0"/>
                <w:numId w:val="0"/>
              </w:numPr>
              <w:spacing w:line="240" w:lineRule="auto"/>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其他：</w:t>
            </w:r>
          </w:p>
        </w:tc>
      </w:tr>
      <w:tr w14:paraId="26BFDF2E">
        <w:tblPrEx>
          <w:tblCellMar>
            <w:top w:w="0" w:type="dxa"/>
            <w:left w:w="108" w:type="dxa"/>
            <w:bottom w:w="0" w:type="dxa"/>
            <w:right w:w="108" w:type="dxa"/>
          </w:tblCellMar>
        </w:tblPrEx>
        <w:trPr>
          <w:trHeight w:val="57" w:hRule="atLeast"/>
          <w:jc w:val="center"/>
        </w:trPr>
        <w:tc>
          <w:tcPr>
            <w:tcW w:w="850" w:type="dxa"/>
            <w:noWrap w:val="0"/>
            <w:vAlign w:val="center"/>
          </w:tcPr>
          <w:p w14:paraId="412B5F4D">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2.64.1</w:t>
            </w:r>
          </w:p>
        </w:tc>
        <w:tc>
          <w:tcPr>
            <w:tcW w:w="7690" w:type="dxa"/>
            <w:noWrap w:val="0"/>
            <w:vAlign w:val="center"/>
          </w:tcPr>
          <w:p w14:paraId="2788EFD0">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提供电脑工作站</w:t>
            </w:r>
            <w:r>
              <w:rPr>
                <w:rFonts w:hint="eastAsia" w:ascii="宋体" w:hAnsi="宋体" w:eastAsia="宋体" w:cs="宋体"/>
                <w:bCs/>
                <w:sz w:val="22"/>
                <w:szCs w:val="22"/>
                <w:highlight w:val="none"/>
                <w:lang w:val="en-US" w:eastAsia="zh-CN"/>
              </w:rPr>
              <w:t>能适用医院PACS系统</w:t>
            </w:r>
            <w:r>
              <w:rPr>
                <w:rFonts w:hint="eastAsia" w:ascii="宋体" w:hAnsi="宋体" w:eastAsia="宋体" w:cs="宋体"/>
                <w:kern w:val="0"/>
                <w:sz w:val="22"/>
                <w:szCs w:val="22"/>
                <w:highlight w:val="none"/>
                <w:lang w:val="en-US" w:eastAsia="zh-CN"/>
              </w:rPr>
              <w:t>、彩色激光打印机；</w:t>
            </w:r>
          </w:p>
        </w:tc>
      </w:tr>
      <w:tr w14:paraId="3ADD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F2E170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2.64.2</w:t>
            </w:r>
          </w:p>
        </w:tc>
        <w:tc>
          <w:tcPr>
            <w:tcW w:w="7690" w:type="dxa"/>
            <w:noWrap w:val="0"/>
            <w:vAlign w:val="center"/>
          </w:tcPr>
          <w:p w14:paraId="1241E6F4">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检查床、检查椅；</w:t>
            </w:r>
          </w:p>
        </w:tc>
      </w:tr>
      <w:tr w14:paraId="1966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26934D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w:t>
            </w:r>
          </w:p>
        </w:tc>
        <w:tc>
          <w:tcPr>
            <w:tcW w:w="7690" w:type="dxa"/>
            <w:noWrap w:val="0"/>
            <w:vAlign w:val="center"/>
          </w:tcPr>
          <w:p w14:paraId="4661D009">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售后要求</w:t>
            </w:r>
          </w:p>
        </w:tc>
      </w:tr>
      <w:tr w14:paraId="4BD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1A7E8C3B">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3.1</w:t>
            </w:r>
          </w:p>
        </w:tc>
        <w:tc>
          <w:tcPr>
            <w:tcW w:w="7690" w:type="dxa"/>
            <w:noWrap w:val="0"/>
            <w:vAlign w:val="center"/>
          </w:tcPr>
          <w:p w14:paraId="293B1FCD">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提供设备装箱单及本次投标装备配置清单；</w:t>
            </w:r>
          </w:p>
        </w:tc>
      </w:tr>
      <w:tr w14:paraId="1C5E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4D997759">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3.2</w:t>
            </w:r>
          </w:p>
        </w:tc>
        <w:tc>
          <w:tcPr>
            <w:tcW w:w="7690" w:type="dxa"/>
            <w:noWrap w:val="0"/>
            <w:vAlign w:val="center"/>
          </w:tcPr>
          <w:p w14:paraId="2F7457DC">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提供设备附件分项报价；</w:t>
            </w:r>
          </w:p>
        </w:tc>
      </w:tr>
      <w:tr w14:paraId="2B4C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36664DA">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3.3</w:t>
            </w:r>
          </w:p>
        </w:tc>
        <w:tc>
          <w:tcPr>
            <w:tcW w:w="7690" w:type="dxa"/>
            <w:noWrap w:val="0"/>
            <w:vAlign w:val="center"/>
          </w:tcPr>
          <w:p w14:paraId="4F0DC85F">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提供耗材及易损件报价；</w:t>
            </w:r>
          </w:p>
        </w:tc>
      </w:tr>
      <w:tr w14:paraId="5DFA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9868750">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3.4</w:t>
            </w:r>
          </w:p>
        </w:tc>
        <w:tc>
          <w:tcPr>
            <w:tcW w:w="7690" w:type="dxa"/>
            <w:noWrap w:val="0"/>
            <w:vAlign w:val="center"/>
          </w:tcPr>
          <w:p w14:paraId="48E7AB39">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产品全套质保≥</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rPr>
              <w:t>年，全部软件终生免费升级；</w:t>
            </w:r>
          </w:p>
        </w:tc>
      </w:tr>
      <w:tr w14:paraId="56A4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6BE77BD1">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3.5</w:t>
            </w:r>
          </w:p>
        </w:tc>
        <w:tc>
          <w:tcPr>
            <w:tcW w:w="7690" w:type="dxa"/>
            <w:noWrap w:val="0"/>
            <w:vAlign w:val="center"/>
          </w:tcPr>
          <w:p w14:paraId="045444F0">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cs="宋体"/>
                <w:bCs/>
                <w:sz w:val="22"/>
                <w:szCs w:val="22"/>
                <w:highlight w:val="none"/>
                <w:lang w:eastAsia="zh-CN"/>
              </w:rPr>
              <w:t>免费维修或更换缺陷的货物或部件期限：设备出现故障时，卖方必须在接到故障报告后在2小时内维修工程师到达现场,排除故障的期限不得超过12小时，否则卖方需提供备用机供临床使用；</w:t>
            </w:r>
          </w:p>
        </w:tc>
      </w:tr>
      <w:tr w14:paraId="4CC2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9182E6C">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3.6</w:t>
            </w:r>
          </w:p>
        </w:tc>
        <w:tc>
          <w:tcPr>
            <w:tcW w:w="7690" w:type="dxa"/>
            <w:noWrap w:val="0"/>
            <w:vAlign w:val="center"/>
          </w:tcPr>
          <w:p w14:paraId="6E43360C">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提供操作手册及设备操作规程；</w:t>
            </w:r>
          </w:p>
        </w:tc>
      </w:tr>
      <w:tr w14:paraId="1475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3A710E26">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3.7</w:t>
            </w:r>
          </w:p>
        </w:tc>
        <w:tc>
          <w:tcPr>
            <w:tcW w:w="7690" w:type="dxa"/>
            <w:noWrap w:val="0"/>
            <w:vAlign w:val="center"/>
          </w:tcPr>
          <w:p w14:paraId="3AC26B02">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提供该设备非标的电源连接线及其他外接转换口；</w:t>
            </w:r>
          </w:p>
        </w:tc>
      </w:tr>
      <w:tr w14:paraId="5F5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5F6D2D5E">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3.8</w:t>
            </w:r>
          </w:p>
        </w:tc>
        <w:tc>
          <w:tcPr>
            <w:tcW w:w="7690" w:type="dxa"/>
            <w:noWrap w:val="0"/>
            <w:vAlign w:val="center"/>
          </w:tcPr>
          <w:p w14:paraId="05B58F24">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保修期内，维修响应承诺及维修期间应急预案；</w:t>
            </w:r>
          </w:p>
        </w:tc>
      </w:tr>
      <w:tr w14:paraId="0B3B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0431E173">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3.9</w:t>
            </w:r>
          </w:p>
        </w:tc>
        <w:tc>
          <w:tcPr>
            <w:tcW w:w="7690" w:type="dxa"/>
            <w:noWrap w:val="0"/>
            <w:vAlign w:val="center"/>
          </w:tcPr>
          <w:p w14:paraId="4F0B1B8B">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rPr>
              <w:t>提供维修指南、维修专用工具、软件备份、故障代码表、备件清单、零部件、维修密码等维护维修必需的材料和信息</w:t>
            </w:r>
            <w:r>
              <w:rPr>
                <w:rFonts w:hint="eastAsia" w:ascii="宋体" w:hAnsi="宋体" w:eastAsia="宋体" w:cs="宋体"/>
                <w:bCs/>
                <w:sz w:val="22"/>
                <w:szCs w:val="22"/>
                <w:highlight w:val="none"/>
                <w:lang w:eastAsia="zh-CN"/>
              </w:rPr>
              <w:t>；</w:t>
            </w:r>
          </w:p>
        </w:tc>
      </w:tr>
      <w:tr w14:paraId="637F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0" w:type="dxa"/>
            <w:noWrap w:val="0"/>
            <w:vAlign w:val="center"/>
          </w:tcPr>
          <w:p w14:paraId="251630C5">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3.10</w:t>
            </w:r>
          </w:p>
        </w:tc>
        <w:tc>
          <w:tcPr>
            <w:tcW w:w="7690" w:type="dxa"/>
            <w:noWrap w:val="0"/>
            <w:vAlign w:val="center"/>
          </w:tcPr>
          <w:p w14:paraId="16DDD2F9">
            <w:pPr>
              <w:numPr>
                <w:ilvl w:val="0"/>
                <w:numId w:val="0"/>
              </w:numPr>
              <w:spacing w:line="240" w:lineRule="auto"/>
              <w:jc w:val="both"/>
              <w:rPr>
                <w:rFonts w:hint="eastAsia" w:ascii="宋体" w:hAnsi="宋体" w:eastAsia="宋体" w:cs="宋体"/>
                <w:kern w:val="0"/>
                <w:sz w:val="22"/>
                <w:szCs w:val="22"/>
                <w:highlight w:val="none"/>
                <w:lang w:val="en-US" w:eastAsia="zh-CN"/>
              </w:rPr>
            </w:pPr>
            <w:r>
              <w:rPr>
                <w:rFonts w:hint="eastAsia" w:ascii="宋体" w:hAnsi="宋体" w:eastAsia="宋体" w:cs="宋体"/>
                <w:bCs/>
                <w:sz w:val="22"/>
                <w:szCs w:val="22"/>
                <w:highlight w:val="none"/>
                <w:lang w:val="en-US" w:eastAsia="zh-CN"/>
              </w:rPr>
              <w:t>质保期内≥4次/年巡检，≥2次/年维保，并提供报告。</w:t>
            </w:r>
          </w:p>
        </w:tc>
      </w:tr>
      <w:tr w14:paraId="171B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0" w:type="dxa"/>
            <w:noWrap w:val="0"/>
            <w:vAlign w:val="center"/>
          </w:tcPr>
          <w:p w14:paraId="17284340">
            <w:pPr>
              <w:numPr>
                <w:ilvl w:val="0"/>
                <w:numId w:val="0"/>
              </w:numPr>
              <w:spacing w:line="240" w:lineRule="auto"/>
              <w:jc w:val="both"/>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3.11</w:t>
            </w:r>
          </w:p>
        </w:tc>
        <w:tc>
          <w:tcPr>
            <w:tcW w:w="7690" w:type="dxa"/>
            <w:noWrap w:val="0"/>
            <w:vAlign w:val="center"/>
          </w:tcPr>
          <w:p w14:paraId="56757976">
            <w:pPr>
              <w:numPr>
                <w:ilvl w:val="0"/>
                <w:numId w:val="0"/>
              </w:numPr>
              <w:spacing w:line="240" w:lineRule="auto"/>
              <w:jc w:val="both"/>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维修时长&gt;48小时需及时提供备用机，满足临床需求。</w:t>
            </w:r>
          </w:p>
        </w:tc>
      </w:tr>
    </w:tbl>
    <w:p w14:paraId="04C8B322">
      <w:pPr>
        <w:ind w:firstLine="241" w:firstLineChars="100"/>
        <w:rPr>
          <w:rFonts w:hint="eastAsia" w:ascii="宋体" w:hAnsi="宋体" w:eastAsia="宋体" w:cs="宋体"/>
          <w:b/>
          <w:bCs/>
          <w:color w:val="000000"/>
          <w:kern w:val="2"/>
          <w:sz w:val="24"/>
          <w:szCs w:val="24"/>
          <w:highlight w:val="none"/>
          <w:lang w:val="en-US" w:eastAsia="zh-CN" w:bidi="ar-SA"/>
        </w:rPr>
      </w:pPr>
    </w:p>
    <w:p w14:paraId="268B73FA">
      <w:pPr>
        <w:ind w:firstLine="241" w:firstLineChars="100"/>
        <w:rPr>
          <w:rFonts w:hint="eastAsia" w:ascii="宋体" w:hAnsi="宋体" w:eastAsia="宋体" w:cs="宋体"/>
          <w:b/>
          <w:bCs/>
          <w:color w:val="000000"/>
          <w:kern w:val="2"/>
          <w:sz w:val="24"/>
          <w:szCs w:val="24"/>
          <w:highlight w:val="none"/>
          <w:lang w:val="en-US" w:eastAsia="zh-CN" w:bidi="ar-SA"/>
        </w:rPr>
      </w:pPr>
    </w:p>
    <w:p w14:paraId="3D8BAEA4">
      <w:pPr>
        <w:ind w:firstLine="241" w:firstLineChars="100"/>
        <w:rPr>
          <w:rFonts w:hint="eastAsia" w:ascii="宋体" w:hAnsi="宋体" w:eastAsia="宋体" w:cs="宋体"/>
          <w:b/>
          <w:bCs/>
          <w:color w:val="000000"/>
          <w:kern w:val="2"/>
          <w:sz w:val="24"/>
          <w:szCs w:val="24"/>
          <w:highlight w:val="none"/>
          <w:lang w:val="en-US" w:eastAsia="zh-CN" w:bidi="ar-SA"/>
        </w:rPr>
      </w:pPr>
    </w:p>
    <w:p w14:paraId="13EB3584">
      <w:pPr>
        <w:ind w:firstLine="241" w:firstLineChars="100"/>
        <w:rPr>
          <w:rFonts w:hint="eastAsia" w:ascii="宋体" w:hAnsi="宋体" w:eastAsia="宋体" w:cs="宋体"/>
          <w:b/>
          <w:bCs/>
          <w:color w:val="000000"/>
          <w:kern w:val="2"/>
          <w:sz w:val="24"/>
          <w:szCs w:val="24"/>
          <w:highlight w:val="none"/>
          <w:lang w:val="en-US" w:eastAsia="zh-CN" w:bidi="ar-SA"/>
        </w:rPr>
      </w:pPr>
    </w:p>
    <w:p w14:paraId="2F9C5878">
      <w:pPr>
        <w:ind w:firstLine="241" w:firstLineChars="100"/>
        <w:rPr>
          <w:rFonts w:hint="eastAsia" w:ascii="宋体" w:hAnsi="宋体" w:eastAsia="宋体" w:cs="宋体"/>
          <w:b/>
          <w:bCs/>
          <w:color w:val="000000"/>
          <w:kern w:val="2"/>
          <w:sz w:val="24"/>
          <w:szCs w:val="24"/>
          <w:highlight w:val="none"/>
          <w:lang w:val="en-US" w:eastAsia="zh-CN" w:bidi="ar-SA"/>
        </w:rPr>
      </w:pPr>
    </w:p>
    <w:p w14:paraId="394461B3">
      <w:pPr>
        <w:ind w:firstLine="241" w:firstLineChars="100"/>
        <w:rPr>
          <w:rFonts w:hint="eastAsia" w:ascii="宋体" w:hAnsi="宋体" w:eastAsia="宋体" w:cs="宋体"/>
          <w:b/>
          <w:bCs/>
          <w:color w:val="000000"/>
          <w:kern w:val="2"/>
          <w:sz w:val="24"/>
          <w:szCs w:val="24"/>
          <w:highlight w:val="none"/>
          <w:lang w:val="en-US" w:eastAsia="zh-CN" w:bidi="ar-SA"/>
        </w:rPr>
      </w:pPr>
    </w:p>
    <w:p w14:paraId="439458D4">
      <w:pPr>
        <w:ind w:firstLine="241" w:firstLineChars="100"/>
        <w:rPr>
          <w:rFonts w:hint="eastAsia" w:ascii="宋体" w:hAnsi="宋体" w:eastAsia="宋体" w:cs="宋体"/>
          <w:b/>
          <w:bCs/>
          <w:color w:val="000000"/>
          <w:kern w:val="2"/>
          <w:sz w:val="24"/>
          <w:szCs w:val="24"/>
          <w:highlight w:val="none"/>
          <w:lang w:val="en-US" w:eastAsia="zh-CN" w:bidi="ar-SA"/>
        </w:rPr>
      </w:pPr>
    </w:p>
    <w:p w14:paraId="58E8B348">
      <w:pPr>
        <w:ind w:firstLine="241" w:firstLineChars="100"/>
        <w:rPr>
          <w:rFonts w:hint="eastAsia" w:ascii="宋体" w:hAnsi="宋体" w:eastAsia="宋体" w:cs="宋体"/>
          <w:b/>
          <w:bCs/>
          <w:color w:val="000000"/>
          <w:kern w:val="2"/>
          <w:sz w:val="24"/>
          <w:szCs w:val="24"/>
          <w:highlight w:val="none"/>
          <w:lang w:val="en-US" w:eastAsia="zh-CN" w:bidi="ar-SA"/>
        </w:rPr>
      </w:pPr>
    </w:p>
    <w:p w14:paraId="6886E27D">
      <w:pPr>
        <w:ind w:firstLine="241" w:firstLineChars="100"/>
        <w:rPr>
          <w:rFonts w:hint="eastAsia" w:ascii="宋体" w:hAnsi="宋体" w:eastAsia="宋体" w:cs="宋体"/>
          <w:b/>
          <w:bCs/>
          <w:color w:val="000000"/>
          <w:kern w:val="2"/>
          <w:sz w:val="24"/>
          <w:szCs w:val="24"/>
          <w:highlight w:val="none"/>
          <w:lang w:val="en-US" w:eastAsia="zh-CN" w:bidi="ar-SA"/>
        </w:rPr>
      </w:pPr>
    </w:p>
    <w:p w14:paraId="1D49E8AE">
      <w:pPr>
        <w:ind w:firstLine="241" w:firstLineChars="100"/>
        <w:rPr>
          <w:rFonts w:hint="eastAsia" w:ascii="宋体" w:hAnsi="宋体" w:eastAsia="宋体" w:cs="宋体"/>
          <w:b/>
          <w:bCs/>
          <w:color w:val="000000"/>
          <w:kern w:val="2"/>
          <w:sz w:val="24"/>
          <w:szCs w:val="24"/>
          <w:highlight w:val="none"/>
          <w:lang w:val="en-US" w:eastAsia="zh-CN" w:bidi="ar-SA"/>
        </w:rPr>
      </w:pPr>
    </w:p>
    <w:p w14:paraId="6689C483">
      <w:pPr>
        <w:ind w:firstLine="241" w:firstLineChars="100"/>
        <w:rPr>
          <w:rFonts w:hint="eastAsia" w:ascii="宋体" w:hAnsi="宋体" w:eastAsia="宋体" w:cs="宋体"/>
          <w:b/>
          <w:bCs/>
          <w:color w:val="000000"/>
          <w:kern w:val="2"/>
          <w:sz w:val="24"/>
          <w:szCs w:val="24"/>
          <w:highlight w:val="none"/>
          <w:lang w:val="en-US" w:eastAsia="zh-CN" w:bidi="ar-SA"/>
        </w:rPr>
      </w:pPr>
    </w:p>
    <w:p w14:paraId="0A1647A5">
      <w:pPr>
        <w:ind w:firstLine="241" w:firstLineChars="100"/>
        <w:rPr>
          <w:rFonts w:hint="eastAsia" w:ascii="宋体" w:hAnsi="宋体" w:eastAsia="宋体" w:cs="宋体"/>
          <w:b/>
          <w:bCs/>
          <w:color w:val="000000"/>
          <w:kern w:val="2"/>
          <w:sz w:val="24"/>
          <w:szCs w:val="24"/>
          <w:highlight w:val="none"/>
          <w:lang w:val="en-US" w:eastAsia="zh-CN" w:bidi="ar-SA"/>
        </w:rPr>
      </w:pPr>
    </w:p>
    <w:p w14:paraId="4633A2B0">
      <w:pPr>
        <w:ind w:firstLine="241" w:firstLineChars="100"/>
        <w:rPr>
          <w:rFonts w:hint="eastAsia" w:ascii="宋体" w:hAnsi="宋体" w:eastAsia="宋体" w:cs="宋体"/>
          <w:b/>
          <w:bCs/>
          <w:color w:val="000000"/>
          <w:kern w:val="2"/>
          <w:sz w:val="24"/>
          <w:szCs w:val="24"/>
          <w:highlight w:val="none"/>
          <w:lang w:val="en-US" w:eastAsia="zh-CN" w:bidi="ar-SA"/>
        </w:rPr>
      </w:pPr>
    </w:p>
    <w:p w14:paraId="67175C33">
      <w:pPr>
        <w:ind w:firstLine="241" w:firstLineChars="100"/>
        <w:rPr>
          <w:rFonts w:hint="eastAsia" w:ascii="宋体" w:hAnsi="宋体" w:eastAsia="宋体" w:cs="宋体"/>
          <w:b/>
          <w:bCs/>
          <w:color w:val="000000"/>
          <w:kern w:val="2"/>
          <w:sz w:val="24"/>
          <w:szCs w:val="24"/>
          <w:highlight w:val="none"/>
          <w:lang w:val="en-US" w:eastAsia="zh-CN" w:bidi="ar-SA"/>
        </w:rPr>
      </w:pPr>
    </w:p>
    <w:p w14:paraId="52DEE97D">
      <w:pPr>
        <w:ind w:firstLine="241" w:firstLineChars="100"/>
        <w:rPr>
          <w:rFonts w:hint="eastAsia" w:ascii="宋体" w:hAnsi="宋体" w:eastAsia="宋体" w:cs="宋体"/>
          <w:b/>
          <w:bCs/>
          <w:color w:val="000000"/>
          <w:kern w:val="2"/>
          <w:sz w:val="24"/>
          <w:szCs w:val="24"/>
          <w:highlight w:val="none"/>
          <w:lang w:val="en-US" w:eastAsia="zh-CN" w:bidi="ar-SA"/>
        </w:rPr>
      </w:pPr>
    </w:p>
    <w:p w14:paraId="5C2EF0C9">
      <w:pPr>
        <w:ind w:firstLine="241" w:firstLineChars="100"/>
        <w:rPr>
          <w:rFonts w:hint="eastAsia" w:ascii="宋体" w:hAnsi="宋体" w:eastAsia="宋体" w:cs="宋体"/>
          <w:b/>
          <w:bCs/>
          <w:color w:val="000000"/>
          <w:kern w:val="2"/>
          <w:sz w:val="24"/>
          <w:szCs w:val="24"/>
          <w:highlight w:val="none"/>
          <w:lang w:val="en-US" w:eastAsia="zh-CN" w:bidi="ar-SA"/>
        </w:rPr>
      </w:pPr>
    </w:p>
    <w:p w14:paraId="783A099B">
      <w:pPr>
        <w:ind w:firstLine="241" w:firstLineChars="100"/>
        <w:rPr>
          <w:rFonts w:hint="eastAsia" w:ascii="宋体" w:hAnsi="宋体" w:eastAsia="宋体" w:cs="宋体"/>
          <w:b/>
          <w:bCs/>
          <w:color w:val="000000"/>
          <w:kern w:val="2"/>
          <w:sz w:val="24"/>
          <w:szCs w:val="24"/>
          <w:highlight w:val="none"/>
          <w:lang w:val="en-US" w:eastAsia="zh-CN" w:bidi="ar-SA"/>
        </w:rPr>
      </w:pPr>
    </w:p>
    <w:p w14:paraId="57A22A73">
      <w:pPr>
        <w:ind w:firstLine="241" w:firstLineChars="100"/>
        <w:rPr>
          <w:rFonts w:hint="eastAsia" w:ascii="宋体" w:hAnsi="宋体" w:eastAsia="宋体" w:cs="宋体"/>
          <w:b/>
          <w:bCs/>
          <w:color w:val="000000"/>
          <w:kern w:val="2"/>
          <w:sz w:val="24"/>
          <w:szCs w:val="24"/>
          <w:highlight w:val="none"/>
          <w:lang w:val="en-US" w:eastAsia="zh-CN" w:bidi="ar-SA"/>
        </w:rPr>
      </w:pPr>
    </w:p>
    <w:p w14:paraId="2988A925">
      <w:pPr>
        <w:ind w:firstLine="241" w:firstLineChars="100"/>
        <w:rPr>
          <w:rFonts w:hint="eastAsia" w:ascii="宋体" w:hAnsi="宋体" w:eastAsia="宋体" w:cs="宋体"/>
          <w:b/>
          <w:bCs/>
          <w:color w:val="000000"/>
          <w:kern w:val="2"/>
          <w:sz w:val="24"/>
          <w:szCs w:val="24"/>
          <w:highlight w:val="none"/>
          <w:lang w:val="en-US" w:eastAsia="zh-CN" w:bidi="ar-SA"/>
        </w:rPr>
      </w:pPr>
    </w:p>
    <w:p w14:paraId="34D79645">
      <w:pPr>
        <w:ind w:firstLine="241" w:firstLineChars="100"/>
        <w:rPr>
          <w:rFonts w:hint="eastAsia" w:ascii="宋体" w:hAnsi="宋体" w:eastAsia="宋体" w:cs="宋体"/>
          <w:b/>
          <w:bCs/>
          <w:color w:val="000000"/>
          <w:kern w:val="2"/>
          <w:sz w:val="24"/>
          <w:szCs w:val="24"/>
          <w:highlight w:val="none"/>
          <w:lang w:val="en-US" w:eastAsia="zh-CN" w:bidi="ar-SA"/>
        </w:rPr>
      </w:pPr>
    </w:p>
    <w:p w14:paraId="46102C1C">
      <w:pPr>
        <w:ind w:firstLine="241" w:firstLineChars="100"/>
        <w:rPr>
          <w:rFonts w:hint="eastAsia" w:ascii="宋体" w:hAnsi="宋体" w:eastAsia="宋体" w:cs="宋体"/>
          <w:b/>
          <w:bCs/>
          <w:color w:val="000000"/>
          <w:kern w:val="2"/>
          <w:sz w:val="24"/>
          <w:szCs w:val="24"/>
          <w:highlight w:val="none"/>
          <w:lang w:val="en-US" w:eastAsia="zh-CN" w:bidi="ar-SA"/>
        </w:rPr>
      </w:pPr>
    </w:p>
    <w:p w14:paraId="5BE1A1A7">
      <w:pPr>
        <w:ind w:firstLine="241" w:firstLineChars="100"/>
        <w:rPr>
          <w:rFonts w:hint="eastAsia" w:ascii="宋体" w:hAnsi="宋体" w:eastAsia="宋体" w:cs="宋体"/>
          <w:b/>
          <w:bCs/>
          <w:color w:val="000000"/>
          <w:kern w:val="2"/>
          <w:sz w:val="24"/>
          <w:szCs w:val="24"/>
          <w:highlight w:val="none"/>
          <w:lang w:val="en-US" w:eastAsia="zh-CN" w:bidi="ar-SA"/>
        </w:rPr>
      </w:pPr>
    </w:p>
    <w:p w14:paraId="3AED722F">
      <w:pPr>
        <w:ind w:firstLine="241" w:firstLineChars="100"/>
        <w:rPr>
          <w:rFonts w:hint="eastAsia" w:ascii="宋体" w:hAnsi="宋体" w:eastAsia="宋体" w:cs="宋体"/>
          <w:b/>
          <w:bCs/>
          <w:color w:val="000000"/>
          <w:kern w:val="2"/>
          <w:sz w:val="24"/>
          <w:szCs w:val="24"/>
          <w:highlight w:val="none"/>
          <w:lang w:val="en-US" w:eastAsia="zh-CN" w:bidi="ar-SA"/>
        </w:rPr>
      </w:pPr>
    </w:p>
    <w:p w14:paraId="4AABA718">
      <w:pPr>
        <w:ind w:firstLine="241" w:firstLineChars="10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设备名称：高端全身超声诊断仪</w:t>
      </w:r>
    </w:p>
    <w:tbl>
      <w:tblPr>
        <w:tblStyle w:val="22"/>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703"/>
      </w:tblGrid>
      <w:tr w14:paraId="3974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98C761D">
            <w:pPr>
              <w:numPr>
                <w:ilvl w:val="0"/>
                <w:numId w:val="0"/>
              </w:numPr>
              <w:spacing w:line="240" w:lineRule="auto"/>
              <w:ind w:leftChars="0"/>
              <w:jc w:val="both"/>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1</w:t>
            </w:r>
          </w:p>
        </w:tc>
        <w:tc>
          <w:tcPr>
            <w:tcW w:w="7703" w:type="dxa"/>
            <w:noWrap w:val="0"/>
            <w:vAlign w:val="center"/>
          </w:tcPr>
          <w:p w14:paraId="5B13F49F">
            <w:pPr>
              <w:numPr>
                <w:ilvl w:val="0"/>
                <w:numId w:val="0"/>
              </w:numPr>
              <w:spacing w:line="240" w:lineRule="auto"/>
              <w:ind w:left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设备用途</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主要用于人体的超声诊断检查</w:t>
            </w:r>
          </w:p>
        </w:tc>
      </w:tr>
      <w:tr w14:paraId="3CDF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D2018BB">
            <w:pPr>
              <w:numPr>
                <w:ilvl w:val="0"/>
                <w:numId w:val="0"/>
              </w:numPr>
              <w:spacing w:line="240" w:lineRule="auto"/>
              <w:ind w:leftChars="0"/>
              <w:jc w:val="both"/>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2</w:t>
            </w:r>
          </w:p>
        </w:tc>
        <w:tc>
          <w:tcPr>
            <w:tcW w:w="7703" w:type="dxa"/>
            <w:noWrap w:val="0"/>
            <w:vAlign w:val="center"/>
          </w:tcPr>
          <w:p w14:paraId="7DB6FBE1">
            <w:pPr>
              <w:numPr>
                <w:ilvl w:val="0"/>
                <w:numId w:val="0"/>
              </w:numPr>
              <w:spacing w:line="240" w:lineRule="auto"/>
              <w:ind w:leftChars="0"/>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彩色超声诊断仪</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主机2台</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技术参数</w:t>
            </w:r>
            <w:r>
              <w:rPr>
                <w:rFonts w:hint="eastAsia" w:ascii="宋体" w:hAnsi="宋体" w:eastAsia="宋体" w:cs="宋体"/>
                <w:kern w:val="0"/>
                <w:sz w:val="21"/>
                <w:szCs w:val="21"/>
                <w:highlight w:val="none"/>
                <w:lang w:eastAsia="zh-CN"/>
              </w:rPr>
              <w:t>：</w:t>
            </w:r>
          </w:p>
        </w:tc>
      </w:tr>
      <w:tr w14:paraId="7DC5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D15DEE5">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w:t>
            </w:r>
          </w:p>
        </w:tc>
        <w:tc>
          <w:tcPr>
            <w:tcW w:w="7703" w:type="dxa"/>
            <w:noWrap w:val="0"/>
            <w:vAlign w:val="center"/>
          </w:tcPr>
          <w:p w14:paraId="13068DFA">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高分辨率液晶显示器≥22英寸</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分辨率1920×1080</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可旋转和调整高度</w:t>
            </w:r>
            <w:r>
              <w:rPr>
                <w:rFonts w:hint="eastAsia" w:ascii="宋体" w:hAnsi="宋体" w:eastAsia="宋体" w:cs="宋体"/>
                <w:bCs/>
                <w:sz w:val="21"/>
                <w:szCs w:val="21"/>
                <w:highlight w:val="none"/>
                <w:lang w:val="en-US" w:eastAsia="zh-CN"/>
              </w:rPr>
              <w:t>;</w:t>
            </w:r>
          </w:p>
        </w:tc>
      </w:tr>
      <w:tr w14:paraId="2C4A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0AF3A1A">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w:t>
            </w:r>
          </w:p>
        </w:tc>
        <w:tc>
          <w:tcPr>
            <w:tcW w:w="7703" w:type="dxa"/>
            <w:noWrap w:val="0"/>
            <w:vAlign w:val="center"/>
          </w:tcPr>
          <w:p w14:paraId="0D3E0B13">
            <w:pPr>
              <w:rPr>
                <w:rFonts w:hint="eastAsia" w:ascii="宋体" w:hAnsi="宋体" w:eastAsia="宋体" w:cs="宋体"/>
                <w:sz w:val="21"/>
                <w:szCs w:val="21"/>
                <w:highlight w:val="none"/>
              </w:rPr>
            </w:pPr>
            <w:r>
              <w:rPr>
                <w:rFonts w:hint="eastAsia" w:ascii="宋体" w:hAnsi="宋体" w:eastAsia="宋体" w:cs="宋体"/>
                <w:bCs/>
                <w:sz w:val="21"/>
                <w:szCs w:val="21"/>
                <w:highlight w:val="none"/>
              </w:rPr>
              <w:t>操作面板可旋转和调整高度，最大旋转角度±45度</w:t>
            </w:r>
            <w:r>
              <w:rPr>
                <w:rFonts w:hint="eastAsia" w:ascii="宋体" w:hAnsi="宋体" w:eastAsia="宋体" w:cs="宋体"/>
                <w:bCs/>
                <w:sz w:val="21"/>
                <w:szCs w:val="21"/>
                <w:highlight w:val="none"/>
                <w:lang w:val="en-US" w:eastAsia="zh-CN"/>
              </w:rPr>
              <w:t>;</w:t>
            </w:r>
          </w:p>
        </w:tc>
      </w:tr>
      <w:tr w14:paraId="1390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C775551">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w:t>
            </w:r>
          </w:p>
        </w:tc>
        <w:tc>
          <w:tcPr>
            <w:tcW w:w="7703" w:type="dxa"/>
            <w:noWrap w:val="0"/>
            <w:vAlign w:val="center"/>
          </w:tcPr>
          <w:p w14:paraId="0F02B80A">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液晶触摸屏≥10英寸</w:t>
            </w:r>
            <w:r>
              <w:rPr>
                <w:rFonts w:hint="eastAsia" w:ascii="宋体" w:hAnsi="宋体" w:eastAsia="宋体" w:cs="宋体"/>
                <w:bCs/>
                <w:sz w:val="21"/>
                <w:szCs w:val="21"/>
                <w:highlight w:val="none"/>
                <w:lang w:val="en-US" w:eastAsia="zh-CN"/>
              </w:rPr>
              <w:t>;</w:t>
            </w:r>
          </w:p>
        </w:tc>
      </w:tr>
      <w:tr w14:paraId="5ABF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8567416">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w:t>
            </w:r>
          </w:p>
        </w:tc>
        <w:tc>
          <w:tcPr>
            <w:tcW w:w="7703" w:type="dxa"/>
            <w:noWrap w:val="0"/>
            <w:vAlign w:val="center"/>
          </w:tcPr>
          <w:p w14:paraId="2164C93D">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自适应增益补偿技术</w:t>
            </w:r>
            <w:r>
              <w:rPr>
                <w:rFonts w:hint="eastAsia" w:ascii="宋体" w:hAnsi="宋体" w:eastAsia="宋体" w:cs="宋体"/>
                <w:bCs/>
                <w:sz w:val="21"/>
                <w:szCs w:val="21"/>
                <w:highlight w:val="none"/>
                <w:lang w:val="en-US" w:eastAsia="zh-CN"/>
              </w:rPr>
              <w:t>;</w:t>
            </w:r>
          </w:p>
        </w:tc>
      </w:tr>
      <w:tr w14:paraId="6C7D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7E47D21">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w:t>
            </w:r>
          </w:p>
        </w:tc>
        <w:tc>
          <w:tcPr>
            <w:tcW w:w="7703" w:type="dxa"/>
            <w:noWrap w:val="0"/>
            <w:vAlign w:val="center"/>
          </w:tcPr>
          <w:p w14:paraId="6F1F482A">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数字化二维灰阶成像及M型显像单元；</w:t>
            </w:r>
          </w:p>
        </w:tc>
      </w:tr>
      <w:tr w14:paraId="0B86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9D23F49">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6</w:t>
            </w:r>
          </w:p>
        </w:tc>
        <w:tc>
          <w:tcPr>
            <w:tcW w:w="7703" w:type="dxa"/>
            <w:noWrap w:val="0"/>
            <w:vAlign w:val="center"/>
          </w:tcPr>
          <w:p w14:paraId="425F1C92">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全方位解剖M型技术</w:t>
            </w:r>
            <w:r>
              <w:rPr>
                <w:rFonts w:hint="eastAsia" w:ascii="宋体" w:hAnsi="宋体" w:eastAsia="宋体" w:cs="宋体"/>
                <w:bCs/>
                <w:sz w:val="21"/>
                <w:szCs w:val="21"/>
                <w:highlight w:val="none"/>
                <w:lang w:val="en-US" w:eastAsia="zh-CN"/>
              </w:rPr>
              <w:t>;</w:t>
            </w:r>
          </w:p>
        </w:tc>
      </w:tr>
      <w:tr w14:paraId="74F9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7EEF758">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7</w:t>
            </w:r>
          </w:p>
        </w:tc>
        <w:tc>
          <w:tcPr>
            <w:tcW w:w="7703" w:type="dxa"/>
            <w:noWrap w:val="0"/>
            <w:vAlign w:val="center"/>
          </w:tcPr>
          <w:p w14:paraId="190E69EF">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彩色多普勒成像技术；</w:t>
            </w:r>
          </w:p>
        </w:tc>
      </w:tr>
      <w:tr w14:paraId="301D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EC26B7E">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8</w:t>
            </w:r>
          </w:p>
        </w:tc>
        <w:tc>
          <w:tcPr>
            <w:tcW w:w="7703" w:type="dxa"/>
            <w:noWrap w:val="0"/>
            <w:vAlign w:val="center"/>
          </w:tcPr>
          <w:p w14:paraId="76F8DB5E">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彩色多普勒能量图技术；</w:t>
            </w:r>
          </w:p>
        </w:tc>
      </w:tr>
      <w:tr w14:paraId="13E9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E8D0237">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9</w:t>
            </w:r>
          </w:p>
        </w:tc>
        <w:tc>
          <w:tcPr>
            <w:tcW w:w="7703" w:type="dxa"/>
            <w:noWrap w:val="0"/>
            <w:vAlign w:val="center"/>
          </w:tcPr>
          <w:p w14:paraId="46867316">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方向性能量图技术</w:t>
            </w:r>
            <w:r>
              <w:rPr>
                <w:rFonts w:hint="eastAsia" w:ascii="宋体" w:hAnsi="宋体" w:eastAsia="宋体" w:cs="宋体"/>
                <w:bCs/>
                <w:sz w:val="21"/>
                <w:szCs w:val="21"/>
                <w:highlight w:val="none"/>
                <w:lang w:val="en-US" w:eastAsia="zh-CN"/>
              </w:rPr>
              <w:t>;</w:t>
            </w:r>
          </w:p>
        </w:tc>
      </w:tr>
      <w:tr w14:paraId="481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65D8F758">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10</w:t>
            </w:r>
          </w:p>
        </w:tc>
        <w:tc>
          <w:tcPr>
            <w:tcW w:w="7703" w:type="dxa"/>
            <w:noWrap w:val="0"/>
            <w:vAlign w:val="center"/>
          </w:tcPr>
          <w:p w14:paraId="396F7200">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数字化频谱多普勒显示和分析单元 (包括 PW 、CW和 HPRF)；</w:t>
            </w:r>
          </w:p>
        </w:tc>
      </w:tr>
      <w:tr w14:paraId="4790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668A4603">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11</w:t>
            </w:r>
          </w:p>
        </w:tc>
        <w:tc>
          <w:tcPr>
            <w:tcW w:w="7703" w:type="dxa"/>
            <w:noWrap w:val="0"/>
            <w:vAlign w:val="center"/>
          </w:tcPr>
          <w:p w14:paraId="7C4A7F11">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动态范围≥320dB</w:t>
            </w:r>
            <w:r>
              <w:rPr>
                <w:rFonts w:hint="eastAsia" w:ascii="宋体" w:hAnsi="宋体" w:eastAsia="宋体" w:cs="宋体"/>
                <w:bCs/>
                <w:sz w:val="21"/>
                <w:szCs w:val="21"/>
                <w:highlight w:val="none"/>
                <w:lang w:val="en-US" w:eastAsia="zh-CN"/>
              </w:rPr>
              <w:t>;</w:t>
            </w:r>
          </w:p>
        </w:tc>
      </w:tr>
      <w:tr w14:paraId="2C37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EACC04D">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12</w:t>
            </w:r>
          </w:p>
        </w:tc>
        <w:tc>
          <w:tcPr>
            <w:tcW w:w="7703" w:type="dxa"/>
            <w:noWrap w:val="0"/>
            <w:vAlign w:val="center"/>
          </w:tcPr>
          <w:p w14:paraId="01D02DCB">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智能全程聚焦技术；</w:t>
            </w:r>
          </w:p>
        </w:tc>
      </w:tr>
      <w:tr w14:paraId="3E2B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8182290">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13</w:t>
            </w:r>
          </w:p>
        </w:tc>
        <w:tc>
          <w:tcPr>
            <w:tcW w:w="7703" w:type="dxa"/>
            <w:noWrap w:val="0"/>
            <w:vAlign w:val="center"/>
          </w:tcPr>
          <w:p w14:paraId="2DBC87FD">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智能化一键图像优化技术；</w:t>
            </w:r>
          </w:p>
        </w:tc>
      </w:tr>
      <w:tr w14:paraId="2467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236F5E8">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14</w:t>
            </w:r>
          </w:p>
        </w:tc>
        <w:tc>
          <w:tcPr>
            <w:tcW w:w="7703" w:type="dxa"/>
            <w:noWrap w:val="0"/>
            <w:vAlign w:val="center"/>
          </w:tcPr>
          <w:p w14:paraId="651947B3">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空间复合成像技术</w:t>
            </w:r>
            <w:r>
              <w:rPr>
                <w:rFonts w:hint="eastAsia" w:ascii="宋体" w:hAnsi="宋体" w:eastAsia="宋体" w:cs="宋体"/>
                <w:bCs/>
                <w:sz w:val="21"/>
                <w:szCs w:val="21"/>
                <w:highlight w:val="none"/>
                <w:lang w:val="en-US" w:eastAsia="zh-CN"/>
              </w:rPr>
              <w:t>;</w:t>
            </w:r>
          </w:p>
        </w:tc>
      </w:tr>
      <w:tr w14:paraId="479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2DBF8CB5">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15</w:t>
            </w:r>
          </w:p>
        </w:tc>
        <w:tc>
          <w:tcPr>
            <w:tcW w:w="7703" w:type="dxa"/>
            <w:noWrap w:val="0"/>
            <w:vAlign w:val="center"/>
          </w:tcPr>
          <w:p w14:paraId="4ED13FC2">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自适应斑点噪声抑制技术</w:t>
            </w:r>
            <w:r>
              <w:rPr>
                <w:rFonts w:hint="eastAsia" w:ascii="宋体" w:hAnsi="宋体" w:eastAsia="宋体" w:cs="宋体"/>
                <w:bCs/>
                <w:sz w:val="21"/>
                <w:szCs w:val="21"/>
                <w:highlight w:val="none"/>
                <w:lang w:val="en-US" w:eastAsia="zh-CN"/>
              </w:rPr>
              <w:t>;</w:t>
            </w:r>
          </w:p>
        </w:tc>
      </w:tr>
      <w:tr w14:paraId="00E6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74CA0BA">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16</w:t>
            </w:r>
          </w:p>
        </w:tc>
        <w:tc>
          <w:tcPr>
            <w:tcW w:w="7703" w:type="dxa"/>
            <w:noWrap w:val="0"/>
            <w:vAlign w:val="center"/>
          </w:tcPr>
          <w:p w14:paraId="64C07C31">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数字通道≥7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000</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000</w:t>
            </w:r>
            <w:r>
              <w:rPr>
                <w:rFonts w:hint="eastAsia" w:ascii="宋体" w:hAnsi="宋体" w:eastAsia="宋体" w:cs="宋体"/>
                <w:bCs/>
                <w:sz w:val="21"/>
                <w:szCs w:val="21"/>
                <w:highlight w:val="none"/>
                <w:lang w:val="en-US" w:eastAsia="zh-CN"/>
              </w:rPr>
              <w:t>;</w:t>
            </w:r>
          </w:p>
        </w:tc>
      </w:tr>
      <w:tr w14:paraId="3937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B7E9DC2">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17</w:t>
            </w:r>
          </w:p>
        </w:tc>
        <w:tc>
          <w:tcPr>
            <w:tcW w:w="7703" w:type="dxa"/>
            <w:noWrap w:val="0"/>
            <w:vAlign w:val="center"/>
          </w:tcPr>
          <w:p w14:paraId="752B95FC">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具备全屏高清放大功能，分辨率≥1080p</w:t>
            </w:r>
            <w:r>
              <w:rPr>
                <w:rFonts w:hint="eastAsia" w:ascii="宋体" w:hAnsi="宋体" w:eastAsia="宋体" w:cs="宋体"/>
                <w:bCs/>
                <w:sz w:val="21"/>
                <w:szCs w:val="21"/>
                <w:highlight w:val="none"/>
                <w:lang w:val="en-US" w:eastAsia="zh-CN"/>
              </w:rPr>
              <w:t>;</w:t>
            </w:r>
          </w:p>
        </w:tc>
      </w:tr>
      <w:tr w14:paraId="075D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36440FC">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18</w:t>
            </w:r>
          </w:p>
        </w:tc>
        <w:tc>
          <w:tcPr>
            <w:tcW w:w="7703" w:type="dxa"/>
            <w:noWrap w:val="0"/>
            <w:vAlign w:val="center"/>
          </w:tcPr>
          <w:p w14:paraId="162E6BAF">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具有</w:t>
            </w:r>
            <w:r>
              <w:rPr>
                <w:rFonts w:hint="eastAsia" w:ascii="宋体" w:hAnsi="宋体" w:eastAsia="宋体" w:cs="宋体"/>
                <w:bCs/>
                <w:sz w:val="21"/>
                <w:szCs w:val="21"/>
                <w:highlight w:val="none"/>
              </w:rPr>
              <w:t>超宽视野成像扫描技术</w:t>
            </w:r>
            <w:r>
              <w:rPr>
                <w:rFonts w:hint="eastAsia" w:ascii="宋体" w:hAnsi="宋体" w:eastAsia="宋体" w:cs="宋体"/>
                <w:bCs/>
                <w:sz w:val="21"/>
                <w:szCs w:val="21"/>
                <w:highlight w:val="none"/>
                <w:lang w:val="en-US" w:eastAsia="zh-CN"/>
              </w:rPr>
              <w:t>;</w:t>
            </w:r>
          </w:p>
        </w:tc>
      </w:tr>
      <w:tr w14:paraId="5CE0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84A8AF0">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19</w:t>
            </w:r>
          </w:p>
        </w:tc>
        <w:tc>
          <w:tcPr>
            <w:tcW w:w="7703" w:type="dxa"/>
            <w:noWrap w:val="0"/>
            <w:vAlign w:val="center"/>
          </w:tcPr>
          <w:p w14:paraId="3C2D64D6">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具有</w:t>
            </w:r>
            <w:r>
              <w:rPr>
                <w:rFonts w:hint="eastAsia" w:ascii="宋体" w:hAnsi="宋体" w:eastAsia="宋体" w:cs="宋体"/>
                <w:bCs/>
                <w:sz w:val="21"/>
                <w:szCs w:val="21"/>
                <w:highlight w:val="none"/>
              </w:rPr>
              <w:t>超声声速自动校正技术</w:t>
            </w:r>
            <w:r>
              <w:rPr>
                <w:rFonts w:hint="eastAsia" w:ascii="宋体" w:hAnsi="宋体" w:eastAsia="宋体" w:cs="宋体"/>
                <w:bCs/>
                <w:sz w:val="21"/>
                <w:szCs w:val="21"/>
                <w:highlight w:val="none"/>
                <w:lang w:val="en-US" w:eastAsia="zh-CN"/>
              </w:rPr>
              <w:t>;</w:t>
            </w:r>
          </w:p>
        </w:tc>
      </w:tr>
      <w:tr w14:paraId="1D28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38EB5BD">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20</w:t>
            </w:r>
          </w:p>
        </w:tc>
        <w:tc>
          <w:tcPr>
            <w:tcW w:w="7703" w:type="dxa"/>
            <w:noWrap w:val="0"/>
            <w:vAlign w:val="center"/>
          </w:tcPr>
          <w:p w14:paraId="197EA0DC">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具有</w:t>
            </w:r>
            <w:r>
              <w:rPr>
                <w:rFonts w:hint="eastAsia" w:ascii="宋体" w:hAnsi="宋体" w:eastAsia="宋体" w:cs="宋体"/>
                <w:bCs/>
                <w:sz w:val="21"/>
                <w:szCs w:val="21"/>
                <w:highlight w:val="none"/>
              </w:rPr>
              <w:t>扩展成像技术</w:t>
            </w:r>
            <w:r>
              <w:rPr>
                <w:rFonts w:hint="eastAsia" w:ascii="宋体" w:hAnsi="宋体" w:eastAsia="宋体" w:cs="宋体"/>
                <w:bCs/>
                <w:sz w:val="21"/>
                <w:szCs w:val="21"/>
                <w:highlight w:val="none"/>
                <w:lang w:val="en-US" w:eastAsia="zh-CN"/>
              </w:rPr>
              <w:t>;</w:t>
            </w:r>
          </w:p>
        </w:tc>
      </w:tr>
      <w:tr w14:paraId="794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01F9A7B">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21</w:t>
            </w:r>
          </w:p>
        </w:tc>
        <w:tc>
          <w:tcPr>
            <w:tcW w:w="7703" w:type="dxa"/>
            <w:noWrap w:val="0"/>
            <w:vAlign w:val="center"/>
          </w:tcPr>
          <w:p w14:paraId="430F90CF">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具有</w:t>
            </w:r>
            <w:r>
              <w:rPr>
                <w:rFonts w:hint="eastAsia" w:ascii="宋体" w:hAnsi="宋体" w:eastAsia="宋体" w:cs="宋体"/>
                <w:bCs/>
                <w:sz w:val="21"/>
                <w:szCs w:val="21"/>
                <w:highlight w:val="none"/>
              </w:rPr>
              <w:t>组织多普勒技术</w:t>
            </w:r>
            <w:r>
              <w:rPr>
                <w:rFonts w:hint="eastAsia" w:ascii="宋体" w:hAnsi="宋体" w:eastAsia="宋体" w:cs="宋体"/>
                <w:bCs/>
                <w:sz w:val="21"/>
                <w:szCs w:val="21"/>
                <w:highlight w:val="none"/>
                <w:lang w:eastAsia="zh-CN"/>
              </w:rPr>
              <w:t>；</w:t>
            </w:r>
          </w:p>
        </w:tc>
      </w:tr>
      <w:tr w14:paraId="7FD3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E5F39F0">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22</w:t>
            </w:r>
          </w:p>
        </w:tc>
        <w:tc>
          <w:tcPr>
            <w:tcW w:w="7703" w:type="dxa"/>
            <w:noWrap w:val="0"/>
            <w:vAlign w:val="center"/>
          </w:tcPr>
          <w:p w14:paraId="7F14AC8C">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多影像实时对比联合诊断技术：主机可直接获取和浏览CT/NM/MR，乳房X线/超声的DICOM图像，同屏对比既往和目前的超声图像，回顾实时的、存储的、输出的图像进行对比诊断</w:t>
            </w:r>
            <w:r>
              <w:rPr>
                <w:rFonts w:hint="eastAsia" w:ascii="宋体" w:hAnsi="宋体" w:eastAsia="宋体" w:cs="宋体"/>
                <w:bCs/>
                <w:sz w:val="21"/>
                <w:szCs w:val="21"/>
                <w:highlight w:val="none"/>
                <w:lang w:eastAsia="zh-CN"/>
              </w:rPr>
              <w:t>；</w:t>
            </w:r>
          </w:p>
        </w:tc>
      </w:tr>
      <w:tr w14:paraId="63F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B99727F">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23</w:t>
            </w:r>
          </w:p>
        </w:tc>
        <w:tc>
          <w:tcPr>
            <w:tcW w:w="7703" w:type="dxa"/>
            <w:noWrap w:val="0"/>
            <w:vAlign w:val="center"/>
          </w:tcPr>
          <w:p w14:paraId="15CCB1BC">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具有实时双幅造影对比成像模式，并可进行双幅实时同步测量</w:t>
            </w:r>
            <w:r>
              <w:rPr>
                <w:rFonts w:hint="eastAsia" w:ascii="宋体" w:hAnsi="宋体" w:eastAsia="宋体" w:cs="宋体"/>
                <w:bCs/>
                <w:sz w:val="21"/>
                <w:szCs w:val="21"/>
                <w:highlight w:val="none"/>
                <w:lang w:eastAsia="zh-CN"/>
              </w:rPr>
              <w:t>；</w:t>
            </w:r>
          </w:p>
        </w:tc>
      </w:tr>
      <w:tr w14:paraId="745C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B2B76DE">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24</w:t>
            </w:r>
          </w:p>
        </w:tc>
        <w:tc>
          <w:tcPr>
            <w:tcW w:w="7703" w:type="dxa"/>
            <w:noWrap w:val="0"/>
            <w:vAlign w:val="center"/>
          </w:tcPr>
          <w:p w14:paraId="046A7EC0">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造影技术支持凸阵，线阵，腔内探头，相控阵，微凸探头，可满足临床对腹部、妇产、浅表、乳腺、血管、心室腔、腔内的前列腺、经阴道妇科等需求</w:t>
            </w:r>
            <w:r>
              <w:rPr>
                <w:rFonts w:hint="eastAsia" w:ascii="宋体" w:hAnsi="宋体" w:eastAsia="宋体" w:cs="宋体"/>
                <w:bCs/>
                <w:sz w:val="21"/>
                <w:szCs w:val="21"/>
                <w:highlight w:val="none"/>
                <w:lang w:eastAsia="zh-CN"/>
              </w:rPr>
              <w:t>；</w:t>
            </w:r>
          </w:p>
        </w:tc>
      </w:tr>
      <w:tr w14:paraId="7F5B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17B7D1B">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25</w:t>
            </w:r>
          </w:p>
        </w:tc>
        <w:tc>
          <w:tcPr>
            <w:tcW w:w="7703" w:type="dxa"/>
            <w:noWrap w:val="0"/>
            <w:vAlign w:val="center"/>
          </w:tcPr>
          <w:p w14:paraId="604E3731">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具备弹性成像技术</w:t>
            </w:r>
            <w:r>
              <w:rPr>
                <w:rFonts w:hint="eastAsia" w:ascii="宋体" w:hAnsi="宋体" w:eastAsia="宋体" w:cs="宋体"/>
                <w:bCs/>
                <w:sz w:val="21"/>
                <w:szCs w:val="21"/>
                <w:highlight w:val="none"/>
                <w:lang w:eastAsia="zh-CN"/>
              </w:rPr>
              <w:t>；</w:t>
            </w:r>
          </w:p>
        </w:tc>
      </w:tr>
      <w:tr w14:paraId="6568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B135A7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26</w:t>
            </w:r>
          </w:p>
        </w:tc>
        <w:tc>
          <w:tcPr>
            <w:tcW w:w="7703" w:type="dxa"/>
            <w:noWrap w:val="0"/>
            <w:vAlign w:val="center"/>
          </w:tcPr>
          <w:p w14:paraId="73A30F41">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具备实时剪切波弹性定量技术，可实时对感兴趣区域内组织进行硬度定量评价</w:t>
            </w:r>
            <w:r>
              <w:rPr>
                <w:rFonts w:hint="eastAsia" w:ascii="宋体" w:hAnsi="宋体" w:eastAsia="宋体" w:cs="宋体"/>
                <w:bCs/>
                <w:sz w:val="21"/>
                <w:szCs w:val="21"/>
                <w:highlight w:val="none"/>
                <w:lang w:eastAsia="zh-CN"/>
              </w:rPr>
              <w:t>；</w:t>
            </w:r>
          </w:p>
        </w:tc>
      </w:tr>
      <w:tr w14:paraId="07A2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7BC5598">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27</w:t>
            </w:r>
          </w:p>
        </w:tc>
        <w:tc>
          <w:tcPr>
            <w:tcW w:w="7703" w:type="dxa"/>
            <w:noWrap w:val="0"/>
            <w:vAlign w:val="center"/>
          </w:tcPr>
          <w:p w14:paraId="2301DA66">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具有超微血流成像技术，可高清显示超微细血流及超低速血流信号，支持凸阵、线阵探头、微凸阵探头，可用于腹部、浅表、肌骨、儿科、血管等多种应用</w:t>
            </w:r>
            <w:r>
              <w:rPr>
                <w:rFonts w:hint="eastAsia" w:ascii="宋体" w:hAnsi="宋体" w:eastAsia="宋体" w:cs="宋体"/>
                <w:bCs/>
                <w:sz w:val="21"/>
                <w:szCs w:val="21"/>
                <w:highlight w:val="none"/>
                <w:lang w:eastAsia="zh-CN"/>
              </w:rPr>
              <w:t>；</w:t>
            </w:r>
          </w:p>
        </w:tc>
      </w:tr>
      <w:tr w14:paraId="319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2111251">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28</w:t>
            </w:r>
          </w:p>
        </w:tc>
        <w:tc>
          <w:tcPr>
            <w:tcW w:w="7703" w:type="dxa"/>
            <w:noWrap w:val="0"/>
            <w:vAlign w:val="center"/>
          </w:tcPr>
          <w:p w14:paraId="1CE560D4">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具备智能多普勒血管检查技术</w:t>
            </w:r>
            <w:r>
              <w:rPr>
                <w:rFonts w:hint="eastAsia" w:ascii="宋体" w:hAnsi="宋体" w:eastAsia="宋体" w:cs="宋体"/>
                <w:bCs/>
                <w:sz w:val="21"/>
                <w:szCs w:val="21"/>
                <w:highlight w:val="none"/>
                <w:lang w:eastAsia="zh-CN"/>
              </w:rPr>
              <w:t>；</w:t>
            </w:r>
          </w:p>
        </w:tc>
      </w:tr>
      <w:tr w14:paraId="1460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56CA6C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29</w:t>
            </w:r>
          </w:p>
        </w:tc>
        <w:tc>
          <w:tcPr>
            <w:tcW w:w="7703" w:type="dxa"/>
            <w:noWrap w:val="0"/>
            <w:vAlign w:val="center"/>
          </w:tcPr>
          <w:p w14:paraId="7B6B05B4">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心脏功能测量和分析、妇科测量和分析、产科测量和分析，外周血管测量和分析</w:t>
            </w:r>
            <w:r>
              <w:rPr>
                <w:rFonts w:hint="eastAsia" w:ascii="宋体" w:hAnsi="宋体" w:eastAsia="宋体" w:cs="宋体"/>
                <w:bCs/>
                <w:sz w:val="21"/>
                <w:szCs w:val="21"/>
                <w:highlight w:val="none"/>
                <w:lang w:eastAsia="zh-CN"/>
              </w:rPr>
              <w:t>；</w:t>
            </w:r>
          </w:p>
        </w:tc>
      </w:tr>
      <w:tr w14:paraId="2F95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2E7A5FF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30</w:t>
            </w:r>
          </w:p>
        </w:tc>
        <w:tc>
          <w:tcPr>
            <w:tcW w:w="7703" w:type="dxa"/>
            <w:noWrap w:val="0"/>
            <w:vAlign w:val="center"/>
          </w:tcPr>
          <w:p w14:paraId="469C5ED3">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具备主机硬盘图像数据存储，硬盘容量≥1T，硬盘数量≥</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2台主机至少各配备个硬盘</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w:t>
            </w:r>
          </w:p>
        </w:tc>
      </w:tr>
      <w:tr w14:paraId="7B0D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D6422FE">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31</w:t>
            </w:r>
          </w:p>
        </w:tc>
        <w:tc>
          <w:tcPr>
            <w:tcW w:w="7703" w:type="dxa"/>
            <w:noWrap w:val="0"/>
            <w:vAlign w:val="center"/>
          </w:tcPr>
          <w:p w14:paraId="0FA40E02">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视频图像输出，S-视频、高清数字化输出、USB</w:t>
            </w:r>
            <w:r>
              <w:rPr>
                <w:rFonts w:hint="eastAsia" w:ascii="宋体" w:hAnsi="宋体" w:eastAsia="宋体" w:cs="宋体"/>
                <w:bCs/>
                <w:sz w:val="21"/>
                <w:szCs w:val="21"/>
                <w:highlight w:val="none"/>
                <w:lang w:eastAsia="zh-CN"/>
              </w:rPr>
              <w:t>；</w:t>
            </w:r>
          </w:p>
        </w:tc>
      </w:tr>
      <w:tr w14:paraId="50F6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AEFA3E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32</w:t>
            </w:r>
          </w:p>
        </w:tc>
        <w:tc>
          <w:tcPr>
            <w:tcW w:w="7703" w:type="dxa"/>
            <w:noWrap w:val="0"/>
            <w:vAlign w:val="center"/>
          </w:tcPr>
          <w:p w14:paraId="09058810">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连通性：医学数字图像和通信 DICOM 3.0 版接口部件</w:t>
            </w:r>
          </w:p>
        </w:tc>
      </w:tr>
      <w:tr w14:paraId="4288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64DDD3BF">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33</w:t>
            </w:r>
          </w:p>
        </w:tc>
        <w:tc>
          <w:tcPr>
            <w:tcW w:w="7703" w:type="dxa"/>
            <w:noWrap w:val="0"/>
            <w:vAlign w:val="center"/>
          </w:tcPr>
          <w:p w14:paraId="555B8906">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系统处理速度≥60GB/s</w:t>
            </w:r>
            <w:r>
              <w:rPr>
                <w:rFonts w:hint="eastAsia" w:ascii="宋体" w:hAnsi="宋体" w:eastAsia="宋体" w:cs="宋体"/>
                <w:bCs/>
                <w:sz w:val="21"/>
                <w:szCs w:val="21"/>
                <w:highlight w:val="none"/>
                <w:lang w:eastAsia="zh-CN"/>
              </w:rPr>
              <w:t>；</w:t>
            </w:r>
          </w:p>
        </w:tc>
      </w:tr>
      <w:tr w14:paraId="51BC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C2B318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34</w:t>
            </w:r>
          </w:p>
        </w:tc>
        <w:tc>
          <w:tcPr>
            <w:tcW w:w="7703" w:type="dxa"/>
            <w:noWrap w:val="0"/>
            <w:vAlign w:val="center"/>
          </w:tcPr>
          <w:p w14:paraId="478906FC">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全部探头接口激活并可互换通用</w:t>
            </w:r>
            <w:r>
              <w:rPr>
                <w:rFonts w:hint="eastAsia" w:ascii="宋体" w:hAnsi="宋体" w:eastAsia="宋体" w:cs="宋体"/>
                <w:bCs/>
                <w:sz w:val="21"/>
                <w:szCs w:val="21"/>
                <w:highlight w:val="none"/>
                <w:lang w:eastAsia="zh-CN"/>
              </w:rPr>
              <w:t>；</w:t>
            </w:r>
          </w:p>
        </w:tc>
      </w:tr>
      <w:tr w14:paraId="7C1A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22C44310">
            <w:pPr>
              <w:numPr>
                <w:ilvl w:val="0"/>
                <w:numId w:val="0"/>
              </w:num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35</w:t>
            </w:r>
          </w:p>
        </w:tc>
        <w:tc>
          <w:tcPr>
            <w:tcW w:w="7703" w:type="dxa"/>
            <w:noWrap w:val="0"/>
            <w:vAlign w:val="center"/>
          </w:tcPr>
          <w:p w14:paraId="6ECBB84E">
            <w:pPr>
              <w:numPr>
                <w:ilvl w:val="0"/>
                <w:numId w:val="0"/>
              </w:num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预设条件:针对不同的检查脏器</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预置最佳化图像的检查条件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减少操作时的调节</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及常用所需的外部调节及组合调节</w:t>
            </w:r>
            <w:r>
              <w:rPr>
                <w:rFonts w:hint="eastAsia" w:ascii="宋体" w:hAnsi="宋体" w:eastAsia="宋体" w:cs="宋体"/>
                <w:bCs/>
                <w:sz w:val="21"/>
                <w:szCs w:val="21"/>
                <w:highlight w:val="none"/>
                <w:lang w:eastAsia="zh-CN"/>
              </w:rPr>
              <w:t>；</w:t>
            </w:r>
          </w:p>
        </w:tc>
      </w:tr>
      <w:tr w14:paraId="2CC4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4C97104">
            <w:pPr>
              <w:numPr>
                <w:ilvl w:val="0"/>
                <w:numId w:val="0"/>
              </w:num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36</w:t>
            </w:r>
          </w:p>
        </w:tc>
        <w:tc>
          <w:tcPr>
            <w:tcW w:w="7703" w:type="dxa"/>
            <w:noWrap w:val="0"/>
            <w:vAlign w:val="center"/>
          </w:tcPr>
          <w:p w14:paraId="7AC60870">
            <w:pPr>
              <w:numPr>
                <w:ilvl w:val="0"/>
                <w:numId w:val="0"/>
              </w:numPr>
              <w:spacing w:line="240" w:lineRule="auto"/>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探头</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lang w:val="en-US" w:eastAsia="zh-CN"/>
              </w:rPr>
              <w:t>两台主机一共需提供以下10把探头具体要求如下</w:t>
            </w:r>
            <w:r>
              <w:rPr>
                <w:rFonts w:hint="eastAsia" w:ascii="宋体" w:hAnsi="宋体" w:eastAsia="宋体" w:cs="宋体"/>
                <w:kern w:val="0"/>
                <w:sz w:val="21"/>
                <w:szCs w:val="21"/>
                <w:highlight w:val="none"/>
                <w:lang w:eastAsia="zh-CN"/>
              </w:rPr>
              <w:t>）</w:t>
            </w:r>
          </w:p>
          <w:p w14:paraId="6E01AFBC">
            <w:pPr>
              <w:numPr>
                <w:ilvl w:val="0"/>
                <w:numId w:val="0"/>
              </w:numPr>
              <w:spacing w:line="240" w:lineRule="auto"/>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单晶体</w:t>
            </w:r>
            <w:r>
              <w:rPr>
                <w:rFonts w:hint="eastAsia" w:ascii="宋体" w:hAnsi="宋体" w:eastAsia="宋体" w:cs="宋体"/>
                <w:kern w:val="0"/>
                <w:sz w:val="21"/>
                <w:szCs w:val="21"/>
                <w:highlight w:val="none"/>
                <w:lang w:eastAsia="zh-CN"/>
              </w:rPr>
              <w:t>心脏相控阵探头（</w:t>
            </w:r>
            <w:r>
              <w:rPr>
                <w:rFonts w:hint="eastAsia" w:ascii="宋体" w:hAnsi="宋体" w:eastAsia="宋体" w:cs="宋体"/>
                <w:kern w:val="0"/>
                <w:sz w:val="21"/>
                <w:szCs w:val="21"/>
                <w:highlight w:val="none"/>
                <w:lang w:val="en-US" w:eastAsia="zh-CN"/>
              </w:rPr>
              <w:t>1.0-5.0MHZ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把</w:t>
            </w:r>
          </w:p>
          <w:p w14:paraId="29A2DE67">
            <w:pPr>
              <w:numPr>
                <w:ilvl w:val="0"/>
                <w:numId w:val="0"/>
              </w:numPr>
              <w:spacing w:line="240" w:lineRule="auto"/>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单晶体</w:t>
            </w:r>
            <w:r>
              <w:rPr>
                <w:rFonts w:hint="eastAsia" w:ascii="宋体" w:hAnsi="宋体" w:eastAsia="宋体" w:cs="宋体"/>
                <w:kern w:val="0"/>
                <w:sz w:val="21"/>
                <w:szCs w:val="21"/>
                <w:highlight w:val="none"/>
              </w:rPr>
              <w:t>腹部凸阵探头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1.0-5.0</w:t>
            </w:r>
            <w:r>
              <w:rPr>
                <w:rFonts w:hint="eastAsia" w:ascii="宋体" w:hAnsi="宋体" w:eastAsia="宋体" w:cs="宋体"/>
                <w:kern w:val="0"/>
                <w:sz w:val="21"/>
                <w:szCs w:val="21"/>
                <w:highlight w:val="none"/>
              </w:rPr>
              <w:t>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把</w:t>
            </w:r>
          </w:p>
          <w:p w14:paraId="6CE4C099">
            <w:pPr>
              <w:numPr>
                <w:ilvl w:val="0"/>
                <w:numId w:val="0"/>
              </w:numPr>
              <w:spacing w:line="240" w:lineRule="auto"/>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浅表肌骨探头（</w:t>
            </w:r>
            <w:r>
              <w:rPr>
                <w:rFonts w:hint="eastAsia" w:ascii="宋体" w:hAnsi="宋体" w:eastAsia="宋体" w:cs="宋体"/>
                <w:kern w:val="0"/>
                <w:sz w:val="21"/>
                <w:szCs w:val="21"/>
                <w:highlight w:val="none"/>
                <w:lang w:val="en-US" w:eastAsia="zh-CN"/>
              </w:rPr>
              <w:t>5.0-18.0</w:t>
            </w:r>
            <w:r>
              <w:rPr>
                <w:rFonts w:hint="eastAsia" w:ascii="宋体" w:hAnsi="宋体" w:eastAsia="宋体" w:cs="宋体"/>
                <w:kern w:val="0"/>
                <w:sz w:val="21"/>
                <w:szCs w:val="21"/>
                <w:highlight w:val="none"/>
              </w:rPr>
              <w:t>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把</w:t>
            </w:r>
          </w:p>
          <w:p w14:paraId="48B643E1">
            <w:pPr>
              <w:numPr>
                <w:ilvl w:val="0"/>
                <w:numId w:val="0"/>
              </w:numPr>
              <w:spacing w:line="240" w:lineRule="auto"/>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腔内探头（</w:t>
            </w:r>
            <w:r>
              <w:rPr>
                <w:rFonts w:hint="eastAsia" w:ascii="宋体" w:hAnsi="宋体" w:eastAsia="宋体" w:cs="宋体"/>
                <w:kern w:val="0"/>
                <w:sz w:val="21"/>
                <w:szCs w:val="21"/>
                <w:highlight w:val="none"/>
                <w:lang w:val="en-US" w:eastAsia="zh-CN"/>
              </w:rPr>
              <w:t>3.0-10.0</w:t>
            </w:r>
            <w:r>
              <w:rPr>
                <w:rFonts w:hint="eastAsia" w:ascii="宋体" w:hAnsi="宋体" w:eastAsia="宋体" w:cs="宋体"/>
                <w:kern w:val="0"/>
                <w:sz w:val="21"/>
                <w:szCs w:val="21"/>
                <w:highlight w:val="none"/>
              </w:rPr>
              <w:t>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把</w:t>
            </w:r>
          </w:p>
          <w:p w14:paraId="625DDD6F">
            <w:pPr>
              <w:numPr>
                <w:ilvl w:val="0"/>
                <w:numId w:val="0"/>
              </w:numPr>
              <w:spacing w:line="240" w:lineRule="auto"/>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血管探头（</w:t>
            </w:r>
            <w:r>
              <w:rPr>
                <w:rFonts w:hint="eastAsia" w:ascii="宋体" w:hAnsi="宋体" w:eastAsia="宋体" w:cs="宋体"/>
                <w:kern w:val="0"/>
                <w:sz w:val="21"/>
                <w:szCs w:val="21"/>
                <w:highlight w:val="none"/>
                <w:lang w:val="en-US" w:eastAsia="zh-CN"/>
              </w:rPr>
              <w:t>3.0-11.0MHZ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把</w:t>
            </w:r>
          </w:p>
          <w:p w14:paraId="4725F7BC">
            <w:pPr>
              <w:numPr>
                <w:ilvl w:val="0"/>
                <w:numId w:val="0"/>
              </w:numPr>
              <w:spacing w:line="240" w:lineRule="auto"/>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颅脑探头（</w:t>
            </w:r>
            <w:r>
              <w:rPr>
                <w:rFonts w:hint="eastAsia" w:ascii="宋体" w:hAnsi="宋体" w:eastAsia="宋体" w:cs="宋体"/>
                <w:kern w:val="0"/>
                <w:sz w:val="21"/>
                <w:szCs w:val="21"/>
                <w:highlight w:val="none"/>
                <w:lang w:val="en-US" w:eastAsia="zh-CN"/>
              </w:rPr>
              <w:t>3.0-12.0MHZ</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把</w:t>
            </w:r>
          </w:p>
        </w:tc>
      </w:tr>
      <w:tr w14:paraId="5E1C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045AE03">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37</w:t>
            </w:r>
          </w:p>
        </w:tc>
        <w:tc>
          <w:tcPr>
            <w:tcW w:w="7703" w:type="dxa"/>
            <w:noWrap w:val="0"/>
            <w:vAlign w:val="center"/>
          </w:tcPr>
          <w:p w14:paraId="085C1F18">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二维、彩色多普勒均可独立变频；</w:t>
            </w:r>
          </w:p>
        </w:tc>
      </w:tr>
      <w:tr w14:paraId="36AB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B0A9DCC">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38</w:t>
            </w:r>
          </w:p>
        </w:tc>
        <w:tc>
          <w:tcPr>
            <w:tcW w:w="7703" w:type="dxa"/>
            <w:noWrap w:val="0"/>
            <w:vAlign w:val="center"/>
          </w:tcPr>
          <w:p w14:paraId="1D146013">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系统支持探头类型：电子扇扫、线阵、凸阵、腔内，容积，经食道</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 </w:t>
            </w:r>
          </w:p>
        </w:tc>
      </w:tr>
      <w:tr w14:paraId="0CA7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14514C6">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39</w:t>
            </w:r>
          </w:p>
        </w:tc>
        <w:tc>
          <w:tcPr>
            <w:tcW w:w="7703" w:type="dxa"/>
            <w:noWrap w:val="0"/>
            <w:vAlign w:val="center"/>
          </w:tcPr>
          <w:p w14:paraId="3562A531">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单晶体探头技术应用于凸阵，相控阵，电子矩阵探头</w:t>
            </w:r>
            <w:r>
              <w:rPr>
                <w:rFonts w:hint="eastAsia" w:ascii="宋体" w:hAnsi="宋体" w:eastAsia="宋体" w:cs="宋体"/>
                <w:bCs/>
                <w:sz w:val="21"/>
                <w:szCs w:val="21"/>
                <w:highlight w:val="none"/>
                <w:lang w:eastAsia="zh-CN"/>
              </w:rPr>
              <w:t>；</w:t>
            </w:r>
          </w:p>
        </w:tc>
      </w:tr>
      <w:tr w14:paraId="2EA7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B6B606D">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40</w:t>
            </w:r>
          </w:p>
        </w:tc>
        <w:tc>
          <w:tcPr>
            <w:tcW w:w="7703" w:type="dxa"/>
            <w:noWrap w:val="0"/>
            <w:vAlign w:val="center"/>
          </w:tcPr>
          <w:p w14:paraId="46C8CFD9">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探头扫描深度≥40cm</w:t>
            </w:r>
            <w:r>
              <w:rPr>
                <w:rFonts w:hint="eastAsia" w:ascii="宋体" w:hAnsi="宋体" w:eastAsia="宋体" w:cs="宋体"/>
                <w:bCs/>
                <w:sz w:val="21"/>
                <w:szCs w:val="21"/>
                <w:highlight w:val="none"/>
                <w:lang w:eastAsia="zh-CN"/>
              </w:rPr>
              <w:t>；</w:t>
            </w:r>
          </w:p>
        </w:tc>
      </w:tr>
      <w:tr w14:paraId="098F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6C7CB8D">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41</w:t>
            </w:r>
          </w:p>
        </w:tc>
        <w:tc>
          <w:tcPr>
            <w:tcW w:w="7703" w:type="dxa"/>
            <w:noWrap w:val="0"/>
            <w:vAlign w:val="center"/>
          </w:tcPr>
          <w:p w14:paraId="437CC59B">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成像速度：相控阵探头，85°角</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18CM深度时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帧速度≥20帧/秒</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凸阵探头</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85°角</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18CM深度时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帧速度≥20帧/秒</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扫描线：每帧线密度≥220超声线</w:t>
            </w:r>
            <w:r>
              <w:rPr>
                <w:rFonts w:hint="eastAsia" w:ascii="宋体" w:hAnsi="宋体" w:eastAsia="宋体" w:cs="宋体"/>
                <w:bCs/>
                <w:sz w:val="21"/>
                <w:szCs w:val="21"/>
                <w:highlight w:val="none"/>
                <w:lang w:eastAsia="zh-CN"/>
              </w:rPr>
              <w:t>；</w:t>
            </w:r>
          </w:p>
        </w:tc>
      </w:tr>
      <w:tr w14:paraId="7898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56542AA">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42</w:t>
            </w:r>
          </w:p>
        </w:tc>
        <w:tc>
          <w:tcPr>
            <w:tcW w:w="7703" w:type="dxa"/>
            <w:noWrap w:val="0"/>
            <w:vAlign w:val="center"/>
          </w:tcPr>
          <w:p w14:paraId="3A67D8E8">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增益调节：TGC增益补偿≥8 段，LGC侧向增益补偿≥6段，B/M 可独立调节</w:t>
            </w:r>
            <w:r>
              <w:rPr>
                <w:rFonts w:hint="eastAsia" w:ascii="宋体" w:hAnsi="宋体" w:eastAsia="宋体" w:cs="宋体"/>
                <w:bCs/>
                <w:sz w:val="21"/>
                <w:szCs w:val="21"/>
                <w:highlight w:val="none"/>
                <w:lang w:eastAsia="zh-CN"/>
              </w:rPr>
              <w:t>；</w:t>
            </w:r>
          </w:p>
        </w:tc>
      </w:tr>
      <w:tr w14:paraId="22DD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AE061F0">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43</w:t>
            </w:r>
          </w:p>
        </w:tc>
        <w:tc>
          <w:tcPr>
            <w:tcW w:w="7703" w:type="dxa"/>
            <w:noWrap w:val="0"/>
            <w:vAlign w:val="center"/>
          </w:tcPr>
          <w:p w14:paraId="7BD94692">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高分辨率放大：放大时增加信息量，提高分辨率及帧率；</w:t>
            </w:r>
          </w:p>
        </w:tc>
      </w:tr>
      <w:tr w14:paraId="33F1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7D3CE29">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44</w:t>
            </w:r>
          </w:p>
        </w:tc>
        <w:tc>
          <w:tcPr>
            <w:tcW w:w="7703" w:type="dxa"/>
            <w:noWrap w:val="0"/>
            <w:vAlign w:val="center"/>
          </w:tcPr>
          <w:p w14:paraId="07A9F874">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声束聚焦：发射及接收全程连续聚焦;</w:t>
            </w:r>
          </w:p>
        </w:tc>
      </w:tr>
      <w:tr w14:paraId="3E05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977D740">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45</w:t>
            </w:r>
          </w:p>
        </w:tc>
        <w:tc>
          <w:tcPr>
            <w:tcW w:w="7703" w:type="dxa"/>
            <w:noWrap w:val="0"/>
            <w:vAlign w:val="center"/>
          </w:tcPr>
          <w:p w14:paraId="58889A67">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频谱多普勒显示模式：脉冲多普勒 (PWD)、高脉冲重复频率 (HPRF)、连续波多普勒（CW）；</w:t>
            </w:r>
          </w:p>
        </w:tc>
      </w:tr>
      <w:tr w14:paraId="4B98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52BCA6E">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46</w:t>
            </w:r>
          </w:p>
        </w:tc>
        <w:tc>
          <w:tcPr>
            <w:tcW w:w="7703" w:type="dxa"/>
            <w:noWrap w:val="0"/>
            <w:vAlign w:val="center"/>
          </w:tcPr>
          <w:p w14:paraId="6E16B716">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显示方式：B/D、M/D、D、B/CDV、B/CPA、B/CDV/PW；B/CPA/PW；B/CDV/CW；</w:t>
            </w:r>
          </w:p>
        </w:tc>
      </w:tr>
      <w:tr w14:paraId="57B3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B62B8D5">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47</w:t>
            </w:r>
          </w:p>
        </w:tc>
        <w:tc>
          <w:tcPr>
            <w:tcW w:w="7703" w:type="dxa"/>
            <w:noWrap w:val="0"/>
            <w:vAlign w:val="center"/>
          </w:tcPr>
          <w:p w14:paraId="19704D6D">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最低测量速度：≤1mm/s(非噪音信号)；</w:t>
            </w:r>
          </w:p>
        </w:tc>
      </w:tr>
      <w:tr w14:paraId="14D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D529E28">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48</w:t>
            </w:r>
          </w:p>
        </w:tc>
        <w:tc>
          <w:tcPr>
            <w:tcW w:w="7703" w:type="dxa"/>
            <w:noWrap w:val="0"/>
            <w:vAlign w:val="center"/>
          </w:tcPr>
          <w:p w14:paraId="7B8EC314">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取样宽度及位置范围：宽度0.5mm至20mm多级可调；</w:t>
            </w:r>
          </w:p>
        </w:tc>
      </w:tr>
      <w:tr w14:paraId="131E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E49787D">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49</w:t>
            </w:r>
          </w:p>
        </w:tc>
        <w:tc>
          <w:tcPr>
            <w:tcW w:w="7703" w:type="dxa"/>
            <w:noWrap w:val="0"/>
            <w:vAlign w:val="center"/>
          </w:tcPr>
          <w:p w14:paraId="78F7A18A">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实时自动包络频谱并完成频谱测量计算</w:t>
            </w:r>
            <w:r>
              <w:rPr>
                <w:rFonts w:hint="eastAsia" w:ascii="宋体" w:hAnsi="宋体" w:eastAsia="宋体" w:cs="宋体"/>
                <w:bCs/>
                <w:sz w:val="21"/>
                <w:szCs w:val="21"/>
                <w:highlight w:val="none"/>
                <w:lang w:eastAsia="zh-CN"/>
              </w:rPr>
              <w:t>；</w:t>
            </w:r>
          </w:p>
        </w:tc>
      </w:tr>
      <w:tr w14:paraId="5B2D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24D1658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50</w:t>
            </w:r>
          </w:p>
        </w:tc>
        <w:tc>
          <w:tcPr>
            <w:tcW w:w="7703" w:type="dxa"/>
            <w:noWrap w:val="0"/>
            <w:vAlign w:val="center"/>
          </w:tcPr>
          <w:p w14:paraId="7AA77F3F">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彩色多普勒显示方式：速度图 (CDV)、能量图 (CPA)、方向性能量图（DCPA）</w:t>
            </w:r>
            <w:r>
              <w:rPr>
                <w:rFonts w:hint="eastAsia" w:ascii="宋体" w:hAnsi="宋体" w:eastAsia="宋体" w:cs="宋体"/>
                <w:bCs/>
                <w:sz w:val="21"/>
                <w:szCs w:val="21"/>
                <w:highlight w:val="none"/>
                <w:lang w:eastAsia="zh-CN"/>
              </w:rPr>
              <w:t>；</w:t>
            </w:r>
          </w:p>
        </w:tc>
      </w:tr>
      <w:tr w14:paraId="0B18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2CBFF4C">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51</w:t>
            </w:r>
          </w:p>
        </w:tc>
        <w:tc>
          <w:tcPr>
            <w:tcW w:w="7703" w:type="dxa"/>
            <w:noWrap w:val="0"/>
            <w:vAlign w:val="center"/>
          </w:tcPr>
          <w:p w14:paraId="662937C9">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具有双同步/三同步显示(B/D/CDV)</w:t>
            </w:r>
            <w:r>
              <w:rPr>
                <w:rFonts w:hint="eastAsia" w:ascii="宋体" w:hAnsi="宋体" w:eastAsia="宋体" w:cs="宋体"/>
                <w:bCs/>
                <w:sz w:val="21"/>
                <w:szCs w:val="21"/>
                <w:highlight w:val="none"/>
                <w:lang w:eastAsia="zh-CN"/>
              </w:rPr>
              <w:t>；</w:t>
            </w:r>
          </w:p>
        </w:tc>
      </w:tr>
      <w:tr w14:paraId="11E5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F5207B1">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52</w:t>
            </w:r>
          </w:p>
        </w:tc>
        <w:tc>
          <w:tcPr>
            <w:tcW w:w="7703" w:type="dxa"/>
            <w:noWrap w:val="0"/>
            <w:vAlign w:val="center"/>
          </w:tcPr>
          <w:p w14:paraId="2389B9B9">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彩色显示速度：最低平均血流显示速度≤5mm/s（非噪声信号）</w:t>
            </w:r>
            <w:r>
              <w:rPr>
                <w:rFonts w:hint="eastAsia" w:ascii="宋体" w:hAnsi="宋体" w:eastAsia="宋体" w:cs="宋体"/>
                <w:bCs/>
                <w:sz w:val="21"/>
                <w:szCs w:val="21"/>
                <w:highlight w:val="none"/>
                <w:lang w:eastAsia="zh-CN"/>
              </w:rPr>
              <w:t>；</w:t>
            </w:r>
          </w:p>
        </w:tc>
      </w:tr>
      <w:tr w14:paraId="033C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BB90274">
            <w:pPr>
              <w:spacing w:line="240" w:lineRule="auto"/>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53</w:t>
            </w:r>
          </w:p>
        </w:tc>
        <w:tc>
          <w:tcPr>
            <w:tcW w:w="7703" w:type="dxa"/>
            <w:noWrap w:val="0"/>
            <w:vAlign w:val="center"/>
          </w:tcPr>
          <w:p w14:paraId="4FFBBF55">
            <w:pPr>
              <w:spacing w:line="240" w:lineRule="auto"/>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显示控制：零位移动、黑白与彩色比较、彩色对比</w:t>
            </w:r>
            <w:r>
              <w:rPr>
                <w:rFonts w:hint="eastAsia" w:ascii="宋体" w:hAnsi="宋体" w:eastAsia="宋体" w:cs="宋体"/>
                <w:bCs/>
                <w:sz w:val="21"/>
                <w:szCs w:val="21"/>
                <w:highlight w:val="none"/>
                <w:lang w:eastAsia="zh-CN"/>
              </w:rPr>
              <w:t>；</w:t>
            </w:r>
          </w:p>
        </w:tc>
      </w:tr>
      <w:tr w14:paraId="491A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7012DDE3">
            <w:pPr>
              <w:pStyle w:val="29"/>
              <w:spacing w:line="240" w:lineRule="auto"/>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54</w:t>
            </w:r>
          </w:p>
        </w:tc>
        <w:tc>
          <w:tcPr>
            <w:tcW w:w="7703" w:type="dxa"/>
            <w:noWrap w:val="0"/>
            <w:vAlign w:val="center"/>
          </w:tcPr>
          <w:p w14:paraId="72693063">
            <w:pPr>
              <w:pStyle w:val="29"/>
              <w:spacing w:line="240" w:lineRule="auto"/>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显示位置调整：线阵扫描感兴趣的图像范围：-20°～+20°；</w:t>
            </w:r>
          </w:p>
        </w:tc>
      </w:tr>
      <w:tr w14:paraId="2B00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A885E1A">
            <w:pPr>
              <w:pStyle w:val="29"/>
              <w:spacing w:line="240" w:lineRule="auto"/>
              <w:ind w:left="0" w:leftChars="0" w:firstLine="0" w:firstLineChars="0"/>
              <w:jc w:val="both"/>
              <w:rPr>
                <w:rFonts w:hint="eastAsia" w:ascii="宋体" w:hAnsi="宋体" w:eastAsia="宋体" w:cs="宋体"/>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Cs/>
                <w:sz w:val="21"/>
                <w:szCs w:val="21"/>
                <w:highlight w:val="none"/>
                <w:lang w:val="en-US" w:eastAsia="zh-CN"/>
              </w:rPr>
              <w:t>55</w:t>
            </w:r>
          </w:p>
        </w:tc>
        <w:tc>
          <w:tcPr>
            <w:tcW w:w="7703" w:type="dxa"/>
            <w:noWrap w:val="0"/>
            <w:vAlign w:val="center"/>
          </w:tcPr>
          <w:p w14:paraId="4B298359">
            <w:pPr>
              <w:pStyle w:val="29"/>
              <w:spacing w:line="240" w:lineRule="auto"/>
              <w:ind w:left="0" w:leftChars="0" w:firstLine="0" w:firstLine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提供超声专用检查床、检查椅1套；能适用医院PACS系统的工作站及彩色喷墨打印机1套；（2台主机至少各配备个一套）</w:t>
            </w:r>
          </w:p>
        </w:tc>
      </w:tr>
      <w:tr w14:paraId="79A1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2817F8A">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color w:val="000000"/>
                <w:sz w:val="21"/>
                <w:szCs w:val="21"/>
                <w:highlight w:val="none"/>
                <w:lang w:val="en-US" w:eastAsia="zh-CN"/>
              </w:rPr>
              <w:t>3</w:t>
            </w:r>
          </w:p>
        </w:tc>
        <w:tc>
          <w:tcPr>
            <w:tcW w:w="7703" w:type="dxa"/>
            <w:noWrap w:val="0"/>
            <w:vAlign w:val="center"/>
          </w:tcPr>
          <w:p w14:paraId="2F078D42">
            <w:pPr>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rPr>
              <w:t>售后要求</w:t>
            </w:r>
          </w:p>
        </w:tc>
      </w:tr>
      <w:tr w14:paraId="2427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2E663B8">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w:t>
            </w:r>
          </w:p>
        </w:tc>
        <w:tc>
          <w:tcPr>
            <w:tcW w:w="7703" w:type="dxa"/>
            <w:noWrap w:val="0"/>
            <w:vAlign w:val="center"/>
          </w:tcPr>
          <w:p w14:paraId="6882C9DC">
            <w:pPr>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提供设备装箱单及本次投标装备配置清单；</w:t>
            </w:r>
          </w:p>
        </w:tc>
      </w:tr>
      <w:tr w14:paraId="4282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1478630B">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3.2</w:t>
            </w:r>
          </w:p>
        </w:tc>
        <w:tc>
          <w:tcPr>
            <w:tcW w:w="7703" w:type="dxa"/>
            <w:noWrap w:val="0"/>
            <w:vAlign w:val="center"/>
          </w:tcPr>
          <w:p w14:paraId="4CD46108">
            <w:pPr>
              <w:pStyle w:val="29"/>
              <w:spacing w:line="240" w:lineRule="auto"/>
              <w:ind w:left="0" w:leftChars="0" w:firstLine="0" w:firstLineChars="0"/>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提供设备附件分项报价；</w:t>
            </w:r>
          </w:p>
        </w:tc>
      </w:tr>
      <w:tr w14:paraId="53E2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42519214">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w:t>
            </w:r>
          </w:p>
        </w:tc>
        <w:tc>
          <w:tcPr>
            <w:tcW w:w="7703" w:type="dxa"/>
            <w:noWrap w:val="0"/>
            <w:vAlign w:val="center"/>
          </w:tcPr>
          <w:p w14:paraId="1C6EC44E">
            <w:pPr>
              <w:pStyle w:val="29"/>
              <w:spacing w:line="240" w:lineRule="auto"/>
              <w:ind w:left="0" w:leftChars="0" w:firstLine="0" w:firstLineChars="0"/>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提供耗材及易损件报价；</w:t>
            </w:r>
          </w:p>
        </w:tc>
      </w:tr>
      <w:tr w14:paraId="4B32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EE46568">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3.4</w:t>
            </w:r>
          </w:p>
        </w:tc>
        <w:tc>
          <w:tcPr>
            <w:tcW w:w="7703" w:type="dxa"/>
            <w:noWrap w:val="0"/>
            <w:vAlign w:val="center"/>
          </w:tcPr>
          <w:p w14:paraId="16B913CA">
            <w:pPr>
              <w:pStyle w:val="29"/>
              <w:spacing w:line="240" w:lineRule="auto"/>
              <w:ind w:left="0" w:leftChars="0" w:firstLine="0" w:firstLineChars="0"/>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产品全套质保≥3年，全部软件终生免费升级；</w:t>
            </w:r>
          </w:p>
        </w:tc>
      </w:tr>
      <w:tr w14:paraId="227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582BDD4C">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3.5</w:t>
            </w:r>
          </w:p>
        </w:tc>
        <w:tc>
          <w:tcPr>
            <w:tcW w:w="7703" w:type="dxa"/>
            <w:noWrap w:val="0"/>
            <w:vAlign w:val="center"/>
          </w:tcPr>
          <w:p w14:paraId="0159E2B1">
            <w:pPr>
              <w:spacing w:line="240" w:lineRule="auto"/>
              <w:jc w:val="both"/>
              <w:rPr>
                <w:rFonts w:hint="eastAsia" w:ascii="宋体" w:hAnsi="宋体" w:eastAsia="宋体" w:cs="宋体"/>
                <w:bCs/>
                <w:sz w:val="21"/>
                <w:szCs w:val="21"/>
                <w:highlight w:val="none"/>
                <w:lang w:val="en-US" w:eastAsia="zh-CN"/>
              </w:rPr>
            </w:pPr>
            <w:r>
              <w:rPr>
                <w:rFonts w:hint="eastAsia" w:ascii="宋体" w:hAnsi="宋体" w:cs="宋体"/>
                <w:bCs/>
                <w:sz w:val="22"/>
                <w:szCs w:val="22"/>
                <w:highlight w:val="none"/>
                <w:lang w:eastAsia="zh-CN"/>
              </w:rPr>
              <w:t>免费维修或更换缺陷的货物或部件期限：设备出现故障时，卖方必须在接到故障报告后在2小时内维修工程师到达现场,排除故障的期限不得超过12小时，否则卖方需提供备用机供临床使用；</w:t>
            </w:r>
          </w:p>
        </w:tc>
      </w:tr>
      <w:tr w14:paraId="1EC4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63E542B">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3.6</w:t>
            </w:r>
          </w:p>
        </w:tc>
        <w:tc>
          <w:tcPr>
            <w:tcW w:w="7703" w:type="dxa"/>
            <w:noWrap w:val="0"/>
            <w:vAlign w:val="center"/>
          </w:tcPr>
          <w:p w14:paraId="2064F962">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提供操作手册及设备操作规程；</w:t>
            </w:r>
          </w:p>
        </w:tc>
      </w:tr>
      <w:tr w14:paraId="2692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4A2EFF0">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3.7</w:t>
            </w:r>
          </w:p>
        </w:tc>
        <w:tc>
          <w:tcPr>
            <w:tcW w:w="7703" w:type="dxa"/>
            <w:noWrap w:val="0"/>
            <w:vAlign w:val="center"/>
          </w:tcPr>
          <w:p w14:paraId="58BA8ACA">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提供该设备非标的电源连接线及其他外接转换口；</w:t>
            </w:r>
          </w:p>
        </w:tc>
      </w:tr>
      <w:tr w14:paraId="279C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0F3CC16A">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3.8</w:t>
            </w:r>
          </w:p>
        </w:tc>
        <w:tc>
          <w:tcPr>
            <w:tcW w:w="7703" w:type="dxa"/>
            <w:noWrap w:val="0"/>
            <w:vAlign w:val="center"/>
          </w:tcPr>
          <w:p w14:paraId="56BF68A7">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保修期内，维修响应承诺及维修期间应急预案；</w:t>
            </w:r>
          </w:p>
        </w:tc>
      </w:tr>
      <w:tr w14:paraId="02F2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36A3E57B">
            <w:pPr>
              <w:pStyle w:val="29"/>
              <w:spacing w:line="240" w:lineRule="auto"/>
              <w:ind w:left="0" w:leftChars="0" w:firstLine="0" w:firstLineChars="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3.9</w:t>
            </w:r>
          </w:p>
        </w:tc>
        <w:tc>
          <w:tcPr>
            <w:tcW w:w="7703" w:type="dxa"/>
            <w:noWrap w:val="0"/>
            <w:vAlign w:val="center"/>
          </w:tcPr>
          <w:p w14:paraId="11478775">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提供维修指南、维修专用工具、软件备份、故障代码表、备件清单、零部件、维修密码等维护维修必需的材料和信息。</w:t>
            </w:r>
          </w:p>
        </w:tc>
      </w:tr>
      <w:tr w14:paraId="2AA3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2332886B">
            <w:pPr>
              <w:pStyle w:val="29"/>
              <w:spacing w:line="240" w:lineRule="auto"/>
              <w:ind w:left="0" w:leftChars="0" w:firstLine="0" w:firstLineChars="0"/>
              <w:jc w:val="both"/>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3.10</w:t>
            </w:r>
          </w:p>
        </w:tc>
        <w:tc>
          <w:tcPr>
            <w:tcW w:w="7703" w:type="dxa"/>
            <w:noWrap w:val="0"/>
            <w:vAlign w:val="center"/>
          </w:tcPr>
          <w:p w14:paraId="071E626D">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质保期内&gt;4次/年巡检，&gt;2次/年维保，并提供报告</w:t>
            </w:r>
            <w:r>
              <w:rPr>
                <w:rFonts w:hint="eastAsia" w:ascii="宋体" w:hAnsi="宋体" w:eastAsia="宋体" w:cs="宋体"/>
                <w:bCs/>
                <w:sz w:val="21"/>
                <w:szCs w:val="21"/>
                <w:highlight w:val="none"/>
                <w:lang w:eastAsia="zh-CN"/>
              </w:rPr>
              <w:t>；</w:t>
            </w:r>
          </w:p>
        </w:tc>
      </w:tr>
      <w:tr w14:paraId="4B4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 w:type="dxa"/>
            <w:noWrap w:val="0"/>
            <w:vAlign w:val="center"/>
          </w:tcPr>
          <w:p w14:paraId="6E0BB34F">
            <w:pPr>
              <w:pStyle w:val="29"/>
              <w:spacing w:line="240" w:lineRule="auto"/>
              <w:ind w:left="0" w:leftChars="0" w:firstLine="0" w:firstLineChars="0"/>
              <w:jc w:val="both"/>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3.11</w:t>
            </w:r>
          </w:p>
        </w:tc>
        <w:tc>
          <w:tcPr>
            <w:tcW w:w="7703" w:type="dxa"/>
            <w:noWrap w:val="0"/>
            <w:vAlign w:val="center"/>
          </w:tcPr>
          <w:p w14:paraId="54EC10A7">
            <w:pPr>
              <w:spacing w:line="24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维修时长&gt;48小时需及时提供备用机，满足临床需求。</w:t>
            </w:r>
          </w:p>
        </w:tc>
      </w:tr>
    </w:tbl>
    <w:p w14:paraId="5D1AEB4D">
      <w:pPr>
        <w:bidi w:val="0"/>
      </w:pPr>
    </w:p>
    <w:p w14:paraId="642ACFD7">
      <w:pPr>
        <w:bidi w:val="0"/>
      </w:pPr>
    </w:p>
    <w:p w14:paraId="64BEAD51">
      <w:pPr>
        <w:bidi w:val="0"/>
      </w:pPr>
    </w:p>
    <w:p w14:paraId="0C08CEAF">
      <w:pPr>
        <w:bidi w:val="0"/>
      </w:pPr>
    </w:p>
    <w:p w14:paraId="05D796BA">
      <w:pPr>
        <w:bidi w:val="0"/>
      </w:pPr>
    </w:p>
    <w:p w14:paraId="765D1AC1">
      <w:pPr>
        <w:bidi w:val="0"/>
      </w:pPr>
    </w:p>
    <w:p w14:paraId="561CC610">
      <w:pPr>
        <w:bidi w:val="0"/>
      </w:pPr>
    </w:p>
    <w:p w14:paraId="160B42EF">
      <w:pPr>
        <w:bidi w:val="0"/>
      </w:pPr>
    </w:p>
    <w:p w14:paraId="2DABD45C">
      <w:pPr>
        <w:bidi w:val="0"/>
      </w:pPr>
    </w:p>
    <w:p w14:paraId="2DBD1814">
      <w:pPr>
        <w:bidi w:val="0"/>
      </w:pPr>
    </w:p>
    <w:p w14:paraId="119B2D83">
      <w:pPr>
        <w:bidi w:val="0"/>
      </w:pPr>
    </w:p>
    <w:p w14:paraId="49429985">
      <w:pPr>
        <w:bidi w:val="0"/>
      </w:pPr>
    </w:p>
    <w:p w14:paraId="5FC28711">
      <w:pPr>
        <w:bidi w:val="0"/>
      </w:pPr>
    </w:p>
    <w:p w14:paraId="047507F2">
      <w:pPr>
        <w:bidi w:val="0"/>
      </w:pPr>
    </w:p>
    <w:p w14:paraId="7BF3F938">
      <w:pPr>
        <w:bidi w:val="0"/>
      </w:pPr>
    </w:p>
    <w:p w14:paraId="44BAC6F4">
      <w:pPr>
        <w:bidi w:val="0"/>
      </w:pPr>
    </w:p>
    <w:p w14:paraId="7F7D757C">
      <w:pPr>
        <w:bidi w:val="0"/>
      </w:pPr>
    </w:p>
    <w:p w14:paraId="79AA95DF">
      <w:pPr>
        <w:bidi w:val="0"/>
      </w:pPr>
    </w:p>
    <w:p w14:paraId="687B1723">
      <w:pPr>
        <w:bidi w:val="0"/>
      </w:pPr>
    </w:p>
    <w:p w14:paraId="2B5F04C9">
      <w:pPr>
        <w:bidi w:val="0"/>
      </w:pPr>
    </w:p>
    <w:p w14:paraId="2BA4A65E">
      <w:pPr>
        <w:bidi w:val="0"/>
      </w:pPr>
    </w:p>
    <w:p w14:paraId="2F53341A">
      <w:pPr>
        <w:bidi w:val="0"/>
      </w:pPr>
    </w:p>
    <w:p w14:paraId="4A40AC8A">
      <w:pPr>
        <w:bidi w:val="0"/>
      </w:pPr>
    </w:p>
    <w:p w14:paraId="7E6E668A">
      <w:pPr>
        <w:bidi w:val="0"/>
      </w:pPr>
    </w:p>
    <w:p w14:paraId="013E8071">
      <w:pPr>
        <w:bidi w:val="0"/>
      </w:pPr>
    </w:p>
    <w:p w14:paraId="19CE881E">
      <w:pPr>
        <w:bidi w:val="0"/>
      </w:pPr>
    </w:p>
    <w:p w14:paraId="651C08BB">
      <w:pPr>
        <w:bidi w:val="0"/>
      </w:pPr>
    </w:p>
    <w:p w14:paraId="30513BC0">
      <w:pPr>
        <w:bidi w:val="0"/>
      </w:pPr>
    </w:p>
    <w:p w14:paraId="53FA2586">
      <w:pPr>
        <w:bidi w:val="0"/>
      </w:pPr>
    </w:p>
    <w:p w14:paraId="544AE46B">
      <w:pPr>
        <w:bidi w:val="0"/>
      </w:pPr>
    </w:p>
    <w:p w14:paraId="49B08F7B">
      <w:pPr>
        <w:bidi w:val="0"/>
      </w:pPr>
    </w:p>
    <w:p w14:paraId="080A6531">
      <w:pPr>
        <w:bidi w:val="0"/>
      </w:pPr>
    </w:p>
    <w:p w14:paraId="659E4D65">
      <w:pPr>
        <w:bidi w:val="0"/>
      </w:pPr>
    </w:p>
    <w:p w14:paraId="418B7A70">
      <w:pPr>
        <w:bidi w:val="0"/>
      </w:pPr>
    </w:p>
    <w:p w14:paraId="60188418">
      <w:pPr>
        <w:bidi w:val="0"/>
      </w:pPr>
    </w:p>
    <w:p w14:paraId="7D6207EE">
      <w:pPr>
        <w:bidi w:val="0"/>
      </w:pPr>
    </w:p>
    <w:p w14:paraId="71050C93">
      <w:pPr>
        <w:bidi w:val="0"/>
      </w:pPr>
    </w:p>
    <w:p w14:paraId="0418D367">
      <w:pPr>
        <w:bidi w:val="0"/>
      </w:pPr>
    </w:p>
    <w:p w14:paraId="6CCDE794">
      <w:pPr>
        <w:bidi w:val="0"/>
      </w:pPr>
    </w:p>
    <w:p w14:paraId="4C9D2E98">
      <w:pPr>
        <w:numPr>
          <w:ilvl w:val="0"/>
          <w:numId w:val="0"/>
        </w:numPr>
        <w:spacing w:line="360" w:lineRule="auto"/>
        <w:jc w:val="center"/>
        <w:outlineLvl w:val="0"/>
        <w:rPr>
          <w:rFonts w:hint="eastAsia" w:ascii="宋体" w:hAnsi="宋体"/>
          <w:b/>
          <w:kern w:val="44"/>
          <w:sz w:val="32"/>
          <w:lang w:val="en-US" w:eastAsia="zh-CN"/>
        </w:rPr>
      </w:pPr>
      <w:bookmarkStart w:id="73" w:name="_Toc18418"/>
      <w:bookmarkStart w:id="74" w:name="_Toc23718"/>
      <w:bookmarkStart w:id="75" w:name="_Toc24974"/>
      <w:bookmarkStart w:id="76" w:name="_Toc5836"/>
      <w:r>
        <w:rPr>
          <w:rFonts w:hint="eastAsia" w:ascii="宋体" w:hAnsi="宋体"/>
          <w:b/>
          <w:kern w:val="44"/>
          <w:sz w:val="32"/>
          <w:lang w:val="en-US" w:eastAsia="zh-CN"/>
        </w:rPr>
        <w:t>第五章  合同条款</w:t>
      </w:r>
      <w:bookmarkEnd w:id="73"/>
      <w:bookmarkEnd w:id="74"/>
      <w:bookmarkEnd w:id="75"/>
      <w:bookmarkEnd w:id="76"/>
    </w:p>
    <w:p w14:paraId="53D8D8AA">
      <w:pPr>
        <w:spacing w:line="360" w:lineRule="auto"/>
        <w:jc w:val="center"/>
        <w:rPr>
          <w:rFonts w:hint="eastAsia" w:ascii="宋体" w:hAnsi="宋体" w:eastAsia="宋体" w:cs="宋体"/>
          <w:b/>
          <w:color w:val="auto"/>
          <w:sz w:val="32"/>
          <w:szCs w:val="32"/>
          <w:highlight w:val="none"/>
        </w:rPr>
      </w:pPr>
      <w:bookmarkStart w:id="77" w:name="_Toc3077"/>
      <w:bookmarkStart w:id="78" w:name="_Toc9262"/>
      <w:bookmarkStart w:id="79" w:name="_Toc12512"/>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合同通用条款</w:t>
      </w:r>
    </w:p>
    <w:p w14:paraId="54A49521">
      <w:pPr>
        <w:jc w:val="center"/>
        <w:rPr>
          <w:rFonts w:hint="eastAsia" w:ascii="仿宋" w:hAnsi="仿宋" w:eastAsia="仿宋" w:cs="仿宋"/>
          <w:color w:val="auto"/>
          <w:sz w:val="24"/>
          <w:szCs w:val="24"/>
          <w:highlight w:val="none"/>
        </w:rPr>
      </w:pPr>
    </w:p>
    <w:p w14:paraId="7902A1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1.定义</w:t>
      </w:r>
    </w:p>
    <w:p w14:paraId="03C076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14:paraId="19C641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1）“合同”系指买卖双方签署的、合同格式中载明的买卖双方所达成的协议,包括所有的附件、附录和上述文件所提到的构成合同的所有文件。</w:t>
      </w:r>
    </w:p>
    <w:p w14:paraId="2113A1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2）“合同价”系指根据本合同规定，卖方在正确地完全履行合同义务后买方应支付给卖方的价格。</w:t>
      </w:r>
    </w:p>
    <w:p w14:paraId="385A1F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3）“货物”系指卖方根据合同规定，须向买方提供的一切材料、设备、机械、仪表、备件、工具和其它材料。</w:t>
      </w:r>
    </w:p>
    <w:p w14:paraId="7FA2F9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4）“服务”系指根据合同规定，卖方承担与供货有关的服务。如运输、保险以及其它的伴随服务；例如安装、调试、提供技术援助、培训和合同中规定的卖方应承担的其它义务。</w:t>
      </w:r>
    </w:p>
    <w:p w14:paraId="05FCD0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5）“合同条款”系指本合同条款。</w:t>
      </w:r>
    </w:p>
    <w:p w14:paraId="273EAE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6）“买方”系指在合同专用条款中指明的购买货物和服务的单位。</w:t>
      </w:r>
    </w:p>
    <w:p w14:paraId="47D5D1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7）“卖方”系指签署本合同，提供本合同项下货物和服务的单位。</w:t>
      </w:r>
    </w:p>
    <w:p w14:paraId="343F9B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8）“项目现场”系指本合同(包括附件)指明的最终交货及安装、培训、使用地点。</w:t>
      </w:r>
    </w:p>
    <w:p w14:paraId="2787EE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9）“天”指日历天数。</w:t>
      </w:r>
    </w:p>
    <w:p w14:paraId="391847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2.技术规格</w:t>
      </w:r>
    </w:p>
    <w:p w14:paraId="41E54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2.1卖方交付的货物的技术规格及型号应与本合同所指明的技术规格及型号(包括合同附件)相一致。</w:t>
      </w:r>
    </w:p>
    <w:p w14:paraId="3B082E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除技术规格另有规定外,计量单位应该使用公制。</w:t>
      </w:r>
    </w:p>
    <w:p w14:paraId="7F574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3.专利权</w:t>
      </w:r>
    </w:p>
    <w:p w14:paraId="1B1535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卖方应保证买方在使用该货物或其任何一部分时免受第三方提出侵犯其专利权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商标权或工业设计权的起诉。</w:t>
      </w:r>
    </w:p>
    <w:p w14:paraId="4CD07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eastAsia="zh-CN"/>
        </w:rPr>
        <w:t>交付地点</w:t>
      </w:r>
      <w:r>
        <w:rPr>
          <w:rFonts w:hint="eastAsia" w:ascii="宋体" w:hAnsi="宋体" w:eastAsia="宋体" w:cs="宋体"/>
          <w:b/>
          <w:color w:val="auto"/>
          <w:sz w:val="21"/>
          <w:szCs w:val="21"/>
          <w:highlight w:val="none"/>
        </w:rPr>
        <w:t>和</w:t>
      </w:r>
      <w:r>
        <w:rPr>
          <w:rFonts w:hint="eastAsia" w:ascii="宋体" w:hAnsi="宋体" w:cs="宋体"/>
          <w:b/>
          <w:color w:val="auto"/>
          <w:sz w:val="21"/>
          <w:szCs w:val="21"/>
          <w:highlight w:val="none"/>
          <w:lang w:eastAsia="zh-CN"/>
        </w:rPr>
        <w:t>交付时间</w:t>
      </w:r>
    </w:p>
    <w:p w14:paraId="6ACD3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见合同专用条款。</w:t>
      </w:r>
    </w:p>
    <w:p w14:paraId="6EC2B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5.包装要求和装运条件</w:t>
      </w:r>
    </w:p>
    <w:p w14:paraId="6597C2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5.1除合同另有规定外，卖方提供的全部货物，均应按标准保护措施进行包装。这类包装应适应于远距离运输、防潮、防震、防锈和防野蛮装卸，以确保货物安全无损运抵项目现场。</w:t>
      </w:r>
    </w:p>
    <w:p w14:paraId="0B9E79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5.2每一个包装箱内应附一份详细装箱单和质量合格证。</w:t>
      </w:r>
    </w:p>
    <w:p w14:paraId="67F2C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5.3卖方负责安排货物到达</w:t>
      </w: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的一切运输，并承担运输费用。</w:t>
      </w:r>
    </w:p>
    <w:p w14:paraId="1BE08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5.4卖方装运的货物不应超过合同规定的数量或重量。否则，卖方应对因超数量或重量而产生的一切后果负责。</w:t>
      </w:r>
    </w:p>
    <w:p w14:paraId="72441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6.保险</w:t>
      </w:r>
    </w:p>
    <w:p w14:paraId="67B3B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6.1保险范围应包括卖方装运的全部货物；由卖方办理货物在运抵目的港/项目现场途中的保险,保险应以人民币按照发票金额的110%办理“一切险”。</w:t>
      </w:r>
    </w:p>
    <w:p w14:paraId="28E13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7.付款</w:t>
      </w:r>
    </w:p>
    <w:p w14:paraId="3026C2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7.1本合同以人民币付款。</w:t>
      </w:r>
    </w:p>
    <w:p w14:paraId="62629E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7.2卖方应按照双方签订的合同规定交货,货物由买方验收合格并出具验收书后办理结算。货物发票交买方。</w:t>
      </w:r>
    </w:p>
    <w:p w14:paraId="17656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7.3付款计划见合同附件。</w:t>
      </w:r>
    </w:p>
    <w:p w14:paraId="50CDB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8.伴随服务</w:t>
      </w:r>
    </w:p>
    <w:p w14:paraId="4A9A9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8.1卖方应随同每套货物提供相应的每一套设备和仪器的中文的技术文件。例如：产品目录、图纸、操作手册、使用说明、维护手册或服务指南等。</w:t>
      </w:r>
    </w:p>
    <w:p w14:paraId="0DEF2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8.2对于合同附件中有要求的货物，卖方还应提供下列服务：</w:t>
      </w:r>
    </w:p>
    <w:p w14:paraId="2A0AF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1）货物的现场安装、调试和启动监督；</w:t>
      </w:r>
    </w:p>
    <w:p w14:paraId="7BEB0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2）提供货物组装和维修所需的工具，提供货物调试所需的试剂、耗材等</w:t>
      </w:r>
    </w:p>
    <w:p w14:paraId="2B9FD9AB">
      <w:pPr>
        <w:keepNext w:val="0"/>
        <w:keepLines w:val="0"/>
        <w:pageBreakBefore w:val="0"/>
        <w:widowControl w:val="0"/>
        <w:kinsoku/>
        <w:wordWrap/>
        <w:overflowPunct/>
        <w:topLinePunct w:val="0"/>
        <w:autoSpaceDE/>
        <w:autoSpaceDN/>
        <w:bidi w:val="0"/>
        <w:adjustRightInd/>
        <w:snapToGrid/>
        <w:spacing w:line="360" w:lineRule="auto"/>
        <w:ind w:left="1"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3）在双方商定的一定期限内对所供货物实施运行监督、维修，但前提条件是该服务并不能免除卖方在质量保证期应承担的义务。</w:t>
      </w:r>
    </w:p>
    <w:p w14:paraId="7EE9E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4）在厂家或在项目现场就货物的安装、启动、运营、维护对买方人员进行培训。</w:t>
      </w:r>
    </w:p>
    <w:p w14:paraId="7FAB6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8.3伴随服务的费用已含在合同价中，不单独进行支付。</w:t>
      </w:r>
    </w:p>
    <w:p w14:paraId="259FA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9.质量保证及索赔</w:t>
      </w:r>
    </w:p>
    <w:p w14:paraId="66DDE4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卖方应保证所供货物是全新的、未使用过的，并完全符合合同规定的质量、规格、技术指标(包括合同附件)等要求。卖方应保证其货物在正确安装、正常使用和保养条件下，在其使用寿命内应具有满意的性能。在货物最终验收后的质量保证期内，卖方应对由于设计、工艺或材料的缺陷而产生的故障负责。质保期满后如出现此类问题亦应负责。</w:t>
      </w:r>
    </w:p>
    <w:p w14:paraId="1AA509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9.2在质量保证期内，如果货物的质量、规格、技术指标等与合同有任何一项不符，买方应尽快以书面形式向卖方提出索赔。同时应向政府采购管理部门报告。</w:t>
      </w:r>
    </w:p>
    <w:p w14:paraId="482429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9.3卖方在收到买方的通知后，应及时免费维修或更换有缺陷的货物或部件，并相应延长保修期限。具体响应时限见专用合同条款。</w:t>
      </w:r>
    </w:p>
    <w:p w14:paraId="00F26D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58379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10.检验和验收</w:t>
      </w:r>
    </w:p>
    <w:p w14:paraId="0DD64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10.1在交货前，制造商应对货物的质量、规格、数量等进行准确而全面的检验，并出具合格证。</w:t>
      </w:r>
    </w:p>
    <w:p w14:paraId="315B12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10.2货物到货后，由采购单位根据合同规定的技术、服务、安全标准要求进行验收，并出具验收书。验收书应当包括每一项技术、服务、安全标准的履约情况。</w:t>
      </w:r>
    </w:p>
    <w:p w14:paraId="10FD4D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11.卖方履约延误</w:t>
      </w:r>
    </w:p>
    <w:p w14:paraId="756D85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11.1如卖方事先未征得买方同意并得到买方的谅解而单方面延迟交货，将按违约终止合同。</w:t>
      </w:r>
    </w:p>
    <w:p w14:paraId="778640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误期赔偿金以每周0.5%计。</w:t>
      </w:r>
    </w:p>
    <w:p w14:paraId="146D6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12.违约终止合同</w:t>
      </w:r>
    </w:p>
    <w:p w14:paraId="22730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12.1在卖方违约的情况下，买方有权终止合同，并依法向卖方进行索赔。</w:t>
      </w:r>
    </w:p>
    <w:p w14:paraId="629234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13.适用法律</w:t>
      </w:r>
    </w:p>
    <w:p w14:paraId="398DD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13.1本合同应按照中华人民共和国的现行法律进行解释。</w:t>
      </w:r>
    </w:p>
    <w:p w14:paraId="55BB5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14.合同生效及其它</w:t>
      </w:r>
    </w:p>
    <w:p w14:paraId="0CCCA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14.1本合同在买卖双方签字、盖章之后生效。</w:t>
      </w:r>
    </w:p>
    <w:p w14:paraId="26CA3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14.2本合同正本一式二份，副本一式四份，均以中文书写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双方各</w:t>
      </w:r>
      <w:r>
        <w:rPr>
          <w:rFonts w:hint="eastAsia" w:ascii="宋体" w:hAnsi="宋体" w:eastAsia="宋体" w:cs="宋体"/>
          <w:color w:val="auto"/>
          <w:sz w:val="21"/>
          <w:szCs w:val="21"/>
          <w:highlight w:val="none"/>
        </w:rPr>
        <w:t>执正本一份、副本二份。</w:t>
      </w:r>
    </w:p>
    <w:p w14:paraId="3DEE3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15.合同修改</w:t>
      </w:r>
    </w:p>
    <w:p w14:paraId="52BD3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15.1本合同在执行过程中，如提出修改，由买、卖双方签署书面修改协议，并成为本合同不可分割的一部分。除此之外，本合同的条件不得有任何变化或修改。</w:t>
      </w:r>
    </w:p>
    <w:p w14:paraId="488AE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16.合同附件</w:t>
      </w:r>
    </w:p>
    <w:p w14:paraId="0F6DEC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16.1本合同所有附件是本合同不可分割的部分,与主合同具有同等法律效力。</w:t>
      </w:r>
    </w:p>
    <w:p w14:paraId="1544CCE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highlight w:val="none"/>
        </w:rPr>
        <w:br w:type="page"/>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lang w:eastAsia="zh-CN"/>
        </w:rPr>
        <w:t>合同专用条款</w:t>
      </w:r>
    </w:p>
    <w:p w14:paraId="7DFFEF79">
      <w:pPr>
        <w:rPr>
          <w:rFonts w:hint="eastAsia" w:ascii="仿宋" w:hAnsi="仿宋" w:eastAsia="仿宋" w:cs="仿宋"/>
          <w:color w:val="auto"/>
          <w:highlight w:val="none"/>
        </w:rPr>
      </w:pPr>
    </w:p>
    <w:p w14:paraId="5CBBE59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本表是对《合同通用条款》的具体补充和修改，如有矛盾，应以本表为准。</w:t>
      </w:r>
    </w:p>
    <w:tbl>
      <w:tblPr>
        <w:tblStyle w:val="21"/>
        <w:tblW w:w="84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467"/>
      </w:tblGrid>
      <w:tr w14:paraId="52D4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4CCC4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7467" w:type="dxa"/>
            <w:noWrap w:val="0"/>
            <w:vAlign w:val="center"/>
          </w:tcPr>
          <w:p w14:paraId="4025B41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106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021" w:type="dxa"/>
            <w:vMerge w:val="restart"/>
            <w:noWrap w:val="0"/>
            <w:vAlign w:val="center"/>
          </w:tcPr>
          <w:p w14:paraId="1C6B63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67" w:type="dxa"/>
            <w:noWrap w:val="0"/>
            <w:vAlign w:val="center"/>
          </w:tcPr>
          <w:p w14:paraId="48F12B93">
            <w:pPr>
              <w:spacing w:after="50" w:line="360" w:lineRule="auto"/>
              <w:jc w:val="left"/>
              <w:rPr>
                <w:rFonts w:hint="eastAsia" w:ascii="宋体" w:hAnsi="宋体" w:eastAsia="宋体" w:cs="宋体"/>
                <w:snapToGrid w:val="0"/>
                <w:color w:val="auto"/>
                <w:sz w:val="21"/>
                <w:szCs w:val="21"/>
                <w:highlight w:val="none"/>
                <w:lang w:bidi="he-IL"/>
              </w:rPr>
            </w:pPr>
            <w:r>
              <w:rPr>
                <w:rFonts w:hint="eastAsia" w:ascii="宋体" w:hAnsi="宋体" w:eastAsia="宋体" w:cs="宋体"/>
                <w:color w:val="auto"/>
                <w:sz w:val="21"/>
                <w:szCs w:val="21"/>
                <w:highlight w:val="none"/>
              </w:rPr>
              <w:t>买方名称：</w:t>
            </w:r>
            <w:r>
              <w:rPr>
                <w:rFonts w:hint="eastAsia" w:ascii="宋体" w:hAnsi="宋体" w:eastAsia="宋体" w:cs="宋体"/>
                <w:snapToGrid w:val="0"/>
                <w:color w:val="auto"/>
                <w:sz w:val="21"/>
                <w:szCs w:val="21"/>
                <w:highlight w:val="none"/>
                <w:lang w:bidi="he-IL"/>
              </w:rPr>
              <w:t>咸阳市中心医院</w:t>
            </w:r>
          </w:p>
          <w:p w14:paraId="1CE4D693">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地址：咸阳市人民东路78号</w:t>
            </w:r>
          </w:p>
        </w:tc>
      </w:tr>
      <w:tr w14:paraId="39E8D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1021" w:type="dxa"/>
            <w:vMerge w:val="continue"/>
            <w:noWrap w:val="0"/>
            <w:vAlign w:val="center"/>
          </w:tcPr>
          <w:p w14:paraId="2F543C1E">
            <w:pPr>
              <w:spacing w:line="360" w:lineRule="auto"/>
              <w:jc w:val="center"/>
              <w:rPr>
                <w:rFonts w:hint="eastAsia" w:ascii="宋体" w:hAnsi="宋体" w:eastAsia="宋体" w:cs="宋体"/>
                <w:color w:val="auto"/>
                <w:sz w:val="21"/>
                <w:szCs w:val="21"/>
                <w:highlight w:val="none"/>
              </w:rPr>
            </w:pPr>
          </w:p>
        </w:tc>
        <w:tc>
          <w:tcPr>
            <w:tcW w:w="7467" w:type="dxa"/>
            <w:noWrap w:val="0"/>
            <w:vAlign w:val="center"/>
          </w:tcPr>
          <w:p w14:paraId="21F43354">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合同定价方式：固定总价</w:t>
            </w:r>
          </w:p>
        </w:tc>
      </w:tr>
      <w:tr w14:paraId="27A2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1021" w:type="dxa"/>
            <w:noWrap w:val="0"/>
            <w:vAlign w:val="center"/>
          </w:tcPr>
          <w:p w14:paraId="388A1F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67" w:type="dxa"/>
            <w:noWrap w:val="0"/>
            <w:vAlign w:val="center"/>
          </w:tcPr>
          <w:p w14:paraId="1394FC31">
            <w:pPr>
              <w:spacing w:after="50"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交付时间：签订采购合同后，60天到货。</w:t>
            </w:r>
          </w:p>
          <w:p w14:paraId="6F1C3526">
            <w:pPr>
              <w:spacing w:after="50" w:line="360" w:lineRule="auto"/>
              <w:jc w:val="left"/>
              <w:rPr>
                <w:rFonts w:hint="eastAsia" w:ascii="宋体" w:hAnsi="宋体" w:eastAsia="宋体" w:cs="宋体"/>
                <w:snapToGrid w:val="0"/>
                <w:color w:val="auto"/>
                <w:sz w:val="21"/>
                <w:szCs w:val="21"/>
                <w:highlight w:val="none"/>
                <w:lang w:eastAsia="zh-CN" w:bidi="he-IL"/>
              </w:rPr>
            </w:pP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w:t>
            </w:r>
            <w:r>
              <w:rPr>
                <w:rFonts w:hint="eastAsia" w:ascii="宋体" w:hAnsi="宋体" w:cs="宋体"/>
                <w:snapToGrid w:val="0"/>
                <w:color w:val="auto"/>
                <w:sz w:val="21"/>
                <w:szCs w:val="21"/>
                <w:highlight w:val="none"/>
                <w:lang w:eastAsia="zh-CN" w:bidi="he-IL"/>
              </w:rPr>
              <w:t>采购人指定地点。</w:t>
            </w:r>
          </w:p>
        </w:tc>
      </w:tr>
      <w:tr w14:paraId="4F1CB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293A9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7467" w:type="dxa"/>
            <w:noWrap w:val="0"/>
            <w:vAlign w:val="center"/>
          </w:tcPr>
          <w:p w14:paraId="262B0454">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付款方法和条件为：</w:t>
            </w:r>
          </w:p>
          <w:p w14:paraId="3249E45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default" w:ascii="宋体" w:hAnsi="宋体" w:cs="宋体"/>
                <w:color w:val="auto"/>
                <w:sz w:val="21"/>
                <w:szCs w:val="21"/>
                <w:highlight w:val="none"/>
                <w:lang w:val="en-US" w:eastAsia="zh-CN"/>
              </w:rPr>
              <w:t>设备安装验收合格后一个月之内</w:t>
            </w:r>
            <w:r>
              <w:rPr>
                <w:rFonts w:hint="eastAsia" w:ascii="宋体" w:hAnsi="宋体" w:cs="宋体"/>
                <w:color w:val="auto"/>
                <w:sz w:val="21"/>
                <w:szCs w:val="21"/>
                <w:highlight w:val="none"/>
                <w:lang w:val="en-US" w:eastAsia="zh-CN"/>
              </w:rPr>
              <w:t>，一次性支付验收设备合同金额。</w:t>
            </w:r>
          </w:p>
          <w:p w14:paraId="30D70BF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、支付方式：</w:t>
            </w:r>
            <w:r>
              <w:rPr>
                <w:rFonts w:hint="eastAsia" w:ascii="宋体" w:hAnsi="宋体" w:eastAsia="宋体" w:cs="宋体"/>
                <w:color w:val="auto"/>
                <w:sz w:val="21"/>
                <w:szCs w:val="21"/>
                <w:highlight w:val="none"/>
                <w:lang w:val="en-US" w:eastAsia="zh-CN"/>
              </w:rPr>
              <w:t>对公</w:t>
            </w:r>
            <w:r>
              <w:rPr>
                <w:rFonts w:hint="eastAsia" w:ascii="宋体" w:hAnsi="宋体" w:eastAsia="宋体" w:cs="宋体"/>
                <w:color w:val="auto"/>
                <w:sz w:val="21"/>
                <w:szCs w:val="21"/>
                <w:highlight w:val="none"/>
              </w:rPr>
              <w:t>转帐。</w:t>
            </w:r>
          </w:p>
          <w:p w14:paraId="7892AE7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、结算方式：卖方按时交货、安装、验收，持验收单、全额发票、中标通知书、供货合同以及合同约定的其它相关重要单据，与买方结算。</w:t>
            </w:r>
          </w:p>
        </w:tc>
      </w:tr>
      <w:tr w14:paraId="6F6CB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34B63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7467" w:type="dxa"/>
            <w:noWrap w:val="0"/>
            <w:vAlign w:val="center"/>
          </w:tcPr>
          <w:p w14:paraId="78994D60">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质量标准：符合国家标准，行业标准以及满足医院需求；</w:t>
            </w:r>
          </w:p>
          <w:p w14:paraId="33963B65">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质保期：</w:t>
            </w:r>
            <w:r>
              <w:rPr>
                <w:rFonts w:hint="eastAsia" w:ascii="宋体" w:hAnsi="宋体" w:cs="宋体"/>
                <w:kern w:val="2"/>
                <w:sz w:val="21"/>
                <w:szCs w:val="21"/>
                <w:lang w:val="en-US" w:eastAsia="zh-CN" w:bidi="ar-SA"/>
              </w:rPr>
              <w:t>产品全套质保</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，全部软件终生免费升级。</w:t>
            </w:r>
          </w:p>
        </w:tc>
      </w:tr>
      <w:tr w14:paraId="7F3CE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E4BF1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7467" w:type="dxa"/>
            <w:noWrap w:val="0"/>
            <w:vAlign w:val="center"/>
          </w:tcPr>
          <w:p w14:paraId="21CE44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售后维修响应时间：设备出现故障时，卖方必须在接到故障报告后在2小时内维修工程师到达现场,排除故障的期限不得超过12小时，否则卖方需提供备用机供临床使用；</w:t>
            </w:r>
          </w:p>
        </w:tc>
      </w:tr>
      <w:tr w14:paraId="5A644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1021" w:type="dxa"/>
            <w:tcBorders>
              <w:top w:val="single" w:color="auto" w:sz="4" w:space="0"/>
            </w:tcBorders>
            <w:noWrap w:val="0"/>
            <w:vAlign w:val="center"/>
          </w:tcPr>
          <w:p w14:paraId="4A48364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w:t>
            </w:r>
          </w:p>
        </w:tc>
        <w:tc>
          <w:tcPr>
            <w:tcW w:w="7467" w:type="dxa"/>
            <w:tcBorders>
              <w:top w:val="single" w:color="auto" w:sz="4" w:space="0"/>
            </w:tcBorders>
            <w:noWrap w:val="0"/>
            <w:vAlign w:val="center"/>
          </w:tcPr>
          <w:p w14:paraId="5C60A7D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验收方式及验收依据：到货后，由采购单位根据合同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招标文件、投标文件</w:t>
            </w:r>
            <w:r>
              <w:rPr>
                <w:rFonts w:hint="eastAsia" w:ascii="宋体" w:hAnsi="宋体" w:eastAsia="宋体" w:cs="宋体"/>
                <w:color w:val="auto"/>
                <w:sz w:val="21"/>
                <w:szCs w:val="21"/>
                <w:highlight w:val="none"/>
              </w:rPr>
              <w:t>要求进行验收。验收完成后，出具验收书，以便结算。</w:t>
            </w:r>
          </w:p>
        </w:tc>
      </w:tr>
    </w:tbl>
    <w:p w14:paraId="610B09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eastAsia="zh-CN"/>
        </w:rPr>
        <w:t>）合同</w:t>
      </w:r>
      <w:r>
        <w:rPr>
          <w:rFonts w:hint="eastAsia" w:ascii="宋体" w:hAnsi="宋体" w:eastAsia="宋体" w:cs="宋体"/>
          <w:b/>
          <w:color w:val="auto"/>
          <w:sz w:val="32"/>
          <w:szCs w:val="32"/>
          <w:highlight w:val="none"/>
          <w:lang w:val="en-US" w:eastAsia="zh-CN"/>
        </w:rPr>
        <w:t>协议书</w:t>
      </w:r>
      <w:r>
        <w:rPr>
          <w:rFonts w:hint="eastAsia" w:ascii="宋体" w:hAnsi="宋体" w:eastAsia="宋体" w:cs="宋体"/>
          <w:b/>
          <w:color w:val="auto"/>
          <w:sz w:val="32"/>
          <w:szCs w:val="32"/>
          <w:highlight w:val="none"/>
          <w:lang w:eastAsia="zh-CN"/>
        </w:rPr>
        <w:t>格式</w:t>
      </w:r>
    </w:p>
    <w:p w14:paraId="111EEB16">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p>
    <w:p w14:paraId="3D714F55">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（合同名称）</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日由</w:t>
      </w:r>
      <w:r>
        <w:rPr>
          <w:rFonts w:hint="eastAsia" w:ascii="宋体" w:hAnsi="宋体" w:eastAsia="宋体" w:cs="宋体"/>
          <w:color w:val="auto"/>
          <w:sz w:val="21"/>
          <w:szCs w:val="21"/>
          <w:highlight w:val="none"/>
          <w:u w:val="single"/>
        </w:rPr>
        <w:t>（买方名称）</w:t>
      </w:r>
      <w:r>
        <w:rPr>
          <w:rFonts w:hint="eastAsia" w:ascii="宋体" w:hAnsi="宋体" w:eastAsia="宋体" w:cs="宋体"/>
          <w:color w:val="auto"/>
          <w:sz w:val="21"/>
          <w:szCs w:val="21"/>
          <w:highlight w:val="none"/>
        </w:rPr>
        <w:t>（以下简称“买方”）和</w:t>
      </w:r>
      <w:r>
        <w:rPr>
          <w:rFonts w:hint="eastAsia" w:ascii="宋体" w:hAnsi="宋体" w:eastAsia="宋体" w:cs="宋体"/>
          <w:color w:val="auto"/>
          <w:sz w:val="21"/>
          <w:szCs w:val="21"/>
          <w:highlight w:val="none"/>
          <w:u w:val="single"/>
        </w:rPr>
        <w:t>（卖方名称）</w:t>
      </w:r>
      <w:r>
        <w:rPr>
          <w:rFonts w:hint="eastAsia" w:ascii="宋体" w:hAnsi="宋体" w:eastAsia="宋体" w:cs="宋体"/>
          <w:color w:val="auto"/>
          <w:sz w:val="21"/>
          <w:szCs w:val="21"/>
          <w:highlight w:val="none"/>
        </w:rPr>
        <w:t>（以下简称“卖方”）按下述条款和条件签署。</w:t>
      </w:r>
    </w:p>
    <w:p w14:paraId="7F3FDCEB">
      <w:pPr>
        <w:keepNext w:val="0"/>
        <w:keepLines w:val="0"/>
        <w:pageBreakBefore w:val="0"/>
        <w:widowControl w:val="0"/>
        <w:numPr>
          <w:ilvl w:val="2"/>
          <w:numId w:val="2"/>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本合同中的词语和术语的含义与合同条款中定义的相同。</w:t>
      </w:r>
    </w:p>
    <w:p w14:paraId="2474CD69">
      <w:pPr>
        <w:keepNext w:val="0"/>
        <w:keepLines w:val="0"/>
        <w:pageBreakBefore w:val="0"/>
        <w:widowControl w:val="0"/>
        <w:numPr>
          <w:ilvl w:val="2"/>
          <w:numId w:val="2"/>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下列文件是本合同的组成部分，并与本合同一起阅读和解释：</w:t>
      </w:r>
    </w:p>
    <w:p w14:paraId="05BD6F1D">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合同附件，如：</w:t>
      </w:r>
    </w:p>
    <w:p w14:paraId="63CCCA89">
      <w:pPr>
        <w:keepNext w:val="0"/>
        <w:keepLines w:val="0"/>
        <w:pageBreakBefore w:val="0"/>
        <w:widowControl w:val="0"/>
        <w:numPr>
          <w:ilvl w:val="1"/>
          <w:numId w:val="4"/>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供货内容及价格</w:t>
      </w:r>
    </w:p>
    <w:p w14:paraId="051656DE">
      <w:pPr>
        <w:keepNext w:val="0"/>
        <w:keepLines w:val="0"/>
        <w:pageBreakBefore w:val="0"/>
        <w:widowControl w:val="0"/>
        <w:numPr>
          <w:ilvl w:val="1"/>
          <w:numId w:val="4"/>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p w14:paraId="1207BFB8">
      <w:pPr>
        <w:keepNext w:val="0"/>
        <w:keepLines w:val="0"/>
        <w:pageBreakBefore w:val="0"/>
        <w:widowControl w:val="0"/>
        <w:numPr>
          <w:ilvl w:val="1"/>
          <w:numId w:val="4"/>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交货清单</w:t>
      </w:r>
    </w:p>
    <w:p w14:paraId="308A2A2E">
      <w:pPr>
        <w:keepNext w:val="0"/>
        <w:keepLines w:val="0"/>
        <w:pageBreakBefore w:val="0"/>
        <w:widowControl w:val="0"/>
        <w:numPr>
          <w:ilvl w:val="1"/>
          <w:numId w:val="4"/>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交货批次及时间的详细说明</w:t>
      </w:r>
    </w:p>
    <w:p w14:paraId="15AA0966">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合同专用条款</w:t>
      </w:r>
    </w:p>
    <w:p w14:paraId="3E9242F5">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合同通用条款</w:t>
      </w:r>
    </w:p>
    <w:p w14:paraId="7AAA5265">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p w14:paraId="72437A1E">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14:paraId="037725B6">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10B341B1">
      <w:pPr>
        <w:keepNext w:val="0"/>
        <w:keepLines w:val="0"/>
        <w:pageBreakBefore w:val="0"/>
        <w:widowControl w:val="0"/>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上述文件如有冲突，以排列序号小的优先。</w:t>
      </w:r>
    </w:p>
    <w:p w14:paraId="593C6CB6">
      <w:pPr>
        <w:keepNext w:val="0"/>
        <w:keepLines w:val="0"/>
        <w:pageBreakBefore w:val="0"/>
        <w:widowControl w:val="0"/>
        <w:numPr>
          <w:ilvl w:val="2"/>
          <w:numId w:val="2"/>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卖方在此保证全部按照合同的规定向买方提供货物和服务，并修补缺陷，买方将按照本合同价款向卖方进行支付。</w:t>
      </w:r>
    </w:p>
    <w:p w14:paraId="7C7B8CDD">
      <w:pPr>
        <w:keepNext w:val="0"/>
        <w:keepLines w:val="0"/>
        <w:pageBreakBefore w:val="0"/>
        <w:widowControl w:val="0"/>
        <w:numPr>
          <w:ilvl w:val="2"/>
          <w:numId w:val="2"/>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本合同正本一式二份，副本一式四份，均以中文书写，在双方代表签字盖章后生效。</w:t>
      </w:r>
    </w:p>
    <w:tbl>
      <w:tblPr>
        <w:tblStyle w:val="21"/>
        <w:tblW w:w="8522" w:type="dxa"/>
        <w:tblInd w:w="0" w:type="dxa"/>
        <w:tblLayout w:type="fixed"/>
        <w:tblCellMar>
          <w:top w:w="0" w:type="dxa"/>
          <w:left w:w="108" w:type="dxa"/>
          <w:bottom w:w="0" w:type="dxa"/>
          <w:right w:w="108" w:type="dxa"/>
        </w:tblCellMar>
      </w:tblPr>
      <w:tblGrid>
        <w:gridCol w:w="4261"/>
        <w:gridCol w:w="4261"/>
      </w:tblGrid>
      <w:tr w14:paraId="517F2D47">
        <w:trPr>
          <w:trHeight w:val="3727" w:hRule="atLeast"/>
        </w:trPr>
        <w:tc>
          <w:tcPr>
            <w:tcW w:w="4261" w:type="dxa"/>
            <w:noWrap w:val="0"/>
            <w:vAlign w:val="top"/>
          </w:tcPr>
          <w:p w14:paraId="63AD110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买方名称</w:t>
            </w:r>
            <w:r>
              <w:rPr>
                <w:rFonts w:hint="eastAsia" w:ascii="宋体" w:hAnsi="宋体" w:eastAsia="宋体" w:cs="宋体"/>
                <w:color w:val="auto"/>
                <w:sz w:val="21"/>
                <w:szCs w:val="21"/>
                <w:highlight w:val="none"/>
                <w:u w:val="single"/>
              </w:rPr>
              <w:t xml:space="preserve">                         </w:t>
            </w:r>
          </w:p>
          <w:p w14:paraId="05C91719">
            <w:pPr>
              <w:spacing w:after="156" w:afterLines="50"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买方地址</w:t>
            </w:r>
            <w:r>
              <w:rPr>
                <w:rFonts w:hint="eastAsia" w:ascii="宋体" w:hAnsi="宋体" w:eastAsia="宋体" w:cs="宋体"/>
                <w:color w:val="auto"/>
                <w:sz w:val="21"/>
                <w:szCs w:val="21"/>
                <w:highlight w:val="none"/>
                <w:u w:val="single"/>
              </w:rPr>
              <w:t xml:space="preserve">                         </w:t>
            </w:r>
          </w:p>
          <w:p w14:paraId="6652785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43BC57E6">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8127A38">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794DB533">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08C79D9B">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买方代表姓名</w:t>
            </w:r>
            <w:r>
              <w:rPr>
                <w:rFonts w:hint="eastAsia" w:ascii="宋体" w:hAnsi="宋体" w:eastAsia="宋体" w:cs="宋体"/>
                <w:color w:val="auto"/>
                <w:sz w:val="21"/>
                <w:szCs w:val="21"/>
                <w:highlight w:val="none"/>
                <w:u w:val="single"/>
              </w:rPr>
              <w:t xml:space="preserve">                     </w:t>
            </w:r>
          </w:p>
          <w:p w14:paraId="06D97F3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买方代表签字</w:t>
            </w:r>
            <w:r>
              <w:rPr>
                <w:rFonts w:hint="eastAsia" w:ascii="宋体" w:hAnsi="宋体" w:eastAsia="宋体" w:cs="宋体"/>
                <w:color w:val="auto"/>
                <w:sz w:val="21"/>
                <w:szCs w:val="21"/>
                <w:highlight w:val="none"/>
                <w:u w:val="single"/>
              </w:rPr>
              <w:t xml:space="preserve">                     </w:t>
            </w:r>
          </w:p>
          <w:p w14:paraId="58297394">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D0757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买方公章（或合同章） </w:t>
            </w:r>
            <w:r>
              <w:rPr>
                <w:rFonts w:hint="eastAsia" w:ascii="宋体" w:hAnsi="宋体" w:eastAsia="宋体" w:cs="宋体"/>
                <w:color w:val="auto"/>
                <w:sz w:val="21"/>
                <w:szCs w:val="21"/>
                <w:highlight w:val="none"/>
                <w:u w:val="single"/>
              </w:rPr>
              <w:t xml:space="preserve">            </w:t>
            </w:r>
          </w:p>
        </w:tc>
        <w:tc>
          <w:tcPr>
            <w:tcW w:w="4261" w:type="dxa"/>
            <w:noWrap w:val="0"/>
            <w:vAlign w:val="top"/>
          </w:tcPr>
          <w:p w14:paraId="02EAFCF1">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卖方名称</w:t>
            </w:r>
            <w:r>
              <w:rPr>
                <w:rFonts w:hint="eastAsia" w:ascii="宋体" w:hAnsi="宋体" w:eastAsia="宋体" w:cs="宋体"/>
                <w:color w:val="auto"/>
                <w:sz w:val="21"/>
                <w:szCs w:val="21"/>
                <w:highlight w:val="none"/>
                <w:u w:val="single"/>
              </w:rPr>
              <w:t xml:space="preserve">                         </w:t>
            </w:r>
          </w:p>
          <w:p w14:paraId="35EF36F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卖方地址</w:t>
            </w:r>
            <w:r>
              <w:rPr>
                <w:rFonts w:hint="eastAsia" w:ascii="宋体" w:hAnsi="宋体" w:eastAsia="宋体" w:cs="宋体"/>
                <w:color w:val="auto"/>
                <w:sz w:val="21"/>
                <w:szCs w:val="21"/>
                <w:highlight w:val="none"/>
                <w:u w:val="single"/>
              </w:rPr>
              <w:t xml:space="preserve">                         </w:t>
            </w:r>
          </w:p>
          <w:p w14:paraId="5469C0C2">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2E74E220">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CEBF4BC">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5535E33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卖</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6C54D450">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卖方代表姓名</w:t>
            </w:r>
            <w:r>
              <w:rPr>
                <w:rFonts w:hint="eastAsia" w:ascii="宋体" w:hAnsi="宋体" w:eastAsia="宋体" w:cs="宋体"/>
                <w:color w:val="auto"/>
                <w:sz w:val="21"/>
                <w:szCs w:val="21"/>
                <w:highlight w:val="none"/>
                <w:u w:val="single"/>
              </w:rPr>
              <w:t xml:space="preserve">                     </w:t>
            </w:r>
          </w:p>
          <w:p w14:paraId="417DBDB6">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卖方代表签字</w:t>
            </w:r>
            <w:r>
              <w:rPr>
                <w:rFonts w:hint="eastAsia" w:ascii="宋体" w:hAnsi="宋体" w:eastAsia="宋体" w:cs="宋体"/>
                <w:color w:val="auto"/>
                <w:sz w:val="21"/>
                <w:szCs w:val="21"/>
                <w:highlight w:val="none"/>
                <w:u w:val="single"/>
              </w:rPr>
              <w:t xml:space="preserve">                     </w:t>
            </w:r>
          </w:p>
          <w:p w14:paraId="71D51EA6">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F6E66A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卖方公章（或合同章） </w:t>
            </w:r>
            <w:r>
              <w:rPr>
                <w:rFonts w:hint="eastAsia" w:ascii="宋体" w:hAnsi="宋体" w:eastAsia="宋体" w:cs="宋体"/>
                <w:color w:val="auto"/>
                <w:sz w:val="21"/>
                <w:szCs w:val="21"/>
                <w:highlight w:val="none"/>
                <w:u w:val="single"/>
              </w:rPr>
              <w:t xml:space="preserve">            </w:t>
            </w:r>
          </w:p>
        </w:tc>
      </w:tr>
    </w:tbl>
    <w:p w14:paraId="2120DA1B"/>
    <w:p w14:paraId="3F6A26A9">
      <w:pPr>
        <w:spacing w:line="720" w:lineRule="auto"/>
        <w:jc w:val="center"/>
        <w:rPr>
          <w:rFonts w:eastAsia="方正小标宋简体"/>
          <w:sz w:val="44"/>
          <w:szCs w:val="44"/>
          <w:u w:val="single"/>
        </w:rPr>
      </w:pPr>
    </w:p>
    <w:p w14:paraId="1FB1EF40">
      <w:pPr>
        <w:rPr>
          <w:rFonts w:hint="eastAsia" w:ascii="宋体" w:hAnsi="宋体"/>
          <w:sz w:val="32"/>
        </w:rPr>
      </w:pPr>
      <w:r>
        <w:rPr>
          <w:rFonts w:hint="eastAsia" w:ascii="宋体" w:hAnsi="宋体"/>
          <w:sz w:val="32"/>
        </w:rPr>
        <w:br w:type="page"/>
      </w:r>
    </w:p>
    <w:p w14:paraId="1C15745B">
      <w:pPr>
        <w:pStyle w:val="2"/>
        <w:spacing w:line="360" w:lineRule="auto"/>
        <w:ind w:left="0" w:firstLine="0"/>
        <w:jc w:val="center"/>
        <w:rPr>
          <w:rFonts w:ascii="宋体" w:hAnsi="宋体"/>
          <w:sz w:val="32"/>
        </w:rPr>
      </w:pPr>
      <w:bookmarkStart w:id="80" w:name="_Toc19431"/>
      <w:r>
        <w:rPr>
          <w:rFonts w:hint="eastAsia" w:ascii="宋体" w:hAnsi="宋体"/>
          <w:sz w:val="32"/>
        </w:rPr>
        <w:t>第六章</w:t>
      </w:r>
      <w:r>
        <w:rPr>
          <w:rFonts w:hint="eastAsia" w:ascii="宋体" w:hAnsi="宋体"/>
          <w:sz w:val="32"/>
          <w:lang w:val="en-US" w:eastAsia="zh-CN"/>
        </w:rPr>
        <w:t xml:space="preserve"> </w:t>
      </w:r>
      <w:r>
        <w:rPr>
          <w:rFonts w:hint="eastAsia" w:ascii="宋体" w:hAnsi="宋体"/>
          <w:sz w:val="32"/>
        </w:rPr>
        <w:t xml:space="preserve"> 投标文件格式</w:t>
      </w:r>
      <w:bookmarkEnd w:id="77"/>
      <w:bookmarkEnd w:id="78"/>
      <w:bookmarkEnd w:id="79"/>
      <w:bookmarkEnd w:id="80"/>
    </w:p>
    <w:p w14:paraId="3B633A38">
      <w:pPr>
        <w:rPr>
          <w:rFonts w:ascii="黑体" w:eastAsia="黑体"/>
          <w:sz w:val="32"/>
          <w:szCs w:val="32"/>
        </w:rPr>
      </w:pPr>
      <w:r>
        <w:rPr>
          <w:rFonts w:hint="eastAsia" w:ascii="黑体" w:eastAsia="黑体"/>
          <w:sz w:val="32"/>
          <w:szCs w:val="32"/>
        </w:rPr>
        <w:br w:type="page"/>
      </w:r>
    </w:p>
    <w:p w14:paraId="50E5ED5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cs="宋体"/>
          <w:b/>
          <w:bCs w:val="0"/>
          <w:sz w:val="28"/>
          <w:szCs w:val="28"/>
          <w:lang w:val="en-US" w:eastAsia="zh-CN"/>
        </w:rPr>
      </w:pPr>
      <w:r>
        <w:rPr>
          <w:rFonts w:hint="eastAsia"/>
          <w:b/>
          <w:bCs/>
          <w:sz w:val="32"/>
          <w:szCs w:val="40"/>
        </w:rPr>
        <w:t>正本/副本</w:t>
      </w:r>
    </w:p>
    <w:p w14:paraId="503A0FA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lang w:val="en-US" w:eastAsia="zh-CN"/>
        </w:rPr>
        <w:t>项目编号：E-234012XA004-03</w:t>
      </w:r>
    </w:p>
    <w:p w14:paraId="0F9E3596">
      <w:pPr>
        <w:bidi w:val="0"/>
        <w:jc w:val="right"/>
        <w:rPr>
          <w:b/>
          <w:bCs/>
          <w:sz w:val="32"/>
          <w:szCs w:val="40"/>
        </w:rPr>
      </w:pPr>
      <w:r>
        <w:rPr>
          <w:rFonts w:hint="eastAsia"/>
          <w:b/>
          <w:bCs/>
          <w:sz w:val="32"/>
          <w:szCs w:val="40"/>
        </w:rPr>
        <w:t xml:space="preserve"> </w:t>
      </w:r>
    </w:p>
    <w:p w14:paraId="33764BD3">
      <w:pPr>
        <w:spacing w:before="156" w:beforeLines="50" w:after="156" w:afterLines="50" w:line="360" w:lineRule="auto"/>
        <w:jc w:val="center"/>
        <w:rPr>
          <w:b/>
          <w:bCs/>
          <w:sz w:val="54"/>
          <w:szCs w:val="54"/>
        </w:rPr>
      </w:pPr>
      <w:bookmarkStart w:id="81" w:name="_Toc3861"/>
    </w:p>
    <w:p w14:paraId="56656009">
      <w:pPr>
        <w:bidi w:val="0"/>
        <w:jc w:val="center"/>
        <w:rPr>
          <w:rFonts w:hint="eastAsia" w:ascii="Times New Roman" w:hAnsi="Times New Roman" w:eastAsia="宋体" w:cs="Times New Roman"/>
          <w:b/>
          <w:bCs/>
          <w:sz w:val="48"/>
          <w:szCs w:val="60"/>
          <w:lang w:eastAsia="zh-CN"/>
        </w:rPr>
      </w:pPr>
      <w:r>
        <w:rPr>
          <w:rFonts w:hint="eastAsia" w:cs="Times New Roman"/>
          <w:b/>
          <w:bCs/>
          <w:sz w:val="48"/>
          <w:szCs w:val="60"/>
          <w:lang w:eastAsia="zh-CN"/>
        </w:rPr>
        <w:t>超声诊断仪采购项目</w:t>
      </w:r>
    </w:p>
    <w:p w14:paraId="46A9C191"/>
    <w:p w14:paraId="3F81F5D6">
      <w:pPr>
        <w:bidi w:val="0"/>
        <w:jc w:val="center"/>
        <w:rPr>
          <w:rFonts w:hint="eastAsia" w:ascii="宋体" w:hAnsi="宋体" w:eastAsia="宋体" w:cs="宋体"/>
          <w:b/>
          <w:bCs/>
          <w:sz w:val="36"/>
          <w:szCs w:val="48"/>
          <w:lang w:eastAsia="zh-CN"/>
        </w:rPr>
      </w:pPr>
      <w:bookmarkStart w:id="82" w:name="_Toc16940"/>
      <w:bookmarkStart w:id="83" w:name="_Toc6340"/>
      <w:bookmarkStart w:id="84" w:name="_Toc7769"/>
      <w:bookmarkStart w:id="85" w:name="_Toc32072"/>
    </w:p>
    <w:p w14:paraId="2766BAB7">
      <w:pPr>
        <w:bidi w:val="0"/>
        <w:jc w:val="center"/>
        <w:rPr>
          <w:rFonts w:hint="eastAsia" w:ascii="宋体" w:hAnsi="宋体" w:eastAsia="宋体" w:cs="宋体"/>
          <w:b/>
          <w:bCs/>
          <w:sz w:val="36"/>
          <w:szCs w:val="48"/>
          <w:lang w:eastAsia="zh-CN"/>
        </w:rPr>
      </w:pPr>
    </w:p>
    <w:p w14:paraId="756D901E">
      <w:pPr>
        <w:bidi w:val="0"/>
        <w:jc w:val="center"/>
        <w:rPr>
          <w:rFonts w:hint="eastAsia" w:ascii="宋体" w:hAnsi="宋体" w:eastAsia="宋体" w:cs="宋体"/>
          <w:b/>
          <w:bCs/>
          <w:sz w:val="36"/>
          <w:szCs w:val="48"/>
          <w:lang w:eastAsia="zh-CN"/>
        </w:rPr>
      </w:pPr>
    </w:p>
    <w:p w14:paraId="3E63E55F">
      <w:pPr>
        <w:bidi w:val="0"/>
        <w:jc w:val="center"/>
        <w:rPr>
          <w:rFonts w:hint="eastAsia" w:ascii="宋体" w:hAnsi="宋体" w:eastAsia="宋体" w:cs="宋体"/>
          <w:b/>
          <w:bCs/>
          <w:sz w:val="36"/>
          <w:szCs w:val="48"/>
          <w:lang w:eastAsia="zh-CN"/>
        </w:rPr>
      </w:pPr>
    </w:p>
    <w:p w14:paraId="6C9E5856">
      <w:pPr>
        <w:bidi w:val="0"/>
        <w:jc w:val="center"/>
        <w:rPr>
          <w:rFonts w:hint="eastAsia" w:eastAsia="宋体"/>
          <w:b/>
          <w:bCs/>
          <w:sz w:val="72"/>
          <w:szCs w:val="144"/>
          <w:lang w:eastAsia="zh-CN"/>
        </w:rPr>
      </w:pPr>
      <w:r>
        <w:rPr>
          <w:rFonts w:hint="eastAsia" w:eastAsia="宋体"/>
          <w:b/>
          <w:bCs/>
          <w:sz w:val="72"/>
          <w:szCs w:val="144"/>
          <w:lang w:eastAsia="zh-CN"/>
        </w:rPr>
        <w:t>投标文件</w:t>
      </w:r>
      <w:bookmarkEnd w:id="82"/>
      <w:bookmarkEnd w:id="83"/>
      <w:bookmarkEnd w:id="84"/>
      <w:bookmarkEnd w:id="85"/>
    </w:p>
    <w:p w14:paraId="723EBA14">
      <w:pPr>
        <w:spacing w:before="156" w:beforeLines="50" w:after="156" w:afterLines="50" w:line="360" w:lineRule="auto"/>
        <w:jc w:val="left"/>
        <w:rPr>
          <w:rFonts w:hAnsi="宋体"/>
          <w:b/>
          <w:spacing w:val="4"/>
          <w:sz w:val="32"/>
          <w:szCs w:val="32"/>
        </w:rPr>
      </w:pPr>
    </w:p>
    <w:p w14:paraId="7A15D083">
      <w:pPr>
        <w:spacing w:before="156" w:beforeLines="50" w:after="156" w:afterLines="50" w:line="360" w:lineRule="auto"/>
        <w:jc w:val="left"/>
        <w:rPr>
          <w:rFonts w:hAnsi="宋体"/>
          <w:b/>
          <w:spacing w:val="4"/>
          <w:sz w:val="32"/>
          <w:szCs w:val="32"/>
        </w:rPr>
      </w:pPr>
    </w:p>
    <w:p w14:paraId="533781E6">
      <w:pPr>
        <w:bidi w:val="0"/>
      </w:pPr>
    </w:p>
    <w:p w14:paraId="13F45697">
      <w:pPr>
        <w:pStyle w:val="26"/>
      </w:pPr>
    </w:p>
    <w:p w14:paraId="4711EC63">
      <w:pPr>
        <w:pStyle w:val="26"/>
      </w:pPr>
    </w:p>
    <w:p w14:paraId="3B2E8654">
      <w:pPr>
        <w:pStyle w:val="26"/>
      </w:pPr>
    </w:p>
    <w:p w14:paraId="475ADE7F">
      <w:pPr>
        <w:bidi w:val="0"/>
        <w:rPr>
          <w:sz w:val="28"/>
          <w:szCs w:val="36"/>
        </w:rPr>
      </w:pPr>
      <w:bookmarkStart w:id="86" w:name="_Toc25430"/>
      <w:bookmarkStart w:id="87" w:name="_Toc4654"/>
      <w:bookmarkStart w:id="88" w:name="_Toc1651"/>
      <w:bookmarkStart w:id="89" w:name="_Toc21867"/>
      <w:r>
        <w:rPr>
          <w:rFonts w:hint="eastAsia"/>
          <w:sz w:val="28"/>
          <w:szCs w:val="36"/>
        </w:rPr>
        <w:t>投标人：</w:t>
      </w:r>
      <w:r>
        <w:rPr>
          <w:rFonts w:hint="eastAsia"/>
          <w:sz w:val="28"/>
          <w:szCs w:val="36"/>
          <w:u w:val="single"/>
        </w:rPr>
        <w:t xml:space="preserve">       </w:t>
      </w:r>
      <w:r>
        <w:rPr>
          <w:rFonts w:hint="eastAsia"/>
          <w:sz w:val="28"/>
          <w:szCs w:val="36"/>
          <w:u w:val="single"/>
          <w:lang w:val="en-US" w:eastAsia="zh-CN"/>
        </w:rPr>
        <w:t xml:space="preserve">           </w:t>
      </w:r>
      <w:r>
        <w:rPr>
          <w:rFonts w:hint="eastAsia"/>
          <w:sz w:val="28"/>
          <w:szCs w:val="36"/>
          <w:u w:val="single"/>
        </w:rPr>
        <w:t xml:space="preserve">           </w:t>
      </w:r>
      <w:r>
        <w:rPr>
          <w:rFonts w:hint="eastAsia"/>
          <w:sz w:val="28"/>
          <w:szCs w:val="36"/>
        </w:rPr>
        <w:t>（盖单位章）</w:t>
      </w:r>
      <w:bookmarkEnd w:id="86"/>
      <w:bookmarkEnd w:id="87"/>
      <w:bookmarkEnd w:id="88"/>
      <w:bookmarkEnd w:id="89"/>
    </w:p>
    <w:p w14:paraId="21C85395">
      <w:pPr>
        <w:bidi w:val="0"/>
        <w:rPr>
          <w:sz w:val="28"/>
          <w:szCs w:val="36"/>
        </w:rPr>
      </w:pPr>
    </w:p>
    <w:p w14:paraId="77D66547">
      <w:pPr>
        <w:bidi w:val="0"/>
        <w:rPr>
          <w:sz w:val="28"/>
          <w:szCs w:val="36"/>
        </w:rPr>
      </w:pPr>
      <w:bookmarkStart w:id="90" w:name="_Toc30120"/>
      <w:bookmarkStart w:id="91" w:name="_Toc20382"/>
      <w:bookmarkStart w:id="92" w:name="_Toc29662"/>
      <w:bookmarkStart w:id="93" w:name="_Toc11572"/>
      <w:r>
        <w:rPr>
          <w:rFonts w:hint="eastAsia"/>
          <w:sz w:val="28"/>
          <w:szCs w:val="36"/>
          <w:lang w:eastAsia="zh-CN"/>
        </w:rPr>
        <w:t>法定代表人（负责人）</w:t>
      </w:r>
      <w:r>
        <w:rPr>
          <w:rFonts w:hint="eastAsia"/>
          <w:sz w:val="28"/>
          <w:szCs w:val="36"/>
        </w:rPr>
        <w:t>或其委托代理人：</w:t>
      </w:r>
      <w:r>
        <w:rPr>
          <w:rFonts w:hint="eastAsia"/>
          <w:sz w:val="28"/>
          <w:szCs w:val="36"/>
          <w:u w:val="single"/>
        </w:rPr>
        <w:t xml:space="preserve">        </w:t>
      </w:r>
      <w:r>
        <w:rPr>
          <w:rFonts w:hint="eastAsia"/>
          <w:sz w:val="28"/>
          <w:szCs w:val="36"/>
        </w:rPr>
        <w:t>（签字或盖章）</w:t>
      </w:r>
      <w:bookmarkEnd w:id="90"/>
      <w:bookmarkEnd w:id="91"/>
      <w:bookmarkEnd w:id="92"/>
      <w:bookmarkEnd w:id="93"/>
    </w:p>
    <w:p w14:paraId="729B7E61">
      <w:pPr>
        <w:bidi w:val="0"/>
        <w:rPr>
          <w:sz w:val="28"/>
          <w:szCs w:val="36"/>
        </w:rPr>
      </w:pPr>
    </w:p>
    <w:p w14:paraId="3CBF3ACC">
      <w:pPr>
        <w:bidi w:val="0"/>
        <w:rPr>
          <w:sz w:val="28"/>
          <w:szCs w:val="36"/>
        </w:rPr>
      </w:pPr>
      <w:r>
        <w:rPr>
          <w:rFonts w:hint="eastAsia"/>
          <w:sz w:val="28"/>
          <w:szCs w:val="36"/>
        </w:rPr>
        <w:t xml:space="preserve">        </w:t>
      </w:r>
      <w:bookmarkStart w:id="94" w:name="_Toc8928"/>
      <w:bookmarkStart w:id="95" w:name="_Toc1653"/>
      <w:bookmarkStart w:id="96" w:name="_Toc28149"/>
      <w:bookmarkStart w:id="97" w:name="_Toc21046"/>
      <w:r>
        <w:rPr>
          <w:rFonts w:hint="eastAsia"/>
          <w:sz w:val="28"/>
          <w:szCs w:val="36"/>
          <w:lang w:val="en-US" w:eastAsia="zh-CN"/>
        </w:rPr>
        <w:t xml:space="preserve">                 </w:t>
      </w:r>
      <w:r>
        <w:rPr>
          <w:rFonts w:hint="eastAsia"/>
          <w:sz w:val="28"/>
          <w:szCs w:val="36"/>
        </w:rPr>
        <w:t>年      月     日</w:t>
      </w:r>
      <w:bookmarkEnd w:id="94"/>
      <w:bookmarkEnd w:id="95"/>
      <w:bookmarkEnd w:id="96"/>
      <w:bookmarkEnd w:id="97"/>
    </w:p>
    <w:p w14:paraId="6AD6ACB5">
      <w:pPr>
        <w:rPr>
          <w:rFonts w:ascii="宋体" w:hAnsi="宋体" w:cs="黑体"/>
          <w:b/>
          <w:kern w:val="0"/>
          <w:sz w:val="30"/>
          <w:szCs w:val="30"/>
        </w:rPr>
      </w:pPr>
      <w:r>
        <w:rPr>
          <w:rFonts w:hint="eastAsia" w:ascii="宋体" w:hAnsi="宋体" w:cs="黑体"/>
          <w:b/>
          <w:kern w:val="0"/>
          <w:sz w:val="30"/>
          <w:szCs w:val="30"/>
        </w:rPr>
        <w:br w:type="page"/>
      </w:r>
    </w:p>
    <w:p w14:paraId="019994B5">
      <w:pPr>
        <w:spacing w:line="360" w:lineRule="auto"/>
        <w:jc w:val="center"/>
        <w:rPr>
          <w:rFonts w:ascii="宋体" w:hAnsi="宋体" w:cs="宋体"/>
          <w:b/>
          <w:sz w:val="32"/>
          <w:szCs w:val="32"/>
        </w:rPr>
      </w:pPr>
    </w:p>
    <w:p w14:paraId="2989FC4C">
      <w:pPr>
        <w:bidi w:val="0"/>
        <w:jc w:val="center"/>
        <w:rPr>
          <w:b/>
          <w:bCs/>
          <w:sz w:val="36"/>
          <w:szCs w:val="44"/>
        </w:rPr>
      </w:pPr>
      <w:bookmarkStart w:id="98" w:name="_Toc12773"/>
      <w:bookmarkStart w:id="99" w:name="_Toc22039"/>
      <w:bookmarkStart w:id="100" w:name="_Toc16689"/>
      <w:bookmarkStart w:id="101" w:name="_Toc14847"/>
      <w:r>
        <w:rPr>
          <w:rFonts w:hint="eastAsia"/>
          <w:b/>
          <w:bCs/>
          <w:sz w:val="36"/>
          <w:szCs w:val="44"/>
        </w:rPr>
        <w:t>目  录</w:t>
      </w:r>
      <w:bookmarkEnd w:id="98"/>
      <w:bookmarkEnd w:id="99"/>
      <w:bookmarkEnd w:id="100"/>
      <w:bookmarkEnd w:id="101"/>
    </w:p>
    <w:p w14:paraId="279B64B3">
      <w:pPr>
        <w:spacing w:line="360" w:lineRule="auto"/>
        <w:ind w:firstLine="480" w:firstLineChars="200"/>
        <w:jc w:val="left"/>
        <w:rPr>
          <w:rFonts w:ascii="宋体" w:hAnsi="宋体" w:cs="宋体"/>
          <w:bCs/>
          <w:sz w:val="24"/>
        </w:rPr>
      </w:pPr>
    </w:p>
    <w:p w14:paraId="1266B75F">
      <w:pPr>
        <w:bidi w:val="0"/>
        <w:spacing w:line="360" w:lineRule="auto"/>
        <w:rPr>
          <w:rFonts w:hint="eastAsia"/>
          <w:b/>
          <w:bCs/>
          <w:sz w:val="24"/>
          <w:szCs w:val="32"/>
        </w:rPr>
      </w:pPr>
      <w:r>
        <w:rPr>
          <w:rFonts w:hint="eastAsia"/>
          <w:b/>
          <w:bCs/>
          <w:sz w:val="24"/>
          <w:szCs w:val="32"/>
        </w:rPr>
        <w:t>一、投标函</w:t>
      </w:r>
    </w:p>
    <w:p w14:paraId="7B20441C">
      <w:pPr>
        <w:bidi w:val="0"/>
        <w:spacing w:line="360" w:lineRule="auto"/>
        <w:rPr>
          <w:rFonts w:hint="default"/>
          <w:b/>
          <w:bCs/>
          <w:sz w:val="24"/>
          <w:szCs w:val="32"/>
          <w:lang w:val="en-US" w:eastAsia="zh-CN"/>
        </w:rPr>
      </w:pPr>
      <w:r>
        <w:rPr>
          <w:rFonts w:hint="eastAsia"/>
          <w:b/>
          <w:bCs/>
          <w:sz w:val="24"/>
          <w:szCs w:val="32"/>
        </w:rPr>
        <w:t>二、</w:t>
      </w:r>
      <w:r>
        <w:rPr>
          <w:rFonts w:hint="eastAsia"/>
          <w:b/>
          <w:bCs/>
          <w:sz w:val="24"/>
          <w:szCs w:val="32"/>
          <w:lang w:val="en-US" w:eastAsia="zh-CN"/>
        </w:rPr>
        <w:t>开标一览表</w:t>
      </w:r>
    </w:p>
    <w:p w14:paraId="1D00AC41">
      <w:pPr>
        <w:bidi w:val="0"/>
        <w:spacing w:line="360" w:lineRule="auto"/>
        <w:rPr>
          <w:rFonts w:hint="eastAsia"/>
          <w:b/>
          <w:bCs/>
          <w:sz w:val="24"/>
          <w:szCs w:val="32"/>
        </w:rPr>
      </w:pPr>
      <w:r>
        <w:rPr>
          <w:rFonts w:hint="eastAsia"/>
          <w:b/>
          <w:bCs/>
          <w:sz w:val="24"/>
          <w:szCs w:val="32"/>
        </w:rPr>
        <w:t>三、投标人资格</w:t>
      </w:r>
    </w:p>
    <w:p w14:paraId="2CBD32C6">
      <w:pPr>
        <w:bidi w:val="0"/>
        <w:spacing w:line="360" w:lineRule="auto"/>
        <w:rPr>
          <w:rFonts w:hint="default"/>
          <w:b/>
          <w:bCs/>
          <w:sz w:val="24"/>
          <w:szCs w:val="32"/>
          <w:lang w:val="en-US" w:eastAsia="zh-CN"/>
        </w:rPr>
      </w:pPr>
      <w:r>
        <w:rPr>
          <w:rFonts w:hint="eastAsia"/>
          <w:b/>
          <w:bCs/>
          <w:sz w:val="24"/>
          <w:szCs w:val="32"/>
        </w:rPr>
        <w:t>四、</w:t>
      </w:r>
      <w:r>
        <w:rPr>
          <w:rFonts w:hint="eastAsia"/>
          <w:b/>
          <w:bCs/>
          <w:sz w:val="24"/>
          <w:szCs w:val="32"/>
          <w:lang w:val="en-US" w:eastAsia="zh-CN"/>
        </w:rPr>
        <w:t>投标方案</w:t>
      </w:r>
    </w:p>
    <w:p w14:paraId="5D428E0C">
      <w:pPr>
        <w:bidi w:val="0"/>
        <w:spacing w:line="360" w:lineRule="auto"/>
        <w:rPr>
          <w:rFonts w:hint="eastAsia"/>
          <w:b/>
          <w:bCs/>
          <w:sz w:val="24"/>
          <w:szCs w:val="32"/>
        </w:rPr>
      </w:pPr>
      <w:r>
        <w:rPr>
          <w:rFonts w:hint="eastAsia"/>
          <w:b/>
          <w:bCs/>
          <w:sz w:val="24"/>
          <w:szCs w:val="32"/>
        </w:rPr>
        <w:t>五、商务响应</w:t>
      </w:r>
    </w:p>
    <w:p w14:paraId="326670EE">
      <w:pPr>
        <w:bidi w:val="0"/>
        <w:spacing w:line="360" w:lineRule="auto"/>
        <w:rPr>
          <w:rFonts w:hint="eastAsia"/>
          <w:b/>
          <w:bCs/>
          <w:sz w:val="24"/>
          <w:szCs w:val="32"/>
        </w:rPr>
      </w:pPr>
      <w:r>
        <w:rPr>
          <w:rFonts w:hint="eastAsia"/>
          <w:b/>
          <w:bCs/>
          <w:sz w:val="24"/>
          <w:szCs w:val="32"/>
          <w:lang w:val="en-US" w:eastAsia="zh-CN"/>
        </w:rPr>
        <w:t>六</w:t>
      </w:r>
      <w:r>
        <w:rPr>
          <w:rFonts w:hint="eastAsia"/>
          <w:b/>
          <w:bCs/>
          <w:sz w:val="24"/>
          <w:szCs w:val="32"/>
        </w:rPr>
        <w:t>、其他资料</w:t>
      </w:r>
    </w:p>
    <w:p w14:paraId="3523A804">
      <w:pPr>
        <w:bidi w:val="0"/>
      </w:pPr>
    </w:p>
    <w:p w14:paraId="3CE19796">
      <w:pPr>
        <w:spacing w:before="156" w:beforeLines="50" w:after="156" w:afterLines="50" w:line="360" w:lineRule="auto"/>
        <w:jc w:val="center"/>
        <w:rPr>
          <w:sz w:val="32"/>
          <w:szCs w:val="32"/>
        </w:rPr>
      </w:pPr>
      <w:r>
        <w:rPr>
          <w:rFonts w:hint="eastAsia"/>
          <w:sz w:val="32"/>
          <w:szCs w:val="32"/>
        </w:rPr>
        <w:br w:type="page"/>
      </w:r>
    </w:p>
    <w:p w14:paraId="5025C468">
      <w:pPr>
        <w:pStyle w:val="3"/>
        <w:bidi w:val="0"/>
        <w:rPr>
          <w:sz w:val="28"/>
          <w:szCs w:val="22"/>
        </w:rPr>
      </w:pPr>
      <w:bookmarkStart w:id="102" w:name="_Toc15981"/>
      <w:bookmarkStart w:id="103" w:name="_Toc24858"/>
      <w:bookmarkStart w:id="104" w:name="_Toc11321"/>
      <w:bookmarkStart w:id="105" w:name="_Toc11617"/>
      <w:r>
        <w:rPr>
          <w:rFonts w:hint="eastAsia"/>
          <w:sz w:val="28"/>
          <w:szCs w:val="22"/>
        </w:rPr>
        <w:t>一、投标函</w:t>
      </w:r>
      <w:bookmarkEnd w:id="81"/>
      <w:bookmarkEnd w:id="102"/>
      <w:bookmarkEnd w:id="103"/>
      <w:bookmarkEnd w:id="104"/>
      <w:bookmarkEnd w:id="105"/>
    </w:p>
    <w:p w14:paraId="129F4DA5">
      <w:pPr>
        <w:spacing w:line="360" w:lineRule="auto"/>
        <w:rPr>
          <w:rFonts w:ascii="宋体" w:hAnsi="宋体"/>
          <w:szCs w:val="21"/>
        </w:rPr>
      </w:pPr>
      <w:bookmarkStart w:id="106" w:name="_Toc21293"/>
      <w:bookmarkStart w:id="107" w:name="_Toc5912"/>
      <w:bookmarkStart w:id="108" w:name="_Toc24001"/>
      <w:bookmarkStart w:id="109" w:name="_Toc28486"/>
      <w:r>
        <w:rPr>
          <w:rFonts w:hint="eastAsia" w:ascii="宋体" w:hAnsi="宋体"/>
          <w:szCs w:val="21"/>
        </w:rPr>
        <w:t>致：</w:t>
      </w:r>
      <w:r>
        <w:rPr>
          <w:rFonts w:hint="eastAsia" w:ascii="宋体" w:hAnsi="宋体"/>
          <w:szCs w:val="21"/>
          <w:u w:val="single"/>
        </w:rPr>
        <w:t>咸阳市中心医院</w:t>
      </w:r>
    </w:p>
    <w:p w14:paraId="699C5194">
      <w:pPr>
        <w:spacing w:line="360" w:lineRule="auto"/>
        <w:ind w:firstLine="420" w:firstLineChars="200"/>
        <w:jc w:val="left"/>
        <w:rPr>
          <w:rFonts w:ascii="宋体" w:hAnsi="宋体" w:cs="宋体"/>
          <w:szCs w:val="21"/>
          <w:u w:val="single"/>
        </w:rPr>
      </w:pPr>
      <w:r>
        <w:rPr>
          <w:rFonts w:hint="eastAsia" w:ascii="宋体" w:hAnsi="宋体" w:cs="宋体"/>
          <w:szCs w:val="21"/>
        </w:rPr>
        <w:t>我单位收到贵单位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cs="宋体"/>
          <w:szCs w:val="21"/>
        </w:rPr>
        <w:t>的招标文件，经详细研究，我们决定参加本次招标活动并投标。为此，我方郑重声明以下内容，并承担法律责任。</w:t>
      </w:r>
    </w:p>
    <w:p w14:paraId="06BD637E">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按照招标文件中规定提供招标货物和技术服务，投标总报价为（大写）</w:t>
      </w:r>
      <w:r>
        <w:rPr>
          <w:rFonts w:hint="eastAsia" w:ascii="宋体" w:hAnsi="宋体" w:cs="宋体"/>
          <w:spacing w:val="40"/>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eastAsia="zh-CN"/>
        </w:rPr>
        <w:t>交付时间（含安装及调试）</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日历天。</w:t>
      </w:r>
    </w:p>
    <w:p w14:paraId="2D6A6EE8">
      <w:pPr>
        <w:numPr>
          <w:ilvl w:val="0"/>
          <w:numId w:val="5"/>
        </w:numPr>
        <w:spacing w:line="360" w:lineRule="auto"/>
        <w:ind w:firstLine="420" w:firstLineChars="200"/>
        <w:rPr>
          <w:rFonts w:ascii="宋体" w:hAnsi="宋体" w:cs="宋体"/>
          <w:szCs w:val="21"/>
        </w:rPr>
      </w:pPr>
      <w:r>
        <w:rPr>
          <w:rFonts w:hint="eastAsia" w:ascii="宋体" w:hAnsi="宋体" w:cs="宋体"/>
          <w:szCs w:val="21"/>
        </w:rPr>
        <w:t>我方同意所递交的投标文件的有效期为</w:t>
      </w:r>
      <w:r>
        <w:rPr>
          <w:rFonts w:hint="eastAsia" w:ascii="宋体" w:hAnsi="宋体" w:cs="宋体"/>
          <w:spacing w:val="6"/>
          <w:kern w:val="0"/>
          <w:szCs w:val="21"/>
          <w:u w:val="single"/>
        </w:rPr>
        <w:t>90天（从提交投标文件的截止之日起算）</w:t>
      </w:r>
      <w:r>
        <w:rPr>
          <w:rFonts w:hint="eastAsia" w:ascii="宋体" w:hAnsi="宋体" w:cs="宋体"/>
          <w:szCs w:val="21"/>
        </w:rPr>
        <w:t>，并承诺在投标有效期内不修改、撤销投标文件。</w:t>
      </w:r>
    </w:p>
    <w:p w14:paraId="762107BA">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本投标人同意遵照招标文件的全部内容，承担招标文件中规定的全部责任和义务，且响应招标文件中的付款方式。</w:t>
      </w:r>
    </w:p>
    <w:p w14:paraId="76721C2B">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我方已仔细阅读了招标文件，包括修改文件（如果有的话）以及全部参考资料和附件，完全理解并同意放弃对这方面有不明及误解的权利。</w:t>
      </w:r>
    </w:p>
    <w:p w14:paraId="66FF3774">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如我方中标：</w:t>
      </w:r>
    </w:p>
    <w:p w14:paraId="124E9C2C">
      <w:pPr>
        <w:pStyle w:val="26"/>
        <w:numPr>
          <w:ilvl w:val="0"/>
          <w:numId w:val="6"/>
        </w:numPr>
        <w:spacing w:line="360" w:lineRule="auto"/>
        <w:ind w:firstLine="420" w:firstLineChars="200"/>
        <w:rPr>
          <w:szCs w:val="21"/>
        </w:rPr>
      </w:pPr>
      <w:r>
        <w:rPr>
          <w:rFonts w:hint="eastAsia"/>
          <w:szCs w:val="21"/>
        </w:rPr>
        <w:t>我方收到中标通知书后，在中标通知书规定的期限内与你方签订合同。</w:t>
      </w:r>
    </w:p>
    <w:p w14:paraId="1C122545">
      <w:pPr>
        <w:pStyle w:val="26"/>
        <w:numPr>
          <w:ilvl w:val="0"/>
          <w:numId w:val="6"/>
        </w:numPr>
        <w:spacing w:line="360" w:lineRule="auto"/>
        <w:ind w:firstLine="420" w:firstLineChars="200"/>
        <w:rPr>
          <w:szCs w:val="21"/>
        </w:rPr>
      </w:pPr>
      <w:r>
        <w:rPr>
          <w:rFonts w:hint="eastAsia"/>
          <w:szCs w:val="21"/>
        </w:rPr>
        <w:t>随同本投标函递交的投标函附录属于合同文件的组成部分。</w:t>
      </w:r>
    </w:p>
    <w:p w14:paraId="7FC27FB4">
      <w:pPr>
        <w:pStyle w:val="26"/>
        <w:numPr>
          <w:ilvl w:val="0"/>
          <w:numId w:val="6"/>
        </w:numPr>
        <w:spacing w:line="360" w:lineRule="auto"/>
        <w:ind w:firstLine="420" w:firstLineChars="200"/>
        <w:rPr>
          <w:szCs w:val="21"/>
        </w:rPr>
      </w:pPr>
      <w:r>
        <w:rPr>
          <w:rFonts w:hint="eastAsia"/>
          <w:szCs w:val="21"/>
        </w:rPr>
        <w:t>我方承诺在合同约定的期限内。每拖延一天，按合同约定处罚。</w:t>
      </w:r>
    </w:p>
    <w:p w14:paraId="0CB0E12E">
      <w:pPr>
        <w:pStyle w:val="26"/>
        <w:numPr>
          <w:ilvl w:val="0"/>
          <w:numId w:val="6"/>
        </w:numPr>
        <w:spacing w:line="360" w:lineRule="auto"/>
        <w:ind w:firstLine="420" w:firstLineChars="200"/>
        <w:rPr>
          <w:szCs w:val="21"/>
        </w:rPr>
      </w:pPr>
      <w:r>
        <w:rPr>
          <w:rFonts w:hint="eastAsia"/>
          <w:szCs w:val="21"/>
        </w:rPr>
        <w:t>我方保证供应货物质量达到投标质量等级，否则，按合同约定处罚。</w:t>
      </w:r>
    </w:p>
    <w:p w14:paraId="76408D5A">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我方在此声明，所递交的投标文件及有交资料内容完整、真实和准确。</w:t>
      </w:r>
    </w:p>
    <w:p w14:paraId="03D3C99E">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我方保证上述投标报价不低于货物成本价。</w:t>
      </w:r>
    </w:p>
    <w:p w14:paraId="7EF96DCD">
      <w:pPr>
        <w:numPr>
          <w:ilvl w:val="0"/>
          <w:numId w:val="5"/>
        </w:numPr>
        <w:spacing w:line="360" w:lineRule="auto"/>
        <w:ind w:firstLine="420" w:firstLineChars="200"/>
        <w:jc w:val="left"/>
        <w:rPr>
          <w:szCs w:val="21"/>
        </w:rPr>
      </w:pPr>
      <w:r>
        <w:rPr>
          <w:rFonts w:hint="eastAsia" w:ascii="宋体" w:hAnsi="宋体" w:cs="宋体"/>
          <w:szCs w:val="21"/>
        </w:rPr>
        <w:t>我方同意向贵方提供可能要求的与其招标有关的一切数据或资料，完全理解最低投标报价不作为中标的唯一条件，且尊重评标委员会的评标结论和定标结果。</w:t>
      </w:r>
    </w:p>
    <w:p w14:paraId="33FCD774">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 xml:space="preserve">如因我方原因放弃中标，我方承诺，将承担因下个中标候选人中标给发包人带来的经济损失。  </w:t>
      </w:r>
    </w:p>
    <w:p w14:paraId="4AD592B3">
      <w:pPr>
        <w:spacing w:line="460" w:lineRule="exact"/>
        <w:ind w:firstLine="525" w:firstLineChars="250"/>
        <w:rPr>
          <w:rFonts w:ascii="宋体"/>
          <w:szCs w:val="21"/>
        </w:rPr>
      </w:pPr>
    </w:p>
    <w:p w14:paraId="129AB800">
      <w:pPr>
        <w:spacing w:line="360" w:lineRule="auto"/>
        <w:ind w:firstLine="525" w:firstLineChars="250"/>
        <w:rPr>
          <w:rFonts w:ascii="宋体"/>
          <w:szCs w:val="21"/>
          <w:u w:val="single"/>
        </w:rPr>
      </w:pP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14:paraId="540358DB">
      <w:pPr>
        <w:spacing w:line="360" w:lineRule="auto"/>
        <w:ind w:firstLine="525" w:firstLineChars="250"/>
        <w:rPr>
          <w:rFonts w:ascii="宋体"/>
          <w:szCs w:val="21"/>
        </w:rPr>
      </w:pPr>
      <w:r>
        <w:rPr>
          <w:rFonts w:hint="eastAsia" w:ascii="宋体" w:hAnsi="宋体"/>
          <w:szCs w:val="21"/>
          <w:lang w:eastAsia="zh-CN"/>
        </w:rPr>
        <w:t>法定代表人（负责人）</w:t>
      </w:r>
      <w:r>
        <w:rPr>
          <w:rFonts w:hint="eastAsia" w:ascii="宋体" w:hAnsi="宋体"/>
          <w:szCs w:val="21"/>
        </w:rPr>
        <w:t>或其委托代理人：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14:paraId="43B133B3">
      <w:pPr>
        <w:spacing w:line="360" w:lineRule="auto"/>
        <w:ind w:firstLine="525" w:firstLineChars="250"/>
        <w:rPr>
          <w:rFonts w:ascii="宋体" w:hAnsi="宋体"/>
          <w:szCs w:val="21"/>
          <w:u w:val="single"/>
        </w:rPr>
      </w:pP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p>
    <w:p w14:paraId="7D61620D">
      <w:pPr>
        <w:pStyle w:val="26"/>
        <w:spacing w:line="360" w:lineRule="auto"/>
        <w:jc w:val="center"/>
        <w:rPr>
          <w:rFonts w:hint="eastAsia" w:ascii="宋体" w:hAnsi="宋体"/>
          <w:szCs w:val="21"/>
        </w:rPr>
        <w:sectPr>
          <w:footerReference r:id="rId4" w:type="default"/>
          <w:pgSz w:w="11906" w:h="16838"/>
          <w:pgMar w:top="1327" w:right="1576" w:bottom="1327" w:left="1576" w:header="851" w:footer="992" w:gutter="0"/>
          <w:cols w:space="425" w:num="1"/>
          <w:docGrid w:type="lines" w:linePitch="312" w:charSpace="0"/>
        </w:sectPr>
      </w:pP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E830633">
      <w:pPr>
        <w:pStyle w:val="3"/>
        <w:bidi w:val="0"/>
        <w:rPr>
          <w:rFonts w:hint="default"/>
          <w:sz w:val="28"/>
          <w:szCs w:val="22"/>
          <w:lang w:val="en-US" w:eastAsia="zh-CN"/>
        </w:rPr>
      </w:pPr>
      <w:r>
        <w:rPr>
          <w:rFonts w:hint="eastAsia"/>
          <w:sz w:val="28"/>
          <w:szCs w:val="22"/>
        </w:rPr>
        <w:t>二、</w:t>
      </w:r>
      <w:r>
        <w:rPr>
          <w:rFonts w:hint="eastAsia"/>
          <w:sz w:val="28"/>
          <w:szCs w:val="22"/>
          <w:lang w:val="en-US" w:eastAsia="zh-CN"/>
        </w:rPr>
        <w:t>开标一览表</w:t>
      </w:r>
    </w:p>
    <w:p w14:paraId="6E343E93">
      <w:pPr>
        <w:pStyle w:val="16"/>
        <w:ind w:left="0" w:leftChars="0" w:firstLine="0" w:firstLineChars="0"/>
      </w:pPr>
    </w:p>
    <w:p w14:paraId="1909B457">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409"/>
        <w:gridCol w:w="2867"/>
        <w:gridCol w:w="1523"/>
        <w:gridCol w:w="900"/>
        <w:gridCol w:w="950"/>
        <w:gridCol w:w="1416"/>
        <w:gridCol w:w="1400"/>
        <w:gridCol w:w="1294"/>
        <w:gridCol w:w="1309"/>
      </w:tblGrid>
      <w:tr w14:paraId="1885E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000F15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4202F17F">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en-US" w:eastAsia="zh-CN"/>
              </w:rPr>
              <w:t>货物</w:t>
            </w:r>
            <w:r>
              <w:rPr>
                <w:rFonts w:hint="eastAsia" w:ascii="宋体" w:hAnsi="宋体" w:cs="宋体"/>
                <w:szCs w:val="21"/>
                <w:lang w:val="zh-CN"/>
              </w:rPr>
              <w:t>名称</w:t>
            </w:r>
          </w:p>
        </w:tc>
        <w:tc>
          <w:tcPr>
            <w:tcW w:w="2867" w:type="dxa"/>
            <w:tcBorders>
              <w:top w:val="single" w:color="auto" w:sz="4" w:space="0"/>
              <w:left w:val="single" w:color="auto" w:sz="4" w:space="0"/>
              <w:bottom w:val="single" w:color="auto" w:sz="4" w:space="0"/>
              <w:right w:val="single" w:color="auto" w:sz="4" w:space="0"/>
            </w:tcBorders>
            <w:vAlign w:val="center"/>
          </w:tcPr>
          <w:p w14:paraId="095384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生产厂家及品牌</w:t>
            </w:r>
          </w:p>
        </w:tc>
        <w:tc>
          <w:tcPr>
            <w:tcW w:w="1523" w:type="dxa"/>
            <w:tcBorders>
              <w:top w:val="single" w:color="auto" w:sz="4" w:space="0"/>
              <w:left w:val="single" w:color="auto" w:sz="4" w:space="0"/>
              <w:bottom w:val="single" w:color="auto" w:sz="4" w:space="0"/>
              <w:right w:val="single" w:color="auto" w:sz="4" w:space="0"/>
            </w:tcBorders>
            <w:vAlign w:val="center"/>
          </w:tcPr>
          <w:p w14:paraId="6B02BD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7ACB4F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rPr>
            </w:pPr>
            <w:r>
              <w:rPr>
                <w:rFonts w:hint="eastAsia" w:ascii="宋体" w:hAnsi="宋体" w:cs="宋体"/>
                <w:szCs w:val="21"/>
              </w:rPr>
              <w:t>单位</w:t>
            </w:r>
          </w:p>
        </w:tc>
        <w:tc>
          <w:tcPr>
            <w:tcW w:w="950" w:type="dxa"/>
            <w:tcBorders>
              <w:top w:val="single" w:color="auto" w:sz="4" w:space="0"/>
              <w:left w:val="single" w:color="auto" w:sz="4" w:space="0"/>
              <w:bottom w:val="single" w:color="auto" w:sz="4" w:space="0"/>
              <w:right w:val="single" w:color="auto" w:sz="4" w:space="0"/>
            </w:tcBorders>
            <w:vAlign w:val="center"/>
          </w:tcPr>
          <w:p w14:paraId="57E52E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数量</w:t>
            </w:r>
          </w:p>
        </w:tc>
        <w:tc>
          <w:tcPr>
            <w:tcW w:w="1416" w:type="dxa"/>
            <w:tcBorders>
              <w:top w:val="single" w:color="auto" w:sz="4" w:space="0"/>
              <w:left w:val="single" w:color="auto" w:sz="4" w:space="0"/>
              <w:bottom w:val="single" w:color="auto" w:sz="4" w:space="0"/>
              <w:right w:val="single" w:color="auto" w:sz="4" w:space="0"/>
            </w:tcBorders>
            <w:vAlign w:val="center"/>
          </w:tcPr>
          <w:p w14:paraId="1529F7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单价（</w:t>
            </w:r>
            <w:r>
              <w:rPr>
                <w:rFonts w:hint="eastAsia" w:ascii="宋体" w:hAnsi="宋体" w:cs="宋体"/>
                <w:szCs w:val="21"/>
                <w:lang w:val="en-US" w:eastAsia="zh-CN"/>
              </w:rPr>
              <w:t>元</w:t>
            </w:r>
            <w:r>
              <w:rPr>
                <w:rFonts w:hint="eastAsia" w:ascii="宋体" w:hAnsi="宋体" w:cs="宋体"/>
                <w:szCs w:val="21"/>
                <w:lang w:val="zh-CN"/>
              </w:rPr>
              <w:t>）</w:t>
            </w:r>
          </w:p>
        </w:tc>
        <w:tc>
          <w:tcPr>
            <w:tcW w:w="1400" w:type="dxa"/>
            <w:tcBorders>
              <w:top w:val="single" w:color="auto" w:sz="4" w:space="0"/>
              <w:left w:val="single" w:color="auto" w:sz="4" w:space="0"/>
              <w:bottom w:val="single" w:color="auto" w:sz="4" w:space="0"/>
              <w:right w:val="single" w:color="auto" w:sz="4" w:space="0"/>
            </w:tcBorders>
            <w:vAlign w:val="center"/>
          </w:tcPr>
          <w:p w14:paraId="67F387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交付时间</w:t>
            </w:r>
          </w:p>
        </w:tc>
        <w:tc>
          <w:tcPr>
            <w:tcW w:w="1294" w:type="dxa"/>
            <w:tcBorders>
              <w:top w:val="single" w:color="auto" w:sz="4" w:space="0"/>
              <w:left w:val="single" w:color="auto" w:sz="4" w:space="0"/>
              <w:bottom w:val="single" w:color="auto" w:sz="4" w:space="0"/>
              <w:right w:val="single" w:color="auto" w:sz="4" w:space="0"/>
            </w:tcBorders>
            <w:vAlign w:val="center"/>
          </w:tcPr>
          <w:p w14:paraId="4BD9618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质保期</w:t>
            </w:r>
          </w:p>
        </w:tc>
        <w:tc>
          <w:tcPr>
            <w:tcW w:w="1309" w:type="dxa"/>
            <w:tcBorders>
              <w:top w:val="single" w:color="auto" w:sz="4" w:space="0"/>
              <w:left w:val="single" w:color="auto" w:sz="4" w:space="0"/>
              <w:bottom w:val="single" w:color="auto" w:sz="4" w:space="0"/>
              <w:right w:val="single" w:color="auto" w:sz="4" w:space="0"/>
            </w:tcBorders>
            <w:vAlign w:val="center"/>
          </w:tcPr>
          <w:p w14:paraId="57A3B1F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63789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6F12825D">
            <w:pPr>
              <w:spacing w:line="400" w:lineRule="atLeast"/>
              <w:jc w:val="center"/>
              <w:rPr>
                <w:rFonts w:ascii="宋体" w:hAnsi="宋体" w:cs="宋体"/>
                <w:szCs w:val="21"/>
                <w:lang w:val="zh-CN"/>
              </w:rPr>
            </w:pPr>
          </w:p>
        </w:tc>
        <w:tc>
          <w:tcPr>
            <w:tcW w:w="1409" w:type="dxa"/>
            <w:tcBorders>
              <w:top w:val="single" w:color="auto" w:sz="4" w:space="0"/>
              <w:left w:val="single" w:color="auto" w:sz="4" w:space="0"/>
              <w:bottom w:val="single" w:color="auto" w:sz="4" w:space="0"/>
              <w:right w:val="single" w:color="auto" w:sz="4" w:space="0"/>
            </w:tcBorders>
            <w:vAlign w:val="center"/>
          </w:tcPr>
          <w:p w14:paraId="5144D34B">
            <w:pPr>
              <w:spacing w:line="400" w:lineRule="atLeast"/>
              <w:ind w:right="893"/>
              <w:jc w:val="center"/>
              <w:rPr>
                <w:rFonts w:ascii="宋体" w:hAnsi="宋体" w:cs="宋体"/>
                <w:szCs w:val="21"/>
                <w:lang w:val="zh-CN"/>
              </w:rPr>
            </w:pPr>
          </w:p>
        </w:tc>
        <w:tc>
          <w:tcPr>
            <w:tcW w:w="2867" w:type="dxa"/>
            <w:tcBorders>
              <w:top w:val="single" w:color="auto" w:sz="4" w:space="0"/>
              <w:left w:val="single" w:color="auto" w:sz="4" w:space="0"/>
              <w:bottom w:val="single" w:color="auto" w:sz="4" w:space="0"/>
              <w:right w:val="single" w:color="auto" w:sz="4" w:space="0"/>
            </w:tcBorders>
            <w:vAlign w:val="center"/>
          </w:tcPr>
          <w:p w14:paraId="221B3D84">
            <w:pPr>
              <w:spacing w:line="400" w:lineRule="atLeast"/>
              <w:ind w:right="893"/>
              <w:rPr>
                <w:rFonts w:ascii="宋体" w:hAnsi="宋体" w:cs="宋体"/>
                <w:szCs w:val="21"/>
                <w:lang w:val="zh-CN"/>
              </w:rPr>
            </w:pPr>
          </w:p>
        </w:tc>
        <w:tc>
          <w:tcPr>
            <w:tcW w:w="1523" w:type="dxa"/>
            <w:tcBorders>
              <w:top w:val="single" w:color="auto" w:sz="4" w:space="0"/>
              <w:left w:val="single" w:color="auto" w:sz="4" w:space="0"/>
              <w:bottom w:val="single" w:color="auto" w:sz="4" w:space="0"/>
              <w:right w:val="single" w:color="auto" w:sz="4" w:space="0"/>
            </w:tcBorders>
            <w:vAlign w:val="center"/>
          </w:tcPr>
          <w:p w14:paraId="639E0522">
            <w:pPr>
              <w:spacing w:line="400" w:lineRule="atLeast"/>
              <w:ind w:right="893"/>
              <w:rPr>
                <w:rFonts w:ascii="宋体" w:hAnsi="宋体" w:cs="宋体"/>
                <w:szCs w:val="21"/>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783B28C5">
            <w:pPr>
              <w:spacing w:line="400" w:lineRule="atLeast"/>
              <w:ind w:right="893"/>
              <w:jc w:val="center"/>
              <w:rPr>
                <w:rFonts w:ascii="宋体" w:hAnsi="宋体" w:cs="宋体"/>
                <w:szCs w:val="21"/>
                <w:lang w:val="zh-CN"/>
              </w:rPr>
            </w:pPr>
          </w:p>
        </w:tc>
        <w:tc>
          <w:tcPr>
            <w:tcW w:w="950" w:type="dxa"/>
            <w:tcBorders>
              <w:top w:val="single" w:color="auto" w:sz="4" w:space="0"/>
              <w:left w:val="single" w:color="auto" w:sz="4" w:space="0"/>
              <w:bottom w:val="single" w:color="auto" w:sz="4" w:space="0"/>
              <w:right w:val="single" w:color="auto" w:sz="4" w:space="0"/>
            </w:tcBorders>
            <w:vAlign w:val="center"/>
          </w:tcPr>
          <w:p w14:paraId="2C5E3109">
            <w:pPr>
              <w:spacing w:line="400" w:lineRule="atLeast"/>
              <w:ind w:right="893"/>
              <w:jc w:val="center"/>
              <w:rPr>
                <w:rFonts w:ascii="宋体" w:hAnsi="宋体" w:cs="宋体"/>
                <w:szCs w:val="21"/>
                <w:lang w:val="zh-CN"/>
              </w:rPr>
            </w:pPr>
          </w:p>
        </w:tc>
        <w:tc>
          <w:tcPr>
            <w:tcW w:w="1416" w:type="dxa"/>
            <w:tcBorders>
              <w:top w:val="single" w:color="auto" w:sz="4" w:space="0"/>
              <w:left w:val="single" w:color="auto" w:sz="4" w:space="0"/>
              <w:bottom w:val="single" w:color="auto" w:sz="4" w:space="0"/>
              <w:right w:val="single" w:color="auto" w:sz="4" w:space="0"/>
            </w:tcBorders>
            <w:vAlign w:val="center"/>
          </w:tcPr>
          <w:p w14:paraId="77D923F0">
            <w:pPr>
              <w:spacing w:line="400" w:lineRule="atLeast"/>
              <w:ind w:right="893"/>
              <w:jc w:val="center"/>
              <w:rPr>
                <w:rFonts w:ascii="宋体" w:hAnsi="宋体" w:cs="宋体"/>
                <w:szCs w:val="21"/>
                <w:lang w:val="zh-CN"/>
              </w:rPr>
            </w:pPr>
          </w:p>
        </w:tc>
        <w:tc>
          <w:tcPr>
            <w:tcW w:w="1400" w:type="dxa"/>
            <w:tcBorders>
              <w:top w:val="single" w:color="auto" w:sz="4" w:space="0"/>
              <w:left w:val="single" w:color="auto" w:sz="4" w:space="0"/>
              <w:bottom w:val="single" w:color="auto" w:sz="4" w:space="0"/>
              <w:right w:val="single" w:color="auto" w:sz="4" w:space="0"/>
            </w:tcBorders>
            <w:vAlign w:val="center"/>
          </w:tcPr>
          <w:p w14:paraId="5737E263">
            <w:pPr>
              <w:spacing w:line="400" w:lineRule="atLeast"/>
              <w:ind w:right="893"/>
              <w:jc w:val="center"/>
              <w:rPr>
                <w:rFonts w:ascii="宋体" w:hAnsi="宋体" w:cs="宋体"/>
                <w:szCs w:val="21"/>
                <w:lang w:val="zh-CN"/>
              </w:rPr>
            </w:pPr>
          </w:p>
        </w:tc>
        <w:tc>
          <w:tcPr>
            <w:tcW w:w="1294" w:type="dxa"/>
            <w:tcBorders>
              <w:top w:val="single" w:color="auto" w:sz="4" w:space="0"/>
              <w:left w:val="single" w:color="auto" w:sz="4" w:space="0"/>
              <w:bottom w:val="single" w:color="auto" w:sz="4" w:space="0"/>
              <w:right w:val="single" w:color="auto" w:sz="4" w:space="0"/>
            </w:tcBorders>
            <w:vAlign w:val="center"/>
          </w:tcPr>
          <w:p w14:paraId="1CA77DD5">
            <w:pPr>
              <w:spacing w:line="400" w:lineRule="atLeast"/>
              <w:ind w:right="893"/>
              <w:jc w:val="center"/>
              <w:rPr>
                <w:rFonts w:ascii="宋体" w:hAnsi="宋体" w:cs="宋体"/>
                <w:szCs w:val="21"/>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20DF9869">
            <w:pPr>
              <w:spacing w:line="400" w:lineRule="atLeast"/>
              <w:ind w:right="893"/>
              <w:jc w:val="center"/>
              <w:rPr>
                <w:rFonts w:ascii="宋体" w:hAnsi="宋体" w:cs="宋体"/>
                <w:szCs w:val="21"/>
                <w:lang w:val="zh-CN"/>
              </w:rPr>
            </w:pPr>
          </w:p>
        </w:tc>
      </w:tr>
      <w:tr w14:paraId="05EF2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6830005E">
            <w:pPr>
              <w:spacing w:line="400" w:lineRule="atLeast"/>
              <w:jc w:val="center"/>
              <w:rPr>
                <w:rFonts w:ascii="宋体" w:hAnsi="宋体" w:cs="宋体"/>
                <w:szCs w:val="21"/>
                <w:lang w:val="zh-CN"/>
              </w:rPr>
            </w:pPr>
          </w:p>
        </w:tc>
        <w:tc>
          <w:tcPr>
            <w:tcW w:w="1409" w:type="dxa"/>
            <w:tcBorders>
              <w:top w:val="single" w:color="auto" w:sz="4" w:space="0"/>
              <w:left w:val="single" w:color="auto" w:sz="4" w:space="0"/>
              <w:bottom w:val="single" w:color="auto" w:sz="4" w:space="0"/>
              <w:right w:val="single" w:color="auto" w:sz="4" w:space="0"/>
            </w:tcBorders>
            <w:vAlign w:val="center"/>
          </w:tcPr>
          <w:p w14:paraId="28C4331E">
            <w:pPr>
              <w:spacing w:line="400" w:lineRule="atLeast"/>
              <w:ind w:right="893"/>
              <w:jc w:val="center"/>
              <w:rPr>
                <w:rFonts w:ascii="宋体" w:hAnsi="宋体" w:cs="宋体"/>
                <w:szCs w:val="21"/>
                <w:lang w:val="zh-CN"/>
              </w:rPr>
            </w:pPr>
          </w:p>
        </w:tc>
        <w:tc>
          <w:tcPr>
            <w:tcW w:w="2867" w:type="dxa"/>
            <w:tcBorders>
              <w:top w:val="single" w:color="auto" w:sz="4" w:space="0"/>
              <w:left w:val="single" w:color="auto" w:sz="4" w:space="0"/>
              <w:bottom w:val="single" w:color="auto" w:sz="4" w:space="0"/>
              <w:right w:val="single" w:color="auto" w:sz="4" w:space="0"/>
            </w:tcBorders>
            <w:vAlign w:val="center"/>
          </w:tcPr>
          <w:p w14:paraId="3D84F6AA">
            <w:pPr>
              <w:spacing w:line="400" w:lineRule="atLeast"/>
              <w:ind w:right="893"/>
              <w:rPr>
                <w:rFonts w:ascii="宋体" w:hAnsi="宋体" w:cs="宋体"/>
                <w:szCs w:val="21"/>
                <w:lang w:val="zh-CN"/>
              </w:rPr>
            </w:pPr>
          </w:p>
        </w:tc>
        <w:tc>
          <w:tcPr>
            <w:tcW w:w="1523" w:type="dxa"/>
            <w:tcBorders>
              <w:top w:val="single" w:color="auto" w:sz="4" w:space="0"/>
              <w:left w:val="single" w:color="auto" w:sz="4" w:space="0"/>
              <w:bottom w:val="single" w:color="auto" w:sz="4" w:space="0"/>
              <w:right w:val="single" w:color="auto" w:sz="4" w:space="0"/>
            </w:tcBorders>
            <w:vAlign w:val="center"/>
          </w:tcPr>
          <w:p w14:paraId="2799975B">
            <w:pPr>
              <w:spacing w:line="400" w:lineRule="atLeast"/>
              <w:ind w:right="893"/>
              <w:rPr>
                <w:rFonts w:ascii="宋体" w:hAnsi="宋体" w:cs="宋体"/>
                <w:szCs w:val="21"/>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66938AA1">
            <w:pPr>
              <w:spacing w:line="400" w:lineRule="atLeast"/>
              <w:ind w:right="893"/>
              <w:jc w:val="center"/>
              <w:rPr>
                <w:rFonts w:ascii="宋体" w:hAnsi="宋体" w:cs="宋体"/>
                <w:szCs w:val="21"/>
                <w:lang w:val="zh-CN"/>
              </w:rPr>
            </w:pPr>
          </w:p>
        </w:tc>
        <w:tc>
          <w:tcPr>
            <w:tcW w:w="950" w:type="dxa"/>
            <w:tcBorders>
              <w:top w:val="single" w:color="auto" w:sz="4" w:space="0"/>
              <w:left w:val="single" w:color="auto" w:sz="4" w:space="0"/>
              <w:bottom w:val="single" w:color="auto" w:sz="4" w:space="0"/>
              <w:right w:val="single" w:color="auto" w:sz="4" w:space="0"/>
            </w:tcBorders>
            <w:vAlign w:val="center"/>
          </w:tcPr>
          <w:p w14:paraId="6D6CC686">
            <w:pPr>
              <w:spacing w:line="400" w:lineRule="atLeast"/>
              <w:ind w:right="893"/>
              <w:jc w:val="center"/>
              <w:rPr>
                <w:rFonts w:ascii="宋体" w:hAnsi="宋体" w:cs="宋体"/>
                <w:szCs w:val="21"/>
                <w:lang w:val="zh-CN"/>
              </w:rPr>
            </w:pPr>
          </w:p>
        </w:tc>
        <w:tc>
          <w:tcPr>
            <w:tcW w:w="1416" w:type="dxa"/>
            <w:tcBorders>
              <w:top w:val="single" w:color="auto" w:sz="4" w:space="0"/>
              <w:left w:val="single" w:color="auto" w:sz="4" w:space="0"/>
              <w:bottom w:val="single" w:color="auto" w:sz="4" w:space="0"/>
              <w:right w:val="single" w:color="auto" w:sz="4" w:space="0"/>
            </w:tcBorders>
            <w:vAlign w:val="center"/>
          </w:tcPr>
          <w:p w14:paraId="136F8137">
            <w:pPr>
              <w:spacing w:line="400" w:lineRule="atLeast"/>
              <w:ind w:right="893"/>
              <w:jc w:val="center"/>
              <w:rPr>
                <w:rFonts w:ascii="宋体" w:hAnsi="宋体" w:cs="宋体"/>
                <w:szCs w:val="21"/>
                <w:lang w:val="zh-CN"/>
              </w:rPr>
            </w:pPr>
          </w:p>
        </w:tc>
        <w:tc>
          <w:tcPr>
            <w:tcW w:w="1400" w:type="dxa"/>
            <w:tcBorders>
              <w:top w:val="single" w:color="auto" w:sz="4" w:space="0"/>
              <w:left w:val="single" w:color="auto" w:sz="4" w:space="0"/>
              <w:bottom w:val="single" w:color="auto" w:sz="4" w:space="0"/>
              <w:right w:val="single" w:color="auto" w:sz="4" w:space="0"/>
            </w:tcBorders>
            <w:vAlign w:val="center"/>
          </w:tcPr>
          <w:p w14:paraId="7A99EEEC">
            <w:pPr>
              <w:spacing w:line="400" w:lineRule="atLeast"/>
              <w:ind w:right="893"/>
              <w:jc w:val="center"/>
              <w:rPr>
                <w:rFonts w:ascii="宋体" w:hAnsi="宋体" w:cs="宋体"/>
                <w:szCs w:val="21"/>
                <w:lang w:val="zh-CN"/>
              </w:rPr>
            </w:pPr>
          </w:p>
        </w:tc>
        <w:tc>
          <w:tcPr>
            <w:tcW w:w="1294" w:type="dxa"/>
            <w:tcBorders>
              <w:top w:val="single" w:color="auto" w:sz="4" w:space="0"/>
              <w:left w:val="single" w:color="auto" w:sz="4" w:space="0"/>
              <w:bottom w:val="single" w:color="auto" w:sz="4" w:space="0"/>
              <w:right w:val="single" w:color="auto" w:sz="4" w:space="0"/>
            </w:tcBorders>
            <w:vAlign w:val="center"/>
          </w:tcPr>
          <w:p w14:paraId="6033C122">
            <w:pPr>
              <w:spacing w:line="400" w:lineRule="atLeast"/>
              <w:ind w:right="893"/>
              <w:jc w:val="center"/>
              <w:rPr>
                <w:rFonts w:ascii="宋体" w:hAnsi="宋体" w:cs="宋体"/>
                <w:szCs w:val="21"/>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30815EE0">
            <w:pPr>
              <w:spacing w:line="400" w:lineRule="atLeast"/>
              <w:ind w:right="893"/>
              <w:jc w:val="center"/>
              <w:rPr>
                <w:rFonts w:ascii="宋体" w:hAnsi="宋体" w:cs="宋体"/>
                <w:szCs w:val="21"/>
                <w:lang w:val="zh-CN"/>
              </w:rPr>
            </w:pPr>
          </w:p>
        </w:tc>
      </w:tr>
      <w:tr w14:paraId="4EE1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301" w:type="dxa"/>
            <w:gridSpan w:val="2"/>
            <w:tcBorders>
              <w:top w:val="single" w:color="auto" w:sz="4" w:space="0"/>
              <w:left w:val="single" w:color="auto" w:sz="4" w:space="0"/>
              <w:bottom w:val="single" w:color="auto" w:sz="4" w:space="0"/>
              <w:right w:val="single" w:color="auto" w:sz="4" w:space="0"/>
            </w:tcBorders>
            <w:vAlign w:val="center"/>
          </w:tcPr>
          <w:p w14:paraId="03693B89">
            <w:pPr>
              <w:keepNext w:val="0"/>
              <w:keepLines w:val="0"/>
              <w:pageBreakBefore w:val="0"/>
              <w:widowControl w:val="0"/>
              <w:kinsoku/>
              <w:wordWrap/>
              <w:overflowPunct/>
              <w:topLinePunct w:val="0"/>
              <w:autoSpaceDE/>
              <w:autoSpaceDN/>
              <w:bidi w:val="0"/>
              <w:adjustRightInd/>
              <w:snapToGrid/>
              <w:spacing w:line="240" w:lineRule="auto"/>
              <w:ind w:right="-108"/>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投标总价（元）</w:t>
            </w:r>
          </w:p>
        </w:tc>
        <w:tc>
          <w:tcPr>
            <w:tcW w:w="11659" w:type="dxa"/>
            <w:gridSpan w:val="8"/>
            <w:tcBorders>
              <w:top w:val="single" w:color="auto" w:sz="4" w:space="0"/>
              <w:left w:val="single" w:color="auto" w:sz="4" w:space="0"/>
              <w:bottom w:val="single" w:color="auto" w:sz="4" w:space="0"/>
              <w:right w:val="single" w:color="auto" w:sz="4" w:space="0"/>
            </w:tcBorders>
            <w:vAlign w:val="center"/>
          </w:tcPr>
          <w:p w14:paraId="7CBB36C8">
            <w:pPr>
              <w:spacing w:line="400" w:lineRule="atLeast"/>
              <w:ind w:right="893"/>
              <w:jc w:val="both"/>
              <w:rPr>
                <w:rFonts w:hint="eastAsia" w:ascii="宋体" w:hAnsi="宋体" w:cs="宋体"/>
                <w:szCs w:val="21"/>
                <w:lang w:val="en-US" w:eastAsia="zh-CN"/>
              </w:rPr>
            </w:pPr>
            <w:r>
              <w:rPr>
                <w:rFonts w:hint="eastAsia" w:ascii="宋体" w:hAnsi="宋体" w:cs="宋体"/>
                <w:szCs w:val="21"/>
                <w:lang w:val="zh-CN"/>
              </w:rPr>
              <w:t xml:space="preserve">大写：                         </w:t>
            </w:r>
            <w:r>
              <w:rPr>
                <w:rFonts w:hint="eastAsia" w:ascii="宋体" w:hAnsi="宋体" w:cs="宋体"/>
                <w:szCs w:val="21"/>
                <w:lang w:val="en-US" w:eastAsia="zh-CN"/>
              </w:rPr>
              <w:t xml:space="preserve"> </w:t>
            </w:r>
          </w:p>
          <w:p w14:paraId="5A312C9E">
            <w:pPr>
              <w:spacing w:line="400" w:lineRule="atLeast"/>
              <w:ind w:right="893"/>
              <w:jc w:val="both"/>
              <w:rPr>
                <w:rFonts w:ascii="宋体" w:hAnsi="宋体" w:cs="宋体"/>
                <w:szCs w:val="21"/>
                <w:lang w:val="zh-CN"/>
              </w:rPr>
            </w:pPr>
            <w:r>
              <w:rPr>
                <w:rFonts w:hint="eastAsia" w:ascii="宋体" w:hAnsi="宋体" w:cs="宋体"/>
                <w:szCs w:val="21"/>
                <w:lang w:val="zh-CN"/>
              </w:rPr>
              <w:t>小写：</w:t>
            </w:r>
          </w:p>
        </w:tc>
      </w:tr>
    </w:tbl>
    <w:p w14:paraId="67994CF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szCs w:val="21"/>
        </w:rPr>
      </w:pPr>
      <w:r>
        <w:rPr>
          <w:rFonts w:hint="eastAsia" w:ascii="宋体" w:hAnsi="宋体" w:cs="宋体"/>
          <w:szCs w:val="21"/>
        </w:rPr>
        <w:t>注：1、请投标人完整填写本表</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可扩展，逐页签字或盖章。</w:t>
      </w:r>
    </w:p>
    <w:p w14:paraId="3FCDA7C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报价</w:t>
      </w:r>
      <w:r>
        <w:rPr>
          <w:rFonts w:hint="eastAsia" w:ascii="宋体" w:hAnsi="宋体" w:cs="宋体"/>
          <w:szCs w:val="21"/>
          <w:lang w:val="en-US" w:eastAsia="zh-CN"/>
        </w:rPr>
        <w:t>合计</w:t>
      </w:r>
      <w:r>
        <w:rPr>
          <w:rFonts w:hint="eastAsia" w:ascii="宋体" w:hAnsi="宋体" w:cs="宋体"/>
          <w:szCs w:val="21"/>
        </w:rPr>
        <w:t>应是采购项目中货物最终用户验收合格的总价，包括货物所需备件运输、保险、代理、安装调试、培训、税费和招标文件规定的其他费用，如有遗漏，视为已包含在内。</w:t>
      </w:r>
    </w:p>
    <w:p w14:paraId="03C9CE39">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449F83B3">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A73017E">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E430BA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309232C">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38A4ECB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215DEAA8">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2.1</w:t>
      </w:r>
      <w:r>
        <w:rPr>
          <w:rFonts w:hint="eastAsia" w:ascii="宋体" w:hAnsi="宋体" w:cs="微软雅黑"/>
          <w:color w:val="000000"/>
          <w:sz w:val="24"/>
          <w:szCs w:val="24"/>
        </w:rPr>
        <w:t>投标分项报价表</w:t>
      </w:r>
    </w:p>
    <w:p w14:paraId="5AD63C26">
      <w:pPr>
        <w:widowControl/>
        <w:spacing w:line="360" w:lineRule="auto"/>
        <w:ind w:left="-4" w:firstLine="1"/>
        <w:jc w:val="left"/>
        <w:rPr>
          <w:rFonts w:hint="eastAsia" w:ascii="宋体" w:hAnsi="宋体" w:cs="微软雅黑"/>
          <w:color w:val="000000"/>
          <w:sz w:val="21"/>
          <w:szCs w:val="21"/>
          <w:lang w:val="en-US" w:eastAsia="zh-CN"/>
        </w:rPr>
      </w:pPr>
    </w:p>
    <w:p w14:paraId="5EDC6CDB">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416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80"/>
        <w:gridCol w:w="2025"/>
        <w:gridCol w:w="1635"/>
        <w:gridCol w:w="1470"/>
        <w:gridCol w:w="1320"/>
        <w:gridCol w:w="1560"/>
        <w:gridCol w:w="1605"/>
        <w:gridCol w:w="885"/>
      </w:tblGrid>
      <w:tr w14:paraId="43B3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0" w:type="dxa"/>
            <w:noWrap w:val="0"/>
            <w:vAlign w:val="center"/>
          </w:tcPr>
          <w:p w14:paraId="274970B9">
            <w:pPr>
              <w:pStyle w:val="50"/>
              <w:spacing w:line="240" w:lineRule="auto"/>
              <w:ind w:firstLine="0"/>
              <w:jc w:val="center"/>
              <w:rPr>
                <w:rFonts w:ascii="宋体" w:hAnsi="宋体"/>
                <w:sz w:val="21"/>
                <w:szCs w:val="21"/>
              </w:rPr>
            </w:pPr>
            <w:r>
              <w:rPr>
                <w:rFonts w:hint="eastAsia" w:ascii="宋体" w:hAnsi="宋体"/>
                <w:sz w:val="21"/>
                <w:szCs w:val="21"/>
              </w:rPr>
              <w:t>序号</w:t>
            </w:r>
          </w:p>
        </w:tc>
        <w:tc>
          <w:tcPr>
            <w:tcW w:w="2880" w:type="dxa"/>
            <w:noWrap w:val="0"/>
            <w:vAlign w:val="center"/>
          </w:tcPr>
          <w:p w14:paraId="1F0FA20C">
            <w:pPr>
              <w:adjustRightInd w:val="0"/>
              <w:snapToGrid w:val="0"/>
              <w:jc w:val="center"/>
              <w:rPr>
                <w:rFonts w:ascii="宋体" w:hAnsi="宋体"/>
                <w:sz w:val="21"/>
                <w:szCs w:val="21"/>
              </w:rPr>
            </w:pPr>
            <w:r>
              <w:rPr>
                <w:rFonts w:hint="eastAsia" w:ascii="宋体" w:hAnsi="宋体"/>
                <w:sz w:val="21"/>
                <w:szCs w:val="21"/>
              </w:rPr>
              <w:t>名称</w:t>
            </w:r>
          </w:p>
        </w:tc>
        <w:tc>
          <w:tcPr>
            <w:tcW w:w="2025" w:type="dxa"/>
            <w:noWrap w:val="0"/>
            <w:vAlign w:val="center"/>
          </w:tcPr>
          <w:p w14:paraId="28BB298F">
            <w:pPr>
              <w:adjustRightInd w:val="0"/>
              <w:snapToGrid w:val="0"/>
              <w:jc w:val="center"/>
              <w:rPr>
                <w:rFonts w:ascii="宋体" w:hAnsi="宋体"/>
                <w:sz w:val="21"/>
                <w:szCs w:val="21"/>
              </w:rPr>
            </w:pPr>
            <w:r>
              <w:rPr>
                <w:rFonts w:hint="eastAsia" w:ascii="宋体" w:hAnsi="宋体"/>
                <w:sz w:val="21"/>
                <w:szCs w:val="21"/>
              </w:rPr>
              <w:t>规格型号</w:t>
            </w:r>
          </w:p>
        </w:tc>
        <w:tc>
          <w:tcPr>
            <w:tcW w:w="1635" w:type="dxa"/>
            <w:noWrap w:val="0"/>
            <w:vAlign w:val="center"/>
          </w:tcPr>
          <w:p w14:paraId="624E6A9E">
            <w:pPr>
              <w:adjustRightInd w:val="0"/>
              <w:snapToGrid w:val="0"/>
              <w:jc w:val="center"/>
              <w:rPr>
                <w:rFonts w:ascii="宋体" w:hAnsi="宋体"/>
                <w:sz w:val="21"/>
                <w:szCs w:val="21"/>
              </w:rPr>
            </w:pPr>
            <w:r>
              <w:rPr>
                <w:rFonts w:hint="eastAsia" w:ascii="宋体" w:hAnsi="宋体"/>
                <w:sz w:val="21"/>
                <w:szCs w:val="21"/>
              </w:rPr>
              <w:t>品牌</w:t>
            </w:r>
          </w:p>
        </w:tc>
        <w:tc>
          <w:tcPr>
            <w:tcW w:w="1470" w:type="dxa"/>
            <w:noWrap w:val="0"/>
            <w:vAlign w:val="center"/>
          </w:tcPr>
          <w:p w14:paraId="376DA0DA">
            <w:pPr>
              <w:adjustRightInd w:val="0"/>
              <w:snapToGrid w:val="0"/>
              <w:jc w:val="center"/>
              <w:rPr>
                <w:rFonts w:ascii="宋体" w:hAnsi="宋体"/>
                <w:sz w:val="21"/>
                <w:szCs w:val="21"/>
              </w:rPr>
            </w:pPr>
            <w:r>
              <w:rPr>
                <w:rFonts w:hint="eastAsia" w:ascii="宋体" w:hAnsi="宋体"/>
                <w:sz w:val="21"/>
                <w:szCs w:val="21"/>
              </w:rPr>
              <w:t>数量</w:t>
            </w:r>
          </w:p>
        </w:tc>
        <w:tc>
          <w:tcPr>
            <w:tcW w:w="1320" w:type="dxa"/>
            <w:noWrap w:val="0"/>
            <w:vAlign w:val="center"/>
          </w:tcPr>
          <w:p w14:paraId="78B08BBA">
            <w:pPr>
              <w:adjustRightInd w:val="0"/>
              <w:snapToGrid w:val="0"/>
              <w:jc w:val="center"/>
              <w:rPr>
                <w:rFonts w:ascii="宋体" w:hAnsi="宋体"/>
                <w:sz w:val="21"/>
                <w:szCs w:val="21"/>
              </w:rPr>
            </w:pPr>
            <w:r>
              <w:rPr>
                <w:rFonts w:hint="eastAsia" w:ascii="宋体" w:hAnsi="宋体"/>
                <w:sz w:val="21"/>
                <w:szCs w:val="21"/>
              </w:rPr>
              <w:t>单位</w:t>
            </w:r>
          </w:p>
        </w:tc>
        <w:tc>
          <w:tcPr>
            <w:tcW w:w="1560" w:type="dxa"/>
            <w:noWrap w:val="0"/>
            <w:vAlign w:val="center"/>
          </w:tcPr>
          <w:p w14:paraId="54D13618">
            <w:pPr>
              <w:adjustRightInd w:val="0"/>
              <w:snapToGrid w:val="0"/>
              <w:jc w:val="center"/>
              <w:rPr>
                <w:rFonts w:hint="eastAsia" w:ascii="宋体" w:hAnsi="宋体" w:eastAsia="宋体"/>
                <w:sz w:val="21"/>
                <w:szCs w:val="21"/>
                <w:lang w:eastAsia="zh-CN"/>
              </w:rPr>
            </w:pPr>
            <w:r>
              <w:rPr>
                <w:rFonts w:hint="eastAsia" w:ascii="宋体" w:hAnsi="宋体"/>
                <w:sz w:val="21"/>
                <w:szCs w:val="21"/>
              </w:rPr>
              <w:t>单价</w:t>
            </w:r>
            <w:r>
              <w:rPr>
                <w:rFonts w:hint="eastAsia" w:ascii="宋体" w:hAnsi="宋体"/>
                <w:sz w:val="21"/>
                <w:szCs w:val="21"/>
                <w:lang w:eastAsia="zh-CN"/>
              </w:rPr>
              <w:t>（</w:t>
            </w:r>
            <w:r>
              <w:rPr>
                <w:rFonts w:hint="eastAsia" w:ascii="宋体" w:hAnsi="宋体"/>
                <w:sz w:val="21"/>
                <w:szCs w:val="21"/>
                <w:lang w:val="en-US" w:eastAsia="zh-CN"/>
              </w:rPr>
              <w:t>元</w:t>
            </w:r>
            <w:r>
              <w:rPr>
                <w:rFonts w:hint="eastAsia" w:ascii="宋体" w:hAnsi="宋体"/>
                <w:sz w:val="21"/>
                <w:szCs w:val="21"/>
                <w:lang w:eastAsia="zh-CN"/>
              </w:rPr>
              <w:t>）</w:t>
            </w:r>
          </w:p>
        </w:tc>
        <w:tc>
          <w:tcPr>
            <w:tcW w:w="1605" w:type="dxa"/>
            <w:noWrap w:val="0"/>
            <w:vAlign w:val="center"/>
          </w:tcPr>
          <w:p w14:paraId="656B0968">
            <w:pPr>
              <w:adjustRightInd w:val="0"/>
              <w:snapToGrid w:val="0"/>
              <w:jc w:val="center"/>
              <w:rPr>
                <w:rFonts w:hint="default" w:ascii="宋体" w:hAnsi="宋体" w:eastAsia="宋体"/>
                <w:sz w:val="21"/>
                <w:szCs w:val="21"/>
                <w:lang w:val="en-US" w:eastAsia="zh-CN"/>
              </w:rPr>
            </w:pPr>
            <w:r>
              <w:rPr>
                <w:rFonts w:hint="eastAsia" w:ascii="宋体" w:hAnsi="宋体"/>
                <w:sz w:val="21"/>
                <w:szCs w:val="21"/>
                <w:lang w:val="en-US" w:eastAsia="zh-CN"/>
              </w:rPr>
              <w:t>总价（元）</w:t>
            </w:r>
          </w:p>
        </w:tc>
        <w:tc>
          <w:tcPr>
            <w:tcW w:w="885" w:type="dxa"/>
            <w:noWrap w:val="0"/>
            <w:vAlign w:val="center"/>
          </w:tcPr>
          <w:p w14:paraId="5A62FBAE">
            <w:pPr>
              <w:adjustRightInd w:val="0"/>
              <w:snapToGrid w:val="0"/>
              <w:jc w:val="center"/>
              <w:rPr>
                <w:rFonts w:ascii="宋体" w:hAnsi="宋体"/>
                <w:sz w:val="21"/>
                <w:szCs w:val="21"/>
              </w:rPr>
            </w:pPr>
            <w:r>
              <w:rPr>
                <w:rFonts w:hint="eastAsia" w:ascii="宋体" w:hAnsi="宋体"/>
                <w:sz w:val="21"/>
                <w:szCs w:val="21"/>
              </w:rPr>
              <w:t>备注</w:t>
            </w:r>
          </w:p>
        </w:tc>
      </w:tr>
      <w:tr w14:paraId="7A9A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80" w:type="dxa"/>
            <w:noWrap w:val="0"/>
            <w:vAlign w:val="center"/>
          </w:tcPr>
          <w:p w14:paraId="3E2A4EED">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880" w:type="dxa"/>
            <w:noWrap w:val="0"/>
            <w:vAlign w:val="center"/>
          </w:tcPr>
          <w:p w14:paraId="1875EC9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主机和标准附件</w:t>
            </w:r>
          </w:p>
        </w:tc>
        <w:tc>
          <w:tcPr>
            <w:tcW w:w="2025" w:type="dxa"/>
            <w:noWrap w:val="0"/>
            <w:vAlign w:val="center"/>
          </w:tcPr>
          <w:p w14:paraId="10ACE17A">
            <w:pPr>
              <w:keepNext/>
              <w:keepLines/>
              <w:snapToGrid w:val="0"/>
              <w:jc w:val="center"/>
              <w:outlineLvl w:val="0"/>
              <w:rPr>
                <w:rFonts w:ascii="宋体" w:hAnsi="宋体"/>
                <w:sz w:val="21"/>
                <w:szCs w:val="21"/>
              </w:rPr>
            </w:pPr>
          </w:p>
        </w:tc>
        <w:tc>
          <w:tcPr>
            <w:tcW w:w="1635" w:type="dxa"/>
            <w:noWrap w:val="0"/>
            <w:vAlign w:val="center"/>
          </w:tcPr>
          <w:p w14:paraId="71DDB7D3">
            <w:pPr>
              <w:keepNext/>
              <w:keepLines/>
              <w:snapToGrid w:val="0"/>
              <w:jc w:val="center"/>
              <w:outlineLvl w:val="0"/>
              <w:rPr>
                <w:rFonts w:ascii="宋体" w:hAnsi="宋体"/>
                <w:sz w:val="21"/>
                <w:szCs w:val="21"/>
              </w:rPr>
            </w:pPr>
          </w:p>
        </w:tc>
        <w:tc>
          <w:tcPr>
            <w:tcW w:w="1470" w:type="dxa"/>
            <w:noWrap w:val="0"/>
            <w:vAlign w:val="center"/>
          </w:tcPr>
          <w:p w14:paraId="7CD21BEF">
            <w:pPr>
              <w:keepNext/>
              <w:keepLines/>
              <w:snapToGrid w:val="0"/>
              <w:jc w:val="center"/>
              <w:outlineLvl w:val="0"/>
              <w:rPr>
                <w:rFonts w:ascii="宋体" w:hAnsi="宋体"/>
                <w:sz w:val="21"/>
                <w:szCs w:val="21"/>
              </w:rPr>
            </w:pPr>
          </w:p>
        </w:tc>
        <w:tc>
          <w:tcPr>
            <w:tcW w:w="1320" w:type="dxa"/>
            <w:noWrap w:val="0"/>
            <w:vAlign w:val="center"/>
          </w:tcPr>
          <w:p w14:paraId="2246AC4A">
            <w:pPr>
              <w:keepNext/>
              <w:keepLines/>
              <w:snapToGrid w:val="0"/>
              <w:jc w:val="center"/>
              <w:outlineLvl w:val="0"/>
              <w:rPr>
                <w:rFonts w:ascii="宋体" w:hAnsi="宋体"/>
                <w:sz w:val="21"/>
                <w:szCs w:val="21"/>
              </w:rPr>
            </w:pPr>
          </w:p>
        </w:tc>
        <w:tc>
          <w:tcPr>
            <w:tcW w:w="1560" w:type="dxa"/>
            <w:noWrap w:val="0"/>
            <w:vAlign w:val="center"/>
          </w:tcPr>
          <w:p w14:paraId="1E4C0E34">
            <w:pPr>
              <w:keepNext/>
              <w:keepLines/>
              <w:snapToGrid w:val="0"/>
              <w:jc w:val="center"/>
              <w:outlineLvl w:val="0"/>
              <w:rPr>
                <w:rFonts w:ascii="宋体" w:hAnsi="宋体"/>
                <w:sz w:val="21"/>
                <w:szCs w:val="21"/>
              </w:rPr>
            </w:pPr>
          </w:p>
        </w:tc>
        <w:tc>
          <w:tcPr>
            <w:tcW w:w="1605" w:type="dxa"/>
            <w:noWrap w:val="0"/>
            <w:vAlign w:val="center"/>
          </w:tcPr>
          <w:p w14:paraId="41E30EE2">
            <w:pPr>
              <w:keepNext/>
              <w:keepLines/>
              <w:snapToGrid w:val="0"/>
              <w:jc w:val="center"/>
              <w:outlineLvl w:val="0"/>
              <w:rPr>
                <w:rFonts w:ascii="宋体" w:hAnsi="宋体"/>
                <w:sz w:val="21"/>
                <w:szCs w:val="21"/>
              </w:rPr>
            </w:pPr>
          </w:p>
        </w:tc>
        <w:tc>
          <w:tcPr>
            <w:tcW w:w="885" w:type="dxa"/>
            <w:noWrap w:val="0"/>
            <w:vAlign w:val="center"/>
          </w:tcPr>
          <w:p w14:paraId="2D664F70">
            <w:pPr>
              <w:keepNext/>
              <w:keepLines/>
              <w:snapToGrid w:val="0"/>
              <w:jc w:val="center"/>
              <w:outlineLvl w:val="0"/>
              <w:rPr>
                <w:rFonts w:ascii="宋体" w:hAnsi="宋体"/>
                <w:sz w:val="21"/>
                <w:szCs w:val="21"/>
              </w:rPr>
            </w:pPr>
          </w:p>
        </w:tc>
      </w:tr>
      <w:tr w14:paraId="256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80" w:type="dxa"/>
            <w:noWrap w:val="0"/>
            <w:vAlign w:val="center"/>
          </w:tcPr>
          <w:p w14:paraId="37487C4F">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880" w:type="dxa"/>
            <w:noWrap w:val="0"/>
            <w:vAlign w:val="center"/>
          </w:tcPr>
          <w:p w14:paraId="64F190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备品备件</w:t>
            </w:r>
          </w:p>
        </w:tc>
        <w:tc>
          <w:tcPr>
            <w:tcW w:w="2025" w:type="dxa"/>
            <w:noWrap w:val="0"/>
            <w:vAlign w:val="center"/>
          </w:tcPr>
          <w:p w14:paraId="03FA25FF">
            <w:pPr>
              <w:keepNext/>
              <w:keepLines/>
              <w:snapToGrid w:val="0"/>
              <w:jc w:val="center"/>
              <w:outlineLvl w:val="0"/>
              <w:rPr>
                <w:rFonts w:ascii="宋体" w:hAnsi="宋体"/>
                <w:sz w:val="21"/>
                <w:szCs w:val="21"/>
              </w:rPr>
            </w:pPr>
          </w:p>
        </w:tc>
        <w:tc>
          <w:tcPr>
            <w:tcW w:w="1635" w:type="dxa"/>
            <w:noWrap w:val="0"/>
            <w:vAlign w:val="center"/>
          </w:tcPr>
          <w:p w14:paraId="545292BE">
            <w:pPr>
              <w:keepNext/>
              <w:keepLines/>
              <w:snapToGrid w:val="0"/>
              <w:jc w:val="center"/>
              <w:outlineLvl w:val="0"/>
              <w:rPr>
                <w:rFonts w:ascii="宋体" w:hAnsi="宋体"/>
                <w:sz w:val="21"/>
                <w:szCs w:val="21"/>
              </w:rPr>
            </w:pPr>
          </w:p>
        </w:tc>
        <w:tc>
          <w:tcPr>
            <w:tcW w:w="1470" w:type="dxa"/>
            <w:noWrap w:val="0"/>
            <w:vAlign w:val="center"/>
          </w:tcPr>
          <w:p w14:paraId="23D01C9F">
            <w:pPr>
              <w:keepNext/>
              <w:keepLines/>
              <w:snapToGrid w:val="0"/>
              <w:jc w:val="center"/>
              <w:outlineLvl w:val="0"/>
              <w:rPr>
                <w:rFonts w:ascii="宋体" w:hAnsi="宋体"/>
                <w:sz w:val="21"/>
                <w:szCs w:val="21"/>
              </w:rPr>
            </w:pPr>
          </w:p>
        </w:tc>
        <w:tc>
          <w:tcPr>
            <w:tcW w:w="1320" w:type="dxa"/>
            <w:noWrap w:val="0"/>
            <w:vAlign w:val="center"/>
          </w:tcPr>
          <w:p w14:paraId="1C1EFF8A">
            <w:pPr>
              <w:keepNext/>
              <w:keepLines/>
              <w:snapToGrid w:val="0"/>
              <w:jc w:val="center"/>
              <w:outlineLvl w:val="0"/>
              <w:rPr>
                <w:rFonts w:ascii="宋体" w:hAnsi="宋体"/>
                <w:sz w:val="21"/>
                <w:szCs w:val="21"/>
              </w:rPr>
            </w:pPr>
          </w:p>
        </w:tc>
        <w:tc>
          <w:tcPr>
            <w:tcW w:w="1560" w:type="dxa"/>
            <w:noWrap w:val="0"/>
            <w:vAlign w:val="center"/>
          </w:tcPr>
          <w:p w14:paraId="0B7F8D69">
            <w:pPr>
              <w:keepNext/>
              <w:keepLines/>
              <w:snapToGrid w:val="0"/>
              <w:jc w:val="center"/>
              <w:outlineLvl w:val="0"/>
              <w:rPr>
                <w:rFonts w:ascii="宋体" w:hAnsi="宋体"/>
                <w:sz w:val="21"/>
                <w:szCs w:val="21"/>
              </w:rPr>
            </w:pPr>
          </w:p>
        </w:tc>
        <w:tc>
          <w:tcPr>
            <w:tcW w:w="1605" w:type="dxa"/>
            <w:noWrap w:val="0"/>
            <w:vAlign w:val="center"/>
          </w:tcPr>
          <w:p w14:paraId="761219D5">
            <w:pPr>
              <w:keepNext/>
              <w:keepLines/>
              <w:snapToGrid w:val="0"/>
              <w:jc w:val="center"/>
              <w:outlineLvl w:val="0"/>
              <w:rPr>
                <w:rFonts w:ascii="宋体" w:hAnsi="宋体"/>
                <w:sz w:val="21"/>
                <w:szCs w:val="21"/>
              </w:rPr>
            </w:pPr>
          </w:p>
        </w:tc>
        <w:tc>
          <w:tcPr>
            <w:tcW w:w="885" w:type="dxa"/>
            <w:noWrap w:val="0"/>
            <w:vAlign w:val="center"/>
          </w:tcPr>
          <w:p w14:paraId="10094750">
            <w:pPr>
              <w:keepNext/>
              <w:keepLines/>
              <w:snapToGrid w:val="0"/>
              <w:jc w:val="center"/>
              <w:outlineLvl w:val="0"/>
              <w:rPr>
                <w:rFonts w:ascii="宋体" w:hAnsi="宋体"/>
                <w:sz w:val="21"/>
                <w:szCs w:val="21"/>
              </w:rPr>
            </w:pPr>
          </w:p>
        </w:tc>
      </w:tr>
      <w:tr w14:paraId="19B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80" w:type="dxa"/>
            <w:noWrap w:val="0"/>
            <w:vAlign w:val="center"/>
          </w:tcPr>
          <w:p w14:paraId="321278D7">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2880" w:type="dxa"/>
            <w:shd w:val="clear" w:color="auto" w:fill="auto"/>
            <w:noWrap w:val="0"/>
            <w:vAlign w:val="center"/>
          </w:tcPr>
          <w:p w14:paraId="6258C80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安装、调试、检验</w:t>
            </w:r>
          </w:p>
        </w:tc>
        <w:tc>
          <w:tcPr>
            <w:tcW w:w="2025" w:type="dxa"/>
            <w:shd w:val="clear" w:color="auto" w:fill="auto"/>
            <w:noWrap w:val="0"/>
            <w:vAlign w:val="center"/>
          </w:tcPr>
          <w:p w14:paraId="704B5201">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367279DB">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04F3CCB4">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693D5D11">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1AF2E484">
            <w:pPr>
              <w:keepNext/>
              <w:keepLines/>
              <w:snapToGrid w:val="0"/>
              <w:jc w:val="center"/>
              <w:outlineLvl w:val="0"/>
              <w:rPr>
                <w:rFonts w:ascii="宋体" w:hAnsi="宋体"/>
                <w:sz w:val="21"/>
                <w:szCs w:val="21"/>
              </w:rPr>
            </w:pPr>
          </w:p>
        </w:tc>
        <w:tc>
          <w:tcPr>
            <w:tcW w:w="1605" w:type="dxa"/>
            <w:noWrap w:val="0"/>
            <w:vAlign w:val="center"/>
          </w:tcPr>
          <w:p w14:paraId="07AB0314">
            <w:pPr>
              <w:keepNext/>
              <w:keepLines/>
              <w:snapToGrid w:val="0"/>
              <w:jc w:val="center"/>
              <w:outlineLvl w:val="0"/>
              <w:rPr>
                <w:rFonts w:ascii="宋体" w:hAnsi="宋体"/>
                <w:sz w:val="21"/>
                <w:szCs w:val="21"/>
              </w:rPr>
            </w:pPr>
          </w:p>
        </w:tc>
        <w:tc>
          <w:tcPr>
            <w:tcW w:w="885" w:type="dxa"/>
            <w:noWrap w:val="0"/>
            <w:vAlign w:val="center"/>
          </w:tcPr>
          <w:p w14:paraId="132C550A">
            <w:pPr>
              <w:keepNext/>
              <w:keepLines/>
              <w:snapToGrid w:val="0"/>
              <w:jc w:val="center"/>
              <w:outlineLvl w:val="0"/>
              <w:rPr>
                <w:rFonts w:ascii="宋体" w:hAnsi="宋体"/>
                <w:sz w:val="21"/>
                <w:szCs w:val="21"/>
              </w:rPr>
            </w:pPr>
          </w:p>
        </w:tc>
      </w:tr>
      <w:tr w14:paraId="7DD0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80" w:type="dxa"/>
            <w:noWrap w:val="0"/>
            <w:vAlign w:val="center"/>
          </w:tcPr>
          <w:p w14:paraId="610113DC">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2880" w:type="dxa"/>
            <w:shd w:val="clear" w:color="auto" w:fill="auto"/>
            <w:noWrap w:val="0"/>
            <w:vAlign w:val="center"/>
          </w:tcPr>
          <w:p w14:paraId="139C47E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培训</w:t>
            </w:r>
          </w:p>
        </w:tc>
        <w:tc>
          <w:tcPr>
            <w:tcW w:w="2025" w:type="dxa"/>
            <w:shd w:val="clear" w:color="auto" w:fill="auto"/>
            <w:noWrap w:val="0"/>
            <w:vAlign w:val="center"/>
          </w:tcPr>
          <w:p w14:paraId="05148634">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73557986">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4EF911D6">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43066488">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0511FEF4">
            <w:pPr>
              <w:keepNext/>
              <w:keepLines/>
              <w:snapToGrid w:val="0"/>
              <w:jc w:val="center"/>
              <w:outlineLvl w:val="0"/>
              <w:rPr>
                <w:rFonts w:ascii="宋体" w:hAnsi="宋体"/>
                <w:sz w:val="21"/>
                <w:szCs w:val="21"/>
              </w:rPr>
            </w:pPr>
          </w:p>
        </w:tc>
        <w:tc>
          <w:tcPr>
            <w:tcW w:w="1605" w:type="dxa"/>
            <w:noWrap w:val="0"/>
            <w:vAlign w:val="center"/>
          </w:tcPr>
          <w:p w14:paraId="0A33D1CF">
            <w:pPr>
              <w:keepNext/>
              <w:keepLines/>
              <w:snapToGrid w:val="0"/>
              <w:jc w:val="center"/>
              <w:outlineLvl w:val="0"/>
              <w:rPr>
                <w:rFonts w:ascii="宋体" w:hAnsi="宋体"/>
                <w:sz w:val="21"/>
                <w:szCs w:val="21"/>
              </w:rPr>
            </w:pPr>
          </w:p>
        </w:tc>
        <w:tc>
          <w:tcPr>
            <w:tcW w:w="885" w:type="dxa"/>
            <w:noWrap w:val="0"/>
            <w:vAlign w:val="center"/>
          </w:tcPr>
          <w:p w14:paraId="16A487A6">
            <w:pPr>
              <w:keepNext/>
              <w:keepLines/>
              <w:snapToGrid w:val="0"/>
              <w:jc w:val="center"/>
              <w:outlineLvl w:val="0"/>
              <w:rPr>
                <w:rFonts w:ascii="宋体" w:hAnsi="宋体"/>
                <w:sz w:val="21"/>
                <w:szCs w:val="21"/>
              </w:rPr>
            </w:pPr>
          </w:p>
        </w:tc>
      </w:tr>
      <w:tr w14:paraId="0BA5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80" w:type="dxa"/>
            <w:noWrap w:val="0"/>
            <w:vAlign w:val="center"/>
          </w:tcPr>
          <w:p w14:paraId="74603D8A">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880" w:type="dxa"/>
            <w:shd w:val="clear" w:color="auto" w:fill="auto"/>
            <w:noWrap w:val="0"/>
            <w:vAlign w:val="center"/>
          </w:tcPr>
          <w:p w14:paraId="6A7B1AA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技术服务</w:t>
            </w:r>
          </w:p>
        </w:tc>
        <w:tc>
          <w:tcPr>
            <w:tcW w:w="2025" w:type="dxa"/>
            <w:shd w:val="clear" w:color="auto" w:fill="auto"/>
            <w:noWrap w:val="0"/>
            <w:vAlign w:val="center"/>
          </w:tcPr>
          <w:p w14:paraId="692D728B">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5FDCD32B">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47029FEB">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27E93EED">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0B36FB0F">
            <w:pPr>
              <w:keepNext/>
              <w:keepLines/>
              <w:snapToGrid w:val="0"/>
              <w:jc w:val="center"/>
              <w:outlineLvl w:val="0"/>
              <w:rPr>
                <w:rFonts w:ascii="宋体" w:hAnsi="宋体"/>
                <w:sz w:val="21"/>
                <w:szCs w:val="21"/>
              </w:rPr>
            </w:pPr>
          </w:p>
        </w:tc>
        <w:tc>
          <w:tcPr>
            <w:tcW w:w="1605" w:type="dxa"/>
            <w:noWrap w:val="0"/>
            <w:vAlign w:val="center"/>
          </w:tcPr>
          <w:p w14:paraId="2A58E39A">
            <w:pPr>
              <w:keepNext/>
              <w:keepLines/>
              <w:snapToGrid w:val="0"/>
              <w:jc w:val="center"/>
              <w:outlineLvl w:val="0"/>
              <w:rPr>
                <w:rFonts w:ascii="宋体" w:hAnsi="宋体"/>
                <w:sz w:val="21"/>
                <w:szCs w:val="21"/>
              </w:rPr>
            </w:pPr>
          </w:p>
        </w:tc>
        <w:tc>
          <w:tcPr>
            <w:tcW w:w="885" w:type="dxa"/>
            <w:noWrap w:val="0"/>
            <w:vAlign w:val="center"/>
          </w:tcPr>
          <w:p w14:paraId="3610B373">
            <w:pPr>
              <w:keepNext/>
              <w:keepLines/>
              <w:snapToGrid w:val="0"/>
              <w:jc w:val="center"/>
              <w:outlineLvl w:val="0"/>
              <w:rPr>
                <w:rFonts w:ascii="宋体" w:hAnsi="宋体"/>
                <w:sz w:val="21"/>
                <w:szCs w:val="21"/>
              </w:rPr>
            </w:pPr>
          </w:p>
        </w:tc>
      </w:tr>
      <w:tr w14:paraId="582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0" w:type="dxa"/>
            <w:noWrap w:val="0"/>
            <w:vAlign w:val="center"/>
          </w:tcPr>
          <w:p w14:paraId="1D0B7D8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2880" w:type="dxa"/>
            <w:noWrap w:val="0"/>
            <w:vAlign w:val="center"/>
          </w:tcPr>
          <w:p w14:paraId="3A1993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sz w:val="21"/>
                <w:szCs w:val="21"/>
                <w:lang w:val="en-US" w:eastAsia="zh-CN"/>
              </w:rPr>
            </w:pPr>
            <w:r>
              <w:rPr>
                <w:rFonts w:hint="eastAsia" w:ascii="宋体" w:hAnsi="宋体"/>
                <w:sz w:val="21"/>
                <w:szCs w:val="21"/>
                <w:lang w:val="en-US" w:eastAsia="zh-CN"/>
              </w:rPr>
              <w:t>设备场地装修</w:t>
            </w:r>
          </w:p>
        </w:tc>
        <w:tc>
          <w:tcPr>
            <w:tcW w:w="2025" w:type="dxa"/>
            <w:noWrap w:val="0"/>
            <w:vAlign w:val="center"/>
          </w:tcPr>
          <w:p w14:paraId="59279957">
            <w:pPr>
              <w:keepNext/>
              <w:keepLines/>
              <w:snapToGrid w:val="0"/>
              <w:jc w:val="center"/>
              <w:outlineLvl w:val="0"/>
              <w:rPr>
                <w:rFonts w:hint="eastAsia" w:ascii="宋体" w:hAnsi="宋体" w:eastAsia="宋体"/>
                <w:sz w:val="21"/>
                <w:szCs w:val="21"/>
                <w:lang w:val="en-US" w:eastAsia="zh-CN"/>
              </w:rPr>
            </w:pPr>
            <w:r>
              <w:rPr>
                <w:rFonts w:hint="eastAsia" w:ascii="宋体" w:hAnsi="宋体"/>
                <w:sz w:val="21"/>
                <w:szCs w:val="21"/>
                <w:lang w:val="en-US" w:eastAsia="zh-CN"/>
              </w:rPr>
              <w:t>/</w:t>
            </w:r>
          </w:p>
        </w:tc>
        <w:tc>
          <w:tcPr>
            <w:tcW w:w="1635" w:type="dxa"/>
            <w:noWrap w:val="0"/>
            <w:vAlign w:val="center"/>
          </w:tcPr>
          <w:p w14:paraId="086AF767">
            <w:pPr>
              <w:keepNext/>
              <w:keepLines/>
              <w:snapToGrid w:val="0"/>
              <w:jc w:val="center"/>
              <w:outlineLvl w:val="0"/>
              <w:rPr>
                <w:rFonts w:ascii="宋体" w:hAnsi="宋体"/>
                <w:sz w:val="21"/>
                <w:szCs w:val="21"/>
              </w:rPr>
            </w:pPr>
            <w:r>
              <w:rPr>
                <w:rFonts w:hint="eastAsia" w:ascii="宋体" w:hAnsi="宋体"/>
                <w:sz w:val="21"/>
                <w:szCs w:val="21"/>
                <w:lang w:val="en-US" w:eastAsia="zh-CN"/>
              </w:rPr>
              <w:t>/</w:t>
            </w:r>
          </w:p>
        </w:tc>
        <w:tc>
          <w:tcPr>
            <w:tcW w:w="1470" w:type="dxa"/>
            <w:noWrap w:val="0"/>
            <w:vAlign w:val="center"/>
          </w:tcPr>
          <w:p w14:paraId="7E7144A7">
            <w:pPr>
              <w:keepNext/>
              <w:keepLines/>
              <w:snapToGrid w:val="0"/>
              <w:jc w:val="center"/>
              <w:outlineLvl w:val="0"/>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320" w:type="dxa"/>
            <w:noWrap w:val="0"/>
            <w:vAlign w:val="center"/>
          </w:tcPr>
          <w:p w14:paraId="101873CF">
            <w:pPr>
              <w:keepNext/>
              <w:keepLines/>
              <w:snapToGrid w:val="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项</w:t>
            </w:r>
          </w:p>
        </w:tc>
        <w:tc>
          <w:tcPr>
            <w:tcW w:w="1560" w:type="dxa"/>
            <w:noWrap w:val="0"/>
            <w:vAlign w:val="center"/>
          </w:tcPr>
          <w:p w14:paraId="556230C0">
            <w:pPr>
              <w:keepNext/>
              <w:keepLines/>
              <w:snapToGrid w:val="0"/>
              <w:jc w:val="center"/>
              <w:outlineLvl w:val="0"/>
              <w:rPr>
                <w:rFonts w:ascii="宋体" w:hAnsi="宋体"/>
                <w:sz w:val="21"/>
                <w:szCs w:val="21"/>
              </w:rPr>
            </w:pPr>
          </w:p>
        </w:tc>
        <w:tc>
          <w:tcPr>
            <w:tcW w:w="1605" w:type="dxa"/>
            <w:noWrap w:val="0"/>
            <w:vAlign w:val="center"/>
          </w:tcPr>
          <w:p w14:paraId="711CAADB">
            <w:pPr>
              <w:keepNext/>
              <w:keepLines/>
              <w:snapToGrid w:val="0"/>
              <w:jc w:val="center"/>
              <w:outlineLvl w:val="0"/>
              <w:rPr>
                <w:rFonts w:ascii="宋体" w:hAnsi="宋体"/>
                <w:sz w:val="21"/>
                <w:szCs w:val="21"/>
              </w:rPr>
            </w:pPr>
          </w:p>
        </w:tc>
        <w:tc>
          <w:tcPr>
            <w:tcW w:w="885" w:type="dxa"/>
            <w:noWrap w:val="0"/>
            <w:vAlign w:val="center"/>
          </w:tcPr>
          <w:p w14:paraId="32474DC5">
            <w:pPr>
              <w:keepNext/>
              <w:keepLines/>
              <w:snapToGrid w:val="0"/>
              <w:jc w:val="center"/>
              <w:outlineLvl w:val="0"/>
              <w:rPr>
                <w:rFonts w:ascii="宋体" w:hAnsi="宋体"/>
                <w:sz w:val="21"/>
                <w:szCs w:val="21"/>
              </w:rPr>
            </w:pPr>
          </w:p>
        </w:tc>
      </w:tr>
      <w:tr w14:paraId="4D76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80" w:type="dxa"/>
            <w:noWrap w:val="0"/>
            <w:vAlign w:val="center"/>
          </w:tcPr>
          <w:p w14:paraId="03DBB6E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2880" w:type="dxa"/>
            <w:noWrap w:val="0"/>
            <w:vAlign w:val="center"/>
          </w:tcPr>
          <w:p w14:paraId="144C00C1">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其他</w:t>
            </w:r>
          </w:p>
        </w:tc>
        <w:tc>
          <w:tcPr>
            <w:tcW w:w="2025" w:type="dxa"/>
            <w:noWrap w:val="0"/>
            <w:vAlign w:val="center"/>
          </w:tcPr>
          <w:p w14:paraId="3EE6409A">
            <w:pPr>
              <w:keepNext/>
              <w:keepLines/>
              <w:snapToGrid w:val="0"/>
              <w:jc w:val="center"/>
              <w:outlineLvl w:val="0"/>
              <w:rPr>
                <w:rFonts w:ascii="宋体" w:hAnsi="宋体"/>
                <w:sz w:val="21"/>
                <w:szCs w:val="21"/>
              </w:rPr>
            </w:pPr>
          </w:p>
        </w:tc>
        <w:tc>
          <w:tcPr>
            <w:tcW w:w="1635" w:type="dxa"/>
            <w:noWrap w:val="0"/>
            <w:vAlign w:val="center"/>
          </w:tcPr>
          <w:p w14:paraId="399C0A08">
            <w:pPr>
              <w:keepNext/>
              <w:keepLines/>
              <w:snapToGrid w:val="0"/>
              <w:jc w:val="center"/>
              <w:outlineLvl w:val="0"/>
              <w:rPr>
                <w:rFonts w:ascii="宋体" w:hAnsi="宋体"/>
                <w:sz w:val="21"/>
                <w:szCs w:val="21"/>
              </w:rPr>
            </w:pPr>
          </w:p>
        </w:tc>
        <w:tc>
          <w:tcPr>
            <w:tcW w:w="1470" w:type="dxa"/>
            <w:noWrap w:val="0"/>
            <w:vAlign w:val="center"/>
          </w:tcPr>
          <w:p w14:paraId="28B9246C">
            <w:pPr>
              <w:keepNext/>
              <w:keepLines/>
              <w:snapToGrid w:val="0"/>
              <w:jc w:val="center"/>
              <w:outlineLvl w:val="0"/>
              <w:rPr>
                <w:rFonts w:ascii="宋体" w:hAnsi="宋体"/>
                <w:sz w:val="21"/>
                <w:szCs w:val="21"/>
              </w:rPr>
            </w:pPr>
          </w:p>
        </w:tc>
        <w:tc>
          <w:tcPr>
            <w:tcW w:w="1320" w:type="dxa"/>
            <w:noWrap w:val="0"/>
            <w:vAlign w:val="center"/>
          </w:tcPr>
          <w:p w14:paraId="6C6434D5">
            <w:pPr>
              <w:keepNext/>
              <w:keepLines/>
              <w:snapToGrid w:val="0"/>
              <w:jc w:val="center"/>
              <w:outlineLvl w:val="0"/>
              <w:rPr>
                <w:rFonts w:ascii="宋体" w:hAnsi="宋体"/>
                <w:sz w:val="21"/>
                <w:szCs w:val="21"/>
              </w:rPr>
            </w:pPr>
          </w:p>
        </w:tc>
        <w:tc>
          <w:tcPr>
            <w:tcW w:w="1560" w:type="dxa"/>
            <w:noWrap w:val="0"/>
            <w:vAlign w:val="center"/>
          </w:tcPr>
          <w:p w14:paraId="261F27F4">
            <w:pPr>
              <w:keepNext/>
              <w:keepLines/>
              <w:snapToGrid w:val="0"/>
              <w:jc w:val="center"/>
              <w:outlineLvl w:val="0"/>
              <w:rPr>
                <w:rFonts w:ascii="宋体" w:hAnsi="宋体"/>
                <w:sz w:val="21"/>
                <w:szCs w:val="21"/>
              </w:rPr>
            </w:pPr>
          </w:p>
        </w:tc>
        <w:tc>
          <w:tcPr>
            <w:tcW w:w="1605" w:type="dxa"/>
            <w:noWrap w:val="0"/>
            <w:vAlign w:val="center"/>
          </w:tcPr>
          <w:p w14:paraId="30336AFA">
            <w:pPr>
              <w:keepNext/>
              <w:keepLines/>
              <w:snapToGrid w:val="0"/>
              <w:jc w:val="center"/>
              <w:outlineLvl w:val="0"/>
              <w:rPr>
                <w:rFonts w:ascii="宋体" w:hAnsi="宋体"/>
                <w:sz w:val="21"/>
                <w:szCs w:val="21"/>
              </w:rPr>
            </w:pPr>
          </w:p>
        </w:tc>
        <w:tc>
          <w:tcPr>
            <w:tcW w:w="885" w:type="dxa"/>
            <w:noWrap w:val="0"/>
            <w:vAlign w:val="center"/>
          </w:tcPr>
          <w:p w14:paraId="2E53E7E3">
            <w:pPr>
              <w:keepNext/>
              <w:keepLines/>
              <w:snapToGrid w:val="0"/>
              <w:jc w:val="center"/>
              <w:outlineLvl w:val="0"/>
              <w:rPr>
                <w:rFonts w:ascii="宋体" w:hAnsi="宋体"/>
                <w:sz w:val="21"/>
                <w:szCs w:val="21"/>
              </w:rPr>
            </w:pPr>
          </w:p>
        </w:tc>
      </w:tr>
      <w:tr w14:paraId="521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4160" w:type="dxa"/>
            <w:gridSpan w:val="9"/>
            <w:noWrap w:val="0"/>
            <w:vAlign w:val="center"/>
          </w:tcPr>
          <w:p w14:paraId="310185E2">
            <w:pPr>
              <w:rPr>
                <w:rFonts w:hint="eastAsia" w:ascii="宋体" w:hAnsi="宋体"/>
                <w:sz w:val="21"/>
                <w:szCs w:val="21"/>
              </w:rPr>
            </w:pPr>
            <w:r>
              <w:rPr>
                <w:rFonts w:hint="eastAsia" w:ascii="宋体" w:hAnsi="宋体"/>
                <w:sz w:val="21"/>
                <w:szCs w:val="21"/>
                <w:lang w:val="en-US" w:eastAsia="zh-CN"/>
              </w:rPr>
              <w:t>总计</w:t>
            </w:r>
            <w:r>
              <w:rPr>
                <w:rFonts w:hint="eastAsia" w:ascii="宋体" w:hAnsi="宋体"/>
                <w:sz w:val="21"/>
                <w:szCs w:val="21"/>
              </w:rPr>
              <w:t>（元）</w:t>
            </w:r>
          </w:p>
        </w:tc>
      </w:tr>
    </w:tbl>
    <w:p w14:paraId="34D99C26">
      <w:pPr>
        <w:keepNext w:val="0"/>
        <w:keepLines w:val="0"/>
        <w:pageBreakBefore w:val="0"/>
        <w:widowControl w:val="0"/>
        <w:kinsoku/>
        <w:wordWrap/>
        <w:overflowPunct/>
        <w:topLinePunct w:val="0"/>
        <w:autoSpaceDE/>
        <w:autoSpaceDN/>
        <w:bidi w:val="0"/>
        <w:adjustRightInd/>
        <w:snapToGrid/>
        <w:spacing w:before="144" w:beforeLines="50"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注：</w:t>
      </w: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投标人必须按“</w:t>
      </w:r>
      <w:r>
        <w:rPr>
          <w:rFonts w:hint="eastAsia" w:ascii="宋体" w:hAnsi="宋体"/>
          <w:sz w:val="21"/>
          <w:szCs w:val="21"/>
          <w:lang w:val="en-US" w:eastAsia="zh-CN"/>
        </w:rPr>
        <w:t>投标分项报价</w:t>
      </w:r>
      <w:r>
        <w:rPr>
          <w:rFonts w:hint="eastAsia" w:ascii="宋体" w:hAnsi="宋体"/>
          <w:sz w:val="21"/>
          <w:szCs w:val="21"/>
        </w:rPr>
        <w:t>表”的格式详细报出投标产品总价的各个组成部分的报价；</w:t>
      </w:r>
    </w:p>
    <w:p w14:paraId="2FE7DED1">
      <w:pPr>
        <w:spacing w:line="360" w:lineRule="auto"/>
        <w:ind w:firstLine="840" w:firstLineChars="40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2.1投标分项报价</w:t>
      </w:r>
      <w:r>
        <w:rPr>
          <w:rFonts w:hint="eastAsia" w:ascii="宋体" w:hAnsi="宋体"/>
          <w:sz w:val="21"/>
          <w:szCs w:val="21"/>
        </w:rPr>
        <w:t>表”</w:t>
      </w:r>
      <w:r>
        <w:rPr>
          <w:rFonts w:hint="eastAsia" w:ascii="宋体" w:hAnsi="宋体"/>
          <w:sz w:val="21"/>
          <w:szCs w:val="21"/>
          <w:lang w:val="en-US" w:eastAsia="zh-CN"/>
        </w:rPr>
        <w:t>总</w:t>
      </w:r>
      <w:r>
        <w:rPr>
          <w:rFonts w:hint="eastAsia" w:ascii="宋体" w:hAnsi="宋体"/>
          <w:sz w:val="21"/>
          <w:szCs w:val="21"/>
        </w:rPr>
        <w:t>计应当与“</w:t>
      </w:r>
      <w:r>
        <w:rPr>
          <w:rFonts w:hint="eastAsia" w:ascii="宋体" w:hAnsi="宋体"/>
          <w:sz w:val="21"/>
          <w:szCs w:val="21"/>
          <w:lang w:val="en-US" w:eastAsia="zh-CN"/>
        </w:rPr>
        <w:t>开标</w:t>
      </w:r>
      <w:r>
        <w:rPr>
          <w:rFonts w:hint="eastAsia" w:ascii="宋体" w:hAnsi="宋体"/>
          <w:sz w:val="21"/>
          <w:szCs w:val="21"/>
        </w:rPr>
        <w:t>一览表”</w:t>
      </w:r>
      <w:r>
        <w:rPr>
          <w:rFonts w:hint="eastAsia" w:ascii="宋体" w:hAnsi="宋体"/>
          <w:sz w:val="21"/>
          <w:szCs w:val="21"/>
          <w:lang w:val="en-US" w:eastAsia="zh-CN"/>
        </w:rPr>
        <w:t>投标总价</w:t>
      </w:r>
      <w:r>
        <w:rPr>
          <w:rFonts w:hint="eastAsia" w:ascii="宋体" w:hAnsi="宋体"/>
          <w:sz w:val="21"/>
          <w:szCs w:val="21"/>
        </w:rPr>
        <w:t>相等。</w:t>
      </w:r>
    </w:p>
    <w:p w14:paraId="330C3894">
      <w:pPr>
        <w:widowControl/>
        <w:spacing w:line="256" w:lineRule="auto"/>
        <w:jc w:val="right"/>
        <w:rPr>
          <w:rFonts w:hint="eastAsia" w:ascii="宋体" w:hAnsi="宋体" w:cs="微软雅黑"/>
          <w:color w:val="000000"/>
          <w:sz w:val="21"/>
          <w:szCs w:val="21"/>
        </w:rPr>
      </w:pPr>
    </w:p>
    <w:p w14:paraId="15C5C5F4">
      <w:pPr>
        <w:widowControl/>
        <w:spacing w:line="256" w:lineRule="auto"/>
        <w:jc w:val="center"/>
        <w:rPr>
          <w:rFonts w:hint="eastAsia" w:ascii="宋体" w:hAnsi="宋体" w:cs="微软雅黑"/>
          <w:color w:val="000000"/>
          <w:sz w:val="24"/>
          <w:szCs w:val="24"/>
        </w:rPr>
      </w:pPr>
    </w:p>
    <w:p w14:paraId="6FE65D41">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BD25CE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6E9CC6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BB7C7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61022226">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2.2</w:t>
      </w:r>
      <w:r>
        <w:rPr>
          <w:rFonts w:hint="eastAsia" w:ascii="宋体" w:hAnsi="宋体" w:cs="微软雅黑"/>
          <w:color w:val="000000"/>
          <w:sz w:val="24"/>
          <w:szCs w:val="24"/>
        </w:rPr>
        <w:t>投标分项报价表（附件）</w:t>
      </w:r>
    </w:p>
    <w:p w14:paraId="5208509B">
      <w:pPr>
        <w:widowControl/>
        <w:spacing w:line="360" w:lineRule="auto"/>
        <w:ind w:left="-4" w:firstLine="1"/>
        <w:jc w:val="left"/>
        <w:rPr>
          <w:rFonts w:hint="eastAsia" w:ascii="宋体" w:hAnsi="宋体" w:cs="微软雅黑"/>
          <w:color w:val="000000"/>
          <w:sz w:val="24"/>
          <w:szCs w:val="24"/>
        </w:rPr>
      </w:pPr>
    </w:p>
    <w:p w14:paraId="3B58D647">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778" w:type="dxa"/>
        <w:tblInd w:w="0" w:type="dxa"/>
        <w:tblLayout w:type="fixed"/>
        <w:tblCellMar>
          <w:top w:w="0" w:type="dxa"/>
          <w:left w:w="106" w:type="dxa"/>
          <w:bottom w:w="50" w:type="dxa"/>
          <w:right w:w="68" w:type="dxa"/>
        </w:tblCellMar>
      </w:tblPr>
      <w:tblGrid>
        <w:gridCol w:w="758"/>
        <w:gridCol w:w="2353"/>
        <w:gridCol w:w="1253"/>
        <w:gridCol w:w="1554"/>
        <w:gridCol w:w="1011"/>
        <w:gridCol w:w="1239"/>
        <w:gridCol w:w="1942"/>
        <w:gridCol w:w="1455"/>
        <w:gridCol w:w="1103"/>
        <w:gridCol w:w="1110"/>
      </w:tblGrid>
      <w:tr w14:paraId="5887F91A">
        <w:tblPrEx>
          <w:tblCellMar>
            <w:top w:w="0" w:type="dxa"/>
            <w:left w:w="106" w:type="dxa"/>
            <w:bottom w:w="50" w:type="dxa"/>
            <w:right w:w="68" w:type="dxa"/>
          </w:tblCellMar>
        </w:tblPrEx>
        <w:trPr>
          <w:trHeight w:val="899"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6D488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67F4A637">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F27A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193F3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A3CAA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D76A2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3EFC4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单价（</w:t>
            </w:r>
            <w:r>
              <w:rPr>
                <w:rFonts w:hint="eastAsia" w:ascii="宋体" w:hAnsi="宋体" w:cs="宋体"/>
                <w:sz w:val="21"/>
                <w:szCs w:val="21"/>
                <w:lang w:val="en-US" w:eastAsia="zh-CN"/>
              </w:rPr>
              <w:t>元</w:t>
            </w:r>
            <w:r>
              <w:rPr>
                <w:rFonts w:hint="eastAsia" w:ascii="宋体" w:hAnsi="宋体" w:cs="宋体"/>
                <w:sz w:val="21"/>
                <w:szCs w:val="21"/>
                <w:lang w:val="zh-CN"/>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4B091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总价（元）</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DE984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交付时间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A57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质保期</w:t>
            </w:r>
          </w:p>
        </w:tc>
      </w:tr>
      <w:tr w14:paraId="0DFB9962">
        <w:tblPrEx>
          <w:tblCellMar>
            <w:top w:w="0" w:type="dxa"/>
            <w:left w:w="106" w:type="dxa"/>
            <w:bottom w:w="50" w:type="dxa"/>
            <w:right w:w="68" w:type="dxa"/>
          </w:tblCellMar>
        </w:tblPrEx>
        <w:trPr>
          <w:trHeight w:val="26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600B756B">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1</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63D7D55A">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9073A91">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D889BAC">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7FF187E">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6A0CEAD">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6C1CB78">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94CBD14">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87809C3">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406836">
            <w:pPr>
              <w:widowControl/>
              <w:spacing w:line="360" w:lineRule="auto"/>
              <w:ind w:left="2"/>
              <w:jc w:val="left"/>
              <w:rPr>
                <w:rFonts w:ascii="宋体" w:hAnsi="宋体" w:cs="微软雅黑"/>
                <w:color w:val="000000"/>
                <w:sz w:val="21"/>
                <w:szCs w:val="21"/>
              </w:rPr>
            </w:pPr>
          </w:p>
        </w:tc>
      </w:tr>
      <w:tr w14:paraId="70DF73C8">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3EA539F8">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2</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0B86642D">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964B74">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3898BEF8">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E17B0B4">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2280EFE">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81DD96B">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FE26004">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F91150B">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A0D135">
            <w:pPr>
              <w:widowControl/>
              <w:spacing w:line="360" w:lineRule="auto"/>
              <w:ind w:left="2"/>
              <w:jc w:val="left"/>
              <w:rPr>
                <w:rFonts w:ascii="宋体" w:hAnsi="宋体" w:cs="微软雅黑"/>
                <w:color w:val="000000"/>
                <w:sz w:val="21"/>
                <w:szCs w:val="21"/>
              </w:rPr>
            </w:pPr>
          </w:p>
        </w:tc>
      </w:tr>
      <w:tr w14:paraId="22A97FB5">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46CE0AB7">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3</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0BA2966E">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712CA84">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7841E7F7">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CE3EE26">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207488B">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709B6AF">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63EBB5B">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649BC1A9">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A55FB5">
            <w:pPr>
              <w:widowControl/>
              <w:spacing w:line="360" w:lineRule="auto"/>
              <w:ind w:left="2"/>
              <w:jc w:val="left"/>
              <w:rPr>
                <w:rFonts w:ascii="宋体" w:hAnsi="宋体" w:cs="微软雅黑"/>
                <w:color w:val="000000"/>
                <w:sz w:val="21"/>
                <w:szCs w:val="21"/>
              </w:rPr>
            </w:pPr>
          </w:p>
        </w:tc>
      </w:tr>
      <w:tr w14:paraId="7A282524">
        <w:tblPrEx>
          <w:tblCellMar>
            <w:top w:w="0" w:type="dxa"/>
            <w:left w:w="106" w:type="dxa"/>
            <w:bottom w:w="50" w:type="dxa"/>
            <w:right w:w="68" w:type="dxa"/>
          </w:tblCellMar>
        </w:tblPrEx>
        <w:trPr>
          <w:trHeight w:val="319"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2ABEB8C6">
            <w:pPr>
              <w:widowControl/>
              <w:spacing w:line="360" w:lineRule="auto"/>
              <w:ind w:left="2"/>
              <w:jc w:val="center"/>
              <w:rPr>
                <w:rFonts w:ascii="宋体" w:hAnsi="宋体" w:cs="微软雅黑"/>
                <w:color w:val="000000"/>
                <w:sz w:val="24"/>
                <w:szCs w:val="24"/>
              </w:rPr>
            </w:pPr>
            <w:r>
              <w:rPr>
                <w:rFonts w:ascii="宋体" w:hAnsi="宋体"/>
                <w:color w:val="000000"/>
                <w:sz w:val="24"/>
                <w:szCs w:val="24"/>
              </w:rPr>
              <w:t>…</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17ACD50C">
            <w:pPr>
              <w:widowControl/>
              <w:spacing w:line="360" w:lineRule="auto"/>
              <w:ind w:left="2"/>
              <w:jc w:val="left"/>
              <w:rPr>
                <w:rFonts w:ascii="宋体" w:hAnsi="宋体" w:cs="微软雅黑"/>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BC9190B">
            <w:pPr>
              <w:widowControl/>
              <w:spacing w:line="360" w:lineRule="auto"/>
              <w:ind w:left="2"/>
              <w:jc w:val="left"/>
              <w:rPr>
                <w:rFonts w:ascii="宋体" w:hAnsi="宋体" w:cs="微软雅黑"/>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27336AD">
            <w:pPr>
              <w:widowControl/>
              <w:spacing w:line="360" w:lineRule="auto"/>
              <w:ind w:left="2"/>
              <w:jc w:val="left"/>
              <w:rPr>
                <w:rFonts w:ascii="宋体" w:hAnsi="宋体" w:cs="微软雅黑"/>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126D507">
            <w:pPr>
              <w:widowControl/>
              <w:spacing w:line="360" w:lineRule="auto"/>
              <w:jc w:val="left"/>
              <w:rPr>
                <w:rFonts w:ascii="宋体" w:hAnsi="宋体" w:cs="微软雅黑"/>
                <w:color w:val="000000"/>
                <w:sz w:val="24"/>
                <w:szCs w:val="24"/>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3E3D9E6">
            <w:pPr>
              <w:widowControl/>
              <w:spacing w:line="360" w:lineRule="auto"/>
              <w:ind w:left="2"/>
              <w:jc w:val="left"/>
              <w:rPr>
                <w:rFonts w:ascii="宋体" w:hAnsi="宋体" w:cs="微软雅黑"/>
                <w:color w:val="000000"/>
                <w:sz w:val="24"/>
                <w:szCs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0590BC63">
            <w:pPr>
              <w:widowControl/>
              <w:spacing w:line="360" w:lineRule="auto"/>
              <w:ind w:left="2"/>
              <w:jc w:val="left"/>
              <w:rPr>
                <w:rFonts w:ascii="宋体" w:hAnsi="宋体" w:cs="微软雅黑"/>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21C835F">
            <w:pPr>
              <w:widowControl/>
              <w:spacing w:line="360" w:lineRule="auto"/>
              <w:ind w:left="2"/>
              <w:jc w:val="left"/>
              <w:rPr>
                <w:rFonts w:ascii="宋体" w:hAnsi="宋体" w:cs="微软雅黑"/>
                <w:color w:val="000000"/>
                <w:sz w:val="24"/>
                <w:szCs w:val="24"/>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8685B7D">
            <w:pPr>
              <w:widowControl/>
              <w:spacing w:line="360" w:lineRule="auto"/>
              <w:ind w:left="2"/>
              <w:jc w:val="left"/>
              <w:rPr>
                <w:rFonts w:ascii="宋体" w:hAnsi="宋体" w:cs="微软雅黑"/>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40466B">
            <w:pPr>
              <w:widowControl/>
              <w:spacing w:line="360" w:lineRule="auto"/>
              <w:ind w:left="2"/>
              <w:jc w:val="left"/>
              <w:rPr>
                <w:rFonts w:ascii="宋体" w:hAnsi="宋体" w:cs="微软雅黑"/>
                <w:color w:val="000000"/>
                <w:sz w:val="24"/>
                <w:szCs w:val="24"/>
              </w:rPr>
            </w:pPr>
          </w:p>
        </w:tc>
      </w:tr>
    </w:tbl>
    <w:p w14:paraId="76761B2C">
      <w:pPr>
        <w:widowControl/>
        <w:ind w:left="6" w:right="459" w:hanging="10"/>
        <w:jc w:val="left"/>
        <w:rPr>
          <w:rFonts w:hint="eastAsia" w:ascii="宋体" w:hAnsi="宋体" w:cs="微软雅黑"/>
          <w:color w:val="000000"/>
          <w:sz w:val="21"/>
          <w:szCs w:val="21"/>
        </w:rPr>
      </w:pPr>
    </w:p>
    <w:p w14:paraId="2651E20D">
      <w:pPr>
        <w:widowControl/>
        <w:ind w:right="459"/>
        <w:jc w:val="left"/>
        <w:rPr>
          <w:rFonts w:ascii="宋体" w:hAnsi="宋体" w:cs="微软雅黑"/>
          <w:color w:val="000000"/>
          <w:sz w:val="24"/>
          <w:szCs w:val="24"/>
        </w:rPr>
      </w:pPr>
    </w:p>
    <w:p w14:paraId="5EC3D261">
      <w:pPr>
        <w:pStyle w:val="9"/>
        <w:rPr>
          <w:rFonts w:ascii="宋体" w:hAnsi="宋体" w:cs="微软雅黑"/>
          <w:color w:val="000000"/>
          <w:sz w:val="24"/>
          <w:szCs w:val="24"/>
        </w:rPr>
      </w:pPr>
    </w:p>
    <w:p w14:paraId="74D6199D">
      <w:pPr>
        <w:rPr>
          <w:rFonts w:ascii="宋体" w:hAnsi="宋体" w:cs="微软雅黑"/>
          <w:color w:val="000000"/>
          <w:sz w:val="24"/>
          <w:szCs w:val="24"/>
        </w:rPr>
      </w:pPr>
    </w:p>
    <w:p w14:paraId="360DE645">
      <w:pPr>
        <w:rPr>
          <w:rFonts w:ascii="宋体" w:hAnsi="宋体" w:cs="微软雅黑"/>
          <w:color w:val="000000"/>
          <w:sz w:val="24"/>
          <w:szCs w:val="24"/>
        </w:rPr>
      </w:pPr>
    </w:p>
    <w:p w14:paraId="659CA7BF">
      <w:pPr>
        <w:pStyle w:val="9"/>
        <w:rPr>
          <w:rFonts w:ascii="宋体" w:hAnsi="宋体" w:cs="微软雅黑"/>
          <w:color w:val="000000"/>
          <w:sz w:val="24"/>
          <w:szCs w:val="24"/>
        </w:rPr>
      </w:pPr>
    </w:p>
    <w:p w14:paraId="21CB5E23">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7768EAF4">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28610E14">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FC97E3"/>
    <w:p w14:paraId="730DBFC4"/>
    <w:p w14:paraId="6ACBE975"/>
    <w:p w14:paraId="4A35F587"/>
    <w:p w14:paraId="691EE5E8"/>
    <w:p w14:paraId="5A5E3F75"/>
    <w:p w14:paraId="26E594D3"/>
    <w:p w14:paraId="31CD0916"/>
    <w:p w14:paraId="6DF28D20">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2.3</w:t>
      </w:r>
      <w:r>
        <w:rPr>
          <w:rFonts w:hint="eastAsia" w:ascii="宋体" w:hAnsi="宋体" w:cs="微软雅黑"/>
          <w:color w:val="000000"/>
          <w:sz w:val="24"/>
          <w:szCs w:val="24"/>
        </w:rPr>
        <w:t>投标分项报价表（耗材及易损件）</w:t>
      </w:r>
    </w:p>
    <w:p w14:paraId="2D793ACB">
      <w:pPr>
        <w:widowControl/>
        <w:spacing w:line="360" w:lineRule="auto"/>
        <w:ind w:left="-4" w:firstLine="1"/>
        <w:jc w:val="left"/>
        <w:rPr>
          <w:rFonts w:hint="eastAsia" w:ascii="宋体" w:hAnsi="宋体" w:cs="微软雅黑"/>
          <w:color w:val="000000"/>
          <w:sz w:val="24"/>
          <w:szCs w:val="24"/>
        </w:rPr>
      </w:pPr>
    </w:p>
    <w:p w14:paraId="47780F2E">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583" w:type="dxa"/>
        <w:tblInd w:w="0" w:type="dxa"/>
        <w:tblLayout w:type="fixed"/>
        <w:tblCellMar>
          <w:top w:w="0" w:type="dxa"/>
          <w:left w:w="106" w:type="dxa"/>
          <w:bottom w:w="50" w:type="dxa"/>
          <w:right w:w="68" w:type="dxa"/>
        </w:tblCellMar>
      </w:tblPr>
      <w:tblGrid>
        <w:gridCol w:w="758"/>
        <w:gridCol w:w="2505"/>
        <w:gridCol w:w="2595"/>
        <w:gridCol w:w="2100"/>
        <w:gridCol w:w="1815"/>
        <w:gridCol w:w="2010"/>
        <w:gridCol w:w="1800"/>
      </w:tblGrid>
      <w:tr w14:paraId="0CB4C05F">
        <w:tblPrEx>
          <w:tblCellMar>
            <w:top w:w="0" w:type="dxa"/>
            <w:left w:w="106" w:type="dxa"/>
            <w:bottom w:w="50" w:type="dxa"/>
            <w:right w:w="68" w:type="dxa"/>
          </w:tblCellMar>
        </w:tblPrEx>
        <w:trPr>
          <w:trHeight w:val="899"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4C1BA4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BDA21C6">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57B67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572E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CDF3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1EAA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637F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单价（</w:t>
            </w:r>
            <w:r>
              <w:rPr>
                <w:rFonts w:hint="eastAsia" w:ascii="宋体" w:hAnsi="宋体" w:cs="宋体"/>
                <w:sz w:val="21"/>
                <w:szCs w:val="21"/>
                <w:lang w:val="en-US" w:eastAsia="zh-CN"/>
              </w:rPr>
              <w:t>元</w:t>
            </w:r>
            <w:r>
              <w:rPr>
                <w:rFonts w:hint="eastAsia" w:ascii="宋体" w:hAnsi="宋体" w:cs="宋体"/>
                <w:sz w:val="21"/>
                <w:szCs w:val="21"/>
                <w:lang w:val="zh-CN"/>
              </w:rPr>
              <w:t>）</w:t>
            </w:r>
          </w:p>
        </w:tc>
      </w:tr>
      <w:tr w14:paraId="7C1C7280">
        <w:tblPrEx>
          <w:tblCellMar>
            <w:top w:w="0" w:type="dxa"/>
            <w:left w:w="106" w:type="dxa"/>
            <w:bottom w:w="50" w:type="dxa"/>
            <w:right w:w="68" w:type="dxa"/>
          </w:tblCellMar>
        </w:tblPrEx>
        <w:trPr>
          <w:trHeight w:val="26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BA3B32">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1</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6F050903">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287B906">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54B980A">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DD523B">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D47C31">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DAC313">
            <w:pPr>
              <w:widowControl/>
              <w:spacing w:line="360" w:lineRule="auto"/>
              <w:ind w:left="2"/>
              <w:jc w:val="left"/>
              <w:rPr>
                <w:rFonts w:ascii="宋体" w:hAnsi="宋体" w:cs="微软雅黑"/>
                <w:color w:val="000000"/>
                <w:sz w:val="21"/>
                <w:szCs w:val="21"/>
              </w:rPr>
            </w:pPr>
          </w:p>
        </w:tc>
      </w:tr>
      <w:tr w14:paraId="46091AAA">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73DBADE">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2</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78F561FF">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25B23E8">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23386B0">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347C62">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3A7733">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0F1A7B9">
            <w:pPr>
              <w:widowControl/>
              <w:spacing w:line="360" w:lineRule="auto"/>
              <w:ind w:left="2"/>
              <w:jc w:val="left"/>
              <w:rPr>
                <w:rFonts w:ascii="宋体" w:hAnsi="宋体" w:cs="微软雅黑"/>
                <w:color w:val="000000"/>
                <w:sz w:val="21"/>
                <w:szCs w:val="21"/>
              </w:rPr>
            </w:pPr>
          </w:p>
        </w:tc>
      </w:tr>
      <w:tr w14:paraId="4BE65638">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A8ABA4">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3</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9CC358D">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ABB65D4">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2179892">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94CD75">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9D4C78">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BA2B95">
            <w:pPr>
              <w:widowControl/>
              <w:spacing w:line="360" w:lineRule="auto"/>
              <w:ind w:left="2"/>
              <w:jc w:val="left"/>
              <w:rPr>
                <w:rFonts w:ascii="宋体" w:hAnsi="宋体" w:cs="微软雅黑"/>
                <w:color w:val="000000"/>
                <w:sz w:val="21"/>
                <w:szCs w:val="21"/>
              </w:rPr>
            </w:pPr>
          </w:p>
        </w:tc>
      </w:tr>
      <w:tr w14:paraId="07249DD6">
        <w:tblPrEx>
          <w:tblCellMar>
            <w:top w:w="0" w:type="dxa"/>
            <w:left w:w="106" w:type="dxa"/>
            <w:bottom w:w="50" w:type="dxa"/>
            <w:right w:w="68" w:type="dxa"/>
          </w:tblCellMar>
        </w:tblPrEx>
        <w:trPr>
          <w:trHeight w:val="319"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340D888E">
            <w:pPr>
              <w:widowControl/>
              <w:spacing w:line="360" w:lineRule="auto"/>
              <w:ind w:left="2"/>
              <w:jc w:val="center"/>
              <w:rPr>
                <w:rFonts w:ascii="宋体" w:hAnsi="宋体" w:cs="微软雅黑"/>
                <w:color w:val="000000"/>
                <w:sz w:val="24"/>
                <w:szCs w:val="24"/>
              </w:rPr>
            </w:pPr>
            <w:r>
              <w:rPr>
                <w:rFonts w:ascii="宋体" w:hAnsi="宋体"/>
                <w:color w:val="000000"/>
                <w:sz w:val="24"/>
                <w:szCs w:val="24"/>
              </w:rPr>
              <w:t>…</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CD97BFC">
            <w:pPr>
              <w:widowControl/>
              <w:spacing w:line="360" w:lineRule="auto"/>
              <w:ind w:left="2"/>
              <w:jc w:val="left"/>
              <w:rPr>
                <w:rFonts w:ascii="宋体" w:hAnsi="宋体" w:cs="微软雅黑"/>
                <w:color w:val="000000"/>
                <w:sz w:val="24"/>
                <w:szCs w:val="24"/>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49359DC">
            <w:pPr>
              <w:widowControl/>
              <w:spacing w:line="360" w:lineRule="auto"/>
              <w:ind w:left="2"/>
              <w:jc w:val="left"/>
              <w:rPr>
                <w:rFonts w:ascii="宋体" w:hAnsi="宋体" w:cs="微软雅黑"/>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A29C9D5">
            <w:pPr>
              <w:widowControl/>
              <w:spacing w:line="360" w:lineRule="auto"/>
              <w:ind w:left="2"/>
              <w:jc w:val="left"/>
              <w:rPr>
                <w:rFonts w:ascii="宋体" w:hAnsi="宋体" w:cs="微软雅黑"/>
                <w:color w:val="00000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0C57FA">
            <w:pPr>
              <w:widowControl/>
              <w:spacing w:line="360" w:lineRule="auto"/>
              <w:jc w:val="left"/>
              <w:rPr>
                <w:rFonts w:ascii="宋体" w:hAnsi="宋体" w:cs="微软雅黑"/>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4A6BD4">
            <w:pPr>
              <w:widowControl/>
              <w:spacing w:line="360" w:lineRule="auto"/>
              <w:ind w:left="2"/>
              <w:jc w:val="left"/>
              <w:rPr>
                <w:rFonts w:ascii="宋体" w:hAnsi="宋体" w:cs="微软雅黑"/>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AD9E2CA">
            <w:pPr>
              <w:widowControl/>
              <w:spacing w:line="360" w:lineRule="auto"/>
              <w:ind w:left="2"/>
              <w:jc w:val="left"/>
              <w:rPr>
                <w:rFonts w:ascii="宋体" w:hAnsi="宋体" w:cs="微软雅黑"/>
                <w:color w:val="000000"/>
                <w:sz w:val="24"/>
                <w:szCs w:val="24"/>
              </w:rPr>
            </w:pPr>
          </w:p>
        </w:tc>
      </w:tr>
    </w:tbl>
    <w:p w14:paraId="7AA263E1">
      <w:pPr>
        <w:widowControl/>
        <w:ind w:left="6" w:right="459" w:hanging="10"/>
        <w:jc w:val="left"/>
        <w:rPr>
          <w:rFonts w:hint="eastAsia" w:ascii="宋体" w:hAnsi="宋体" w:cs="微软雅黑"/>
          <w:color w:val="000000"/>
          <w:sz w:val="21"/>
          <w:szCs w:val="21"/>
        </w:rPr>
      </w:pPr>
    </w:p>
    <w:p w14:paraId="303EEC16">
      <w:pPr>
        <w:widowControl/>
        <w:ind w:right="459"/>
        <w:jc w:val="left"/>
        <w:rPr>
          <w:rFonts w:ascii="宋体" w:hAnsi="宋体" w:cs="微软雅黑"/>
          <w:color w:val="000000"/>
          <w:sz w:val="24"/>
          <w:szCs w:val="24"/>
        </w:rPr>
      </w:pPr>
    </w:p>
    <w:p w14:paraId="3ED4E6F5">
      <w:pPr>
        <w:pStyle w:val="9"/>
        <w:rPr>
          <w:rFonts w:ascii="宋体" w:hAnsi="宋体" w:cs="微软雅黑"/>
          <w:color w:val="000000"/>
          <w:sz w:val="24"/>
          <w:szCs w:val="24"/>
        </w:rPr>
      </w:pPr>
    </w:p>
    <w:p w14:paraId="35DCC687">
      <w:pPr>
        <w:rPr>
          <w:rFonts w:ascii="宋体" w:hAnsi="宋体" w:cs="微软雅黑"/>
          <w:color w:val="000000"/>
          <w:sz w:val="24"/>
          <w:szCs w:val="24"/>
        </w:rPr>
      </w:pPr>
    </w:p>
    <w:p w14:paraId="1083826A">
      <w:pPr>
        <w:rPr>
          <w:rFonts w:ascii="宋体" w:hAnsi="宋体" w:cs="微软雅黑"/>
          <w:color w:val="000000"/>
          <w:sz w:val="24"/>
          <w:szCs w:val="24"/>
        </w:rPr>
      </w:pPr>
    </w:p>
    <w:p w14:paraId="05D4A8CF">
      <w:pPr>
        <w:pStyle w:val="9"/>
        <w:rPr>
          <w:rFonts w:ascii="宋体" w:hAnsi="宋体" w:cs="微软雅黑"/>
          <w:color w:val="000000"/>
          <w:sz w:val="24"/>
          <w:szCs w:val="24"/>
        </w:rPr>
      </w:pPr>
    </w:p>
    <w:p w14:paraId="22804445">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B48BCF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52CA5DBB">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F6FF56">
      <w:pPr>
        <w:sectPr>
          <w:headerReference r:id="rId6" w:type="first"/>
          <w:footerReference r:id="rId9" w:type="first"/>
          <w:footerReference r:id="rId7" w:type="default"/>
          <w:headerReference r:id="rId5" w:type="even"/>
          <w:footerReference r:id="rId8" w:type="even"/>
          <w:pgSz w:w="16841" w:h="11906" w:orient="landscape"/>
          <w:pgMar w:top="1581" w:right="1414" w:bottom="1015" w:left="1702" w:header="720" w:footer="720" w:gutter="0"/>
          <w:cols w:space="720" w:num="1"/>
          <w:docGrid w:linePitch="286" w:charSpace="0"/>
        </w:sectPr>
      </w:pPr>
    </w:p>
    <w:bookmarkEnd w:id="106"/>
    <w:bookmarkEnd w:id="107"/>
    <w:bookmarkEnd w:id="108"/>
    <w:p w14:paraId="181DC6FD">
      <w:pPr>
        <w:widowControl/>
        <w:spacing w:line="256" w:lineRule="auto"/>
        <w:jc w:val="center"/>
        <w:rPr>
          <w:rFonts w:hint="eastAsia" w:ascii="宋体" w:hAnsi="宋体" w:eastAsia="宋体" w:cs="微软雅黑"/>
          <w:color w:val="000000"/>
          <w:sz w:val="24"/>
          <w:szCs w:val="24"/>
          <w:lang w:val="en-US" w:eastAsia="zh-CN"/>
        </w:rPr>
      </w:pPr>
      <w:bookmarkStart w:id="110" w:name="_Toc21788"/>
      <w:bookmarkStart w:id="111" w:name="_Toc23028"/>
      <w:bookmarkStart w:id="112" w:name="_Toc13293"/>
      <w:bookmarkStart w:id="113" w:name="_Toc17344"/>
      <w:r>
        <w:rPr>
          <w:rFonts w:hint="eastAsia" w:ascii="宋体" w:hAnsi="宋体" w:eastAsia="宋体" w:cs="微软雅黑"/>
          <w:color w:val="000000"/>
          <w:sz w:val="24"/>
          <w:szCs w:val="24"/>
          <w:lang w:val="en-US" w:eastAsia="zh-CN"/>
        </w:rPr>
        <w:t>2.4投标货物配置清单</w:t>
      </w:r>
    </w:p>
    <w:p w14:paraId="379064A0">
      <w:pPr>
        <w:widowControl/>
        <w:spacing w:line="256" w:lineRule="auto"/>
        <w:jc w:val="center"/>
        <w:rPr>
          <w:rFonts w:hint="eastAsia" w:ascii="宋体" w:hAnsi="宋体" w:eastAsia="宋体" w:cs="微软雅黑"/>
          <w:color w:val="000000"/>
          <w:sz w:val="24"/>
          <w:szCs w:val="24"/>
          <w:lang w:val="en-US" w:eastAsia="zh-CN"/>
        </w:rPr>
      </w:pPr>
    </w:p>
    <w:p w14:paraId="2EC26653">
      <w:pPr>
        <w:widowControl/>
        <w:spacing w:line="256" w:lineRule="auto"/>
        <w:jc w:val="center"/>
        <w:rPr>
          <w:rFonts w:hint="default" w:ascii="宋体" w:hAnsi="宋体" w:eastAsia="宋体" w:cs="微软雅黑"/>
          <w:color w:val="000000"/>
          <w:sz w:val="24"/>
          <w:szCs w:val="24"/>
          <w:lang w:val="en-US" w:eastAsia="zh-CN"/>
        </w:rPr>
      </w:pPr>
      <w:r>
        <w:rPr>
          <w:rFonts w:hint="eastAsia" w:ascii="宋体" w:hAnsi="宋体" w:eastAsia="宋体" w:cs="微软雅黑"/>
          <w:color w:val="000000"/>
          <w:sz w:val="24"/>
          <w:szCs w:val="24"/>
          <w:lang w:val="en-US" w:eastAsia="zh-CN"/>
        </w:rPr>
        <w:t>格式自拟</w:t>
      </w:r>
    </w:p>
    <w:p w14:paraId="51569366">
      <w:pPr>
        <w:widowControl/>
        <w:spacing w:line="256" w:lineRule="auto"/>
        <w:jc w:val="center"/>
        <w:rPr>
          <w:rFonts w:hint="eastAsia" w:ascii="宋体" w:hAnsi="宋体" w:eastAsia="宋体" w:cs="微软雅黑"/>
          <w:color w:val="000000"/>
          <w:sz w:val="24"/>
          <w:szCs w:val="24"/>
          <w:lang w:val="en-US" w:eastAsia="zh-CN"/>
        </w:rPr>
      </w:pPr>
    </w:p>
    <w:p w14:paraId="226BF254">
      <w:pPr>
        <w:widowControl/>
        <w:spacing w:line="256" w:lineRule="auto"/>
        <w:jc w:val="center"/>
        <w:rPr>
          <w:rFonts w:hint="eastAsia" w:ascii="宋体" w:hAnsi="宋体" w:eastAsia="宋体" w:cs="微软雅黑"/>
          <w:color w:val="000000"/>
          <w:sz w:val="24"/>
          <w:szCs w:val="24"/>
          <w:lang w:val="en-US" w:eastAsia="zh-CN"/>
        </w:rPr>
      </w:pPr>
    </w:p>
    <w:p w14:paraId="34438540">
      <w:pPr>
        <w:widowControl/>
        <w:spacing w:line="256" w:lineRule="auto"/>
        <w:jc w:val="center"/>
        <w:rPr>
          <w:rFonts w:hint="eastAsia" w:ascii="宋体" w:hAnsi="宋体" w:eastAsia="宋体" w:cs="微软雅黑"/>
          <w:color w:val="000000"/>
          <w:sz w:val="24"/>
          <w:szCs w:val="24"/>
          <w:lang w:val="en-US" w:eastAsia="zh-CN"/>
        </w:rPr>
      </w:pPr>
    </w:p>
    <w:p w14:paraId="7246FEBC">
      <w:pPr>
        <w:widowControl/>
        <w:spacing w:line="256" w:lineRule="auto"/>
        <w:jc w:val="center"/>
        <w:rPr>
          <w:rFonts w:hint="eastAsia" w:ascii="宋体" w:hAnsi="宋体" w:eastAsia="宋体" w:cs="微软雅黑"/>
          <w:color w:val="000000"/>
          <w:sz w:val="24"/>
          <w:szCs w:val="24"/>
          <w:lang w:val="en-US" w:eastAsia="zh-CN"/>
        </w:rPr>
      </w:pPr>
    </w:p>
    <w:p w14:paraId="4B5A6D0D">
      <w:pPr>
        <w:widowControl/>
        <w:spacing w:line="256" w:lineRule="auto"/>
        <w:jc w:val="center"/>
        <w:rPr>
          <w:rFonts w:hint="eastAsia" w:ascii="宋体" w:hAnsi="宋体" w:eastAsia="宋体" w:cs="微软雅黑"/>
          <w:color w:val="000000"/>
          <w:sz w:val="24"/>
          <w:szCs w:val="24"/>
          <w:lang w:val="en-US" w:eastAsia="zh-CN"/>
        </w:rPr>
      </w:pPr>
    </w:p>
    <w:p w14:paraId="356E0EB5">
      <w:pPr>
        <w:widowControl/>
        <w:spacing w:line="256" w:lineRule="auto"/>
        <w:jc w:val="center"/>
        <w:rPr>
          <w:rFonts w:hint="eastAsia" w:ascii="宋体" w:hAnsi="宋体" w:eastAsia="宋体" w:cs="微软雅黑"/>
          <w:color w:val="000000"/>
          <w:sz w:val="24"/>
          <w:szCs w:val="24"/>
          <w:lang w:val="en-US" w:eastAsia="zh-CN"/>
        </w:rPr>
      </w:pPr>
    </w:p>
    <w:p w14:paraId="647D92F2">
      <w:pPr>
        <w:widowControl/>
        <w:spacing w:line="256" w:lineRule="auto"/>
        <w:jc w:val="center"/>
        <w:rPr>
          <w:rFonts w:hint="eastAsia" w:ascii="宋体" w:hAnsi="宋体" w:eastAsia="宋体" w:cs="微软雅黑"/>
          <w:color w:val="000000"/>
          <w:sz w:val="24"/>
          <w:szCs w:val="24"/>
          <w:lang w:val="en-US" w:eastAsia="zh-CN"/>
        </w:rPr>
      </w:pPr>
    </w:p>
    <w:p w14:paraId="49A7F603">
      <w:pPr>
        <w:widowControl/>
        <w:spacing w:line="256" w:lineRule="auto"/>
        <w:jc w:val="center"/>
        <w:rPr>
          <w:rFonts w:hint="eastAsia" w:ascii="宋体" w:hAnsi="宋体" w:eastAsia="宋体" w:cs="微软雅黑"/>
          <w:color w:val="000000"/>
          <w:sz w:val="24"/>
          <w:szCs w:val="24"/>
          <w:lang w:val="en-US" w:eastAsia="zh-CN"/>
        </w:rPr>
      </w:pPr>
    </w:p>
    <w:p w14:paraId="08B5C838">
      <w:pPr>
        <w:widowControl/>
        <w:spacing w:line="256" w:lineRule="auto"/>
        <w:jc w:val="center"/>
        <w:rPr>
          <w:rFonts w:hint="eastAsia" w:ascii="宋体" w:hAnsi="宋体" w:eastAsia="宋体" w:cs="微软雅黑"/>
          <w:color w:val="000000"/>
          <w:sz w:val="24"/>
          <w:szCs w:val="24"/>
          <w:lang w:val="en-US" w:eastAsia="zh-CN"/>
        </w:rPr>
      </w:pPr>
    </w:p>
    <w:p w14:paraId="67CBF832">
      <w:pPr>
        <w:widowControl/>
        <w:spacing w:line="256" w:lineRule="auto"/>
        <w:jc w:val="center"/>
        <w:rPr>
          <w:rFonts w:hint="eastAsia" w:ascii="宋体" w:hAnsi="宋体" w:eastAsia="宋体" w:cs="微软雅黑"/>
          <w:color w:val="000000"/>
          <w:sz w:val="24"/>
          <w:szCs w:val="24"/>
          <w:lang w:val="en-US" w:eastAsia="zh-CN"/>
        </w:rPr>
      </w:pPr>
    </w:p>
    <w:p w14:paraId="46F068FD">
      <w:pPr>
        <w:widowControl/>
        <w:spacing w:line="256" w:lineRule="auto"/>
        <w:jc w:val="center"/>
        <w:rPr>
          <w:rFonts w:hint="eastAsia" w:ascii="宋体" w:hAnsi="宋体" w:eastAsia="宋体" w:cs="微软雅黑"/>
          <w:color w:val="000000"/>
          <w:sz w:val="24"/>
          <w:szCs w:val="24"/>
          <w:lang w:val="en-US" w:eastAsia="zh-CN"/>
        </w:rPr>
      </w:pPr>
    </w:p>
    <w:p w14:paraId="162DD8F7">
      <w:pPr>
        <w:widowControl/>
        <w:spacing w:line="256" w:lineRule="auto"/>
        <w:jc w:val="center"/>
        <w:rPr>
          <w:rFonts w:hint="eastAsia" w:ascii="宋体" w:hAnsi="宋体" w:eastAsia="宋体" w:cs="微软雅黑"/>
          <w:color w:val="000000"/>
          <w:sz w:val="24"/>
          <w:szCs w:val="24"/>
          <w:lang w:val="en-US" w:eastAsia="zh-CN"/>
        </w:rPr>
      </w:pPr>
    </w:p>
    <w:p w14:paraId="07649FF8">
      <w:pPr>
        <w:widowControl/>
        <w:spacing w:line="256" w:lineRule="auto"/>
        <w:jc w:val="center"/>
        <w:rPr>
          <w:rFonts w:hint="eastAsia" w:ascii="宋体" w:hAnsi="宋体" w:eastAsia="宋体" w:cs="微软雅黑"/>
          <w:color w:val="000000"/>
          <w:sz w:val="24"/>
          <w:szCs w:val="24"/>
          <w:lang w:val="en-US" w:eastAsia="zh-CN"/>
        </w:rPr>
      </w:pPr>
    </w:p>
    <w:p w14:paraId="62C3702E">
      <w:pPr>
        <w:widowControl/>
        <w:spacing w:line="256" w:lineRule="auto"/>
        <w:jc w:val="center"/>
        <w:rPr>
          <w:rFonts w:hint="eastAsia" w:ascii="宋体" w:hAnsi="宋体" w:eastAsia="宋体" w:cs="微软雅黑"/>
          <w:color w:val="000000"/>
          <w:sz w:val="24"/>
          <w:szCs w:val="24"/>
          <w:lang w:val="en-US" w:eastAsia="zh-CN"/>
        </w:rPr>
      </w:pPr>
    </w:p>
    <w:p w14:paraId="278F756C">
      <w:pPr>
        <w:widowControl/>
        <w:spacing w:line="256" w:lineRule="auto"/>
        <w:jc w:val="center"/>
        <w:rPr>
          <w:rFonts w:hint="eastAsia" w:ascii="宋体" w:hAnsi="宋体" w:eastAsia="宋体" w:cs="微软雅黑"/>
          <w:color w:val="000000"/>
          <w:sz w:val="24"/>
          <w:szCs w:val="24"/>
          <w:lang w:val="en-US" w:eastAsia="zh-CN"/>
        </w:rPr>
      </w:pPr>
    </w:p>
    <w:p w14:paraId="2BD8F1E0">
      <w:pPr>
        <w:widowControl/>
        <w:spacing w:line="256" w:lineRule="auto"/>
        <w:jc w:val="center"/>
        <w:rPr>
          <w:rFonts w:hint="eastAsia" w:ascii="宋体" w:hAnsi="宋体" w:eastAsia="宋体" w:cs="微软雅黑"/>
          <w:color w:val="000000"/>
          <w:sz w:val="24"/>
          <w:szCs w:val="24"/>
          <w:lang w:val="en-US" w:eastAsia="zh-CN"/>
        </w:rPr>
      </w:pPr>
    </w:p>
    <w:p w14:paraId="3E6DF274">
      <w:pPr>
        <w:widowControl/>
        <w:spacing w:line="256" w:lineRule="auto"/>
        <w:jc w:val="center"/>
        <w:rPr>
          <w:rFonts w:hint="eastAsia" w:ascii="宋体" w:hAnsi="宋体" w:eastAsia="宋体" w:cs="微软雅黑"/>
          <w:color w:val="000000"/>
          <w:sz w:val="24"/>
          <w:szCs w:val="24"/>
          <w:lang w:val="en-US" w:eastAsia="zh-CN"/>
        </w:rPr>
      </w:pPr>
    </w:p>
    <w:p w14:paraId="122C7257">
      <w:pPr>
        <w:widowControl/>
        <w:spacing w:line="256" w:lineRule="auto"/>
        <w:jc w:val="center"/>
        <w:rPr>
          <w:rFonts w:hint="eastAsia" w:ascii="宋体" w:hAnsi="宋体" w:eastAsia="宋体" w:cs="微软雅黑"/>
          <w:color w:val="000000"/>
          <w:sz w:val="24"/>
          <w:szCs w:val="24"/>
          <w:lang w:val="en-US" w:eastAsia="zh-CN"/>
        </w:rPr>
      </w:pPr>
    </w:p>
    <w:p w14:paraId="56D53681">
      <w:pPr>
        <w:widowControl/>
        <w:spacing w:line="256" w:lineRule="auto"/>
        <w:jc w:val="center"/>
        <w:rPr>
          <w:rFonts w:hint="eastAsia" w:ascii="宋体" w:hAnsi="宋体" w:eastAsia="宋体" w:cs="微软雅黑"/>
          <w:color w:val="000000"/>
          <w:sz w:val="24"/>
          <w:szCs w:val="24"/>
          <w:lang w:val="en-US" w:eastAsia="zh-CN"/>
        </w:rPr>
      </w:pPr>
    </w:p>
    <w:p w14:paraId="1C742A59">
      <w:pPr>
        <w:widowControl/>
        <w:spacing w:line="256" w:lineRule="auto"/>
        <w:jc w:val="center"/>
        <w:rPr>
          <w:rFonts w:hint="eastAsia" w:ascii="宋体" w:hAnsi="宋体" w:eastAsia="宋体" w:cs="微软雅黑"/>
          <w:color w:val="000000"/>
          <w:sz w:val="24"/>
          <w:szCs w:val="24"/>
          <w:lang w:val="en-US" w:eastAsia="zh-CN"/>
        </w:rPr>
      </w:pPr>
    </w:p>
    <w:p w14:paraId="79989622">
      <w:pPr>
        <w:widowControl/>
        <w:spacing w:line="256" w:lineRule="auto"/>
        <w:jc w:val="center"/>
        <w:rPr>
          <w:rFonts w:hint="eastAsia" w:ascii="宋体" w:hAnsi="宋体" w:eastAsia="宋体" w:cs="微软雅黑"/>
          <w:color w:val="000000"/>
          <w:sz w:val="24"/>
          <w:szCs w:val="24"/>
          <w:lang w:val="en-US" w:eastAsia="zh-CN"/>
        </w:rPr>
      </w:pPr>
    </w:p>
    <w:p w14:paraId="56A3DCB3">
      <w:pPr>
        <w:widowControl/>
        <w:spacing w:line="256" w:lineRule="auto"/>
        <w:jc w:val="center"/>
        <w:rPr>
          <w:rFonts w:hint="eastAsia" w:ascii="宋体" w:hAnsi="宋体" w:eastAsia="宋体" w:cs="微软雅黑"/>
          <w:color w:val="000000"/>
          <w:sz w:val="24"/>
          <w:szCs w:val="24"/>
          <w:lang w:val="en-US" w:eastAsia="zh-CN"/>
        </w:rPr>
      </w:pPr>
    </w:p>
    <w:p w14:paraId="11194FC8">
      <w:pPr>
        <w:widowControl/>
        <w:spacing w:line="256" w:lineRule="auto"/>
        <w:jc w:val="center"/>
        <w:rPr>
          <w:rFonts w:hint="eastAsia" w:ascii="宋体" w:hAnsi="宋体" w:eastAsia="宋体" w:cs="微软雅黑"/>
          <w:color w:val="000000"/>
          <w:sz w:val="24"/>
          <w:szCs w:val="24"/>
          <w:lang w:val="en-US" w:eastAsia="zh-CN"/>
        </w:rPr>
      </w:pPr>
    </w:p>
    <w:p w14:paraId="6492E67D">
      <w:pPr>
        <w:widowControl/>
        <w:spacing w:line="256" w:lineRule="auto"/>
        <w:jc w:val="center"/>
        <w:rPr>
          <w:rFonts w:hint="eastAsia" w:ascii="宋体" w:hAnsi="宋体" w:eastAsia="宋体" w:cs="微软雅黑"/>
          <w:color w:val="000000"/>
          <w:sz w:val="24"/>
          <w:szCs w:val="24"/>
          <w:lang w:val="en-US" w:eastAsia="zh-CN"/>
        </w:rPr>
      </w:pPr>
    </w:p>
    <w:p w14:paraId="21E5FA29">
      <w:pPr>
        <w:widowControl/>
        <w:spacing w:line="256" w:lineRule="auto"/>
        <w:jc w:val="center"/>
        <w:rPr>
          <w:rFonts w:hint="eastAsia" w:ascii="宋体" w:hAnsi="宋体" w:eastAsia="宋体" w:cs="微软雅黑"/>
          <w:color w:val="000000"/>
          <w:sz w:val="24"/>
          <w:szCs w:val="24"/>
          <w:lang w:val="en-US" w:eastAsia="zh-CN"/>
        </w:rPr>
      </w:pPr>
    </w:p>
    <w:p w14:paraId="3070E467">
      <w:pPr>
        <w:widowControl/>
        <w:spacing w:line="256" w:lineRule="auto"/>
        <w:jc w:val="center"/>
        <w:rPr>
          <w:rFonts w:hint="eastAsia" w:ascii="宋体" w:hAnsi="宋体" w:eastAsia="宋体" w:cs="微软雅黑"/>
          <w:color w:val="000000"/>
          <w:sz w:val="24"/>
          <w:szCs w:val="24"/>
          <w:lang w:val="en-US" w:eastAsia="zh-CN"/>
        </w:rPr>
      </w:pPr>
    </w:p>
    <w:p w14:paraId="40E52CD8">
      <w:pPr>
        <w:widowControl/>
        <w:spacing w:line="256" w:lineRule="auto"/>
        <w:jc w:val="center"/>
        <w:rPr>
          <w:rFonts w:hint="eastAsia" w:ascii="宋体" w:hAnsi="宋体" w:eastAsia="宋体" w:cs="微软雅黑"/>
          <w:color w:val="000000"/>
          <w:sz w:val="24"/>
          <w:szCs w:val="24"/>
          <w:lang w:val="en-US" w:eastAsia="zh-CN"/>
        </w:rPr>
      </w:pPr>
    </w:p>
    <w:p w14:paraId="3DBA3BB9">
      <w:pPr>
        <w:widowControl/>
        <w:spacing w:line="256" w:lineRule="auto"/>
        <w:jc w:val="center"/>
        <w:rPr>
          <w:rFonts w:hint="eastAsia" w:ascii="宋体" w:hAnsi="宋体" w:eastAsia="宋体" w:cs="微软雅黑"/>
          <w:color w:val="000000"/>
          <w:sz w:val="24"/>
          <w:szCs w:val="24"/>
          <w:lang w:val="en-US" w:eastAsia="zh-CN"/>
        </w:rPr>
      </w:pPr>
    </w:p>
    <w:p w14:paraId="16377269">
      <w:pPr>
        <w:widowControl/>
        <w:spacing w:line="256" w:lineRule="auto"/>
        <w:jc w:val="center"/>
        <w:rPr>
          <w:rFonts w:hint="eastAsia" w:ascii="宋体" w:hAnsi="宋体" w:eastAsia="宋体" w:cs="微软雅黑"/>
          <w:color w:val="000000"/>
          <w:sz w:val="24"/>
          <w:szCs w:val="24"/>
          <w:lang w:val="en-US" w:eastAsia="zh-CN"/>
        </w:rPr>
      </w:pPr>
    </w:p>
    <w:p w14:paraId="116A4DC9">
      <w:pPr>
        <w:widowControl/>
        <w:spacing w:line="256" w:lineRule="auto"/>
        <w:jc w:val="center"/>
        <w:rPr>
          <w:rFonts w:hint="eastAsia" w:ascii="宋体" w:hAnsi="宋体" w:eastAsia="宋体" w:cs="微软雅黑"/>
          <w:color w:val="000000"/>
          <w:sz w:val="24"/>
          <w:szCs w:val="24"/>
          <w:lang w:val="en-US" w:eastAsia="zh-CN"/>
        </w:rPr>
      </w:pPr>
    </w:p>
    <w:p w14:paraId="41769F33">
      <w:pPr>
        <w:widowControl/>
        <w:spacing w:line="256" w:lineRule="auto"/>
        <w:jc w:val="center"/>
        <w:rPr>
          <w:rFonts w:hint="eastAsia" w:ascii="宋体" w:hAnsi="宋体" w:eastAsia="宋体" w:cs="微软雅黑"/>
          <w:color w:val="000000"/>
          <w:sz w:val="24"/>
          <w:szCs w:val="24"/>
          <w:lang w:val="en-US" w:eastAsia="zh-CN"/>
        </w:rPr>
      </w:pPr>
    </w:p>
    <w:p w14:paraId="7A08EC1D">
      <w:pPr>
        <w:widowControl/>
        <w:spacing w:line="256" w:lineRule="auto"/>
        <w:jc w:val="center"/>
        <w:rPr>
          <w:rFonts w:hint="default" w:ascii="宋体" w:hAnsi="宋体" w:eastAsia="宋体" w:cs="微软雅黑"/>
          <w:color w:val="000000"/>
          <w:sz w:val="24"/>
          <w:szCs w:val="24"/>
          <w:lang w:val="en-US" w:eastAsia="zh-CN"/>
        </w:rPr>
      </w:pPr>
    </w:p>
    <w:p w14:paraId="65C4BBDD">
      <w:pPr>
        <w:widowControl/>
        <w:spacing w:line="256" w:lineRule="auto"/>
        <w:jc w:val="center"/>
        <w:rPr>
          <w:rFonts w:hint="eastAsia" w:ascii="宋体" w:hAnsi="宋体" w:eastAsia="宋体" w:cs="微软雅黑"/>
          <w:color w:val="000000"/>
          <w:sz w:val="24"/>
          <w:szCs w:val="24"/>
          <w:lang w:val="en-US" w:eastAsia="zh-CN"/>
        </w:rPr>
      </w:pPr>
    </w:p>
    <w:p w14:paraId="71D61C11">
      <w:pPr>
        <w:widowControl/>
        <w:spacing w:line="256" w:lineRule="auto"/>
        <w:jc w:val="center"/>
        <w:rPr>
          <w:rFonts w:hint="eastAsia" w:ascii="宋体" w:hAnsi="宋体" w:eastAsia="宋体" w:cs="微软雅黑"/>
          <w:color w:val="000000"/>
          <w:sz w:val="24"/>
          <w:szCs w:val="24"/>
          <w:lang w:val="en-US" w:eastAsia="zh-CN"/>
        </w:rPr>
      </w:pPr>
    </w:p>
    <w:p w14:paraId="37CD6874">
      <w:pPr>
        <w:widowControl/>
        <w:spacing w:line="256" w:lineRule="auto"/>
        <w:jc w:val="center"/>
        <w:rPr>
          <w:rFonts w:hint="eastAsia" w:ascii="宋体" w:hAnsi="宋体" w:eastAsia="宋体" w:cs="微软雅黑"/>
          <w:color w:val="000000"/>
          <w:sz w:val="24"/>
          <w:szCs w:val="24"/>
          <w:lang w:val="en-US" w:eastAsia="zh-CN"/>
        </w:rPr>
      </w:pPr>
    </w:p>
    <w:p w14:paraId="6599BC8D">
      <w:pPr>
        <w:widowControl/>
        <w:spacing w:line="256" w:lineRule="auto"/>
        <w:jc w:val="center"/>
        <w:rPr>
          <w:rFonts w:hint="eastAsia" w:ascii="宋体" w:hAnsi="宋体" w:eastAsia="宋体" w:cs="微软雅黑"/>
          <w:color w:val="000000"/>
          <w:sz w:val="24"/>
          <w:szCs w:val="24"/>
          <w:lang w:val="en-US" w:eastAsia="zh-CN"/>
        </w:rPr>
      </w:pPr>
    </w:p>
    <w:p w14:paraId="4FF765D4">
      <w:pPr>
        <w:widowControl/>
        <w:spacing w:line="256" w:lineRule="auto"/>
        <w:jc w:val="center"/>
        <w:rPr>
          <w:rFonts w:hint="eastAsia" w:ascii="宋体" w:hAnsi="宋体" w:eastAsia="宋体" w:cs="微软雅黑"/>
          <w:color w:val="000000"/>
          <w:sz w:val="24"/>
          <w:szCs w:val="24"/>
          <w:lang w:val="en-US" w:eastAsia="zh-CN"/>
        </w:rPr>
      </w:pPr>
    </w:p>
    <w:p w14:paraId="430E4E3E">
      <w:pPr>
        <w:widowControl/>
        <w:spacing w:line="256" w:lineRule="auto"/>
        <w:jc w:val="center"/>
        <w:rPr>
          <w:rFonts w:hint="eastAsia" w:ascii="宋体" w:hAnsi="宋体" w:eastAsia="宋体" w:cs="微软雅黑"/>
          <w:color w:val="000000"/>
          <w:sz w:val="24"/>
          <w:szCs w:val="24"/>
          <w:lang w:val="en-US" w:eastAsia="zh-CN"/>
        </w:rPr>
      </w:pPr>
    </w:p>
    <w:p w14:paraId="03545253">
      <w:pPr>
        <w:widowControl/>
        <w:spacing w:line="256" w:lineRule="auto"/>
        <w:jc w:val="center"/>
        <w:rPr>
          <w:rFonts w:hint="eastAsia" w:ascii="宋体" w:hAnsi="宋体" w:eastAsia="宋体" w:cs="微软雅黑"/>
          <w:color w:val="000000"/>
          <w:sz w:val="24"/>
          <w:szCs w:val="24"/>
          <w:lang w:val="en-US" w:eastAsia="zh-CN"/>
        </w:rPr>
      </w:pPr>
    </w:p>
    <w:p w14:paraId="50339009">
      <w:pPr>
        <w:pStyle w:val="3"/>
        <w:bidi w:val="0"/>
        <w:ind w:left="0" w:firstLine="0"/>
        <w:rPr>
          <w:rFonts w:hint="eastAsia" w:ascii="宋体" w:hAnsi="宋体" w:eastAsia="宋体"/>
          <w:sz w:val="28"/>
          <w:szCs w:val="22"/>
        </w:rPr>
      </w:pPr>
      <w:r>
        <w:rPr>
          <w:rFonts w:hint="eastAsia" w:ascii="宋体" w:hAnsi="宋体" w:eastAsia="宋体"/>
          <w:sz w:val="28"/>
          <w:szCs w:val="22"/>
        </w:rPr>
        <w:t>三、投标人资格</w:t>
      </w:r>
      <w:bookmarkEnd w:id="110"/>
      <w:bookmarkEnd w:id="111"/>
      <w:bookmarkEnd w:id="112"/>
      <w:bookmarkEnd w:id="113"/>
    </w:p>
    <w:p w14:paraId="1A7AA7A5">
      <w:pPr>
        <w:spacing w:line="500" w:lineRule="exact"/>
        <w:ind w:firstLine="420" w:firstLineChars="200"/>
        <w:rPr>
          <w:rFonts w:ascii="华文仿宋" w:hAnsi="华文仿宋" w:cs="华文仿宋"/>
        </w:rPr>
      </w:pPr>
      <w:r>
        <w:rPr>
          <w:rFonts w:hint="eastAsia" w:cs="华文仿宋"/>
          <w:lang w:val="en-US" w:eastAsia="zh-CN"/>
        </w:rPr>
        <w:t>投标人</w:t>
      </w:r>
      <w:r>
        <w:rPr>
          <w:rFonts w:hint="eastAsia" w:cs="华文仿宋"/>
        </w:rPr>
        <w:t>应按照</w:t>
      </w:r>
      <w:r>
        <w:rPr>
          <w:rFonts w:hint="eastAsia" w:cs="华文仿宋"/>
          <w:lang w:val="en-US" w:eastAsia="zh-CN"/>
        </w:rPr>
        <w:t>招标</w:t>
      </w:r>
      <w:r>
        <w:rPr>
          <w:rFonts w:hint="eastAsia" w:cs="华文仿宋"/>
        </w:rPr>
        <w:t>文件第</w:t>
      </w:r>
      <w:r>
        <w:rPr>
          <w:rFonts w:hint="eastAsia" w:cs="华文仿宋"/>
          <w:lang w:val="en-US" w:eastAsia="zh-CN"/>
        </w:rPr>
        <w:t>二</w:t>
      </w:r>
      <w:r>
        <w:rPr>
          <w:rFonts w:hint="eastAsia" w:cs="华文仿宋"/>
        </w:rPr>
        <w:t>章</w:t>
      </w:r>
      <w:r>
        <w:rPr>
          <w:rFonts w:hint="eastAsia" w:cs="华文仿宋"/>
          <w:lang w:val="en-US" w:eastAsia="zh-CN"/>
        </w:rPr>
        <w:t>投标人须知前附表</w:t>
      </w:r>
      <w:r>
        <w:rPr>
          <w:rFonts w:hint="eastAsia" w:cs="华文仿宋"/>
        </w:rPr>
        <w:t>所列“</w:t>
      </w:r>
      <w:r>
        <w:rPr>
          <w:rFonts w:hint="eastAsia" w:cs="华文仿宋"/>
          <w:lang w:val="en-US" w:eastAsia="zh-CN"/>
        </w:rPr>
        <w:t>投标人</w:t>
      </w:r>
      <w:r>
        <w:rPr>
          <w:rFonts w:hint="eastAsia" w:cs="华文仿宋"/>
        </w:rPr>
        <w:t>资格要求”逐一提供全</w:t>
      </w:r>
      <w:r>
        <w:rPr>
          <w:rFonts w:hint="eastAsia" w:ascii="华文仿宋" w:hAnsi="华文仿宋" w:cs="华文仿宋"/>
        </w:rPr>
        <w:t>部资格证明文件。缺少其中任何一项，其</w:t>
      </w:r>
      <w:r>
        <w:rPr>
          <w:rFonts w:hint="eastAsia" w:ascii="华文仿宋" w:hAnsi="华文仿宋" w:cs="华文仿宋"/>
          <w:lang w:val="en-US" w:eastAsia="zh-CN"/>
        </w:rPr>
        <w:t>投标</w:t>
      </w:r>
      <w:r>
        <w:rPr>
          <w:rFonts w:hint="eastAsia" w:ascii="华文仿宋" w:hAnsi="华文仿宋" w:cs="华文仿宋"/>
        </w:rPr>
        <w:t>文件将被视为无效文件。有格式提供的按下文给定格式填写。</w:t>
      </w:r>
    </w:p>
    <w:p w14:paraId="629A8B8D">
      <w:pPr>
        <w:spacing w:line="480" w:lineRule="auto"/>
        <w:rPr>
          <w:rFonts w:ascii="宋体" w:hAnsi="宋体"/>
          <w:b/>
          <w:sz w:val="32"/>
          <w:szCs w:val="32"/>
        </w:rPr>
      </w:pPr>
      <w:r>
        <w:rPr>
          <w:rFonts w:hint="eastAsia" w:ascii="宋体" w:hAnsi="宋体"/>
          <w:b/>
          <w:sz w:val="32"/>
          <w:szCs w:val="32"/>
        </w:rPr>
        <w:br w:type="page"/>
      </w:r>
      <w:r>
        <w:rPr>
          <w:rFonts w:hint="eastAsia" w:ascii="宋体" w:hAnsi="宋体"/>
          <w:bCs/>
          <w:szCs w:val="21"/>
        </w:rPr>
        <w:t>格式1：</w:t>
      </w:r>
    </w:p>
    <w:p w14:paraId="0467ACB0">
      <w:pPr>
        <w:bidi w:val="0"/>
        <w:jc w:val="center"/>
        <w:rPr>
          <w:b/>
          <w:bCs/>
          <w:sz w:val="36"/>
          <w:szCs w:val="44"/>
        </w:rPr>
      </w:pPr>
      <w:bookmarkStart w:id="114" w:name="_Toc21532"/>
      <w:bookmarkStart w:id="115" w:name="_Toc8996"/>
      <w:bookmarkStart w:id="116" w:name="_Toc1013"/>
      <w:bookmarkStart w:id="117" w:name="_Toc12153"/>
      <w:r>
        <w:rPr>
          <w:rFonts w:hint="eastAsia"/>
          <w:b/>
          <w:bCs/>
          <w:sz w:val="36"/>
          <w:szCs w:val="44"/>
        </w:rPr>
        <w:t>法定代表人身份证明及法定代表人授权委托书</w:t>
      </w:r>
      <w:bookmarkEnd w:id="114"/>
      <w:bookmarkEnd w:id="115"/>
      <w:bookmarkEnd w:id="116"/>
      <w:bookmarkEnd w:id="117"/>
    </w:p>
    <w:p w14:paraId="10BB7376">
      <w:pPr>
        <w:bidi w:val="0"/>
        <w:jc w:val="center"/>
        <w:rPr>
          <w:rFonts w:hint="eastAsia"/>
          <w:b/>
          <w:bCs/>
          <w:sz w:val="36"/>
          <w:szCs w:val="44"/>
          <w:lang w:val="en-US" w:eastAsia="zh-CN"/>
        </w:rPr>
      </w:pPr>
      <w:bookmarkStart w:id="118" w:name="_Toc17138"/>
      <w:bookmarkStart w:id="119" w:name="_Toc32642"/>
      <w:bookmarkStart w:id="120" w:name="_Toc316921998"/>
      <w:bookmarkStart w:id="121" w:name="_Toc31411"/>
      <w:bookmarkStart w:id="122" w:name="_Toc32184"/>
      <w:bookmarkStart w:id="123" w:name="_Toc24002"/>
      <w:bookmarkStart w:id="124" w:name="_Toc511920562"/>
      <w:r>
        <w:rPr>
          <w:rFonts w:hint="eastAsia"/>
          <w:b/>
          <w:bCs/>
          <w:sz w:val="36"/>
          <w:szCs w:val="44"/>
          <w:lang w:val="en-US" w:eastAsia="zh-CN"/>
        </w:rPr>
        <w:t>（一）法定代表人身份证明</w:t>
      </w:r>
      <w:bookmarkEnd w:id="118"/>
      <w:bookmarkEnd w:id="119"/>
      <w:bookmarkEnd w:id="120"/>
      <w:bookmarkEnd w:id="121"/>
      <w:bookmarkEnd w:id="122"/>
      <w:bookmarkEnd w:id="123"/>
      <w:bookmarkEnd w:id="124"/>
    </w:p>
    <w:p w14:paraId="5F36AD21">
      <w:pPr>
        <w:bidi w:val="0"/>
        <w:jc w:val="center"/>
        <w:rPr>
          <w:b/>
          <w:bCs/>
          <w:sz w:val="36"/>
          <w:szCs w:val="44"/>
        </w:rPr>
      </w:pPr>
    </w:p>
    <w:p w14:paraId="56CE7BA8">
      <w:pPr>
        <w:spacing w:line="360" w:lineRule="auto"/>
        <w:ind w:firstLine="420" w:firstLineChars="200"/>
        <w:rPr>
          <w:rFonts w:ascii="宋体" w:hAnsi="宋体"/>
          <w:szCs w:val="21"/>
        </w:rPr>
      </w:pPr>
      <w:bookmarkStart w:id="125" w:name="_Toc316921999"/>
      <w:r>
        <w:rPr>
          <w:rFonts w:hint="eastAsia" w:ascii="宋体" w:hAnsi="宋体"/>
          <w:szCs w:val="21"/>
        </w:rPr>
        <w:t>投标人名称：</w:t>
      </w:r>
      <w:r>
        <w:rPr>
          <w:rFonts w:hint="eastAsia" w:ascii="宋体" w:hAnsi="宋体"/>
          <w:szCs w:val="21"/>
          <w:u w:val="single"/>
        </w:rPr>
        <w:t xml:space="preserve">                                </w:t>
      </w:r>
    </w:p>
    <w:p w14:paraId="5656B46B">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2C967E57">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1EAB3EDA">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65F1D7">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37533FEB">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203D87C5">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17C975B1">
      <w:pPr>
        <w:spacing w:line="360" w:lineRule="auto"/>
        <w:ind w:firstLine="840" w:firstLineChars="400"/>
        <w:rPr>
          <w:rFonts w:ascii="宋体" w:hAnsi="宋体"/>
          <w:szCs w:val="21"/>
        </w:rPr>
      </w:pPr>
      <w:r>
        <w:rPr>
          <w:rFonts w:hint="eastAsia" w:ascii="宋体" w:hAnsi="宋体"/>
          <w:szCs w:val="21"/>
        </w:rPr>
        <w:t>特此证明。</w:t>
      </w:r>
    </w:p>
    <w:p w14:paraId="75A8A05F">
      <w:pPr>
        <w:pStyle w:val="26"/>
        <w:rPr>
          <w:szCs w:val="21"/>
        </w:rPr>
      </w:pPr>
    </w:p>
    <w:tbl>
      <w:tblPr>
        <w:tblStyle w:val="21"/>
        <w:tblW w:w="866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332"/>
      </w:tblGrid>
      <w:tr w14:paraId="222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332" w:type="dxa"/>
          </w:tcPr>
          <w:p w14:paraId="0E6D118F">
            <w:pPr>
              <w:spacing w:line="480" w:lineRule="auto"/>
              <w:rPr>
                <w:rFonts w:ascii="宋体" w:hAnsi="宋体" w:cs="宋体"/>
                <w:szCs w:val="21"/>
              </w:rPr>
            </w:pPr>
          </w:p>
          <w:p w14:paraId="4CCC19AC">
            <w:pPr>
              <w:spacing w:line="480" w:lineRule="auto"/>
              <w:rPr>
                <w:rFonts w:ascii="宋体" w:hAnsi="宋体" w:cs="宋体"/>
                <w:szCs w:val="21"/>
              </w:rPr>
            </w:pPr>
          </w:p>
          <w:p w14:paraId="3F1F79E4">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p w14:paraId="7E253B2B">
            <w:pPr>
              <w:spacing w:line="480" w:lineRule="auto"/>
              <w:rPr>
                <w:rFonts w:ascii="宋体" w:hAnsi="宋体" w:cs="宋体"/>
                <w:szCs w:val="21"/>
              </w:rPr>
            </w:pPr>
          </w:p>
        </w:tc>
        <w:tc>
          <w:tcPr>
            <w:tcW w:w="4332" w:type="dxa"/>
          </w:tcPr>
          <w:p w14:paraId="4D33AC4D">
            <w:pPr>
              <w:spacing w:line="480" w:lineRule="auto"/>
              <w:rPr>
                <w:rFonts w:ascii="宋体" w:hAnsi="宋体" w:cs="宋体"/>
                <w:szCs w:val="21"/>
              </w:rPr>
            </w:pPr>
          </w:p>
          <w:p w14:paraId="54905BEE">
            <w:pPr>
              <w:spacing w:line="480" w:lineRule="auto"/>
              <w:rPr>
                <w:rFonts w:ascii="宋体" w:hAnsi="宋体" w:cs="宋体"/>
                <w:szCs w:val="21"/>
              </w:rPr>
            </w:pPr>
          </w:p>
          <w:p w14:paraId="6B5AD5D6">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bl>
    <w:p w14:paraId="1A20A0C8">
      <w:pPr>
        <w:spacing w:line="360" w:lineRule="auto"/>
        <w:rPr>
          <w:rFonts w:ascii="宋体" w:hAnsi="宋体"/>
          <w:szCs w:val="21"/>
        </w:rPr>
      </w:pPr>
    </w:p>
    <w:p w14:paraId="22C186D5">
      <w:pPr>
        <w:spacing w:line="360" w:lineRule="auto"/>
        <w:rPr>
          <w:rFonts w:ascii="宋体" w:hAnsi="宋体"/>
          <w:szCs w:val="21"/>
        </w:rPr>
      </w:pPr>
    </w:p>
    <w:p w14:paraId="3EDFB3EE">
      <w:pPr>
        <w:spacing w:line="360" w:lineRule="auto"/>
        <w:rPr>
          <w:rFonts w:ascii="宋体" w:hAnsi="宋体"/>
          <w:szCs w:val="21"/>
        </w:rPr>
      </w:pPr>
    </w:p>
    <w:p w14:paraId="2C08BF93">
      <w:pPr>
        <w:spacing w:line="360" w:lineRule="auto"/>
        <w:jc w:val="right"/>
        <w:rPr>
          <w:rFonts w:ascii="宋体" w:hAnsi="宋体"/>
          <w:szCs w:val="21"/>
        </w:rPr>
      </w:pPr>
      <w:r>
        <w:rPr>
          <w:rFonts w:hint="eastAsia" w:ascii="宋体" w:hAnsi="宋体"/>
          <w:szCs w:val="21"/>
        </w:rPr>
        <w:t>投标人</w:t>
      </w:r>
      <w:r>
        <w:rPr>
          <w:rFonts w:hint="eastAsia" w:ascii="宋体" w:hAnsi="宋体"/>
          <w:szCs w:val="21"/>
          <w:lang w:val="en-US" w:eastAsia="zh-CN"/>
        </w:rPr>
        <w:t>名称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（盖单位章）</w:t>
      </w:r>
    </w:p>
    <w:p w14:paraId="57F146C6">
      <w:pPr>
        <w:spacing w:line="360" w:lineRule="auto"/>
        <w:rPr>
          <w:rFonts w:ascii="宋体" w:hAnsi="宋体"/>
          <w:szCs w:val="21"/>
          <w:u w:val="single"/>
        </w:rPr>
      </w:pPr>
    </w:p>
    <w:p w14:paraId="6228F435">
      <w:pPr>
        <w:spacing w:line="480" w:lineRule="auto"/>
        <w:jc w:val="right"/>
        <w:rPr>
          <w:rFonts w:ascii="宋体" w:hAnsi="宋体" w:cs="宋体"/>
          <w:szCs w:val="21"/>
          <w:lang w:bidi="ar"/>
        </w:rPr>
      </w:pPr>
      <w:r>
        <w:rPr>
          <w:rFonts w:hint="eastAsia" w:ascii="宋体" w:hAnsi="宋体"/>
          <w:szCs w:val="21"/>
        </w:rPr>
        <w:tab/>
      </w:r>
      <w:r>
        <w:rPr>
          <w:rFonts w:hint="eastAsia" w:ascii="宋体" w:hAnsi="宋体"/>
          <w:szCs w:val="21"/>
        </w:rPr>
        <w:t xml:space="preserve">                          </w:t>
      </w:r>
      <w:bookmarkStart w:id="126" w:name="_Toc26969"/>
      <w:bookmarkStart w:id="127" w:name="_Toc511920563"/>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4D827D0F">
      <w:pPr>
        <w:rPr>
          <w:rFonts w:hint="eastAsia" w:ascii="宋体" w:hAnsi="宋体" w:cs="Times New Roman"/>
          <w:b/>
          <w:sz w:val="30"/>
          <w:szCs w:val="30"/>
          <w:lang w:val="en-US" w:eastAsia="zh-CN"/>
        </w:rPr>
      </w:pPr>
      <w:bookmarkStart w:id="128" w:name="_Toc20954"/>
      <w:bookmarkStart w:id="129" w:name="_Toc9962"/>
      <w:bookmarkStart w:id="130" w:name="_Toc18754"/>
      <w:bookmarkStart w:id="131" w:name="_Toc24246"/>
      <w:r>
        <w:rPr>
          <w:rFonts w:hint="eastAsia" w:ascii="宋体" w:hAnsi="宋体" w:cs="Times New Roman"/>
          <w:b/>
          <w:sz w:val="30"/>
          <w:szCs w:val="30"/>
          <w:lang w:val="en-US" w:eastAsia="zh-CN"/>
        </w:rPr>
        <w:br w:type="page"/>
      </w:r>
    </w:p>
    <w:p w14:paraId="18CACBB6">
      <w:pPr>
        <w:jc w:val="center"/>
        <w:rPr>
          <w:rFonts w:hint="eastAsia" w:ascii="宋体" w:hAnsi="宋体" w:cs="Times New Roman"/>
          <w:b/>
          <w:sz w:val="30"/>
          <w:szCs w:val="30"/>
          <w:lang w:val="en-US" w:eastAsia="zh-CN"/>
        </w:rPr>
      </w:pPr>
      <w:r>
        <w:rPr>
          <w:rFonts w:hint="eastAsia" w:ascii="宋体" w:hAnsi="宋体" w:cs="Times New Roman"/>
          <w:b/>
          <w:sz w:val="30"/>
          <w:szCs w:val="30"/>
          <w:lang w:val="en-US" w:eastAsia="zh-CN"/>
        </w:rPr>
        <w:t>（二）法定代表人授权委托书</w:t>
      </w:r>
      <w:bookmarkEnd w:id="125"/>
      <w:bookmarkEnd w:id="126"/>
      <w:bookmarkEnd w:id="127"/>
      <w:bookmarkEnd w:id="128"/>
      <w:bookmarkEnd w:id="129"/>
      <w:bookmarkEnd w:id="130"/>
      <w:bookmarkEnd w:id="131"/>
    </w:p>
    <w:p w14:paraId="19AF863B"/>
    <w:p w14:paraId="46266338">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法定代表人（负责人）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w:t>
      </w:r>
      <w:r>
        <w:rPr>
          <w:rFonts w:hint="eastAsia" w:ascii="宋体" w:hAnsi="宋体" w:cs="宋体"/>
          <w:szCs w:val="21"/>
          <w:lang w:eastAsia="zh-CN"/>
        </w:rPr>
        <w:t>法定代表人（负责人）</w:t>
      </w:r>
      <w:r>
        <w:rPr>
          <w:rFonts w:hint="eastAsia" w:ascii="宋体" w:hAnsi="宋体" w:cs="宋体"/>
          <w:szCs w:val="21"/>
        </w:rPr>
        <w:t>，现委托</w:t>
      </w:r>
      <w:r>
        <w:rPr>
          <w:rFonts w:hint="eastAsia" w:ascii="宋体" w:hAnsi="宋体" w:cs="宋体"/>
          <w:szCs w:val="21"/>
          <w:u w:val="single"/>
        </w:rPr>
        <w:t xml:space="preserve">         </w:t>
      </w:r>
      <w:r>
        <w:rPr>
          <w:rFonts w:hint="eastAsia" w:ascii="宋体" w:hAnsi="宋体" w:cs="宋体"/>
          <w:szCs w:val="21"/>
        </w:rPr>
        <w:t>（被授权人姓名）为我方代理人。代理人根据授权，以我方名义签署、澄清、说明、补正、递交、撤回、修改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的投标</w:t>
      </w:r>
      <w:r>
        <w:rPr>
          <w:rFonts w:hint="eastAsia" w:ascii="宋体" w:hAnsi="宋体" w:cs="宋体"/>
          <w:szCs w:val="21"/>
        </w:rPr>
        <w:t>文件，其法律后果由我方承担。</w:t>
      </w:r>
    </w:p>
    <w:p w14:paraId="507E96BC">
      <w:pPr>
        <w:spacing w:line="360" w:lineRule="auto"/>
        <w:ind w:firstLine="420" w:firstLineChars="200"/>
        <w:jc w:val="left"/>
        <w:rPr>
          <w:rFonts w:ascii="宋体" w:hAnsi="宋体" w:cs="宋体"/>
          <w:szCs w:val="21"/>
        </w:rPr>
      </w:pPr>
      <w:r>
        <w:rPr>
          <w:rFonts w:hint="eastAsia" w:ascii="宋体" w:hAnsi="宋体" w:cs="宋体"/>
          <w:szCs w:val="21"/>
        </w:rPr>
        <w:t>委托期限：</w:t>
      </w:r>
      <w:r>
        <w:rPr>
          <w:rFonts w:hint="eastAsia" w:ascii="宋体" w:hAnsi="宋体" w:cs="仿宋_GB2312"/>
          <w:kern w:val="0"/>
          <w:szCs w:val="21"/>
        </w:rPr>
        <w:t>90天（从提交投标文件截止日起计算）</w:t>
      </w:r>
      <w:r>
        <w:rPr>
          <w:rFonts w:hint="eastAsia" w:ascii="宋体" w:hAnsi="宋体" w:cs="宋体"/>
          <w:szCs w:val="21"/>
        </w:rPr>
        <w:t>。</w:t>
      </w:r>
    </w:p>
    <w:p w14:paraId="259E6D78">
      <w:pPr>
        <w:spacing w:line="360" w:lineRule="auto"/>
        <w:ind w:firstLine="420" w:firstLineChars="200"/>
        <w:jc w:val="left"/>
        <w:rPr>
          <w:rFonts w:ascii="宋体" w:hAnsi="宋体" w:cs="宋体"/>
          <w:szCs w:val="21"/>
        </w:rPr>
      </w:pPr>
      <w:r>
        <w:rPr>
          <w:rFonts w:hint="eastAsia" w:ascii="宋体" w:hAnsi="宋体" w:cs="宋体"/>
          <w:szCs w:val="21"/>
        </w:rPr>
        <w:t>代理人无转委托权。</w:t>
      </w:r>
    </w:p>
    <w:p w14:paraId="5FBFBD72">
      <w:pPr>
        <w:bidi w:val="0"/>
        <w:jc w:val="center"/>
      </w:pPr>
      <w:bookmarkStart w:id="132" w:name="_Toc19878"/>
      <w:bookmarkStart w:id="133" w:name="_Toc7109"/>
      <w:bookmarkStart w:id="134" w:name="_Toc13775"/>
      <w:bookmarkStart w:id="135" w:name="_Toc11421"/>
      <w:r>
        <w:rPr>
          <w:rFonts w:hint="eastAsia"/>
        </w:rPr>
        <w:t>身份证复印件粘贴处</w:t>
      </w:r>
      <w:bookmarkEnd w:id="132"/>
      <w:bookmarkEnd w:id="133"/>
      <w:bookmarkEnd w:id="134"/>
      <w:bookmarkEnd w:id="135"/>
    </w:p>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4430"/>
      </w:tblGrid>
      <w:tr w14:paraId="04A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331FB5A0">
            <w:pPr>
              <w:ind w:firstLine="420" w:firstLineChars="200"/>
              <w:rPr>
                <w:rFonts w:ascii="宋体" w:hAnsi="宋体"/>
                <w:szCs w:val="21"/>
              </w:rPr>
            </w:pPr>
          </w:p>
          <w:p w14:paraId="5D5338ED">
            <w:pPr>
              <w:ind w:firstLine="420" w:firstLineChars="200"/>
              <w:rPr>
                <w:rFonts w:ascii="宋体" w:hAnsi="宋体"/>
                <w:szCs w:val="21"/>
              </w:rPr>
            </w:pPr>
          </w:p>
          <w:p w14:paraId="2F4EBF5A">
            <w:pPr>
              <w:ind w:firstLine="420" w:firstLineChars="200"/>
              <w:rPr>
                <w:rFonts w:ascii="宋体" w:hAnsi="宋体"/>
                <w:szCs w:val="21"/>
              </w:rPr>
            </w:pPr>
          </w:p>
          <w:p w14:paraId="3102D843">
            <w:pPr>
              <w:ind w:firstLine="420" w:firstLineChars="200"/>
              <w:rPr>
                <w:rFonts w:ascii="宋体" w:hAnsi="宋体"/>
                <w:szCs w:val="21"/>
              </w:rPr>
            </w:pPr>
          </w:p>
          <w:p w14:paraId="5A97B33E">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tc>
        <w:tc>
          <w:tcPr>
            <w:tcW w:w="4430" w:type="dxa"/>
            <w:tcBorders>
              <w:top w:val="single" w:color="auto" w:sz="4" w:space="0"/>
              <w:left w:val="nil"/>
              <w:bottom w:val="single" w:color="auto" w:sz="4" w:space="0"/>
              <w:right w:val="single" w:color="auto" w:sz="4" w:space="0"/>
            </w:tcBorders>
          </w:tcPr>
          <w:p w14:paraId="4C1C995B">
            <w:pPr>
              <w:ind w:firstLine="420" w:firstLineChars="200"/>
              <w:rPr>
                <w:rFonts w:ascii="宋体" w:hAnsi="宋体"/>
                <w:szCs w:val="21"/>
              </w:rPr>
            </w:pPr>
          </w:p>
          <w:p w14:paraId="2DB63F9E">
            <w:pPr>
              <w:ind w:firstLine="420" w:firstLineChars="200"/>
              <w:rPr>
                <w:rFonts w:ascii="宋体" w:hAnsi="宋体"/>
                <w:szCs w:val="21"/>
              </w:rPr>
            </w:pPr>
          </w:p>
          <w:p w14:paraId="7CD94D03">
            <w:pPr>
              <w:ind w:firstLine="420" w:firstLineChars="200"/>
              <w:rPr>
                <w:rFonts w:ascii="宋体" w:hAnsi="宋体"/>
                <w:szCs w:val="21"/>
              </w:rPr>
            </w:pPr>
          </w:p>
          <w:p w14:paraId="31F921A1">
            <w:pPr>
              <w:ind w:firstLine="420" w:firstLineChars="200"/>
              <w:rPr>
                <w:rFonts w:ascii="宋体" w:hAnsi="宋体"/>
                <w:szCs w:val="21"/>
              </w:rPr>
            </w:pPr>
          </w:p>
          <w:p w14:paraId="0443F2C7">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r w14:paraId="27D2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6F1B5EF1">
            <w:pPr>
              <w:ind w:firstLine="420" w:firstLineChars="200"/>
              <w:rPr>
                <w:rFonts w:ascii="宋体" w:hAnsi="宋体"/>
                <w:szCs w:val="21"/>
              </w:rPr>
            </w:pPr>
          </w:p>
          <w:p w14:paraId="3BE54C72">
            <w:pPr>
              <w:ind w:firstLine="420" w:firstLineChars="200"/>
              <w:rPr>
                <w:rFonts w:ascii="宋体" w:hAnsi="宋体"/>
                <w:szCs w:val="21"/>
              </w:rPr>
            </w:pPr>
          </w:p>
          <w:p w14:paraId="7B50D7F7">
            <w:pPr>
              <w:ind w:firstLine="420" w:firstLineChars="200"/>
              <w:rPr>
                <w:rFonts w:ascii="宋体" w:hAnsi="宋体"/>
                <w:szCs w:val="21"/>
              </w:rPr>
            </w:pPr>
          </w:p>
          <w:p w14:paraId="3C9194ED">
            <w:pPr>
              <w:ind w:firstLine="420" w:firstLineChars="200"/>
              <w:rPr>
                <w:rFonts w:ascii="宋体" w:hAnsi="宋体"/>
                <w:szCs w:val="21"/>
              </w:rPr>
            </w:pPr>
          </w:p>
          <w:p w14:paraId="4EB556D4">
            <w:pPr>
              <w:jc w:val="center"/>
              <w:rPr>
                <w:rFonts w:ascii="宋体" w:hAnsi="宋体" w:cs="宋体"/>
                <w:szCs w:val="21"/>
              </w:rPr>
            </w:pPr>
            <w:r>
              <w:rPr>
                <w:rFonts w:hint="eastAsia" w:ascii="宋体" w:hAnsi="宋体"/>
                <w:szCs w:val="21"/>
              </w:rPr>
              <w:t>授权委托人身份证人像面</w:t>
            </w:r>
          </w:p>
        </w:tc>
        <w:tc>
          <w:tcPr>
            <w:tcW w:w="4430" w:type="dxa"/>
            <w:tcBorders>
              <w:top w:val="single" w:color="auto" w:sz="4" w:space="0"/>
              <w:left w:val="nil"/>
              <w:bottom w:val="single" w:color="auto" w:sz="4" w:space="0"/>
              <w:right w:val="single" w:color="auto" w:sz="4" w:space="0"/>
            </w:tcBorders>
          </w:tcPr>
          <w:p w14:paraId="588F30E8">
            <w:pPr>
              <w:ind w:firstLine="420" w:firstLineChars="200"/>
              <w:rPr>
                <w:rFonts w:ascii="宋体" w:hAnsi="宋体"/>
                <w:szCs w:val="21"/>
              </w:rPr>
            </w:pPr>
          </w:p>
          <w:p w14:paraId="64733560">
            <w:pPr>
              <w:ind w:firstLine="420" w:firstLineChars="200"/>
              <w:rPr>
                <w:rFonts w:ascii="宋体" w:hAnsi="宋体"/>
                <w:szCs w:val="21"/>
              </w:rPr>
            </w:pPr>
          </w:p>
          <w:p w14:paraId="77D641D5">
            <w:pPr>
              <w:ind w:firstLine="420" w:firstLineChars="200"/>
              <w:rPr>
                <w:rFonts w:ascii="宋体" w:hAnsi="宋体"/>
                <w:szCs w:val="21"/>
              </w:rPr>
            </w:pPr>
          </w:p>
          <w:p w14:paraId="110F86B2">
            <w:pPr>
              <w:ind w:firstLine="420" w:firstLineChars="200"/>
              <w:rPr>
                <w:rFonts w:ascii="宋体" w:hAnsi="宋体"/>
                <w:szCs w:val="21"/>
              </w:rPr>
            </w:pPr>
          </w:p>
          <w:p w14:paraId="47441DF0">
            <w:pPr>
              <w:jc w:val="center"/>
              <w:rPr>
                <w:rFonts w:ascii="宋体" w:hAnsi="宋体" w:cs="宋体"/>
                <w:szCs w:val="21"/>
              </w:rPr>
            </w:pPr>
            <w:r>
              <w:rPr>
                <w:rFonts w:hint="eastAsia" w:ascii="宋体" w:hAnsi="宋体"/>
                <w:szCs w:val="21"/>
              </w:rPr>
              <w:t>授权委托人身份证国徽面</w:t>
            </w:r>
          </w:p>
        </w:tc>
      </w:tr>
    </w:tbl>
    <w:p w14:paraId="3BBED4AF">
      <w:pPr>
        <w:spacing w:before="312" w:beforeLines="100" w:line="480" w:lineRule="auto"/>
        <w:ind w:firstLine="573"/>
        <w:rPr>
          <w:rFonts w:ascii="宋体" w:hAnsi="宋体" w:cs="宋体"/>
          <w:szCs w:val="21"/>
        </w:rPr>
      </w:pPr>
      <w:r>
        <w:rPr>
          <w:rFonts w:hint="eastAsia" w:ascii="宋体" w:hAnsi="宋体" w:cs="宋体"/>
          <w:szCs w:val="21"/>
          <w:lang w:bidi="ar"/>
        </w:rPr>
        <w:t>投标人</w:t>
      </w:r>
      <w:r>
        <w:rPr>
          <w:rFonts w:hint="eastAsia" w:ascii="宋体" w:hAnsi="宋体" w:cs="宋体"/>
          <w:szCs w:val="21"/>
          <w:lang w:val="en-US" w:eastAsia="zh-CN" w:bidi="ar"/>
        </w:rPr>
        <w:t>名称</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（盖单位章）</w:t>
      </w:r>
    </w:p>
    <w:p w14:paraId="70297FC8">
      <w:pPr>
        <w:spacing w:line="480" w:lineRule="auto"/>
        <w:ind w:firstLine="573"/>
        <w:rPr>
          <w:rFonts w:ascii="宋体" w:hAnsi="宋体" w:cs="宋体"/>
          <w:szCs w:val="21"/>
        </w:rPr>
      </w:pPr>
      <w:r>
        <w:rPr>
          <w:rFonts w:hint="eastAsia" w:ascii="宋体" w:hAnsi="宋体" w:cs="宋体"/>
          <w:szCs w:val="21"/>
          <w:lang w:bidi="ar"/>
        </w:rPr>
        <w:t>法定代表人</w:t>
      </w:r>
      <w:r>
        <w:rPr>
          <w:rFonts w:hint="eastAsia" w:ascii="宋体" w:hAnsi="宋体" w:cs="宋体"/>
          <w:szCs w:val="21"/>
          <w:lang w:eastAsia="zh-CN" w:bidi="ar"/>
        </w:rPr>
        <w:t>（</w:t>
      </w:r>
      <w:r>
        <w:rPr>
          <w:rFonts w:hint="eastAsia" w:ascii="宋体" w:hAnsi="宋体" w:cs="宋体"/>
          <w:szCs w:val="21"/>
          <w:lang w:val="en-US" w:eastAsia="zh-CN" w:bidi="ar"/>
        </w:rPr>
        <w:t>负责人</w:t>
      </w:r>
      <w:r>
        <w:rPr>
          <w:rFonts w:hint="eastAsia" w:ascii="宋体" w:hAnsi="宋体" w:cs="宋体"/>
          <w:szCs w:val="21"/>
          <w:lang w:eastAsia="zh-CN" w:bidi="ar"/>
        </w:rPr>
        <w:t>）</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（签字或盖章）</w:t>
      </w:r>
    </w:p>
    <w:p w14:paraId="54AC2B05">
      <w:pPr>
        <w:spacing w:line="480" w:lineRule="auto"/>
        <w:ind w:firstLine="573"/>
        <w:rPr>
          <w:rFonts w:ascii="宋体" w:hAnsi="宋体" w:cs="宋体"/>
          <w:szCs w:val="21"/>
        </w:rPr>
      </w:pPr>
      <w:r>
        <w:rPr>
          <w:rFonts w:hint="eastAsia" w:ascii="宋体" w:hAnsi="宋体" w:cs="宋体"/>
          <w:szCs w:val="21"/>
          <w:lang w:val="en-US" w:eastAsia="zh-CN" w:bidi="ar"/>
        </w:rPr>
        <w:t>被授权人</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 职务：</w:t>
      </w:r>
      <w:r>
        <w:rPr>
          <w:rFonts w:hint="eastAsia" w:ascii="宋体" w:hAnsi="宋体" w:cs="宋体"/>
          <w:szCs w:val="21"/>
          <w:u w:val="single"/>
          <w:lang w:bidi="ar"/>
        </w:rPr>
        <w:t xml:space="preserve">                    </w:t>
      </w:r>
    </w:p>
    <w:p w14:paraId="7427BC02">
      <w:pPr>
        <w:widowControl/>
        <w:spacing w:line="360" w:lineRule="auto"/>
        <w:ind w:firstLine="373" w:firstLineChars="178"/>
        <w:rPr>
          <w:rFonts w:ascii="宋体" w:hAnsi="宋体" w:cs="宋体"/>
          <w:b/>
          <w:szCs w:val="21"/>
        </w:rPr>
      </w:pPr>
      <w:r>
        <w:rPr>
          <w:rFonts w:hint="eastAsia" w:ascii="宋体" w:hAnsi="宋体" w:cs="宋体"/>
          <w:szCs w:val="21"/>
          <w:lang w:bidi="ar"/>
        </w:rPr>
        <w:t xml:space="preserve">  授权委托日期： </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27F70C0D">
      <w:pPr>
        <w:rPr>
          <w:rFonts w:ascii="宋体" w:hAnsi="宋体"/>
          <w:b/>
          <w:bCs/>
          <w:szCs w:val="21"/>
        </w:rPr>
      </w:pPr>
      <w:bookmarkStart w:id="136" w:name="_Toc29944"/>
      <w:bookmarkStart w:id="137" w:name="_Toc452633065"/>
    </w:p>
    <w:p w14:paraId="24A92A96">
      <w:pPr>
        <w:rPr>
          <w:rFonts w:ascii="宋体" w:hAnsi="宋体"/>
          <w:sz w:val="24"/>
        </w:rPr>
      </w:pPr>
      <w:r>
        <w:rPr>
          <w:rFonts w:hint="eastAsia" w:ascii="宋体" w:hAnsi="宋体"/>
          <w:szCs w:val="21"/>
        </w:rPr>
        <w:t>注：如为</w:t>
      </w:r>
      <w:r>
        <w:rPr>
          <w:rFonts w:hint="eastAsia" w:ascii="宋体" w:hAnsi="宋体"/>
          <w:szCs w:val="21"/>
          <w:lang w:eastAsia="zh-CN"/>
        </w:rPr>
        <w:t>法定代表人（负责人）</w:t>
      </w:r>
      <w:r>
        <w:rPr>
          <w:rFonts w:hint="eastAsia" w:ascii="宋体" w:hAnsi="宋体"/>
          <w:szCs w:val="21"/>
        </w:rPr>
        <w:t>亲自参与投标，此</w:t>
      </w:r>
      <w:r>
        <w:rPr>
          <w:rFonts w:hint="eastAsia" w:ascii="宋体" w:hAnsi="宋体"/>
          <w:szCs w:val="21"/>
          <w:lang w:val="en-US" w:eastAsia="zh-CN"/>
        </w:rPr>
        <w:t>页</w:t>
      </w:r>
      <w:r>
        <w:rPr>
          <w:rFonts w:hint="eastAsia" w:ascii="宋体" w:hAnsi="宋体"/>
          <w:szCs w:val="21"/>
        </w:rPr>
        <w:t>可不提供。</w:t>
      </w:r>
      <w:r>
        <w:rPr>
          <w:rFonts w:hint="eastAsia" w:ascii="宋体" w:hAnsi="宋体"/>
          <w:b/>
          <w:bCs/>
          <w:szCs w:val="21"/>
        </w:rPr>
        <w:br w:type="page"/>
      </w:r>
    </w:p>
    <w:p w14:paraId="3646DB24">
      <w:pPr>
        <w:spacing w:line="480" w:lineRule="auto"/>
        <w:rPr>
          <w:rFonts w:ascii="宋体" w:hAnsi="宋体"/>
          <w:bCs/>
          <w:szCs w:val="21"/>
        </w:rPr>
      </w:pPr>
      <w:bookmarkStart w:id="138" w:name="_Toc12066"/>
      <w:bookmarkStart w:id="139" w:name="_Toc13330"/>
      <w:bookmarkStart w:id="140" w:name="_Toc310"/>
      <w:bookmarkStart w:id="141" w:name="_Toc28680"/>
      <w:r>
        <w:rPr>
          <w:rFonts w:hint="eastAsia" w:ascii="宋体" w:hAnsi="宋体"/>
          <w:bCs/>
          <w:szCs w:val="21"/>
        </w:rPr>
        <w:t>格式2：</w:t>
      </w:r>
      <w:bookmarkEnd w:id="138"/>
      <w:bookmarkEnd w:id="139"/>
      <w:bookmarkEnd w:id="140"/>
      <w:bookmarkEnd w:id="141"/>
    </w:p>
    <w:p w14:paraId="7887AEC0">
      <w:pPr>
        <w:jc w:val="center"/>
        <w:rPr>
          <w:rFonts w:hint="eastAsia" w:ascii="宋体" w:hAnsi="宋体" w:cs="Times New Roman"/>
          <w:b/>
          <w:sz w:val="30"/>
          <w:szCs w:val="30"/>
          <w:lang w:val="en-US" w:eastAsia="zh-CN"/>
        </w:rPr>
      </w:pPr>
      <w:bookmarkStart w:id="142" w:name="_Toc28480"/>
      <w:bookmarkStart w:id="143" w:name="_Toc3658"/>
      <w:bookmarkStart w:id="144" w:name="_Toc20523"/>
      <w:bookmarkStart w:id="145" w:name="_Toc24551"/>
      <w:r>
        <w:rPr>
          <w:rFonts w:hint="eastAsia" w:ascii="宋体" w:hAnsi="宋体" w:cs="Times New Roman"/>
          <w:b/>
          <w:sz w:val="30"/>
          <w:szCs w:val="30"/>
          <w:lang w:val="en-US" w:eastAsia="zh-CN"/>
        </w:rPr>
        <w:t>投标人基本情况表</w:t>
      </w:r>
      <w:bookmarkEnd w:id="136"/>
      <w:bookmarkEnd w:id="137"/>
      <w:bookmarkEnd w:id="142"/>
      <w:bookmarkEnd w:id="143"/>
      <w:bookmarkEnd w:id="144"/>
      <w:bookmarkEnd w:id="145"/>
    </w:p>
    <w:tbl>
      <w:tblPr>
        <w:tblStyle w:val="21"/>
        <w:tblW w:w="83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260"/>
        <w:gridCol w:w="3413"/>
      </w:tblGrid>
      <w:tr w14:paraId="4730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trPr>
        <w:tc>
          <w:tcPr>
            <w:tcW w:w="628" w:type="dxa"/>
            <w:vAlign w:val="center"/>
          </w:tcPr>
          <w:p w14:paraId="436DE54D">
            <w:pPr>
              <w:jc w:val="center"/>
              <w:rPr>
                <w:rFonts w:ascii="宋体" w:hAnsi="宋体"/>
                <w:szCs w:val="21"/>
              </w:rPr>
            </w:pPr>
            <w:r>
              <w:rPr>
                <w:rFonts w:hint="eastAsia" w:ascii="宋体" w:hAnsi="宋体"/>
                <w:szCs w:val="21"/>
              </w:rPr>
              <w:t>1</w:t>
            </w:r>
          </w:p>
        </w:tc>
        <w:tc>
          <w:tcPr>
            <w:tcW w:w="7673" w:type="dxa"/>
            <w:gridSpan w:val="2"/>
            <w:vAlign w:val="center"/>
          </w:tcPr>
          <w:p w14:paraId="158597B4">
            <w:pPr>
              <w:ind w:left="105" w:leftChars="50"/>
              <w:rPr>
                <w:rFonts w:ascii="宋体" w:hAnsi="宋体"/>
                <w:szCs w:val="21"/>
              </w:rPr>
            </w:pPr>
            <w:r>
              <w:rPr>
                <w:rFonts w:hint="eastAsia" w:ascii="宋体" w:hAnsi="宋体"/>
                <w:szCs w:val="21"/>
              </w:rPr>
              <w:t>企业名称：</w:t>
            </w:r>
          </w:p>
        </w:tc>
      </w:tr>
      <w:tr w14:paraId="3915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3" w:hRule="atLeast"/>
        </w:trPr>
        <w:tc>
          <w:tcPr>
            <w:tcW w:w="628" w:type="dxa"/>
            <w:vAlign w:val="center"/>
          </w:tcPr>
          <w:p w14:paraId="721C55BE">
            <w:pPr>
              <w:jc w:val="center"/>
              <w:rPr>
                <w:rFonts w:ascii="宋体" w:hAnsi="宋体"/>
                <w:szCs w:val="21"/>
              </w:rPr>
            </w:pPr>
            <w:r>
              <w:rPr>
                <w:rFonts w:hint="eastAsia" w:ascii="宋体" w:hAnsi="宋体"/>
                <w:szCs w:val="21"/>
              </w:rPr>
              <w:t>2</w:t>
            </w:r>
          </w:p>
        </w:tc>
        <w:tc>
          <w:tcPr>
            <w:tcW w:w="7673" w:type="dxa"/>
            <w:gridSpan w:val="2"/>
            <w:vAlign w:val="center"/>
          </w:tcPr>
          <w:p w14:paraId="1181BC0C">
            <w:pPr>
              <w:ind w:left="105" w:leftChars="50"/>
              <w:rPr>
                <w:rFonts w:ascii="宋体" w:hAnsi="宋体"/>
                <w:szCs w:val="21"/>
              </w:rPr>
            </w:pPr>
            <w:r>
              <w:rPr>
                <w:rFonts w:hint="eastAsia" w:ascii="宋体" w:hAnsi="宋体"/>
                <w:szCs w:val="21"/>
              </w:rPr>
              <w:t>总部地址：</w:t>
            </w:r>
          </w:p>
        </w:tc>
      </w:tr>
      <w:tr w14:paraId="46B9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628" w:type="dxa"/>
            <w:vAlign w:val="center"/>
          </w:tcPr>
          <w:p w14:paraId="75A1817A">
            <w:pPr>
              <w:jc w:val="center"/>
              <w:rPr>
                <w:rFonts w:ascii="宋体" w:hAnsi="宋体"/>
                <w:szCs w:val="21"/>
              </w:rPr>
            </w:pPr>
            <w:r>
              <w:rPr>
                <w:rFonts w:hint="eastAsia" w:ascii="宋体" w:hAnsi="宋体"/>
                <w:szCs w:val="21"/>
              </w:rPr>
              <w:t>3</w:t>
            </w:r>
          </w:p>
        </w:tc>
        <w:tc>
          <w:tcPr>
            <w:tcW w:w="7673" w:type="dxa"/>
            <w:gridSpan w:val="2"/>
            <w:vAlign w:val="center"/>
          </w:tcPr>
          <w:p w14:paraId="5A9EA893">
            <w:pPr>
              <w:ind w:left="105" w:leftChars="50"/>
              <w:rPr>
                <w:rFonts w:ascii="宋体" w:hAnsi="宋体"/>
                <w:szCs w:val="21"/>
              </w:rPr>
            </w:pPr>
            <w:r>
              <w:rPr>
                <w:rFonts w:hint="eastAsia" w:ascii="宋体" w:hAnsi="宋体"/>
                <w:szCs w:val="21"/>
              </w:rPr>
              <w:t>当地代表处地址：</w:t>
            </w:r>
          </w:p>
        </w:tc>
      </w:tr>
      <w:tr w14:paraId="7222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9" w:hRule="atLeast"/>
        </w:trPr>
        <w:tc>
          <w:tcPr>
            <w:tcW w:w="628" w:type="dxa"/>
            <w:vAlign w:val="center"/>
          </w:tcPr>
          <w:p w14:paraId="37FF6034">
            <w:pPr>
              <w:jc w:val="center"/>
              <w:rPr>
                <w:rFonts w:ascii="宋体" w:hAnsi="宋体"/>
                <w:szCs w:val="21"/>
              </w:rPr>
            </w:pPr>
            <w:r>
              <w:rPr>
                <w:rFonts w:hint="eastAsia" w:ascii="宋体" w:hAnsi="宋体"/>
                <w:szCs w:val="21"/>
              </w:rPr>
              <w:t>4</w:t>
            </w:r>
          </w:p>
        </w:tc>
        <w:tc>
          <w:tcPr>
            <w:tcW w:w="4260" w:type="dxa"/>
            <w:vAlign w:val="center"/>
          </w:tcPr>
          <w:p w14:paraId="3136CBA1">
            <w:pPr>
              <w:ind w:left="105" w:leftChars="50"/>
              <w:rPr>
                <w:rFonts w:ascii="宋体" w:hAnsi="宋体"/>
                <w:szCs w:val="21"/>
              </w:rPr>
            </w:pPr>
            <w:r>
              <w:rPr>
                <w:rFonts w:hint="eastAsia" w:ascii="宋体" w:hAnsi="宋体"/>
                <w:szCs w:val="21"/>
                <w:lang w:eastAsia="zh-CN"/>
              </w:rPr>
              <w:t>法定代表人（负责人）</w:t>
            </w:r>
            <w:r>
              <w:rPr>
                <w:rFonts w:hint="eastAsia" w:ascii="宋体" w:hAnsi="宋体"/>
                <w:szCs w:val="21"/>
              </w:rPr>
              <w:t>：</w:t>
            </w:r>
          </w:p>
        </w:tc>
        <w:tc>
          <w:tcPr>
            <w:tcW w:w="3413" w:type="dxa"/>
            <w:vAlign w:val="center"/>
          </w:tcPr>
          <w:p w14:paraId="70309901">
            <w:pPr>
              <w:ind w:left="105" w:leftChars="50"/>
              <w:rPr>
                <w:rFonts w:ascii="宋体" w:hAnsi="宋体"/>
                <w:szCs w:val="21"/>
              </w:rPr>
            </w:pPr>
            <w:r>
              <w:rPr>
                <w:rFonts w:hint="eastAsia" w:ascii="宋体" w:hAnsi="宋体"/>
                <w:szCs w:val="21"/>
              </w:rPr>
              <w:t>企业性质：</w:t>
            </w:r>
          </w:p>
        </w:tc>
      </w:tr>
      <w:tr w14:paraId="4BAB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trPr>
        <w:tc>
          <w:tcPr>
            <w:tcW w:w="628" w:type="dxa"/>
            <w:vAlign w:val="center"/>
          </w:tcPr>
          <w:p w14:paraId="3CF6A519">
            <w:pPr>
              <w:jc w:val="center"/>
              <w:rPr>
                <w:rFonts w:ascii="宋体" w:hAnsi="宋体"/>
                <w:szCs w:val="21"/>
              </w:rPr>
            </w:pPr>
            <w:r>
              <w:rPr>
                <w:rFonts w:hint="eastAsia" w:ascii="宋体" w:hAnsi="宋体"/>
                <w:szCs w:val="21"/>
              </w:rPr>
              <w:t>5</w:t>
            </w:r>
          </w:p>
        </w:tc>
        <w:tc>
          <w:tcPr>
            <w:tcW w:w="4260" w:type="dxa"/>
            <w:vAlign w:val="center"/>
          </w:tcPr>
          <w:p w14:paraId="775CA1B9">
            <w:pPr>
              <w:ind w:left="105" w:leftChars="50"/>
              <w:rPr>
                <w:rFonts w:ascii="宋体" w:hAnsi="宋体"/>
                <w:szCs w:val="21"/>
              </w:rPr>
            </w:pPr>
            <w:r>
              <w:rPr>
                <w:rFonts w:hint="eastAsia" w:ascii="宋体" w:hAnsi="宋体"/>
                <w:szCs w:val="21"/>
              </w:rPr>
              <w:t>联系人：</w:t>
            </w:r>
          </w:p>
        </w:tc>
        <w:tc>
          <w:tcPr>
            <w:tcW w:w="3413" w:type="dxa"/>
            <w:vAlign w:val="center"/>
          </w:tcPr>
          <w:p w14:paraId="37190CFD">
            <w:pPr>
              <w:ind w:left="105" w:leftChars="50"/>
              <w:rPr>
                <w:rFonts w:ascii="宋体" w:hAnsi="宋体"/>
                <w:szCs w:val="21"/>
              </w:rPr>
            </w:pPr>
            <w:r>
              <w:rPr>
                <w:rFonts w:hint="eastAsia" w:ascii="宋体" w:hAnsi="宋体"/>
                <w:szCs w:val="21"/>
              </w:rPr>
              <w:t>电话：</w:t>
            </w:r>
          </w:p>
        </w:tc>
      </w:tr>
      <w:tr w14:paraId="6D34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8" w:type="dxa"/>
            <w:vAlign w:val="center"/>
          </w:tcPr>
          <w:p w14:paraId="7361E003">
            <w:pPr>
              <w:jc w:val="center"/>
              <w:rPr>
                <w:rFonts w:ascii="宋体" w:hAnsi="宋体"/>
                <w:szCs w:val="21"/>
              </w:rPr>
            </w:pPr>
            <w:r>
              <w:rPr>
                <w:rFonts w:hint="eastAsia" w:ascii="宋体" w:hAnsi="宋体"/>
                <w:szCs w:val="21"/>
              </w:rPr>
              <w:t>6</w:t>
            </w:r>
          </w:p>
        </w:tc>
        <w:tc>
          <w:tcPr>
            <w:tcW w:w="4260" w:type="dxa"/>
            <w:vAlign w:val="center"/>
          </w:tcPr>
          <w:p w14:paraId="2A904A18">
            <w:pPr>
              <w:ind w:left="105" w:leftChars="50"/>
              <w:rPr>
                <w:rFonts w:ascii="宋体" w:hAnsi="宋体"/>
                <w:szCs w:val="21"/>
              </w:rPr>
            </w:pPr>
            <w:r>
              <w:rPr>
                <w:rFonts w:hint="eastAsia" w:ascii="宋体" w:hAnsi="宋体"/>
                <w:szCs w:val="21"/>
              </w:rPr>
              <w:t xml:space="preserve">注册地：       </w:t>
            </w:r>
          </w:p>
        </w:tc>
        <w:tc>
          <w:tcPr>
            <w:tcW w:w="3413" w:type="dxa"/>
            <w:vAlign w:val="center"/>
          </w:tcPr>
          <w:p w14:paraId="532912E2">
            <w:pPr>
              <w:ind w:left="105" w:leftChars="50"/>
              <w:rPr>
                <w:rFonts w:ascii="宋体" w:hAnsi="宋体"/>
                <w:szCs w:val="21"/>
              </w:rPr>
            </w:pPr>
            <w:r>
              <w:rPr>
                <w:rFonts w:hint="eastAsia" w:ascii="宋体" w:hAnsi="宋体"/>
                <w:szCs w:val="21"/>
              </w:rPr>
              <w:t>注册年份：</w:t>
            </w:r>
          </w:p>
        </w:tc>
      </w:tr>
      <w:tr w14:paraId="7A7B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3" w:hRule="atLeast"/>
        </w:trPr>
        <w:tc>
          <w:tcPr>
            <w:tcW w:w="628" w:type="dxa"/>
            <w:vAlign w:val="center"/>
          </w:tcPr>
          <w:p w14:paraId="2F40DE0A">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7673" w:type="dxa"/>
            <w:gridSpan w:val="2"/>
          </w:tcPr>
          <w:p w14:paraId="062EF773">
            <w:pPr>
              <w:spacing w:before="156" w:beforeLines="50"/>
              <w:ind w:left="105" w:leftChars="50"/>
              <w:rPr>
                <w:rFonts w:ascii="宋体" w:hAnsi="宋体"/>
                <w:szCs w:val="21"/>
              </w:rPr>
            </w:pPr>
            <w:r>
              <w:rPr>
                <w:rFonts w:hint="eastAsia" w:ascii="宋体" w:hAnsi="宋体"/>
                <w:szCs w:val="21"/>
              </w:rPr>
              <w:t>主营范围：</w:t>
            </w:r>
          </w:p>
          <w:p w14:paraId="5A5DEF96">
            <w:pPr>
              <w:ind w:left="105" w:leftChars="50"/>
              <w:rPr>
                <w:rFonts w:ascii="宋体" w:hAnsi="宋体"/>
                <w:szCs w:val="21"/>
              </w:rPr>
            </w:pPr>
          </w:p>
        </w:tc>
      </w:tr>
      <w:tr w14:paraId="5E18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trPr>
        <w:tc>
          <w:tcPr>
            <w:tcW w:w="628" w:type="dxa"/>
            <w:vAlign w:val="center"/>
          </w:tcPr>
          <w:p w14:paraId="3B566C02">
            <w:pPr>
              <w:jc w:val="center"/>
              <w:rPr>
                <w:rFonts w:hint="eastAsia" w:ascii="宋体" w:hAnsi="宋体" w:eastAsia="宋体"/>
                <w:szCs w:val="21"/>
                <w:lang w:eastAsia="zh-CN"/>
              </w:rPr>
            </w:pPr>
            <w:r>
              <w:rPr>
                <w:rFonts w:hint="eastAsia" w:ascii="宋体" w:hAnsi="宋体"/>
                <w:szCs w:val="21"/>
                <w:lang w:val="en-US" w:eastAsia="zh-CN"/>
              </w:rPr>
              <w:t>8</w:t>
            </w:r>
          </w:p>
        </w:tc>
        <w:tc>
          <w:tcPr>
            <w:tcW w:w="7673" w:type="dxa"/>
            <w:gridSpan w:val="2"/>
            <w:vAlign w:val="center"/>
          </w:tcPr>
          <w:p w14:paraId="69499987">
            <w:pPr>
              <w:ind w:left="105" w:leftChars="50"/>
              <w:rPr>
                <w:rFonts w:ascii="宋体" w:hAnsi="宋体"/>
                <w:szCs w:val="21"/>
              </w:rPr>
            </w:pPr>
            <w:r>
              <w:rPr>
                <w:rFonts w:hint="eastAsia" w:ascii="宋体" w:hAnsi="宋体"/>
                <w:szCs w:val="21"/>
              </w:rPr>
              <w:t>其他需要说明的情况：</w:t>
            </w:r>
          </w:p>
        </w:tc>
      </w:tr>
    </w:tbl>
    <w:p w14:paraId="111A7BD1">
      <w:pPr>
        <w:spacing w:line="360" w:lineRule="auto"/>
        <w:jc w:val="left"/>
        <w:rPr>
          <w:rFonts w:ascii="宋体" w:hAnsi="宋体"/>
          <w:szCs w:val="21"/>
        </w:rPr>
      </w:pPr>
      <w:r>
        <w:rPr>
          <w:rFonts w:hint="eastAsia" w:ascii="宋体" w:hAnsi="宋体"/>
          <w:szCs w:val="21"/>
        </w:rPr>
        <w:t>附：营业执照（或事业法人证书）复印件。</w:t>
      </w:r>
    </w:p>
    <w:p w14:paraId="08D7231B">
      <w:pPr>
        <w:pStyle w:val="26"/>
        <w:rPr>
          <w:szCs w:val="21"/>
        </w:rPr>
      </w:pPr>
    </w:p>
    <w:p w14:paraId="51CF2F89">
      <w:pPr>
        <w:spacing w:line="480" w:lineRule="auto"/>
        <w:ind w:firstLine="420" w:firstLineChars="200"/>
        <w:jc w:val="right"/>
        <w:rPr>
          <w:rFonts w:ascii="宋体" w:hAnsi="宋体"/>
          <w:szCs w:val="21"/>
        </w:rPr>
      </w:pPr>
    </w:p>
    <w:bookmarkEnd w:id="109"/>
    <w:p w14:paraId="0E0498B9">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bookmarkStart w:id="146" w:name="_Toc10008"/>
      <w:bookmarkStart w:id="147" w:name="_Toc212032973"/>
      <w:bookmarkStart w:id="148" w:name="_Toc213560719"/>
      <w:bookmarkStart w:id="149" w:name="_Toc11308"/>
    </w:p>
    <w:p w14:paraId="7AD90D2B">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61C2F7E9">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D21A78">
      <w:pPr>
        <w:rPr>
          <w:rFonts w:ascii="宋体" w:hAnsi="宋体"/>
          <w:sz w:val="24"/>
        </w:rPr>
      </w:pPr>
      <w:r>
        <w:rPr>
          <w:rFonts w:hint="eastAsia" w:ascii="宋体" w:hAnsi="宋体"/>
          <w:sz w:val="24"/>
        </w:rPr>
        <w:br w:type="page"/>
      </w:r>
    </w:p>
    <w:bookmarkEnd w:id="146"/>
    <w:p w14:paraId="05C9A8C6">
      <w:pPr>
        <w:rPr>
          <w:rFonts w:ascii="宋体" w:hAnsi="宋体"/>
          <w:b/>
          <w:sz w:val="32"/>
          <w:szCs w:val="32"/>
        </w:rPr>
      </w:pPr>
      <w:bookmarkStart w:id="150" w:name="_Toc13560"/>
      <w:bookmarkStart w:id="151" w:name="_Toc29667"/>
      <w:bookmarkStart w:id="152" w:name="_Toc11271"/>
      <w:bookmarkStart w:id="153" w:name="_Toc16028"/>
      <w:r>
        <w:rPr>
          <w:rFonts w:hint="eastAsia" w:ascii="宋体" w:hAnsi="宋体"/>
          <w:bCs/>
          <w:szCs w:val="21"/>
        </w:rPr>
        <w:t>格式</w:t>
      </w:r>
      <w:r>
        <w:rPr>
          <w:rFonts w:hint="eastAsia" w:ascii="宋体" w:hAnsi="宋体"/>
          <w:bCs/>
          <w:szCs w:val="21"/>
          <w:lang w:val="en-US" w:eastAsia="zh-CN"/>
        </w:rPr>
        <w:t>3</w:t>
      </w:r>
      <w:r>
        <w:rPr>
          <w:rFonts w:hint="eastAsia" w:ascii="宋体" w:hAnsi="宋体"/>
          <w:bCs/>
          <w:szCs w:val="21"/>
        </w:rPr>
        <w:t>：</w:t>
      </w:r>
    </w:p>
    <w:p w14:paraId="3147B7F5">
      <w:pPr>
        <w:jc w:val="left"/>
        <w:rPr>
          <w:rFonts w:hint="eastAsia" w:ascii="宋体" w:hAnsi="宋体" w:eastAsia="宋体" w:cs="宋体"/>
          <w:b/>
          <w:bCs/>
          <w:sz w:val="21"/>
          <w:szCs w:val="21"/>
        </w:rPr>
      </w:pPr>
    </w:p>
    <w:p w14:paraId="7BEC515E">
      <w:pPr>
        <w:spacing w:before="312" w:beforeLines="100" w:after="312" w:afterLines="100"/>
        <w:jc w:val="center"/>
        <w:rPr>
          <w:rFonts w:hint="eastAsia" w:ascii="宋体" w:hAnsi="宋体" w:cs="Times New Roman"/>
          <w:b/>
          <w:sz w:val="28"/>
          <w:szCs w:val="28"/>
        </w:rPr>
      </w:pPr>
      <w:r>
        <w:rPr>
          <w:rFonts w:hint="eastAsia" w:ascii="宋体" w:hAnsi="宋体" w:cs="Times New Roman"/>
          <w:b/>
          <w:sz w:val="28"/>
          <w:szCs w:val="28"/>
        </w:rPr>
        <w:t>基本资格条件承诺函</w:t>
      </w:r>
    </w:p>
    <w:p w14:paraId="35ECAE78">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2ECF23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投标人名称</w:t>
      </w:r>
      <w:r>
        <w:rPr>
          <w:rFonts w:hint="eastAsia" w:ascii="宋体" w:hAnsi="宋体" w:eastAsia="宋体" w:cs="宋体"/>
          <w:sz w:val="21"/>
          <w:szCs w:val="21"/>
          <w:lang w:eastAsia="zh-CN"/>
        </w:rPr>
        <w:t>）</w:t>
      </w:r>
      <w:r>
        <w:rPr>
          <w:rFonts w:hint="eastAsia" w:ascii="宋体" w:hAnsi="宋体" w:eastAsia="宋体" w:cs="宋体"/>
          <w:sz w:val="21"/>
          <w:szCs w:val="21"/>
        </w:rPr>
        <w:t>郑重承诺</w:t>
      </w:r>
      <w:r>
        <w:rPr>
          <w:rFonts w:hint="eastAsia" w:ascii="宋体" w:hAnsi="宋体" w:eastAsia="宋体" w:cs="宋体"/>
          <w:sz w:val="21"/>
          <w:szCs w:val="21"/>
          <w:lang w:eastAsia="zh-CN"/>
        </w:rPr>
        <w:t>：</w:t>
      </w:r>
    </w:p>
    <w:p w14:paraId="1DCD52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1.我方具有良好的商业信誉和健全的财务会计制度，具有履行合同所必需的设备和专业技术能力，具有依法缴纳税收和社会保障金的良好记录，参加本项目采购活动前三年内无重大违法活动记录。</w:t>
      </w:r>
    </w:p>
    <w:p w14:paraId="1D67E5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2.我方未列入在信用中国网站</w:t>
      </w:r>
      <w:r>
        <w:rPr>
          <w:rFonts w:hint="eastAsia" w:ascii="宋体" w:hAnsi="宋体" w:eastAsia="宋体" w:cs="宋体"/>
          <w:sz w:val="21"/>
          <w:szCs w:val="21"/>
          <w:lang w:eastAsia="zh-CN"/>
        </w:rPr>
        <w:t>（</w:t>
      </w:r>
      <w:r>
        <w:rPr>
          <w:rFonts w:hint="eastAsia" w:ascii="宋体" w:hAnsi="宋体" w:eastAsia="宋体" w:cs="宋体"/>
          <w:sz w:val="21"/>
          <w:szCs w:val="21"/>
        </w:rPr>
        <w:t>www.creditchina.gov.cn</w:t>
      </w:r>
      <w:r>
        <w:rPr>
          <w:rFonts w:hint="eastAsia" w:ascii="宋体" w:hAnsi="宋体" w:eastAsia="宋体" w:cs="宋体"/>
          <w:sz w:val="21"/>
          <w:szCs w:val="21"/>
          <w:lang w:eastAsia="zh-CN"/>
        </w:rPr>
        <w:t>）</w:t>
      </w:r>
      <w:r>
        <w:rPr>
          <w:rFonts w:hint="eastAsia" w:ascii="宋体" w:hAnsi="宋体" w:eastAsia="宋体" w:cs="宋体"/>
          <w:sz w:val="21"/>
          <w:szCs w:val="21"/>
        </w:rPr>
        <w:t>“失信被执行人”、“重大税收违法案件当事人名单”中，也未列入中国政府采购网</w:t>
      </w:r>
      <w:r>
        <w:rPr>
          <w:rFonts w:hint="eastAsia" w:ascii="宋体" w:hAnsi="宋体" w:eastAsia="宋体" w:cs="宋体"/>
          <w:sz w:val="21"/>
          <w:szCs w:val="21"/>
          <w:lang w:eastAsia="zh-CN"/>
        </w:rPr>
        <w:t>（</w:t>
      </w:r>
      <w:r>
        <w:rPr>
          <w:rFonts w:hint="eastAsia" w:ascii="宋体" w:hAnsi="宋体" w:eastAsia="宋体" w:cs="宋体"/>
          <w:sz w:val="21"/>
          <w:szCs w:val="21"/>
        </w:rPr>
        <w:t>www.ccgp.gov.cn</w:t>
      </w:r>
      <w:r>
        <w:rPr>
          <w:rFonts w:hint="eastAsia" w:ascii="宋体" w:hAnsi="宋体" w:eastAsia="宋体" w:cs="宋体"/>
          <w:sz w:val="21"/>
          <w:szCs w:val="21"/>
          <w:lang w:eastAsia="zh-CN"/>
        </w:rPr>
        <w:t>）</w:t>
      </w:r>
      <w:r>
        <w:rPr>
          <w:rFonts w:hint="eastAsia" w:ascii="宋体" w:hAnsi="宋体" w:eastAsia="宋体" w:cs="宋体"/>
          <w:sz w:val="21"/>
          <w:szCs w:val="21"/>
        </w:rPr>
        <w:t>“政府采购严重违法失信行为记录名单”中。</w:t>
      </w:r>
    </w:p>
    <w:p w14:paraId="66934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3.我方在采购项目评审</w:t>
      </w:r>
      <w:r>
        <w:rPr>
          <w:rFonts w:hint="eastAsia" w:ascii="宋体" w:hAnsi="宋体" w:eastAsia="宋体" w:cs="宋体"/>
          <w:sz w:val="21"/>
          <w:szCs w:val="21"/>
          <w:lang w:eastAsia="zh-CN"/>
        </w:rPr>
        <w:t>（</w:t>
      </w:r>
      <w:r>
        <w:rPr>
          <w:rFonts w:hint="eastAsia" w:ascii="宋体" w:hAnsi="宋体" w:eastAsia="宋体" w:cs="宋体"/>
          <w:sz w:val="21"/>
          <w:szCs w:val="21"/>
        </w:rPr>
        <w:t>评标</w:t>
      </w:r>
      <w:r>
        <w:rPr>
          <w:rFonts w:hint="eastAsia" w:ascii="宋体" w:hAnsi="宋体" w:eastAsia="宋体" w:cs="宋体"/>
          <w:sz w:val="21"/>
          <w:szCs w:val="21"/>
          <w:lang w:eastAsia="zh-CN"/>
        </w:rPr>
        <w:t>）</w:t>
      </w:r>
      <w:r>
        <w:rPr>
          <w:rFonts w:hint="eastAsia" w:ascii="宋体" w:hAnsi="宋体" w:eastAsia="宋体" w:cs="宋体"/>
          <w:sz w:val="21"/>
          <w:szCs w:val="21"/>
        </w:rPr>
        <w:t>环节结束后，随时接受采购人、采购代理机构的检查验证，配合提供相关证明材料，证明符合《中华人民共和国政府采购法》规定的投标人基本资格条件。</w:t>
      </w:r>
    </w:p>
    <w:p w14:paraId="57E749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我方对以上承诺负全部法律责任，</w:t>
      </w:r>
    </w:p>
    <w:p w14:paraId="292C31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特此承诺。</w:t>
      </w:r>
    </w:p>
    <w:p w14:paraId="562FD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p>
    <w:p w14:paraId="2AD25576">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1A63E341">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8E1C96">
      <w:pPr>
        <w:rPr>
          <w:rFonts w:hint="eastAsia" w:ascii="宋体" w:hAnsi="宋体"/>
          <w:bCs/>
          <w:szCs w:val="21"/>
        </w:rPr>
      </w:pPr>
    </w:p>
    <w:p w14:paraId="1A8AA62C">
      <w:pPr>
        <w:rPr>
          <w:rFonts w:hint="eastAsia" w:ascii="宋体" w:hAnsi="宋体"/>
          <w:bCs/>
          <w:szCs w:val="21"/>
        </w:rPr>
      </w:pPr>
    </w:p>
    <w:p w14:paraId="74A801D4">
      <w:pPr>
        <w:rPr>
          <w:rFonts w:hint="eastAsia" w:ascii="宋体" w:hAnsi="宋体"/>
          <w:bCs/>
          <w:szCs w:val="21"/>
        </w:rPr>
      </w:pPr>
    </w:p>
    <w:p w14:paraId="300FE5AC">
      <w:pPr>
        <w:rPr>
          <w:rFonts w:hint="eastAsia" w:ascii="宋体" w:hAnsi="宋体"/>
          <w:bCs/>
          <w:szCs w:val="21"/>
        </w:rPr>
      </w:pPr>
    </w:p>
    <w:p w14:paraId="45A88A9E">
      <w:pPr>
        <w:rPr>
          <w:rFonts w:hint="eastAsia" w:ascii="宋体" w:hAnsi="宋体"/>
          <w:bCs/>
          <w:szCs w:val="21"/>
        </w:rPr>
      </w:pPr>
    </w:p>
    <w:p w14:paraId="08C3AE7B">
      <w:pPr>
        <w:rPr>
          <w:rFonts w:hint="eastAsia" w:ascii="宋体" w:hAnsi="宋体"/>
          <w:bCs/>
          <w:szCs w:val="21"/>
        </w:rPr>
      </w:pPr>
    </w:p>
    <w:p w14:paraId="54609EBC">
      <w:pPr>
        <w:rPr>
          <w:rFonts w:hint="eastAsia" w:ascii="宋体" w:hAnsi="宋体"/>
          <w:bCs/>
          <w:szCs w:val="21"/>
        </w:rPr>
      </w:pPr>
    </w:p>
    <w:p w14:paraId="2712304D">
      <w:pPr>
        <w:rPr>
          <w:rFonts w:hint="eastAsia" w:ascii="宋体" w:hAnsi="宋体"/>
          <w:bCs/>
          <w:szCs w:val="21"/>
        </w:rPr>
      </w:pPr>
    </w:p>
    <w:p w14:paraId="443D4063">
      <w:pPr>
        <w:rPr>
          <w:rFonts w:hint="eastAsia" w:ascii="宋体" w:hAnsi="宋体"/>
          <w:bCs/>
          <w:szCs w:val="21"/>
        </w:rPr>
      </w:pPr>
    </w:p>
    <w:p w14:paraId="196F62B2">
      <w:pPr>
        <w:rPr>
          <w:rFonts w:hint="eastAsia" w:ascii="宋体" w:hAnsi="宋体"/>
          <w:bCs/>
          <w:szCs w:val="21"/>
        </w:rPr>
      </w:pPr>
    </w:p>
    <w:p w14:paraId="47D3D501">
      <w:pPr>
        <w:rPr>
          <w:rFonts w:hint="eastAsia" w:ascii="宋体" w:hAnsi="宋体"/>
          <w:bCs/>
          <w:szCs w:val="21"/>
        </w:rPr>
      </w:pPr>
    </w:p>
    <w:p w14:paraId="4B648818">
      <w:pPr>
        <w:rPr>
          <w:rFonts w:hint="eastAsia" w:ascii="宋体" w:hAnsi="宋体"/>
          <w:bCs/>
          <w:szCs w:val="21"/>
        </w:rPr>
      </w:pPr>
    </w:p>
    <w:p w14:paraId="0330DC71">
      <w:pPr>
        <w:rPr>
          <w:rFonts w:hint="eastAsia" w:ascii="宋体" w:hAnsi="宋体"/>
          <w:bCs/>
          <w:szCs w:val="21"/>
        </w:rPr>
      </w:pPr>
    </w:p>
    <w:p w14:paraId="41D147B3">
      <w:pPr>
        <w:rPr>
          <w:rFonts w:hint="eastAsia" w:ascii="宋体" w:hAnsi="宋体"/>
          <w:bCs/>
          <w:szCs w:val="21"/>
        </w:rPr>
      </w:pPr>
    </w:p>
    <w:p w14:paraId="444CB162">
      <w:pPr>
        <w:rPr>
          <w:rFonts w:hint="eastAsia" w:ascii="宋体" w:hAnsi="宋体"/>
          <w:bCs/>
          <w:szCs w:val="21"/>
        </w:rPr>
      </w:pPr>
    </w:p>
    <w:p w14:paraId="54E1F92F">
      <w:pPr>
        <w:rPr>
          <w:rFonts w:ascii="宋体" w:hAnsi="宋体"/>
          <w:b/>
          <w:sz w:val="32"/>
          <w:szCs w:val="32"/>
        </w:rPr>
      </w:pPr>
      <w:r>
        <w:rPr>
          <w:rFonts w:hint="eastAsia" w:ascii="宋体" w:hAnsi="宋体"/>
          <w:bCs/>
          <w:szCs w:val="21"/>
        </w:rPr>
        <w:t>格式</w:t>
      </w:r>
      <w:r>
        <w:rPr>
          <w:rFonts w:hint="eastAsia" w:ascii="宋体" w:hAnsi="宋体"/>
          <w:bCs/>
          <w:szCs w:val="21"/>
          <w:lang w:val="en-US" w:eastAsia="zh-CN"/>
        </w:rPr>
        <w:t>4</w:t>
      </w:r>
      <w:r>
        <w:rPr>
          <w:rFonts w:hint="eastAsia" w:ascii="宋体" w:hAnsi="宋体"/>
          <w:bCs/>
          <w:szCs w:val="21"/>
        </w:rPr>
        <w:t>：</w:t>
      </w:r>
    </w:p>
    <w:p w14:paraId="3FC09401">
      <w:pPr>
        <w:spacing w:before="312" w:beforeLines="100" w:after="312" w:afterLines="100"/>
        <w:jc w:val="center"/>
        <w:rPr>
          <w:rFonts w:ascii="宋体" w:hAnsi="宋体"/>
          <w:b/>
          <w:sz w:val="28"/>
          <w:szCs w:val="28"/>
        </w:rPr>
      </w:pPr>
      <w:r>
        <w:rPr>
          <w:rFonts w:hint="eastAsia" w:ascii="宋体" w:hAnsi="宋体"/>
          <w:b/>
          <w:sz w:val="28"/>
          <w:szCs w:val="28"/>
        </w:rPr>
        <w:t>具备履行合同所必需的设备和专业技术能力的承诺函</w:t>
      </w:r>
    </w:p>
    <w:p w14:paraId="22132E1D">
      <w:pPr>
        <w:spacing w:line="500" w:lineRule="exact"/>
        <w:rPr>
          <w:rFonts w:ascii="宋体" w:hAnsi="宋体" w:cs="宋体"/>
        </w:rPr>
      </w:pPr>
    </w:p>
    <w:p w14:paraId="0AB628F1">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457954">
      <w:pPr>
        <w:spacing w:line="500" w:lineRule="exact"/>
        <w:ind w:firstLine="420" w:firstLineChars="200"/>
        <w:rPr>
          <w:rFonts w:ascii="宋体" w:hAnsi="宋体" w:cs="宋体"/>
        </w:rPr>
      </w:pPr>
      <w:r>
        <w:rPr>
          <w:rFonts w:hint="eastAsia" w:ascii="宋体" w:hAnsi="宋体" w:cs="宋体"/>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ascii="宋体" w:hAnsi="宋体" w:cs="宋体"/>
        </w:rPr>
        <w:t>，在此郑重声明：</w:t>
      </w:r>
    </w:p>
    <w:p w14:paraId="4D4CED69">
      <w:pPr>
        <w:numPr>
          <w:ilvl w:val="0"/>
          <w:numId w:val="7"/>
        </w:numPr>
        <w:spacing w:line="500" w:lineRule="exact"/>
        <w:ind w:firstLine="420" w:firstLineChars="200"/>
        <w:rPr>
          <w:rFonts w:ascii="宋体" w:hAnsi="宋体" w:cs="宋体"/>
        </w:rPr>
      </w:pPr>
      <w:r>
        <w:rPr>
          <w:rFonts w:hint="eastAsia" w:ascii="宋体" w:hAnsi="宋体" w:cs="宋体"/>
        </w:rPr>
        <w:t>我方具备履行合同所必须的设备和专业技术能力。</w:t>
      </w:r>
    </w:p>
    <w:p w14:paraId="7831D9CE">
      <w:pPr>
        <w:spacing w:line="500" w:lineRule="exact"/>
        <w:ind w:firstLine="420" w:firstLineChars="200"/>
        <w:rPr>
          <w:rFonts w:ascii="宋体" w:hAnsi="宋体" w:cs="宋体"/>
        </w:rPr>
      </w:pPr>
      <w:r>
        <w:rPr>
          <w:rFonts w:hint="eastAsia" w:ascii="宋体" w:hAnsi="宋体" w:cs="宋体"/>
        </w:rPr>
        <w:t>2、我方未为本项目提供整体设计、规范编制或者项目管理、监理、检测等服务。</w:t>
      </w:r>
    </w:p>
    <w:p w14:paraId="320ED024">
      <w:pPr>
        <w:spacing w:line="500" w:lineRule="exact"/>
        <w:ind w:firstLine="420" w:firstLineChars="200"/>
        <w:rPr>
          <w:rFonts w:ascii="宋体" w:hAnsi="宋体" w:cs="宋体"/>
        </w:rPr>
      </w:pPr>
      <w:r>
        <w:rPr>
          <w:rFonts w:hint="eastAsia" w:ascii="宋体" w:hAnsi="宋体" w:cs="宋体"/>
        </w:rPr>
        <w:t>如有不实，我方将无条件地退出本项目的采购活动，并遵照《政府采购法》有关“提供虚假材料的规定”接受处罚。</w:t>
      </w:r>
    </w:p>
    <w:p w14:paraId="58995508">
      <w:pPr>
        <w:spacing w:line="500" w:lineRule="exact"/>
        <w:ind w:firstLine="420" w:firstLineChars="200"/>
        <w:rPr>
          <w:rFonts w:ascii="宋体" w:hAnsi="宋体" w:cs="宋体"/>
        </w:rPr>
      </w:pPr>
      <w:r>
        <w:rPr>
          <w:rFonts w:hint="eastAsia" w:ascii="宋体" w:hAnsi="宋体" w:cs="宋体"/>
        </w:rPr>
        <w:t>特此承诺。</w:t>
      </w:r>
    </w:p>
    <w:p w14:paraId="476DF194">
      <w:pPr>
        <w:spacing w:line="500" w:lineRule="exact"/>
        <w:ind w:firstLine="3360" w:firstLineChars="1600"/>
        <w:rPr>
          <w:rFonts w:ascii="宋体" w:hAnsi="宋体" w:cs="宋体"/>
        </w:rPr>
      </w:pPr>
    </w:p>
    <w:p w14:paraId="07992C1D">
      <w:pPr>
        <w:spacing w:line="500" w:lineRule="exact"/>
        <w:ind w:firstLine="3360" w:firstLineChars="1600"/>
        <w:rPr>
          <w:rFonts w:ascii="宋体" w:hAnsi="宋体" w:cs="宋体"/>
        </w:rPr>
      </w:pPr>
    </w:p>
    <w:p w14:paraId="7EFCC7A0">
      <w:pPr>
        <w:spacing w:line="500" w:lineRule="exact"/>
        <w:ind w:firstLine="3360" w:firstLineChars="1600"/>
        <w:rPr>
          <w:rFonts w:ascii="宋体" w:hAnsi="宋体" w:cs="宋体"/>
        </w:rPr>
      </w:pPr>
    </w:p>
    <w:p w14:paraId="49DDF0CD">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1AB5857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D33FBB">
      <w:pPr>
        <w:pStyle w:val="5"/>
        <w:ind w:left="0" w:leftChars="0" w:firstLine="0" w:firstLineChars="0"/>
        <w:rPr>
          <w:rFonts w:ascii="仿宋" w:hAnsi="仿宋" w:eastAsia="仿宋" w:cs="仿宋"/>
        </w:rPr>
      </w:pPr>
    </w:p>
    <w:p w14:paraId="4A6BC166"/>
    <w:p w14:paraId="283A1F40">
      <w:pPr>
        <w:rPr>
          <w:rFonts w:ascii="宋体" w:hAnsi="宋体"/>
          <w:bCs/>
          <w:szCs w:val="21"/>
        </w:rPr>
      </w:pPr>
      <w:r>
        <w:rPr>
          <w:rFonts w:hint="eastAsia" w:ascii="宋体" w:hAnsi="宋体"/>
          <w:bCs/>
          <w:szCs w:val="21"/>
        </w:rPr>
        <w:br w:type="page"/>
      </w:r>
    </w:p>
    <w:p w14:paraId="082D8B80">
      <w:pPr>
        <w:rPr>
          <w:rFonts w:ascii="宋体" w:hAnsi="宋体"/>
          <w:b/>
          <w:sz w:val="32"/>
          <w:szCs w:val="32"/>
        </w:rPr>
      </w:pPr>
      <w:r>
        <w:rPr>
          <w:rFonts w:hint="eastAsia" w:ascii="宋体" w:hAnsi="宋体"/>
          <w:bCs/>
          <w:szCs w:val="21"/>
        </w:rPr>
        <w:t>格式</w:t>
      </w:r>
      <w:r>
        <w:rPr>
          <w:rFonts w:hint="eastAsia" w:ascii="宋体" w:hAnsi="宋体"/>
          <w:bCs/>
          <w:szCs w:val="21"/>
          <w:lang w:val="en-US" w:eastAsia="zh-CN"/>
        </w:rPr>
        <w:t>5</w:t>
      </w:r>
      <w:r>
        <w:rPr>
          <w:rFonts w:hint="eastAsia" w:ascii="宋体" w:hAnsi="宋体"/>
          <w:bCs/>
          <w:szCs w:val="21"/>
        </w:rPr>
        <w:t>：</w:t>
      </w:r>
    </w:p>
    <w:p w14:paraId="02E2341C">
      <w:pPr>
        <w:spacing w:before="312" w:beforeLines="100" w:after="312" w:afterLines="100"/>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参加政府采购活动前3年内在经营活动中没有重大违法记录的书面声明</w:t>
      </w:r>
    </w:p>
    <w:p w14:paraId="5313DBB5">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097926">
      <w:pPr>
        <w:spacing w:line="500" w:lineRule="exact"/>
        <w:ind w:right="11" w:firstLine="420" w:firstLineChars="200"/>
        <w:rPr>
          <w:rFonts w:cs="华文仿宋"/>
          <w:sz w:val="21"/>
          <w:szCs w:val="21"/>
        </w:rPr>
      </w:pPr>
      <w:r>
        <w:rPr>
          <w:rFonts w:hint="eastAsia" w:ascii="华文仿宋" w:hAnsi="华文仿宋" w:cs="华文仿宋"/>
          <w:sz w:val="21"/>
          <w:szCs w:val="21"/>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cs="华文仿宋"/>
          <w:sz w:val="21"/>
          <w:szCs w:val="21"/>
        </w:rPr>
        <w:t>，在此郑重声明：</w:t>
      </w:r>
    </w:p>
    <w:p w14:paraId="3258EE8F">
      <w:pPr>
        <w:spacing w:line="500" w:lineRule="exact"/>
        <w:ind w:right="11" w:firstLine="420" w:firstLineChars="200"/>
        <w:rPr>
          <w:rFonts w:cs="华文仿宋"/>
          <w:sz w:val="21"/>
          <w:szCs w:val="21"/>
        </w:rPr>
      </w:pPr>
      <w:r>
        <w:rPr>
          <w:rFonts w:hint="eastAsia" w:cs="华文仿宋"/>
          <w:sz w:val="21"/>
          <w:szCs w:val="21"/>
        </w:rPr>
        <w:t>在参加本次政府采购活动前</w:t>
      </w:r>
      <w:r>
        <w:rPr>
          <w:rFonts w:ascii="仿宋" w:hAnsi="仿宋" w:eastAsia="仿宋" w:cs="仿宋"/>
          <w:sz w:val="21"/>
          <w:szCs w:val="21"/>
        </w:rPr>
        <w:t>3</w:t>
      </w:r>
      <w:r>
        <w:rPr>
          <w:rFonts w:hint="eastAsia" w:cs="华文仿宋"/>
          <w:sz w:val="21"/>
          <w:szCs w:val="21"/>
        </w:rPr>
        <w:t>年内的经营活动中</w:t>
      </w:r>
      <w:r>
        <w:rPr>
          <w:rFonts w:hint="eastAsia" w:cs="华文仿宋"/>
          <w:sz w:val="21"/>
          <w:szCs w:val="21"/>
          <w:u w:val="single"/>
        </w:rPr>
        <w:t xml:space="preserve">     </w:t>
      </w:r>
      <w:r>
        <w:rPr>
          <w:rFonts w:hint="eastAsia" w:cs="华文仿宋"/>
          <w:sz w:val="21"/>
          <w:szCs w:val="21"/>
        </w:rPr>
        <w:t>（填“没有”或“有”）重大违法记录。</w:t>
      </w:r>
    </w:p>
    <w:p w14:paraId="2052AA7B">
      <w:pPr>
        <w:spacing w:line="500" w:lineRule="exact"/>
        <w:ind w:firstLine="420" w:firstLineChars="200"/>
        <w:rPr>
          <w:sz w:val="21"/>
          <w:szCs w:val="21"/>
        </w:rPr>
      </w:pPr>
      <w:r>
        <w:rPr>
          <w:rFonts w:hint="eastAsia" w:cs="华文仿宋"/>
          <w:sz w:val="21"/>
          <w:szCs w:val="21"/>
        </w:rPr>
        <w:t>如有不实，我方将无条件地退出本项目的采购活动，并遵照《政府采购法》有关“提供虚假材料的规定”接受处罚。</w:t>
      </w:r>
    </w:p>
    <w:p w14:paraId="5A470759">
      <w:pPr>
        <w:spacing w:line="500" w:lineRule="exact"/>
        <w:ind w:firstLine="420" w:firstLineChars="200"/>
        <w:rPr>
          <w:sz w:val="21"/>
          <w:szCs w:val="21"/>
        </w:rPr>
      </w:pPr>
      <w:r>
        <w:rPr>
          <w:rFonts w:hint="eastAsia" w:cs="华文仿宋"/>
          <w:sz w:val="21"/>
          <w:szCs w:val="21"/>
        </w:rPr>
        <w:t>特此声明。</w:t>
      </w:r>
    </w:p>
    <w:p w14:paraId="44BAEBD4">
      <w:pPr>
        <w:spacing w:line="500" w:lineRule="exact"/>
        <w:ind w:firstLine="3570" w:firstLineChars="1700"/>
        <w:rPr>
          <w:rFonts w:cs="华文仿宋"/>
          <w:sz w:val="21"/>
          <w:szCs w:val="21"/>
        </w:rPr>
      </w:pPr>
    </w:p>
    <w:p w14:paraId="2B55B16E">
      <w:pPr>
        <w:spacing w:line="500" w:lineRule="exact"/>
        <w:ind w:firstLine="3570" w:firstLineChars="1700"/>
        <w:rPr>
          <w:rFonts w:cs="华文仿宋"/>
          <w:sz w:val="21"/>
          <w:szCs w:val="21"/>
        </w:rPr>
      </w:pPr>
    </w:p>
    <w:p w14:paraId="14B07DCF">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2419E963">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69E00A">
      <w:pPr>
        <w:rPr>
          <w:rFonts w:cs="华文仿宋"/>
          <w:sz w:val="21"/>
          <w:szCs w:val="21"/>
        </w:rPr>
      </w:pPr>
    </w:p>
    <w:p w14:paraId="166FE41D">
      <w:pPr>
        <w:rPr>
          <w:rFonts w:cs="华文仿宋"/>
          <w:sz w:val="21"/>
          <w:szCs w:val="21"/>
        </w:rPr>
      </w:pPr>
    </w:p>
    <w:p w14:paraId="64FC9BFD">
      <w:pPr>
        <w:rPr>
          <w:rFonts w:cs="华文仿宋"/>
          <w:sz w:val="21"/>
          <w:szCs w:val="21"/>
        </w:rPr>
      </w:pPr>
    </w:p>
    <w:p w14:paraId="025229C4">
      <w:pPr>
        <w:spacing w:line="360" w:lineRule="auto"/>
        <w:ind w:firstLine="420" w:firstLineChars="200"/>
        <w:jc w:val="left"/>
        <w:rPr>
          <w:rFonts w:cs="华文仿宋"/>
          <w:sz w:val="21"/>
          <w:szCs w:val="21"/>
        </w:rPr>
      </w:pPr>
      <w:r>
        <w:rPr>
          <w:rFonts w:hint="eastAsia" w:cs="华文仿宋"/>
          <w:sz w:val="21"/>
          <w:szCs w:val="21"/>
        </w:rPr>
        <w:t>说明：</w:t>
      </w:r>
      <w:r>
        <w:rPr>
          <w:rFonts w:hint="eastAsia" w:cs="华文仿宋"/>
          <w:sz w:val="21"/>
          <w:szCs w:val="21"/>
          <w:lang w:eastAsia="zh-CN"/>
        </w:rPr>
        <w:t>投标人</w:t>
      </w:r>
      <w:r>
        <w:rPr>
          <w:rFonts w:hint="eastAsia" w:cs="华文仿宋"/>
          <w:sz w:val="21"/>
          <w:szCs w:val="21"/>
        </w:rPr>
        <w:t>在参加政府采购活动前3年内因违法经营被禁止在一定期限内参加政府采购活动，期限届满的，可以参加政府采购活动，但应提供期限届满的证明材料。</w:t>
      </w:r>
    </w:p>
    <w:p w14:paraId="2DE237F8">
      <w:pPr>
        <w:spacing w:line="500" w:lineRule="exact"/>
        <w:ind w:firstLine="3570" w:firstLineChars="1700"/>
        <w:rPr>
          <w:rFonts w:cs="华文仿宋"/>
        </w:rPr>
      </w:pPr>
    </w:p>
    <w:p w14:paraId="65CA63CC">
      <w:pPr>
        <w:rPr>
          <w:rFonts w:cs="华文仿宋"/>
        </w:rPr>
      </w:pPr>
      <w:r>
        <w:rPr>
          <w:rFonts w:hint="eastAsia" w:cs="华文仿宋"/>
        </w:rPr>
        <w:br w:type="page"/>
      </w:r>
    </w:p>
    <w:p w14:paraId="7B63310B">
      <w:pPr>
        <w:rPr>
          <w:rFonts w:ascii="宋体" w:hAnsi="宋体"/>
          <w:b/>
          <w:sz w:val="32"/>
          <w:szCs w:val="32"/>
        </w:rPr>
      </w:pPr>
      <w:bookmarkStart w:id="154" w:name="_Toc12007"/>
      <w:bookmarkStart w:id="155" w:name="_Toc12264"/>
      <w:bookmarkStart w:id="156" w:name="_Toc25983"/>
      <w:bookmarkStart w:id="157" w:name="_Toc13090"/>
      <w:bookmarkStart w:id="158" w:name="_Toc23076"/>
      <w:bookmarkStart w:id="159" w:name="_Toc15773"/>
      <w:r>
        <w:rPr>
          <w:rFonts w:hint="eastAsia" w:ascii="宋体" w:hAnsi="宋体"/>
          <w:bCs/>
          <w:szCs w:val="21"/>
        </w:rPr>
        <w:t>格式</w:t>
      </w:r>
      <w:r>
        <w:rPr>
          <w:rFonts w:hint="eastAsia" w:ascii="宋体" w:hAnsi="宋体"/>
          <w:bCs/>
          <w:szCs w:val="21"/>
          <w:lang w:val="en-US" w:eastAsia="zh-CN"/>
        </w:rPr>
        <w:t>6</w:t>
      </w:r>
      <w:r>
        <w:rPr>
          <w:rFonts w:hint="eastAsia" w:ascii="宋体" w:hAnsi="宋体"/>
          <w:bCs/>
          <w:szCs w:val="21"/>
        </w:rPr>
        <w:t>：</w:t>
      </w:r>
    </w:p>
    <w:p w14:paraId="67593B17">
      <w:pPr>
        <w:spacing w:before="312" w:beforeLines="100" w:after="312" w:afterLines="100"/>
        <w:jc w:val="center"/>
        <w:rPr>
          <w:rFonts w:ascii="宋体" w:hAnsi="宋体"/>
          <w:sz w:val="24"/>
        </w:rPr>
      </w:pPr>
      <w:r>
        <w:rPr>
          <w:rFonts w:hint="eastAsia" w:ascii="宋体" w:hAnsi="宋体"/>
          <w:b/>
          <w:sz w:val="28"/>
          <w:szCs w:val="28"/>
        </w:rPr>
        <w:t>控股管理关系</w:t>
      </w:r>
      <w:bookmarkEnd w:id="154"/>
      <w:bookmarkEnd w:id="155"/>
      <w:bookmarkEnd w:id="156"/>
      <w:bookmarkEnd w:id="157"/>
      <w:bookmarkEnd w:id="158"/>
      <w:bookmarkEnd w:id="159"/>
      <w:r>
        <w:rPr>
          <w:rFonts w:hint="eastAsia" w:ascii="宋体" w:hAnsi="宋体"/>
          <w:b/>
          <w:sz w:val="28"/>
          <w:szCs w:val="28"/>
        </w:rPr>
        <w:t>说明</w:t>
      </w:r>
    </w:p>
    <w:p w14:paraId="0AE8599B">
      <w:pPr>
        <w:autoSpaceDE w:val="0"/>
        <w:autoSpaceDN w:val="0"/>
        <w:adjustRightInd w:val="0"/>
        <w:spacing w:line="48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单位负责人在其他单位任职情况：</w:t>
      </w:r>
    </w:p>
    <w:p w14:paraId="68C72B08">
      <w:pPr>
        <w:autoSpaceDE w:val="0"/>
        <w:autoSpaceDN w:val="0"/>
        <w:adjustRightInd w:val="0"/>
        <w:spacing w:line="480" w:lineRule="auto"/>
        <w:rPr>
          <w:rFonts w:ascii="宋体" w:hAnsi="宋体"/>
          <w:szCs w:val="21"/>
        </w:rPr>
      </w:pPr>
    </w:p>
    <w:p w14:paraId="610CCAD6">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控股关系说明</w:t>
      </w:r>
    </w:p>
    <w:p w14:paraId="52125C8C">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下属控股单位：</w:t>
      </w:r>
      <w:r>
        <w:rPr>
          <w:rFonts w:hint="eastAsia" w:ascii="宋体" w:hAnsi="宋体"/>
          <w:szCs w:val="21"/>
          <w:u w:val="single"/>
        </w:rPr>
        <w:t xml:space="preserve">                 </w:t>
      </w:r>
    </w:p>
    <w:p w14:paraId="7C53772A">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上属被控股单位：</w:t>
      </w:r>
      <w:r>
        <w:rPr>
          <w:rFonts w:hint="eastAsia" w:ascii="宋体" w:hAnsi="宋体"/>
          <w:szCs w:val="21"/>
          <w:u w:val="single"/>
        </w:rPr>
        <w:t xml:space="preserve">               </w:t>
      </w:r>
    </w:p>
    <w:p w14:paraId="34576C69">
      <w:pPr>
        <w:autoSpaceDE w:val="0"/>
        <w:autoSpaceDN w:val="0"/>
        <w:adjustRightInd w:val="0"/>
        <w:spacing w:line="48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投标人</w:t>
      </w:r>
      <w:r>
        <w:rPr>
          <w:rFonts w:hint="eastAsia" w:ascii="宋体" w:hAnsi="宋体"/>
          <w:szCs w:val="21"/>
        </w:rPr>
        <w:t>管理关系说明</w:t>
      </w:r>
    </w:p>
    <w:p w14:paraId="1AC34564">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下属管理单位：</w:t>
      </w:r>
      <w:r>
        <w:rPr>
          <w:rFonts w:hint="eastAsia" w:ascii="宋体" w:hAnsi="宋体"/>
          <w:szCs w:val="21"/>
          <w:u w:val="single"/>
        </w:rPr>
        <w:t xml:space="preserve">                 </w:t>
      </w:r>
    </w:p>
    <w:p w14:paraId="11C9CC70">
      <w:pPr>
        <w:autoSpaceDE w:val="0"/>
        <w:autoSpaceDN w:val="0"/>
        <w:adjustRightInd w:val="0"/>
        <w:spacing w:line="480" w:lineRule="auto"/>
        <w:ind w:firstLine="945" w:firstLineChars="450"/>
        <w:rPr>
          <w:rFonts w:ascii="宋体" w:hAnsi="宋体"/>
          <w:szCs w:val="21"/>
          <w:u w:val="single"/>
        </w:rPr>
      </w:pPr>
      <w:r>
        <w:rPr>
          <w:rFonts w:hint="eastAsia" w:ascii="宋体" w:hAnsi="宋体"/>
          <w:szCs w:val="21"/>
        </w:rPr>
        <w:t>管理职责（行政、人事等）：</w:t>
      </w:r>
      <w:r>
        <w:rPr>
          <w:rFonts w:hint="eastAsia" w:ascii="宋体" w:hAnsi="宋体"/>
          <w:szCs w:val="21"/>
          <w:u w:val="single"/>
        </w:rPr>
        <w:t xml:space="preserve">           </w:t>
      </w:r>
    </w:p>
    <w:p w14:paraId="54F4290D">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上属被管理管理：</w:t>
      </w:r>
      <w:r>
        <w:rPr>
          <w:rFonts w:hint="eastAsia" w:ascii="宋体" w:hAnsi="宋体"/>
          <w:szCs w:val="21"/>
          <w:u w:val="single"/>
        </w:rPr>
        <w:t xml:space="preserve">                </w:t>
      </w:r>
    </w:p>
    <w:p w14:paraId="62D61E80">
      <w:pPr>
        <w:autoSpaceDE w:val="0"/>
        <w:autoSpaceDN w:val="0"/>
        <w:adjustRightInd w:val="0"/>
        <w:spacing w:line="480" w:lineRule="auto"/>
        <w:ind w:firstLine="945" w:firstLineChars="450"/>
        <w:rPr>
          <w:rFonts w:ascii="宋体" w:hAnsi="宋体"/>
          <w:szCs w:val="21"/>
        </w:rPr>
      </w:pPr>
      <w:r>
        <w:rPr>
          <w:rFonts w:hint="eastAsia" w:ascii="宋体" w:hAnsi="宋体"/>
          <w:szCs w:val="21"/>
        </w:rPr>
        <w:t>管理职责（行政、人事等）：</w:t>
      </w:r>
      <w:r>
        <w:rPr>
          <w:rFonts w:hint="eastAsia" w:ascii="宋体" w:hAnsi="宋体"/>
          <w:szCs w:val="21"/>
          <w:u w:val="single"/>
        </w:rPr>
        <w:t xml:space="preserve">            </w:t>
      </w:r>
    </w:p>
    <w:p w14:paraId="5418976B">
      <w:pPr>
        <w:spacing w:line="500" w:lineRule="exact"/>
        <w:ind w:firstLine="420" w:firstLineChars="200"/>
        <w:jc w:val="left"/>
        <w:rPr>
          <w:rFonts w:ascii="华文仿宋" w:hAnsi="华文仿宋" w:cs="华文仿宋"/>
          <w:szCs w:val="21"/>
        </w:rPr>
      </w:pPr>
      <w:r>
        <w:rPr>
          <w:rFonts w:hint="eastAsia" w:ascii="华文仿宋" w:hAnsi="华文仿宋" w:cs="华文仿宋"/>
          <w:szCs w:val="21"/>
        </w:rPr>
        <w:t>本单位对上述内容的真实性负责。如有虚假，将依法承担相应责任。</w:t>
      </w:r>
    </w:p>
    <w:p w14:paraId="34784F23">
      <w:pPr>
        <w:autoSpaceDE w:val="0"/>
        <w:autoSpaceDN w:val="0"/>
        <w:adjustRightInd w:val="0"/>
        <w:spacing w:line="480" w:lineRule="auto"/>
        <w:ind w:firstLine="420" w:firstLineChars="200"/>
        <w:rPr>
          <w:rFonts w:ascii="宋体" w:hAnsi="宋体"/>
          <w:szCs w:val="21"/>
        </w:rPr>
      </w:pPr>
    </w:p>
    <w:p w14:paraId="55A90E43">
      <w:pPr>
        <w:autoSpaceDE w:val="0"/>
        <w:autoSpaceDN w:val="0"/>
        <w:adjustRightInd w:val="0"/>
        <w:spacing w:line="480" w:lineRule="auto"/>
        <w:rPr>
          <w:rFonts w:ascii="宋体" w:hAnsi="宋体" w:cs="宋体"/>
          <w:szCs w:val="21"/>
          <w:lang w:val="zh-CN"/>
        </w:rPr>
      </w:pPr>
    </w:p>
    <w:p w14:paraId="17A88B2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FFD610A">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469247">
      <w:pPr>
        <w:rPr>
          <w:rFonts w:hint="eastAsia" w:ascii="宋体" w:hAnsi="宋体" w:eastAsia="宋体"/>
          <w:sz w:val="28"/>
          <w:szCs w:val="22"/>
        </w:rPr>
      </w:pPr>
      <w:r>
        <w:rPr>
          <w:rFonts w:hint="eastAsia" w:ascii="宋体" w:hAnsi="宋体" w:eastAsia="宋体"/>
          <w:sz w:val="28"/>
          <w:szCs w:val="22"/>
        </w:rPr>
        <w:br w:type="page"/>
      </w:r>
    </w:p>
    <w:p w14:paraId="6080728A">
      <w:pPr>
        <w:pStyle w:val="3"/>
        <w:bidi w:val="0"/>
        <w:ind w:left="0" w:firstLine="0"/>
        <w:rPr>
          <w:rFonts w:hint="eastAsia" w:ascii="宋体" w:hAnsi="宋体" w:eastAsia="宋体"/>
          <w:sz w:val="28"/>
          <w:szCs w:val="22"/>
          <w:lang w:eastAsia="zh-CN"/>
        </w:rPr>
      </w:pPr>
      <w:r>
        <w:rPr>
          <w:rFonts w:hint="eastAsia" w:ascii="宋体" w:hAnsi="宋体" w:eastAsia="宋体"/>
          <w:sz w:val="28"/>
          <w:szCs w:val="22"/>
        </w:rPr>
        <w:t>四、</w:t>
      </w:r>
      <w:bookmarkEnd w:id="150"/>
      <w:bookmarkEnd w:id="151"/>
      <w:bookmarkEnd w:id="152"/>
      <w:bookmarkEnd w:id="153"/>
      <w:r>
        <w:rPr>
          <w:rFonts w:hint="eastAsia"/>
          <w:sz w:val="28"/>
          <w:szCs w:val="22"/>
          <w:lang w:val="en-US" w:eastAsia="zh-CN"/>
        </w:rPr>
        <w:t>投标方案</w:t>
      </w:r>
    </w:p>
    <w:p w14:paraId="0FB36ADE">
      <w:pPr>
        <w:bidi w:val="0"/>
        <w:ind w:firstLine="2730" w:firstLineChars="1300"/>
        <w:rPr>
          <w:rFonts w:hint="eastAsia"/>
        </w:rPr>
      </w:pPr>
      <w:bookmarkStart w:id="160" w:name="_Toc22775"/>
      <w:bookmarkStart w:id="161" w:name="_Toc1597"/>
      <w:bookmarkStart w:id="162" w:name="_Toc2082"/>
      <w:bookmarkStart w:id="163" w:name="_Toc12818"/>
      <w:r>
        <w:rPr>
          <w:rFonts w:hint="eastAsia"/>
        </w:rPr>
        <w:t>（按评分标准编制内容，格式自拟）</w:t>
      </w:r>
      <w:bookmarkEnd w:id="160"/>
      <w:bookmarkEnd w:id="161"/>
      <w:bookmarkEnd w:id="162"/>
      <w:bookmarkEnd w:id="163"/>
    </w:p>
    <w:p w14:paraId="0A556C76">
      <w:pPr>
        <w:spacing w:before="312" w:beforeLines="100" w:after="156" w:afterLines="50" w:line="480" w:lineRule="auto"/>
        <w:ind w:firstLine="170"/>
        <w:rPr>
          <w:rFonts w:ascii="宋体" w:hAnsi="宋体" w:cs="宋体"/>
          <w:spacing w:val="4"/>
          <w:szCs w:val="21"/>
        </w:rPr>
      </w:pPr>
    </w:p>
    <w:p w14:paraId="36FDFC26">
      <w:pPr>
        <w:pStyle w:val="11"/>
        <w:spacing w:before="120"/>
        <w:ind w:left="2167" w:right="1470" w:hanging="697"/>
        <w:jc w:val="center"/>
        <w:rPr>
          <w:rFonts w:hint="eastAsia" w:eastAsia="宋体"/>
          <w:lang w:eastAsia="zh-CN"/>
        </w:rPr>
      </w:pPr>
    </w:p>
    <w:p w14:paraId="5C59712C">
      <w:pPr>
        <w:pStyle w:val="11"/>
        <w:spacing w:before="120"/>
        <w:ind w:left="2167" w:right="1470" w:hanging="697"/>
        <w:jc w:val="center"/>
        <w:rPr>
          <w:rFonts w:hint="eastAsia" w:eastAsia="宋体"/>
          <w:lang w:eastAsia="zh-CN"/>
        </w:rPr>
      </w:pPr>
    </w:p>
    <w:p w14:paraId="3CAD1B3E">
      <w:pPr>
        <w:pStyle w:val="11"/>
        <w:spacing w:before="120"/>
        <w:ind w:left="2167" w:right="1470" w:hanging="697"/>
        <w:jc w:val="center"/>
        <w:rPr>
          <w:rFonts w:hint="eastAsia" w:eastAsia="宋体"/>
          <w:lang w:eastAsia="zh-CN"/>
        </w:rPr>
      </w:pPr>
    </w:p>
    <w:p w14:paraId="5EA12F05">
      <w:pPr>
        <w:pStyle w:val="11"/>
        <w:spacing w:before="120"/>
        <w:ind w:left="2167" w:right="1470" w:hanging="697"/>
        <w:jc w:val="center"/>
        <w:rPr>
          <w:rFonts w:hint="eastAsia" w:eastAsia="宋体"/>
          <w:lang w:eastAsia="zh-CN"/>
        </w:rPr>
      </w:pPr>
    </w:p>
    <w:p w14:paraId="0F6906D4">
      <w:pPr>
        <w:pStyle w:val="11"/>
        <w:spacing w:before="120"/>
        <w:ind w:left="2167" w:right="1470" w:hanging="697"/>
        <w:jc w:val="center"/>
        <w:rPr>
          <w:rFonts w:hint="eastAsia" w:eastAsia="宋体"/>
          <w:lang w:eastAsia="zh-CN"/>
        </w:rPr>
      </w:pPr>
    </w:p>
    <w:p w14:paraId="11AED7AA">
      <w:pPr>
        <w:pStyle w:val="11"/>
        <w:spacing w:before="120"/>
        <w:ind w:left="2167" w:right="1470" w:hanging="697"/>
        <w:jc w:val="center"/>
        <w:rPr>
          <w:rFonts w:hint="eastAsia" w:eastAsia="宋体"/>
          <w:lang w:eastAsia="zh-CN"/>
        </w:rPr>
      </w:pPr>
    </w:p>
    <w:p w14:paraId="328278FF">
      <w:pPr>
        <w:pStyle w:val="11"/>
        <w:spacing w:before="120"/>
        <w:ind w:left="2167" w:right="1470" w:hanging="697"/>
        <w:jc w:val="center"/>
      </w:pPr>
    </w:p>
    <w:p w14:paraId="794A702C">
      <w:pPr>
        <w:pStyle w:val="11"/>
        <w:spacing w:before="120"/>
        <w:ind w:left="2167" w:right="1470" w:hanging="697"/>
        <w:jc w:val="center"/>
      </w:pPr>
    </w:p>
    <w:p w14:paraId="2288D3A5">
      <w:pPr>
        <w:pStyle w:val="11"/>
        <w:spacing w:before="120"/>
        <w:ind w:left="2167" w:right="1470" w:hanging="697"/>
        <w:jc w:val="center"/>
      </w:pPr>
    </w:p>
    <w:p w14:paraId="48833DB2">
      <w:pPr>
        <w:pStyle w:val="11"/>
        <w:spacing w:before="120"/>
        <w:ind w:left="2167" w:right="1470" w:hanging="697"/>
        <w:jc w:val="center"/>
      </w:pPr>
    </w:p>
    <w:p w14:paraId="70717B18">
      <w:pPr>
        <w:pStyle w:val="11"/>
        <w:spacing w:before="120"/>
        <w:ind w:left="2167" w:right="1470" w:hanging="697"/>
        <w:jc w:val="center"/>
      </w:pPr>
    </w:p>
    <w:p w14:paraId="2CC83FB4">
      <w:pPr>
        <w:pStyle w:val="11"/>
        <w:spacing w:before="120"/>
        <w:ind w:left="2167" w:right="1470" w:hanging="697"/>
        <w:jc w:val="center"/>
      </w:pPr>
    </w:p>
    <w:p w14:paraId="2F3CBF92">
      <w:pPr>
        <w:pStyle w:val="11"/>
        <w:spacing w:before="120"/>
        <w:ind w:left="2167" w:right="1470" w:hanging="697"/>
        <w:jc w:val="center"/>
      </w:pPr>
    </w:p>
    <w:p w14:paraId="19456FFA">
      <w:pPr>
        <w:pStyle w:val="11"/>
        <w:spacing w:before="120"/>
        <w:ind w:left="2167" w:right="1470" w:hanging="697"/>
        <w:jc w:val="center"/>
        <w:rPr>
          <w:rFonts w:hint="eastAsia" w:eastAsia="宋体"/>
          <w:lang w:eastAsia="zh-CN"/>
        </w:rPr>
      </w:pPr>
    </w:p>
    <w:p w14:paraId="11F0F260">
      <w:pPr>
        <w:pStyle w:val="11"/>
        <w:spacing w:before="120"/>
        <w:ind w:left="2167" w:right="1470" w:hanging="697"/>
        <w:jc w:val="center"/>
        <w:rPr>
          <w:rFonts w:hint="eastAsia" w:eastAsia="宋体"/>
          <w:lang w:eastAsia="zh-CN"/>
        </w:rPr>
      </w:pPr>
    </w:p>
    <w:p w14:paraId="2F2F7CE3">
      <w:pPr>
        <w:pStyle w:val="11"/>
        <w:spacing w:before="120"/>
        <w:ind w:left="2167" w:right="1470" w:hanging="697"/>
        <w:jc w:val="center"/>
        <w:rPr>
          <w:rFonts w:hint="eastAsia" w:eastAsia="宋体"/>
          <w:lang w:eastAsia="zh-CN"/>
        </w:rPr>
      </w:pPr>
    </w:p>
    <w:p w14:paraId="7420075E">
      <w:pPr>
        <w:pStyle w:val="11"/>
        <w:spacing w:before="120"/>
        <w:ind w:left="2167" w:right="1470" w:hanging="697"/>
        <w:jc w:val="center"/>
        <w:rPr>
          <w:rFonts w:hint="eastAsia" w:eastAsia="宋体"/>
          <w:lang w:eastAsia="zh-CN"/>
        </w:rPr>
      </w:pPr>
    </w:p>
    <w:p w14:paraId="5A11B52A">
      <w:pPr>
        <w:pStyle w:val="11"/>
        <w:spacing w:before="120"/>
        <w:ind w:left="2167" w:right="1470" w:hanging="697"/>
        <w:jc w:val="center"/>
      </w:pPr>
    </w:p>
    <w:p w14:paraId="0C141E11">
      <w:pPr>
        <w:spacing w:before="312" w:beforeLines="100"/>
        <w:jc w:val="center"/>
        <w:rPr>
          <w:rFonts w:ascii="宋体" w:hAnsi="宋体"/>
          <w:bCs/>
          <w:sz w:val="24"/>
        </w:rPr>
      </w:pPr>
      <w:r>
        <w:rPr>
          <w:rFonts w:hint="eastAsia" w:ascii="宋体" w:hAnsi="宋体"/>
          <w:b/>
          <w:sz w:val="32"/>
          <w:szCs w:val="32"/>
        </w:rPr>
        <w:br w:type="page"/>
      </w:r>
    </w:p>
    <w:p w14:paraId="58750EA4">
      <w:pPr>
        <w:bidi w:val="0"/>
      </w:pPr>
      <w:bookmarkStart w:id="164" w:name="_Toc14447"/>
      <w:bookmarkStart w:id="165" w:name="_Toc11459"/>
      <w:bookmarkStart w:id="166" w:name="_Toc4938"/>
      <w:bookmarkStart w:id="167" w:name="_Toc10722"/>
      <w:r>
        <w:rPr>
          <w:rFonts w:hint="eastAsia"/>
        </w:rPr>
        <w:t>附表1：</w:t>
      </w:r>
    </w:p>
    <w:p w14:paraId="1A425A9B">
      <w:pPr>
        <w:bidi w:val="0"/>
        <w:jc w:val="center"/>
        <w:rPr>
          <w:b/>
          <w:bCs/>
          <w:sz w:val="28"/>
          <w:szCs w:val="36"/>
        </w:rPr>
      </w:pPr>
      <w:r>
        <w:rPr>
          <w:rFonts w:hint="eastAsia"/>
          <w:b/>
          <w:bCs/>
          <w:sz w:val="28"/>
          <w:szCs w:val="36"/>
        </w:rPr>
        <w:t>技术要求偏离表</w:t>
      </w:r>
    </w:p>
    <w:tbl>
      <w:tblPr>
        <w:tblStyle w:val="21"/>
        <w:tblW w:w="916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05"/>
        <w:gridCol w:w="2010"/>
        <w:gridCol w:w="1425"/>
        <w:gridCol w:w="1485"/>
        <w:gridCol w:w="1320"/>
      </w:tblGrid>
      <w:tr w14:paraId="674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7311A678">
            <w:pPr>
              <w:jc w:val="center"/>
              <w:rPr>
                <w:rFonts w:ascii="宋体" w:cs="宋体"/>
                <w:b/>
                <w:szCs w:val="21"/>
              </w:rPr>
            </w:pPr>
            <w:r>
              <w:rPr>
                <w:rFonts w:hint="eastAsia" w:ascii="宋体" w:hAnsi="宋体" w:cs="宋体"/>
                <w:b/>
                <w:szCs w:val="21"/>
              </w:rPr>
              <w:t>序号</w:t>
            </w:r>
          </w:p>
        </w:tc>
        <w:tc>
          <w:tcPr>
            <w:tcW w:w="2205" w:type="dxa"/>
            <w:vAlign w:val="center"/>
          </w:tcPr>
          <w:p w14:paraId="087ECBE0">
            <w:pPr>
              <w:jc w:val="center"/>
              <w:rPr>
                <w:rFonts w:ascii="宋体" w:hAnsi="宋体" w:cs="宋体"/>
                <w:b/>
                <w:szCs w:val="21"/>
              </w:rPr>
            </w:pPr>
            <w:r>
              <w:rPr>
                <w:rFonts w:hint="eastAsia" w:ascii="宋体" w:hAnsi="宋体" w:cs="宋体"/>
                <w:b/>
                <w:szCs w:val="21"/>
              </w:rPr>
              <w:t>招标文件技术要求</w:t>
            </w:r>
          </w:p>
        </w:tc>
        <w:tc>
          <w:tcPr>
            <w:tcW w:w="2010" w:type="dxa"/>
            <w:vAlign w:val="center"/>
          </w:tcPr>
          <w:p w14:paraId="3D17769A">
            <w:pPr>
              <w:jc w:val="center"/>
              <w:rPr>
                <w:rFonts w:ascii="宋体" w:cs="宋体"/>
                <w:b/>
                <w:szCs w:val="21"/>
              </w:rPr>
            </w:pPr>
            <w:r>
              <w:rPr>
                <w:rFonts w:hint="eastAsia" w:ascii="宋体" w:hAnsi="宋体" w:cs="宋体"/>
                <w:b/>
                <w:szCs w:val="21"/>
              </w:rPr>
              <w:t>投标响应</w:t>
            </w:r>
          </w:p>
        </w:tc>
        <w:tc>
          <w:tcPr>
            <w:tcW w:w="1425" w:type="dxa"/>
            <w:vAlign w:val="center"/>
          </w:tcPr>
          <w:p w14:paraId="4FA33EC2">
            <w:pPr>
              <w:jc w:val="center"/>
              <w:rPr>
                <w:rFonts w:ascii="宋体" w:cs="宋体"/>
                <w:b/>
                <w:szCs w:val="21"/>
              </w:rPr>
            </w:pPr>
            <w:r>
              <w:rPr>
                <w:rFonts w:hint="eastAsia" w:ascii="宋体" w:cs="宋体"/>
                <w:b/>
                <w:szCs w:val="21"/>
              </w:rPr>
              <w:t>正负偏离</w:t>
            </w:r>
          </w:p>
        </w:tc>
        <w:tc>
          <w:tcPr>
            <w:tcW w:w="1485" w:type="dxa"/>
            <w:vAlign w:val="center"/>
          </w:tcPr>
          <w:p w14:paraId="35A16273">
            <w:pPr>
              <w:jc w:val="center"/>
              <w:rPr>
                <w:rFonts w:ascii="宋体" w:cs="宋体"/>
                <w:b/>
                <w:szCs w:val="21"/>
              </w:rPr>
            </w:pPr>
            <w:r>
              <w:rPr>
                <w:rFonts w:hint="eastAsia" w:ascii="宋体" w:cs="宋体"/>
                <w:b/>
                <w:szCs w:val="21"/>
              </w:rPr>
              <w:t>偏离说明</w:t>
            </w:r>
          </w:p>
        </w:tc>
        <w:tc>
          <w:tcPr>
            <w:tcW w:w="1320" w:type="dxa"/>
            <w:vAlign w:val="center"/>
          </w:tcPr>
          <w:p w14:paraId="712AD70A">
            <w:pPr>
              <w:jc w:val="center"/>
              <w:rPr>
                <w:rFonts w:hint="default" w:ascii="宋体" w:eastAsia="宋体" w:cs="宋体"/>
                <w:b/>
                <w:szCs w:val="21"/>
                <w:lang w:val="en-US" w:eastAsia="zh-CN"/>
              </w:rPr>
            </w:pPr>
            <w:r>
              <w:rPr>
                <w:rFonts w:hint="eastAsia" w:ascii="宋体" w:cs="宋体"/>
                <w:b/>
                <w:szCs w:val="21"/>
                <w:lang w:val="en-US" w:eastAsia="zh-CN"/>
              </w:rPr>
              <w:t>页码范围</w:t>
            </w:r>
          </w:p>
        </w:tc>
      </w:tr>
      <w:tr w14:paraId="328C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7B5BE05D">
            <w:pPr>
              <w:jc w:val="center"/>
              <w:rPr>
                <w:rFonts w:ascii="宋体" w:cs="宋体"/>
                <w:szCs w:val="21"/>
              </w:rPr>
            </w:pPr>
          </w:p>
        </w:tc>
        <w:tc>
          <w:tcPr>
            <w:tcW w:w="2205" w:type="dxa"/>
            <w:vAlign w:val="center"/>
          </w:tcPr>
          <w:p w14:paraId="57BE5768">
            <w:pPr>
              <w:jc w:val="center"/>
              <w:rPr>
                <w:rFonts w:ascii="宋体" w:cs="宋体"/>
                <w:szCs w:val="21"/>
              </w:rPr>
            </w:pPr>
          </w:p>
        </w:tc>
        <w:tc>
          <w:tcPr>
            <w:tcW w:w="2010" w:type="dxa"/>
            <w:vAlign w:val="center"/>
          </w:tcPr>
          <w:p w14:paraId="70E0DCC7">
            <w:pPr>
              <w:jc w:val="center"/>
              <w:rPr>
                <w:rFonts w:ascii="宋体" w:cs="宋体"/>
                <w:szCs w:val="21"/>
              </w:rPr>
            </w:pPr>
          </w:p>
        </w:tc>
        <w:tc>
          <w:tcPr>
            <w:tcW w:w="1425" w:type="dxa"/>
            <w:vAlign w:val="center"/>
          </w:tcPr>
          <w:p w14:paraId="15F28A94">
            <w:pPr>
              <w:jc w:val="center"/>
              <w:rPr>
                <w:rFonts w:ascii="宋体" w:cs="宋体"/>
                <w:szCs w:val="21"/>
              </w:rPr>
            </w:pPr>
          </w:p>
        </w:tc>
        <w:tc>
          <w:tcPr>
            <w:tcW w:w="1485" w:type="dxa"/>
            <w:vAlign w:val="center"/>
          </w:tcPr>
          <w:p w14:paraId="320696F7">
            <w:pPr>
              <w:jc w:val="center"/>
              <w:rPr>
                <w:rFonts w:ascii="宋体" w:cs="宋体"/>
                <w:szCs w:val="21"/>
              </w:rPr>
            </w:pPr>
          </w:p>
        </w:tc>
        <w:tc>
          <w:tcPr>
            <w:tcW w:w="1320" w:type="dxa"/>
            <w:vAlign w:val="center"/>
          </w:tcPr>
          <w:p w14:paraId="3BF367B5">
            <w:pPr>
              <w:jc w:val="center"/>
              <w:rPr>
                <w:rFonts w:ascii="宋体" w:cs="宋体"/>
                <w:szCs w:val="21"/>
              </w:rPr>
            </w:pPr>
          </w:p>
        </w:tc>
      </w:tr>
      <w:tr w14:paraId="0D27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3DF07757">
            <w:pPr>
              <w:jc w:val="center"/>
              <w:rPr>
                <w:rFonts w:ascii="宋体" w:cs="宋体"/>
                <w:szCs w:val="21"/>
              </w:rPr>
            </w:pPr>
          </w:p>
        </w:tc>
        <w:tc>
          <w:tcPr>
            <w:tcW w:w="2205" w:type="dxa"/>
            <w:vAlign w:val="center"/>
          </w:tcPr>
          <w:p w14:paraId="74469A52">
            <w:pPr>
              <w:jc w:val="center"/>
              <w:rPr>
                <w:rFonts w:ascii="宋体" w:cs="宋体"/>
                <w:szCs w:val="21"/>
              </w:rPr>
            </w:pPr>
          </w:p>
        </w:tc>
        <w:tc>
          <w:tcPr>
            <w:tcW w:w="2010" w:type="dxa"/>
            <w:vAlign w:val="center"/>
          </w:tcPr>
          <w:p w14:paraId="506B6529">
            <w:pPr>
              <w:jc w:val="center"/>
              <w:rPr>
                <w:rFonts w:ascii="宋体" w:cs="宋体"/>
                <w:szCs w:val="21"/>
              </w:rPr>
            </w:pPr>
          </w:p>
        </w:tc>
        <w:tc>
          <w:tcPr>
            <w:tcW w:w="1425" w:type="dxa"/>
            <w:vAlign w:val="center"/>
          </w:tcPr>
          <w:p w14:paraId="59BB66B0">
            <w:pPr>
              <w:jc w:val="center"/>
              <w:rPr>
                <w:rFonts w:ascii="宋体" w:cs="宋体"/>
                <w:szCs w:val="21"/>
              </w:rPr>
            </w:pPr>
          </w:p>
        </w:tc>
        <w:tc>
          <w:tcPr>
            <w:tcW w:w="1485" w:type="dxa"/>
            <w:vAlign w:val="center"/>
          </w:tcPr>
          <w:p w14:paraId="651CFD91">
            <w:pPr>
              <w:jc w:val="center"/>
              <w:rPr>
                <w:rFonts w:ascii="宋体" w:cs="宋体"/>
                <w:szCs w:val="21"/>
              </w:rPr>
            </w:pPr>
          </w:p>
        </w:tc>
        <w:tc>
          <w:tcPr>
            <w:tcW w:w="1320" w:type="dxa"/>
            <w:vAlign w:val="center"/>
          </w:tcPr>
          <w:p w14:paraId="7E799005">
            <w:pPr>
              <w:jc w:val="center"/>
              <w:rPr>
                <w:rFonts w:ascii="宋体" w:cs="宋体"/>
                <w:szCs w:val="21"/>
              </w:rPr>
            </w:pPr>
          </w:p>
        </w:tc>
      </w:tr>
      <w:tr w14:paraId="3A96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E6014A4">
            <w:pPr>
              <w:jc w:val="center"/>
              <w:rPr>
                <w:rFonts w:ascii="宋体" w:cs="宋体"/>
                <w:szCs w:val="21"/>
              </w:rPr>
            </w:pPr>
          </w:p>
        </w:tc>
        <w:tc>
          <w:tcPr>
            <w:tcW w:w="2205" w:type="dxa"/>
            <w:vAlign w:val="center"/>
          </w:tcPr>
          <w:p w14:paraId="5ABB623E">
            <w:pPr>
              <w:jc w:val="center"/>
              <w:rPr>
                <w:rFonts w:ascii="宋体" w:cs="宋体"/>
                <w:szCs w:val="21"/>
              </w:rPr>
            </w:pPr>
          </w:p>
        </w:tc>
        <w:tc>
          <w:tcPr>
            <w:tcW w:w="2010" w:type="dxa"/>
            <w:vAlign w:val="center"/>
          </w:tcPr>
          <w:p w14:paraId="731B4EFB">
            <w:pPr>
              <w:jc w:val="center"/>
              <w:rPr>
                <w:rFonts w:ascii="宋体" w:cs="宋体"/>
                <w:szCs w:val="21"/>
              </w:rPr>
            </w:pPr>
          </w:p>
        </w:tc>
        <w:tc>
          <w:tcPr>
            <w:tcW w:w="1425" w:type="dxa"/>
            <w:vAlign w:val="center"/>
          </w:tcPr>
          <w:p w14:paraId="2AEB6724">
            <w:pPr>
              <w:jc w:val="center"/>
              <w:rPr>
                <w:rFonts w:ascii="宋体" w:cs="宋体"/>
                <w:szCs w:val="21"/>
              </w:rPr>
            </w:pPr>
          </w:p>
        </w:tc>
        <w:tc>
          <w:tcPr>
            <w:tcW w:w="1485" w:type="dxa"/>
            <w:vAlign w:val="center"/>
          </w:tcPr>
          <w:p w14:paraId="5768D859">
            <w:pPr>
              <w:jc w:val="center"/>
              <w:rPr>
                <w:rFonts w:ascii="宋体" w:cs="宋体"/>
                <w:szCs w:val="21"/>
              </w:rPr>
            </w:pPr>
          </w:p>
        </w:tc>
        <w:tc>
          <w:tcPr>
            <w:tcW w:w="1320" w:type="dxa"/>
            <w:vAlign w:val="center"/>
          </w:tcPr>
          <w:p w14:paraId="4560DAD0">
            <w:pPr>
              <w:jc w:val="center"/>
              <w:rPr>
                <w:rFonts w:ascii="宋体" w:cs="宋体"/>
                <w:szCs w:val="21"/>
              </w:rPr>
            </w:pPr>
          </w:p>
        </w:tc>
      </w:tr>
      <w:tr w14:paraId="1698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261232DD">
            <w:pPr>
              <w:jc w:val="center"/>
              <w:rPr>
                <w:rFonts w:ascii="宋体" w:cs="宋体"/>
                <w:szCs w:val="21"/>
              </w:rPr>
            </w:pPr>
          </w:p>
        </w:tc>
        <w:tc>
          <w:tcPr>
            <w:tcW w:w="2205" w:type="dxa"/>
            <w:vAlign w:val="center"/>
          </w:tcPr>
          <w:p w14:paraId="22102D4E">
            <w:pPr>
              <w:jc w:val="center"/>
              <w:rPr>
                <w:rFonts w:ascii="宋体" w:cs="宋体"/>
                <w:szCs w:val="21"/>
              </w:rPr>
            </w:pPr>
          </w:p>
        </w:tc>
        <w:tc>
          <w:tcPr>
            <w:tcW w:w="2010" w:type="dxa"/>
            <w:vAlign w:val="center"/>
          </w:tcPr>
          <w:p w14:paraId="7B8811DB">
            <w:pPr>
              <w:jc w:val="center"/>
              <w:rPr>
                <w:rFonts w:ascii="宋体" w:cs="宋体"/>
                <w:szCs w:val="21"/>
              </w:rPr>
            </w:pPr>
          </w:p>
        </w:tc>
        <w:tc>
          <w:tcPr>
            <w:tcW w:w="1425" w:type="dxa"/>
            <w:vAlign w:val="center"/>
          </w:tcPr>
          <w:p w14:paraId="27D0AD75">
            <w:pPr>
              <w:jc w:val="center"/>
              <w:rPr>
                <w:rFonts w:ascii="宋体" w:cs="宋体"/>
                <w:szCs w:val="21"/>
              </w:rPr>
            </w:pPr>
          </w:p>
        </w:tc>
        <w:tc>
          <w:tcPr>
            <w:tcW w:w="1485" w:type="dxa"/>
            <w:vAlign w:val="center"/>
          </w:tcPr>
          <w:p w14:paraId="50755100">
            <w:pPr>
              <w:jc w:val="center"/>
              <w:rPr>
                <w:rFonts w:ascii="宋体" w:cs="宋体"/>
                <w:szCs w:val="21"/>
              </w:rPr>
            </w:pPr>
          </w:p>
        </w:tc>
        <w:tc>
          <w:tcPr>
            <w:tcW w:w="1320" w:type="dxa"/>
            <w:vAlign w:val="center"/>
          </w:tcPr>
          <w:p w14:paraId="44726290">
            <w:pPr>
              <w:jc w:val="center"/>
              <w:rPr>
                <w:rFonts w:ascii="宋体" w:cs="宋体"/>
                <w:szCs w:val="21"/>
              </w:rPr>
            </w:pPr>
          </w:p>
        </w:tc>
      </w:tr>
      <w:tr w14:paraId="4D7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B9A56DB">
            <w:pPr>
              <w:jc w:val="center"/>
              <w:rPr>
                <w:rFonts w:ascii="宋体" w:cs="宋体"/>
                <w:szCs w:val="21"/>
              </w:rPr>
            </w:pPr>
          </w:p>
        </w:tc>
        <w:tc>
          <w:tcPr>
            <w:tcW w:w="2205" w:type="dxa"/>
            <w:vAlign w:val="center"/>
          </w:tcPr>
          <w:p w14:paraId="63AEA3B5">
            <w:pPr>
              <w:jc w:val="center"/>
              <w:rPr>
                <w:rFonts w:ascii="宋体" w:cs="宋体"/>
                <w:szCs w:val="21"/>
              </w:rPr>
            </w:pPr>
          </w:p>
        </w:tc>
        <w:tc>
          <w:tcPr>
            <w:tcW w:w="2010" w:type="dxa"/>
            <w:vAlign w:val="center"/>
          </w:tcPr>
          <w:p w14:paraId="1C47822D">
            <w:pPr>
              <w:jc w:val="center"/>
              <w:rPr>
                <w:rFonts w:ascii="宋体" w:cs="宋体"/>
                <w:szCs w:val="21"/>
              </w:rPr>
            </w:pPr>
          </w:p>
        </w:tc>
        <w:tc>
          <w:tcPr>
            <w:tcW w:w="1425" w:type="dxa"/>
            <w:vAlign w:val="center"/>
          </w:tcPr>
          <w:p w14:paraId="4EE8E31D">
            <w:pPr>
              <w:jc w:val="center"/>
              <w:rPr>
                <w:rFonts w:ascii="宋体" w:cs="宋体"/>
                <w:szCs w:val="21"/>
              </w:rPr>
            </w:pPr>
          </w:p>
        </w:tc>
        <w:tc>
          <w:tcPr>
            <w:tcW w:w="1485" w:type="dxa"/>
            <w:vAlign w:val="center"/>
          </w:tcPr>
          <w:p w14:paraId="0A1DF1B6">
            <w:pPr>
              <w:jc w:val="center"/>
              <w:rPr>
                <w:rFonts w:ascii="宋体" w:cs="宋体"/>
                <w:szCs w:val="21"/>
              </w:rPr>
            </w:pPr>
          </w:p>
        </w:tc>
        <w:tc>
          <w:tcPr>
            <w:tcW w:w="1320" w:type="dxa"/>
            <w:vAlign w:val="center"/>
          </w:tcPr>
          <w:p w14:paraId="406E89B8">
            <w:pPr>
              <w:jc w:val="center"/>
              <w:rPr>
                <w:rFonts w:ascii="宋体" w:cs="宋体"/>
                <w:szCs w:val="21"/>
              </w:rPr>
            </w:pPr>
          </w:p>
        </w:tc>
      </w:tr>
      <w:tr w14:paraId="37CC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B6A2536">
            <w:pPr>
              <w:jc w:val="center"/>
              <w:rPr>
                <w:rFonts w:ascii="宋体" w:cs="宋体"/>
                <w:szCs w:val="21"/>
              </w:rPr>
            </w:pPr>
          </w:p>
        </w:tc>
        <w:tc>
          <w:tcPr>
            <w:tcW w:w="2205" w:type="dxa"/>
            <w:vAlign w:val="center"/>
          </w:tcPr>
          <w:p w14:paraId="4CF52556">
            <w:pPr>
              <w:jc w:val="center"/>
              <w:rPr>
                <w:rFonts w:ascii="宋体" w:cs="宋体"/>
                <w:szCs w:val="21"/>
              </w:rPr>
            </w:pPr>
          </w:p>
        </w:tc>
        <w:tc>
          <w:tcPr>
            <w:tcW w:w="2010" w:type="dxa"/>
            <w:vAlign w:val="center"/>
          </w:tcPr>
          <w:p w14:paraId="0F3FCC02">
            <w:pPr>
              <w:jc w:val="center"/>
              <w:rPr>
                <w:rFonts w:ascii="宋体" w:cs="宋体"/>
                <w:szCs w:val="21"/>
              </w:rPr>
            </w:pPr>
          </w:p>
        </w:tc>
        <w:tc>
          <w:tcPr>
            <w:tcW w:w="1425" w:type="dxa"/>
            <w:vAlign w:val="center"/>
          </w:tcPr>
          <w:p w14:paraId="29A02406">
            <w:pPr>
              <w:jc w:val="center"/>
              <w:rPr>
                <w:rFonts w:ascii="宋体" w:cs="宋体"/>
                <w:szCs w:val="21"/>
              </w:rPr>
            </w:pPr>
          </w:p>
        </w:tc>
        <w:tc>
          <w:tcPr>
            <w:tcW w:w="1485" w:type="dxa"/>
            <w:vAlign w:val="center"/>
          </w:tcPr>
          <w:p w14:paraId="019CCF36">
            <w:pPr>
              <w:jc w:val="center"/>
              <w:rPr>
                <w:rFonts w:ascii="宋体" w:cs="宋体"/>
                <w:szCs w:val="21"/>
              </w:rPr>
            </w:pPr>
          </w:p>
        </w:tc>
        <w:tc>
          <w:tcPr>
            <w:tcW w:w="1320" w:type="dxa"/>
            <w:vAlign w:val="center"/>
          </w:tcPr>
          <w:p w14:paraId="0F5B6253">
            <w:pPr>
              <w:jc w:val="center"/>
              <w:rPr>
                <w:rFonts w:ascii="宋体" w:cs="宋体"/>
                <w:szCs w:val="21"/>
              </w:rPr>
            </w:pPr>
          </w:p>
        </w:tc>
      </w:tr>
      <w:tr w14:paraId="167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36DAC3C7">
            <w:pPr>
              <w:jc w:val="center"/>
              <w:rPr>
                <w:rFonts w:ascii="宋体" w:cs="宋体"/>
                <w:szCs w:val="21"/>
              </w:rPr>
            </w:pPr>
          </w:p>
        </w:tc>
        <w:tc>
          <w:tcPr>
            <w:tcW w:w="2205" w:type="dxa"/>
            <w:vAlign w:val="center"/>
          </w:tcPr>
          <w:p w14:paraId="6FCD7E29">
            <w:pPr>
              <w:jc w:val="center"/>
              <w:rPr>
                <w:rFonts w:ascii="宋体" w:cs="宋体"/>
                <w:szCs w:val="21"/>
              </w:rPr>
            </w:pPr>
          </w:p>
        </w:tc>
        <w:tc>
          <w:tcPr>
            <w:tcW w:w="2010" w:type="dxa"/>
            <w:vAlign w:val="center"/>
          </w:tcPr>
          <w:p w14:paraId="7B5DBB3C">
            <w:pPr>
              <w:jc w:val="center"/>
              <w:rPr>
                <w:rFonts w:ascii="宋体" w:cs="宋体"/>
                <w:szCs w:val="21"/>
              </w:rPr>
            </w:pPr>
          </w:p>
        </w:tc>
        <w:tc>
          <w:tcPr>
            <w:tcW w:w="1425" w:type="dxa"/>
            <w:vAlign w:val="center"/>
          </w:tcPr>
          <w:p w14:paraId="263E6E9D">
            <w:pPr>
              <w:jc w:val="center"/>
              <w:rPr>
                <w:rFonts w:ascii="宋体" w:cs="宋体"/>
                <w:szCs w:val="21"/>
              </w:rPr>
            </w:pPr>
          </w:p>
        </w:tc>
        <w:tc>
          <w:tcPr>
            <w:tcW w:w="1485" w:type="dxa"/>
            <w:vAlign w:val="center"/>
          </w:tcPr>
          <w:p w14:paraId="467DF53A">
            <w:pPr>
              <w:jc w:val="center"/>
              <w:rPr>
                <w:rFonts w:ascii="宋体" w:cs="宋体"/>
                <w:szCs w:val="21"/>
              </w:rPr>
            </w:pPr>
          </w:p>
        </w:tc>
        <w:tc>
          <w:tcPr>
            <w:tcW w:w="1320" w:type="dxa"/>
            <w:vAlign w:val="center"/>
          </w:tcPr>
          <w:p w14:paraId="3477DF48">
            <w:pPr>
              <w:jc w:val="center"/>
              <w:rPr>
                <w:rFonts w:ascii="宋体" w:cs="宋体"/>
                <w:szCs w:val="21"/>
              </w:rPr>
            </w:pPr>
          </w:p>
        </w:tc>
      </w:tr>
      <w:tr w14:paraId="6273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51CE6BB5">
            <w:pPr>
              <w:jc w:val="center"/>
              <w:rPr>
                <w:rFonts w:ascii="宋体" w:cs="宋体"/>
                <w:szCs w:val="21"/>
              </w:rPr>
            </w:pPr>
          </w:p>
        </w:tc>
        <w:tc>
          <w:tcPr>
            <w:tcW w:w="2205" w:type="dxa"/>
            <w:vAlign w:val="center"/>
          </w:tcPr>
          <w:p w14:paraId="20EA1DE1">
            <w:pPr>
              <w:jc w:val="center"/>
              <w:rPr>
                <w:rFonts w:ascii="宋体" w:cs="宋体"/>
                <w:szCs w:val="21"/>
              </w:rPr>
            </w:pPr>
          </w:p>
        </w:tc>
        <w:tc>
          <w:tcPr>
            <w:tcW w:w="2010" w:type="dxa"/>
            <w:vAlign w:val="center"/>
          </w:tcPr>
          <w:p w14:paraId="0D51FD7F">
            <w:pPr>
              <w:jc w:val="center"/>
              <w:rPr>
                <w:rFonts w:ascii="宋体" w:cs="宋体"/>
                <w:szCs w:val="21"/>
              </w:rPr>
            </w:pPr>
          </w:p>
        </w:tc>
        <w:tc>
          <w:tcPr>
            <w:tcW w:w="1425" w:type="dxa"/>
            <w:vAlign w:val="center"/>
          </w:tcPr>
          <w:p w14:paraId="271F7B7A">
            <w:pPr>
              <w:jc w:val="center"/>
              <w:rPr>
                <w:rFonts w:ascii="宋体" w:cs="宋体"/>
                <w:szCs w:val="21"/>
              </w:rPr>
            </w:pPr>
          </w:p>
        </w:tc>
        <w:tc>
          <w:tcPr>
            <w:tcW w:w="1485" w:type="dxa"/>
            <w:vAlign w:val="center"/>
          </w:tcPr>
          <w:p w14:paraId="7F208C62">
            <w:pPr>
              <w:jc w:val="center"/>
              <w:rPr>
                <w:rFonts w:ascii="宋体" w:cs="宋体"/>
                <w:szCs w:val="21"/>
              </w:rPr>
            </w:pPr>
          </w:p>
        </w:tc>
        <w:tc>
          <w:tcPr>
            <w:tcW w:w="1320" w:type="dxa"/>
            <w:vAlign w:val="center"/>
          </w:tcPr>
          <w:p w14:paraId="07C8E9E1">
            <w:pPr>
              <w:jc w:val="center"/>
              <w:rPr>
                <w:rFonts w:ascii="宋体" w:cs="宋体"/>
                <w:szCs w:val="21"/>
              </w:rPr>
            </w:pPr>
          </w:p>
        </w:tc>
      </w:tr>
      <w:tr w14:paraId="2B70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226540A">
            <w:pPr>
              <w:jc w:val="center"/>
              <w:rPr>
                <w:rFonts w:ascii="宋体" w:cs="宋体"/>
                <w:szCs w:val="21"/>
              </w:rPr>
            </w:pPr>
          </w:p>
        </w:tc>
        <w:tc>
          <w:tcPr>
            <w:tcW w:w="2205" w:type="dxa"/>
            <w:vAlign w:val="center"/>
          </w:tcPr>
          <w:p w14:paraId="618488B8">
            <w:pPr>
              <w:jc w:val="center"/>
              <w:rPr>
                <w:rFonts w:ascii="宋体" w:cs="宋体"/>
                <w:szCs w:val="21"/>
              </w:rPr>
            </w:pPr>
          </w:p>
        </w:tc>
        <w:tc>
          <w:tcPr>
            <w:tcW w:w="2010" w:type="dxa"/>
            <w:vAlign w:val="center"/>
          </w:tcPr>
          <w:p w14:paraId="27B7B6B9">
            <w:pPr>
              <w:jc w:val="center"/>
              <w:rPr>
                <w:rFonts w:ascii="宋体" w:cs="宋体"/>
                <w:szCs w:val="21"/>
              </w:rPr>
            </w:pPr>
          </w:p>
        </w:tc>
        <w:tc>
          <w:tcPr>
            <w:tcW w:w="1425" w:type="dxa"/>
            <w:vAlign w:val="center"/>
          </w:tcPr>
          <w:p w14:paraId="1DEEFE81">
            <w:pPr>
              <w:jc w:val="center"/>
              <w:rPr>
                <w:rFonts w:ascii="宋体" w:cs="宋体"/>
                <w:szCs w:val="21"/>
              </w:rPr>
            </w:pPr>
          </w:p>
        </w:tc>
        <w:tc>
          <w:tcPr>
            <w:tcW w:w="1485" w:type="dxa"/>
            <w:vAlign w:val="center"/>
          </w:tcPr>
          <w:p w14:paraId="4FDC828A">
            <w:pPr>
              <w:jc w:val="center"/>
              <w:rPr>
                <w:rFonts w:ascii="宋体" w:cs="宋体"/>
                <w:szCs w:val="21"/>
              </w:rPr>
            </w:pPr>
          </w:p>
        </w:tc>
        <w:tc>
          <w:tcPr>
            <w:tcW w:w="1320" w:type="dxa"/>
            <w:vAlign w:val="center"/>
          </w:tcPr>
          <w:p w14:paraId="10D81F97">
            <w:pPr>
              <w:jc w:val="center"/>
              <w:rPr>
                <w:rFonts w:ascii="宋体" w:cs="宋体"/>
                <w:szCs w:val="21"/>
              </w:rPr>
            </w:pPr>
          </w:p>
        </w:tc>
      </w:tr>
      <w:tr w14:paraId="0C4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0" w:type="dxa"/>
            <w:vAlign w:val="center"/>
          </w:tcPr>
          <w:p w14:paraId="7C2F4FFA">
            <w:pPr>
              <w:jc w:val="center"/>
              <w:rPr>
                <w:rFonts w:ascii="宋体" w:cs="宋体"/>
                <w:szCs w:val="21"/>
              </w:rPr>
            </w:pPr>
          </w:p>
        </w:tc>
        <w:tc>
          <w:tcPr>
            <w:tcW w:w="2205" w:type="dxa"/>
            <w:vAlign w:val="center"/>
          </w:tcPr>
          <w:p w14:paraId="4AAF84CD">
            <w:pPr>
              <w:jc w:val="center"/>
              <w:rPr>
                <w:rFonts w:ascii="宋体" w:cs="宋体"/>
                <w:szCs w:val="21"/>
              </w:rPr>
            </w:pPr>
          </w:p>
        </w:tc>
        <w:tc>
          <w:tcPr>
            <w:tcW w:w="2010" w:type="dxa"/>
            <w:vAlign w:val="center"/>
          </w:tcPr>
          <w:p w14:paraId="312AE833">
            <w:pPr>
              <w:jc w:val="center"/>
              <w:rPr>
                <w:rFonts w:ascii="宋体" w:cs="宋体"/>
                <w:szCs w:val="21"/>
              </w:rPr>
            </w:pPr>
          </w:p>
        </w:tc>
        <w:tc>
          <w:tcPr>
            <w:tcW w:w="1425" w:type="dxa"/>
            <w:vAlign w:val="center"/>
          </w:tcPr>
          <w:p w14:paraId="28E5523F">
            <w:pPr>
              <w:jc w:val="center"/>
              <w:rPr>
                <w:rFonts w:ascii="宋体" w:cs="宋体"/>
                <w:szCs w:val="21"/>
              </w:rPr>
            </w:pPr>
          </w:p>
        </w:tc>
        <w:tc>
          <w:tcPr>
            <w:tcW w:w="1485" w:type="dxa"/>
            <w:vAlign w:val="center"/>
          </w:tcPr>
          <w:p w14:paraId="26804C26">
            <w:pPr>
              <w:jc w:val="center"/>
              <w:rPr>
                <w:rFonts w:ascii="宋体" w:cs="宋体"/>
                <w:szCs w:val="21"/>
              </w:rPr>
            </w:pPr>
          </w:p>
        </w:tc>
        <w:tc>
          <w:tcPr>
            <w:tcW w:w="1320" w:type="dxa"/>
            <w:vAlign w:val="center"/>
          </w:tcPr>
          <w:p w14:paraId="72CAB2BC">
            <w:pPr>
              <w:jc w:val="center"/>
              <w:rPr>
                <w:rFonts w:ascii="宋体" w:cs="宋体"/>
                <w:szCs w:val="21"/>
              </w:rPr>
            </w:pPr>
          </w:p>
        </w:tc>
      </w:tr>
    </w:tbl>
    <w:p w14:paraId="7668C7B9">
      <w:pPr>
        <w:spacing w:line="400" w:lineRule="exact"/>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rPr>
        <w:t>注：1、本表应严格按照“第四章 采购内容及要求”中采购的</w:t>
      </w:r>
      <w:r>
        <w:rPr>
          <w:rFonts w:hint="eastAsia" w:ascii="宋体" w:hAnsi="宋体" w:cs="宋体"/>
          <w:color w:val="000000"/>
          <w:szCs w:val="21"/>
          <w:lang w:val="en-US" w:eastAsia="zh-CN"/>
        </w:rPr>
        <w:t>产品</w:t>
      </w:r>
      <w:r>
        <w:rPr>
          <w:rFonts w:hint="eastAsia" w:ascii="宋体" w:hAnsi="宋体" w:cs="宋体"/>
          <w:color w:val="000000"/>
          <w:szCs w:val="21"/>
        </w:rPr>
        <w:t>内容填写；“招标文件技术要求”须按招标文件的技术参数填写；“投标响应”为投标人所提供的</w:t>
      </w:r>
      <w:r>
        <w:rPr>
          <w:rFonts w:hint="eastAsia" w:ascii="宋体" w:hAnsi="宋体" w:cs="宋体"/>
          <w:color w:val="000000"/>
          <w:szCs w:val="21"/>
          <w:lang w:val="en-US" w:eastAsia="zh-CN"/>
        </w:rPr>
        <w:t>产品</w:t>
      </w:r>
      <w:r>
        <w:rPr>
          <w:rFonts w:hint="eastAsia" w:ascii="宋体" w:hAnsi="宋体" w:cs="宋体"/>
          <w:color w:val="000000"/>
          <w:szCs w:val="21"/>
        </w:rPr>
        <w:t>内容；“正负偏离”填写：</w:t>
      </w:r>
      <w:r>
        <w:rPr>
          <w:rFonts w:hint="eastAsia" w:ascii="宋体" w:hAnsi="宋体" w:cs="宋体"/>
          <w:color w:val="000000"/>
          <w:szCs w:val="21"/>
          <w:lang w:val="en-US" w:eastAsia="zh-CN"/>
        </w:rPr>
        <w:t>正偏离</w:t>
      </w:r>
      <w:r>
        <w:rPr>
          <w:rFonts w:hint="eastAsia" w:ascii="宋体" w:hAnsi="宋体" w:cs="宋体"/>
          <w:color w:val="000000"/>
          <w:szCs w:val="21"/>
        </w:rPr>
        <w:t>或</w:t>
      </w:r>
      <w:r>
        <w:rPr>
          <w:rFonts w:hint="eastAsia" w:ascii="宋体" w:hAnsi="宋体" w:cs="宋体"/>
          <w:color w:val="000000"/>
          <w:szCs w:val="21"/>
          <w:lang w:val="en-US" w:eastAsia="zh-CN"/>
        </w:rPr>
        <w:t>负偏离或响应</w:t>
      </w:r>
      <w:r>
        <w:rPr>
          <w:rFonts w:hint="eastAsia" w:ascii="宋体" w:hAnsi="宋体" w:cs="宋体"/>
          <w:color w:val="000000"/>
          <w:szCs w:val="21"/>
        </w:rPr>
        <w:t>。如偏离请在“偏离说明”中进行相应的说明，并按招标文件要求附相应的证明材料。</w:t>
      </w:r>
    </w:p>
    <w:p w14:paraId="5A7B88A1">
      <w:pPr>
        <w:spacing w:line="400" w:lineRule="exact"/>
        <w:ind w:firstLine="420" w:firstLineChars="200"/>
        <w:jc w:val="left"/>
        <w:rPr>
          <w:rFonts w:ascii="宋体" w:cs="宋体"/>
          <w:szCs w:val="21"/>
        </w:rPr>
      </w:pPr>
      <w:r>
        <w:rPr>
          <w:rFonts w:hint="eastAsia" w:ascii="宋体" w:hAnsi="宋体" w:cs="宋体"/>
          <w:color w:val="000000"/>
          <w:szCs w:val="21"/>
        </w:rPr>
        <w:t>2、投标人必须据实填写，不得虚假响应，否则将取消其投标或中标资格，并按有关规定进行处罚。</w:t>
      </w:r>
    </w:p>
    <w:p w14:paraId="2A4A4FFA">
      <w:pPr>
        <w:pStyle w:val="26"/>
        <w:rPr>
          <w:rFonts w:ascii="宋体" w:cs="宋体"/>
          <w:szCs w:val="21"/>
        </w:rPr>
      </w:pPr>
    </w:p>
    <w:p w14:paraId="0EA8E090">
      <w:pPr>
        <w:pStyle w:val="26"/>
        <w:rPr>
          <w:rFonts w:ascii="宋体" w:cs="宋体"/>
          <w:szCs w:val="21"/>
        </w:rPr>
      </w:pPr>
    </w:p>
    <w:p w14:paraId="529B473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FDED3EE">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5D9C3F">
      <w:pPr>
        <w:rPr>
          <w:rFonts w:ascii="宋体" w:hAnsi="宋体"/>
          <w:sz w:val="24"/>
          <w:szCs w:val="28"/>
        </w:rPr>
      </w:pPr>
      <w:r>
        <w:rPr>
          <w:rFonts w:ascii="宋体" w:hAnsi="宋体"/>
          <w:sz w:val="24"/>
          <w:szCs w:val="28"/>
        </w:rPr>
        <w:br w:type="page"/>
      </w:r>
    </w:p>
    <w:p w14:paraId="5BBE61DA">
      <w:pPr>
        <w:bidi w:val="0"/>
      </w:pPr>
      <w:r>
        <w:rPr>
          <w:rFonts w:hint="eastAsia"/>
        </w:rPr>
        <w:t>附表</w:t>
      </w:r>
      <w:r>
        <w:rPr>
          <w:rFonts w:hint="eastAsia"/>
          <w:lang w:val="en-US" w:eastAsia="zh-CN"/>
        </w:rPr>
        <w:t>2</w:t>
      </w:r>
      <w:r>
        <w:rPr>
          <w:rFonts w:hint="eastAsia"/>
        </w:rPr>
        <w:t>：</w:t>
      </w:r>
    </w:p>
    <w:p w14:paraId="70897AA1">
      <w:pPr>
        <w:bidi w:val="0"/>
        <w:jc w:val="center"/>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rPr>
        <w:t>业绩</w:t>
      </w:r>
      <w:bookmarkEnd w:id="164"/>
      <w:bookmarkEnd w:id="165"/>
      <w:bookmarkEnd w:id="166"/>
      <w:bookmarkEnd w:id="167"/>
      <w:r>
        <w:rPr>
          <w:rFonts w:hint="eastAsia" w:ascii="Times New Roman" w:hAnsi="Times New Roman" w:eastAsia="宋体" w:cs="Times New Roman"/>
          <w:b/>
          <w:bCs/>
          <w:sz w:val="28"/>
          <w:szCs w:val="36"/>
          <w:lang w:val="en-US" w:eastAsia="zh-CN"/>
        </w:rPr>
        <w:t>一览表</w:t>
      </w:r>
    </w:p>
    <w:p w14:paraId="5C38B9C3">
      <w:pPr>
        <w:spacing w:line="360" w:lineRule="auto"/>
        <w:rPr>
          <w:rFonts w:ascii="宋体" w:hAnsi="宋体"/>
          <w:b/>
          <w:bCs/>
          <w:szCs w:val="21"/>
        </w:rPr>
      </w:pPr>
      <w:bookmarkStart w:id="168" w:name="_Toc13987"/>
      <w:bookmarkStart w:id="169" w:name="_Toc29747"/>
      <w:bookmarkStart w:id="170" w:name="_Toc7667"/>
      <w:r>
        <w:rPr>
          <w:rFonts w:hint="eastAsia" w:ascii="宋体" w:hAnsi="宋体"/>
          <w:szCs w:val="21"/>
        </w:rPr>
        <w:t>注：</w:t>
      </w:r>
      <w:r>
        <w:rPr>
          <w:rFonts w:hint="eastAsia" w:ascii="宋体" w:hAnsi="宋体" w:cs="宋体"/>
          <w:szCs w:val="21"/>
        </w:rPr>
        <w:t>按评分标准中的要求提供证明材料</w:t>
      </w:r>
      <w:r>
        <w:rPr>
          <w:rFonts w:hint="eastAsia" w:ascii="宋体" w:hAnsi="宋体"/>
          <w:szCs w:val="21"/>
        </w:rPr>
        <w:t>，否则不作为业绩进行考核。</w:t>
      </w:r>
    </w:p>
    <w:bookmarkEnd w:id="168"/>
    <w:bookmarkEnd w:id="169"/>
    <w:bookmarkEnd w:id="170"/>
    <w:tbl>
      <w:tblPr>
        <w:tblStyle w:val="21"/>
        <w:tblW w:w="873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38"/>
        <w:gridCol w:w="2400"/>
        <w:gridCol w:w="1882"/>
        <w:gridCol w:w="1881"/>
      </w:tblGrid>
      <w:tr w14:paraId="2870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32" w:type="dxa"/>
            <w:vAlign w:val="center"/>
          </w:tcPr>
          <w:p w14:paraId="62CB9226">
            <w:pPr>
              <w:jc w:val="center"/>
              <w:rPr>
                <w:rFonts w:ascii="宋体" w:hAnsi="宋体" w:cs="宋体"/>
                <w:b/>
                <w:bCs/>
                <w:szCs w:val="21"/>
              </w:rPr>
            </w:pPr>
            <w:r>
              <w:rPr>
                <w:rFonts w:hint="eastAsia" w:ascii="宋体" w:hAnsi="宋体" w:cs="宋体"/>
                <w:b/>
                <w:bCs/>
                <w:szCs w:val="21"/>
              </w:rPr>
              <w:t>序号</w:t>
            </w:r>
          </w:p>
        </w:tc>
        <w:tc>
          <w:tcPr>
            <w:tcW w:w="1538" w:type="dxa"/>
            <w:vAlign w:val="center"/>
          </w:tcPr>
          <w:p w14:paraId="312BBF69">
            <w:pPr>
              <w:jc w:val="center"/>
              <w:rPr>
                <w:rFonts w:ascii="宋体" w:hAnsi="宋体" w:cs="宋体"/>
                <w:b/>
                <w:bCs/>
                <w:szCs w:val="21"/>
              </w:rPr>
            </w:pPr>
            <w:r>
              <w:rPr>
                <w:rFonts w:hint="eastAsia" w:ascii="宋体" w:hAnsi="宋体" w:cs="宋体"/>
                <w:b/>
                <w:bCs/>
                <w:szCs w:val="21"/>
              </w:rPr>
              <w:t>项目名称</w:t>
            </w:r>
          </w:p>
        </w:tc>
        <w:tc>
          <w:tcPr>
            <w:tcW w:w="2400" w:type="dxa"/>
            <w:vAlign w:val="center"/>
          </w:tcPr>
          <w:p w14:paraId="47224BAF">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产品名称及品牌</w:t>
            </w:r>
          </w:p>
        </w:tc>
        <w:tc>
          <w:tcPr>
            <w:tcW w:w="1882" w:type="dxa"/>
            <w:vAlign w:val="center"/>
          </w:tcPr>
          <w:p w14:paraId="4B8EDD92">
            <w:pPr>
              <w:jc w:val="center"/>
              <w:rPr>
                <w:rFonts w:ascii="宋体" w:hAnsi="宋体" w:cs="宋体"/>
                <w:b/>
                <w:bCs/>
                <w:szCs w:val="21"/>
              </w:rPr>
            </w:pPr>
            <w:r>
              <w:rPr>
                <w:rFonts w:hint="eastAsia" w:ascii="宋体" w:hAnsi="宋体" w:cs="宋体"/>
                <w:b/>
                <w:bCs/>
                <w:szCs w:val="21"/>
              </w:rPr>
              <w:t>甲方名称</w:t>
            </w:r>
          </w:p>
        </w:tc>
        <w:tc>
          <w:tcPr>
            <w:tcW w:w="1881" w:type="dxa"/>
            <w:vAlign w:val="center"/>
          </w:tcPr>
          <w:p w14:paraId="31081A7D">
            <w:pPr>
              <w:jc w:val="center"/>
              <w:rPr>
                <w:rFonts w:ascii="宋体" w:hAnsi="宋体" w:cs="宋体"/>
                <w:b/>
                <w:bCs/>
                <w:szCs w:val="21"/>
              </w:rPr>
            </w:pPr>
            <w:r>
              <w:rPr>
                <w:rFonts w:hint="eastAsia" w:ascii="宋体" w:hAnsi="宋体" w:cs="宋体"/>
                <w:b/>
                <w:bCs/>
                <w:szCs w:val="21"/>
              </w:rPr>
              <w:t>签约时间</w:t>
            </w:r>
          </w:p>
        </w:tc>
      </w:tr>
      <w:tr w14:paraId="4CB5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0F70397B">
            <w:pPr>
              <w:spacing w:after="312" w:afterLines="100" w:line="400" w:lineRule="exact"/>
              <w:jc w:val="center"/>
              <w:rPr>
                <w:rFonts w:ascii="宋体" w:hAnsi="宋体" w:cs="宋体"/>
                <w:szCs w:val="21"/>
              </w:rPr>
            </w:pPr>
          </w:p>
        </w:tc>
        <w:tc>
          <w:tcPr>
            <w:tcW w:w="1538" w:type="dxa"/>
            <w:vAlign w:val="center"/>
          </w:tcPr>
          <w:p w14:paraId="49E56028">
            <w:pPr>
              <w:spacing w:after="312" w:afterLines="100" w:line="400" w:lineRule="exact"/>
              <w:jc w:val="center"/>
              <w:rPr>
                <w:rFonts w:ascii="宋体" w:hAnsi="宋体" w:cs="宋体"/>
                <w:szCs w:val="21"/>
              </w:rPr>
            </w:pPr>
          </w:p>
        </w:tc>
        <w:tc>
          <w:tcPr>
            <w:tcW w:w="2400" w:type="dxa"/>
            <w:vAlign w:val="center"/>
          </w:tcPr>
          <w:p w14:paraId="592E62E6">
            <w:pPr>
              <w:spacing w:after="312" w:afterLines="100" w:line="400" w:lineRule="exact"/>
              <w:jc w:val="center"/>
              <w:rPr>
                <w:rFonts w:ascii="宋体" w:hAnsi="宋体" w:cs="宋体"/>
                <w:szCs w:val="21"/>
              </w:rPr>
            </w:pPr>
          </w:p>
        </w:tc>
        <w:tc>
          <w:tcPr>
            <w:tcW w:w="1882" w:type="dxa"/>
            <w:vAlign w:val="center"/>
          </w:tcPr>
          <w:p w14:paraId="04BC2273">
            <w:pPr>
              <w:spacing w:after="312" w:afterLines="100" w:line="400" w:lineRule="exact"/>
              <w:jc w:val="center"/>
              <w:rPr>
                <w:rFonts w:ascii="宋体" w:hAnsi="宋体" w:cs="宋体"/>
                <w:szCs w:val="21"/>
              </w:rPr>
            </w:pPr>
          </w:p>
        </w:tc>
        <w:tc>
          <w:tcPr>
            <w:tcW w:w="1881" w:type="dxa"/>
            <w:vAlign w:val="center"/>
          </w:tcPr>
          <w:p w14:paraId="4E83D7F9">
            <w:pPr>
              <w:spacing w:after="312" w:afterLines="100" w:line="400" w:lineRule="exact"/>
              <w:jc w:val="center"/>
              <w:rPr>
                <w:rFonts w:ascii="宋体" w:hAnsi="宋体" w:cs="宋体"/>
                <w:szCs w:val="21"/>
              </w:rPr>
            </w:pPr>
          </w:p>
        </w:tc>
      </w:tr>
      <w:tr w14:paraId="4C57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56F8FA3C">
            <w:pPr>
              <w:spacing w:after="312" w:afterLines="100" w:line="400" w:lineRule="exact"/>
              <w:jc w:val="center"/>
              <w:rPr>
                <w:rFonts w:ascii="宋体" w:hAnsi="宋体" w:cs="宋体"/>
                <w:szCs w:val="21"/>
              </w:rPr>
            </w:pPr>
          </w:p>
        </w:tc>
        <w:tc>
          <w:tcPr>
            <w:tcW w:w="1538" w:type="dxa"/>
            <w:vAlign w:val="center"/>
          </w:tcPr>
          <w:p w14:paraId="58D0401D">
            <w:pPr>
              <w:spacing w:after="312" w:afterLines="100" w:line="400" w:lineRule="exact"/>
              <w:jc w:val="center"/>
              <w:rPr>
                <w:rFonts w:ascii="宋体" w:hAnsi="宋体" w:cs="宋体"/>
                <w:szCs w:val="21"/>
              </w:rPr>
            </w:pPr>
          </w:p>
        </w:tc>
        <w:tc>
          <w:tcPr>
            <w:tcW w:w="2400" w:type="dxa"/>
            <w:vAlign w:val="center"/>
          </w:tcPr>
          <w:p w14:paraId="242DCA94">
            <w:pPr>
              <w:spacing w:after="312" w:afterLines="100" w:line="400" w:lineRule="exact"/>
              <w:jc w:val="center"/>
              <w:rPr>
                <w:rFonts w:ascii="宋体" w:hAnsi="宋体" w:cs="宋体"/>
                <w:szCs w:val="21"/>
              </w:rPr>
            </w:pPr>
          </w:p>
        </w:tc>
        <w:tc>
          <w:tcPr>
            <w:tcW w:w="1882" w:type="dxa"/>
            <w:vAlign w:val="center"/>
          </w:tcPr>
          <w:p w14:paraId="172F9EC2">
            <w:pPr>
              <w:spacing w:after="312" w:afterLines="100" w:line="400" w:lineRule="exact"/>
              <w:jc w:val="center"/>
              <w:rPr>
                <w:rFonts w:ascii="宋体" w:hAnsi="宋体" w:cs="宋体"/>
                <w:szCs w:val="21"/>
              </w:rPr>
            </w:pPr>
          </w:p>
        </w:tc>
        <w:tc>
          <w:tcPr>
            <w:tcW w:w="1881" w:type="dxa"/>
            <w:vAlign w:val="center"/>
          </w:tcPr>
          <w:p w14:paraId="43C2940B">
            <w:pPr>
              <w:spacing w:after="312" w:afterLines="100" w:line="400" w:lineRule="exact"/>
              <w:jc w:val="center"/>
              <w:rPr>
                <w:rFonts w:ascii="宋体" w:hAnsi="宋体" w:cs="宋体"/>
                <w:szCs w:val="21"/>
              </w:rPr>
            </w:pPr>
          </w:p>
        </w:tc>
      </w:tr>
      <w:tr w14:paraId="10E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0E49674">
            <w:pPr>
              <w:spacing w:after="312" w:afterLines="100" w:line="400" w:lineRule="exact"/>
              <w:jc w:val="center"/>
              <w:rPr>
                <w:rFonts w:ascii="宋体" w:hAnsi="宋体" w:cs="宋体"/>
                <w:szCs w:val="21"/>
              </w:rPr>
            </w:pPr>
          </w:p>
        </w:tc>
        <w:tc>
          <w:tcPr>
            <w:tcW w:w="1538" w:type="dxa"/>
            <w:vAlign w:val="center"/>
          </w:tcPr>
          <w:p w14:paraId="089C48E0">
            <w:pPr>
              <w:spacing w:after="312" w:afterLines="100" w:line="400" w:lineRule="exact"/>
              <w:jc w:val="center"/>
              <w:rPr>
                <w:rFonts w:ascii="宋体" w:hAnsi="宋体" w:cs="宋体"/>
                <w:szCs w:val="21"/>
              </w:rPr>
            </w:pPr>
          </w:p>
        </w:tc>
        <w:tc>
          <w:tcPr>
            <w:tcW w:w="2400" w:type="dxa"/>
            <w:vAlign w:val="center"/>
          </w:tcPr>
          <w:p w14:paraId="05AA3BCE">
            <w:pPr>
              <w:spacing w:after="312" w:afterLines="100" w:line="400" w:lineRule="exact"/>
              <w:jc w:val="center"/>
              <w:rPr>
                <w:rFonts w:ascii="宋体" w:hAnsi="宋体" w:cs="宋体"/>
                <w:szCs w:val="21"/>
              </w:rPr>
            </w:pPr>
          </w:p>
        </w:tc>
        <w:tc>
          <w:tcPr>
            <w:tcW w:w="1882" w:type="dxa"/>
            <w:vAlign w:val="center"/>
          </w:tcPr>
          <w:p w14:paraId="3DF39FF9">
            <w:pPr>
              <w:spacing w:after="312" w:afterLines="100" w:line="400" w:lineRule="exact"/>
              <w:jc w:val="center"/>
              <w:rPr>
                <w:rFonts w:ascii="宋体" w:hAnsi="宋体" w:cs="宋体"/>
                <w:szCs w:val="21"/>
              </w:rPr>
            </w:pPr>
          </w:p>
        </w:tc>
        <w:tc>
          <w:tcPr>
            <w:tcW w:w="1881" w:type="dxa"/>
            <w:vAlign w:val="center"/>
          </w:tcPr>
          <w:p w14:paraId="0FFC4AA6">
            <w:pPr>
              <w:spacing w:after="312" w:afterLines="100" w:line="400" w:lineRule="exact"/>
              <w:jc w:val="center"/>
              <w:rPr>
                <w:rFonts w:ascii="宋体" w:hAnsi="宋体" w:cs="宋体"/>
                <w:szCs w:val="21"/>
              </w:rPr>
            </w:pPr>
          </w:p>
        </w:tc>
      </w:tr>
      <w:tr w14:paraId="54AD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41044730">
            <w:pPr>
              <w:spacing w:after="312" w:afterLines="100" w:line="400" w:lineRule="exact"/>
              <w:jc w:val="center"/>
              <w:rPr>
                <w:rFonts w:ascii="宋体" w:hAnsi="宋体" w:cs="宋体"/>
                <w:szCs w:val="21"/>
              </w:rPr>
            </w:pPr>
          </w:p>
        </w:tc>
        <w:tc>
          <w:tcPr>
            <w:tcW w:w="1538" w:type="dxa"/>
            <w:vAlign w:val="center"/>
          </w:tcPr>
          <w:p w14:paraId="5BC24AD1">
            <w:pPr>
              <w:spacing w:after="312" w:afterLines="100" w:line="400" w:lineRule="exact"/>
              <w:jc w:val="center"/>
              <w:rPr>
                <w:rFonts w:ascii="宋体" w:hAnsi="宋体" w:cs="宋体"/>
                <w:szCs w:val="21"/>
              </w:rPr>
            </w:pPr>
          </w:p>
        </w:tc>
        <w:tc>
          <w:tcPr>
            <w:tcW w:w="2400" w:type="dxa"/>
            <w:vAlign w:val="center"/>
          </w:tcPr>
          <w:p w14:paraId="6332C942">
            <w:pPr>
              <w:spacing w:after="312" w:afterLines="100" w:line="400" w:lineRule="exact"/>
              <w:jc w:val="center"/>
              <w:rPr>
                <w:rFonts w:ascii="宋体" w:hAnsi="宋体" w:cs="宋体"/>
                <w:szCs w:val="21"/>
              </w:rPr>
            </w:pPr>
          </w:p>
        </w:tc>
        <w:tc>
          <w:tcPr>
            <w:tcW w:w="1882" w:type="dxa"/>
            <w:vAlign w:val="center"/>
          </w:tcPr>
          <w:p w14:paraId="61A7870B">
            <w:pPr>
              <w:spacing w:after="312" w:afterLines="100" w:line="400" w:lineRule="exact"/>
              <w:jc w:val="center"/>
              <w:rPr>
                <w:rFonts w:ascii="宋体" w:hAnsi="宋体" w:cs="宋体"/>
                <w:szCs w:val="21"/>
              </w:rPr>
            </w:pPr>
          </w:p>
        </w:tc>
        <w:tc>
          <w:tcPr>
            <w:tcW w:w="1881" w:type="dxa"/>
            <w:vAlign w:val="center"/>
          </w:tcPr>
          <w:p w14:paraId="2532AE74">
            <w:pPr>
              <w:spacing w:after="312" w:afterLines="100" w:line="400" w:lineRule="exact"/>
              <w:jc w:val="center"/>
              <w:rPr>
                <w:rFonts w:ascii="宋体" w:hAnsi="宋体" w:cs="宋体"/>
                <w:szCs w:val="21"/>
              </w:rPr>
            </w:pPr>
          </w:p>
        </w:tc>
      </w:tr>
      <w:tr w14:paraId="1128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1B1CA30">
            <w:pPr>
              <w:spacing w:after="312" w:afterLines="100" w:line="400" w:lineRule="exact"/>
              <w:jc w:val="center"/>
              <w:rPr>
                <w:rFonts w:ascii="宋体" w:hAnsi="宋体" w:cs="宋体"/>
                <w:szCs w:val="21"/>
              </w:rPr>
            </w:pPr>
          </w:p>
        </w:tc>
        <w:tc>
          <w:tcPr>
            <w:tcW w:w="1538" w:type="dxa"/>
            <w:vAlign w:val="center"/>
          </w:tcPr>
          <w:p w14:paraId="7E710DEE">
            <w:pPr>
              <w:spacing w:after="312" w:afterLines="100" w:line="400" w:lineRule="exact"/>
              <w:jc w:val="center"/>
              <w:rPr>
                <w:rFonts w:ascii="宋体" w:hAnsi="宋体" w:cs="宋体"/>
                <w:szCs w:val="21"/>
              </w:rPr>
            </w:pPr>
          </w:p>
        </w:tc>
        <w:tc>
          <w:tcPr>
            <w:tcW w:w="2400" w:type="dxa"/>
            <w:vAlign w:val="center"/>
          </w:tcPr>
          <w:p w14:paraId="6F983EF2">
            <w:pPr>
              <w:spacing w:after="312" w:afterLines="100" w:line="400" w:lineRule="exact"/>
              <w:jc w:val="center"/>
              <w:rPr>
                <w:rFonts w:ascii="宋体" w:hAnsi="宋体" w:cs="宋体"/>
                <w:szCs w:val="21"/>
              </w:rPr>
            </w:pPr>
          </w:p>
        </w:tc>
        <w:tc>
          <w:tcPr>
            <w:tcW w:w="1882" w:type="dxa"/>
            <w:vAlign w:val="center"/>
          </w:tcPr>
          <w:p w14:paraId="6AA09185">
            <w:pPr>
              <w:spacing w:after="312" w:afterLines="100" w:line="400" w:lineRule="exact"/>
              <w:jc w:val="center"/>
              <w:rPr>
                <w:rFonts w:ascii="宋体" w:hAnsi="宋体" w:cs="宋体"/>
                <w:szCs w:val="21"/>
              </w:rPr>
            </w:pPr>
          </w:p>
        </w:tc>
        <w:tc>
          <w:tcPr>
            <w:tcW w:w="1881" w:type="dxa"/>
            <w:vAlign w:val="center"/>
          </w:tcPr>
          <w:p w14:paraId="3079A219">
            <w:pPr>
              <w:spacing w:after="312" w:afterLines="100" w:line="400" w:lineRule="exact"/>
              <w:jc w:val="center"/>
              <w:rPr>
                <w:rFonts w:ascii="宋体" w:hAnsi="宋体" w:cs="宋体"/>
                <w:szCs w:val="21"/>
              </w:rPr>
            </w:pPr>
          </w:p>
        </w:tc>
      </w:tr>
      <w:tr w14:paraId="1F7C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1487CF">
            <w:pPr>
              <w:spacing w:after="312" w:afterLines="100" w:line="400" w:lineRule="exact"/>
              <w:jc w:val="center"/>
              <w:rPr>
                <w:rFonts w:ascii="宋体" w:hAnsi="宋体" w:cs="宋体"/>
                <w:szCs w:val="21"/>
              </w:rPr>
            </w:pPr>
          </w:p>
        </w:tc>
        <w:tc>
          <w:tcPr>
            <w:tcW w:w="1538" w:type="dxa"/>
            <w:vAlign w:val="center"/>
          </w:tcPr>
          <w:p w14:paraId="60B3A8D8">
            <w:pPr>
              <w:spacing w:after="312" w:afterLines="100" w:line="400" w:lineRule="exact"/>
              <w:jc w:val="center"/>
              <w:rPr>
                <w:rFonts w:ascii="宋体" w:hAnsi="宋体" w:cs="宋体"/>
                <w:szCs w:val="21"/>
              </w:rPr>
            </w:pPr>
          </w:p>
        </w:tc>
        <w:tc>
          <w:tcPr>
            <w:tcW w:w="2400" w:type="dxa"/>
            <w:vAlign w:val="center"/>
          </w:tcPr>
          <w:p w14:paraId="36712A43">
            <w:pPr>
              <w:spacing w:after="312" w:afterLines="100" w:line="400" w:lineRule="exact"/>
              <w:jc w:val="center"/>
              <w:rPr>
                <w:rFonts w:ascii="宋体" w:hAnsi="宋体" w:cs="宋体"/>
                <w:szCs w:val="21"/>
              </w:rPr>
            </w:pPr>
          </w:p>
        </w:tc>
        <w:tc>
          <w:tcPr>
            <w:tcW w:w="1882" w:type="dxa"/>
            <w:vAlign w:val="center"/>
          </w:tcPr>
          <w:p w14:paraId="551B4007">
            <w:pPr>
              <w:spacing w:after="312" w:afterLines="100" w:line="400" w:lineRule="exact"/>
              <w:jc w:val="center"/>
              <w:rPr>
                <w:rFonts w:ascii="宋体" w:hAnsi="宋体" w:cs="宋体"/>
                <w:szCs w:val="21"/>
              </w:rPr>
            </w:pPr>
          </w:p>
        </w:tc>
        <w:tc>
          <w:tcPr>
            <w:tcW w:w="1881" w:type="dxa"/>
            <w:vAlign w:val="center"/>
          </w:tcPr>
          <w:p w14:paraId="76DEA98F">
            <w:pPr>
              <w:spacing w:after="312" w:afterLines="100" w:line="400" w:lineRule="exact"/>
              <w:jc w:val="center"/>
              <w:rPr>
                <w:rFonts w:ascii="宋体" w:hAnsi="宋体" w:cs="宋体"/>
                <w:szCs w:val="21"/>
              </w:rPr>
            </w:pPr>
          </w:p>
        </w:tc>
      </w:tr>
      <w:tr w14:paraId="602C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CBECB29">
            <w:pPr>
              <w:spacing w:after="312" w:afterLines="100" w:line="400" w:lineRule="exact"/>
              <w:jc w:val="center"/>
              <w:rPr>
                <w:rFonts w:ascii="宋体" w:hAnsi="宋体" w:cs="宋体"/>
                <w:szCs w:val="21"/>
              </w:rPr>
            </w:pPr>
          </w:p>
        </w:tc>
        <w:tc>
          <w:tcPr>
            <w:tcW w:w="1538" w:type="dxa"/>
            <w:vAlign w:val="center"/>
          </w:tcPr>
          <w:p w14:paraId="36120977">
            <w:pPr>
              <w:spacing w:after="312" w:afterLines="100" w:line="400" w:lineRule="exact"/>
              <w:jc w:val="center"/>
              <w:rPr>
                <w:rFonts w:ascii="宋体" w:hAnsi="宋体" w:cs="宋体"/>
                <w:szCs w:val="21"/>
              </w:rPr>
            </w:pPr>
          </w:p>
        </w:tc>
        <w:tc>
          <w:tcPr>
            <w:tcW w:w="2400" w:type="dxa"/>
            <w:vAlign w:val="center"/>
          </w:tcPr>
          <w:p w14:paraId="10B235CE">
            <w:pPr>
              <w:spacing w:after="312" w:afterLines="100" w:line="400" w:lineRule="exact"/>
              <w:jc w:val="center"/>
              <w:rPr>
                <w:rFonts w:ascii="宋体" w:hAnsi="宋体" w:cs="宋体"/>
                <w:szCs w:val="21"/>
              </w:rPr>
            </w:pPr>
          </w:p>
        </w:tc>
        <w:tc>
          <w:tcPr>
            <w:tcW w:w="1882" w:type="dxa"/>
            <w:vAlign w:val="center"/>
          </w:tcPr>
          <w:p w14:paraId="06751547">
            <w:pPr>
              <w:spacing w:after="312" w:afterLines="100" w:line="400" w:lineRule="exact"/>
              <w:jc w:val="center"/>
              <w:rPr>
                <w:rFonts w:ascii="宋体" w:hAnsi="宋体" w:cs="宋体"/>
                <w:szCs w:val="21"/>
              </w:rPr>
            </w:pPr>
          </w:p>
        </w:tc>
        <w:tc>
          <w:tcPr>
            <w:tcW w:w="1881" w:type="dxa"/>
            <w:vAlign w:val="center"/>
          </w:tcPr>
          <w:p w14:paraId="2C98EC51">
            <w:pPr>
              <w:spacing w:after="312" w:afterLines="100" w:line="400" w:lineRule="exact"/>
              <w:jc w:val="center"/>
              <w:rPr>
                <w:rFonts w:ascii="宋体" w:hAnsi="宋体" w:cs="宋体"/>
                <w:szCs w:val="21"/>
              </w:rPr>
            </w:pPr>
          </w:p>
        </w:tc>
      </w:tr>
      <w:tr w14:paraId="3115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C251EFB">
            <w:pPr>
              <w:spacing w:after="312" w:afterLines="100" w:line="400" w:lineRule="exact"/>
              <w:jc w:val="center"/>
              <w:rPr>
                <w:rFonts w:ascii="宋体" w:hAnsi="宋体" w:cs="宋体"/>
                <w:szCs w:val="21"/>
              </w:rPr>
            </w:pPr>
          </w:p>
        </w:tc>
        <w:tc>
          <w:tcPr>
            <w:tcW w:w="1538" w:type="dxa"/>
            <w:vAlign w:val="center"/>
          </w:tcPr>
          <w:p w14:paraId="03515564">
            <w:pPr>
              <w:spacing w:after="312" w:afterLines="100" w:line="400" w:lineRule="exact"/>
              <w:jc w:val="center"/>
              <w:rPr>
                <w:rFonts w:ascii="宋体" w:hAnsi="宋体" w:cs="宋体"/>
                <w:szCs w:val="21"/>
              </w:rPr>
            </w:pPr>
          </w:p>
        </w:tc>
        <w:tc>
          <w:tcPr>
            <w:tcW w:w="2400" w:type="dxa"/>
            <w:vAlign w:val="center"/>
          </w:tcPr>
          <w:p w14:paraId="3C946BAA">
            <w:pPr>
              <w:spacing w:after="312" w:afterLines="100" w:line="400" w:lineRule="exact"/>
              <w:jc w:val="center"/>
              <w:rPr>
                <w:rFonts w:ascii="宋体" w:hAnsi="宋体" w:cs="宋体"/>
                <w:szCs w:val="21"/>
              </w:rPr>
            </w:pPr>
          </w:p>
        </w:tc>
        <w:tc>
          <w:tcPr>
            <w:tcW w:w="1882" w:type="dxa"/>
            <w:vAlign w:val="center"/>
          </w:tcPr>
          <w:p w14:paraId="73C60AF9">
            <w:pPr>
              <w:spacing w:after="312" w:afterLines="100" w:line="400" w:lineRule="exact"/>
              <w:jc w:val="center"/>
              <w:rPr>
                <w:rFonts w:ascii="宋体" w:hAnsi="宋体" w:cs="宋体"/>
                <w:szCs w:val="21"/>
              </w:rPr>
            </w:pPr>
          </w:p>
        </w:tc>
        <w:tc>
          <w:tcPr>
            <w:tcW w:w="1881" w:type="dxa"/>
            <w:vAlign w:val="center"/>
          </w:tcPr>
          <w:p w14:paraId="6DDE957B">
            <w:pPr>
              <w:spacing w:after="312" w:afterLines="100" w:line="400" w:lineRule="exact"/>
              <w:jc w:val="center"/>
              <w:rPr>
                <w:rFonts w:ascii="宋体" w:hAnsi="宋体" w:cs="宋体"/>
                <w:szCs w:val="21"/>
              </w:rPr>
            </w:pPr>
          </w:p>
        </w:tc>
      </w:tr>
      <w:tr w14:paraId="2391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3414E1">
            <w:pPr>
              <w:spacing w:after="312" w:afterLines="100" w:line="400" w:lineRule="exact"/>
              <w:jc w:val="center"/>
              <w:rPr>
                <w:rFonts w:ascii="宋体" w:hAnsi="宋体" w:cs="宋体"/>
                <w:szCs w:val="21"/>
              </w:rPr>
            </w:pPr>
          </w:p>
        </w:tc>
        <w:tc>
          <w:tcPr>
            <w:tcW w:w="1538" w:type="dxa"/>
            <w:vAlign w:val="center"/>
          </w:tcPr>
          <w:p w14:paraId="6F16633D">
            <w:pPr>
              <w:spacing w:after="312" w:afterLines="100" w:line="400" w:lineRule="exact"/>
              <w:jc w:val="center"/>
              <w:rPr>
                <w:rFonts w:ascii="宋体" w:hAnsi="宋体" w:cs="宋体"/>
                <w:szCs w:val="21"/>
              </w:rPr>
            </w:pPr>
          </w:p>
        </w:tc>
        <w:tc>
          <w:tcPr>
            <w:tcW w:w="2400" w:type="dxa"/>
            <w:vAlign w:val="center"/>
          </w:tcPr>
          <w:p w14:paraId="5274139D">
            <w:pPr>
              <w:spacing w:after="312" w:afterLines="100" w:line="400" w:lineRule="exact"/>
              <w:jc w:val="center"/>
              <w:rPr>
                <w:rFonts w:ascii="宋体" w:hAnsi="宋体" w:cs="宋体"/>
                <w:szCs w:val="21"/>
              </w:rPr>
            </w:pPr>
          </w:p>
        </w:tc>
        <w:tc>
          <w:tcPr>
            <w:tcW w:w="1882" w:type="dxa"/>
            <w:vAlign w:val="center"/>
          </w:tcPr>
          <w:p w14:paraId="34B3275F">
            <w:pPr>
              <w:spacing w:after="312" w:afterLines="100" w:line="400" w:lineRule="exact"/>
              <w:jc w:val="center"/>
              <w:rPr>
                <w:rFonts w:ascii="宋体" w:hAnsi="宋体" w:cs="宋体"/>
                <w:szCs w:val="21"/>
              </w:rPr>
            </w:pPr>
          </w:p>
        </w:tc>
        <w:tc>
          <w:tcPr>
            <w:tcW w:w="1881" w:type="dxa"/>
            <w:vAlign w:val="center"/>
          </w:tcPr>
          <w:p w14:paraId="22852344">
            <w:pPr>
              <w:spacing w:after="312" w:afterLines="100" w:line="400" w:lineRule="exact"/>
              <w:jc w:val="center"/>
              <w:rPr>
                <w:rFonts w:ascii="宋体" w:hAnsi="宋体" w:cs="宋体"/>
                <w:szCs w:val="21"/>
              </w:rPr>
            </w:pPr>
          </w:p>
        </w:tc>
      </w:tr>
    </w:tbl>
    <w:p w14:paraId="0776B2FA">
      <w:pPr>
        <w:jc w:val="center"/>
        <w:rPr>
          <w:rFonts w:ascii="宋体" w:hAnsi="宋体"/>
          <w:b/>
          <w:bCs/>
          <w:kern w:val="0"/>
          <w:szCs w:val="21"/>
        </w:rPr>
      </w:pPr>
    </w:p>
    <w:p w14:paraId="335B3F79">
      <w:pPr>
        <w:jc w:val="center"/>
        <w:rPr>
          <w:rFonts w:ascii="宋体" w:hAnsi="宋体"/>
          <w:b/>
          <w:bCs/>
          <w:kern w:val="0"/>
          <w:szCs w:val="21"/>
        </w:rPr>
      </w:pPr>
    </w:p>
    <w:p w14:paraId="582F57C8">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3D93E786">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F006751">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AE707EC">
      <w:pPr>
        <w:spacing w:line="480" w:lineRule="auto"/>
        <w:ind w:firstLine="4620" w:firstLineChars="2200"/>
        <w:jc w:val="right"/>
        <w:rPr>
          <w:rFonts w:ascii="宋体" w:hAnsi="宋体"/>
          <w:szCs w:val="21"/>
        </w:rPr>
      </w:pPr>
    </w:p>
    <w:p w14:paraId="3C34876B">
      <w:pPr>
        <w:bidi w:val="0"/>
      </w:pPr>
      <w:r>
        <w:rPr>
          <w:rFonts w:hint="eastAsia"/>
        </w:rPr>
        <w:br w:type="page"/>
      </w:r>
      <w:bookmarkStart w:id="171" w:name="_Toc13337"/>
      <w:bookmarkStart w:id="172" w:name="_Toc23132"/>
      <w:bookmarkStart w:id="173" w:name="_Toc24931"/>
    </w:p>
    <w:p w14:paraId="60F22B06">
      <w:pPr>
        <w:pStyle w:val="3"/>
        <w:bidi w:val="0"/>
        <w:ind w:left="0" w:firstLine="0"/>
        <w:jc w:val="center"/>
        <w:rPr>
          <w:rFonts w:hint="eastAsia" w:ascii="宋体" w:hAnsi="宋体" w:eastAsia="宋体"/>
          <w:sz w:val="28"/>
          <w:szCs w:val="22"/>
        </w:rPr>
      </w:pPr>
      <w:bookmarkStart w:id="174" w:name="_Toc9624"/>
      <w:r>
        <w:rPr>
          <w:rFonts w:hint="eastAsia"/>
          <w:sz w:val="28"/>
          <w:szCs w:val="22"/>
          <w:lang w:val="en-US" w:eastAsia="zh-CN"/>
        </w:rPr>
        <w:t>五</w:t>
      </w:r>
      <w:r>
        <w:rPr>
          <w:rFonts w:hint="eastAsia" w:ascii="宋体" w:hAnsi="宋体" w:eastAsia="宋体"/>
          <w:sz w:val="28"/>
          <w:szCs w:val="22"/>
        </w:rPr>
        <w:t>、商务响应</w:t>
      </w:r>
    </w:p>
    <w:p w14:paraId="20043E60">
      <w:pPr>
        <w:bidi w:val="0"/>
        <w:jc w:val="center"/>
        <w:rPr>
          <w:b/>
          <w:bCs/>
          <w:sz w:val="28"/>
          <w:szCs w:val="36"/>
        </w:rPr>
      </w:pPr>
      <w:r>
        <w:rPr>
          <w:rFonts w:hint="eastAsia"/>
          <w:b/>
          <w:bCs/>
          <w:sz w:val="28"/>
          <w:szCs w:val="36"/>
        </w:rPr>
        <w:t>商务条款偏离表</w:t>
      </w:r>
      <w:bookmarkEnd w:id="171"/>
      <w:bookmarkEnd w:id="172"/>
      <w:bookmarkEnd w:id="173"/>
      <w:bookmarkEnd w:id="174"/>
    </w:p>
    <w:tbl>
      <w:tblPr>
        <w:tblStyle w:val="21"/>
        <w:tblW w:w="905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15"/>
        <w:gridCol w:w="1543"/>
        <w:gridCol w:w="2361"/>
      </w:tblGrid>
      <w:tr w14:paraId="0815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1" w:type="dxa"/>
            <w:vAlign w:val="center"/>
          </w:tcPr>
          <w:p w14:paraId="225AB1DF">
            <w:pPr>
              <w:jc w:val="center"/>
              <w:rPr>
                <w:rFonts w:ascii="宋体" w:cs="宋体"/>
                <w:b/>
                <w:szCs w:val="21"/>
              </w:rPr>
            </w:pPr>
            <w:r>
              <w:rPr>
                <w:rFonts w:hint="eastAsia" w:ascii="宋体" w:hAnsi="宋体" w:cs="宋体"/>
                <w:b/>
                <w:szCs w:val="21"/>
              </w:rPr>
              <w:t>序号</w:t>
            </w:r>
          </w:p>
        </w:tc>
        <w:tc>
          <w:tcPr>
            <w:tcW w:w="4415" w:type="dxa"/>
            <w:vAlign w:val="center"/>
          </w:tcPr>
          <w:p w14:paraId="4A755BB1">
            <w:pPr>
              <w:jc w:val="center"/>
              <w:rPr>
                <w:rFonts w:ascii="宋体" w:cs="宋体"/>
                <w:b/>
                <w:szCs w:val="21"/>
              </w:rPr>
            </w:pPr>
            <w:r>
              <w:rPr>
                <w:rFonts w:hint="eastAsia" w:ascii="宋体" w:hAnsi="宋体" w:cs="宋体"/>
                <w:b/>
                <w:szCs w:val="21"/>
              </w:rPr>
              <w:t>招标文件要求的商务条款</w:t>
            </w:r>
          </w:p>
        </w:tc>
        <w:tc>
          <w:tcPr>
            <w:tcW w:w="1543" w:type="dxa"/>
            <w:vAlign w:val="center"/>
          </w:tcPr>
          <w:p w14:paraId="508D6CF4">
            <w:pPr>
              <w:jc w:val="center"/>
              <w:rPr>
                <w:rFonts w:ascii="宋体" w:cs="宋体"/>
                <w:b/>
                <w:szCs w:val="21"/>
              </w:rPr>
            </w:pPr>
            <w:r>
              <w:rPr>
                <w:rFonts w:hint="eastAsia" w:ascii="宋体" w:hAnsi="宋体" w:cs="宋体"/>
                <w:b/>
                <w:szCs w:val="21"/>
                <w:lang w:val="en-US" w:eastAsia="zh-CN"/>
              </w:rPr>
              <w:t>是否</w:t>
            </w:r>
            <w:r>
              <w:rPr>
                <w:rFonts w:hint="eastAsia" w:ascii="宋体" w:hAnsi="宋体" w:cs="宋体"/>
                <w:b/>
                <w:szCs w:val="21"/>
              </w:rPr>
              <w:t>响应</w:t>
            </w:r>
          </w:p>
        </w:tc>
        <w:tc>
          <w:tcPr>
            <w:tcW w:w="2361" w:type="dxa"/>
            <w:vAlign w:val="center"/>
          </w:tcPr>
          <w:p w14:paraId="5176ED2B">
            <w:pPr>
              <w:jc w:val="center"/>
              <w:rPr>
                <w:rFonts w:hint="default" w:ascii="宋体" w:eastAsia="宋体" w:cs="宋体"/>
                <w:b/>
                <w:szCs w:val="21"/>
                <w:lang w:val="en-US" w:eastAsia="zh-CN"/>
              </w:rPr>
            </w:pPr>
            <w:r>
              <w:rPr>
                <w:rFonts w:hint="eastAsia" w:ascii="宋体" w:cs="宋体"/>
                <w:b/>
                <w:szCs w:val="21"/>
                <w:lang w:val="en-US" w:eastAsia="zh-CN"/>
              </w:rPr>
              <w:t>偏离说明</w:t>
            </w:r>
          </w:p>
        </w:tc>
      </w:tr>
      <w:tr w14:paraId="15E7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55A7DFC7">
            <w:pPr>
              <w:jc w:val="center"/>
              <w:rPr>
                <w:rFonts w:hint="eastAsia" w:ascii="宋体" w:eastAsia="宋体" w:cs="宋体"/>
                <w:szCs w:val="21"/>
                <w:lang w:val="en-US" w:eastAsia="zh-CN"/>
              </w:rPr>
            </w:pPr>
          </w:p>
        </w:tc>
        <w:tc>
          <w:tcPr>
            <w:tcW w:w="4415" w:type="dxa"/>
            <w:vAlign w:val="center"/>
          </w:tcPr>
          <w:p w14:paraId="1D76971D">
            <w:pPr>
              <w:spacing w:line="300" w:lineRule="auto"/>
              <w:jc w:val="left"/>
              <w:rPr>
                <w:rFonts w:ascii="宋体" w:cs="宋体"/>
                <w:szCs w:val="21"/>
              </w:rPr>
            </w:pPr>
          </w:p>
        </w:tc>
        <w:tc>
          <w:tcPr>
            <w:tcW w:w="1543" w:type="dxa"/>
            <w:vAlign w:val="center"/>
          </w:tcPr>
          <w:p w14:paraId="14029165">
            <w:pPr>
              <w:jc w:val="center"/>
              <w:rPr>
                <w:rFonts w:ascii="宋体" w:cs="宋体"/>
                <w:szCs w:val="21"/>
              </w:rPr>
            </w:pPr>
          </w:p>
        </w:tc>
        <w:tc>
          <w:tcPr>
            <w:tcW w:w="2361" w:type="dxa"/>
            <w:vAlign w:val="center"/>
          </w:tcPr>
          <w:p w14:paraId="64BB5697">
            <w:pPr>
              <w:jc w:val="center"/>
              <w:rPr>
                <w:rFonts w:ascii="宋体" w:cs="宋体"/>
                <w:szCs w:val="21"/>
              </w:rPr>
            </w:pPr>
          </w:p>
        </w:tc>
      </w:tr>
      <w:tr w14:paraId="62A7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36FF60AB">
            <w:pPr>
              <w:jc w:val="center"/>
              <w:rPr>
                <w:rFonts w:hint="eastAsia" w:ascii="宋体" w:eastAsia="宋体" w:cs="宋体"/>
                <w:szCs w:val="21"/>
                <w:lang w:val="en-US" w:eastAsia="zh-CN"/>
              </w:rPr>
            </w:pPr>
          </w:p>
        </w:tc>
        <w:tc>
          <w:tcPr>
            <w:tcW w:w="4415" w:type="dxa"/>
            <w:vAlign w:val="center"/>
          </w:tcPr>
          <w:p w14:paraId="1C792862">
            <w:pPr>
              <w:spacing w:line="300" w:lineRule="auto"/>
              <w:jc w:val="left"/>
              <w:rPr>
                <w:rFonts w:hint="eastAsia" w:ascii="宋体" w:eastAsia="宋体" w:cs="宋体"/>
                <w:szCs w:val="21"/>
                <w:lang w:eastAsia="zh-CN"/>
              </w:rPr>
            </w:pPr>
          </w:p>
        </w:tc>
        <w:tc>
          <w:tcPr>
            <w:tcW w:w="1543" w:type="dxa"/>
            <w:vAlign w:val="center"/>
          </w:tcPr>
          <w:p w14:paraId="0C4F5400">
            <w:pPr>
              <w:jc w:val="center"/>
              <w:rPr>
                <w:rFonts w:ascii="宋体" w:cs="宋体"/>
                <w:szCs w:val="21"/>
              </w:rPr>
            </w:pPr>
          </w:p>
        </w:tc>
        <w:tc>
          <w:tcPr>
            <w:tcW w:w="2361" w:type="dxa"/>
            <w:vAlign w:val="center"/>
          </w:tcPr>
          <w:p w14:paraId="1FF86C96">
            <w:pPr>
              <w:jc w:val="center"/>
              <w:rPr>
                <w:rFonts w:ascii="宋体" w:cs="宋体"/>
                <w:szCs w:val="21"/>
              </w:rPr>
            </w:pPr>
          </w:p>
        </w:tc>
      </w:tr>
      <w:tr w14:paraId="3285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4627080D">
            <w:pPr>
              <w:jc w:val="center"/>
              <w:rPr>
                <w:rFonts w:hint="eastAsia" w:ascii="宋体" w:eastAsia="宋体" w:cs="宋体"/>
                <w:szCs w:val="21"/>
                <w:lang w:val="en-US" w:eastAsia="zh-CN"/>
              </w:rPr>
            </w:pPr>
          </w:p>
        </w:tc>
        <w:tc>
          <w:tcPr>
            <w:tcW w:w="4415" w:type="dxa"/>
            <w:vAlign w:val="center"/>
          </w:tcPr>
          <w:p w14:paraId="1320BBC5">
            <w:pPr>
              <w:spacing w:line="300" w:lineRule="auto"/>
              <w:jc w:val="left"/>
              <w:rPr>
                <w:rFonts w:ascii="宋体" w:cs="宋体"/>
                <w:szCs w:val="21"/>
              </w:rPr>
            </w:pPr>
          </w:p>
        </w:tc>
        <w:tc>
          <w:tcPr>
            <w:tcW w:w="1543" w:type="dxa"/>
            <w:vAlign w:val="center"/>
          </w:tcPr>
          <w:p w14:paraId="7E4C8100">
            <w:pPr>
              <w:jc w:val="center"/>
              <w:rPr>
                <w:rFonts w:ascii="宋体" w:cs="宋体"/>
                <w:szCs w:val="21"/>
              </w:rPr>
            </w:pPr>
          </w:p>
        </w:tc>
        <w:tc>
          <w:tcPr>
            <w:tcW w:w="2361" w:type="dxa"/>
            <w:vAlign w:val="center"/>
          </w:tcPr>
          <w:p w14:paraId="2367A8CD">
            <w:pPr>
              <w:jc w:val="center"/>
              <w:rPr>
                <w:rFonts w:ascii="宋体" w:cs="宋体"/>
                <w:szCs w:val="21"/>
              </w:rPr>
            </w:pPr>
          </w:p>
        </w:tc>
      </w:tr>
      <w:tr w14:paraId="43A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200B8764">
            <w:pPr>
              <w:jc w:val="center"/>
              <w:rPr>
                <w:rFonts w:hint="eastAsia" w:ascii="宋体" w:eastAsia="宋体" w:cs="宋体"/>
                <w:szCs w:val="21"/>
                <w:lang w:val="en-US" w:eastAsia="zh-CN"/>
              </w:rPr>
            </w:pPr>
          </w:p>
        </w:tc>
        <w:tc>
          <w:tcPr>
            <w:tcW w:w="4415" w:type="dxa"/>
            <w:vAlign w:val="center"/>
          </w:tcPr>
          <w:p w14:paraId="04CCE51C">
            <w:pPr>
              <w:spacing w:line="300" w:lineRule="auto"/>
              <w:jc w:val="left"/>
              <w:rPr>
                <w:rFonts w:ascii="宋体" w:hAnsi="宋体" w:cs="宋体"/>
                <w:szCs w:val="21"/>
              </w:rPr>
            </w:pPr>
          </w:p>
        </w:tc>
        <w:tc>
          <w:tcPr>
            <w:tcW w:w="1543" w:type="dxa"/>
            <w:vAlign w:val="center"/>
          </w:tcPr>
          <w:p w14:paraId="1BC8F3C2">
            <w:pPr>
              <w:jc w:val="center"/>
              <w:rPr>
                <w:rFonts w:ascii="宋体" w:cs="宋体"/>
                <w:szCs w:val="21"/>
              </w:rPr>
            </w:pPr>
          </w:p>
        </w:tc>
        <w:tc>
          <w:tcPr>
            <w:tcW w:w="2361" w:type="dxa"/>
            <w:vAlign w:val="center"/>
          </w:tcPr>
          <w:p w14:paraId="1B4564C1">
            <w:pPr>
              <w:jc w:val="center"/>
              <w:rPr>
                <w:rFonts w:ascii="宋体" w:cs="宋体"/>
                <w:szCs w:val="21"/>
              </w:rPr>
            </w:pPr>
          </w:p>
        </w:tc>
      </w:tr>
      <w:tr w14:paraId="1EBA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7A14C313">
            <w:pPr>
              <w:jc w:val="center"/>
              <w:rPr>
                <w:rFonts w:hint="eastAsia" w:ascii="宋体" w:eastAsia="宋体" w:cs="宋体"/>
                <w:szCs w:val="21"/>
                <w:lang w:val="en-US" w:eastAsia="zh-CN"/>
              </w:rPr>
            </w:pPr>
          </w:p>
        </w:tc>
        <w:tc>
          <w:tcPr>
            <w:tcW w:w="4415" w:type="dxa"/>
            <w:vAlign w:val="center"/>
          </w:tcPr>
          <w:p w14:paraId="76949493">
            <w:pPr>
              <w:spacing w:line="300" w:lineRule="auto"/>
              <w:jc w:val="left"/>
              <w:rPr>
                <w:rFonts w:ascii="宋体" w:cs="宋体"/>
                <w:szCs w:val="21"/>
              </w:rPr>
            </w:pPr>
          </w:p>
        </w:tc>
        <w:tc>
          <w:tcPr>
            <w:tcW w:w="1543" w:type="dxa"/>
            <w:vAlign w:val="center"/>
          </w:tcPr>
          <w:p w14:paraId="3484A0B7">
            <w:pPr>
              <w:jc w:val="center"/>
              <w:rPr>
                <w:rFonts w:ascii="宋体" w:cs="宋体"/>
                <w:szCs w:val="21"/>
              </w:rPr>
            </w:pPr>
          </w:p>
        </w:tc>
        <w:tc>
          <w:tcPr>
            <w:tcW w:w="2361" w:type="dxa"/>
            <w:vAlign w:val="center"/>
          </w:tcPr>
          <w:p w14:paraId="27F555D1">
            <w:pPr>
              <w:jc w:val="center"/>
              <w:rPr>
                <w:rFonts w:ascii="宋体" w:cs="宋体"/>
                <w:szCs w:val="21"/>
              </w:rPr>
            </w:pPr>
          </w:p>
        </w:tc>
      </w:tr>
    </w:tbl>
    <w:p w14:paraId="30640822">
      <w:pPr>
        <w:spacing w:line="500" w:lineRule="exact"/>
        <w:ind w:firstLine="420" w:firstLineChars="200"/>
        <w:rPr>
          <w:rFonts w:ascii="宋体" w:hAnsi="宋体" w:cs="宋体"/>
        </w:rPr>
      </w:pPr>
      <w:r>
        <w:rPr>
          <w:rFonts w:hint="eastAsia" w:ascii="宋体" w:hAnsi="宋体" w:cs="宋体"/>
        </w:rPr>
        <w:t>注：1.本表只填写投标文件中与招标文件有偏离（包括正偏离和负偏离）的内容，投标文件中商务响应与招标文件要求完全一致的，不用在此表中列出，但必须提交空白表。</w:t>
      </w:r>
    </w:p>
    <w:p w14:paraId="278ED032">
      <w:pPr>
        <w:spacing w:line="500" w:lineRule="exact"/>
        <w:ind w:firstLine="420" w:firstLineChars="200"/>
        <w:rPr>
          <w:rFonts w:ascii="宋体" w:hAnsi="宋体" w:cs="宋体"/>
        </w:rPr>
      </w:pPr>
      <w:r>
        <w:rPr>
          <w:rFonts w:hint="eastAsia" w:ascii="宋体" w:hAnsi="宋体" w:cs="宋体"/>
        </w:rPr>
        <w:t>2.投标人必须据实填写，不得虚假响应，否则将取消其投标或中标资格，并按有关规定进处罚。</w:t>
      </w:r>
    </w:p>
    <w:p w14:paraId="48DB1CC7">
      <w:pPr>
        <w:spacing w:before="312" w:beforeLines="100" w:line="480" w:lineRule="auto"/>
        <w:jc w:val="right"/>
        <w:rPr>
          <w:rFonts w:ascii="宋体" w:hAnsi="宋体" w:cs="宋体"/>
          <w:sz w:val="24"/>
          <w:lang w:bidi="ar"/>
        </w:rPr>
      </w:pPr>
    </w:p>
    <w:p w14:paraId="5411B3DA">
      <w:pPr>
        <w:spacing w:before="312" w:beforeLines="100" w:line="480" w:lineRule="auto"/>
        <w:jc w:val="right"/>
        <w:rPr>
          <w:rFonts w:ascii="宋体" w:hAnsi="宋体" w:cs="宋体"/>
          <w:sz w:val="24"/>
          <w:lang w:bidi="ar"/>
        </w:rPr>
      </w:pPr>
    </w:p>
    <w:p w14:paraId="7DF55C90">
      <w:pPr>
        <w:spacing w:line="480" w:lineRule="auto"/>
        <w:jc w:val="right"/>
        <w:rPr>
          <w:rFonts w:ascii="宋体" w:hAnsi="宋体" w:cs="宋体"/>
          <w:szCs w:val="21"/>
        </w:rPr>
      </w:pPr>
      <w:bookmarkStart w:id="175" w:name="_Toc767"/>
      <w:bookmarkStart w:id="176" w:name="_Toc8605"/>
      <w:bookmarkStart w:id="177" w:name="_Toc22502"/>
      <w:bookmarkStart w:id="178" w:name="_Toc18235"/>
      <w:r>
        <w:rPr>
          <w:rFonts w:hint="eastAsia" w:ascii="宋体" w:hAnsi="宋体" w:cs="宋体"/>
          <w:szCs w:val="21"/>
          <w:lang w:bidi="ar"/>
        </w:rPr>
        <w:t>投标人：</w:t>
      </w:r>
      <w:r>
        <w:rPr>
          <w:rFonts w:hint="eastAsia" w:ascii="宋体" w:hAnsi="宋体" w:cs="宋体"/>
          <w:szCs w:val="21"/>
          <w:u w:val="single"/>
          <w:lang w:bidi="ar"/>
        </w:rPr>
        <w:t xml:space="preserve">          </w:t>
      </w:r>
      <w:r>
        <w:rPr>
          <w:rFonts w:hint="eastAsia" w:ascii="宋体" w:hAnsi="宋体" w:cs="宋体"/>
          <w:szCs w:val="21"/>
          <w:u w:val="single"/>
          <w:lang w:val="en-US" w:eastAsia="zh-CN" w:bidi="ar"/>
        </w:rPr>
        <w:t xml:space="preserve">                </w:t>
      </w:r>
      <w:r>
        <w:rPr>
          <w:rFonts w:hint="eastAsia" w:ascii="宋体" w:hAnsi="宋体" w:cs="宋体"/>
          <w:szCs w:val="21"/>
          <w:u w:val="single"/>
          <w:lang w:bidi="ar"/>
        </w:rPr>
        <w:t xml:space="preserve">                   </w:t>
      </w:r>
      <w:r>
        <w:rPr>
          <w:rFonts w:hint="eastAsia" w:ascii="宋体" w:hAnsi="宋体" w:cs="宋体"/>
          <w:szCs w:val="21"/>
          <w:lang w:bidi="ar"/>
        </w:rPr>
        <w:t>（盖单位章）</w:t>
      </w:r>
    </w:p>
    <w:p w14:paraId="2B6B214E">
      <w:pPr>
        <w:spacing w:line="480" w:lineRule="auto"/>
        <w:jc w:val="right"/>
        <w:rPr>
          <w:rFonts w:ascii="宋体" w:hAnsi="宋体" w:cs="宋体"/>
          <w:szCs w:val="21"/>
        </w:rPr>
      </w:pPr>
      <w:r>
        <w:rPr>
          <w:rFonts w:hint="eastAsia" w:ascii="宋体" w:hAnsi="宋体" w:cs="宋体"/>
          <w:szCs w:val="21"/>
          <w:lang w:eastAsia="zh-CN" w:bidi="ar"/>
        </w:rPr>
        <w:t>法定代表人（负责人）</w:t>
      </w:r>
      <w:r>
        <w:rPr>
          <w:rFonts w:hint="eastAsia" w:ascii="宋体" w:hAnsi="宋体" w:cs="宋体"/>
          <w:szCs w:val="21"/>
          <w:lang w:bidi="ar"/>
        </w:rPr>
        <w:t>或其委托代理人：</w:t>
      </w:r>
      <w:r>
        <w:rPr>
          <w:rFonts w:hint="eastAsia" w:ascii="宋体" w:hAnsi="宋体" w:cs="宋体"/>
          <w:szCs w:val="21"/>
          <w:u w:val="single"/>
          <w:lang w:bidi="ar"/>
        </w:rPr>
        <w:t xml:space="preserve">               </w:t>
      </w:r>
      <w:r>
        <w:rPr>
          <w:rFonts w:hint="eastAsia" w:ascii="宋体" w:hAnsi="宋体" w:cs="宋体"/>
          <w:szCs w:val="21"/>
          <w:lang w:bidi="ar"/>
        </w:rPr>
        <w:t xml:space="preserve">（签字或盖章） </w:t>
      </w:r>
    </w:p>
    <w:p w14:paraId="6F2D9E5C">
      <w:pPr>
        <w:spacing w:line="480" w:lineRule="auto"/>
        <w:ind w:firstLine="4620" w:firstLineChars="2200"/>
        <w:jc w:val="right"/>
        <w:rPr>
          <w:rFonts w:ascii="宋体" w:hAnsi="宋体" w:cs="宋体"/>
          <w:szCs w:val="21"/>
          <w:lang w:bidi="ar"/>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627FD8AD">
      <w:pPr>
        <w:rPr>
          <w:rFonts w:ascii="宋体" w:hAnsi="宋体"/>
          <w:b/>
          <w:bCs/>
          <w:sz w:val="32"/>
          <w:szCs w:val="32"/>
        </w:rPr>
      </w:pPr>
      <w:r>
        <w:rPr>
          <w:rFonts w:hint="eastAsia" w:ascii="宋体" w:hAnsi="宋体"/>
          <w:b/>
          <w:bCs/>
          <w:sz w:val="32"/>
          <w:szCs w:val="32"/>
        </w:rPr>
        <w:br w:type="page"/>
      </w:r>
    </w:p>
    <w:bookmarkEnd w:id="147"/>
    <w:bookmarkEnd w:id="148"/>
    <w:bookmarkEnd w:id="149"/>
    <w:bookmarkEnd w:id="175"/>
    <w:bookmarkEnd w:id="176"/>
    <w:bookmarkEnd w:id="177"/>
    <w:bookmarkEnd w:id="178"/>
    <w:p w14:paraId="28B7C636">
      <w:pPr>
        <w:pStyle w:val="3"/>
        <w:bidi w:val="0"/>
        <w:ind w:left="0" w:firstLine="0"/>
        <w:rPr>
          <w:rFonts w:hint="eastAsia" w:ascii="宋体" w:hAnsi="宋体" w:eastAsia="宋体"/>
          <w:sz w:val="28"/>
          <w:szCs w:val="22"/>
        </w:rPr>
      </w:pPr>
      <w:r>
        <w:rPr>
          <w:rFonts w:hint="eastAsia"/>
          <w:sz w:val="28"/>
          <w:szCs w:val="22"/>
          <w:lang w:val="en-US" w:eastAsia="zh-CN"/>
        </w:rPr>
        <w:t>六</w:t>
      </w:r>
      <w:r>
        <w:rPr>
          <w:rFonts w:hint="eastAsia" w:ascii="宋体" w:hAnsi="宋体" w:eastAsia="宋体"/>
          <w:sz w:val="28"/>
          <w:szCs w:val="22"/>
          <w:lang w:val="en-US" w:eastAsia="zh-CN"/>
        </w:rPr>
        <w:t>、</w:t>
      </w:r>
      <w:r>
        <w:rPr>
          <w:rFonts w:hint="eastAsia" w:ascii="宋体" w:hAnsi="宋体" w:eastAsia="宋体"/>
          <w:sz w:val="28"/>
          <w:szCs w:val="22"/>
        </w:rPr>
        <w:t>其他资料</w:t>
      </w:r>
    </w:p>
    <w:p w14:paraId="66C148AC">
      <w:pPr>
        <w:spacing w:line="360" w:lineRule="auto"/>
        <w:jc w:val="center"/>
        <w:rPr>
          <w:rFonts w:hint="eastAsia" w:ascii="宋体" w:hAnsi="宋体" w:eastAsia="宋体" w:cs="Times New Roman"/>
          <w:b/>
          <w:sz w:val="28"/>
          <w:szCs w:val="28"/>
          <w:lang w:eastAsia="zh-CN"/>
        </w:rPr>
      </w:pP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1</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中小企业声明函</w:t>
      </w:r>
    </w:p>
    <w:p w14:paraId="09D56DFC">
      <w:pPr>
        <w:pStyle w:val="9"/>
        <w:spacing w:line="360" w:lineRule="auto"/>
        <w:ind w:right="415" w:firstLine="420" w:firstLineChars="200"/>
        <w:rPr>
          <w:rFonts w:hint="eastAsia" w:ascii="宋体" w:hAnsi="宋体" w:cs="宋体"/>
          <w:sz w:val="21"/>
          <w:szCs w:val="21"/>
        </w:rPr>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标包名称</w:t>
      </w:r>
      <w:r>
        <w:rPr>
          <w:rFonts w:hint="eastAsia" w:ascii="宋体" w:hAnsi="宋体" w:cs="宋体"/>
          <w:sz w:val="21"/>
          <w:szCs w:val="21"/>
          <w:u w:val="single"/>
        </w:rPr>
        <w:t>）</w:t>
      </w:r>
      <w:r>
        <w:rPr>
          <w:rFonts w:hint="eastAsia" w:ascii="宋体" w:hAnsi="宋体" w:cs="宋体"/>
          <w:sz w:val="21"/>
          <w:szCs w:val="21"/>
        </w:rPr>
        <w:t>采购活动，提供的货物全部由符合政策要求的中小企业制造。相关企业 （含联合体中的中小企业、签订分包意向协议的中小企业</w:t>
      </w:r>
      <w:r>
        <w:rPr>
          <w:rFonts w:hint="eastAsia" w:ascii="宋体" w:hAnsi="宋体" w:cs="宋体"/>
          <w:sz w:val="21"/>
          <w:szCs w:val="21"/>
          <w:lang w:eastAsia="zh-CN"/>
        </w:rPr>
        <w:t>）</w:t>
      </w:r>
      <w:r>
        <w:rPr>
          <w:rFonts w:hint="eastAsia" w:ascii="宋体" w:hAnsi="宋体" w:cs="宋体"/>
          <w:sz w:val="21"/>
          <w:szCs w:val="21"/>
        </w:rPr>
        <w:t>的具体情况如下：</w:t>
      </w:r>
    </w:p>
    <w:p w14:paraId="488373F1">
      <w:pPr>
        <w:pStyle w:val="29"/>
        <w:keepNext w:val="0"/>
        <w:keepLines w:val="0"/>
        <w:pageBreakBefore w:val="0"/>
        <w:widowControl w:val="0"/>
        <w:tabs>
          <w:tab w:val="left" w:pos="1243"/>
        </w:tabs>
        <w:kinsoku/>
        <w:wordWrap/>
        <w:overflowPunct/>
        <w:topLinePunct w:val="0"/>
        <w:autoSpaceDE/>
        <w:autoSpaceDN/>
        <w:bidi w:val="0"/>
        <w:adjustRightInd/>
        <w:snapToGrid/>
        <w:spacing w:line="360" w:lineRule="auto"/>
        <w:ind w:left="0" w:leftChars="0" w:right="0" w:firstLine="480"/>
        <w:textAlignment w:val="auto"/>
        <w:rPr>
          <w:rFonts w:hint="eastAsia" w:ascii="宋体" w:hAnsi="宋体" w:cs="宋体"/>
          <w:iCs/>
          <w:sz w:val="21"/>
          <w:szCs w:val="21"/>
        </w:rPr>
      </w:pPr>
      <w:r>
        <w:rPr>
          <w:rFonts w:hint="eastAsia" w:ascii="宋体" w:hAnsi="宋体" w:cs="宋体"/>
          <w:iCs/>
          <w:sz w:val="21"/>
          <w:szCs w:val="21"/>
        </w:rPr>
        <w:t>1、</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607C1DB">
      <w:pPr>
        <w:pStyle w:val="29"/>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360" w:lineRule="auto"/>
        <w:ind w:left="0" w:leftChars="0" w:right="0" w:firstLine="480"/>
        <w:jc w:val="left"/>
        <w:textAlignment w:val="auto"/>
        <w:rPr>
          <w:rFonts w:hint="eastAsia" w:ascii="宋体" w:hAnsi="宋体" w:cs="宋体"/>
          <w:iCs/>
          <w:sz w:val="21"/>
          <w:szCs w:val="21"/>
        </w:rPr>
      </w:pPr>
      <w:r>
        <w:rPr>
          <w:rFonts w:hint="eastAsia" w:ascii="宋体" w:hAnsi="宋体" w:cs="宋体"/>
          <w:iCs/>
          <w:sz w:val="21"/>
          <w:szCs w:val="21"/>
        </w:rPr>
        <w:t>2、</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lang w:val="en-US" w:eastAsia="zh-CN"/>
        </w:rPr>
        <w:t xml:space="preserve">     </w:t>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3D8A8B3">
      <w:pPr>
        <w:pStyle w:val="9"/>
        <w:spacing w:before="11" w:line="360" w:lineRule="auto"/>
        <w:ind w:left="860" w:firstLine="420" w:firstLineChars="200"/>
        <w:rPr>
          <w:rFonts w:hint="eastAsia" w:ascii="宋体" w:hAnsi="宋体" w:cs="宋体"/>
          <w:sz w:val="21"/>
          <w:szCs w:val="21"/>
        </w:rPr>
      </w:pPr>
      <w:r>
        <w:rPr>
          <w:rFonts w:hint="eastAsia" w:ascii="宋体" w:hAnsi="宋体" w:cs="宋体"/>
          <w:sz w:val="21"/>
          <w:szCs w:val="21"/>
        </w:rPr>
        <w:t>……</w:t>
      </w:r>
    </w:p>
    <w:p w14:paraId="2A1CA9F6">
      <w:pPr>
        <w:pStyle w:val="9"/>
        <w:spacing w:before="108" w:line="360" w:lineRule="auto"/>
        <w:ind w:right="417" w:firstLine="420" w:firstLineChars="200"/>
        <w:rPr>
          <w:rFonts w:hint="eastAsia"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5FF1AAFA">
      <w:pPr>
        <w:pStyle w:val="9"/>
        <w:spacing w:line="360" w:lineRule="auto"/>
        <w:ind w:right="375" w:firstLine="420" w:firstLineChars="200"/>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046D766C">
      <w:pPr>
        <w:pStyle w:val="9"/>
        <w:spacing w:before="29" w:line="360" w:lineRule="auto"/>
        <w:ind w:left="4060" w:right="2166" w:firstLine="420" w:firstLineChars="200"/>
        <w:rPr>
          <w:rFonts w:hint="eastAsia" w:ascii="宋体" w:hAnsi="宋体" w:cs="宋体"/>
          <w:sz w:val="21"/>
          <w:szCs w:val="21"/>
        </w:rPr>
      </w:pPr>
    </w:p>
    <w:p w14:paraId="76D8FC46">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企业名称（盖章）：</w:t>
      </w:r>
    </w:p>
    <w:p w14:paraId="3DABC269">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日期：</w:t>
      </w:r>
    </w:p>
    <w:p w14:paraId="632AD322">
      <w:pPr>
        <w:spacing w:line="360" w:lineRule="auto"/>
        <w:rPr>
          <w:rFonts w:hint="eastAsia" w:ascii="宋体" w:hAnsi="宋体"/>
          <w:sz w:val="24"/>
          <w:szCs w:val="24"/>
        </w:rPr>
      </w:pPr>
    </w:p>
    <w:p w14:paraId="36216B04">
      <w:pPr>
        <w:spacing w:line="360" w:lineRule="auto"/>
        <w:rPr>
          <w:rFonts w:hint="eastAsia" w:ascii="宋体" w:hAnsi="宋体"/>
          <w:sz w:val="24"/>
          <w:szCs w:val="24"/>
        </w:rPr>
      </w:pPr>
    </w:p>
    <w:p w14:paraId="5F791662">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备注：从业人员、营业收入、资产总额填报上一年度数据，无上一年度数据的新成立企业可不填报。</w:t>
      </w:r>
    </w:p>
    <w:p w14:paraId="761C38EF">
      <w:pPr>
        <w:spacing w:line="360" w:lineRule="auto"/>
        <w:ind w:firstLine="422" w:firstLineChars="200"/>
        <w:jc w:val="left"/>
        <w:rPr>
          <w:rFonts w:ascii="宋体" w:hAnsi="宋体"/>
          <w:b/>
          <w:bCs/>
          <w:sz w:val="21"/>
          <w:szCs w:val="21"/>
        </w:rPr>
      </w:pPr>
    </w:p>
    <w:p w14:paraId="7A84BA19">
      <w:pPr>
        <w:spacing w:line="360" w:lineRule="auto"/>
        <w:ind w:firstLine="422" w:firstLineChars="200"/>
        <w:jc w:val="left"/>
        <w:rPr>
          <w:rFonts w:ascii="宋体" w:hAnsi="宋体"/>
          <w:b/>
          <w:bCs/>
          <w:sz w:val="21"/>
          <w:szCs w:val="21"/>
        </w:rPr>
      </w:pPr>
      <w:r>
        <w:rPr>
          <w:rFonts w:hint="eastAsia" w:ascii="宋体" w:hAnsi="宋体"/>
          <w:b/>
          <w:bCs/>
          <w:sz w:val="21"/>
          <w:szCs w:val="21"/>
        </w:rPr>
        <w:t>本项目所属行业为：工业</w:t>
      </w:r>
    </w:p>
    <w:p w14:paraId="6970AEF1">
      <w:pPr>
        <w:spacing w:line="360" w:lineRule="auto"/>
        <w:jc w:val="center"/>
        <w:rPr>
          <w:rFonts w:hint="eastAsia" w:ascii="宋体" w:hAnsi="宋体" w:eastAsia="宋体"/>
          <w:b/>
          <w:sz w:val="21"/>
          <w:szCs w:val="21"/>
          <w:lang w:eastAsia="zh-CN"/>
        </w:rPr>
      </w:pPr>
      <w:r>
        <w:rPr>
          <w:rFonts w:ascii="宋体" w:hAnsi="宋体"/>
          <w:sz w:val="24"/>
          <w:szCs w:val="24"/>
        </w:rPr>
        <w:br w:type="column"/>
      </w: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2</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残疾人福利性单位声明函</w:t>
      </w:r>
      <w:r>
        <w:rPr>
          <w:rFonts w:hint="eastAsia" w:ascii="宋体" w:hAnsi="宋体" w:eastAsia="宋体" w:cs="Times New Roman"/>
          <w:b/>
          <w:sz w:val="28"/>
          <w:szCs w:val="28"/>
          <w:lang w:eastAsia="zh-CN"/>
        </w:rPr>
        <w:t>（</w:t>
      </w:r>
      <w:r>
        <w:rPr>
          <w:rFonts w:hint="eastAsia" w:ascii="宋体" w:hAnsi="宋体" w:eastAsia="宋体" w:cs="Times New Roman"/>
          <w:b/>
          <w:sz w:val="28"/>
          <w:szCs w:val="28"/>
          <w:lang w:val="en-US" w:eastAsia="zh-CN"/>
        </w:rPr>
        <w:t>若是</w:t>
      </w:r>
      <w:r>
        <w:rPr>
          <w:rFonts w:hint="eastAsia" w:ascii="宋体" w:hAnsi="宋体" w:eastAsia="宋体" w:cs="Times New Roman"/>
          <w:b/>
          <w:sz w:val="28"/>
          <w:szCs w:val="28"/>
          <w:lang w:eastAsia="zh-CN"/>
        </w:rPr>
        <w:t>）</w:t>
      </w:r>
    </w:p>
    <w:p w14:paraId="4828BE5B">
      <w:pPr>
        <w:spacing w:line="360" w:lineRule="auto"/>
        <w:ind w:firstLine="420" w:firstLineChars="200"/>
        <w:rPr>
          <w:rFonts w:hint="eastAsia" w:ascii="宋体" w:hAnsi="宋体"/>
          <w:sz w:val="21"/>
          <w:szCs w:val="21"/>
        </w:rPr>
      </w:pPr>
    </w:p>
    <w:p w14:paraId="2C9C29BF">
      <w:pPr>
        <w:spacing w:line="360" w:lineRule="auto"/>
        <w:ind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项目采购活动提供本单位制造的货物（由本单位承担工程/提供服务），或者提供其他残疾人福利性单位制造的货物（不包括使用非残疾人福利性单位注册商标的货物）。</w:t>
      </w:r>
    </w:p>
    <w:p w14:paraId="4F7D8B12">
      <w:pPr>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4B228B0C">
      <w:pPr>
        <w:spacing w:line="360" w:lineRule="auto"/>
        <w:rPr>
          <w:rFonts w:ascii="宋体" w:hAnsi="宋体"/>
          <w:sz w:val="21"/>
          <w:szCs w:val="21"/>
        </w:rPr>
      </w:pPr>
    </w:p>
    <w:p w14:paraId="6AB6058A">
      <w:pPr>
        <w:spacing w:line="360" w:lineRule="auto"/>
        <w:rPr>
          <w:rFonts w:ascii="宋体" w:hAnsi="宋体"/>
          <w:sz w:val="21"/>
          <w:szCs w:val="21"/>
        </w:rPr>
      </w:pPr>
    </w:p>
    <w:p w14:paraId="4A8614C0">
      <w:pPr>
        <w:spacing w:line="360" w:lineRule="auto"/>
        <w:rPr>
          <w:rFonts w:ascii="宋体" w:hAnsi="宋体"/>
          <w:sz w:val="21"/>
          <w:szCs w:val="21"/>
        </w:rPr>
      </w:pPr>
      <w:r>
        <w:rPr>
          <w:rFonts w:hint="eastAsia" w:ascii="宋体" w:hAnsi="宋体"/>
          <w:sz w:val="21"/>
          <w:szCs w:val="21"/>
        </w:rPr>
        <w:t>投标人：</w:t>
      </w:r>
      <w:r>
        <w:rPr>
          <w:rFonts w:hint="eastAsia" w:ascii="宋体" w:hAnsi="宋体"/>
          <w:sz w:val="21"/>
          <w:szCs w:val="21"/>
          <w:u w:val="single"/>
        </w:rPr>
        <w:t xml:space="preserve">     （单位全称及公章）     </w:t>
      </w:r>
    </w:p>
    <w:p w14:paraId="2A5D5017">
      <w:pPr>
        <w:spacing w:line="360" w:lineRule="auto"/>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日</w:t>
      </w:r>
    </w:p>
    <w:p w14:paraId="1C8D2FDD">
      <w:pPr>
        <w:spacing w:line="360" w:lineRule="auto"/>
        <w:rPr>
          <w:rFonts w:hint="eastAsia" w:ascii="宋体" w:hAnsi="宋体"/>
          <w:sz w:val="21"/>
          <w:szCs w:val="21"/>
        </w:rPr>
      </w:pPr>
    </w:p>
    <w:p w14:paraId="7D48014C">
      <w:pPr>
        <w:spacing w:line="360" w:lineRule="auto"/>
        <w:rPr>
          <w:rFonts w:hint="eastAsia" w:ascii="宋体" w:hAnsi="宋体"/>
          <w:sz w:val="21"/>
          <w:szCs w:val="21"/>
        </w:rPr>
      </w:pPr>
    </w:p>
    <w:p w14:paraId="744FF667">
      <w:pPr>
        <w:spacing w:line="360" w:lineRule="auto"/>
        <w:rPr>
          <w:rFonts w:hint="eastAsia" w:ascii="宋体" w:hAnsi="宋体"/>
          <w:sz w:val="21"/>
          <w:szCs w:val="21"/>
        </w:rPr>
      </w:pPr>
    </w:p>
    <w:p w14:paraId="1F1475F0">
      <w:pPr>
        <w:spacing w:line="360" w:lineRule="auto"/>
        <w:rPr>
          <w:rFonts w:hint="eastAsia" w:ascii="宋体" w:hAnsi="宋体"/>
          <w:sz w:val="21"/>
          <w:szCs w:val="21"/>
        </w:rPr>
      </w:pPr>
      <w:r>
        <w:rPr>
          <w:rFonts w:hint="eastAsia" w:ascii="宋体" w:hAnsi="宋体"/>
          <w:sz w:val="21"/>
          <w:szCs w:val="21"/>
        </w:rPr>
        <w:t>注：非残疾人福利性单位不需提供此声明函</w:t>
      </w:r>
    </w:p>
    <w:p w14:paraId="29432345">
      <w:pPr>
        <w:spacing w:line="360" w:lineRule="auto"/>
        <w:rPr>
          <w:rFonts w:hint="eastAsia" w:ascii="宋体" w:hAnsi="宋体"/>
          <w:sz w:val="24"/>
          <w:szCs w:val="24"/>
        </w:rPr>
      </w:pPr>
    </w:p>
    <w:p w14:paraId="49BB8F8C">
      <w:pPr>
        <w:spacing w:line="360" w:lineRule="auto"/>
        <w:rPr>
          <w:rFonts w:hint="eastAsia" w:ascii="宋体" w:hAnsi="宋体"/>
          <w:sz w:val="24"/>
          <w:szCs w:val="24"/>
        </w:rPr>
      </w:pPr>
    </w:p>
    <w:p w14:paraId="12497B39">
      <w:pPr>
        <w:spacing w:line="360" w:lineRule="auto"/>
        <w:rPr>
          <w:rFonts w:hint="eastAsia" w:ascii="宋体" w:hAnsi="宋体"/>
          <w:sz w:val="24"/>
          <w:szCs w:val="24"/>
        </w:rPr>
      </w:pPr>
    </w:p>
    <w:p w14:paraId="074C4397">
      <w:pPr>
        <w:spacing w:line="360" w:lineRule="auto"/>
        <w:rPr>
          <w:rFonts w:hint="eastAsia" w:ascii="宋体" w:hAnsi="宋体"/>
          <w:sz w:val="24"/>
          <w:szCs w:val="24"/>
        </w:rPr>
      </w:pPr>
    </w:p>
    <w:p w14:paraId="5502F529">
      <w:pPr>
        <w:spacing w:line="360" w:lineRule="auto"/>
        <w:rPr>
          <w:rFonts w:hint="eastAsia" w:ascii="宋体" w:hAnsi="宋体"/>
          <w:sz w:val="24"/>
          <w:szCs w:val="24"/>
        </w:rPr>
      </w:pPr>
    </w:p>
    <w:p w14:paraId="5570AA25">
      <w:pPr>
        <w:spacing w:line="360" w:lineRule="auto"/>
        <w:rPr>
          <w:rFonts w:hint="eastAsia" w:ascii="宋体" w:hAnsi="宋体"/>
          <w:sz w:val="24"/>
          <w:szCs w:val="24"/>
        </w:rPr>
      </w:pPr>
    </w:p>
    <w:p w14:paraId="7224416E">
      <w:pPr>
        <w:spacing w:line="360" w:lineRule="auto"/>
        <w:rPr>
          <w:rFonts w:hint="eastAsia" w:ascii="宋体" w:hAnsi="宋体"/>
          <w:sz w:val="24"/>
          <w:szCs w:val="24"/>
        </w:rPr>
      </w:pPr>
    </w:p>
    <w:p w14:paraId="570606F0">
      <w:pPr>
        <w:spacing w:line="360" w:lineRule="auto"/>
        <w:rPr>
          <w:rFonts w:hint="eastAsia" w:ascii="宋体" w:hAnsi="宋体"/>
          <w:sz w:val="24"/>
          <w:szCs w:val="24"/>
        </w:rPr>
      </w:pPr>
    </w:p>
    <w:p w14:paraId="58B348BA">
      <w:pPr>
        <w:spacing w:line="360" w:lineRule="auto"/>
        <w:rPr>
          <w:rFonts w:hint="eastAsia" w:ascii="宋体" w:hAnsi="宋体"/>
          <w:sz w:val="24"/>
          <w:szCs w:val="24"/>
        </w:rPr>
      </w:pPr>
    </w:p>
    <w:p w14:paraId="07DC2ECF">
      <w:pPr>
        <w:spacing w:line="360" w:lineRule="auto"/>
        <w:rPr>
          <w:rFonts w:hint="eastAsia" w:ascii="宋体" w:hAnsi="宋体"/>
          <w:sz w:val="24"/>
          <w:szCs w:val="24"/>
        </w:rPr>
      </w:pPr>
    </w:p>
    <w:p w14:paraId="1E141E52">
      <w:pPr>
        <w:spacing w:line="360" w:lineRule="auto"/>
        <w:rPr>
          <w:rFonts w:hint="eastAsia" w:ascii="宋体" w:hAnsi="宋体"/>
          <w:sz w:val="24"/>
          <w:szCs w:val="24"/>
        </w:rPr>
      </w:pPr>
    </w:p>
    <w:p w14:paraId="2C5C567E">
      <w:pPr>
        <w:spacing w:line="360" w:lineRule="auto"/>
        <w:rPr>
          <w:rFonts w:hint="eastAsia" w:ascii="宋体" w:hAnsi="宋体"/>
          <w:sz w:val="24"/>
          <w:szCs w:val="24"/>
        </w:rPr>
      </w:pPr>
    </w:p>
    <w:p w14:paraId="42286CDA">
      <w:pPr>
        <w:spacing w:line="360" w:lineRule="auto"/>
        <w:rPr>
          <w:rFonts w:hint="eastAsia" w:ascii="宋体" w:hAnsi="宋体"/>
          <w:sz w:val="24"/>
          <w:szCs w:val="24"/>
        </w:rPr>
      </w:pPr>
    </w:p>
    <w:p w14:paraId="413E2620">
      <w:pPr>
        <w:spacing w:line="360" w:lineRule="auto"/>
        <w:rPr>
          <w:rFonts w:hint="eastAsia" w:ascii="宋体" w:hAnsi="宋体"/>
          <w:sz w:val="24"/>
          <w:szCs w:val="24"/>
        </w:rPr>
      </w:pPr>
    </w:p>
    <w:p w14:paraId="583E2586">
      <w:pPr>
        <w:spacing w:line="360" w:lineRule="auto"/>
        <w:jc w:val="center"/>
        <w:rPr>
          <w:rFonts w:ascii="宋体" w:hAnsi="宋体"/>
          <w:b/>
          <w:sz w:val="28"/>
          <w:szCs w:val="28"/>
        </w:rPr>
      </w:pPr>
      <w:bookmarkStart w:id="179" w:name="_Toc27972"/>
      <w:r>
        <w:rPr>
          <w:rFonts w:hint="eastAsia" w:ascii="宋体" w:hAnsi="宋体"/>
          <w:b/>
          <w:sz w:val="28"/>
          <w:szCs w:val="28"/>
          <w:lang w:val="en-US" w:eastAsia="zh-CN"/>
        </w:rPr>
        <w:t>6-3、</w:t>
      </w:r>
      <w:r>
        <w:rPr>
          <w:rFonts w:hint="eastAsia" w:ascii="宋体" w:hAnsi="宋体"/>
          <w:b/>
          <w:sz w:val="28"/>
          <w:szCs w:val="28"/>
        </w:rPr>
        <w:t>监狱企业证明（若是）</w:t>
      </w:r>
    </w:p>
    <w:p w14:paraId="554A7099">
      <w:pPr>
        <w:widowControl/>
        <w:spacing w:line="360" w:lineRule="auto"/>
        <w:ind w:firstLine="420" w:firstLineChars="200"/>
        <w:jc w:val="left"/>
        <w:rPr>
          <w:rFonts w:ascii="宋体" w:hAnsi="宋体" w:cs="宋体"/>
          <w:color w:val="000000"/>
          <w:kern w:val="0"/>
          <w:szCs w:val="21"/>
          <w:lang w:bidi="ar"/>
        </w:rPr>
      </w:pPr>
    </w:p>
    <w:p w14:paraId="0CA304E2">
      <w:pPr>
        <w:spacing w:line="360" w:lineRule="auto"/>
        <w:ind w:firstLine="420" w:firstLineChars="200"/>
        <w:rPr>
          <w:rFonts w:hint="eastAsia" w:ascii="宋体" w:hAnsi="宋体"/>
          <w:sz w:val="21"/>
          <w:szCs w:val="21"/>
        </w:rPr>
      </w:pPr>
      <w:r>
        <w:rPr>
          <w:rFonts w:hint="eastAsia" w:ascii="宋体" w:hAnsi="宋体"/>
          <w:sz w:val="21"/>
          <w:szCs w:val="21"/>
        </w:rPr>
        <w:t>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D8EED4">
      <w:pPr>
        <w:spacing w:line="360" w:lineRule="auto"/>
        <w:ind w:firstLine="420" w:firstLineChars="200"/>
        <w:rPr>
          <w:sz w:val="24"/>
        </w:rPr>
      </w:pPr>
      <w:r>
        <w:rPr>
          <w:rFonts w:hint="eastAsia" w:ascii="宋体" w:hAnsi="宋体"/>
          <w:sz w:val="21"/>
          <w:szCs w:val="21"/>
        </w:rPr>
        <w:t>监狱企业参加政府采购活动时，应当提供由省级以上监狱管理局、戒毒管理局（含新疆生产建设兵团）出具的属于监狱企业的证明文件。</w:t>
      </w:r>
    </w:p>
    <w:p w14:paraId="0ED7255E">
      <w:pPr>
        <w:widowControl/>
        <w:spacing w:line="360" w:lineRule="auto"/>
        <w:jc w:val="left"/>
        <w:rPr>
          <w:rFonts w:ascii="宋体" w:hAnsi="宋体" w:cs="宋体"/>
          <w:color w:val="000000"/>
          <w:kern w:val="0"/>
          <w:szCs w:val="21"/>
          <w:lang w:bidi="ar"/>
        </w:rPr>
      </w:pPr>
    </w:p>
    <w:p w14:paraId="3DBBCF2F">
      <w:pPr>
        <w:rPr>
          <w:rFonts w:hint="eastAsia" w:ascii="宋体" w:hAnsi="宋体" w:eastAsia="宋体"/>
          <w:sz w:val="28"/>
          <w:szCs w:val="22"/>
          <w:lang w:val="en-US" w:eastAsia="zh-CN"/>
        </w:rPr>
      </w:pPr>
    </w:p>
    <w:p w14:paraId="28F053AB">
      <w:pPr>
        <w:rPr>
          <w:rFonts w:hint="eastAsia" w:ascii="宋体" w:hAnsi="宋体" w:eastAsia="宋体"/>
          <w:sz w:val="28"/>
          <w:szCs w:val="22"/>
          <w:lang w:val="en-US" w:eastAsia="zh-CN"/>
        </w:rPr>
      </w:pPr>
      <w:r>
        <w:rPr>
          <w:rFonts w:hint="eastAsia" w:ascii="宋体" w:hAnsi="宋体" w:eastAsia="宋体"/>
          <w:sz w:val="28"/>
          <w:szCs w:val="22"/>
          <w:lang w:val="en-US" w:eastAsia="zh-CN"/>
        </w:rPr>
        <w:br w:type="page"/>
      </w:r>
    </w:p>
    <w:p w14:paraId="63217518">
      <w:pPr>
        <w:spacing w:line="360" w:lineRule="auto"/>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6-4、投标人认为需要提供的其他资料</w:t>
      </w:r>
      <w:bookmarkEnd w:id="179"/>
    </w:p>
    <w:p w14:paraId="6EE450AA">
      <w:pPr>
        <w:rPr>
          <w:rFonts w:hint="eastAsia"/>
        </w:rPr>
      </w:pPr>
    </w:p>
    <w:p w14:paraId="0FB33C89">
      <w:pPr>
        <w:rPr>
          <w:rFonts w:hint="eastAsia"/>
        </w:rPr>
      </w:pPr>
    </w:p>
    <w:p w14:paraId="0EAB1C2B">
      <w:pPr>
        <w:rPr>
          <w:rFonts w:hint="eastAsia"/>
        </w:rPr>
      </w:pPr>
    </w:p>
    <w:p w14:paraId="509AAA99">
      <w:pPr>
        <w:rPr>
          <w:rFonts w:hint="eastAsia"/>
        </w:rPr>
      </w:pPr>
    </w:p>
    <w:p w14:paraId="4B57FAC1">
      <w:pPr>
        <w:rPr>
          <w:rFonts w:hint="eastAsia"/>
        </w:rPr>
      </w:pPr>
    </w:p>
    <w:p w14:paraId="248355A2">
      <w:pPr>
        <w:rPr>
          <w:rFonts w:hint="eastAsia"/>
        </w:rPr>
      </w:pPr>
    </w:p>
    <w:p w14:paraId="26A39A70">
      <w:pPr>
        <w:rPr>
          <w:rFonts w:hint="eastAsia"/>
        </w:rPr>
      </w:pPr>
    </w:p>
    <w:p w14:paraId="445472E0">
      <w:pPr>
        <w:rPr>
          <w:rFonts w:hint="eastAsia"/>
        </w:rPr>
      </w:pPr>
    </w:p>
    <w:p w14:paraId="5D29EBE5">
      <w:pPr>
        <w:rPr>
          <w:rFonts w:hint="eastAsia"/>
        </w:rPr>
      </w:pPr>
    </w:p>
    <w:p w14:paraId="11BC56F6">
      <w:pPr>
        <w:rPr>
          <w:rFonts w:hint="eastAsia"/>
        </w:rPr>
      </w:pPr>
    </w:p>
    <w:p w14:paraId="77DF0DA6">
      <w:pPr>
        <w:rPr>
          <w:rFonts w:hint="eastAsia"/>
        </w:rPr>
      </w:pPr>
    </w:p>
    <w:p w14:paraId="306C2849">
      <w:pPr>
        <w:rPr>
          <w:rFonts w:hint="eastAsia"/>
        </w:rPr>
      </w:pPr>
    </w:p>
    <w:p w14:paraId="5E4F3674">
      <w:pPr>
        <w:rPr>
          <w:rFonts w:hint="eastAsia"/>
        </w:rPr>
      </w:pPr>
    </w:p>
    <w:p w14:paraId="506427D4">
      <w:pPr>
        <w:rPr>
          <w:rFonts w:hint="eastAsia"/>
        </w:rPr>
      </w:pPr>
    </w:p>
    <w:p w14:paraId="6EA03DBD">
      <w:pPr>
        <w:rPr>
          <w:rFonts w:hint="eastAsia"/>
        </w:rPr>
      </w:pPr>
    </w:p>
    <w:p w14:paraId="4EB71CA8">
      <w:pPr>
        <w:rPr>
          <w:rFonts w:hint="eastAsia"/>
        </w:rPr>
      </w:pPr>
    </w:p>
    <w:p w14:paraId="1F78A136">
      <w:pPr>
        <w:rPr>
          <w:rFonts w:hint="eastAsia"/>
        </w:rPr>
      </w:pPr>
    </w:p>
    <w:p w14:paraId="309EF69A">
      <w:pPr>
        <w:rPr>
          <w:rFonts w:hint="eastAsia"/>
        </w:rPr>
      </w:pPr>
    </w:p>
    <w:p w14:paraId="095D72E7">
      <w:pPr>
        <w:rPr>
          <w:rFonts w:hint="eastAsia"/>
        </w:rPr>
      </w:pPr>
    </w:p>
    <w:p w14:paraId="6A66B6BA">
      <w:pPr>
        <w:rPr>
          <w:rFonts w:hint="eastAsia"/>
        </w:rPr>
      </w:pPr>
    </w:p>
    <w:p w14:paraId="0836DD2D">
      <w:pPr>
        <w:rPr>
          <w:rFonts w:hint="eastAsia"/>
        </w:rPr>
      </w:pPr>
    </w:p>
    <w:p w14:paraId="34921C64">
      <w:pPr>
        <w:rPr>
          <w:rFonts w:hint="eastAsia"/>
        </w:rPr>
      </w:pPr>
    </w:p>
    <w:p w14:paraId="7792969F">
      <w:pPr>
        <w:rPr>
          <w:rFonts w:hint="eastAsia"/>
        </w:rPr>
      </w:pPr>
    </w:p>
    <w:p w14:paraId="7CF45902">
      <w:pPr>
        <w:rPr>
          <w:rFonts w:hint="eastAsia"/>
        </w:rPr>
      </w:pPr>
    </w:p>
    <w:p w14:paraId="4A8F4804">
      <w:pPr>
        <w:rPr>
          <w:rFonts w:hint="eastAsia"/>
        </w:rPr>
      </w:pPr>
    </w:p>
    <w:p w14:paraId="1DC630A3">
      <w:pPr>
        <w:rPr>
          <w:rFonts w:hint="eastAsia"/>
        </w:rPr>
      </w:pPr>
    </w:p>
    <w:p w14:paraId="2F56A221">
      <w:pPr>
        <w:rPr>
          <w:rFonts w:hint="eastAsia"/>
        </w:rPr>
      </w:pPr>
    </w:p>
    <w:p w14:paraId="34CE65D1">
      <w:pPr>
        <w:rPr>
          <w:rFonts w:hint="eastAsia"/>
        </w:rPr>
      </w:pPr>
    </w:p>
    <w:p w14:paraId="2698FCB3">
      <w:pPr>
        <w:rPr>
          <w:rFonts w:hint="eastAsia"/>
        </w:rPr>
      </w:pPr>
    </w:p>
    <w:p w14:paraId="7D4EA81D">
      <w:pPr>
        <w:rPr>
          <w:rFonts w:hint="eastAsia"/>
        </w:rPr>
      </w:pPr>
    </w:p>
    <w:p w14:paraId="01F22FDD">
      <w:pPr>
        <w:rPr>
          <w:rFonts w:hint="eastAsia"/>
        </w:rPr>
      </w:pPr>
    </w:p>
    <w:p w14:paraId="18BFF342">
      <w:pPr>
        <w:rPr>
          <w:rFonts w:hint="eastAsia"/>
        </w:rPr>
      </w:pPr>
    </w:p>
    <w:p w14:paraId="0B962DAA">
      <w:pPr>
        <w:rPr>
          <w:rFonts w:hint="eastAsia"/>
        </w:rPr>
      </w:pPr>
    </w:p>
    <w:p w14:paraId="117596B2">
      <w:pPr>
        <w:rPr>
          <w:rFonts w:hint="eastAsia"/>
        </w:rPr>
      </w:pPr>
    </w:p>
    <w:p w14:paraId="0B262EAF">
      <w:pPr>
        <w:rPr>
          <w:rFonts w:hint="eastAsia"/>
        </w:rPr>
      </w:pPr>
    </w:p>
    <w:p w14:paraId="0CEC9ADB">
      <w:pPr>
        <w:rPr>
          <w:rFonts w:hint="eastAsia"/>
        </w:rPr>
      </w:pPr>
    </w:p>
    <w:p w14:paraId="2248E2B8">
      <w:pPr>
        <w:rPr>
          <w:rFonts w:hint="eastAsia"/>
        </w:rPr>
      </w:pPr>
    </w:p>
    <w:p w14:paraId="6CC09824">
      <w:pPr>
        <w:rPr>
          <w:rFonts w:hint="eastAsia"/>
        </w:rPr>
      </w:pPr>
    </w:p>
    <w:p w14:paraId="61836F8F">
      <w:pPr>
        <w:rPr>
          <w:rFonts w:hint="eastAsia"/>
        </w:rPr>
      </w:pPr>
    </w:p>
    <w:p w14:paraId="412A1127">
      <w:pPr>
        <w:rPr>
          <w:rFonts w:hint="eastAsia"/>
        </w:rPr>
      </w:pPr>
      <w:r>
        <w:rPr>
          <w:rFonts w:hint="eastAsia"/>
        </w:rPr>
        <w:t xml:space="preserve"> </w:t>
      </w:r>
    </w:p>
    <w:p w14:paraId="746B7489">
      <w:pPr>
        <w:pStyle w:val="2"/>
        <w:spacing w:after="156"/>
        <w:jc w:val="center"/>
        <w:rPr>
          <w:rFonts w:hint="eastAsia"/>
          <w:sz w:val="32"/>
          <w:szCs w:val="32"/>
        </w:rPr>
      </w:pPr>
      <w:bookmarkStart w:id="180" w:name="_Toc827"/>
      <w:bookmarkStart w:id="181" w:name="_Toc25722"/>
      <w:r>
        <w:rPr>
          <w:rFonts w:hint="eastAsia"/>
          <w:sz w:val="32"/>
          <w:szCs w:val="32"/>
          <w:lang w:val="en-US" w:eastAsia="zh-CN"/>
        </w:rPr>
        <w:t xml:space="preserve">第七章  </w:t>
      </w:r>
      <w:r>
        <w:rPr>
          <w:rFonts w:hint="eastAsia"/>
          <w:sz w:val="32"/>
          <w:szCs w:val="32"/>
        </w:rPr>
        <w:t>质疑和投诉</w:t>
      </w:r>
      <w:bookmarkEnd w:id="180"/>
      <w:bookmarkEnd w:id="181"/>
    </w:p>
    <w:p w14:paraId="51E41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一）严格按照《中华人共和国政府采购法》及其实施条例、《政府采购质疑和投诉办法（财政部第94号令）》、《政府采购货物和服务招标投标管理办法》（财政部87号）、财政部和陕西省财政厅相关管理规定以及相关法规执行。</w:t>
      </w:r>
    </w:p>
    <w:p w14:paraId="1B95D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（二）投标人提出质疑应当提交质疑函和必要的证明材料。质疑函应当包括下列内容：</w:t>
      </w:r>
    </w:p>
    <w:p w14:paraId="5EEAB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1、投标人的姓名或者名称、地址、邮编、联系人及联系电话；</w:t>
      </w:r>
    </w:p>
    <w:p w14:paraId="4580C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2、质疑项目的名称、编号；</w:t>
      </w:r>
    </w:p>
    <w:p w14:paraId="7B3B7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3、具体、明确的质疑事项和与质疑事项相关的请求；</w:t>
      </w:r>
    </w:p>
    <w:p w14:paraId="0CAA4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4、事实依据；</w:t>
      </w:r>
    </w:p>
    <w:p w14:paraId="6B60D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5、必要的法律依据；</w:t>
      </w:r>
    </w:p>
    <w:p w14:paraId="22A8A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6、提出质疑的日期。</w:t>
      </w:r>
    </w:p>
    <w:p w14:paraId="75B48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7、投标人为自然人的，应当由本人签字；投标人为法人或者其他组织的，应当由法定代表人、主要负责人，或者其授权代表签字或者盖章，并加盖公章。</w:t>
      </w:r>
    </w:p>
    <w:p w14:paraId="4D69B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8、采购代理机构应当在收到质疑函后7个工作日内作出答复，并以书面形式通知质疑投标人和其他有关投标人。</w:t>
      </w:r>
    </w:p>
    <w:p w14:paraId="34D5D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（三）质疑书范本</w:t>
      </w:r>
    </w:p>
    <w:p w14:paraId="2A182D1E">
      <w:pPr>
        <w:spacing w:line="360" w:lineRule="auto"/>
        <w:jc w:val="center"/>
        <w:rPr>
          <w:rFonts w:hint="eastAsia" w:ascii="宋体" w:hAnsi="宋体"/>
          <w:b/>
          <w:sz w:val="21"/>
          <w:szCs w:val="21"/>
        </w:rPr>
      </w:pPr>
      <w:r>
        <w:rPr>
          <w:rFonts w:hint="eastAsia" w:ascii="宋体" w:hAnsi="宋体"/>
          <w:b/>
          <w:sz w:val="21"/>
          <w:szCs w:val="21"/>
        </w:rPr>
        <w:t>质疑函范本</w:t>
      </w:r>
    </w:p>
    <w:p w14:paraId="20792CA3">
      <w:pPr>
        <w:spacing w:line="360" w:lineRule="auto"/>
        <w:ind w:firstLine="420" w:firstLineChars="200"/>
        <w:rPr>
          <w:rFonts w:hint="eastAsia" w:ascii="宋体" w:hAnsi="宋体"/>
          <w:sz w:val="21"/>
          <w:szCs w:val="21"/>
        </w:rPr>
      </w:pPr>
      <w:r>
        <w:rPr>
          <w:rFonts w:hint="eastAsia" w:ascii="宋体" w:hAnsi="宋体"/>
          <w:sz w:val="21"/>
          <w:szCs w:val="21"/>
        </w:rPr>
        <w:t>一、质疑投标人基本信息</w:t>
      </w:r>
    </w:p>
    <w:p w14:paraId="477E2BD3">
      <w:pPr>
        <w:spacing w:line="360" w:lineRule="auto"/>
        <w:ind w:firstLine="420" w:firstLineChars="200"/>
        <w:rPr>
          <w:rFonts w:hint="eastAsia" w:ascii="宋体" w:hAnsi="宋体"/>
          <w:sz w:val="21"/>
          <w:szCs w:val="21"/>
        </w:rPr>
      </w:pPr>
      <w:r>
        <w:rPr>
          <w:rFonts w:hint="eastAsia" w:ascii="宋体" w:hAnsi="宋体"/>
          <w:sz w:val="21"/>
          <w:szCs w:val="21"/>
        </w:rPr>
        <w:t>质疑投标人：</w:t>
      </w:r>
    </w:p>
    <w:p w14:paraId="32E5EC4F">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2FDFC14F">
      <w:pPr>
        <w:spacing w:line="360" w:lineRule="auto"/>
        <w:ind w:firstLine="420" w:firstLineChars="200"/>
        <w:rPr>
          <w:rFonts w:hint="eastAsia" w:ascii="宋体" w:hAnsi="宋体"/>
          <w:sz w:val="21"/>
          <w:szCs w:val="21"/>
        </w:rPr>
      </w:pPr>
      <w:r>
        <w:rPr>
          <w:rFonts w:hint="eastAsia" w:ascii="宋体" w:hAnsi="宋体"/>
          <w:sz w:val="21"/>
          <w:szCs w:val="21"/>
        </w:rPr>
        <w:t>联系人：        联系电话：</w:t>
      </w:r>
    </w:p>
    <w:p w14:paraId="720A0642">
      <w:pPr>
        <w:spacing w:line="360" w:lineRule="auto"/>
        <w:ind w:firstLine="420" w:firstLineChars="200"/>
        <w:rPr>
          <w:rFonts w:hint="eastAsia" w:ascii="宋体" w:hAnsi="宋体"/>
          <w:sz w:val="21"/>
          <w:szCs w:val="21"/>
        </w:rPr>
      </w:pPr>
      <w:r>
        <w:rPr>
          <w:rFonts w:hint="eastAsia" w:ascii="宋体" w:hAnsi="宋体"/>
          <w:sz w:val="21"/>
          <w:szCs w:val="21"/>
        </w:rPr>
        <w:t>授权代表：</w:t>
      </w:r>
    </w:p>
    <w:p w14:paraId="27668C39">
      <w:pPr>
        <w:spacing w:line="360" w:lineRule="auto"/>
        <w:ind w:firstLine="420" w:firstLineChars="200"/>
        <w:rPr>
          <w:rFonts w:hint="eastAsia" w:ascii="宋体" w:hAnsi="宋体"/>
          <w:sz w:val="21"/>
          <w:szCs w:val="21"/>
        </w:rPr>
      </w:pPr>
      <w:r>
        <w:rPr>
          <w:rFonts w:hint="eastAsia" w:ascii="宋体" w:hAnsi="宋体"/>
          <w:sz w:val="21"/>
          <w:szCs w:val="21"/>
        </w:rPr>
        <w:t>联系电话：</w:t>
      </w:r>
    </w:p>
    <w:p w14:paraId="72B81C11">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616301B7">
      <w:pPr>
        <w:spacing w:line="360" w:lineRule="auto"/>
        <w:ind w:firstLine="420" w:firstLineChars="200"/>
        <w:rPr>
          <w:rFonts w:hint="eastAsia" w:ascii="宋体" w:hAnsi="宋体"/>
          <w:sz w:val="21"/>
          <w:szCs w:val="21"/>
        </w:rPr>
      </w:pPr>
      <w:r>
        <w:rPr>
          <w:rFonts w:hint="eastAsia" w:ascii="宋体" w:hAnsi="宋体"/>
          <w:sz w:val="21"/>
          <w:szCs w:val="21"/>
        </w:rPr>
        <w:t>二、质疑项目基本情况</w:t>
      </w:r>
    </w:p>
    <w:p w14:paraId="3F10F368">
      <w:pPr>
        <w:spacing w:line="360" w:lineRule="auto"/>
        <w:ind w:firstLine="420" w:firstLineChars="200"/>
        <w:rPr>
          <w:rFonts w:hint="eastAsia" w:ascii="宋体" w:hAnsi="宋体"/>
          <w:sz w:val="21"/>
          <w:szCs w:val="21"/>
        </w:rPr>
      </w:pPr>
      <w:r>
        <w:rPr>
          <w:rFonts w:hint="eastAsia" w:ascii="宋体" w:hAnsi="宋体"/>
          <w:sz w:val="21"/>
          <w:szCs w:val="21"/>
        </w:rPr>
        <w:t>质疑项目的名称：</w:t>
      </w:r>
    </w:p>
    <w:p w14:paraId="1C597649">
      <w:pPr>
        <w:spacing w:line="360" w:lineRule="auto"/>
        <w:ind w:firstLine="420" w:firstLineChars="200"/>
        <w:rPr>
          <w:rFonts w:hint="eastAsia" w:ascii="宋体" w:hAnsi="宋体"/>
          <w:sz w:val="21"/>
          <w:szCs w:val="21"/>
        </w:rPr>
      </w:pPr>
      <w:r>
        <w:rPr>
          <w:rFonts w:hint="eastAsia" w:ascii="宋体" w:hAnsi="宋体"/>
          <w:sz w:val="21"/>
          <w:szCs w:val="21"/>
        </w:rPr>
        <w:t>质疑项目的编号：    包号：</w:t>
      </w:r>
    </w:p>
    <w:p w14:paraId="58625EEB">
      <w:pPr>
        <w:spacing w:line="360" w:lineRule="auto"/>
        <w:ind w:firstLine="420" w:firstLineChars="200"/>
        <w:rPr>
          <w:rFonts w:hint="eastAsia" w:ascii="宋体" w:hAnsi="宋体"/>
          <w:sz w:val="21"/>
          <w:szCs w:val="21"/>
        </w:rPr>
      </w:pPr>
      <w:r>
        <w:rPr>
          <w:rFonts w:hint="eastAsia" w:ascii="宋体" w:hAnsi="宋体"/>
          <w:sz w:val="21"/>
          <w:szCs w:val="21"/>
        </w:rPr>
        <w:t>采购人名称：</w:t>
      </w:r>
    </w:p>
    <w:p w14:paraId="3C0A5987">
      <w:pPr>
        <w:spacing w:line="360" w:lineRule="auto"/>
        <w:ind w:firstLine="420" w:firstLineChars="200"/>
        <w:rPr>
          <w:rFonts w:hint="eastAsia" w:ascii="宋体" w:hAnsi="宋体"/>
          <w:sz w:val="21"/>
          <w:szCs w:val="21"/>
        </w:rPr>
      </w:pPr>
      <w:r>
        <w:rPr>
          <w:rFonts w:hint="eastAsia" w:ascii="宋体" w:hAnsi="宋体"/>
          <w:sz w:val="21"/>
          <w:szCs w:val="21"/>
        </w:rPr>
        <w:t>采购文件获取日期：</w:t>
      </w:r>
    </w:p>
    <w:p w14:paraId="4ABD9D95">
      <w:pPr>
        <w:spacing w:line="360" w:lineRule="auto"/>
        <w:ind w:firstLine="420" w:firstLineChars="200"/>
        <w:rPr>
          <w:rFonts w:hint="eastAsia" w:ascii="宋体" w:hAnsi="宋体"/>
          <w:sz w:val="21"/>
          <w:szCs w:val="21"/>
        </w:rPr>
      </w:pPr>
      <w:r>
        <w:rPr>
          <w:rFonts w:hint="eastAsia" w:ascii="宋体" w:hAnsi="宋体"/>
          <w:sz w:val="21"/>
          <w:szCs w:val="21"/>
        </w:rPr>
        <w:t>三、质疑事项具体内容</w:t>
      </w:r>
    </w:p>
    <w:p w14:paraId="639D6B45">
      <w:pPr>
        <w:spacing w:line="360" w:lineRule="auto"/>
        <w:ind w:firstLine="420" w:firstLineChars="200"/>
        <w:rPr>
          <w:rFonts w:hint="eastAsia" w:ascii="宋体" w:hAnsi="宋体"/>
          <w:sz w:val="21"/>
          <w:szCs w:val="21"/>
        </w:rPr>
      </w:pPr>
      <w:r>
        <w:rPr>
          <w:rFonts w:hint="eastAsia" w:ascii="宋体" w:hAnsi="宋体"/>
          <w:sz w:val="21"/>
          <w:szCs w:val="21"/>
        </w:rPr>
        <w:t>质疑事项1：</w:t>
      </w:r>
    </w:p>
    <w:p w14:paraId="6CA395B5">
      <w:pPr>
        <w:spacing w:line="360" w:lineRule="auto"/>
        <w:ind w:firstLine="420" w:firstLineChars="200"/>
        <w:rPr>
          <w:rFonts w:hint="eastAsia" w:ascii="宋体" w:hAnsi="宋体"/>
          <w:sz w:val="21"/>
          <w:szCs w:val="21"/>
        </w:rPr>
      </w:pPr>
      <w:r>
        <w:rPr>
          <w:rFonts w:hint="eastAsia" w:ascii="宋体" w:hAnsi="宋体"/>
          <w:sz w:val="21"/>
          <w:szCs w:val="21"/>
        </w:rPr>
        <w:t>事实依据：</w:t>
      </w:r>
    </w:p>
    <w:p w14:paraId="548B038A">
      <w:pPr>
        <w:spacing w:line="360" w:lineRule="auto"/>
        <w:ind w:firstLine="420" w:firstLineChars="200"/>
        <w:rPr>
          <w:rFonts w:ascii="宋体" w:hAnsi="宋体"/>
          <w:sz w:val="21"/>
          <w:szCs w:val="21"/>
        </w:rPr>
      </w:pPr>
    </w:p>
    <w:p w14:paraId="52BA8A08">
      <w:pPr>
        <w:spacing w:line="360" w:lineRule="auto"/>
        <w:ind w:firstLine="420" w:firstLineChars="200"/>
        <w:rPr>
          <w:rFonts w:hint="eastAsia" w:ascii="宋体" w:hAnsi="宋体"/>
          <w:sz w:val="21"/>
          <w:szCs w:val="21"/>
        </w:rPr>
      </w:pPr>
      <w:r>
        <w:rPr>
          <w:rFonts w:hint="eastAsia" w:ascii="宋体" w:hAnsi="宋体"/>
          <w:sz w:val="21"/>
          <w:szCs w:val="21"/>
        </w:rPr>
        <w:t>法律依据：</w:t>
      </w:r>
    </w:p>
    <w:p w14:paraId="7EB69F62">
      <w:pPr>
        <w:spacing w:line="360" w:lineRule="auto"/>
        <w:ind w:firstLine="420" w:firstLineChars="200"/>
        <w:rPr>
          <w:rFonts w:ascii="宋体" w:hAnsi="宋体"/>
          <w:sz w:val="21"/>
          <w:szCs w:val="21"/>
        </w:rPr>
      </w:pPr>
    </w:p>
    <w:p w14:paraId="58EC5113">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质疑事项2</w:t>
      </w:r>
      <w:r>
        <w:rPr>
          <w:rFonts w:hint="eastAsia" w:ascii="宋体" w:hAnsi="宋体"/>
          <w:sz w:val="21"/>
          <w:szCs w:val="21"/>
          <w:lang w:eastAsia="zh-CN"/>
        </w:rPr>
        <w:t>：</w:t>
      </w:r>
    </w:p>
    <w:p w14:paraId="683B9F1C">
      <w:pPr>
        <w:spacing w:line="360" w:lineRule="auto"/>
        <w:ind w:firstLine="420" w:firstLineChars="200"/>
        <w:rPr>
          <w:rFonts w:ascii="宋体" w:hAnsi="宋体"/>
          <w:sz w:val="21"/>
          <w:szCs w:val="21"/>
        </w:rPr>
      </w:pPr>
      <w:r>
        <w:rPr>
          <w:rFonts w:hint="eastAsia" w:ascii="宋体" w:hAnsi="宋体"/>
          <w:sz w:val="21"/>
          <w:szCs w:val="21"/>
        </w:rPr>
        <w:t>……</w:t>
      </w:r>
    </w:p>
    <w:p w14:paraId="2338D74D">
      <w:pPr>
        <w:spacing w:line="360" w:lineRule="auto"/>
        <w:ind w:firstLine="420" w:firstLineChars="200"/>
        <w:rPr>
          <w:rFonts w:hint="eastAsia" w:ascii="宋体" w:hAnsi="宋体"/>
          <w:sz w:val="21"/>
          <w:szCs w:val="21"/>
        </w:rPr>
      </w:pPr>
      <w:r>
        <w:rPr>
          <w:rFonts w:hint="eastAsia" w:ascii="宋体" w:hAnsi="宋体"/>
          <w:sz w:val="21"/>
          <w:szCs w:val="21"/>
        </w:rPr>
        <w:t>四、与质疑事项相关的质疑请求</w:t>
      </w:r>
    </w:p>
    <w:p w14:paraId="6374E9C5">
      <w:pPr>
        <w:spacing w:line="360" w:lineRule="auto"/>
        <w:ind w:firstLine="420" w:firstLineChars="200"/>
        <w:rPr>
          <w:rFonts w:hint="eastAsia" w:ascii="宋体" w:hAnsi="宋体"/>
          <w:sz w:val="21"/>
          <w:szCs w:val="21"/>
        </w:rPr>
      </w:pPr>
      <w:r>
        <w:rPr>
          <w:rFonts w:hint="eastAsia" w:ascii="宋体" w:hAnsi="宋体"/>
          <w:sz w:val="21"/>
          <w:szCs w:val="21"/>
        </w:rPr>
        <w:t>请求：</w:t>
      </w:r>
    </w:p>
    <w:p w14:paraId="495FA583">
      <w:pPr>
        <w:spacing w:line="360" w:lineRule="auto"/>
        <w:ind w:firstLine="420" w:firstLineChars="200"/>
        <w:rPr>
          <w:rFonts w:ascii="宋体" w:hAnsi="宋体"/>
          <w:sz w:val="21"/>
          <w:szCs w:val="21"/>
        </w:rPr>
      </w:pPr>
      <w:r>
        <w:rPr>
          <w:rFonts w:hint="eastAsia" w:ascii="宋体" w:hAnsi="宋体"/>
          <w:sz w:val="21"/>
          <w:szCs w:val="21"/>
        </w:rPr>
        <w:t xml:space="preserve">签字(签章)：                   公章：                      </w:t>
      </w:r>
    </w:p>
    <w:p w14:paraId="76C3B63B">
      <w:pPr>
        <w:spacing w:line="360" w:lineRule="auto"/>
        <w:ind w:firstLine="420" w:firstLineChars="200"/>
        <w:rPr>
          <w:rFonts w:hint="eastAsia" w:ascii="宋体" w:hAnsi="宋体"/>
          <w:sz w:val="21"/>
          <w:szCs w:val="21"/>
        </w:rPr>
      </w:pPr>
      <w:r>
        <w:rPr>
          <w:rFonts w:hint="eastAsia" w:ascii="宋体" w:hAnsi="宋体"/>
          <w:sz w:val="21"/>
          <w:szCs w:val="21"/>
        </w:rPr>
        <w:t>日期：</w:t>
      </w:r>
    </w:p>
    <w:p w14:paraId="76166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（四）质疑函制作说明：</w:t>
      </w:r>
    </w:p>
    <w:p w14:paraId="33613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1、投标人提出质疑时，应提交质疑函和必要的证明材料。</w:t>
      </w:r>
    </w:p>
    <w:p w14:paraId="78D15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9794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3、质疑投标人若对项目的某一分包进行质疑，质疑函中应列明具体分包号。</w:t>
      </w:r>
    </w:p>
    <w:p w14:paraId="3EF07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4、质疑函的质疑事项应具体、明确，并有必要的事实依据和法律依据。</w:t>
      </w:r>
    </w:p>
    <w:p w14:paraId="6DE97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5、质疑函的质疑请求应与质疑事项相关。</w:t>
      </w:r>
    </w:p>
    <w:p w14:paraId="41F05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6、质疑投标人为自然人的，质疑函应由本人签字；质疑投标人为法人或者其他组织的，质疑函应由法定代表人、主要负责人，或者其授权代表签字或者盖章，并加盖公章。</w:t>
      </w:r>
    </w:p>
    <w:p w14:paraId="55160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7、质疑函的接收：</w:t>
      </w:r>
    </w:p>
    <w:p w14:paraId="55DD9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color w:val="000000"/>
          <w:sz w:val="21"/>
          <w:szCs w:val="21"/>
        </w:rPr>
        <w:t>质疑受理联系电话：029-89187077，联系人：</w:t>
      </w:r>
      <w:r>
        <w:rPr>
          <w:rFonts w:hint="eastAsia" w:ascii="宋体" w:hAnsi="宋体"/>
          <w:color w:val="000000"/>
          <w:sz w:val="21"/>
          <w:szCs w:val="21"/>
          <w:lang w:val="en-US" w:eastAsia="zh-CN"/>
        </w:rPr>
        <w:t>赵工</w:t>
      </w:r>
    </w:p>
    <w:p w14:paraId="463AC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（五）有下列情形之一的，属于无效质疑，采购代理机构和采购人可不予受理：</w:t>
      </w:r>
    </w:p>
    <w:p w14:paraId="58347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1、对采购文件提出质疑的质疑人不是依法获取采购文件的投标人；对采购过程、中标或成交结果提出质疑的质疑人不是参与本次政府采购项目的投标人；</w:t>
      </w:r>
    </w:p>
    <w:p w14:paraId="697DF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2、超过法定期限或未以书面形式提出的；</w:t>
      </w:r>
    </w:p>
    <w:p w14:paraId="038A8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3、质疑函未按本章6.6条规定签字及盖章的；</w:t>
      </w:r>
    </w:p>
    <w:p w14:paraId="2F393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4、针对同一采购程序环节又提出其他质疑事项的，或质疑答复后就同一事项再次提出质疑的；</w:t>
      </w:r>
    </w:p>
    <w:p w14:paraId="392EC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30"/>
          <w:szCs w:val="30"/>
        </w:rPr>
      </w:pPr>
      <w:r>
        <w:rPr>
          <w:rFonts w:hint="eastAsia" w:ascii="宋体" w:hAnsi="宋体"/>
          <w:sz w:val="21"/>
          <w:szCs w:val="21"/>
        </w:rPr>
        <w:t>5、不符合法律、法规、规章和政府采购监管机构规定的其他条件的。</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32C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C509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1C6C509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6A1E">
    <w:pPr>
      <w:pStyle w:val="13"/>
      <w:jc w:val="center"/>
    </w:pP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DBA0">
    <w:pPr>
      <w:spacing w:after="1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D35">
    <w:pPr>
      <w:spacing w:after="1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2B11">
    <w:pPr>
      <w:pStyle w:val="14"/>
      <w:jc w:val="left"/>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6460">
    <w:pPr>
      <w:spacing w:after="160"/>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0708">
    <w:pP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59649"/>
    <w:multiLevelType w:val="singleLevel"/>
    <w:tmpl w:val="F1859649"/>
    <w:lvl w:ilvl="0" w:tentative="0">
      <w:start w:val="1"/>
      <w:numFmt w:val="decimal"/>
      <w:suff w:val="nothing"/>
      <w:lvlText w:val="%1、"/>
      <w:lvlJc w:val="left"/>
    </w:lvl>
  </w:abstractNum>
  <w:abstractNum w:abstractNumId="1">
    <w:nsid w:val="F8A4FD41"/>
    <w:multiLevelType w:val="singleLevel"/>
    <w:tmpl w:val="F8A4FD41"/>
    <w:lvl w:ilvl="0" w:tentative="0">
      <w:start w:val="1"/>
      <w:numFmt w:val="decimal"/>
      <w:suff w:val="nothing"/>
      <w:lvlText w:val="%1、"/>
      <w:lvlJc w:val="left"/>
    </w:lvl>
  </w:abstractNum>
  <w:abstractNum w:abstractNumId="2">
    <w:nsid w:val="044F7E27"/>
    <w:multiLevelType w:val="multilevel"/>
    <w:tmpl w:val="044F7E27"/>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520"/>
        </w:tabs>
        <w:ind w:left="2520" w:hanging="108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4320"/>
        </w:tabs>
        <w:ind w:left="4320" w:hanging="1440"/>
      </w:pPr>
      <w:rPr>
        <w:rFonts w:hint="default"/>
      </w:rPr>
    </w:lvl>
    <w:lvl w:ilvl="5" w:tentative="0">
      <w:start w:val="1"/>
      <w:numFmt w:val="decimal"/>
      <w:lvlText w:val="%1.%2）%3.%4.%5.%6."/>
      <w:lvlJc w:val="left"/>
      <w:pPr>
        <w:tabs>
          <w:tab w:val="left" w:pos="5400"/>
        </w:tabs>
        <w:ind w:left="5400" w:hanging="1800"/>
      </w:pPr>
      <w:rPr>
        <w:rFonts w:hint="default"/>
      </w:rPr>
    </w:lvl>
    <w:lvl w:ilvl="6" w:tentative="0">
      <w:start w:val="1"/>
      <w:numFmt w:val="decimal"/>
      <w:lvlText w:val="%1.%2）%3.%4.%5.%6.%7."/>
      <w:lvlJc w:val="left"/>
      <w:pPr>
        <w:tabs>
          <w:tab w:val="left" w:pos="6120"/>
        </w:tabs>
        <w:ind w:left="6120" w:hanging="1800"/>
      </w:pPr>
      <w:rPr>
        <w:rFonts w:hint="default"/>
      </w:rPr>
    </w:lvl>
    <w:lvl w:ilvl="7" w:tentative="0">
      <w:start w:val="1"/>
      <w:numFmt w:val="decimal"/>
      <w:lvlText w:val="%1.%2）%3.%4.%5.%6.%7.%8."/>
      <w:lvlJc w:val="left"/>
      <w:pPr>
        <w:tabs>
          <w:tab w:val="left" w:pos="7200"/>
        </w:tabs>
        <w:ind w:left="7200" w:hanging="2160"/>
      </w:pPr>
      <w:rPr>
        <w:rFonts w:hint="default"/>
      </w:rPr>
    </w:lvl>
    <w:lvl w:ilvl="8" w:tentative="0">
      <w:start w:val="1"/>
      <w:numFmt w:val="decimal"/>
      <w:lvlText w:val="%1.%2）%3.%4.%5.%6.%7.%8.%9."/>
      <w:lvlJc w:val="left"/>
      <w:pPr>
        <w:tabs>
          <w:tab w:val="left" w:pos="8280"/>
        </w:tabs>
        <w:ind w:left="8280" w:hanging="2520"/>
      </w:pPr>
      <w:rPr>
        <w:rFonts w:hint="default"/>
      </w:rPr>
    </w:lvl>
  </w:abstractNum>
  <w:abstractNum w:abstractNumId="3">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E2E255E"/>
    <w:multiLevelType w:val="multilevel"/>
    <w:tmpl w:val="3E2E255E"/>
    <w:lvl w:ilvl="0" w:tentative="0">
      <w:start w:val="1"/>
      <w:numFmt w:val="decimal"/>
      <w:lvlText w:val="%1)"/>
      <w:lvlJc w:val="left"/>
      <w:pPr>
        <w:tabs>
          <w:tab w:val="left" w:pos="5099"/>
        </w:tabs>
        <w:ind w:left="5099" w:hanging="420"/>
      </w:pPr>
      <w:rPr>
        <w:rFonts w:hint="eastAsia"/>
      </w:rPr>
    </w:lvl>
    <w:lvl w:ilvl="1" w:tentative="0">
      <w:start w:val="1"/>
      <w:numFmt w:val="decimal"/>
      <w:lvlText w:val="%2．"/>
      <w:lvlJc w:val="left"/>
      <w:pPr>
        <w:tabs>
          <w:tab w:val="left" w:pos="270"/>
        </w:tabs>
        <w:ind w:left="270" w:hanging="720"/>
      </w:pPr>
      <w:rPr>
        <w:rFonts w:hint="default"/>
      </w:rPr>
    </w:lvl>
    <w:lvl w:ilvl="2" w:tentative="0">
      <w:start w:val="1"/>
      <w:numFmt w:val="lowerRoman"/>
      <w:lvlText w:val="%3."/>
      <w:lvlJc w:val="right"/>
      <w:pPr>
        <w:tabs>
          <w:tab w:val="left" w:pos="390"/>
        </w:tabs>
        <w:ind w:left="390" w:hanging="420"/>
      </w:pPr>
    </w:lvl>
    <w:lvl w:ilvl="3" w:tentative="0">
      <w:start w:val="8"/>
      <w:numFmt w:val="japaneseCounting"/>
      <w:lvlText w:val="第%4章"/>
      <w:lvlJc w:val="left"/>
      <w:pPr>
        <w:tabs>
          <w:tab w:val="left" w:pos="1470"/>
        </w:tabs>
        <w:ind w:left="1470" w:hanging="1080"/>
      </w:pPr>
      <w:rPr>
        <w:rFonts w:hint="eastAsia"/>
      </w:rPr>
    </w:lvl>
    <w:lvl w:ilvl="4" w:tentative="0">
      <w:start w:val="1"/>
      <w:numFmt w:val="japaneseCounting"/>
      <w:lvlText w:val="%5、"/>
      <w:lvlJc w:val="left"/>
      <w:pPr>
        <w:tabs>
          <w:tab w:val="left" w:pos="1290"/>
        </w:tabs>
        <w:ind w:left="1290" w:hanging="480"/>
      </w:pPr>
      <w:rPr>
        <w:rFonts w:hint="default"/>
        <w:u w:val="none"/>
      </w:rPr>
    </w:lvl>
    <w:lvl w:ilvl="5" w:tentative="0">
      <w:start w:val="3"/>
      <w:numFmt w:val="bullet"/>
      <w:lvlText w:val=""/>
      <w:lvlJc w:val="left"/>
      <w:pPr>
        <w:tabs>
          <w:tab w:val="left" w:pos="1590"/>
        </w:tabs>
        <w:ind w:left="1590" w:hanging="360"/>
      </w:pPr>
      <w:rPr>
        <w:rFonts w:hint="default" w:ascii="Wingdings" w:hAnsi="Wingdings" w:eastAsia="宋体" w:cs="Times New Roman"/>
      </w:rPr>
    </w:lvl>
    <w:lvl w:ilvl="6" w:tentative="0">
      <w:start w:val="1"/>
      <w:numFmt w:val="decimal"/>
      <w:lvlText w:val="%7."/>
      <w:lvlJc w:val="left"/>
      <w:pPr>
        <w:tabs>
          <w:tab w:val="left" w:pos="2010"/>
        </w:tabs>
        <w:ind w:left="2010" w:hanging="360"/>
      </w:pPr>
      <w:rPr>
        <w:rFonts w:hint="default"/>
      </w:rPr>
    </w:lvl>
    <w:lvl w:ilvl="7" w:tentative="0">
      <w:start w:val="4"/>
      <w:numFmt w:val="decimal"/>
      <w:lvlText w:val="%8、"/>
      <w:lvlJc w:val="left"/>
      <w:pPr>
        <w:tabs>
          <w:tab w:val="left" w:pos="2430"/>
        </w:tabs>
        <w:ind w:left="2430" w:hanging="360"/>
      </w:pPr>
      <w:rPr>
        <w:rFonts w:hint="default" w:ascii="宋体" w:hAnsi="宋体"/>
        <w:b w:val="0"/>
      </w:rPr>
    </w:lvl>
    <w:lvl w:ilvl="8" w:tentative="0">
      <w:start w:val="4"/>
      <w:numFmt w:val="japaneseCounting"/>
      <w:lvlText w:val="（%9）"/>
      <w:lvlJc w:val="left"/>
      <w:pPr>
        <w:ind w:left="3570" w:hanging="1080"/>
      </w:pPr>
      <w:rPr>
        <w:rFonts w:hint="default"/>
      </w:rPr>
    </w:lvl>
  </w:abstractNum>
  <w:abstractNum w:abstractNumId="5">
    <w:nsid w:val="47ACD4BA"/>
    <w:multiLevelType w:val="singleLevel"/>
    <w:tmpl w:val="47ACD4BA"/>
    <w:lvl w:ilvl="0" w:tentative="0">
      <w:start w:val="1"/>
      <w:numFmt w:val="decimal"/>
      <w:suff w:val="nothing"/>
      <w:lvlText w:val="（%1）"/>
      <w:lvlJc w:val="left"/>
      <w:pPr>
        <w:ind w:left="-270"/>
      </w:pPr>
    </w:lvl>
  </w:abstractNum>
  <w:abstractNum w:abstractNumId="6">
    <w:nsid w:val="7ABB52A2"/>
    <w:multiLevelType w:val="singleLevel"/>
    <w:tmpl w:val="7ABB52A2"/>
    <w:lvl w:ilvl="0" w:tentative="0">
      <w:start w:val="1"/>
      <w:numFmt w:val="decimal"/>
      <w:suff w:val="nothing"/>
      <w:lvlText w:val="%1、"/>
      <w:lvlJc w:val="left"/>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YmEzNzRhNzU2NzEyYjcyMGUxMGNiNThmNjIzNjUifQ=="/>
  </w:docVars>
  <w:rsids>
    <w:rsidRoot w:val="790E1E9F"/>
    <w:rsid w:val="00092509"/>
    <w:rsid w:val="00140512"/>
    <w:rsid w:val="00180B14"/>
    <w:rsid w:val="0022181C"/>
    <w:rsid w:val="00272AD2"/>
    <w:rsid w:val="003532FE"/>
    <w:rsid w:val="0042111A"/>
    <w:rsid w:val="004F11C2"/>
    <w:rsid w:val="005079E3"/>
    <w:rsid w:val="00515C5E"/>
    <w:rsid w:val="00532FAB"/>
    <w:rsid w:val="00704773"/>
    <w:rsid w:val="007A51B4"/>
    <w:rsid w:val="00847DE1"/>
    <w:rsid w:val="009D55A7"/>
    <w:rsid w:val="00A46D0A"/>
    <w:rsid w:val="00B50FDE"/>
    <w:rsid w:val="00D64AE1"/>
    <w:rsid w:val="00E66362"/>
    <w:rsid w:val="00E7034C"/>
    <w:rsid w:val="00EA6CFD"/>
    <w:rsid w:val="00F26011"/>
    <w:rsid w:val="01317F69"/>
    <w:rsid w:val="013B4944"/>
    <w:rsid w:val="01691756"/>
    <w:rsid w:val="01740E6F"/>
    <w:rsid w:val="01763BCE"/>
    <w:rsid w:val="01810F86"/>
    <w:rsid w:val="01934BC3"/>
    <w:rsid w:val="019E4ED3"/>
    <w:rsid w:val="01AA6240"/>
    <w:rsid w:val="01FE04CB"/>
    <w:rsid w:val="020236B3"/>
    <w:rsid w:val="02114AB6"/>
    <w:rsid w:val="02144A36"/>
    <w:rsid w:val="0224187C"/>
    <w:rsid w:val="023575E5"/>
    <w:rsid w:val="023E6EF5"/>
    <w:rsid w:val="02571C51"/>
    <w:rsid w:val="025B2DC4"/>
    <w:rsid w:val="02626F54"/>
    <w:rsid w:val="0264627D"/>
    <w:rsid w:val="02723AEF"/>
    <w:rsid w:val="027B51E5"/>
    <w:rsid w:val="028B3470"/>
    <w:rsid w:val="0295522A"/>
    <w:rsid w:val="0297204E"/>
    <w:rsid w:val="029A33E1"/>
    <w:rsid w:val="02A055C6"/>
    <w:rsid w:val="02C170CB"/>
    <w:rsid w:val="02D0730E"/>
    <w:rsid w:val="02D2030E"/>
    <w:rsid w:val="02DA1FA7"/>
    <w:rsid w:val="02E5311B"/>
    <w:rsid w:val="0314369E"/>
    <w:rsid w:val="03261624"/>
    <w:rsid w:val="033577FF"/>
    <w:rsid w:val="03394EB3"/>
    <w:rsid w:val="03451AAA"/>
    <w:rsid w:val="035717DD"/>
    <w:rsid w:val="036130ED"/>
    <w:rsid w:val="03E71369"/>
    <w:rsid w:val="03EA2651"/>
    <w:rsid w:val="03FA7913"/>
    <w:rsid w:val="042C4A18"/>
    <w:rsid w:val="043C2B7C"/>
    <w:rsid w:val="0442248D"/>
    <w:rsid w:val="044269C4"/>
    <w:rsid w:val="04856EA9"/>
    <w:rsid w:val="049F51EA"/>
    <w:rsid w:val="04A11AE9"/>
    <w:rsid w:val="04A260F9"/>
    <w:rsid w:val="04BA2023"/>
    <w:rsid w:val="04E05EDB"/>
    <w:rsid w:val="04F27A0F"/>
    <w:rsid w:val="05015EA4"/>
    <w:rsid w:val="0505757F"/>
    <w:rsid w:val="051554AC"/>
    <w:rsid w:val="051E7076"/>
    <w:rsid w:val="05276F07"/>
    <w:rsid w:val="05280002"/>
    <w:rsid w:val="052E656D"/>
    <w:rsid w:val="053E6F16"/>
    <w:rsid w:val="05551283"/>
    <w:rsid w:val="056703FD"/>
    <w:rsid w:val="0582047C"/>
    <w:rsid w:val="05AA6194"/>
    <w:rsid w:val="05C10A45"/>
    <w:rsid w:val="05D347EA"/>
    <w:rsid w:val="05F7526C"/>
    <w:rsid w:val="05F77580"/>
    <w:rsid w:val="05FF020A"/>
    <w:rsid w:val="05FF5A7E"/>
    <w:rsid w:val="060379FA"/>
    <w:rsid w:val="06190FCC"/>
    <w:rsid w:val="062260D2"/>
    <w:rsid w:val="064A4110"/>
    <w:rsid w:val="06587D46"/>
    <w:rsid w:val="065D7487"/>
    <w:rsid w:val="06782196"/>
    <w:rsid w:val="069D39AB"/>
    <w:rsid w:val="06B4143D"/>
    <w:rsid w:val="06D32584"/>
    <w:rsid w:val="06DA69AD"/>
    <w:rsid w:val="06DF3199"/>
    <w:rsid w:val="06EB2968"/>
    <w:rsid w:val="06F347DF"/>
    <w:rsid w:val="071501C9"/>
    <w:rsid w:val="074F7D1F"/>
    <w:rsid w:val="078B414B"/>
    <w:rsid w:val="079E5C2C"/>
    <w:rsid w:val="07A1396F"/>
    <w:rsid w:val="07B80FF1"/>
    <w:rsid w:val="07BA6793"/>
    <w:rsid w:val="07E17384"/>
    <w:rsid w:val="08156C5F"/>
    <w:rsid w:val="081F5D77"/>
    <w:rsid w:val="083C2BF1"/>
    <w:rsid w:val="085E13BB"/>
    <w:rsid w:val="087766B5"/>
    <w:rsid w:val="08793FA4"/>
    <w:rsid w:val="08950D28"/>
    <w:rsid w:val="08C72A13"/>
    <w:rsid w:val="08C903EA"/>
    <w:rsid w:val="092108C3"/>
    <w:rsid w:val="0935633D"/>
    <w:rsid w:val="0945511E"/>
    <w:rsid w:val="0946032A"/>
    <w:rsid w:val="09491BC8"/>
    <w:rsid w:val="095F763D"/>
    <w:rsid w:val="096864F2"/>
    <w:rsid w:val="096B3CBA"/>
    <w:rsid w:val="098C700B"/>
    <w:rsid w:val="099E3B3F"/>
    <w:rsid w:val="09A83C09"/>
    <w:rsid w:val="09E33DCA"/>
    <w:rsid w:val="09E813E1"/>
    <w:rsid w:val="0A0629B5"/>
    <w:rsid w:val="0A0C1573"/>
    <w:rsid w:val="0A123858"/>
    <w:rsid w:val="0A161F3D"/>
    <w:rsid w:val="0A2048A8"/>
    <w:rsid w:val="0A43167D"/>
    <w:rsid w:val="0A5C7B97"/>
    <w:rsid w:val="0A6505D0"/>
    <w:rsid w:val="0A943665"/>
    <w:rsid w:val="0A9926DB"/>
    <w:rsid w:val="0AA02C31"/>
    <w:rsid w:val="0AB67AAA"/>
    <w:rsid w:val="0ADB7197"/>
    <w:rsid w:val="0AE41BA8"/>
    <w:rsid w:val="0B0F299D"/>
    <w:rsid w:val="0B3A5E52"/>
    <w:rsid w:val="0B642CE9"/>
    <w:rsid w:val="0B660F2D"/>
    <w:rsid w:val="0B9B6FB8"/>
    <w:rsid w:val="0BEE3256"/>
    <w:rsid w:val="0BF70001"/>
    <w:rsid w:val="0C1F4E62"/>
    <w:rsid w:val="0C235653"/>
    <w:rsid w:val="0C353733"/>
    <w:rsid w:val="0C3725CC"/>
    <w:rsid w:val="0C577FD0"/>
    <w:rsid w:val="0C790A16"/>
    <w:rsid w:val="0C821421"/>
    <w:rsid w:val="0CAA0BCF"/>
    <w:rsid w:val="0CAF23E1"/>
    <w:rsid w:val="0CF249A9"/>
    <w:rsid w:val="0D156991"/>
    <w:rsid w:val="0D531267"/>
    <w:rsid w:val="0D55117F"/>
    <w:rsid w:val="0D5708A4"/>
    <w:rsid w:val="0D7F205C"/>
    <w:rsid w:val="0D9E19B3"/>
    <w:rsid w:val="0D9F64EA"/>
    <w:rsid w:val="0DB00467"/>
    <w:rsid w:val="0DB0769E"/>
    <w:rsid w:val="0DB724D3"/>
    <w:rsid w:val="0DDC3D14"/>
    <w:rsid w:val="0DFA5B87"/>
    <w:rsid w:val="0E0367E9"/>
    <w:rsid w:val="0E2549A1"/>
    <w:rsid w:val="0E463665"/>
    <w:rsid w:val="0E682384"/>
    <w:rsid w:val="0E790F14"/>
    <w:rsid w:val="0E87741A"/>
    <w:rsid w:val="0E9658AF"/>
    <w:rsid w:val="0ECA0018"/>
    <w:rsid w:val="0F110AE2"/>
    <w:rsid w:val="0F501F5F"/>
    <w:rsid w:val="0F891301"/>
    <w:rsid w:val="0F9A317D"/>
    <w:rsid w:val="0FA425D2"/>
    <w:rsid w:val="0FA525B6"/>
    <w:rsid w:val="0FAB4409"/>
    <w:rsid w:val="0FB53958"/>
    <w:rsid w:val="0FBA3368"/>
    <w:rsid w:val="0FC46364"/>
    <w:rsid w:val="0FCB77DB"/>
    <w:rsid w:val="0FEB39D9"/>
    <w:rsid w:val="0FFF4CF9"/>
    <w:rsid w:val="1010343F"/>
    <w:rsid w:val="10125409"/>
    <w:rsid w:val="102D54FB"/>
    <w:rsid w:val="10507EB4"/>
    <w:rsid w:val="108160EB"/>
    <w:rsid w:val="1095577B"/>
    <w:rsid w:val="109F286E"/>
    <w:rsid w:val="10E05678"/>
    <w:rsid w:val="10E93824"/>
    <w:rsid w:val="10F90EE9"/>
    <w:rsid w:val="1102390F"/>
    <w:rsid w:val="111331E7"/>
    <w:rsid w:val="111753C0"/>
    <w:rsid w:val="112A22DF"/>
    <w:rsid w:val="114C66F9"/>
    <w:rsid w:val="117A6707"/>
    <w:rsid w:val="11C664AC"/>
    <w:rsid w:val="11D50857"/>
    <w:rsid w:val="11D538B0"/>
    <w:rsid w:val="11DA3D05"/>
    <w:rsid w:val="11FA7885"/>
    <w:rsid w:val="1202500A"/>
    <w:rsid w:val="121D3BF2"/>
    <w:rsid w:val="122A0630"/>
    <w:rsid w:val="12314A83"/>
    <w:rsid w:val="12434DD7"/>
    <w:rsid w:val="124A35D5"/>
    <w:rsid w:val="12574C83"/>
    <w:rsid w:val="126D2B1C"/>
    <w:rsid w:val="12851127"/>
    <w:rsid w:val="129211F3"/>
    <w:rsid w:val="129506F7"/>
    <w:rsid w:val="129F060D"/>
    <w:rsid w:val="12A241A3"/>
    <w:rsid w:val="12BB76A9"/>
    <w:rsid w:val="12D31411"/>
    <w:rsid w:val="12E75C00"/>
    <w:rsid w:val="131D3266"/>
    <w:rsid w:val="13207980"/>
    <w:rsid w:val="13367EB4"/>
    <w:rsid w:val="13434291"/>
    <w:rsid w:val="137B7ABD"/>
    <w:rsid w:val="13855EF2"/>
    <w:rsid w:val="13A0295A"/>
    <w:rsid w:val="13C94031"/>
    <w:rsid w:val="13DD7ADC"/>
    <w:rsid w:val="13FD6689"/>
    <w:rsid w:val="14027543"/>
    <w:rsid w:val="140E5EE8"/>
    <w:rsid w:val="1412542D"/>
    <w:rsid w:val="141A2ADF"/>
    <w:rsid w:val="14294AD0"/>
    <w:rsid w:val="142964F1"/>
    <w:rsid w:val="143F42F3"/>
    <w:rsid w:val="144468C2"/>
    <w:rsid w:val="14691370"/>
    <w:rsid w:val="14A34882"/>
    <w:rsid w:val="14B24AC5"/>
    <w:rsid w:val="14B27EEC"/>
    <w:rsid w:val="14CE4C6C"/>
    <w:rsid w:val="14DC7D94"/>
    <w:rsid w:val="14ED7E6C"/>
    <w:rsid w:val="14F111B3"/>
    <w:rsid w:val="150F4227"/>
    <w:rsid w:val="15203B5E"/>
    <w:rsid w:val="152139F9"/>
    <w:rsid w:val="1527555B"/>
    <w:rsid w:val="15602773"/>
    <w:rsid w:val="158346B4"/>
    <w:rsid w:val="15A83D5C"/>
    <w:rsid w:val="15B65746"/>
    <w:rsid w:val="15BB2A37"/>
    <w:rsid w:val="15E769F0"/>
    <w:rsid w:val="15E92D38"/>
    <w:rsid w:val="15F1786F"/>
    <w:rsid w:val="15F232AA"/>
    <w:rsid w:val="15F5383B"/>
    <w:rsid w:val="15FF01DE"/>
    <w:rsid w:val="160C3B6A"/>
    <w:rsid w:val="160F4043"/>
    <w:rsid w:val="161672D6"/>
    <w:rsid w:val="1626576B"/>
    <w:rsid w:val="163A0CC8"/>
    <w:rsid w:val="16466544"/>
    <w:rsid w:val="16504596"/>
    <w:rsid w:val="16513DF5"/>
    <w:rsid w:val="16526560"/>
    <w:rsid w:val="16721C9F"/>
    <w:rsid w:val="16824D24"/>
    <w:rsid w:val="16A82CF0"/>
    <w:rsid w:val="16B1079F"/>
    <w:rsid w:val="16CD4493"/>
    <w:rsid w:val="16D72F09"/>
    <w:rsid w:val="16DF3B6C"/>
    <w:rsid w:val="1706559C"/>
    <w:rsid w:val="172320E3"/>
    <w:rsid w:val="1726655E"/>
    <w:rsid w:val="1761165C"/>
    <w:rsid w:val="17726473"/>
    <w:rsid w:val="177928F2"/>
    <w:rsid w:val="17825F07"/>
    <w:rsid w:val="179130B8"/>
    <w:rsid w:val="17931F58"/>
    <w:rsid w:val="179C0A16"/>
    <w:rsid w:val="17AC3E1E"/>
    <w:rsid w:val="17BA0FAE"/>
    <w:rsid w:val="17C30206"/>
    <w:rsid w:val="17C74D2B"/>
    <w:rsid w:val="17D51F93"/>
    <w:rsid w:val="17DF721D"/>
    <w:rsid w:val="17EC6540"/>
    <w:rsid w:val="18062DF3"/>
    <w:rsid w:val="180E0186"/>
    <w:rsid w:val="181810E3"/>
    <w:rsid w:val="181D7137"/>
    <w:rsid w:val="18243F2C"/>
    <w:rsid w:val="18251A52"/>
    <w:rsid w:val="18470AF1"/>
    <w:rsid w:val="185C5B9E"/>
    <w:rsid w:val="18B6097C"/>
    <w:rsid w:val="18BB0285"/>
    <w:rsid w:val="18D314AE"/>
    <w:rsid w:val="18ED080F"/>
    <w:rsid w:val="191007D2"/>
    <w:rsid w:val="191616EB"/>
    <w:rsid w:val="19441FDC"/>
    <w:rsid w:val="19513BE5"/>
    <w:rsid w:val="198E7863"/>
    <w:rsid w:val="19C53CB5"/>
    <w:rsid w:val="19D25C56"/>
    <w:rsid w:val="19D270A1"/>
    <w:rsid w:val="19D503C2"/>
    <w:rsid w:val="1A044015"/>
    <w:rsid w:val="1A073B05"/>
    <w:rsid w:val="1A333611"/>
    <w:rsid w:val="1A4013BC"/>
    <w:rsid w:val="1A432FA7"/>
    <w:rsid w:val="1A4407A9"/>
    <w:rsid w:val="1A5775BE"/>
    <w:rsid w:val="1A9F6972"/>
    <w:rsid w:val="1AA2382E"/>
    <w:rsid w:val="1AA43102"/>
    <w:rsid w:val="1AA55149"/>
    <w:rsid w:val="1AFC7CCE"/>
    <w:rsid w:val="1B55772D"/>
    <w:rsid w:val="1B6F7443"/>
    <w:rsid w:val="1B85318D"/>
    <w:rsid w:val="1B891E70"/>
    <w:rsid w:val="1BA5434E"/>
    <w:rsid w:val="1BCA303C"/>
    <w:rsid w:val="1BFA3188"/>
    <w:rsid w:val="1C01012D"/>
    <w:rsid w:val="1C084989"/>
    <w:rsid w:val="1C167858"/>
    <w:rsid w:val="1C27610B"/>
    <w:rsid w:val="1C2E195D"/>
    <w:rsid w:val="1C3D380E"/>
    <w:rsid w:val="1C6D3DC3"/>
    <w:rsid w:val="1C8A6328"/>
    <w:rsid w:val="1CA0088A"/>
    <w:rsid w:val="1CAB69CA"/>
    <w:rsid w:val="1CB11B06"/>
    <w:rsid w:val="1CB235CD"/>
    <w:rsid w:val="1CBE2A37"/>
    <w:rsid w:val="1CBF06C7"/>
    <w:rsid w:val="1CCA79C4"/>
    <w:rsid w:val="1CCB0E1A"/>
    <w:rsid w:val="1CE343B6"/>
    <w:rsid w:val="1CF3211F"/>
    <w:rsid w:val="1CFB38E0"/>
    <w:rsid w:val="1D0B0DCA"/>
    <w:rsid w:val="1D126A49"/>
    <w:rsid w:val="1D5C5F16"/>
    <w:rsid w:val="1D7417D3"/>
    <w:rsid w:val="1D87456E"/>
    <w:rsid w:val="1DA1112F"/>
    <w:rsid w:val="1DAF24EA"/>
    <w:rsid w:val="1DB033DF"/>
    <w:rsid w:val="1DB95116"/>
    <w:rsid w:val="1DC6065A"/>
    <w:rsid w:val="1DC86BB7"/>
    <w:rsid w:val="1DDF7C04"/>
    <w:rsid w:val="1DE52A44"/>
    <w:rsid w:val="1E052173"/>
    <w:rsid w:val="1E1F7EEC"/>
    <w:rsid w:val="1E2E72B9"/>
    <w:rsid w:val="1E3E6409"/>
    <w:rsid w:val="1E480248"/>
    <w:rsid w:val="1E4F7FC1"/>
    <w:rsid w:val="1E5254F0"/>
    <w:rsid w:val="1E562965"/>
    <w:rsid w:val="1E5F445F"/>
    <w:rsid w:val="1E74103D"/>
    <w:rsid w:val="1E75235B"/>
    <w:rsid w:val="1E8B078C"/>
    <w:rsid w:val="1E937AFC"/>
    <w:rsid w:val="1EDC571E"/>
    <w:rsid w:val="1EE12B77"/>
    <w:rsid w:val="1EFE632E"/>
    <w:rsid w:val="1F061F30"/>
    <w:rsid w:val="1F085590"/>
    <w:rsid w:val="1F1015F8"/>
    <w:rsid w:val="1F2551E6"/>
    <w:rsid w:val="1F274302"/>
    <w:rsid w:val="1F3C3740"/>
    <w:rsid w:val="1F3E55AA"/>
    <w:rsid w:val="1F6410B2"/>
    <w:rsid w:val="1F9F5C8E"/>
    <w:rsid w:val="1FA461AA"/>
    <w:rsid w:val="1FDE2BEB"/>
    <w:rsid w:val="1FE316C6"/>
    <w:rsid w:val="1FED5158"/>
    <w:rsid w:val="202662F2"/>
    <w:rsid w:val="202A40A9"/>
    <w:rsid w:val="20303E66"/>
    <w:rsid w:val="204835C8"/>
    <w:rsid w:val="205904EB"/>
    <w:rsid w:val="205F6F15"/>
    <w:rsid w:val="206765A7"/>
    <w:rsid w:val="20885230"/>
    <w:rsid w:val="20AA6925"/>
    <w:rsid w:val="20B56069"/>
    <w:rsid w:val="20C32174"/>
    <w:rsid w:val="20C85981"/>
    <w:rsid w:val="20F52909"/>
    <w:rsid w:val="21303941"/>
    <w:rsid w:val="2157480F"/>
    <w:rsid w:val="215C6A28"/>
    <w:rsid w:val="217353BD"/>
    <w:rsid w:val="217A696B"/>
    <w:rsid w:val="218B79F8"/>
    <w:rsid w:val="21BF0821"/>
    <w:rsid w:val="21D625E8"/>
    <w:rsid w:val="21DC13D3"/>
    <w:rsid w:val="21E169EA"/>
    <w:rsid w:val="21EE743D"/>
    <w:rsid w:val="21EF60F0"/>
    <w:rsid w:val="220E0FD7"/>
    <w:rsid w:val="221D2199"/>
    <w:rsid w:val="221E379A"/>
    <w:rsid w:val="224B60A0"/>
    <w:rsid w:val="2298179E"/>
    <w:rsid w:val="229A7C7F"/>
    <w:rsid w:val="22BE64C7"/>
    <w:rsid w:val="22DB78DD"/>
    <w:rsid w:val="22EF5453"/>
    <w:rsid w:val="231D427D"/>
    <w:rsid w:val="232133B2"/>
    <w:rsid w:val="232E2103"/>
    <w:rsid w:val="23314077"/>
    <w:rsid w:val="2351194D"/>
    <w:rsid w:val="23696C97"/>
    <w:rsid w:val="23AB6501"/>
    <w:rsid w:val="23AE6D9F"/>
    <w:rsid w:val="23C87E61"/>
    <w:rsid w:val="23DE7685"/>
    <w:rsid w:val="23ED6185"/>
    <w:rsid w:val="23F75C2C"/>
    <w:rsid w:val="241B110D"/>
    <w:rsid w:val="244E34B1"/>
    <w:rsid w:val="24693AC6"/>
    <w:rsid w:val="24760A6A"/>
    <w:rsid w:val="24771887"/>
    <w:rsid w:val="247D6D03"/>
    <w:rsid w:val="24831FDA"/>
    <w:rsid w:val="24844D23"/>
    <w:rsid w:val="248842C4"/>
    <w:rsid w:val="248E3007"/>
    <w:rsid w:val="24975A86"/>
    <w:rsid w:val="24B976DF"/>
    <w:rsid w:val="24E32A79"/>
    <w:rsid w:val="24EA3D79"/>
    <w:rsid w:val="25117202"/>
    <w:rsid w:val="25266207"/>
    <w:rsid w:val="252E799A"/>
    <w:rsid w:val="253F05F7"/>
    <w:rsid w:val="25551BC9"/>
    <w:rsid w:val="25585A84"/>
    <w:rsid w:val="255D6CCF"/>
    <w:rsid w:val="25711C6D"/>
    <w:rsid w:val="257F6C45"/>
    <w:rsid w:val="2587082F"/>
    <w:rsid w:val="25923FE8"/>
    <w:rsid w:val="25B407F1"/>
    <w:rsid w:val="25C46A39"/>
    <w:rsid w:val="25D71021"/>
    <w:rsid w:val="25E44CFA"/>
    <w:rsid w:val="25FD7B6A"/>
    <w:rsid w:val="26191ACF"/>
    <w:rsid w:val="261B3F35"/>
    <w:rsid w:val="26213859"/>
    <w:rsid w:val="2641067D"/>
    <w:rsid w:val="26413EFB"/>
    <w:rsid w:val="26445799"/>
    <w:rsid w:val="266D4CF0"/>
    <w:rsid w:val="26801AA8"/>
    <w:rsid w:val="268C786C"/>
    <w:rsid w:val="269B7FE4"/>
    <w:rsid w:val="26B23E49"/>
    <w:rsid w:val="26BF01D9"/>
    <w:rsid w:val="26CD1869"/>
    <w:rsid w:val="26CF7759"/>
    <w:rsid w:val="26DB1F8F"/>
    <w:rsid w:val="26E34FB2"/>
    <w:rsid w:val="26F46D9E"/>
    <w:rsid w:val="27064377"/>
    <w:rsid w:val="274375D4"/>
    <w:rsid w:val="27481795"/>
    <w:rsid w:val="275F6D2E"/>
    <w:rsid w:val="276948A4"/>
    <w:rsid w:val="27983C91"/>
    <w:rsid w:val="279B3EA8"/>
    <w:rsid w:val="27A02A0E"/>
    <w:rsid w:val="27AB594A"/>
    <w:rsid w:val="27D119DB"/>
    <w:rsid w:val="28422863"/>
    <w:rsid w:val="28427CBE"/>
    <w:rsid w:val="28641ED9"/>
    <w:rsid w:val="286D547B"/>
    <w:rsid w:val="287051D9"/>
    <w:rsid w:val="287700A8"/>
    <w:rsid w:val="288075B0"/>
    <w:rsid w:val="288874B8"/>
    <w:rsid w:val="28AF7842"/>
    <w:rsid w:val="28BF3AB9"/>
    <w:rsid w:val="28D70F5B"/>
    <w:rsid w:val="28E950A9"/>
    <w:rsid w:val="28F33BD2"/>
    <w:rsid w:val="28F37A9E"/>
    <w:rsid w:val="28F87F8F"/>
    <w:rsid w:val="28F9286B"/>
    <w:rsid w:val="295147E2"/>
    <w:rsid w:val="2953641F"/>
    <w:rsid w:val="296A19BB"/>
    <w:rsid w:val="299912AB"/>
    <w:rsid w:val="29CC1912"/>
    <w:rsid w:val="29D07A70"/>
    <w:rsid w:val="29E13956"/>
    <w:rsid w:val="29E65B3B"/>
    <w:rsid w:val="2A1325E4"/>
    <w:rsid w:val="2A3600E6"/>
    <w:rsid w:val="2A495108"/>
    <w:rsid w:val="2A504EBC"/>
    <w:rsid w:val="2A6F0BE2"/>
    <w:rsid w:val="2AC77010"/>
    <w:rsid w:val="2ACD5DC2"/>
    <w:rsid w:val="2ADA1C68"/>
    <w:rsid w:val="2AED28A3"/>
    <w:rsid w:val="2AF6306C"/>
    <w:rsid w:val="2AFD1F49"/>
    <w:rsid w:val="2B21615F"/>
    <w:rsid w:val="2B242C3C"/>
    <w:rsid w:val="2B2A1401"/>
    <w:rsid w:val="2B3F5197"/>
    <w:rsid w:val="2B41357D"/>
    <w:rsid w:val="2B577D1D"/>
    <w:rsid w:val="2B7663F5"/>
    <w:rsid w:val="2B7A20C8"/>
    <w:rsid w:val="2B9B5042"/>
    <w:rsid w:val="2BD92684"/>
    <w:rsid w:val="2BE303D8"/>
    <w:rsid w:val="2BE772F2"/>
    <w:rsid w:val="2C3F712F"/>
    <w:rsid w:val="2C4C0810"/>
    <w:rsid w:val="2C746CD2"/>
    <w:rsid w:val="2C7A3CC3"/>
    <w:rsid w:val="2C8025B9"/>
    <w:rsid w:val="2C8D0668"/>
    <w:rsid w:val="2CB35427"/>
    <w:rsid w:val="2CBF1C01"/>
    <w:rsid w:val="2CCD1E63"/>
    <w:rsid w:val="2CE101E6"/>
    <w:rsid w:val="2D145EC5"/>
    <w:rsid w:val="2D4C4D2E"/>
    <w:rsid w:val="2D635F72"/>
    <w:rsid w:val="2D654973"/>
    <w:rsid w:val="2D782EE2"/>
    <w:rsid w:val="2D872B3B"/>
    <w:rsid w:val="2DC83C99"/>
    <w:rsid w:val="2DF7019E"/>
    <w:rsid w:val="2E1462E6"/>
    <w:rsid w:val="2E2808AD"/>
    <w:rsid w:val="2E29629D"/>
    <w:rsid w:val="2E505623"/>
    <w:rsid w:val="2E5A3DAC"/>
    <w:rsid w:val="2E6828E8"/>
    <w:rsid w:val="2E786928"/>
    <w:rsid w:val="2E84707B"/>
    <w:rsid w:val="2E894691"/>
    <w:rsid w:val="2E905A1F"/>
    <w:rsid w:val="2EBE0773"/>
    <w:rsid w:val="2EED492D"/>
    <w:rsid w:val="2EF81B7B"/>
    <w:rsid w:val="2F293B85"/>
    <w:rsid w:val="2F326AD7"/>
    <w:rsid w:val="2F364819"/>
    <w:rsid w:val="2F4341ED"/>
    <w:rsid w:val="2F6963F3"/>
    <w:rsid w:val="2F6D5D61"/>
    <w:rsid w:val="2F9B28CE"/>
    <w:rsid w:val="2FA63021"/>
    <w:rsid w:val="2FB219C5"/>
    <w:rsid w:val="2FE42A5E"/>
    <w:rsid w:val="2FE93BCB"/>
    <w:rsid w:val="300C3EDF"/>
    <w:rsid w:val="303E3C11"/>
    <w:rsid w:val="30446AC1"/>
    <w:rsid w:val="30585C2E"/>
    <w:rsid w:val="30607673"/>
    <w:rsid w:val="30633FB6"/>
    <w:rsid w:val="306925E3"/>
    <w:rsid w:val="307B1978"/>
    <w:rsid w:val="307F4548"/>
    <w:rsid w:val="308005E8"/>
    <w:rsid w:val="30913393"/>
    <w:rsid w:val="30BF3057"/>
    <w:rsid w:val="30D74727"/>
    <w:rsid w:val="30E80B48"/>
    <w:rsid w:val="30F8425E"/>
    <w:rsid w:val="30FF50DE"/>
    <w:rsid w:val="3106646D"/>
    <w:rsid w:val="311F6719"/>
    <w:rsid w:val="31232B7B"/>
    <w:rsid w:val="312B5ED3"/>
    <w:rsid w:val="313B4368"/>
    <w:rsid w:val="31661C67"/>
    <w:rsid w:val="31696DE6"/>
    <w:rsid w:val="317540B6"/>
    <w:rsid w:val="31773D8F"/>
    <w:rsid w:val="31C06A7C"/>
    <w:rsid w:val="31EC5663"/>
    <w:rsid w:val="31F47DEC"/>
    <w:rsid w:val="320D646B"/>
    <w:rsid w:val="321921D0"/>
    <w:rsid w:val="327644AD"/>
    <w:rsid w:val="32BE5531"/>
    <w:rsid w:val="32C959A4"/>
    <w:rsid w:val="32E60304"/>
    <w:rsid w:val="33064502"/>
    <w:rsid w:val="33410490"/>
    <w:rsid w:val="334F2EE3"/>
    <w:rsid w:val="336B153C"/>
    <w:rsid w:val="33A919B7"/>
    <w:rsid w:val="33BC400C"/>
    <w:rsid w:val="33CF0D98"/>
    <w:rsid w:val="3421695E"/>
    <w:rsid w:val="342854F1"/>
    <w:rsid w:val="343A7B15"/>
    <w:rsid w:val="3440560B"/>
    <w:rsid w:val="3445105A"/>
    <w:rsid w:val="344B4813"/>
    <w:rsid w:val="346076B1"/>
    <w:rsid w:val="346375DB"/>
    <w:rsid w:val="34750972"/>
    <w:rsid w:val="34781430"/>
    <w:rsid w:val="34E42621"/>
    <w:rsid w:val="34FE03F1"/>
    <w:rsid w:val="3516790C"/>
    <w:rsid w:val="351C1540"/>
    <w:rsid w:val="352275ED"/>
    <w:rsid w:val="35281F14"/>
    <w:rsid w:val="352D00FD"/>
    <w:rsid w:val="353D5303"/>
    <w:rsid w:val="357E2A76"/>
    <w:rsid w:val="358E07DF"/>
    <w:rsid w:val="359C2EFC"/>
    <w:rsid w:val="35E30F15"/>
    <w:rsid w:val="35ED2F28"/>
    <w:rsid w:val="35F03248"/>
    <w:rsid w:val="36175839"/>
    <w:rsid w:val="361A779D"/>
    <w:rsid w:val="367125DA"/>
    <w:rsid w:val="367C6504"/>
    <w:rsid w:val="368D6CE8"/>
    <w:rsid w:val="36A53A43"/>
    <w:rsid w:val="36DD1A1E"/>
    <w:rsid w:val="36E737C1"/>
    <w:rsid w:val="36EF7DCC"/>
    <w:rsid w:val="36F31241"/>
    <w:rsid w:val="3701395E"/>
    <w:rsid w:val="37476E97"/>
    <w:rsid w:val="374A5B7D"/>
    <w:rsid w:val="37561F11"/>
    <w:rsid w:val="37733D9D"/>
    <w:rsid w:val="377C7D3E"/>
    <w:rsid w:val="37854A3D"/>
    <w:rsid w:val="378D51F2"/>
    <w:rsid w:val="37D174C2"/>
    <w:rsid w:val="37DD6D4B"/>
    <w:rsid w:val="386F66A6"/>
    <w:rsid w:val="387E5850"/>
    <w:rsid w:val="388044C8"/>
    <w:rsid w:val="38B63734"/>
    <w:rsid w:val="38D9069A"/>
    <w:rsid w:val="38FA6AC4"/>
    <w:rsid w:val="390A4620"/>
    <w:rsid w:val="390C0398"/>
    <w:rsid w:val="390F1C37"/>
    <w:rsid w:val="397A79F8"/>
    <w:rsid w:val="39801AB6"/>
    <w:rsid w:val="398B4221"/>
    <w:rsid w:val="398E6FFF"/>
    <w:rsid w:val="398F6ADC"/>
    <w:rsid w:val="3A1A4D37"/>
    <w:rsid w:val="3A5257CB"/>
    <w:rsid w:val="3A5475C9"/>
    <w:rsid w:val="3A60406F"/>
    <w:rsid w:val="3A614E02"/>
    <w:rsid w:val="3A6B7341"/>
    <w:rsid w:val="3A916DA7"/>
    <w:rsid w:val="3A91750A"/>
    <w:rsid w:val="3A962949"/>
    <w:rsid w:val="3A964CA2"/>
    <w:rsid w:val="3AA91F1E"/>
    <w:rsid w:val="3AA96101"/>
    <w:rsid w:val="3AB22765"/>
    <w:rsid w:val="3AB42BE8"/>
    <w:rsid w:val="3AC23405"/>
    <w:rsid w:val="3ADD708C"/>
    <w:rsid w:val="3AF96667"/>
    <w:rsid w:val="3AFE1F54"/>
    <w:rsid w:val="3B274F4E"/>
    <w:rsid w:val="3B3B31B7"/>
    <w:rsid w:val="3B626996"/>
    <w:rsid w:val="3B662E8D"/>
    <w:rsid w:val="3B836161"/>
    <w:rsid w:val="3B903503"/>
    <w:rsid w:val="3B9350CC"/>
    <w:rsid w:val="3BA34BB8"/>
    <w:rsid w:val="3BAC5E63"/>
    <w:rsid w:val="3BBB1CFC"/>
    <w:rsid w:val="3BD17677"/>
    <w:rsid w:val="3BD258C9"/>
    <w:rsid w:val="3C204CE4"/>
    <w:rsid w:val="3C360C30"/>
    <w:rsid w:val="3C504606"/>
    <w:rsid w:val="3C656F9F"/>
    <w:rsid w:val="3C67757D"/>
    <w:rsid w:val="3C7303B6"/>
    <w:rsid w:val="3C973E85"/>
    <w:rsid w:val="3C977E2A"/>
    <w:rsid w:val="3CCD42E3"/>
    <w:rsid w:val="3CD553C5"/>
    <w:rsid w:val="3CE42D09"/>
    <w:rsid w:val="3D1B7BB4"/>
    <w:rsid w:val="3D251A29"/>
    <w:rsid w:val="3D2A2466"/>
    <w:rsid w:val="3D580050"/>
    <w:rsid w:val="3D622C7D"/>
    <w:rsid w:val="3D681163"/>
    <w:rsid w:val="3D7915A7"/>
    <w:rsid w:val="3DA96C47"/>
    <w:rsid w:val="3DBC170B"/>
    <w:rsid w:val="3DC12D0A"/>
    <w:rsid w:val="3DCE273D"/>
    <w:rsid w:val="3DD1395F"/>
    <w:rsid w:val="3DD206B3"/>
    <w:rsid w:val="3DD27A7A"/>
    <w:rsid w:val="3DDA0D9B"/>
    <w:rsid w:val="3DE23DBE"/>
    <w:rsid w:val="3DE322F3"/>
    <w:rsid w:val="3DFE0BF8"/>
    <w:rsid w:val="3E300685"/>
    <w:rsid w:val="3E3363B2"/>
    <w:rsid w:val="3E377C66"/>
    <w:rsid w:val="3E392B8C"/>
    <w:rsid w:val="3E4D7489"/>
    <w:rsid w:val="3E725142"/>
    <w:rsid w:val="3E872164"/>
    <w:rsid w:val="3E8D5054"/>
    <w:rsid w:val="3EA51073"/>
    <w:rsid w:val="3EAF36D6"/>
    <w:rsid w:val="3ED100BA"/>
    <w:rsid w:val="3ED74FA5"/>
    <w:rsid w:val="3EDE4585"/>
    <w:rsid w:val="3EEA7E40"/>
    <w:rsid w:val="3EF03352"/>
    <w:rsid w:val="3EFF6076"/>
    <w:rsid w:val="3F055FB6"/>
    <w:rsid w:val="3F36616F"/>
    <w:rsid w:val="3FA52708"/>
    <w:rsid w:val="3FF75D60"/>
    <w:rsid w:val="400242A3"/>
    <w:rsid w:val="402B55A8"/>
    <w:rsid w:val="40731583"/>
    <w:rsid w:val="408A2349"/>
    <w:rsid w:val="4095494B"/>
    <w:rsid w:val="40955A55"/>
    <w:rsid w:val="40B161DA"/>
    <w:rsid w:val="40C17FB8"/>
    <w:rsid w:val="40C652D1"/>
    <w:rsid w:val="40D14C71"/>
    <w:rsid w:val="40D5220D"/>
    <w:rsid w:val="40E65973"/>
    <w:rsid w:val="41221636"/>
    <w:rsid w:val="412E745D"/>
    <w:rsid w:val="413E03EA"/>
    <w:rsid w:val="413E52D5"/>
    <w:rsid w:val="41615EF2"/>
    <w:rsid w:val="41967135"/>
    <w:rsid w:val="41FF5B9E"/>
    <w:rsid w:val="420B72F5"/>
    <w:rsid w:val="421459BA"/>
    <w:rsid w:val="421D3C7F"/>
    <w:rsid w:val="421F15E9"/>
    <w:rsid w:val="423261F5"/>
    <w:rsid w:val="423500A1"/>
    <w:rsid w:val="424557E2"/>
    <w:rsid w:val="426E5C20"/>
    <w:rsid w:val="427D7230"/>
    <w:rsid w:val="4282060E"/>
    <w:rsid w:val="42954EF0"/>
    <w:rsid w:val="42B23D5F"/>
    <w:rsid w:val="42E44134"/>
    <w:rsid w:val="42F32CE3"/>
    <w:rsid w:val="431F26F5"/>
    <w:rsid w:val="43390B52"/>
    <w:rsid w:val="433F7092"/>
    <w:rsid w:val="43482915"/>
    <w:rsid w:val="435117C9"/>
    <w:rsid w:val="435C1F1C"/>
    <w:rsid w:val="435E35E7"/>
    <w:rsid w:val="438973FF"/>
    <w:rsid w:val="439E2535"/>
    <w:rsid w:val="43A01432"/>
    <w:rsid w:val="43AF029E"/>
    <w:rsid w:val="43C0001A"/>
    <w:rsid w:val="43C55D14"/>
    <w:rsid w:val="43C7383A"/>
    <w:rsid w:val="43CA332A"/>
    <w:rsid w:val="43CC2BFE"/>
    <w:rsid w:val="4413082D"/>
    <w:rsid w:val="4415656C"/>
    <w:rsid w:val="44225E77"/>
    <w:rsid w:val="444E3F5B"/>
    <w:rsid w:val="445664F6"/>
    <w:rsid w:val="44631CF6"/>
    <w:rsid w:val="446E63AB"/>
    <w:rsid w:val="44A71814"/>
    <w:rsid w:val="44C10289"/>
    <w:rsid w:val="44D206E8"/>
    <w:rsid w:val="44ED72D0"/>
    <w:rsid w:val="45156827"/>
    <w:rsid w:val="454964D0"/>
    <w:rsid w:val="455D3805"/>
    <w:rsid w:val="45A3635E"/>
    <w:rsid w:val="45A81E50"/>
    <w:rsid w:val="45D16BF2"/>
    <w:rsid w:val="45E16709"/>
    <w:rsid w:val="45EA22DA"/>
    <w:rsid w:val="460743C1"/>
    <w:rsid w:val="460F4CD4"/>
    <w:rsid w:val="462A0EE5"/>
    <w:rsid w:val="4642571E"/>
    <w:rsid w:val="46575537"/>
    <w:rsid w:val="467F664E"/>
    <w:rsid w:val="469A321D"/>
    <w:rsid w:val="469D0B34"/>
    <w:rsid w:val="46A77189"/>
    <w:rsid w:val="46B876F6"/>
    <w:rsid w:val="46DA7593"/>
    <w:rsid w:val="46E73AE0"/>
    <w:rsid w:val="46F231F5"/>
    <w:rsid w:val="46F5759C"/>
    <w:rsid w:val="4712006D"/>
    <w:rsid w:val="47121221"/>
    <w:rsid w:val="478B587E"/>
    <w:rsid w:val="478F3863"/>
    <w:rsid w:val="47BD53BF"/>
    <w:rsid w:val="47C6205A"/>
    <w:rsid w:val="480A4FB6"/>
    <w:rsid w:val="48367BDF"/>
    <w:rsid w:val="48421D06"/>
    <w:rsid w:val="48461282"/>
    <w:rsid w:val="48513325"/>
    <w:rsid w:val="48653621"/>
    <w:rsid w:val="48693111"/>
    <w:rsid w:val="489906A4"/>
    <w:rsid w:val="48A92A8E"/>
    <w:rsid w:val="48CC1253"/>
    <w:rsid w:val="48F86A8E"/>
    <w:rsid w:val="490D1943"/>
    <w:rsid w:val="491A265E"/>
    <w:rsid w:val="491C1505"/>
    <w:rsid w:val="492822E2"/>
    <w:rsid w:val="49296771"/>
    <w:rsid w:val="49484DFB"/>
    <w:rsid w:val="495851E9"/>
    <w:rsid w:val="496B110B"/>
    <w:rsid w:val="497D3D0D"/>
    <w:rsid w:val="49884C3C"/>
    <w:rsid w:val="498A3B1A"/>
    <w:rsid w:val="499750CB"/>
    <w:rsid w:val="49A66458"/>
    <w:rsid w:val="49B43FA2"/>
    <w:rsid w:val="49C87F6A"/>
    <w:rsid w:val="49CF70FC"/>
    <w:rsid w:val="49E0425C"/>
    <w:rsid w:val="49F25388"/>
    <w:rsid w:val="4A0749B4"/>
    <w:rsid w:val="4A0C3D14"/>
    <w:rsid w:val="4A1A4124"/>
    <w:rsid w:val="4A1E7FE0"/>
    <w:rsid w:val="4A25750C"/>
    <w:rsid w:val="4A366827"/>
    <w:rsid w:val="4A413C1A"/>
    <w:rsid w:val="4A4E5201"/>
    <w:rsid w:val="4A5B7951"/>
    <w:rsid w:val="4A7F03FF"/>
    <w:rsid w:val="4A8752E4"/>
    <w:rsid w:val="4A8F2BD7"/>
    <w:rsid w:val="4AA735E3"/>
    <w:rsid w:val="4ACE54AE"/>
    <w:rsid w:val="4AE65179"/>
    <w:rsid w:val="4B101F6A"/>
    <w:rsid w:val="4B211082"/>
    <w:rsid w:val="4B541BD0"/>
    <w:rsid w:val="4B55797D"/>
    <w:rsid w:val="4B593272"/>
    <w:rsid w:val="4B673CBA"/>
    <w:rsid w:val="4BA4013E"/>
    <w:rsid w:val="4BB3441A"/>
    <w:rsid w:val="4BFC1B2B"/>
    <w:rsid w:val="4C0F208F"/>
    <w:rsid w:val="4C4F261E"/>
    <w:rsid w:val="4C675BBA"/>
    <w:rsid w:val="4C87625C"/>
    <w:rsid w:val="4C934C01"/>
    <w:rsid w:val="4CA87496"/>
    <w:rsid w:val="4CDD7C2A"/>
    <w:rsid w:val="4CE367A9"/>
    <w:rsid w:val="4CF62C1F"/>
    <w:rsid w:val="4D080AFB"/>
    <w:rsid w:val="4D0C49B3"/>
    <w:rsid w:val="4D0F7FFF"/>
    <w:rsid w:val="4D107456"/>
    <w:rsid w:val="4D146BD4"/>
    <w:rsid w:val="4D165573"/>
    <w:rsid w:val="4D19055F"/>
    <w:rsid w:val="4D215E60"/>
    <w:rsid w:val="4D2C70ED"/>
    <w:rsid w:val="4D3D691B"/>
    <w:rsid w:val="4D4D597D"/>
    <w:rsid w:val="4D517CDF"/>
    <w:rsid w:val="4D777207"/>
    <w:rsid w:val="4D7D0FCF"/>
    <w:rsid w:val="4D8B0CF2"/>
    <w:rsid w:val="4D8D4D89"/>
    <w:rsid w:val="4DA370C6"/>
    <w:rsid w:val="4DA650F3"/>
    <w:rsid w:val="4DAD0048"/>
    <w:rsid w:val="4DB90697"/>
    <w:rsid w:val="4DBA440F"/>
    <w:rsid w:val="4DDD3A42"/>
    <w:rsid w:val="4DEF786C"/>
    <w:rsid w:val="4E2525E0"/>
    <w:rsid w:val="4E313F8D"/>
    <w:rsid w:val="4E3349C9"/>
    <w:rsid w:val="4E392BBD"/>
    <w:rsid w:val="4E5557A3"/>
    <w:rsid w:val="4EA01857"/>
    <w:rsid w:val="4EA37538"/>
    <w:rsid w:val="4EAD187E"/>
    <w:rsid w:val="4EAF1A9A"/>
    <w:rsid w:val="4EAF489E"/>
    <w:rsid w:val="4EC031C0"/>
    <w:rsid w:val="4EDE7C89"/>
    <w:rsid w:val="4EEC3CA4"/>
    <w:rsid w:val="4EFB3EDD"/>
    <w:rsid w:val="4F073EC1"/>
    <w:rsid w:val="4F262900"/>
    <w:rsid w:val="4F283CB4"/>
    <w:rsid w:val="4F463D78"/>
    <w:rsid w:val="4F60078E"/>
    <w:rsid w:val="4F61543D"/>
    <w:rsid w:val="4F6B3C13"/>
    <w:rsid w:val="4F7C7BCE"/>
    <w:rsid w:val="4F8B77FD"/>
    <w:rsid w:val="4F9C3DCC"/>
    <w:rsid w:val="4FAD7DD6"/>
    <w:rsid w:val="4FBA66E7"/>
    <w:rsid w:val="4FBB2E06"/>
    <w:rsid w:val="4FC6709B"/>
    <w:rsid w:val="4FC878AF"/>
    <w:rsid w:val="4FE34BAE"/>
    <w:rsid w:val="50083210"/>
    <w:rsid w:val="50187DFE"/>
    <w:rsid w:val="502338E3"/>
    <w:rsid w:val="503A35E5"/>
    <w:rsid w:val="503B080B"/>
    <w:rsid w:val="50574928"/>
    <w:rsid w:val="505E0C4D"/>
    <w:rsid w:val="506105AA"/>
    <w:rsid w:val="506643DA"/>
    <w:rsid w:val="50722D7F"/>
    <w:rsid w:val="50792EE1"/>
    <w:rsid w:val="509B4084"/>
    <w:rsid w:val="50ED48BA"/>
    <w:rsid w:val="50FB4B23"/>
    <w:rsid w:val="51392FC0"/>
    <w:rsid w:val="51597A9B"/>
    <w:rsid w:val="515D27EA"/>
    <w:rsid w:val="516839A1"/>
    <w:rsid w:val="51905BB3"/>
    <w:rsid w:val="5199689F"/>
    <w:rsid w:val="51B60E30"/>
    <w:rsid w:val="51B868DE"/>
    <w:rsid w:val="51BA2C30"/>
    <w:rsid w:val="51CB278C"/>
    <w:rsid w:val="51D11028"/>
    <w:rsid w:val="51E05D03"/>
    <w:rsid w:val="51EC5699"/>
    <w:rsid w:val="51ED0175"/>
    <w:rsid w:val="51F36EE5"/>
    <w:rsid w:val="52062C54"/>
    <w:rsid w:val="520B6D6E"/>
    <w:rsid w:val="520C2D5F"/>
    <w:rsid w:val="52683935"/>
    <w:rsid w:val="527659A4"/>
    <w:rsid w:val="52776BC5"/>
    <w:rsid w:val="52940897"/>
    <w:rsid w:val="52B04C41"/>
    <w:rsid w:val="52B17D4C"/>
    <w:rsid w:val="52BC29D7"/>
    <w:rsid w:val="52D41E8E"/>
    <w:rsid w:val="52D974BA"/>
    <w:rsid w:val="53146370"/>
    <w:rsid w:val="532A5295"/>
    <w:rsid w:val="534D44EA"/>
    <w:rsid w:val="53902320"/>
    <w:rsid w:val="53E03237"/>
    <w:rsid w:val="53F3339E"/>
    <w:rsid w:val="5407691B"/>
    <w:rsid w:val="54180F40"/>
    <w:rsid w:val="542D34B5"/>
    <w:rsid w:val="54503970"/>
    <w:rsid w:val="54B10C1B"/>
    <w:rsid w:val="54CD2496"/>
    <w:rsid w:val="54CF2063"/>
    <w:rsid w:val="54D3417A"/>
    <w:rsid w:val="54E65AEA"/>
    <w:rsid w:val="55626C0A"/>
    <w:rsid w:val="55686E01"/>
    <w:rsid w:val="556A671B"/>
    <w:rsid w:val="5579070C"/>
    <w:rsid w:val="5583158B"/>
    <w:rsid w:val="558B0F78"/>
    <w:rsid w:val="5596306C"/>
    <w:rsid w:val="55B90631"/>
    <w:rsid w:val="55BB6815"/>
    <w:rsid w:val="55D3606E"/>
    <w:rsid w:val="55DA73FC"/>
    <w:rsid w:val="55FB134A"/>
    <w:rsid w:val="560460FE"/>
    <w:rsid w:val="560A4709"/>
    <w:rsid w:val="560C626C"/>
    <w:rsid w:val="56501C97"/>
    <w:rsid w:val="566A450E"/>
    <w:rsid w:val="567D65F5"/>
    <w:rsid w:val="568850AA"/>
    <w:rsid w:val="569A1975"/>
    <w:rsid w:val="56AB4D39"/>
    <w:rsid w:val="56BD287A"/>
    <w:rsid w:val="56BE3AB8"/>
    <w:rsid w:val="56C1236A"/>
    <w:rsid w:val="56C22467"/>
    <w:rsid w:val="56C35319"/>
    <w:rsid w:val="56D8324A"/>
    <w:rsid w:val="56D8626A"/>
    <w:rsid w:val="56DE4CCA"/>
    <w:rsid w:val="56E02C2D"/>
    <w:rsid w:val="56E11251"/>
    <w:rsid w:val="57144B90"/>
    <w:rsid w:val="57203535"/>
    <w:rsid w:val="57572C57"/>
    <w:rsid w:val="575925A3"/>
    <w:rsid w:val="575B631B"/>
    <w:rsid w:val="576D42A0"/>
    <w:rsid w:val="577216B2"/>
    <w:rsid w:val="57825F9E"/>
    <w:rsid w:val="579000BE"/>
    <w:rsid w:val="57A001D2"/>
    <w:rsid w:val="57A41AB1"/>
    <w:rsid w:val="57CA4F33"/>
    <w:rsid w:val="57E91B79"/>
    <w:rsid w:val="581110D0"/>
    <w:rsid w:val="581C28A9"/>
    <w:rsid w:val="582836A2"/>
    <w:rsid w:val="58496326"/>
    <w:rsid w:val="584D5CFC"/>
    <w:rsid w:val="58651AA8"/>
    <w:rsid w:val="58BA3729"/>
    <w:rsid w:val="58BA582A"/>
    <w:rsid w:val="58EB36CF"/>
    <w:rsid w:val="590A46ED"/>
    <w:rsid w:val="592A1893"/>
    <w:rsid w:val="593339DC"/>
    <w:rsid w:val="593A59F7"/>
    <w:rsid w:val="59695A06"/>
    <w:rsid w:val="597B2CA5"/>
    <w:rsid w:val="5981135B"/>
    <w:rsid w:val="59B2243E"/>
    <w:rsid w:val="59B71866"/>
    <w:rsid w:val="59C363FA"/>
    <w:rsid w:val="59F36CDF"/>
    <w:rsid w:val="59F9006D"/>
    <w:rsid w:val="5A0F1F59"/>
    <w:rsid w:val="5A184997"/>
    <w:rsid w:val="5A1B185F"/>
    <w:rsid w:val="5A204434"/>
    <w:rsid w:val="5A207377"/>
    <w:rsid w:val="5A5B1684"/>
    <w:rsid w:val="5A627595"/>
    <w:rsid w:val="5A655CE7"/>
    <w:rsid w:val="5A753B98"/>
    <w:rsid w:val="5A7C7CC1"/>
    <w:rsid w:val="5A91549E"/>
    <w:rsid w:val="5AB27ECF"/>
    <w:rsid w:val="5ABA77FD"/>
    <w:rsid w:val="5AF0321E"/>
    <w:rsid w:val="5B0015B8"/>
    <w:rsid w:val="5B195F76"/>
    <w:rsid w:val="5B1A0996"/>
    <w:rsid w:val="5B406C05"/>
    <w:rsid w:val="5B426771"/>
    <w:rsid w:val="5B557525"/>
    <w:rsid w:val="5B690590"/>
    <w:rsid w:val="5B9067AF"/>
    <w:rsid w:val="5BA1504E"/>
    <w:rsid w:val="5BC175DC"/>
    <w:rsid w:val="5BDC30D6"/>
    <w:rsid w:val="5BDD0396"/>
    <w:rsid w:val="5BE114F7"/>
    <w:rsid w:val="5BF03C12"/>
    <w:rsid w:val="5C1F3489"/>
    <w:rsid w:val="5C2238AB"/>
    <w:rsid w:val="5C273ACF"/>
    <w:rsid w:val="5C2C132A"/>
    <w:rsid w:val="5C567533"/>
    <w:rsid w:val="5C657C3C"/>
    <w:rsid w:val="5C6A5252"/>
    <w:rsid w:val="5C82259C"/>
    <w:rsid w:val="5C897508"/>
    <w:rsid w:val="5C956991"/>
    <w:rsid w:val="5CC74453"/>
    <w:rsid w:val="5CDF48F1"/>
    <w:rsid w:val="5CEB1EEF"/>
    <w:rsid w:val="5CF52363"/>
    <w:rsid w:val="5CFA0384"/>
    <w:rsid w:val="5D1A0A26"/>
    <w:rsid w:val="5D2C131F"/>
    <w:rsid w:val="5D487342"/>
    <w:rsid w:val="5D703388"/>
    <w:rsid w:val="5DBA58BF"/>
    <w:rsid w:val="5DDB1F64"/>
    <w:rsid w:val="5E1611EE"/>
    <w:rsid w:val="5E18686B"/>
    <w:rsid w:val="5E400893"/>
    <w:rsid w:val="5E483371"/>
    <w:rsid w:val="5E522294"/>
    <w:rsid w:val="5E5E4943"/>
    <w:rsid w:val="5EA76CE6"/>
    <w:rsid w:val="5EE30DFC"/>
    <w:rsid w:val="5EFB4DE6"/>
    <w:rsid w:val="5F610B8F"/>
    <w:rsid w:val="5FBB029F"/>
    <w:rsid w:val="5FF71EC3"/>
    <w:rsid w:val="601E082E"/>
    <w:rsid w:val="603242D9"/>
    <w:rsid w:val="60583379"/>
    <w:rsid w:val="60CF38D6"/>
    <w:rsid w:val="61022F3A"/>
    <w:rsid w:val="610A2B60"/>
    <w:rsid w:val="610E43FE"/>
    <w:rsid w:val="6117523F"/>
    <w:rsid w:val="6118702B"/>
    <w:rsid w:val="61467507"/>
    <w:rsid w:val="614E5143"/>
    <w:rsid w:val="6155202D"/>
    <w:rsid w:val="61646714"/>
    <w:rsid w:val="616F4D1B"/>
    <w:rsid w:val="61A6512C"/>
    <w:rsid w:val="61BA2D18"/>
    <w:rsid w:val="61D07BA7"/>
    <w:rsid w:val="61ED04B8"/>
    <w:rsid w:val="620B6B90"/>
    <w:rsid w:val="62377926"/>
    <w:rsid w:val="624D15EF"/>
    <w:rsid w:val="624F4CCE"/>
    <w:rsid w:val="626D15F8"/>
    <w:rsid w:val="62A905C6"/>
    <w:rsid w:val="62DF41FE"/>
    <w:rsid w:val="62E15F94"/>
    <w:rsid w:val="62EF64B1"/>
    <w:rsid w:val="62FC19D5"/>
    <w:rsid w:val="62FC62F6"/>
    <w:rsid w:val="63133F4E"/>
    <w:rsid w:val="63215262"/>
    <w:rsid w:val="63424833"/>
    <w:rsid w:val="634D7A5B"/>
    <w:rsid w:val="63717246"/>
    <w:rsid w:val="637A3FCD"/>
    <w:rsid w:val="63860BC4"/>
    <w:rsid w:val="639C03E7"/>
    <w:rsid w:val="63A4104A"/>
    <w:rsid w:val="63AE1EC8"/>
    <w:rsid w:val="63BC6393"/>
    <w:rsid w:val="63D86537"/>
    <w:rsid w:val="63DB1BC8"/>
    <w:rsid w:val="63EC7817"/>
    <w:rsid w:val="6436122E"/>
    <w:rsid w:val="64370110"/>
    <w:rsid w:val="64460353"/>
    <w:rsid w:val="645C0C75"/>
    <w:rsid w:val="645C1924"/>
    <w:rsid w:val="646507D9"/>
    <w:rsid w:val="64746C6E"/>
    <w:rsid w:val="64763058"/>
    <w:rsid w:val="647C7C6B"/>
    <w:rsid w:val="64835103"/>
    <w:rsid w:val="648669A1"/>
    <w:rsid w:val="648F5856"/>
    <w:rsid w:val="649C61C5"/>
    <w:rsid w:val="64A07A63"/>
    <w:rsid w:val="64A532CB"/>
    <w:rsid w:val="64CF6609"/>
    <w:rsid w:val="64D91D97"/>
    <w:rsid w:val="64E81CE8"/>
    <w:rsid w:val="650C0F95"/>
    <w:rsid w:val="651B17E0"/>
    <w:rsid w:val="652F4076"/>
    <w:rsid w:val="655748CB"/>
    <w:rsid w:val="65575CDF"/>
    <w:rsid w:val="655E40F7"/>
    <w:rsid w:val="65814FCA"/>
    <w:rsid w:val="6586374B"/>
    <w:rsid w:val="65A05C19"/>
    <w:rsid w:val="65E73191"/>
    <w:rsid w:val="661623E1"/>
    <w:rsid w:val="66393372"/>
    <w:rsid w:val="663E7534"/>
    <w:rsid w:val="664F4B66"/>
    <w:rsid w:val="66847AD9"/>
    <w:rsid w:val="669F4894"/>
    <w:rsid w:val="66A82BFF"/>
    <w:rsid w:val="66AB62F1"/>
    <w:rsid w:val="66DB1226"/>
    <w:rsid w:val="66EE2624"/>
    <w:rsid w:val="66FB71D3"/>
    <w:rsid w:val="67053C42"/>
    <w:rsid w:val="6716225F"/>
    <w:rsid w:val="671D35ED"/>
    <w:rsid w:val="671D539B"/>
    <w:rsid w:val="673B3E6E"/>
    <w:rsid w:val="67450299"/>
    <w:rsid w:val="6747046A"/>
    <w:rsid w:val="67566EED"/>
    <w:rsid w:val="67587117"/>
    <w:rsid w:val="676841BB"/>
    <w:rsid w:val="67741B3F"/>
    <w:rsid w:val="67902011"/>
    <w:rsid w:val="67D143D7"/>
    <w:rsid w:val="67FC76A6"/>
    <w:rsid w:val="680B1697"/>
    <w:rsid w:val="68464B6F"/>
    <w:rsid w:val="685C3E7E"/>
    <w:rsid w:val="685F7C35"/>
    <w:rsid w:val="68806F6A"/>
    <w:rsid w:val="688558EE"/>
    <w:rsid w:val="688E138F"/>
    <w:rsid w:val="689C7120"/>
    <w:rsid w:val="69006B8C"/>
    <w:rsid w:val="690246C7"/>
    <w:rsid w:val="69310AF9"/>
    <w:rsid w:val="69377BDD"/>
    <w:rsid w:val="6958704A"/>
    <w:rsid w:val="69603C65"/>
    <w:rsid w:val="69802285"/>
    <w:rsid w:val="698F23B5"/>
    <w:rsid w:val="69B1626F"/>
    <w:rsid w:val="69D00DEB"/>
    <w:rsid w:val="69DB1CD7"/>
    <w:rsid w:val="69DB4F4A"/>
    <w:rsid w:val="69EC374B"/>
    <w:rsid w:val="6A0E546F"/>
    <w:rsid w:val="6A334ED5"/>
    <w:rsid w:val="6A577165"/>
    <w:rsid w:val="6A6E23B2"/>
    <w:rsid w:val="6A6E6107"/>
    <w:rsid w:val="6A7A6FA8"/>
    <w:rsid w:val="6A7D76A1"/>
    <w:rsid w:val="6A8A3D36"/>
    <w:rsid w:val="6A960D5C"/>
    <w:rsid w:val="6AA67D9D"/>
    <w:rsid w:val="6AD95A7D"/>
    <w:rsid w:val="6AE6019A"/>
    <w:rsid w:val="6B2018FE"/>
    <w:rsid w:val="6B2A6550"/>
    <w:rsid w:val="6B383F7F"/>
    <w:rsid w:val="6B8503B6"/>
    <w:rsid w:val="6B882FFF"/>
    <w:rsid w:val="6B950F2A"/>
    <w:rsid w:val="6BCC758B"/>
    <w:rsid w:val="6BEC0EB1"/>
    <w:rsid w:val="6BEC79F6"/>
    <w:rsid w:val="6C2B2308"/>
    <w:rsid w:val="6C403A34"/>
    <w:rsid w:val="6C423AF6"/>
    <w:rsid w:val="6C4433CA"/>
    <w:rsid w:val="6C4E2069"/>
    <w:rsid w:val="6C553829"/>
    <w:rsid w:val="6CA52BA4"/>
    <w:rsid w:val="6CD504C6"/>
    <w:rsid w:val="6CE355A2"/>
    <w:rsid w:val="6CEB315D"/>
    <w:rsid w:val="6D132C27"/>
    <w:rsid w:val="6D2E263B"/>
    <w:rsid w:val="6D584E32"/>
    <w:rsid w:val="6D6C5409"/>
    <w:rsid w:val="6D710E78"/>
    <w:rsid w:val="6D907C75"/>
    <w:rsid w:val="6DBD1686"/>
    <w:rsid w:val="6DBD318F"/>
    <w:rsid w:val="6DC06053"/>
    <w:rsid w:val="6E02353D"/>
    <w:rsid w:val="6E0E3C8F"/>
    <w:rsid w:val="6E190970"/>
    <w:rsid w:val="6E20147C"/>
    <w:rsid w:val="6E201C15"/>
    <w:rsid w:val="6E2C779A"/>
    <w:rsid w:val="6E3C58DC"/>
    <w:rsid w:val="6E3E175A"/>
    <w:rsid w:val="6E6E2980"/>
    <w:rsid w:val="6E7A26CB"/>
    <w:rsid w:val="6E8201DA"/>
    <w:rsid w:val="6E860B2E"/>
    <w:rsid w:val="6E873778"/>
    <w:rsid w:val="6EBD02D4"/>
    <w:rsid w:val="6EDE7B06"/>
    <w:rsid w:val="6EEA2A6C"/>
    <w:rsid w:val="6EEE4E11"/>
    <w:rsid w:val="6F1D06B8"/>
    <w:rsid w:val="6F493D81"/>
    <w:rsid w:val="6F4C55E1"/>
    <w:rsid w:val="6F4F7D4D"/>
    <w:rsid w:val="6F573414"/>
    <w:rsid w:val="6F9E54E7"/>
    <w:rsid w:val="6FAB7DA4"/>
    <w:rsid w:val="6FBA32F3"/>
    <w:rsid w:val="6FBB39A3"/>
    <w:rsid w:val="6FD902CD"/>
    <w:rsid w:val="6FEA24DA"/>
    <w:rsid w:val="6FEC0000"/>
    <w:rsid w:val="6FEF4E8E"/>
    <w:rsid w:val="7007308C"/>
    <w:rsid w:val="700C3455"/>
    <w:rsid w:val="70281320"/>
    <w:rsid w:val="702920DD"/>
    <w:rsid w:val="70317130"/>
    <w:rsid w:val="704D60B2"/>
    <w:rsid w:val="70700C31"/>
    <w:rsid w:val="70765B1C"/>
    <w:rsid w:val="707738E7"/>
    <w:rsid w:val="70B22FEB"/>
    <w:rsid w:val="70B76FC3"/>
    <w:rsid w:val="70F640AA"/>
    <w:rsid w:val="70FF3D63"/>
    <w:rsid w:val="711F61B4"/>
    <w:rsid w:val="71233EF6"/>
    <w:rsid w:val="71440939"/>
    <w:rsid w:val="7164006A"/>
    <w:rsid w:val="71692C8E"/>
    <w:rsid w:val="7169742F"/>
    <w:rsid w:val="71705FC9"/>
    <w:rsid w:val="719E532A"/>
    <w:rsid w:val="71A16BC9"/>
    <w:rsid w:val="71A67C85"/>
    <w:rsid w:val="71B95152"/>
    <w:rsid w:val="71BB3875"/>
    <w:rsid w:val="71E13469"/>
    <w:rsid w:val="720D24B0"/>
    <w:rsid w:val="724B5FFE"/>
    <w:rsid w:val="724C2FD8"/>
    <w:rsid w:val="72591B25"/>
    <w:rsid w:val="72A46CC5"/>
    <w:rsid w:val="72DA4A88"/>
    <w:rsid w:val="72E832AC"/>
    <w:rsid w:val="730E2034"/>
    <w:rsid w:val="731A2D6E"/>
    <w:rsid w:val="731C3503"/>
    <w:rsid w:val="73246ED1"/>
    <w:rsid w:val="73504D4A"/>
    <w:rsid w:val="73575892"/>
    <w:rsid w:val="737A5923"/>
    <w:rsid w:val="73AA6208"/>
    <w:rsid w:val="73BB3C0B"/>
    <w:rsid w:val="73D2063E"/>
    <w:rsid w:val="73E24586"/>
    <w:rsid w:val="73F30DA4"/>
    <w:rsid w:val="73FB49D5"/>
    <w:rsid w:val="7420168D"/>
    <w:rsid w:val="74273EE1"/>
    <w:rsid w:val="742C5964"/>
    <w:rsid w:val="74583ECB"/>
    <w:rsid w:val="746C5CEA"/>
    <w:rsid w:val="74723636"/>
    <w:rsid w:val="74B9247B"/>
    <w:rsid w:val="74C12E3F"/>
    <w:rsid w:val="74EE2828"/>
    <w:rsid w:val="74EE481B"/>
    <w:rsid w:val="74FB4049"/>
    <w:rsid w:val="750000AA"/>
    <w:rsid w:val="750F5847"/>
    <w:rsid w:val="75333608"/>
    <w:rsid w:val="753D4E5A"/>
    <w:rsid w:val="754E7067"/>
    <w:rsid w:val="75616D9B"/>
    <w:rsid w:val="7564041E"/>
    <w:rsid w:val="7589250B"/>
    <w:rsid w:val="759952C0"/>
    <w:rsid w:val="75D21DB7"/>
    <w:rsid w:val="75E659CC"/>
    <w:rsid w:val="75F419BD"/>
    <w:rsid w:val="760A04D7"/>
    <w:rsid w:val="76443835"/>
    <w:rsid w:val="765942D0"/>
    <w:rsid w:val="76960CC6"/>
    <w:rsid w:val="76AF7FDA"/>
    <w:rsid w:val="76CA4E14"/>
    <w:rsid w:val="76E4409A"/>
    <w:rsid w:val="76EE700A"/>
    <w:rsid w:val="77011DC1"/>
    <w:rsid w:val="770E0FDA"/>
    <w:rsid w:val="772D6408"/>
    <w:rsid w:val="77530965"/>
    <w:rsid w:val="77555743"/>
    <w:rsid w:val="777A05E8"/>
    <w:rsid w:val="778D031B"/>
    <w:rsid w:val="77A339AF"/>
    <w:rsid w:val="77AC0E03"/>
    <w:rsid w:val="77C7119B"/>
    <w:rsid w:val="77C80AC5"/>
    <w:rsid w:val="77CD0148"/>
    <w:rsid w:val="77CF5A20"/>
    <w:rsid w:val="77EA6925"/>
    <w:rsid w:val="781874CA"/>
    <w:rsid w:val="781E5417"/>
    <w:rsid w:val="781F26CC"/>
    <w:rsid w:val="784D3AFD"/>
    <w:rsid w:val="785B2975"/>
    <w:rsid w:val="786631F7"/>
    <w:rsid w:val="78A17E54"/>
    <w:rsid w:val="78CB62BA"/>
    <w:rsid w:val="78D17C5F"/>
    <w:rsid w:val="79017226"/>
    <w:rsid w:val="790E1E9F"/>
    <w:rsid w:val="795B6727"/>
    <w:rsid w:val="79646E59"/>
    <w:rsid w:val="79744C7C"/>
    <w:rsid w:val="79BC724A"/>
    <w:rsid w:val="79D30393"/>
    <w:rsid w:val="79E5262F"/>
    <w:rsid w:val="79FC3536"/>
    <w:rsid w:val="7A0B15F1"/>
    <w:rsid w:val="7A0B3779"/>
    <w:rsid w:val="7A44757C"/>
    <w:rsid w:val="7A582B82"/>
    <w:rsid w:val="7A6C5868"/>
    <w:rsid w:val="7A8556F5"/>
    <w:rsid w:val="7AA96417"/>
    <w:rsid w:val="7AAC7EE0"/>
    <w:rsid w:val="7AB160CE"/>
    <w:rsid w:val="7AB24893"/>
    <w:rsid w:val="7ACA7190"/>
    <w:rsid w:val="7AD26045"/>
    <w:rsid w:val="7B1775B2"/>
    <w:rsid w:val="7B187EFC"/>
    <w:rsid w:val="7B3A6448"/>
    <w:rsid w:val="7B524F03"/>
    <w:rsid w:val="7B5F3D7C"/>
    <w:rsid w:val="7B607B81"/>
    <w:rsid w:val="7B740B29"/>
    <w:rsid w:val="7B7B716D"/>
    <w:rsid w:val="7B933A26"/>
    <w:rsid w:val="7B9B0B2D"/>
    <w:rsid w:val="7BA774D1"/>
    <w:rsid w:val="7BBD0AA3"/>
    <w:rsid w:val="7BC63DFB"/>
    <w:rsid w:val="7BC951D8"/>
    <w:rsid w:val="7BCD518A"/>
    <w:rsid w:val="7BFA3AA5"/>
    <w:rsid w:val="7C1845E1"/>
    <w:rsid w:val="7C224DAA"/>
    <w:rsid w:val="7C253132"/>
    <w:rsid w:val="7C381F99"/>
    <w:rsid w:val="7C4C6CA4"/>
    <w:rsid w:val="7C5533D1"/>
    <w:rsid w:val="7C716B68"/>
    <w:rsid w:val="7C917FF7"/>
    <w:rsid w:val="7C920181"/>
    <w:rsid w:val="7C991510"/>
    <w:rsid w:val="7CA85BD2"/>
    <w:rsid w:val="7CB00608"/>
    <w:rsid w:val="7D044D32"/>
    <w:rsid w:val="7D2358FF"/>
    <w:rsid w:val="7D24527D"/>
    <w:rsid w:val="7D3923AB"/>
    <w:rsid w:val="7D4476CE"/>
    <w:rsid w:val="7D533815"/>
    <w:rsid w:val="7D6513F2"/>
    <w:rsid w:val="7D800CFB"/>
    <w:rsid w:val="7D907744"/>
    <w:rsid w:val="7DD644B9"/>
    <w:rsid w:val="7E035F1C"/>
    <w:rsid w:val="7E0F1FED"/>
    <w:rsid w:val="7E1C6BE4"/>
    <w:rsid w:val="7E1E42EF"/>
    <w:rsid w:val="7E5A0441"/>
    <w:rsid w:val="7E694F12"/>
    <w:rsid w:val="7E795155"/>
    <w:rsid w:val="7E916F06"/>
    <w:rsid w:val="7E9F23BF"/>
    <w:rsid w:val="7EA06B86"/>
    <w:rsid w:val="7EB02B41"/>
    <w:rsid w:val="7EC16F8B"/>
    <w:rsid w:val="7ED72141"/>
    <w:rsid w:val="7EE822DB"/>
    <w:rsid w:val="7F09467C"/>
    <w:rsid w:val="7F0E2B74"/>
    <w:rsid w:val="7F2D5A80"/>
    <w:rsid w:val="7F2E25B2"/>
    <w:rsid w:val="7F3E632E"/>
    <w:rsid w:val="7F6B19DD"/>
    <w:rsid w:val="7F9B734D"/>
    <w:rsid w:val="7FA36202"/>
    <w:rsid w:val="7FBB22C9"/>
    <w:rsid w:val="7FC411AE"/>
    <w:rsid w:val="7FC92566"/>
    <w:rsid w:val="7FE2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425"/>
      </w:tabs>
      <w:spacing w:before="340" w:after="330" w:line="576" w:lineRule="auto"/>
      <w:ind w:left="425" w:hanging="425"/>
      <w:outlineLvl w:val="0"/>
    </w:pPr>
    <w:rPr>
      <w:b/>
      <w:kern w:val="44"/>
      <w:sz w:val="44"/>
      <w:szCs w:val="20"/>
    </w:rPr>
  </w:style>
  <w:style w:type="paragraph" w:styleId="3">
    <w:name w:val="heading 2"/>
    <w:basedOn w:val="1"/>
    <w:next w:val="1"/>
    <w:autoRedefine/>
    <w:qFormat/>
    <w:uiPriority w:val="0"/>
    <w:pPr>
      <w:keepNext/>
      <w:keepLines/>
      <w:tabs>
        <w:tab w:val="left" w:pos="567"/>
      </w:tabs>
      <w:spacing w:before="120" w:after="120" w:line="360" w:lineRule="auto"/>
      <w:ind w:left="0" w:firstLine="0"/>
      <w:jc w:val="center"/>
      <w:outlineLvl w:val="1"/>
    </w:pPr>
    <w:rPr>
      <w:rFonts w:ascii="宋体" w:hAnsi="宋体" w:eastAsia="宋体"/>
      <w:b/>
      <w:bCs/>
      <w:sz w:val="21"/>
      <w:szCs w:val="18"/>
    </w:rPr>
  </w:style>
  <w:style w:type="paragraph" w:styleId="4">
    <w:name w:val="heading 3"/>
    <w:basedOn w:val="1"/>
    <w:next w:val="5"/>
    <w:autoRedefine/>
    <w:qFormat/>
    <w:uiPriority w:val="9"/>
    <w:pPr>
      <w:keepNext/>
      <w:keepLines/>
      <w:tabs>
        <w:tab w:val="left" w:pos="709"/>
      </w:tabs>
      <w:spacing w:line="360" w:lineRule="auto"/>
      <w:ind w:left="0" w:firstLine="709"/>
      <w:outlineLvl w:val="2"/>
    </w:pPr>
    <w:rPr>
      <w:rFonts w:ascii="Times New Roman" w:hAnsi="Times New Roman" w:eastAsia="宋体"/>
      <w:b/>
      <w:bCs/>
      <w:sz w:val="21"/>
      <w:szCs w:val="32"/>
    </w:rPr>
  </w:style>
  <w:style w:type="paragraph" w:styleId="6">
    <w:name w:val="heading 4"/>
    <w:basedOn w:val="1"/>
    <w:next w:val="1"/>
    <w:autoRedefine/>
    <w:qFormat/>
    <w:uiPriority w:val="0"/>
    <w:pPr>
      <w:keepNext/>
      <w:keepLines/>
      <w:tabs>
        <w:tab w:val="left" w:pos="851"/>
      </w:tabs>
      <w:spacing w:before="280" w:after="290" w:line="374" w:lineRule="auto"/>
      <w:ind w:left="851" w:hanging="851"/>
      <w:outlineLvl w:val="3"/>
    </w:pPr>
    <w:rPr>
      <w:rFonts w:ascii="Arial" w:hAnsi="Arial" w:eastAsia="黑体"/>
      <w:b/>
      <w:sz w:val="28"/>
      <w:szCs w:val="20"/>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宋体" w:hAnsi="Courier New"/>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widowControl/>
      <w:spacing w:after="120"/>
      <w:jc w:val="left"/>
    </w:pPr>
  </w:style>
  <w:style w:type="paragraph" w:styleId="10">
    <w:name w:val="Body Text Indent"/>
    <w:basedOn w:val="1"/>
    <w:autoRedefine/>
    <w:qFormat/>
    <w:uiPriority w:val="99"/>
    <w:pPr>
      <w:ind w:firstLine="420" w:firstLineChars="200"/>
    </w:pPr>
  </w:style>
  <w:style w:type="paragraph" w:styleId="11">
    <w:name w:val="Block Text"/>
    <w:basedOn w:val="1"/>
    <w:autoRedefine/>
    <w:qFormat/>
    <w:uiPriority w:val="99"/>
    <w:pPr>
      <w:ind w:left="1440" w:leftChars="700" w:right="1440" w:rightChars="700"/>
    </w:pPr>
  </w:style>
  <w:style w:type="paragraph" w:styleId="12">
    <w:name w:val="toc 3"/>
    <w:basedOn w:val="1"/>
    <w:next w:val="1"/>
    <w:autoRedefine/>
    <w:qFormat/>
    <w:uiPriority w:val="39"/>
    <w:pPr>
      <w:ind w:left="420"/>
      <w:jc w:val="left"/>
    </w:pPr>
    <w:rPr>
      <w:rFonts w:ascii="Calibri" w:hAnsi="Calibri"/>
      <w:i/>
      <w:iCs/>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rPr>
      <w:sz w:val="24"/>
    </w:rPr>
  </w:style>
  <w:style w:type="paragraph" w:styleId="16">
    <w:name w:val="toc 4"/>
    <w:basedOn w:val="1"/>
    <w:next w:val="1"/>
    <w:autoRedefine/>
    <w:qFormat/>
    <w:uiPriority w:val="0"/>
    <w:pPr>
      <w:ind w:left="630"/>
      <w:jc w:val="left"/>
    </w:pPr>
    <w:rPr>
      <w:sz w:val="18"/>
      <w:szCs w:val="18"/>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ody Text First Indent"/>
    <w:basedOn w:val="9"/>
    <w:qFormat/>
    <w:uiPriority w:val="0"/>
    <w:pPr>
      <w:widowControl w:val="0"/>
      <w:ind w:firstLine="420" w:firstLineChars="100"/>
      <w:jc w:val="both"/>
    </w:pPr>
  </w:style>
  <w:style w:type="paragraph" w:styleId="20">
    <w:name w:val="Body Text First Indent 2"/>
    <w:basedOn w:val="10"/>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99"/>
    <w:rPr>
      <w:rFonts w:eastAsia="仿宋_GB2312"/>
      <w:bCs/>
    </w:rPr>
  </w:style>
  <w:style w:type="paragraph" w:customStyle="1" w:styleId="25">
    <w:name w:val="Default"/>
    <w:next w:val="1"/>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26">
    <w:name w:val="样式 10 磅"/>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29">
    <w:name w:val="List Paragraph"/>
    <w:basedOn w:val="1"/>
    <w:autoRedefine/>
    <w:qFormat/>
    <w:uiPriority w:val="34"/>
    <w:pPr>
      <w:ind w:firstLine="420" w:firstLineChars="200"/>
    </w:p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font21"/>
    <w:basedOn w:val="23"/>
    <w:autoRedefine/>
    <w:qFormat/>
    <w:uiPriority w:val="0"/>
    <w:rPr>
      <w:rFonts w:hint="eastAsia" w:ascii="宋体" w:hAnsi="宋体" w:eastAsia="宋体" w:cs="宋体"/>
      <w:color w:val="000000"/>
      <w:sz w:val="22"/>
      <w:szCs w:val="22"/>
      <w:u w:val="none"/>
    </w:rPr>
  </w:style>
  <w:style w:type="character" w:customStyle="1" w:styleId="33">
    <w:name w:val="font01"/>
    <w:basedOn w:val="23"/>
    <w:qFormat/>
    <w:uiPriority w:val="0"/>
    <w:rPr>
      <w:rFonts w:hint="eastAsia" w:ascii="宋体" w:hAnsi="宋体" w:eastAsia="宋体" w:cs="宋体"/>
      <w:color w:val="000000"/>
      <w:sz w:val="20"/>
      <w:szCs w:val="20"/>
      <w:u w:val="none"/>
    </w:rPr>
  </w:style>
  <w:style w:type="character" w:customStyle="1" w:styleId="34">
    <w:name w:val="font81"/>
    <w:basedOn w:val="23"/>
    <w:autoRedefine/>
    <w:qFormat/>
    <w:uiPriority w:val="0"/>
    <w:rPr>
      <w:rFonts w:hint="default" w:ascii="Times New Roman" w:hAnsi="Times New Roman" w:cs="Times New Roman"/>
      <w:color w:val="000000"/>
      <w:sz w:val="20"/>
      <w:szCs w:val="20"/>
      <w:u w:val="none"/>
    </w:rPr>
  </w:style>
  <w:style w:type="character" w:customStyle="1" w:styleId="35">
    <w:name w:val="font112"/>
    <w:basedOn w:val="23"/>
    <w:autoRedefine/>
    <w:qFormat/>
    <w:uiPriority w:val="0"/>
    <w:rPr>
      <w:rFonts w:hint="eastAsia" w:ascii="宋体" w:hAnsi="宋体" w:eastAsia="宋体" w:cs="宋体"/>
      <w:b/>
      <w:bCs/>
      <w:color w:val="000000"/>
      <w:sz w:val="20"/>
      <w:szCs w:val="20"/>
      <w:u w:val="none"/>
    </w:rPr>
  </w:style>
  <w:style w:type="character" w:customStyle="1" w:styleId="36">
    <w:name w:val="font121"/>
    <w:basedOn w:val="23"/>
    <w:autoRedefine/>
    <w:qFormat/>
    <w:uiPriority w:val="0"/>
    <w:rPr>
      <w:rFonts w:ascii="宋体" w:hAnsi="宋体" w:eastAsia="宋体" w:cs="宋体"/>
      <w:color w:val="000000"/>
      <w:sz w:val="20"/>
      <w:szCs w:val="20"/>
      <w:u w:val="none"/>
    </w:rPr>
  </w:style>
  <w:style w:type="character" w:customStyle="1" w:styleId="37">
    <w:name w:val="textcontents"/>
    <w:qFormat/>
    <w:uiPriority w:val="0"/>
    <w:rPr>
      <w:rFonts w:cs="Times New Roman"/>
    </w:rPr>
  </w:style>
  <w:style w:type="character" w:customStyle="1" w:styleId="38">
    <w:name w:val="font101"/>
    <w:basedOn w:val="23"/>
    <w:autoRedefine/>
    <w:qFormat/>
    <w:uiPriority w:val="0"/>
    <w:rPr>
      <w:rFonts w:hint="eastAsia" w:ascii="宋体" w:hAnsi="宋体" w:eastAsia="宋体" w:cs="宋体"/>
      <w:b/>
      <w:bCs/>
      <w:color w:val="000000"/>
      <w:sz w:val="32"/>
      <w:szCs w:val="32"/>
      <w:u w:val="none"/>
    </w:rPr>
  </w:style>
  <w:style w:type="character" w:customStyle="1" w:styleId="39">
    <w:name w:val="font71"/>
    <w:basedOn w:val="23"/>
    <w:autoRedefine/>
    <w:qFormat/>
    <w:uiPriority w:val="0"/>
    <w:rPr>
      <w:rFonts w:hint="eastAsia" w:ascii="宋体" w:hAnsi="宋体" w:eastAsia="宋体" w:cs="宋体"/>
      <w:color w:val="000000"/>
      <w:sz w:val="20"/>
      <w:szCs w:val="20"/>
      <w:u w:val="none"/>
    </w:rPr>
  </w:style>
  <w:style w:type="character" w:customStyle="1" w:styleId="40">
    <w:name w:val="font31"/>
    <w:basedOn w:val="23"/>
    <w:autoRedefine/>
    <w:qFormat/>
    <w:uiPriority w:val="0"/>
    <w:rPr>
      <w:rFonts w:hint="default" w:ascii="Times New Roman" w:hAnsi="Times New Roman" w:cs="Times New Roman"/>
      <w:color w:val="000000"/>
      <w:sz w:val="20"/>
      <w:szCs w:val="20"/>
      <w:u w:val="none"/>
    </w:rPr>
  </w:style>
  <w:style w:type="character" w:customStyle="1" w:styleId="41">
    <w:name w:val="font11"/>
    <w:basedOn w:val="23"/>
    <w:qFormat/>
    <w:uiPriority w:val="0"/>
    <w:rPr>
      <w:rFonts w:hint="eastAsia" w:ascii="宋体" w:hAnsi="宋体" w:eastAsia="宋体" w:cs="宋体"/>
      <w:b/>
      <w:bCs/>
      <w:color w:val="000000"/>
      <w:sz w:val="22"/>
      <w:szCs w:val="22"/>
      <w:u w:val="none"/>
    </w:rPr>
  </w:style>
  <w:style w:type="character" w:customStyle="1" w:styleId="42">
    <w:name w:val="font91"/>
    <w:basedOn w:val="23"/>
    <w:qFormat/>
    <w:uiPriority w:val="0"/>
    <w:rPr>
      <w:rFonts w:hint="eastAsia" w:ascii="宋体" w:hAnsi="宋体" w:eastAsia="宋体" w:cs="宋体"/>
      <w:color w:val="000000"/>
      <w:sz w:val="20"/>
      <w:szCs w:val="20"/>
      <w:u w:val="none"/>
    </w:rPr>
  </w:style>
  <w:style w:type="character" w:customStyle="1" w:styleId="43">
    <w:name w:val="font61"/>
    <w:basedOn w:val="23"/>
    <w:qFormat/>
    <w:uiPriority w:val="0"/>
    <w:rPr>
      <w:rFonts w:hint="eastAsia" w:ascii="宋体" w:hAnsi="宋体" w:eastAsia="宋体" w:cs="宋体"/>
      <w:color w:val="000000"/>
      <w:sz w:val="20"/>
      <w:szCs w:val="20"/>
      <w:u w:val="none"/>
    </w:rPr>
  </w:style>
  <w:style w:type="character" w:customStyle="1" w:styleId="44">
    <w:name w:val="font51"/>
    <w:basedOn w:val="23"/>
    <w:qFormat/>
    <w:uiPriority w:val="0"/>
    <w:rPr>
      <w:rFonts w:hint="default" w:ascii="Times New Roman" w:hAnsi="Times New Roman" w:cs="Times New Roman"/>
      <w:color w:val="000000"/>
      <w:sz w:val="20"/>
      <w:szCs w:val="20"/>
      <w:u w:val="none"/>
    </w:rPr>
  </w:style>
  <w:style w:type="paragraph" w:customStyle="1" w:styleId="45">
    <w:name w:val="正文缩进2字符"/>
    <w:basedOn w:val="1"/>
    <w:qFormat/>
    <w:uiPriority w:val="0"/>
    <w:pPr>
      <w:ind w:firstLine="480" w:firstLineChars="200"/>
    </w:pPr>
    <w:rPr>
      <w:rFonts w:cs="宋体"/>
    </w:rPr>
  </w:style>
  <w:style w:type="paragraph" w:customStyle="1" w:styleId="46">
    <w:name w:val="正文 A_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正文_28"/>
    <w:qFormat/>
    <w:uiPriority w:val="0"/>
    <w:rPr>
      <w:rFonts w:ascii="Times New Roman" w:hAnsi="Times New Roman" w:eastAsia="宋体" w:cs="Times New Roman"/>
      <w:sz w:val="24"/>
      <w:szCs w:val="24"/>
      <w:lang w:val="en-US" w:eastAsia="en-US" w:bidi="ar-SA"/>
    </w:rPr>
  </w:style>
  <w:style w:type="paragraph" w:customStyle="1" w:styleId="48">
    <w:name w:val="列出段落1"/>
    <w:basedOn w:val="1"/>
    <w:qFormat/>
    <w:uiPriority w:val="34"/>
    <w:pPr>
      <w:widowControl/>
      <w:spacing w:after="249" w:line="259" w:lineRule="auto"/>
      <w:ind w:left="579" w:firstLine="420" w:firstLineChars="200"/>
      <w:jc w:val="left"/>
    </w:pPr>
    <w:rPr>
      <w:rFonts w:ascii="微软雅黑" w:hAnsi="微软雅黑" w:eastAsia="微软雅黑" w:cs="微软雅黑"/>
      <w:color w:val="000000"/>
      <w:sz w:val="23"/>
      <w:szCs w:val="22"/>
    </w:rPr>
  </w:style>
  <w:style w:type="paragraph" w:customStyle="1" w:styleId="49">
    <w:name w:val="列表段落1"/>
    <w:basedOn w:val="1"/>
    <w:qFormat/>
    <w:uiPriority w:val="34"/>
    <w:pPr>
      <w:ind w:firstLine="420" w:firstLineChars="200"/>
    </w:pPr>
  </w:style>
  <w:style w:type="paragraph" w:customStyle="1" w:styleId="50">
    <w:name w:val="标书正文:  0.74 厘米"/>
    <w:basedOn w:val="1"/>
    <w:qFormat/>
    <w:uiPriority w:val="0"/>
    <w:pPr>
      <w:widowControl/>
      <w:snapToGrid w:val="0"/>
      <w:spacing w:line="360" w:lineRule="auto"/>
      <w:ind w:firstLine="420"/>
      <w:jc w:val="left"/>
    </w:pPr>
    <w:rPr>
      <w:sz w:val="24"/>
      <w:szCs w:val="20"/>
    </w:rPr>
  </w:style>
  <w:style w:type="paragraph" w:customStyle="1" w:styleId="51">
    <w:name w:val="样式 样式 左侧:  2 字符 + 左侧:  0.85 厘米 首行缩进:  2 字符1"/>
    <w:basedOn w:val="1"/>
    <w:autoRedefine/>
    <w:qFormat/>
    <w:uiPriority w:val="0"/>
    <w:pPr>
      <w:ind w:left="482" w:firstLine="200" w:firstLineChars="200"/>
    </w:pPr>
  </w:style>
  <w:style w:type="paragraph" w:customStyle="1" w:styleId="5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17802</Words>
  <Characters>18997</Characters>
  <Lines>282</Lines>
  <Paragraphs>79</Paragraphs>
  <TotalTime>47</TotalTime>
  <ScaleCrop>false</ScaleCrop>
  <LinksUpToDate>false</LinksUpToDate>
  <CharactersWithSpaces>19130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2021-11-15T04:50:00Z</dcterms:created>
  <dc:creator>You fire¥no  fire</dc:creator>
  <cp:lastModifiedBy>You fire¥no  fire</cp:lastModifiedBy>
  <cp:lastPrinted>2025-08-07T01:30:37Z</cp:lastPrinted>
  <dcterms:modified xsi:type="dcterms:W3CDTF">2025-08-07T02:26:11Z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F03F3EAF9FC449CD84C9A6089B522BB5_13</vt:lpwstr>
  </property>
  <property fmtid="{D5CDD505-2E9C-101B-9397-08002B2CF9AE}" pid="4" name="KSOTemplateDocerSaveRecord">
    <vt:lpwstr>eyJoZGlkIjoiMGU1YmEzNzRhNzU2NzEyYjcyMGUxMGNiNThmNjIzNjUiLCJ1c2VySWQiOiIzODIzMTExOTIifQ==</vt:lpwstr>
  </property>
</Properties>
</file>