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637B5">
      <w:pPr>
        <w:keepLines/>
        <w:pageBreakBefore/>
        <w:tabs>
          <w:tab w:val="left" w:pos="324"/>
        </w:tabs>
        <w:spacing w:line="360" w:lineRule="auto"/>
        <w:jc w:val="center"/>
        <w:outlineLvl w:val="0"/>
        <w:rPr>
          <w:rFonts w:hint="eastAsia" w:ascii="宋体" w:hAnsi="宋体" w:eastAsia="宋体" w:cs="Times New Roman"/>
          <w:b/>
          <w:sz w:val="30"/>
          <w:szCs w:val="32"/>
        </w:rPr>
      </w:pPr>
      <w:r>
        <w:rPr>
          <w:rFonts w:hint="eastAsia" w:ascii="宋体" w:hAnsi="宋体" w:eastAsia="宋体" w:cs="Times New Roman"/>
          <w:b/>
          <w:sz w:val="30"/>
          <w:szCs w:val="32"/>
        </w:rPr>
        <w:t>采购内容及商务要求</w:t>
      </w:r>
    </w:p>
    <w:p w14:paraId="081A5896">
      <w:pPr>
        <w:tabs>
          <w:tab w:val="left" w:pos="900"/>
        </w:tabs>
        <w:spacing w:line="360" w:lineRule="auto"/>
        <w:ind w:firstLine="482" w:firstLineChars="200"/>
        <w:rPr>
          <w:rFonts w:hint="eastAsia" w:ascii="宋体" w:hAnsi="宋体" w:cs="宋体"/>
          <w:b/>
          <w:color w:val="000000"/>
          <w:sz w:val="24"/>
          <w:szCs w:val="24"/>
        </w:rPr>
      </w:pPr>
      <w:bookmarkStart w:id="0" w:name="_Toc219271393"/>
      <w:bookmarkStart w:id="1" w:name="_Toc172360661"/>
      <w:bookmarkStart w:id="2" w:name="_Toc158978330"/>
      <w:r>
        <w:rPr>
          <w:rFonts w:hint="eastAsia" w:ascii="宋体" w:hAnsi="宋体" w:cs="宋体"/>
          <w:b/>
          <w:color w:val="000000"/>
          <w:sz w:val="24"/>
          <w:szCs w:val="24"/>
        </w:rPr>
        <w:t>一、采购内容</w:t>
      </w:r>
    </w:p>
    <w:bookmarkEnd w:id="0"/>
    <w:bookmarkEnd w:id="1"/>
    <w:bookmarkEnd w:id="2"/>
    <w:p w14:paraId="5B86ADF5">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1、项目名称</w:t>
      </w:r>
    </w:p>
    <w:p w14:paraId="4CA4E79F">
      <w:pPr>
        <w:spacing w:line="360" w:lineRule="auto"/>
        <w:ind w:firstLine="480" w:firstLineChars="200"/>
        <w:rPr>
          <w:rFonts w:hint="eastAsia" w:ascii="宋体" w:hAnsi="宋体" w:cs="宋体"/>
          <w:sz w:val="24"/>
          <w:szCs w:val="24"/>
        </w:rPr>
      </w:pPr>
      <w:bookmarkStart w:id="3" w:name="OLE_LINK4"/>
      <w:bookmarkStart w:id="4" w:name="OLE_LINK5"/>
      <w:r>
        <w:rPr>
          <w:rFonts w:hint="eastAsia" w:ascii="宋体" w:hAnsi="宋体" w:cs="宋体"/>
          <w:sz w:val="24"/>
          <w:szCs w:val="24"/>
          <w:lang w:eastAsia="zh-CN"/>
        </w:rPr>
        <w:t>沣西资规工作部2023年度土地卫片和落实耕地流向建设用地问题排查整改工作项目</w:t>
      </w:r>
      <w:r>
        <w:rPr>
          <w:rFonts w:hint="eastAsia" w:ascii="宋体" w:hAnsi="宋体" w:cs="宋体"/>
          <w:sz w:val="24"/>
          <w:szCs w:val="24"/>
        </w:rPr>
        <w:t xml:space="preserve"> </w:t>
      </w:r>
      <w:bookmarkEnd w:id="3"/>
      <w:bookmarkEnd w:id="4"/>
    </w:p>
    <w:p w14:paraId="1C61CA94">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2、采购内容</w:t>
      </w:r>
    </w:p>
    <w:p w14:paraId="6F86854A">
      <w:pPr>
        <w:spacing w:line="360" w:lineRule="auto"/>
        <w:ind w:firstLine="480" w:firstLineChars="200"/>
        <w:rPr>
          <w:rFonts w:hint="eastAsia" w:ascii="宋体" w:hAnsi="宋体" w:cs="宋体"/>
          <w:sz w:val="24"/>
          <w:szCs w:val="24"/>
        </w:rPr>
      </w:pPr>
      <w:r>
        <w:rPr>
          <w:rFonts w:hint="eastAsia" w:ascii="宋体" w:hAnsi="宋体" w:cs="宋体"/>
          <w:sz w:val="24"/>
          <w:szCs w:val="24"/>
        </w:rPr>
        <w:t>根据中、省、市及新区对土地卫片执法档案组卷有关规范工作和部执法局《关于落实耕地流向建设用地问题排查整改工作有关要求的通知》(自然资执法函(2022)41号)文件要求，需对自然资源部、陕西省自然资源厅2023年度下发的土地卫片约700个图斑和耕地流向建设用地问题图斑701个图斑进行外业核查和变更调查数据库叠加、核算占用永久基本农田面积、数据分析与数据图件检查、整理逐宗逐点位制作“一点一档”(每个图斑卷宗需附“</w:t>
      </w:r>
      <w:bookmarkStart w:id="5" w:name="OLE_LINK46"/>
      <w:bookmarkStart w:id="6" w:name="OLE_LINK47"/>
      <w:r>
        <w:rPr>
          <w:rFonts w:hint="eastAsia" w:ascii="宋体" w:hAnsi="宋体" w:cs="宋体"/>
          <w:sz w:val="24"/>
          <w:szCs w:val="24"/>
        </w:rPr>
        <w:t>遥感卫星影像图、土地利用总体规划图、土地利用现状</w:t>
      </w:r>
      <w:bookmarkEnd w:id="5"/>
      <w:bookmarkEnd w:id="6"/>
      <w:r>
        <w:rPr>
          <w:rFonts w:hint="eastAsia" w:ascii="宋体" w:hAnsi="宋体" w:cs="宋体"/>
          <w:sz w:val="24"/>
          <w:szCs w:val="24"/>
        </w:rPr>
        <w:t>。</w:t>
      </w:r>
    </w:p>
    <w:p w14:paraId="0A0FD8E6">
      <w:pPr>
        <w:spacing w:line="360" w:lineRule="auto"/>
        <w:ind w:firstLine="482" w:firstLineChars="200"/>
        <w:rPr>
          <w:rFonts w:hint="eastAsia" w:ascii="宋体" w:hAnsi="宋体" w:cs="宋体"/>
          <w:b/>
          <w:bCs/>
          <w:sz w:val="24"/>
          <w:szCs w:val="24"/>
        </w:rPr>
      </w:pPr>
      <w:bookmarkStart w:id="7" w:name="OLE_LINK82"/>
      <w:bookmarkStart w:id="8" w:name="OLE_LINK83"/>
      <w:r>
        <w:rPr>
          <w:rFonts w:hint="eastAsia" w:ascii="宋体" w:hAnsi="宋体" w:cs="宋体"/>
          <w:b/>
          <w:bCs/>
          <w:sz w:val="24"/>
          <w:szCs w:val="24"/>
        </w:rPr>
        <w:t>3、</w:t>
      </w:r>
      <w:bookmarkStart w:id="9" w:name="OLE_LINK8"/>
      <w:bookmarkStart w:id="10" w:name="OLE_LINK9"/>
      <w:r>
        <w:rPr>
          <w:rFonts w:hint="eastAsia" w:ascii="宋体" w:hAnsi="宋体" w:cs="宋体"/>
          <w:b/>
          <w:bCs/>
          <w:sz w:val="24"/>
          <w:szCs w:val="24"/>
        </w:rPr>
        <w:t>工作内容及</w:t>
      </w:r>
      <w:bookmarkStart w:id="11" w:name="OLE_LINK6"/>
      <w:bookmarkStart w:id="12" w:name="OLE_LINK7"/>
      <w:r>
        <w:rPr>
          <w:rFonts w:hint="eastAsia" w:ascii="宋体" w:hAnsi="宋体" w:cs="宋体"/>
          <w:b/>
          <w:bCs/>
          <w:sz w:val="24"/>
          <w:szCs w:val="24"/>
        </w:rPr>
        <w:t>要求</w:t>
      </w:r>
      <w:bookmarkEnd w:id="11"/>
      <w:bookmarkEnd w:id="12"/>
    </w:p>
    <w:bookmarkEnd w:id="9"/>
    <w:bookmarkEnd w:id="10"/>
    <w:p w14:paraId="6F489DBB">
      <w:pPr>
        <w:pStyle w:val="3"/>
        <w:spacing w:line="360" w:lineRule="auto"/>
        <w:ind w:firstLine="480" w:firstLineChars="200"/>
        <w:rPr>
          <w:rFonts w:hint="eastAsia" w:ascii="宋体" w:hAnsi="宋体" w:cs="宋体"/>
          <w:sz w:val="24"/>
        </w:rPr>
      </w:pPr>
      <w:r>
        <w:rPr>
          <w:rFonts w:hint="eastAsia" w:ascii="宋体" w:hAnsi="宋体" w:cs="宋体"/>
          <w:sz w:val="24"/>
        </w:rPr>
        <w:t>对卫星遥感图斑进行初步筛查，按合法性（合法/违法/其他）分类，标注疑似违法图斑。结合国土调查云、规划审批数据、用地手续等资料预判，预判准确率≥90%。外业实地核查，对疑似违法图斑开展全野外核查，记录用地现状、坐标、影像，核实用地主体、时间、用途。</w:t>
      </w:r>
    </w:p>
    <w:p w14:paraId="59FAE323">
      <w:pPr>
        <w:pStyle w:val="3"/>
        <w:spacing w:line="360" w:lineRule="auto"/>
        <w:ind w:firstLine="480" w:firstLineChars="200"/>
        <w:rPr>
          <w:rFonts w:hint="eastAsia" w:ascii="宋体" w:hAnsi="宋体" w:cs="宋体"/>
          <w:sz w:val="24"/>
        </w:rPr>
      </w:pPr>
      <w:r>
        <w:rPr>
          <w:rFonts w:hint="eastAsia" w:ascii="宋体" w:hAnsi="宋体" w:cs="宋体"/>
          <w:sz w:val="24"/>
        </w:rPr>
        <w:t>对违法图斑制作举证包（包括现场照片、坐标、用地红线叠加对比图、情况说明）。举证材料需体现“三要素”（时间水印、坐标、地物标志），符合《自然资源执法举证规范》</w:t>
      </w:r>
    </w:p>
    <w:p w14:paraId="1DC886A7">
      <w:pPr>
        <w:pStyle w:val="3"/>
        <w:spacing w:line="360" w:lineRule="auto"/>
        <w:ind w:firstLine="480" w:firstLineChars="200"/>
        <w:rPr>
          <w:rFonts w:hint="eastAsia" w:ascii="宋体" w:hAnsi="宋体" w:cs="宋体"/>
          <w:sz w:val="24"/>
        </w:rPr>
      </w:pPr>
      <w:r>
        <w:rPr>
          <w:rFonts w:hint="eastAsia" w:ascii="宋体" w:hAnsi="宋体" w:cs="宋体"/>
          <w:sz w:val="24"/>
        </w:rPr>
        <w:t>提取耕地范围内种植非粮作物（如苗木、果树）、硬化地面（如停车场、厂房）等疑似图斑。叠加分析国土变更调查、耕地卫片监督、建设用地审批数据，提取耕地违规转为建设用地的图斑。对疑似"非粮化""非农化"图斑开展实地核查，记录现状作物类型、硬化比例、经营主体等信息。</w:t>
      </w:r>
    </w:p>
    <w:p w14:paraId="53130FCA">
      <w:pPr>
        <w:pStyle w:val="3"/>
        <w:spacing w:line="360" w:lineRule="auto"/>
        <w:ind w:firstLine="480" w:firstLineChars="200"/>
        <w:rPr>
          <w:rFonts w:hint="eastAsia" w:ascii="宋体" w:hAnsi="宋体" w:cs="宋体"/>
          <w:sz w:val="24"/>
        </w:rPr>
      </w:pPr>
      <w:r>
        <w:rPr>
          <w:rFonts w:hint="eastAsia" w:ascii="宋体" w:hAnsi="宋体" w:cs="宋体"/>
          <w:sz w:val="24"/>
        </w:rPr>
        <w:t>按非粮化：耕地改种经济作物、挖塘养鱼等；非农化：违规建房、堆场、道路硬化等建立台账。</w:t>
      </w:r>
    </w:p>
    <w:p w14:paraId="30802A98">
      <w:pPr>
        <w:pStyle w:val="3"/>
        <w:spacing w:line="360" w:lineRule="auto"/>
        <w:ind w:firstLine="480" w:firstLineChars="200"/>
        <w:rPr>
          <w:rFonts w:hint="eastAsia" w:ascii="宋体" w:hAnsi="宋体" w:cs="宋体"/>
          <w:sz w:val="24"/>
        </w:rPr>
      </w:pPr>
      <w:r>
        <w:rPr>
          <w:rFonts w:hint="eastAsia" w:ascii="宋体" w:hAnsi="宋体" w:cs="宋体"/>
          <w:sz w:val="24"/>
        </w:rPr>
        <w:t>对疑似违规图斑逐一核实，建立“问题-整改-责任”清单，标注违规类型（未批先建、批少占多等）。建档信息需包含地块四至、面积、违规时间、整改建议（拆除/补手续/复耕）。</w:t>
      </w:r>
    </w:p>
    <w:p w14:paraId="6DF11B85">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4、工作标准及依据</w:t>
      </w:r>
    </w:p>
    <w:p w14:paraId="58083D44">
      <w:pPr>
        <w:spacing w:line="360" w:lineRule="auto"/>
        <w:ind w:firstLine="480" w:firstLineChars="200"/>
        <w:rPr>
          <w:rFonts w:hint="eastAsia" w:ascii="宋体" w:hAnsi="宋体" w:cs="宋体"/>
          <w:sz w:val="24"/>
        </w:rPr>
      </w:pPr>
      <w:r>
        <w:rPr>
          <w:rFonts w:hint="eastAsia" w:ascii="宋体" w:hAnsi="宋体" w:cs="宋体"/>
          <w:sz w:val="24"/>
        </w:rPr>
        <w:t>（一）技术标准</w:t>
      </w:r>
    </w:p>
    <w:p w14:paraId="0DF31564">
      <w:pPr>
        <w:spacing w:line="360" w:lineRule="auto"/>
        <w:ind w:firstLine="480" w:firstLineChars="200"/>
        <w:rPr>
          <w:rFonts w:ascii="宋体" w:hAnsi="宋体" w:cs="宋体"/>
          <w:sz w:val="24"/>
        </w:rPr>
      </w:pPr>
      <w:r>
        <w:rPr>
          <w:rFonts w:hint="eastAsia" w:ascii="宋体" w:hAnsi="宋体" w:cs="宋体"/>
          <w:sz w:val="24"/>
        </w:rPr>
        <w:t>（1）图斑核查标准</w:t>
      </w:r>
    </w:p>
    <w:p w14:paraId="7B4F91A6">
      <w:pPr>
        <w:spacing w:line="360" w:lineRule="auto"/>
        <w:ind w:firstLine="480" w:firstLineChars="200"/>
        <w:rPr>
          <w:rFonts w:hint="eastAsia" w:ascii="宋体" w:hAnsi="宋体" w:cs="宋体"/>
          <w:sz w:val="24"/>
        </w:rPr>
      </w:pPr>
      <w:r>
        <w:rPr>
          <w:rFonts w:hint="eastAsia" w:ascii="宋体" w:hAnsi="宋体" w:cs="宋体"/>
          <w:sz w:val="24"/>
        </w:rPr>
        <w:t>预判分类依据《土地卫片执法图斑合法性判定规则》（自然资办发〔2023〕12号）。</w:t>
      </w:r>
    </w:p>
    <w:p w14:paraId="3401F9FF">
      <w:pPr>
        <w:spacing w:line="360" w:lineRule="auto"/>
        <w:ind w:firstLine="480" w:firstLineChars="200"/>
        <w:rPr>
          <w:rFonts w:ascii="宋体" w:hAnsi="宋体" w:cs="宋体"/>
          <w:sz w:val="24"/>
        </w:rPr>
      </w:pPr>
      <w:r>
        <w:rPr>
          <w:rFonts w:hint="eastAsia" w:ascii="宋体" w:hAnsi="宋体" w:cs="宋体"/>
          <w:sz w:val="24"/>
        </w:rPr>
        <w:t>外业核查坐标采用2000国家大地坐标系（CGCS2000），高程基准采用1985国家高程基准。</w:t>
      </w:r>
    </w:p>
    <w:p w14:paraId="4F2F5348">
      <w:pPr>
        <w:spacing w:line="360" w:lineRule="auto"/>
        <w:ind w:firstLine="480" w:firstLineChars="200"/>
        <w:rPr>
          <w:rFonts w:hint="eastAsia" w:ascii="宋体" w:hAnsi="宋体" w:cs="宋体"/>
          <w:sz w:val="24"/>
        </w:rPr>
      </w:pPr>
      <w:r>
        <w:rPr>
          <w:rFonts w:hint="eastAsia" w:ascii="宋体" w:hAnsi="宋体" w:cs="宋体"/>
          <w:sz w:val="24"/>
        </w:rPr>
        <w:t>（2）数据成果标准</w:t>
      </w:r>
    </w:p>
    <w:p w14:paraId="422CFC90">
      <w:pPr>
        <w:spacing w:line="360" w:lineRule="auto"/>
        <w:ind w:firstLine="480" w:firstLineChars="200"/>
        <w:rPr>
          <w:rFonts w:hint="eastAsia" w:ascii="宋体" w:hAnsi="宋体" w:cs="宋体"/>
          <w:sz w:val="24"/>
        </w:rPr>
      </w:pPr>
      <w:r>
        <w:rPr>
          <w:rFonts w:hint="eastAsia" w:ascii="宋体" w:hAnsi="宋体" w:cs="宋体"/>
          <w:sz w:val="24"/>
        </w:rPr>
        <w:t>矢量数据格式：Shapefile或GeoJSON，属性字段包含图斑编号、面积、地类、违法类型等。</w:t>
      </w:r>
    </w:p>
    <w:p w14:paraId="65434BE9">
      <w:pPr>
        <w:spacing w:line="360" w:lineRule="auto"/>
        <w:ind w:firstLine="480" w:firstLineChars="200"/>
        <w:rPr>
          <w:rFonts w:hint="eastAsia" w:ascii="宋体" w:hAnsi="宋体" w:cs="宋体"/>
          <w:sz w:val="24"/>
        </w:rPr>
      </w:pPr>
      <w:r>
        <w:rPr>
          <w:rFonts w:hint="eastAsia" w:ascii="宋体" w:hAnsi="宋体" w:cs="宋体"/>
          <w:sz w:val="24"/>
        </w:rPr>
        <w:t>（3）影像分辨率：</w:t>
      </w:r>
    </w:p>
    <w:p w14:paraId="6CA8B88A">
      <w:pPr>
        <w:spacing w:line="360" w:lineRule="auto"/>
        <w:ind w:firstLine="480" w:firstLineChars="200"/>
        <w:rPr>
          <w:rFonts w:hint="eastAsia" w:ascii="宋体" w:hAnsi="宋体" w:cs="宋体"/>
          <w:sz w:val="24"/>
        </w:rPr>
      </w:pPr>
      <w:r>
        <w:rPr>
          <w:rFonts w:hint="eastAsia" w:ascii="宋体" w:hAnsi="宋体" w:cs="宋体"/>
          <w:sz w:val="24"/>
        </w:rPr>
        <w:t>整改前后影像需≥0.5米分辨率，覆盖图斑范围外扩50米。</w:t>
      </w:r>
    </w:p>
    <w:p w14:paraId="469A3AD4">
      <w:pPr>
        <w:spacing w:line="360" w:lineRule="auto"/>
        <w:ind w:firstLine="480" w:firstLineChars="200"/>
        <w:rPr>
          <w:rFonts w:hint="eastAsia" w:ascii="宋体" w:hAnsi="宋体" w:cs="宋体"/>
          <w:sz w:val="24"/>
        </w:rPr>
      </w:pPr>
      <w:r>
        <w:rPr>
          <w:rFonts w:hint="eastAsia" w:ascii="宋体" w:hAnsi="宋体" w:cs="宋体"/>
          <w:sz w:val="24"/>
        </w:rPr>
        <w:t>（4）整改验收标准</w:t>
      </w:r>
    </w:p>
    <w:p w14:paraId="1333328D">
      <w:pPr>
        <w:spacing w:line="360" w:lineRule="auto"/>
        <w:ind w:firstLine="480" w:firstLineChars="200"/>
        <w:rPr>
          <w:rFonts w:hint="eastAsia" w:ascii="宋体" w:hAnsi="宋体" w:cs="宋体"/>
          <w:sz w:val="24"/>
        </w:rPr>
      </w:pPr>
      <w:r>
        <w:rPr>
          <w:rFonts w:hint="eastAsia" w:ascii="宋体" w:hAnsi="宋体" w:cs="宋体"/>
          <w:sz w:val="24"/>
        </w:rPr>
        <w:t>手续完善：补办用地手续需符合《建设用地审查报批管理办法》（自然资源部令第69号）。</w:t>
      </w:r>
    </w:p>
    <w:p w14:paraId="5849F8A5">
      <w:pPr>
        <w:spacing w:line="360" w:lineRule="auto"/>
        <w:ind w:firstLine="480" w:firstLineChars="200"/>
        <w:rPr>
          <w:rFonts w:hint="eastAsia" w:ascii="宋体" w:hAnsi="宋体" w:cs="宋体"/>
          <w:sz w:val="24"/>
          <w:szCs w:val="24"/>
        </w:rPr>
      </w:pPr>
      <w:r>
        <w:rPr>
          <w:rFonts w:hint="eastAsia" w:ascii="宋体" w:hAnsi="宋体" w:cs="宋体"/>
          <w:sz w:val="24"/>
          <w:szCs w:val="24"/>
        </w:rPr>
        <w:t>（二）政策依据</w:t>
      </w:r>
    </w:p>
    <w:p w14:paraId="53201CAD">
      <w:pPr>
        <w:spacing w:line="360" w:lineRule="auto"/>
        <w:ind w:firstLine="480" w:firstLineChars="200"/>
        <w:rPr>
          <w:rFonts w:hint="eastAsia" w:ascii="宋体" w:hAnsi="宋体" w:cs="宋体"/>
          <w:sz w:val="24"/>
          <w:szCs w:val="24"/>
        </w:rPr>
      </w:pPr>
      <w:r>
        <w:rPr>
          <w:rFonts w:hint="eastAsia" w:ascii="宋体" w:hAnsi="宋体" w:cs="宋体"/>
          <w:sz w:val="24"/>
          <w:szCs w:val="24"/>
        </w:rPr>
        <w:t>（1）《中华人民共和国土地管理法实施条例》（2021修订）第51-55条（违法用地处罚程序）</w:t>
      </w:r>
    </w:p>
    <w:p w14:paraId="0C2B865D">
      <w:pPr>
        <w:spacing w:line="360" w:lineRule="auto"/>
        <w:ind w:firstLine="480" w:firstLineChars="200"/>
        <w:rPr>
          <w:rFonts w:hint="eastAsia" w:ascii="宋体" w:hAnsi="宋体" w:cs="宋体"/>
          <w:sz w:val="24"/>
          <w:szCs w:val="24"/>
        </w:rPr>
      </w:pPr>
      <w:r>
        <w:rPr>
          <w:rFonts w:hint="eastAsia" w:ascii="宋体" w:hAnsi="宋体" w:cs="宋体"/>
          <w:sz w:val="24"/>
          <w:szCs w:val="24"/>
        </w:rPr>
        <w:t>（2）《自然资源行政处罚办法》（2023年修订）第12条（违法事实认定要求）。</w:t>
      </w:r>
    </w:p>
    <w:p w14:paraId="0F364D43">
      <w:pPr>
        <w:spacing w:line="360" w:lineRule="auto"/>
        <w:ind w:firstLine="480" w:firstLineChars="200"/>
        <w:rPr>
          <w:rFonts w:hint="eastAsia" w:ascii="宋体" w:hAnsi="宋体" w:cs="宋体"/>
          <w:sz w:val="24"/>
          <w:szCs w:val="24"/>
        </w:rPr>
      </w:pPr>
      <w:r>
        <w:rPr>
          <w:rFonts w:hint="eastAsia" w:ascii="宋体" w:hAnsi="宋体" w:cs="宋体"/>
          <w:sz w:val="24"/>
          <w:szCs w:val="24"/>
        </w:rPr>
        <w:t>（3）《国土空间调查、规划、用途管制用地用海分类指南》（2023版）地类认定标准。</w:t>
      </w:r>
    </w:p>
    <w:p w14:paraId="24DC0796">
      <w:pPr>
        <w:spacing w:line="360" w:lineRule="auto"/>
        <w:ind w:firstLine="480" w:firstLineChars="200"/>
        <w:rPr>
          <w:rFonts w:hint="eastAsia" w:ascii="宋体" w:hAnsi="宋体" w:cs="宋体"/>
          <w:sz w:val="24"/>
          <w:szCs w:val="24"/>
        </w:rPr>
      </w:pPr>
      <w:r>
        <w:rPr>
          <w:rFonts w:hint="eastAsia" w:ascii="宋体" w:hAnsi="宋体" w:cs="宋体"/>
          <w:sz w:val="24"/>
          <w:szCs w:val="24"/>
        </w:rPr>
        <w:t>（4）《遥感监测图斑分类判定与举证技术规范》（自然资办函〔2023〕123号）。</w:t>
      </w:r>
    </w:p>
    <w:p w14:paraId="23C798D4">
      <w:pPr>
        <w:spacing w:line="360" w:lineRule="auto"/>
        <w:ind w:firstLine="480" w:firstLineChars="200"/>
        <w:rPr>
          <w:rFonts w:hint="eastAsia" w:ascii="宋体" w:hAnsi="宋体" w:cs="宋体"/>
          <w:sz w:val="24"/>
          <w:szCs w:val="24"/>
        </w:rPr>
      </w:pPr>
      <w:r>
        <w:rPr>
          <w:rFonts w:hint="eastAsia" w:ascii="宋体" w:hAnsi="宋体" w:cs="宋体"/>
          <w:sz w:val="24"/>
          <w:szCs w:val="24"/>
        </w:rPr>
        <w:t>依照《中华人民共和国土地管理法》及竞争性磋商文件中明确列举的法律法规等内容为乙方工作标准和依据。</w:t>
      </w:r>
    </w:p>
    <w:bookmarkEnd w:id="7"/>
    <w:bookmarkEnd w:id="8"/>
    <w:p w14:paraId="3F3A551E">
      <w:pPr>
        <w:tabs>
          <w:tab w:val="left" w:pos="900"/>
        </w:tabs>
        <w:spacing w:line="360" w:lineRule="auto"/>
        <w:ind w:firstLine="482" w:firstLineChars="200"/>
        <w:rPr>
          <w:rFonts w:hint="eastAsia" w:ascii="宋体" w:hAnsi="宋体" w:cs="宋体"/>
          <w:b/>
          <w:sz w:val="24"/>
          <w:szCs w:val="24"/>
        </w:rPr>
      </w:pPr>
      <w:r>
        <w:rPr>
          <w:rFonts w:hint="eastAsia" w:ascii="宋体" w:hAnsi="宋体" w:cs="宋体"/>
          <w:b/>
          <w:sz w:val="24"/>
          <w:szCs w:val="24"/>
        </w:rPr>
        <w:t>二、商务要求</w:t>
      </w:r>
    </w:p>
    <w:p w14:paraId="4E8A12E2">
      <w:pPr>
        <w:pStyle w:val="3"/>
        <w:spacing w:after="0" w:line="360" w:lineRule="auto"/>
        <w:ind w:firstLine="480" w:firstLineChars="200"/>
        <w:rPr>
          <w:rFonts w:hint="eastAsia"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结算单位：银行转账，由采购人以人民币负责结算。</w:t>
      </w:r>
    </w:p>
    <w:p w14:paraId="1778F4AE">
      <w:pPr>
        <w:pStyle w:val="3"/>
        <w:spacing w:after="0"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服务</w:t>
      </w:r>
      <w:r>
        <w:rPr>
          <w:rFonts w:hint="eastAsia" w:ascii="宋体" w:hAnsi="宋体" w:cs="宋体"/>
          <w:sz w:val="24"/>
          <w:szCs w:val="24"/>
        </w:rPr>
        <w:t>期限</w:t>
      </w:r>
      <w:r>
        <w:rPr>
          <w:rFonts w:hint="eastAsia" w:ascii="宋体" w:hAnsi="宋体" w:cs="宋体"/>
          <w:sz w:val="24"/>
          <w:szCs w:val="24"/>
          <w:lang w:val="zh-CN"/>
        </w:rPr>
        <w:t>：</w:t>
      </w:r>
      <w:r>
        <w:rPr>
          <w:rFonts w:hint="eastAsia" w:ascii="宋体" w:hAnsi="宋体" w:cs="微软雅黑"/>
          <w:sz w:val="24"/>
          <w:szCs w:val="24"/>
          <w:shd w:val="clear" w:color="auto" w:fill="FFFFFF"/>
        </w:rPr>
        <w:t>自合同签订之日起1年</w:t>
      </w:r>
    </w:p>
    <w:p w14:paraId="03E14B7D">
      <w:pPr>
        <w:pStyle w:val="3"/>
        <w:spacing w:after="0" w:line="360" w:lineRule="auto"/>
        <w:ind w:firstLine="480" w:firstLineChars="200"/>
        <w:rPr>
          <w:rFonts w:hint="eastAsia"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服务地点：</w:t>
      </w:r>
      <w:r>
        <w:rPr>
          <w:rFonts w:hint="eastAsia" w:ascii="宋体" w:hAnsi="宋体" w:cs="宋体"/>
          <w:sz w:val="24"/>
          <w:szCs w:val="24"/>
        </w:rPr>
        <w:t>采购人指定地点</w:t>
      </w:r>
      <w:r>
        <w:rPr>
          <w:rFonts w:hint="eastAsia" w:ascii="宋体" w:hAnsi="宋体" w:cs="宋体"/>
          <w:sz w:val="24"/>
          <w:szCs w:val="24"/>
          <w:lang w:val="zh-CN"/>
        </w:rPr>
        <w:t xml:space="preserve"> </w:t>
      </w:r>
    </w:p>
    <w:p w14:paraId="4A1DFA12">
      <w:pPr>
        <w:pStyle w:val="3"/>
        <w:spacing w:after="0" w:line="360" w:lineRule="auto"/>
        <w:ind w:firstLine="480" w:firstLineChars="200"/>
        <w:rPr>
          <w:rFonts w:hint="eastAsia"/>
        </w:rPr>
      </w:pPr>
      <w:r>
        <w:rPr>
          <w:rFonts w:hint="eastAsia" w:ascii="宋体" w:hAnsi="宋体" w:cs="宋体"/>
          <w:sz w:val="24"/>
          <w:szCs w:val="24"/>
        </w:rPr>
        <w:t>4.</w:t>
      </w:r>
      <w:r>
        <w:rPr>
          <w:rFonts w:hint="eastAsia" w:ascii="宋体" w:hAnsi="宋体" w:cs="宋体"/>
          <w:sz w:val="24"/>
          <w:szCs w:val="24"/>
          <w:lang w:val="zh-CN"/>
        </w:rPr>
        <w:t>付款方式：</w:t>
      </w:r>
    </w:p>
    <w:p w14:paraId="3A23CEB1">
      <w:pPr>
        <w:widowControl/>
        <w:overflowPunct w:val="0"/>
        <w:autoSpaceDE w:val="0"/>
        <w:autoSpaceDN w:val="0"/>
        <w:adjustRightInd w:val="0"/>
        <w:snapToGrid w:val="0"/>
        <w:spacing w:line="360" w:lineRule="auto"/>
        <w:ind w:firstLine="480" w:firstLineChars="200"/>
        <w:textAlignment w:val="baseline"/>
        <w:rPr>
          <w:rFonts w:hint="eastAsia" w:ascii="宋体" w:hAnsi="宋体" w:cs="宋体"/>
          <w:color w:val="000000"/>
          <w:sz w:val="24"/>
        </w:rPr>
      </w:pPr>
      <w:r>
        <w:rPr>
          <w:rFonts w:hint="eastAsia" w:ascii="宋体" w:hAnsi="宋体" w:cs="宋体"/>
          <w:color w:val="000000"/>
          <w:sz w:val="24"/>
        </w:rPr>
        <w:t>（1）由甲方负责结算，在付款前，乙方必须开具全额发票给甲方(附详细清单) 。</w:t>
      </w:r>
    </w:p>
    <w:p w14:paraId="23A5E44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付款方式：乙方完成全部工作，成果通过甲方审核后，甲方向乙方一次性支付合同全部价款；付款前，乙方必须保证发票票面信息全部真实，如乙方开具的发票有误，需重新提供，如因乙方未及时提供等额合规发票，导致甲方迟延付款，由此产生的法律后果乙方自行承担。合同后附中小企业声明函（服务）的证明资料。</w:t>
      </w:r>
    </w:p>
    <w:p w14:paraId="39C35BA7">
      <w:pPr>
        <w:widowControl/>
        <w:overflowPunct w:val="0"/>
        <w:autoSpaceDE w:val="0"/>
        <w:autoSpaceDN w:val="0"/>
        <w:adjustRightInd w:val="0"/>
        <w:snapToGrid w:val="0"/>
        <w:spacing w:line="360" w:lineRule="auto"/>
        <w:ind w:firstLine="480" w:firstLineChars="200"/>
        <w:textAlignment w:val="baseline"/>
        <w:rPr>
          <w:rFonts w:hint="eastAsia" w:ascii="宋体" w:hAnsi="宋体" w:cs="宋体"/>
          <w:color w:val="000000"/>
          <w:sz w:val="24"/>
        </w:rPr>
      </w:pPr>
      <w:r>
        <w:rPr>
          <w:rFonts w:hint="eastAsia" w:ascii="宋体" w:hAnsi="宋体" w:cs="宋体"/>
          <w:color w:val="000000"/>
          <w:sz w:val="24"/>
        </w:rPr>
        <w:t>（3）支付方式：银行转账</w:t>
      </w:r>
    </w:p>
    <w:p w14:paraId="02CC779B">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发票提供：乙方必须保证发票票面信息全部真实，如乙方开具的发票有误，需重新提供，如因乙方未及时提供等额合规发票，导致甲方迟延付款，由此产生的法律后果乙方自行承担。</w:t>
      </w:r>
    </w:p>
    <w:p w14:paraId="196CEF9E">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因甲方资金来源系财政拨款，故本合同价款为不变价格，甲方不承担任何违约责任，不承担任何利息等，乙方承诺对此知晓并同意。</w:t>
      </w:r>
    </w:p>
    <w:p w14:paraId="5FFFDC5C">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upperLetter"/>
      <w:pStyle w:val="2"/>
      <w:lvlText w:val="%1、"/>
      <w:lvlJc w:val="left"/>
      <w:pPr>
        <w:tabs>
          <w:tab w:val="left" w:pos="960"/>
        </w:tabs>
        <w:ind w:left="960" w:hanging="32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9054F"/>
    <w:rsid w:val="1731694B"/>
    <w:rsid w:val="62F90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9"/>
    <w:pPr>
      <w:keepNext/>
      <w:numPr>
        <w:ilvl w:val="0"/>
        <w:numId w:val="1"/>
      </w:numPr>
      <w:tabs>
        <w:tab w:val="left" w:pos="2715"/>
      </w:tabs>
      <w:autoSpaceDE w:val="0"/>
      <w:autoSpaceDN w:val="0"/>
      <w:adjustRightInd w:val="0"/>
      <w:jc w:val="center"/>
      <w:outlineLvl w:val="3"/>
    </w:pPr>
    <w:rPr>
      <w:rFonts w:ascii="方正姚体" w:hAnsi="Times New Roman" w:eastAsia="方正姚体"/>
      <w:sz w:val="36"/>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2025-08-12T04:01:00Z</dcterms:created>
  <dc:creator>燕子</dc:creator>
  <cp:lastModifiedBy>燕子</cp:lastModifiedBy>
  <dcterms:modified xsi:type="dcterms:W3CDTF">2025-08-12T04:02:14Z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4143A35FC4FB49F5972FD949095BF6DD_11</vt:lpwstr>
  </property>
  <property fmtid="{D5CDD505-2E9C-101B-9397-08002B2CF9AE}" pid="4" name="KSOTemplateDocerSaveRecord">
    <vt:lpwstr>eyJoZGlkIjoiYjMwZGU0MTRkNDY2ZTZiMjQ1YTE0M2NiYTViN2JmM2YiLCJ1c2VySWQiOiI5MTIwMzg4MjQifQ==</vt:lpwstr>
  </property>
</Properties>
</file>