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25153">
      <w:pPr>
        <w:pStyle w:val="2"/>
        <w:spacing w:line="240" w:lineRule="auto"/>
        <w:jc w:val="center"/>
        <w:outlineLvl w:val="0"/>
        <w:rPr>
          <w:rFonts w:hint="eastAsia" w:ascii="宋体" w:hAnsi="宋体" w:eastAsia="宋体" w:cs="宋体"/>
          <w:bCs/>
          <w:sz w:val="44"/>
          <w:szCs w:val="44"/>
          <w:highlight w:val="none"/>
        </w:rPr>
      </w:pPr>
      <w:bookmarkStart w:id="0" w:name="_Toc18311"/>
      <w:r>
        <w:rPr>
          <w:rFonts w:hint="eastAsia" w:ascii="宋体" w:hAnsi="宋体" w:eastAsia="宋体" w:cs="宋体"/>
          <w:bCs/>
          <w:sz w:val="44"/>
          <w:szCs w:val="44"/>
          <w:highlight w:val="none"/>
        </w:rPr>
        <w:t>第一章</w:t>
      </w:r>
      <w:r>
        <w:rPr>
          <w:rFonts w:hint="eastAsia" w:ascii="宋体" w:hAnsi="宋体" w:eastAsia="宋体" w:cs="宋体"/>
          <w:bCs/>
          <w:sz w:val="44"/>
          <w:szCs w:val="44"/>
          <w:highlight w:val="none"/>
          <w:lang w:val="en-US" w:eastAsia="zh-CN"/>
        </w:rPr>
        <w:t xml:space="preserve"> </w:t>
      </w:r>
      <w:r>
        <w:rPr>
          <w:rFonts w:hint="eastAsia" w:ascii="宋体" w:hAnsi="宋体" w:eastAsia="宋体" w:cs="宋体"/>
          <w:bCs/>
          <w:sz w:val="44"/>
          <w:szCs w:val="44"/>
          <w:highlight w:val="none"/>
        </w:rPr>
        <w:t>竞争性谈判公告</w:t>
      </w:r>
      <w:bookmarkEnd w:id="0"/>
    </w:p>
    <w:p w14:paraId="7C254D5D">
      <w:pPr>
        <w:spacing w:line="360" w:lineRule="auto"/>
        <w:jc w:val="center"/>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宝鸡市城市照明管理中心2025年高空作业车采购</w:t>
      </w:r>
    </w:p>
    <w:p w14:paraId="720205DA">
      <w:pPr>
        <w:spacing w:line="360" w:lineRule="auto"/>
        <w:jc w:val="center"/>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竞争性谈判公告</w:t>
      </w:r>
    </w:p>
    <w:p w14:paraId="7C44C115">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355B0ECC">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宝鸡市城市照明管理中心2025年高空作业车采购</w:t>
      </w:r>
      <w:r>
        <w:rPr>
          <w:rFonts w:hint="eastAsia" w:ascii="宋体" w:hAnsi="宋体" w:eastAsia="宋体" w:cs="宋体"/>
          <w:sz w:val="24"/>
          <w:szCs w:val="24"/>
        </w:rPr>
        <w:t>的潜在供应商应在【全国公共资源交易平台（陕西省 ·宝鸡市）】获取采购文件，并</w:t>
      </w:r>
      <w:r>
        <w:rPr>
          <w:rFonts w:hint="eastAsia" w:ascii="宋体" w:hAnsi="宋体" w:eastAsia="宋体" w:cs="宋体"/>
          <w:sz w:val="24"/>
          <w:szCs w:val="24"/>
          <w:highlight w:val="none"/>
        </w:rPr>
        <w:t>于 2025年0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 14时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r>
        <w:rPr>
          <w:rFonts w:hint="eastAsia" w:ascii="宋体" w:hAnsi="宋体" w:eastAsia="宋体" w:cs="宋体"/>
          <w:sz w:val="24"/>
          <w:szCs w:val="24"/>
        </w:rPr>
        <w:t xml:space="preserve"> （北京时间）前提交响应文件。</w:t>
      </w:r>
    </w:p>
    <w:p w14:paraId="369741E0">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2877904">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项目编号：</w:t>
      </w:r>
      <w:r>
        <w:rPr>
          <w:rFonts w:hint="eastAsia" w:ascii="宋体" w:hAnsi="宋体" w:eastAsia="宋体" w:cs="宋体"/>
          <w:sz w:val="24"/>
          <w:szCs w:val="24"/>
          <w:highlight w:val="none"/>
        </w:rPr>
        <w:t>NBC-2025-ZFTP-H-074</w:t>
      </w:r>
    </w:p>
    <w:p w14:paraId="73FD58C6">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宝鸡市城市照明管理中心2025年高空作业车采购</w:t>
      </w:r>
    </w:p>
    <w:p w14:paraId="2B16B610">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14:paraId="68D8AC01">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6</w:t>
      </w:r>
      <w:r>
        <w:rPr>
          <w:rFonts w:hint="eastAsia" w:ascii="宋体" w:hAnsi="宋体" w:eastAsia="宋体" w:cs="宋体"/>
          <w:sz w:val="24"/>
          <w:szCs w:val="24"/>
        </w:rPr>
        <w:t>00,000.00元</w:t>
      </w:r>
    </w:p>
    <w:p w14:paraId="268F5AE7">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7E831354">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宝鸡市城市照明管理中心2025年高空作业车采购</w:t>
      </w:r>
      <w:r>
        <w:rPr>
          <w:rFonts w:hint="eastAsia" w:ascii="宋体" w:hAnsi="宋体" w:eastAsia="宋体" w:cs="宋体"/>
          <w:sz w:val="24"/>
          <w:szCs w:val="24"/>
        </w:rPr>
        <w:t>):</w:t>
      </w:r>
    </w:p>
    <w:p w14:paraId="173A384E">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6</w:t>
      </w:r>
      <w:r>
        <w:rPr>
          <w:rFonts w:hint="eastAsia" w:ascii="宋体" w:hAnsi="宋体" w:eastAsia="宋体" w:cs="宋体"/>
          <w:sz w:val="24"/>
          <w:szCs w:val="24"/>
        </w:rPr>
        <w:t>00,000.00元</w:t>
      </w:r>
    </w:p>
    <w:p w14:paraId="329C3EDF">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w:t>
      </w:r>
      <w:r>
        <w:rPr>
          <w:rFonts w:hint="eastAsia" w:ascii="宋体" w:hAnsi="宋体" w:eastAsia="宋体" w:cs="宋体"/>
          <w:sz w:val="24"/>
          <w:szCs w:val="24"/>
          <w:lang w:val="en-US" w:eastAsia="zh-CN"/>
        </w:rPr>
        <w:t>6</w:t>
      </w:r>
      <w:r>
        <w:rPr>
          <w:rFonts w:hint="eastAsia" w:ascii="宋体" w:hAnsi="宋体" w:eastAsia="宋体" w:cs="宋体"/>
          <w:sz w:val="24"/>
          <w:szCs w:val="24"/>
        </w:rPr>
        <w:t>00,000.00元</w:t>
      </w:r>
    </w:p>
    <w:tbl>
      <w:tblPr>
        <w:tblStyle w:val="3"/>
        <w:tblW w:w="0" w:type="auto"/>
        <w:tblInd w:w="55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8"/>
        <w:gridCol w:w="949"/>
        <w:gridCol w:w="1105"/>
        <w:gridCol w:w="1066"/>
        <w:gridCol w:w="1027"/>
        <w:gridCol w:w="1417"/>
        <w:gridCol w:w="1417"/>
      </w:tblGrid>
      <w:tr w14:paraId="4C0C8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264ACF3">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653D9FE4">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21D6DC55">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124C1082">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12CD3D5B">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16" w:type="dxa"/>
          </w:tcPr>
          <w:p w14:paraId="09768135">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416" w:type="dxa"/>
          </w:tcPr>
          <w:p w14:paraId="58906ED1">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1BEE3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FE43305">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021C127C">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工程作业车</w:t>
            </w:r>
          </w:p>
        </w:tc>
        <w:tc>
          <w:tcPr>
            <w:tcW w:w="1187" w:type="dxa"/>
          </w:tcPr>
          <w:p w14:paraId="30D356B1">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00000</w:t>
            </w:r>
          </w:p>
        </w:tc>
        <w:tc>
          <w:tcPr>
            <w:tcW w:w="1187" w:type="dxa"/>
          </w:tcPr>
          <w:p w14:paraId="25C282A3">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项</w:t>
            </w:r>
            <w:r>
              <w:rPr>
                <w:rFonts w:hint="eastAsia" w:ascii="宋体" w:hAnsi="宋体" w:eastAsia="宋体" w:cs="宋体"/>
                <w:sz w:val="24"/>
                <w:szCs w:val="24"/>
              </w:rPr>
              <w:t>)</w:t>
            </w:r>
          </w:p>
        </w:tc>
        <w:tc>
          <w:tcPr>
            <w:tcW w:w="1187" w:type="dxa"/>
          </w:tcPr>
          <w:p w14:paraId="0F8CE3FE">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16" w:type="dxa"/>
          </w:tcPr>
          <w:p w14:paraId="4F15E07D">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00,000.00</w:t>
            </w:r>
          </w:p>
        </w:tc>
        <w:tc>
          <w:tcPr>
            <w:tcW w:w="1416" w:type="dxa"/>
          </w:tcPr>
          <w:p w14:paraId="447B6B97">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00,000.00</w:t>
            </w:r>
          </w:p>
        </w:tc>
      </w:tr>
    </w:tbl>
    <w:p w14:paraId="42791BE5">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6A43844F">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 xml:space="preserve"> 合同履行期限：</w:t>
      </w: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p w14:paraId="2E69ED8E">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E4601F6">
      <w:pPr>
        <w:pStyle w:val="5"/>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5741184">
      <w:pPr>
        <w:pStyle w:val="5"/>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50F5703">
      <w:pPr>
        <w:pStyle w:val="5"/>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宝鸡市城市照明管理中心2025年高空作业车采购</w:t>
      </w:r>
      <w:r>
        <w:rPr>
          <w:rFonts w:hint="eastAsia" w:ascii="宋体" w:hAnsi="宋体" w:eastAsia="宋体" w:cs="宋体"/>
          <w:sz w:val="24"/>
          <w:szCs w:val="24"/>
        </w:rPr>
        <w:t>)落实政府采购政策需满足的资格要求如下:</w:t>
      </w:r>
    </w:p>
    <w:p w14:paraId="6D00665F">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依据《中华人民共和国政府采购法》和《中华人民共和国政府采购实施条例》的有关规定，落实政府采购“优先购买节能环保产品、扶持小微企业、监狱企业、福利企业”等相关政策。</w:t>
      </w:r>
    </w:p>
    <w:p w14:paraId="22EAD0D3">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（1）《财政部国家发展改革委关于印发〈节能产品政府采购实施意见〉的通知》（财库〔2004〕185号）；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（3）《财政部环保总局关于环境标志产品政府采购实施的意见》（财库〔2006〕90号）；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（8）《政府采购促进中小企业发展管理办法》（财库〔2020〕46号）、《财政部关于进一步加大政府采购支持中小企业力度的通知》（财库[2022]19号）；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（9）陕西省财政厅关于印发《陕西省中小企业政府采购信用融资办法》（陕财办采〔2018〕23号）</w:t>
      </w:r>
      <w:r>
        <w:rPr>
          <w:rFonts w:hint="eastAsia" w:ascii="宋体" w:hAnsi="宋体" w:eastAsia="宋体" w:cs="宋体"/>
          <w:sz w:val="24"/>
          <w:szCs w:val="24"/>
          <w:lang w:eastAsia="zh-CN"/>
        </w:rPr>
        <w:t>。</w:t>
      </w:r>
    </w:p>
    <w:p w14:paraId="4726A6E7">
      <w:pPr>
        <w:pStyle w:val="5"/>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bookmarkStart w:id="1" w:name="_GoBack"/>
      <w:bookmarkEnd w:id="1"/>
      <w:r>
        <w:rPr>
          <w:rFonts w:hint="eastAsia" w:ascii="宋体" w:hAnsi="宋体" w:eastAsia="宋体" w:cs="宋体"/>
          <w:sz w:val="24"/>
          <w:szCs w:val="24"/>
        </w:rPr>
        <w:t>3.本项目的特定资格要求：</w:t>
      </w:r>
    </w:p>
    <w:p w14:paraId="35CC3673">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宝鸡市城市照明管理中心2025年高空作业车采购</w:t>
      </w:r>
      <w:r>
        <w:rPr>
          <w:rFonts w:hint="eastAsia" w:ascii="宋体" w:hAnsi="宋体" w:eastAsia="宋体" w:cs="宋体"/>
          <w:sz w:val="24"/>
          <w:szCs w:val="24"/>
        </w:rPr>
        <w:t>)特定资格要求如下:</w:t>
      </w:r>
    </w:p>
    <w:p w14:paraId="64281D75">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（3）</w:t>
      </w:r>
      <w:r>
        <w:rPr>
          <w:rFonts w:hint="eastAsia" w:ascii="宋体" w:hAnsi="宋体" w:eastAsia="宋体" w:cs="宋体"/>
          <w:sz w:val="24"/>
          <w:szCs w:val="24"/>
        </w:rPr>
        <w:t>供应商须为合法注册的法人、其他组织或者自然人，并具有独立承担民事责任的能力，且具备向采购人提供相关货物和服务的能力；提供统一社会信用代码的营业执照（或事业法人证、 自然人身份证）等合法证明文件；</w:t>
      </w:r>
    </w:p>
    <w:p w14:paraId="63C9D63E">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（4）</w:t>
      </w:r>
      <w:r>
        <w:rPr>
          <w:rFonts w:hint="eastAsia" w:ascii="宋体" w:hAnsi="宋体" w:eastAsia="宋体" w:cs="宋体"/>
          <w:sz w:val="24"/>
          <w:szCs w:val="24"/>
        </w:rPr>
        <w:t>供应商应授权合法的人员参加谈判全过程，其中法定代表人直接参加谈判的，须出具法人身份证明，并与营业执照上信息一致。法定代表人授权代表参加谈判的，须出具法定代表人授权书及授权代表身份证；</w:t>
      </w:r>
    </w:p>
    <w:p w14:paraId="13290ADC">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（5）</w:t>
      </w:r>
      <w:r>
        <w:rPr>
          <w:rFonts w:hint="eastAsia" w:ascii="宋体" w:hAnsi="宋体" w:eastAsia="宋体" w:cs="宋体"/>
          <w:sz w:val="24"/>
          <w:szCs w:val="24"/>
          <w:lang w:val="en-US" w:eastAsia="zh-CN"/>
        </w:rPr>
        <w:t>所投车辆车型必须在国家发改委或工信部发布的《车辆生产企业及产品》公告内，并提供车型车辆公告目录；</w:t>
      </w:r>
    </w:p>
    <w:p w14:paraId="71A19C91">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highlight w:val="none"/>
          <w:lang w:val="en-US" w:eastAsia="zh-CN"/>
        </w:rPr>
        <w:t>供应商提供2024年度的财务审计报告（至少包括资产负债表和利润表，成立时间至提交谈判响应文件截止时间不足一年的可提供成立后任意时段的资产负债表）或其开标前半年内基本存款账户开户银行出具的资信证明（附开户许可证或开户备案证明）；</w:t>
      </w:r>
    </w:p>
    <w:p w14:paraId="04A21877">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（7）</w:t>
      </w:r>
      <w:r>
        <w:rPr>
          <w:rFonts w:hint="eastAsia" w:ascii="宋体" w:hAnsi="宋体" w:eastAsia="宋体" w:cs="宋体"/>
          <w:sz w:val="24"/>
          <w:szCs w:val="24"/>
        </w:rPr>
        <w:t>供应商不得为“信用中国”网站（www.creditchina.gov.cn）中列入失信被执行人和</w:t>
      </w:r>
      <w:r>
        <w:rPr>
          <w:rFonts w:hint="eastAsia" w:ascii="宋体" w:hAnsi="宋体" w:eastAsia="宋体" w:cs="宋体"/>
          <w:sz w:val="24"/>
          <w:szCs w:val="24"/>
          <w:lang w:eastAsia="zh-CN"/>
        </w:rPr>
        <w:t>重大税收违法失信主体名单</w:t>
      </w:r>
      <w:r>
        <w:rPr>
          <w:rFonts w:hint="eastAsia" w:ascii="宋体" w:hAnsi="宋体" w:eastAsia="宋体" w:cs="宋体"/>
          <w:sz w:val="24"/>
          <w:szCs w:val="24"/>
        </w:rPr>
        <w:t>的供应商，不得为中国政府采购网（www.ccgp.gov.cn） 政府采购严重违法失信行为记录名单中被财政部门禁止参加政府采购活动的供应商；（提供查询结果网页截图并加盖供应商公章，政府采购严重违法失信行为记录查询日期应在竞争性谈判公告发布之日起之后）；</w:t>
      </w:r>
    </w:p>
    <w:p w14:paraId="47D15C87">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（8）</w:t>
      </w:r>
      <w:r>
        <w:rPr>
          <w:rFonts w:hint="eastAsia" w:ascii="宋体" w:hAnsi="宋体" w:eastAsia="宋体" w:cs="宋体"/>
          <w:sz w:val="24"/>
          <w:szCs w:val="24"/>
        </w:rPr>
        <w:t>供应商应具有履行合同所必需的设备和专业技术能力承诺书；</w:t>
      </w:r>
    </w:p>
    <w:p w14:paraId="63064F98">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（9）</w:t>
      </w:r>
      <w:r>
        <w:rPr>
          <w:rFonts w:hint="eastAsia" w:ascii="宋体" w:hAnsi="宋体" w:eastAsia="宋体" w:cs="宋体"/>
          <w:sz w:val="24"/>
          <w:szCs w:val="24"/>
        </w:rPr>
        <w:t>供应商税收缴纳证明：提供 2024年0</w:t>
      </w:r>
      <w:r>
        <w:rPr>
          <w:rFonts w:hint="eastAsia" w:ascii="宋体" w:hAnsi="宋体" w:eastAsia="宋体" w:cs="宋体"/>
          <w:sz w:val="24"/>
          <w:szCs w:val="24"/>
          <w:lang w:val="en-US" w:eastAsia="zh-CN"/>
        </w:rPr>
        <w:t>8</w:t>
      </w:r>
      <w:r>
        <w:rPr>
          <w:rFonts w:hint="eastAsia" w:ascii="宋体" w:hAnsi="宋体" w:eastAsia="宋体" w:cs="宋体"/>
          <w:sz w:val="24"/>
          <w:szCs w:val="24"/>
        </w:rPr>
        <w:t>月01日至今任意连续3个月的纳税证明或完税证明，依法免税的单位应提供相关证明材料；</w:t>
      </w:r>
    </w:p>
    <w:p w14:paraId="55CD0E09">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（10）</w:t>
      </w:r>
      <w:r>
        <w:rPr>
          <w:rFonts w:hint="eastAsia" w:ascii="宋体" w:hAnsi="宋体" w:eastAsia="宋体" w:cs="宋体"/>
          <w:sz w:val="24"/>
          <w:szCs w:val="24"/>
        </w:rPr>
        <w:t>供应商社会保障资金缴纳证明：提供 2024年0</w:t>
      </w:r>
      <w:r>
        <w:rPr>
          <w:rFonts w:hint="eastAsia" w:ascii="宋体" w:hAnsi="宋体" w:eastAsia="宋体" w:cs="宋体"/>
          <w:sz w:val="24"/>
          <w:szCs w:val="24"/>
          <w:lang w:val="en-US" w:eastAsia="zh-CN"/>
        </w:rPr>
        <w:t>8</w:t>
      </w:r>
      <w:r>
        <w:rPr>
          <w:rFonts w:hint="eastAsia" w:ascii="宋体" w:hAnsi="宋体" w:eastAsia="宋体" w:cs="宋体"/>
          <w:sz w:val="24"/>
          <w:szCs w:val="24"/>
        </w:rPr>
        <w:t>月01日至今任意连续3个月的社会保障资金缴存单据或社保机构开具的社会保险参保缴费情况证明，依法不需要缴纳社会保障资金的单位应提供相关证明材料；</w:t>
      </w:r>
    </w:p>
    <w:p w14:paraId="25E42C45">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（11）</w:t>
      </w:r>
      <w:r>
        <w:rPr>
          <w:rFonts w:hint="eastAsia" w:ascii="宋体" w:hAnsi="宋体" w:eastAsia="宋体" w:cs="宋体"/>
          <w:sz w:val="24"/>
          <w:szCs w:val="24"/>
        </w:rPr>
        <w:t>书面声明：参加政府采购活动前三年内，在经营活动中没有重大违法记录的书面声明（加盖供应商公章）；</w:t>
      </w:r>
    </w:p>
    <w:p w14:paraId="5FA6AF48">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（12）</w:t>
      </w:r>
      <w:r>
        <w:rPr>
          <w:rFonts w:hint="eastAsia" w:ascii="宋体" w:hAnsi="宋体" w:eastAsia="宋体" w:cs="宋体"/>
          <w:sz w:val="24"/>
          <w:szCs w:val="24"/>
        </w:rPr>
        <w:t>本项目不接受联合体投标。单位负责人为同一人或者存在控股、管理关系的不同单位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不得参加同一合同项下的政府采购活动</w:t>
      </w:r>
      <w:r>
        <w:rPr>
          <w:rFonts w:hint="eastAsia" w:ascii="宋体" w:hAnsi="宋体" w:eastAsia="宋体" w:cs="宋体"/>
          <w:sz w:val="24"/>
          <w:szCs w:val="24"/>
        </w:rPr>
        <w:t>（提供承诺书）</w:t>
      </w:r>
      <w:r>
        <w:rPr>
          <w:rFonts w:hint="eastAsia" w:ascii="宋体" w:hAnsi="宋体" w:eastAsia="宋体" w:cs="宋体"/>
          <w:sz w:val="24"/>
          <w:szCs w:val="24"/>
          <w:lang w:eastAsia="zh-CN"/>
        </w:rPr>
        <w:t>；</w:t>
      </w:r>
    </w:p>
    <w:p w14:paraId="37DE961F">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（13）</w:t>
      </w:r>
      <w:r>
        <w:rPr>
          <w:rFonts w:hint="eastAsia" w:ascii="宋体" w:hAnsi="宋体" w:eastAsia="宋体" w:cs="宋体"/>
          <w:sz w:val="24"/>
          <w:szCs w:val="24"/>
        </w:rPr>
        <w:t>本项目</w:t>
      </w:r>
      <w:r>
        <w:rPr>
          <w:rFonts w:hint="eastAsia" w:ascii="宋体" w:hAnsi="宋体" w:eastAsia="宋体" w:cs="宋体"/>
          <w:sz w:val="24"/>
          <w:szCs w:val="24"/>
          <w:lang w:val="en-US" w:eastAsia="zh-CN"/>
        </w:rPr>
        <w:t>非</w:t>
      </w:r>
      <w:r>
        <w:rPr>
          <w:rFonts w:hint="eastAsia" w:ascii="宋体" w:hAnsi="宋体" w:eastAsia="宋体" w:cs="宋体"/>
          <w:sz w:val="24"/>
          <w:szCs w:val="24"/>
        </w:rPr>
        <w:t>专门面向中小企业采购。</w:t>
      </w:r>
    </w:p>
    <w:p w14:paraId="62E2A761">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AB47A7B">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时间：</w:t>
      </w:r>
      <w:r>
        <w:rPr>
          <w:rFonts w:hint="eastAsia" w:ascii="宋体" w:hAnsi="宋体" w:eastAsia="宋体" w:cs="宋体"/>
          <w:sz w:val="24"/>
          <w:szCs w:val="24"/>
          <w:highlight w:val="none"/>
        </w:rPr>
        <w:t xml:space="preserve"> 2025年0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 至 2025年</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 ，每天上午 08:30:00 至 11:30:00 ，下午 14:30:00 至 17:00:00 （北京时间）</w:t>
      </w:r>
    </w:p>
    <w:p w14:paraId="09FB7856">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 ·宝鸡市）】</w:t>
      </w:r>
    </w:p>
    <w:p w14:paraId="1FA5DACD">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7FDF7935">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11B1E91F">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454845F7">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截止时间：</w:t>
      </w:r>
      <w:r>
        <w:rPr>
          <w:rFonts w:hint="eastAsia" w:ascii="宋体" w:hAnsi="宋体" w:eastAsia="宋体" w:cs="宋体"/>
          <w:sz w:val="24"/>
          <w:szCs w:val="24"/>
          <w:highlight w:val="none"/>
        </w:rPr>
        <w:t xml:space="preserve"> 2025年0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 14时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0分00秒 （北京时间）</w:t>
      </w:r>
    </w:p>
    <w:p w14:paraId="1A47422E">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 ·宝鸡市）宝鸡市公共资源交易中心在线提交</w:t>
      </w:r>
    </w:p>
    <w:p w14:paraId="2FE1948D">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597032FB">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时间：</w:t>
      </w:r>
      <w:r>
        <w:rPr>
          <w:rFonts w:hint="eastAsia" w:ascii="宋体" w:hAnsi="宋体" w:eastAsia="宋体" w:cs="宋体"/>
          <w:sz w:val="24"/>
          <w:szCs w:val="24"/>
          <w:highlight w:val="none"/>
        </w:rPr>
        <w:t xml:space="preserve"> 2025年0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 14时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0分00秒 （北京时间）</w:t>
      </w:r>
    </w:p>
    <w:p w14:paraId="1637F231">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 ·宝鸡市)宝鸡市公共资源交易中心-不见面开标</w:t>
      </w:r>
    </w:p>
    <w:p w14:paraId="42B748BA">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101CAF3B">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F9E6C8B">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4440F47">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000000"/>
          <w:sz w:val="24"/>
          <w:szCs w:val="24"/>
        </w:rPr>
        <w:t>1、本项目有意向投标供应商须登录全国公共资源交易平台（陕西省）（http://www.sxggzyjy.cn/），交易平台〖首页〉电子交易平台〉企业端〗后，选择电子交易平台中的陕西政府采购交易系统（http://www.sxggzyjy.cn:9002/TPBidder ）进行登录，登录后选择“交易乙方 ”身份进入供应商界面。在〖招标公告/出让公告〗模块中选择有意向的项目点击“我要投标 ”，成功后即可从〖我的项目〉项目流程〉交易文件下载〗中下载电子竞争性谈判文件（*.SXSZF 格式）；</w:t>
      </w:r>
    </w:p>
    <w:p w14:paraId="384201E5">
      <w:pPr>
        <w:pStyle w:val="5"/>
        <w:keepNext w:val="0"/>
        <w:keepLines w:val="0"/>
        <w:pageBreakBefore w:val="0"/>
        <w:widowControl/>
        <w:kinsoku/>
        <w:wordWrap/>
        <w:overflowPunct/>
        <w:topLinePunct w:val="0"/>
        <w:autoSpaceDE/>
        <w:autoSpaceDN/>
        <w:bidi w:val="0"/>
        <w:adjustRightInd/>
        <w:snapToGrid/>
        <w:spacing w:before="135"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2、参与本次项目的供应商请及时登录陕西省政府采购网（http://www.ccgp-shaanxi.gov.cn/），办理供应商入库申请并及时办理 CA 数字证书（陕西 CA 锁）；</w:t>
      </w:r>
    </w:p>
    <w:p w14:paraId="576B9B45">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000000"/>
          <w:sz w:val="24"/>
          <w:szCs w:val="24"/>
        </w:rPr>
        <w:t>3、本项目为“全流程电子化</w:t>
      </w: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采购模式，各供应商须自行在网上下载竞争性谈判文件、缴纳投标保证金，并登录全国公共资源交易平台（陕西省）宝鸡市公共资源交易中心（http://bj.sxggzyjy.cn/）-服务指南-下载专区-下载政府采购电子标书制作工具，按照流程制作电子标书并在规定的响应截止时前上传电子谈判响应文件。</w:t>
      </w:r>
    </w:p>
    <w:p w14:paraId="55FDDA7D">
      <w:pPr>
        <w:pStyle w:val="5"/>
        <w:keepNext w:val="0"/>
        <w:keepLines w:val="0"/>
        <w:pageBreakBefore w:val="0"/>
        <w:widowControl/>
        <w:kinsoku/>
        <w:wordWrap/>
        <w:overflowPunct/>
        <w:topLinePunct w:val="0"/>
        <w:autoSpaceDE/>
        <w:autoSpaceDN/>
        <w:bidi w:val="0"/>
        <w:adjustRightInd/>
        <w:snapToGrid/>
        <w:spacing w:before="1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4、未完成网上投标或未经采购代理机构缴费确认或未在规定时间内在平台上下载电子竞争性谈判文件的，导致无法完成后续流程的责任自负。</w:t>
      </w:r>
    </w:p>
    <w:p w14:paraId="3844090D">
      <w:pPr>
        <w:pStyle w:val="5"/>
        <w:keepNext w:val="0"/>
        <w:keepLines w:val="0"/>
        <w:pageBreakBefore w:val="0"/>
        <w:widowControl/>
        <w:kinsoku/>
        <w:wordWrap/>
        <w:overflowPunct/>
        <w:topLinePunct w:val="0"/>
        <w:autoSpaceDE/>
        <w:autoSpaceDN/>
        <w:bidi w:val="0"/>
        <w:adjustRightInd/>
        <w:snapToGrid/>
        <w:spacing w:before="180" w:line="360" w:lineRule="auto"/>
        <w:ind w:right="120"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5、本公告发布之日起3个工作日。</w:t>
      </w:r>
    </w:p>
    <w:p w14:paraId="2A0B4FAB">
      <w:pPr>
        <w:pStyle w:val="5"/>
        <w:keepNext w:val="0"/>
        <w:keepLines w:val="0"/>
        <w:pageBreakBefore w:val="0"/>
        <w:widowControl/>
        <w:kinsoku/>
        <w:wordWrap/>
        <w:overflowPunct/>
        <w:topLinePunct w:val="0"/>
        <w:autoSpaceDE/>
        <w:autoSpaceDN/>
        <w:bidi w:val="0"/>
        <w:adjustRightInd/>
        <w:snapToGrid/>
        <w:spacing w:before="180" w:line="360" w:lineRule="auto"/>
        <w:ind w:right="12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6、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谈判时在线解密响应文件、在线询标、在线报价。为了保证远程不见面开标顺利进行，投标人需使用配备相关设备的电脑提前一小时登录网络开标大厅。因供应商自身设施故障或自身原因导致无法完成谈判的，由供应商自行承担后果；（使用IE11浏览器或360极速浏览器兼容模式）。技术支持服务电话：400-998-0000。</w:t>
      </w:r>
    </w:p>
    <w:p w14:paraId="483593C4">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开标时，解密电子化投标文件延时3次后，投标人仍未解密的，视为自动放弃。</w:t>
      </w:r>
    </w:p>
    <w:p w14:paraId="5EF00CC4">
      <w:pPr>
        <w:pStyle w:val="5"/>
        <w:keepNext w:val="0"/>
        <w:keepLines w:val="0"/>
        <w:pageBreakBefore w:val="0"/>
        <w:widowControl/>
        <w:kinsoku/>
        <w:wordWrap/>
        <w:overflowPunct/>
        <w:topLinePunct w:val="0"/>
        <w:autoSpaceDE/>
        <w:autoSpaceDN/>
        <w:bidi w:val="0"/>
        <w:adjustRightInd/>
        <w:snapToGrid/>
        <w:spacing w:before="180" w:line="360" w:lineRule="auto"/>
        <w:ind w:right="120" w:firstLine="482" w:firstLineChars="200"/>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、评标时，延时3次后，投标人仍未响应或上传二次报价的，视为自动放弃。</w:t>
      </w:r>
    </w:p>
    <w:p w14:paraId="45C064EC">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7F6EBB2">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032E40F">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名称：宝鸡市城市照明管理中心</w:t>
      </w:r>
    </w:p>
    <w:p w14:paraId="43230A98">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地址：宝鸡市大庆路华盛旺座B座18楼</w:t>
      </w:r>
    </w:p>
    <w:p w14:paraId="26842583">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lang w:val="en-US" w:eastAsia="zh-CN"/>
        </w:rPr>
        <w:t>17-3336360</w:t>
      </w:r>
    </w:p>
    <w:p w14:paraId="5AFC425C">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5D455D18">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zh-CN"/>
        </w:rPr>
        <w:t>纳百川项目管理咨询有限公司</w:t>
      </w:r>
    </w:p>
    <w:p w14:paraId="2B492214">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地址：宝鸡市金台大道金融广场C座1101室</w:t>
      </w:r>
    </w:p>
    <w:p w14:paraId="7DC9DD2C">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15229871494</w:t>
      </w:r>
    </w:p>
    <w:p w14:paraId="06530CED">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3.项目联系方式</w:t>
      </w:r>
    </w:p>
    <w:p w14:paraId="469F13B0">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王工</w:t>
      </w:r>
    </w:p>
    <w:p w14:paraId="65AE945A">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15229871494</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060BE"/>
    <w:rsid w:val="0A80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2025-08-12T05:11:00Z</dcterms:created>
  <dc:creator>biu~biu~biu</dc:creator>
  <cp:lastModifiedBy>biu~biu~biu</cp:lastModifiedBy>
  <dcterms:modified xsi:type="dcterms:W3CDTF">2025-08-12T05:13:17Z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8846133C04B54DF186C17843B19E05EE_11</vt:lpwstr>
  </property>
  <property fmtid="{D5CDD505-2E9C-101B-9397-08002B2CF9AE}" pid="4" name="KSOTemplateDocerSaveRecord">
    <vt:lpwstr>eyJoZGlkIjoiNmNlMDM2YzlkYTBlNWE3MGFiYTZmMGI4NWEyMTRkNDQiLCJ1c2VySWQiOiI1ODMwNDk5NDIifQ==</vt:lpwstr>
  </property>
</Properties>
</file>