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B214FB">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5068"/>
      <w:bookmarkStart w:id="1" w:name="_Toc13625"/>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HSGJ2025-164</w:t>
      </w:r>
    </w:p>
    <w:p w14:paraId="34983C89">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4"/>
          <w:szCs w:val="24"/>
          <w:highlight w:val="none"/>
        </w:rPr>
      </w:pPr>
    </w:p>
    <w:p w14:paraId="226C96E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4"/>
          <w:szCs w:val="24"/>
          <w:highlight w:val="none"/>
          <w:lang w:val="en-US" w:eastAsia="zh-CN"/>
        </w:rPr>
      </w:pPr>
    </w:p>
    <w:p w14:paraId="630CA079">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0B8264DF">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eastAsia" w:ascii="宋体" w:hAnsi="宋体" w:eastAsia="宋体" w:cs="宋体"/>
          <w:b/>
          <w:bCs/>
          <w:sz w:val="24"/>
          <w:szCs w:val="24"/>
          <w:highlight w:val="none"/>
          <w:lang w:val="en-US" w:eastAsia="zh-CN"/>
        </w:rPr>
      </w:pPr>
    </w:p>
    <w:p w14:paraId="2AD6DFDD">
      <w:pPr>
        <w:pStyle w:val="15"/>
        <w:jc w:val="center"/>
        <w:rPr>
          <w:rFonts w:hint="eastAsia" w:ascii="宋体" w:hAnsi="宋体" w:eastAsia="宋体" w:cs="宋体"/>
          <w:color w:val="000000" w:themeColor="text1"/>
          <w:sz w:val="46"/>
          <w:szCs w:val="46"/>
          <w:lang w:val="en-US" w:eastAsia="zh-CN"/>
          <w14:textFill>
            <w14:solidFill>
              <w14:schemeClr w14:val="tx1"/>
            </w14:solidFill>
          </w14:textFill>
        </w:rPr>
      </w:pPr>
      <w:r>
        <w:rPr>
          <w:rFonts w:hint="eastAsia" w:ascii="宋体" w:hAnsi="宋体" w:eastAsia="宋体" w:cs="宋体"/>
          <w:b/>
          <w:color w:val="000000" w:themeColor="text1"/>
          <w:sz w:val="46"/>
          <w:szCs w:val="46"/>
          <w:highlight w:val="none"/>
          <w:lang w:eastAsia="zh-CN"/>
          <w14:textFill>
            <w14:solidFill>
              <w14:schemeClr w14:val="tx1"/>
            </w14:solidFill>
          </w14:textFill>
        </w:rPr>
        <w:t>2025年全区学校教育教学设施设备采购项目第二批次(信息化及多媒体类部室)</w:t>
      </w:r>
    </w:p>
    <w:p w14:paraId="564F49EA">
      <w:pPr>
        <w:rPr>
          <w:rFonts w:hint="eastAsia" w:ascii="宋体" w:hAnsi="宋体" w:eastAsia="宋体" w:cs="宋体"/>
          <w:sz w:val="24"/>
          <w:szCs w:val="24"/>
        </w:rPr>
      </w:pPr>
    </w:p>
    <w:p w14:paraId="5DFFCAEB">
      <w:pPr>
        <w:rPr>
          <w:rFonts w:hint="eastAsia" w:ascii="宋体" w:hAnsi="宋体" w:eastAsia="宋体" w:cs="宋体"/>
          <w:sz w:val="24"/>
          <w:szCs w:val="24"/>
        </w:rPr>
      </w:pPr>
    </w:p>
    <w:p w14:paraId="7DCA088B">
      <w:pPr>
        <w:rPr>
          <w:rFonts w:hint="eastAsia" w:ascii="宋体" w:hAnsi="宋体" w:eastAsia="宋体" w:cs="宋体"/>
          <w:sz w:val="24"/>
          <w:szCs w:val="24"/>
        </w:rPr>
      </w:pPr>
    </w:p>
    <w:p w14:paraId="3615460E">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80"/>
          <w:szCs w:val="80"/>
          <w:highlight w:val="none"/>
        </w:rPr>
      </w:pPr>
      <w:bookmarkStart w:id="2" w:name="_Toc15337"/>
      <w:bookmarkStart w:id="3" w:name="_Toc14588"/>
      <w:r>
        <w:rPr>
          <w:rFonts w:hint="eastAsia" w:ascii="宋体" w:hAnsi="宋体" w:eastAsia="宋体" w:cs="宋体"/>
          <w:b/>
          <w:sz w:val="80"/>
          <w:szCs w:val="80"/>
          <w:highlight w:val="none"/>
          <w:lang w:eastAsia="zh-CN"/>
        </w:rPr>
        <w:t>公开招标</w:t>
      </w:r>
      <w:r>
        <w:rPr>
          <w:rFonts w:hint="eastAsia" w:ascii="宋体" w:hAnsi="宋体" w:eastAsia="宋体" w:cs="宋体"/>
          <w:b/>
          <w:sz w:val="80"/>
          <w:szCs w:val="80"/>
          <w:highlight w:val="none"/>
        </w:rPr>
        <w:t>文件</w:t>
      </w:r>
      <w:bookmarkEnd w:id="2"/>
      <w:bookmarkEnd w:id="3"/>
    </w:p>
    <w:p w14:paraId="215625E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4145769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7913F83">
      <w:pPr>
        <w:pStyle w:val="19"/>
        <w:keepNext w:val="0"/>
        <w:keepLines w:val="0"/>
        <w:pageBreakBefore w:val="0"/>
        <w:widowControl/>
        <w:kinsoku/>
        <w:wordWrap/>
        <w:overflowPunct/>
        <w:topLinePunct w:val="0"/>
        <w:autoSpaceDE/>
        <w:autoSpaceDN/>
        <w:bidi w:val="0"/>
        <w:adjustRightInd/>
        <w:textAlignment w:val="auto"/>
        <w:outlineLvl w:val="9"/>
        <w:rPr>
          <w:rFonts w:hint="default" w:ascii="宋体" w:hAnsi="宋体" w:eastAsia="宋体" w:cs="宋体"/>
          <w:b/>
          <w:bCs w:val="0"/>
          <w:sz w:val="36"/>
          <w:szCs w:val="36"/>
          <w:highlight w:val="none"/>
          <w:lang w:val="en-US" w:eastAsia="zh-CN"/>
        </w:rPr>
      </w:pPr>
      <w:r>
        <w:rPr>
          <w:rFonts w:hint="eastAsia" w:ascii="宋体" w:hAnsi="宋体" w:eastAsia="宋体" w:cs="宋体"/>
          <w:b/>
          <w:sz w:val="24"/>
          <w:szCs w:val="24"/>
          <w:highlight w:val="none"/>
          <w:lang w:val="en-US" w:eastAsia="zh-CN"/>
        </w:rPr>
        <w:t xml:space="preserve">                           </w:t>
      </w:r>
      <w:r>
        <w:rPr>
          <w:rFonts w:hint="eastAsia" w:ascii="宋体" w:hAnsi="宋体" w:eastAsia="宋体" w:cs="宋体"/>
          <w:b/>
          <w:bCs w:val="0"/>
          <w:sz w:val="36"/>
          <w:szCs w:val="36"/>
          <w:highlight w:val="none"/>
          <w:lang w:val="en-US" w:eastAsia="zh-CN"/>
        </w:rPr>
        <w:t xml:space="preserve"> （第一包）</w:t>
      </w:r>
    </w:p>
    <w:p w14:paraId="5F2F32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EEFDA3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0A75EF1F">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6AC6628">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3DB86BE">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3D4B263D">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72F6ECF0">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24"/>
          <w:szCs w:val="24"/>
          <w:highlight w:val="none"/>
        </w:rPr>
      </w:pPr>
    </w:p>
    <w:p w14:paraId="25E631DA">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lang w:val="en-US" w:eastAsia="zh-CN"/>
        </w:rPr>
      </w:pPr>
      <w:bookmarkStart w:id="4" w:name="_Toc2655"/>
      <w:bookmarkStart w:id="5" w:name="_Toc12262"/>
      <w:r>
        <w:rPr>
          <w:rFonts w:hint="eastAsia" w:ascii="宋体" w:hAnsi="宋体" w:eastAsia="宋体" w:cs="宋体"/>
          <w:b/>
          <w:sz w:val="32"/>
          <w:szCs w:val="32"/>
          <w:highlight w:val="none"/>
        </w:rPr>
        <w:t>采</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购</w:t>
      </w:r>
      <w:r>
        <w:rPr>
          <w:rFonts w:hint="eastAsia" w:ascii="宋体" w:hAnsi="宋体" w:eastAsia="宋体" w:cs="宋体"/>
          <w:b/>
          <w:sz w:val="32"/>
          <w:szCs w:val="32"/>
          <w:highlight w:val="none"/>
          <w:lang w:val="en-US" w:eastAsia="zh-CN"/>
        </w:rPr>
        <w:t xml:space="preserve">   </w:t>
      </w:r>
      <w:r>
        <w:rPr>
          <w:rFonts w:hint="eastAsia" w:ascii="宋体" w:hAnsi="宋体" w:eastAsia="宋体" w:cs="宋体"/>
          <w:b/>
          <w:sz w:val="32"/>
          <w:szCs w:val="32"/>
          <w:highlight w:val="none"/>
        </w:rPr>
        <w:t>人：</w:t>
      </w:r>
      <w:bookmarkEnd w:id="4"/>
      <w:bookmarkEnd w:id="5"/>
      <w:r>
        <w:rPr>
          <w:rFonts w:hint="eastAsia" w:ascii="宋体" w:hAnsi="宋体" w:eastAsia="宋体" w:cs="宋体"/>
          <w:b/>
          <w:sz w:val="32"/>
          <w:szCs w:val="32"/>
          <w:highlight w:val="none"/>
          <w:lang w:eastAsia="zh-CN"/>
        </w:rPr>
        <w:t>西安</w:t>
      </w:r>
      <w:bookmarkStart w:id="6" w:name="_Toc9269"/>
      <w:bookmarkStart w:id="7" w:name="_Toc16289"/>
      <w:bookmarkStart w:id="8" w:name="_Toc2128"/>
      <w:r>
        <w:rPr>
          <w:rFonts w:hint="eastAsia" w:ascii="宋体" w:hAnsi="宋体" w:eastAsia="宋体" w:cs="宋体"/>
          <w:b/>
          <w:sz w:val="32"/>
          <w:szCs w:val="32"/>
          <w:highlight w:val="none"/>
          <w:lang w:eastAsia="zh-CN"/>
        </w:rPr>
        <w:t>浐灞国际港教育局</w:t>
      </w:r>
    </w:p>
    <w:p w14:paraId="28B169AC">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1F161EA7">
      <w:pPr>
        <w:keepNext w:val="0"/>
        <w:keepLines w:val="0"/>
        <w:pageBreakBefore w:val="0"/>
        <w:widowControl/>
        <w:kinsoku/>
        <w:wordWrap/>
        <w:overflowPunct/>
        <w:topLinePunct w:val="0"/>
        <w:autoSpaceDE/>
        <w:autoSpaceDN/>
        <w:bidi w:val="0"/>
        <w:adjustRightInd/>
        <w:snapToGrid/>
        <w:spacing w:line="480" w:lineRule="auto"/>
        <w:ind w:firstLine="1440" w:firstLineChars="450"/>
        <w:textAlignment w:val="auto"/>
        <w:outlineLvl w:val="9"/>
        <w:rPr>
          <w:rFonts w:hint="eastAsia" w:ascii="宋体" w:hAnsi="宋体" w:eastAsia="宋体" w:cs="宋体"/>
          <w:b/>
          <w:sz w:val="32"/>
          <w:szCs w:val="32"/>
          <w:highlight w:val="none"/>
        </w:rPr>
      </w:pPr>
      <w:bookmarkStart w:id="9" w:name="_Toc2766"/>
      <w:bookmarkStart w:id="10" w:name="_Toc221"/>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七</w:t>
      </w:r>
      <w:r>
        <w:rPr>
          <w:rFonts w:hint="eastAsia" w:ascii="宋体" w:hAnsi="宋体" w:eastAsia="宋体" w:cs="宋体"/>
          <w:b/>
          <w:sz w:val="32"/>
          <w:szCs w:val="32"/>
          <w:highlight w:val="none"/>
        </w:rPr>
        <w:t>月</w:t>
      </w:r>
      <w:bookmarkEnd w:id="9"/>
      <w:bookmarkEnd w:id="10"/>
    </w:p>
    <w:p w14:paraId="4310E99F">
      <w:pPr>
        <w:pStyle w:val="15"/>
        <w:rPr>
          <w:rFonts w:hint="eastAsia" w:ascii="宋体" w:hAnsi="宋体" w:eastAsia="宋体" w:cs="宋体"/>
          <w:sz w:val="24"/>
          <w:szCs w:val="24"/>
        </w:rPr>
      </w:pPr>
    </w:p>
    <w:p w14:paraId="14F02264">
      <w:pPr>
        <w:spacing w:line="560" w:lineRule="exact"/>
        <w:jc w:val="center"/>
        <w:rPr>
          <w:rFonts w:hint="eastAsia" w:ascii="宋体" w:hAnsi="宋体" w:eastAsia="宋体" w:cs="宋体"/>
          <w:sz w:val="24"/>
          <w:szCs w:val="24"/>
        </w:rPr>
        <w:sectPr>
          <w:headerReference r:id="rId3" w:type="default"/>
          <w:headerReference r:id="rId4" w:type="even"/>
          <w:pgSz w:w="11906" w:h="16838"/>
          <w:pgMar w:top="1440" w:right="1083" w:bottom="1440" w:left="1519" w:header="851" w:footer="992" w:gutter="0"/>
          <w:pgNumType w:fmt="decimal" w:start="1"/>
          <w:cols w:space="425" w:num="1"/>
          <w:docGrid w:type="linesAndChars" w:linePitch="420" w:charSpace="0"/>
        </w:sectPr>
      </w:pPr>
    </w:p>
    <w:p w14:paraId="7F24C49E">
      <w:pPr>
        <w:spacing w:before="0" w:beforeLines="0" w:after="0" w:afterLines="0" w:line="240" w:lineRule="auto"/>
        <w:ind w:left="0" w:leftChars="0" w:right="0" w:rightChars="0" w:firstLine="0" w:firstLineChars="0"/>
        <w:jc w:val="center"/>
        <w:rPr>
          <w:rFonts w:hint="eastAsia" w:ascii="宋体" w:hAnsi="宋体" w:eastAsia="宋体" w:cs="宋体"/>
          <w:b/>
          <w:bCs/>
          <w:sz w:val="40"/>
          <w:szCs w:val="40"/>
        </w:rPr>
      </w:pPr>
      <w:r>
        <w:rPr>
          <w:rFonts w:hint="eastAsia" w:ascii="宋体" w:hAnsi="宋体" w:eastAsia="宋体" w:cs="宋体"/>
          <w:b/>
          <w:bCs/>
          <w:sz w:val="40"/>
          <w:szCs w:val="40"/>
        </w:rPr>
        <w:t>目</w:t>
      </w:r>
      <w:r>
        <w:rPr>
          <w:rFonts w:hint="eastAsia" w:ascii="宋体" w:hAnsi="宋体" w:eastAsia="宋体" w:cs="宋体"/>
          <w:b/>
          <w:bCs/>
          <w:sz w:val="40"/>
          <w:szCs w:val="40"/>
          <w:lang w:val="en-US" w:eastAsia="zh-CN"/>
        </w:rPr>
        <w:t xml:space="preserve">  </w:t>
      </w:r>
      <w:r>
        <w:rPr>
          <w:rFonts w:hint="eastAsia" w:ascii="宋体" w:hAnsi="宋体" w:eastAsia="宋体" w:cs="宋体"/>
          <w:b/>
          <w:bCs/>
          <w:sz w:val="40"/>
          <w:szCs w:val="40"/>
        </w:rPr>
        <w:t>录</w:t>
      </w:r>
    </w:p>
    <w:p w14:paraId="3E168897">
      <w:pPr>
        <w:pStyle w:val="21"/>
        <w:tabs>
          <w:tab w:val="right" w:leader="dot" w:pos="9304"/>
        </w:tabs>
      </w:pPr>
      <w:r>
        <w:rPr>
          <w:rFonts w:hint="eastAsia" w:ascii="宋体" w:hAnsi="宋体" w:eastAsia="宋体" w:cs="宋体"/>
          <w:b/>
          <w:bCs w:val="0"/>
          <w:sz w:val="24"/>
          <w:szCs w:val="24"/>
        </w:rPr>
        <w:fldChar w:fldCharType="begin"/>
      </w:r>
      <w:r>
        <w:rPr>
          <w:rFonts w:hint="eastAsia" w:ascii="宋体" w:hAnsi="宋体" w:eastAsia="宋体" w:cs="宋体"/>
          <w:b/>
          <w:bCs w:val="0"/>
          <w:sz w:val="24"/>
          <w:szCs w:val="24"/>
        </w:rPr>
        <w:instrText xml:space="preserve">TOC \o "1-1" \h \u </w:instrText>
      </w:r>
      <w:r>
        <w:rPr>
          <w:rFonts w:hint="eastAsia" w:ascii="宋体" w:hAnsi="宋体" w:eastAsia="宋体" w:cs="宋体"/>
          <w:b/>
          <w:bCs w:val="0"/>
          <w:sz w:val="24"/>
          <w:szCs w:val="24"/>
        </w:rPr>
        <w:fldChar w:fldCharType="separate"/>
      </w: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_Toc25953 </w:instrText>
      </w:r>
      <w:r>
        <w:rPr>
          <w:rFonts w:hint="eastAsia" w:ascii="宋体" w:hAnsi="宋体" w:eastAsia="宋体" w:cs="宋体"/>
          <w:bCs w:val="0"/>
          <w:szCs w:val="24"/>
        </w:rPr>
        <w:fldChar w:fldCharType="separate"/>
      </w:r>
      <w:r>
        <w:rPr>
          <w:rFonts w:hint="eastAsia" w:ascii="宋体" w:hAnsi="宋体" w:eastAsia="宋体" w:cs="宋体"/>
          <w:bCs/>
          <w:szCs w:val="32"/>
          <w:highlight w:val="none"/>
          <w:lang w:eastAsia="zh-CN"/>
        </w:rPr>
        <w:t>第一章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lang w:eastAsia="zh-CN"/>
        </w:rPr>
        <w:t xml:space="preserve"> 招标公告</w:t>
      </w:r>
      <w:r>
        <w:tab/>
      </w:r>
      <w:r>
        <w:fldChar w:fldCharType="begin"/>
      </w:r>
      <w:r>
        <w:instrText xml:space="preserve"> PAGEREF _Toc25953 \h </w:instrText>
      </w:r>
      <w:r>
        <w:fldChar w:fldCharType="separate"/>
      </w:r>
      <w:r>
        <w:t>1</w:t>
      </w:r>
      <w:r>
        <w:fldChar w:fldCharType="end"/>
      </w:r>
      <w:r>
        <w:rPr>
          <w:rFonts w:hint="eastAsia" w:ascii="宋体" w:hAnsi="宋体" w:eastAsia="宋体" w:cs="宋体"/>
          <w:bCs w:val="0"/>
          <w:szCs w:val="24"/>
        </w:rPr>
        <w:fldChar w:fldCharType="end"/>
      </w:r>
    </w:p>
    <w:p w14:paraId="7BEFBB1F">
      <w:pPr>
        <w:pStyle w:val="21"/>
        <w:tabs>
          <w:tab w:val="right" w:leader="dot" w:pos="9304"/>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_Toc22985 </w:instrText>
      </w:r>
      <w:r>
        <w:rPr>
          <w:rFonts w:hint="eastAsia" w:ascii="宋体" w:hAnsi="宋体" w:eastAsia="宋体" w:cs="宋体"/>
          <w:bCs w:val="0"/>
          <w:szCs w:val="24"/>
        </w:rPr>
        <w:fldChar w:fldCharType="separate"/>
      </w:r>
      <w:r>
        <w:rPr>
          <w:rFonts w:hint="eastAsia" w:ascii="宋体" w:hAnsi="宋体" w:eastAsia="宋体" w:cs="宋体"/>
          <w:bCs/>
          <w:szCs w:val="32"/>
        </w:rPr>
        <w:t>第二章  供应商须知</w:t>
      </w:r>
      <w:r>
        <w:tab/>
      </w:r>
      <w:r>
        <w:fldChar w:fldCharType="begin"/>
      </w:r>
      <w:r>
        <w:instrText xml:space="preserve"> PAGEREF _Toc22985 \h </w:instrText>
      </w:r>
      <w:r>
        <w:fldChar w:fldCharType="separate"/>
      </w:r>
      <w:r>
        <w:t>10</w:t>
      </w:r>
      <w:r>
        <w:fldChar w:fldCharType="end"/>
      </w:r>
      <w:r>
        <w:rPr>
          <w:rFonts w:hint="eastAsia" w:ascii="宋体" w:hAnsi="宋体" w:eastAsia="宋体" w:cs="宋体"/>
          <w:bCs w:val="0"/>
          <w:szCs w:val="24"/>
        </w:rPr>
        <w:fldChar w:fldCharType="end"/>
      </w:r>
    </w:p>
    <w:p w14:paraId="13738064">
      <w:pPr>
        <w:pStyle w:val="21"/>
        <w:tabs>
          <w:tab w:val="right" w:leader="dot" w:pos="9304"/>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_Toc23789 </w:instrText>
      </w:r>
      <w:r>
        <w:rPr>
          <w:rFonts w:hint="eastAsia" w:ascii="宋体" w:hAnsi="宋体" w:eastAsia="宋体" w:cs="宋体"/>
          <w:bCs w:val="0"/>
          <w:szCs w:val="24"/>
        </w:rPr>
        <w:fldChar w:fldCharType="separate"/>
      </w:r>
      <w:r>
        <w:rPr>
          <w:rFonts w:hint="eastAsia" w:ascii="宋体" w:hAnsi="宋体" w:eastAsia="宋体" w:cs="宋体"/>
          <w:bCs/>
          <w:szCs w:val="32"/>
        </w:rPr>
        <w:t xml:space="preserve">第三章 </w:t>
      </w:r>
      <w:r>
        <w:rPr>
          <w:rFonts w:hint="eastAsia" w:ascii="宋体" w:hAnsi="宋体" w:eastAsia="宋体" w:cs="宋体"/>
          <w:bCs/>
          <w:szCs w:val="32"/>
          <w:highlight w:val="none"/>
        </w:rPr>
        <w:t>招标内容及要求</w:t>
      </w:r>
      <w:r>
        <w:tab/>
      </w:r>
      <w:r>
        <w:fldChar w:fldCharType="begin"/>
      </w:r>
      <w:r>
        <w:instrText xml:space="preserve"> PAGEREF _Toc23789 \h </w:instrText>
      </w:r>
      <w:r>
        <w:fldChar w:fldCharType="separate"/>
      </w:r>
      <w:r>
        <w:t>57</w:t>
      </w:r>
      <w:r>
        <w:fldChar w:fldCharType="end"/>
      </w:r>
      <w:r>
        <w:rPr>
          <w:rFonts w:hint="eastAsia" w:ascii="宋体" w:hAnsi="宋体" w:eastAsia="宋体" w:cs="宋体"/>
          <w:bCs w:val="0"/>
          <w:szCs w:val="24"/>
        </w:rPr>
        <w:fldChar w:fldCharType="end"/>
      </w:r>
    </w:p>
    <w:p w14:paraId="2E88BF9A">
      <w:pPr>
        <w:pStyle w:val="21"/>
        <w:tabs>
          <w:tab w:val="right" w:leader="dot" w:pos="9304"/>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_Toc30877 </w:instrText>
      </w:r>
      <w:r>
        <w:rPr>
          <w:rFonts w:hint="eastAsia" w:ascii="宋体" w:hAnsi="宋体" w:eastAsia="宋体" w:cs="宋体"/>
          <w:bCs w:val="0"/>
          <w:szCs w:val="24"/>
        </w:rPr>
        <w:fldChar w:fldCharType="separate"/>
      </w:r>
      <w:r>
        <w:rPr>
          <w:rFonts w:hint="eastAsia" w:ascii="宋体" w:hAnsi="宋体" w:eastAsia="宋体" w:cs="宋体"/>
          <w:bCs/>
          <w:szCs w:val="32"/>
          <w:highlight w:val="none"/>
        </w:rPr>
        <w:t>第四章  商务及合同文本</w:t>
      </w:r>
      <w:r>
        <w:tab/>
      </w:r>
      <w:r>
        <w:fldChar w:fldCharType="begin"/>
      </w:r>
      <w:r>
        <w:instrText xml:space="preserve"> PAGEREF _Toc30877 \h </w:instrText>
      </w:r>
      <w:r>
        <w:fldChar w:fldCharType="separate"/>
      </w:r>
      <w:r>
        <w:t>125</w:t>
      </w:r>
      <w:r>
        <w:fldChar w:fldCharType="end"/>
      </w:r>
      <w:r>
        <w:rPr>
          <w:rFonts w:hint="eastAsia" w:ascii="宋体" w:hAnsi="宋体" w:eastAsia="宋体" w:cs="宋体"/>
          <w:bCs w:val="0"/>
          <w:szCs w:val="24"/>
        </w:rPr>
        <w:fldChar w:fldCharType="end"/>
      </w:r>
    </w:p>
    <w:p w14:paraId="2C64ADFD">
      <w:pPr>
        <w:pStyle w:val="21"/>
        <w:tabs>
          <w:tab w:val="right" w:leader="dot" w:pos="9304"/>
        </w:tabs>
      </w:pPr>
      <w:r>
        <w:rPr>
          <w:rFonts w:hint="eastAsia" w:ascii="宋体" w:hAnsi="宋体" w:eastAsia="宋体" w:cs="宋体"/>
          <w:bCs w:val="0"/>
          <w:szCs w:val="24"/>
        </w:rPr>
        <w:fldChar w:fldCharType="begin"/>
      </w:r>
      <w:r>
        <w:rPr>
          <w:rFonts w:hint="eastAsia" w:ascii="宋体" w:hAnsi="宋体" w:eastAsia="宋体" w:cs="宋体"/>
          <w:bCs w:val="0"/>
          <w:szCs w:val="24"/>
        </w:rPr>
        <w:instrText xml:space="preserve"> HYPERLINK \l _Toc9126 </w:instrText>
      </w:r>
      <w:r>
        <w:rPr>
          <w:rFonts w:hint="eastAsia" w:ascii="宋体" w:hAnsi="宋体" w:eastAsia="宋体" w:cs="宋体"/>
          <w:bCs w:val="0"/>
          <w:szCs w:val="24"/>
        </w:rPr>
        <w:fldChar w:fldCharType="separate"/>
      </w:r>
      <w:r>
        <w:rPr>
          <w:rFonts w:hint="eastAsia" w:ascii="宋体" w:hAnsi="宋体" w:eastAsia="宋体" w:cs="宋体"/>
          <w:bCs/>
          <w:szCs w:val="36"/>
        </w:rPr>
        <w:t>第五章  投标文件构成及格式</w:t>
      </w:r>
      <w:r>
        <w:tab/>
      </w:r>
      <w:r>
        <w:fldChar w:fldCharType="begin"/>
      </w:r>
      <w:r>
        <w:instrText xml:space="preserve"> PAGEREF _Toc9126 \h </w:instrText>
      </w:r>
      <w:r>
        <w:fldChar w:fldCharType="separate"/>
      </w:r>
      <w:r>
        <w:t>131</w:t>
      </w:r>
      <w:r>
        <w:fldChar w:fldCharType="end"/>
      </w:r>
      <w:r>
        <w:rPr>
          <w:rFonts w:hint="eastAsia" w:ascii="宋体" w:hAnsi="宋体" w:eastAsia="宋体" w:cs="宋体"/>
          <w:bCs w:val="0"/>
          <w:szCs w:val="24"/>
        </w:rPr>
        <w:fldChar w:fldCharType="end"/>
      </w:r>
    </w:p>
    <w:p w14:paraId="080769E3">
      <w:pPr>
        <w:spacing w:line="360" w:lineRule="auto"/>
        <w:rPr>
          <w:rFonts w:hint="eastAsia" w:ascii="宋体" w:hAnsi="宋体" w:eastAsia="宋体" w:cs="宋体"/>
          <w:sz w:val="24"/>
          <w:szCs w:val="24"/>
        </w:rPr>
      </w:pPr>
      <w:r>
        <w:rPr>
          <w:rFonts w:hint="eastAsia" w:ascii="宋体" w:hAnsi="宋体" w:eastAsia="宋体" w:cs="宋体"/>
          <w:bCs w:val="0"/>
          <w:szCs w:val="24"/>
        </w:rPr>
        <w:fldChar w:fldCharType="end"/>
      </w:r>
    </w:p>
    <w:p w14:paraId="6563DE91">
      <w:pPr>
        <w:rPr>
          <w:rFonts w:hint="eastAsia" w:ascii="宋体" w:hAnsi="宋体" w:eastAsia="宋体" w:cs="宋体"/>
          <w:b/>
          <w:bCs/>
          <w:sz w:val="24"/>
          <w:szCs w:val="24"/>
          <w:highlight w:val="none"/>
          <w:lang w:eastAsia="zh-CN"/>
        </w:rPr>
        <w:sectPr>
          <w:footerReference r:id="rId5" w:type="default"/>
          <w:footerReference r:id="rId6" w:type="even"/>
          <w:pgSz w:w="11906" w:h="16838"/>
          <w:pgMar w:top="1440" w:right="1083" w:bottom="1440" w:left="1519" w:header="851" w:footer="992" w:gutter="0"/>
          <w:pgNumType w:fmt="decimal"/>
          <w:cols w:space="425" w:num="1"/>
          <w:docGrid w:type="linesAndChars" w:linePitch="420" w:charSpace="0"/>
        </w:sectPr>
      </w:pPr>
    </w:p>
    <w:p w14:paraId="2879AD3C">
      <w:pPr>
        <w:pStyle w:val="3"/>
        <w:tabs>
          <w:tab w:val="left" w:pos="4631"/>
        </w:tabs>
        <w:spacing w:line="360" w:lineRule="auto"/>
        <w:ind w:right="113"/>
        <w:jc w:val="center"/>
        <w:rPr>
          <w:rFonts w:hint="eastAsia" w:ascii="宋体" w:hAnsi="宋体" w:eastAsia="宋体" w:cs="宋体"/>
          <w:sz w:val="32"/>
          <w:szCs w:val="32"/>
          <w:highlight w:val="none"/>
          <w:lang w:eastAsia="zh-CN"/>
        </w:rPr>
      </w:pPr>
      <w:bookmarkStart w:id="11" w:name="_Toc25953"/>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478F4B8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5C2AF2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招标项目的潜在投标人应在全国公共资源交易平台（陕西省·西安市）网站〖首页〉电子交易平台〉陕西政府采购交易系统〉企业端〗获取招标文件，并于2025年08月6日09时00分（北京时间）前递交投标文件。</w:t>
      </w:r>
    </w:p>
    <w:p w14:paraId="5078F9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6237CB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项目编号：HSGJ2025-164</w:t>
      </w:r>
    </w:p>
    <w:p w14:paraId="32758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项目名称：2025年全区学校教育教学设施设备采购项目第二批次(信息化及多媒体类部室)</w:t>
      </w:r>
    </w:p>
    <w:p w14:paraId="387BF19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768EE5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预算金额：11525758.00元</w:t>
      </w:r>
    </w:p>
    <w:p w14:paraId="0FB5D7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5725F3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w:t>
      </w:r>
    </w:p>
    <w:p w14:paraId="6943C6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合同包预算金额：3161654.00元</w:t>
      </w:r>
    </w:p>
    <w:p w14:paraId="73BED1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合同包最高限价：3161654.00元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049"/>
        <w:gridCol w:w="754"/>
        <w:gridCol w:w="2304"/>
        <w:gridCol w:w="1085"/>
        <w:gridCol w:w="1554"/>
        <w:gridCol w:w="1549"/>
        <w:gridCol w:w="1680"/>
      </w:tblGrid>
      <w:tr w14:paraId="2EBF2C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36" w:hRule="atLeast"/>
          <w:tblHeader/>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DFC7F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980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7F79CF">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EA41C0">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1AE1A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1E053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809C0F4">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28A1C6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10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08A33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1-1</w:t>
            </w:r>
          </w:p>
        </w:tc>
        <w:tc>
          <w:tcPr>
            <w:tcW w:w="7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D4F5F7">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其他信息化设备</w:t>
            </w:r>
          </w:p>
        </w:tc>
        <w:tc>
          <w:tcPr>
            <w:tcW w:w="23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0BE63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西安浐灞国际港教育局2025年全区学校教育教学设施设备采购项目第二批次(信息化及多媒体类部室)第一包</w:t>
            </w:r>
          </w:p>
        </w:tc>
        <w:tc>
          <w:tcPr>
            <w:tcW w:w="108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F8FED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934B1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F76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default" w:ascii="宋体" w:hAnsi="宋体" w:eastAsia="宋体" w:cs="宋体"/>
                <w:sz w:val="24"/>
                <w:szCs w:val="24"/>
                <w:highlight w:val="none"/>
                <w:lang w:val="en-US"/>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734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3161654.00</w:t>
            </w:r>
          </w:p>
        </w:tc>
      </w:tr>
    </w:tbl>
    <w:p w14:paraId="11E6DE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FE296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4EFC34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w:t>
      </w:r>
    </w:p>
    <w:p w14:paraId="780D5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合同包预算金额：2382629.00元</w:t>
      </w:r>
    </w:p>
    <w:p w14:paraId="3C72C2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合同包最高限价：2382629.00元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51"/>
        <w:gridCol w:w="872"/>
        <w:gridCol w:w="2250"/>
        <w:gridCol w:w="1337"/>
        <w:gridCol w:w="1445"/>
        <w:gridCol w:w="1582"/>
        <w:gridCol w:w="1538"/>
      </w:tblGrid>
      <w:tr w14:paraId="020391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C655B1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A851A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9762F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3CFD0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D9F88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FE9BD1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A236B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31BA60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9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299E1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2-1</w:t>
            </w:r>
          </w:p>
        </w:tc>
        <w:tc>
          <w:tcPr>
            <w:tcW w:w="8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7FD08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785669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西安浐灞国际港教育局2025年全区学校教育教学设施设备采购项目第二批次(信息化及多媒体类部室)第二包</w:t>
            </w:r>
          </w:p>
        </w:tc>
        <w:tc>
          <w:tcPr>
            <w:tcW w:w="133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79458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4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6732E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58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D98D4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c>
          <w:tcPr>
            <w:tcW w:w="15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DBB47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2382629.00</w:t>
            </w:r>
          </w:p>
        </w:tc>
      </w:tr>
    </w:tbl>
    <w:p w14:paraId="7767490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F9CC0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5E2749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w:t>
      </w:r>
    </w:p>
    <w:p w14:paraId="2277435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合同包预算金额：1642331.00元</w:t>
      </w:r>
    </w:p>
    <w:p w14:paraId="73218DD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合同包最高限价：1642331.00元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10"/>
        <w:gridCol w:w="913"/>
        <w:gridCol w:w="2448"/>
        <w:gridCol w:w="1180"/>
        <w:gridCol w:w="1500"/>
        <w:gridCol w:w="1493"/>
        <w:gridCol w:w="1531"/>
      </w:tblGrid>
      <w:tr w14:paraId="71EBB1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61" w:hRule="atLeast"/>
          <w:tblHeader/>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2C7BE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F0EF58">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59CCF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F1779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D643B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4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392C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5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4E7CE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7F0E56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C2A273">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3-1</w:t>
            </w:r>
          </w:p>
        </w:tc>
        <w:tc>
          <w:tcPr>
            <w:tcW w:w="91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9440A66">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4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E99E6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西安浐灞国际港教育局2025年全区学校教育教学设施设备采购项目第二批次(信息化及多媒体类部室)第三包</w:t>
            </w:r>
          </w:p>
        </w:tc>
        <w:tc>
          <w:tcPr>
            <w:tcW w:w="11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888572">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799F8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4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DDC412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c>
          <w:tcPr>
            <w:tcW w:w="153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66BD1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1642331.00</w:t>
            </w:r>
          </w:p>
        </w:tc>
      </w:tr>
    </w:tbl>
    <w:p w14:paraId="7929C4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67F03E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7532A02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w:t>
      </w:r>
    </w:p>
    <w:p w14:paraId="584792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合同包预算金额：4339144.00元</w:t>
      </w:r>
    </w:p>
    <w:p w14:paraId="2754A6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合同包最高限价：4339144.00元</w:t>
      </w:r>
    </w:p>
    <w:tbl>
      <w:tblPr>
        <w:tblStyle w:val="28"/>
        <w:tblW w:w="997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34"/>
        <w:gridCol w:w="878"/>
        <w:gridCol w:w="2250"/>
        <w:gridCol w:w="1152"/>
        <w:gridCol w:w="1500"/>
        <w:gridCol w:w="1480"/>
        <w:gridCol w:w="1681"/>
      </w:tblGrid>
      <w:tr w14:paraId="7C3E39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E30694">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品目号</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4EA491">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品目名称</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5F52A9">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采购标的</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ED5388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数量（单位）</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E8160F">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技术规格、参数及要求</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166A11E">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品目预算(元)</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015AC5A">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b/>
                <w:bCs/>
                <w:sz w:val="24"/>
                <w:szCs w:val="24"/>
                <w:highlight w:val="none"/>
              </w:rPr>
            </w:pPr>
            <w:r>
              <w:rPr>
                <w:rFonts w:hint="eastAsia" w:ascii="宋体" w:hAnsi="宋体" w:eastAsia="宋体" w:cs="宋体"/>
                <w:b/>
                <w:bCs/>
                <w:kern w:val="0"/>
                <w:sz w:val="24"/>
                <w:szCs w:val="24"/>
                <w:highlight w:val="none"/>
                <w:lang w:val="en-US" w:eastAsia="zh-CN" w:bidi="ar"/>
              </w:rPr>
              <w:t>最高限价(元)</w:t>
            </w:r>
          </w:p>
        </w:tc>
      </w:tr>
      <w:tr w14:paraId="01175C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103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4786A7">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4-1</w:t>
            </w:r>
          </w:p>
        </w:tc>
        <w:tc>
          <w:tcPr>
            <w:tcW w:w="8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0808E2C">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其他信息化设备</w:t>
            </w:r>
          </w:p>
        </w:tc>
        <w:tc>
          <w:tcPr>
            <w:tcW w:w="22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7327DD">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12" w:lineRule="auto"/>
              <w:ind w:left="0" w:right="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西安浐灞国际港教育局2025年全区学校教育教学设施设备采购项目第二批次(信息化及多媒体类部室)第四包</w:t>
            </w:r>
          </w:p>
        </w:tc>
        <w:tc>
          <w:tcPr>
            <w:tcW w:w="115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8AA2F0D">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1(批)</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E28310">
            <w:pPr>
              <w:keepNext w:val="0"/>
              <w:keepLines w:val="0"/>
              <w:pageBreakBefore w:val="0"/>
              <w:widowControl/>
              <w:suppressLineNumbers w:val="0"/>
              <w:kinsoku/>
              <w:wordWrap w:val="0"/>
              <w:overflowPunct/>
              <w:topLinePunct w:val="0"/>
              <w:autoSpaceDE/>
              <w:autoSpaceDN/>
              <w:bidi w:val="0"/>
              <w:adjustRightInd/>
              <w:spacing w:before="0" w:beforeAutospacing="0" w:after="0" w:afterAutospacing="0" w:line="312" w:lineRule="auto"/>
              <w:ind w:left="0" w:right="0"/>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详见采购文件</w:t>
            </w:r>
          </w:p>
        </w:tc>
        <w:tc>
          <w:tcPr>
            <w:tcW w:w="148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3CF2A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c>
          <w:tcPr>
            <w:tcW w:w="16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6A8C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12" w:lineRule="auto"/>
              <w:ind w:left="0" w:right="0"/>
              <w:jc w:val="right"/>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4339144.00</w:t>
            </w:r>
          </w:p>
        </w:tc>
      </w:tr>
    </w:tbl>
    <w:p w14:paraId="5D7AD9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51BC22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合同履行期限：2025年8月25日前完成供货、安装、调试。</w:t>
      </w:r>
    </w:p>
    <w:p w14:paraId="678880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12"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2D992C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25A4FF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3DC918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合同包1(2025年全区学校教育教学设施设备采购项目第二批次(信息化及多媒体类部室)第一包)落实政府采购政策需满足的资格要求如下:</w:t>
      </w:r>
    </w:p>
    <w:p w14:paraId="58C0CD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1740F0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C284EC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45FD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0B1B7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3E6D4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AEE803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E9871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05930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39A23A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7A2695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合同包2(2025年全区学校教育教学设施设备采购项目第二批次(信息化及多媒体类部室)第二包)落实政府采购政策需满足的资格要求如下:</w:t>
      </w:r>
    </w:p>
    <w:p w14:paraId="152E9D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07D07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ADF3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F6154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52198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B6789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2BB3D6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71298C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CAFD1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7381A55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54BC3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合同包3(2025年全区学校教育教学设施设备采购项目第二批次(信息化及多媒体类部室)第三包)落实政府采购政策需满足的资格要求如下:</w:t>
      </w:r>
    </w:p>
    <w:p w14:paraId="701374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4B100B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3205E0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39D57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30ABA9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4682EB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5BC90E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6D6542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0E8DCF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2F0D4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1ECA1E8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合同包4(2025年全区学校教育教学设施设备采购项目第二批次(信息化及多媒体类部室)第四包)落实政府采购政策需满足的资格要求如下:</w:t>
      </w:r>
    </w:p>
    <w:p w14:paraId="178416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lang w:val="en-US" w:eastAsia="zh-CN" w:bidi="ar-SA"/>
        </w:rPr>
        <w:t>（1）</w:t>
      </w:r>
      <w:r>
        <w:rPr>
          <w:rFonts w:hint="eastAsia" w:ascii="宋体" w:hAnsi="宋体" w:eastAsia="宋体" w:cs="宋体"/>
          <w:i w:val="0"/>
          <w:iCs w:val="0"/>
          <w:caps w:val="0"/>
          <w:color w:val="auto"/>
          <w:spacing w:val="0"/>
          <w:kern w:val="0"/>
          <w:sz w:val="24"/>
          <w:szCs w:val="24"/>
          <w:highlight w:val="none"/>
          <w:u w:val="none"/>
          <w:lang w:val="en-US" w:eastAsia="zh-CN" w:bidi="ar-SA"/>
        </w:rPr>
        <w:t>《政府采购促进中小企业发展管理办法》（财库﹝2020﹞46号）；</w:t>
      </w:r>
    </w:p>
    <w:p w14:paraId="789AF2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06AA7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C0540E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641595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0152EAB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5AD18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032EB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22B4AB9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6F5D34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D45814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6A7E25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合同包1(2025年全区学校教育教学设施设备采购项目第二批次(信息化及多媒体类部室)第一包)特定资格要求如下:</w:t>
      </w:r>
    </w:p>
    <w:p w14:paraId="42DE617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6D7C9D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403207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584E2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45ADA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合同包2(2025年全区学校教育教学设施设备采购项目第二批次(信息化及多媒体类部室)第二包)特定资格要求如下:</w:t>
      </w:r>
    </w:p>
    <w:p w14:paraId="5845BF2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59D41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1077FE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3A972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FD917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合同包3(2025年全区学校教育教学设施设备采购项目第二批次(信息化及多媒体类部室)第三包)特定资格要求如下:</w:t>
      </w:r>
    </w:p>
    <w:p w14:paraId="0BA94A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1B20D1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543D4AD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4DFBD9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720AE2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合同包4(2025年全区学校教育教学设施设备采购项目第二批次(信息化及多媒体类部室)第四包)特定资格要求如下:</w:t>
      </w:r>
    </w:p>
    <w:p w14:paraId="726F06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1E570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3A4250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7CC67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33FE9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7E6A04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时间：2025年07月17日至2025年07月23日，每天上午00:00:00至12:00:00，下午12:00:00至23:59:59（北京时间）</w:t>
      </w:r>
    </w:p>
    <w:p w14:paraId="336BA1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7F8C84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482AA78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040FB8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4D6734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时间：2025年08月6日09时00分00秒（北京时间）</w:t>
      </w:r>
    </w:p>
    <w:p w14:paraId="2ED218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4FF72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037524D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4FE67EB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4AA7AF0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00F19C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5E77713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05EB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A7E3A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7DE18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6F152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2F23DEF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目提供有变更文件的，投标人应登录企业端后，从〖项目流程〉项目管理〉答疑文件下载〗获取更新后的电子招标文件（*.SXSCF），使用旧版电子招标文件制作的电子投标文件（*.SXSTF），系统将拒绝接收。</w:t>
      </w:r>
    </w:p>
    <w:p w14:paraId="5ABF18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7.本项目不专门面向中小企业采购。</w:t>
      </w:r>
    </w:p>
    <w:p w14:paraId="1F6644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617EF1C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F15D0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2F684F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名称：西安浐灞国际港教育局</w:t>
      </w:r>
    </w:p>
    <w:p w14:paraId="3B07F92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地址：陕西省西安市灞桥区浐灞生态区浐灞大道1号</w:t>
      </w:r>
    </w:p>
    <w:p w14:paraId="73ED8F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联系方式：029-83592327</w:t>
      </w:r>
    </w:p>
    <w:p w14:paraId="2531CBE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338A4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76418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2685ABF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联系方式：029-82665555转8013</w:t>
      </w:r>
    </w:p>
    <w:p w14:paraId="440323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5F6158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项目联系人：曹美奇、李琛、杨阳</w:t>
      </w:r>
    </w:p>
    <w:p w14:paraId="3CBEE4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电话：029-82665555转8013</w:t>
      </w:r>
    </w:p>
    <w:p w14:paraId="03007D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162494DD">
      <w:pPr>
        <w:keepNext w:val="0"/>
        <w:keepLines w:val="0"/>
        <w:pageBreakBefore w:val="0"/>
        <w:widowControl/>
        <w:kinsoku/>
        <w:wordWrap/>
        <w:overflowPunct/>
        <w:topLinePunct w:val="0"/>
        <w:autoSpaceDE/>
        <w:autoSpaceDN/>
        <w:bidi w:val="0"/>
        <w:adjustRightInd/>
        <w:spacing w:line="360" w:lineRule="auto"/>
        <w:jc w:val="right"/>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2025年07月16日</w:t>
      </w:r>
    </w:p>
    <w:p w14:paraId="7AE032AA">
      <w:pPr>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p w14:paraId="5B2A21F0">
      <w:pPr>
        <w:pStyle w:val="3"/>
        <w:spacing w:line="240" w:lineRule="auto"/>
        <w:rPr>
          <w:rFonts w:hint="eastAsia" w:ascii="宋体" w:hAnsi="宋体" w:eastAsia="宋体" w:cs="宋体"/>
          <w:b/>
          <w:bCs/>
          <w:sz w:val="32"/>
          <w:szCs w:val="32"/>
        </w:rPr>
      </w:pPr>
      <w:bookmarkStart w:id="12" w:name="_Toc22985"/>
      <w:bookmarkStart w:id="13" w:name="_Toc6230"/>
      <w:r>
        <w:rPr>
          <w:rFonts w:hint="eastAsia" w:ascii="宋体" w:hAnsi="宋体" w:eastAsia="宋体" w:cs="宋体"/>
          <w:b/>
          <w:bCs/>
          <w:sz w:val="32"/>
          <w:szCs w:val="32"/>
        </w:rPr>
        <w:t>第二章  供应商须知</w:t>
      </w:r>
      <w:bookmarkEnd w:id="12"/>
      <w:bookmarkEnd w:id="13"/>
    </w:p>
    <w:p w14:paraId="785A52BC">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51"/>
        <w:gridCol w:w="1443"/>
        <w:gridCol w:w="7509"/>
      </w:tblGrid>
      <w:tr w14:paraId="3D05B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12" w:space="0"/>
              <w:bottom w:val="single" w:color="auto" w:sz="2" w:space="0"/>
            </w:tcBorders>
            <w:shd w:val="clear" w:color="auto" w:fill="F1F1F1" w:themeFill="background1" w:themeFillShade="F2"/>
            <w:vAlign w:val="center"/>
          </w:tcPr>
          <w:p w14:paraId="5AEFB40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751" w:type="pct"/>
            <w:tcBorders>
              <w:top w:val="single" w:color="auto" w:sz="12" w:space="0"/>
              <w:bottom w:val="single" w:color="auto" w:sz="2" w:space="0"/>
            </w:tcBorders>
            <w:shd w:val="clear" w:color="auto" w:fill="F1F1F1" w:themeFill="background1" w:themeFillShade="F2"/>
            <w:vAlign w:val="center"/>
          </w:tcPr>
          <w:p w14:paraId="0C465C4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09" w:type="pct"/>
            <w:tcBorders>
              <w:top w:val="single" w:color="auto" w:sz="12" w:space="0"/>
              <w:bottom w:val="single" w:color="auto" w:sz="2" w:space="0"/>
            </w:tcBorders>
            <w:shd w:val="clear" w:color="auto" w:fill="F1F1F1" w:themeFill="background1" w:themeFillShade="F2"/>
            <w:vAlign w:val="center"/>
          </w:tcPr>
          <w:p w14:paraId="34F21E0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5AD3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tcBorders>
              <w:top w:val="single" w:color="auto" w:sz="2" w:space="0"/>
            </w:tcBorders>
            <w:shd w:val="clear" w:color="auto" w:fill="auto"/>
            <w:vAlign w:val="center"/>
          </w:tcPr>
          <w:p w14:paraId="3420AD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51" w:type="pct"/>
            <w:tcBorders>
              <w:top w:val="single" w:color="auto" w:sz="2" w:space="0"/>
            </w:tcBorders>
            <w:shd w:val="clear" w:color="auto" w:fill="auto"/>
            <w:vAlign w:val="center"/>
          </w:tcPr>
          <w:p w14:paraId="2E45FD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09" w:type="pct"/>
            <w:tcBorders>
              <w:top w:val="single" w:color="auto" w:sz="2" w:space="0"/>
            </w:tcBorders>
            <w:shd w:val="clear" w:color="auto" w:fill="auto"/>
            <w:vAlign w:val="center"/>
          </w:tcPr>
          <w:p w14:paraId="5E3E3F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2025年全区学校教育教学设施设备采购项目第二批次(信息化及多媒体类部室)第一包</w:t>
            </w:r>
          </w:p>
        </w:tc>
      </w:tr>
      <w:tr w14:paraId="6FF8BB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AEAB7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51" w:type="pct"/>
            <w:shd w:val="clear" w:color="auto" w:fill="auto"/>
            <w:vAlign w:val="center"/>
          </w:tcPr>
          <w:p w14:paraId="50015D5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项目编号</w:t>
            </w:r>
          </w:p>
        </w:tc>
        <w:tc>
          <w:tcPr>
            <w:tcW w:w="3909" w:type="pct"/>
            <w:shd w:val="clear" w:color="auto" w:fill="auto"/>
            <w:vAlign w:val="center"/>
          </w:tcPr>
          <w:p w14:paraId="7C871A9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HSGJ2025-164</w:t>
            </w:r>
          </w:p>
        </w:tc>
      </w:tr>
      <w:tr w14:paraId="59F7D5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69100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51" w:type="pct"/>
            <w:shd w:val="clear" w:color="auto" w:fill="auto"/>
            <w:vAlign w:val="center"/>
          </w:tcPr>
          <w:p w14:paraId="4BE33A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09" w:type="pct"/>
            <w:shd w:val="clear" w:color="auto" w:fill="auto"/>
            <w:vAlign w:val="center"/>
          </w:tcPr>
          <w:p w14:paraId="1F6538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ZCBN-西安市港务区-2025-00072</w:t>
            </w:r>
          </w:p>
        </w:tc>
      </w:tr>
      <w:tr w14:paraId="114D0B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restart"/>
            <w:shd w:val="clear" w:color="auto" w:fill="auto"/>
            <w:vAlign w:val="center"/>
          </w:tcPr>
          <w:p w14:paraId="375FCCA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51" w:type="pct"/>
            <w:shd w:val="clear" w:color="auto" w:fill="auto"/>
            <w:vAlign w:val="center"/>
          </w:tcPr>
          <w:p w14:paraId="0BF9868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09" w:type="pct"/>
            <w:shd w:val="clear" w:color="auto" w:fill="auto"/>
            <w:vAlign w:val="center"/>
          </w:tcPr>
          <w:p w14:paraId="01B7089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sdt>
              <w:sdtPr>
                <w:rPr>
                  <w:rFonts w:hint="eastAsia" w:ascii="宋体" w:hAnsi="宋体" w:eastAsia="宋体" w:cs="宋体"/>
                  <w:sz w:val="24"/>
                  <w:szCs w:val="24"/>
                  <w:highlight w:val="none"/>
                </w:rPr>
                <w:id w:val="2139916130"/>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2072024220"/>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266334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59463EE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5EA86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09" w:type="pct"/>
            <w:shd w:val="clear" w:color="auto" w:fill="auto"/>
            <w:vAlign w:val="center"/>
          </w:tcPr>
          <w:p w14:paraId="37810EE7">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r>
              <w:rPr>
                <w:rFonts w:hint="eastAsia" w:ascii="宋体" w:hAnsi="宋体" w:eastAsia="宋体" w:cs="宋体"/>
                <w:b/>
                <w:bCs/>
                <w:sz w:val="24"/>
                <w:szCs w:val="24"/>
                <w:highlight w:val="none"/>
                <w:lang w:eastAsia="zh-CN"/>
              </w:rPr>
              <w:t>本项目的扣除比例为：10%。</w:t>
            </w:r>
          </w:p>
          <w:p w14:paraId="7764DF62">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本项目不专门面向中小企业采购，本项目所属</w:t>
            </w:r>
            <w:r>
              <w:rPr>
                <w:rFonts w:hint="eastAsia" w:ascii="宋体" w:hAnsi="宋体" w:eastAsia="宋体" w:cs="宋体"/>
                <w:b/>
                <w:bCs/>
                <w:sz w:val="24"/>
                <w:szCs w:val="24"/>
                <w:highlight w:val="none"/>
                <w:lang w:eastAsia="zh-CN"/>
              </w:rPr>
              <w:t>行业为</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color w:val="auto"/>
                <w:sz w:val="24"/>
                <w:szCs w:val="24"/>
                <w:highlight w:val="none"/>
                <w:u w:val="single"/>
                <w:lang w:eastAsia="zh-CN"/>
              </w:rPr>
              <w:t>工业</w:t>
            </w:r>
            <w:r>
              <w:rPr>
                <w:rFonts w:hint="eastAsia" w:ascii="宋体" w:hAnsi="宋体" w:eastAsia="宋体" w:cs="宋体"/>
                <w:b/>
                <w:bCs/>
                <w:color w:val="auto"/>
                <w:sz w:val="24"/>
                <w:szCs w:val="24"/>
                <w:highlight w:val="none"/>
                <w:u w:val="single"/>
                <w:lang w:val="en-US" w:eastAsia="zh-CN"/>
              </w:rPr>
              <w:t xml:space="preserve"> </w:t>
            </w:r>
            <w:r>
              <w:rPr>
                <w:rFonts w:hint="eastAsia" w:ascii="宋体" w:hAnsi="宋体" w:eastAsia="宋体" w:cs="宋体"/>
                <w:b/>
                <w:bCs/>
                <w:sz w:val="24"/>
                <w:szCs w:val="24"/>
                <w:highlight w:val="none"/>
                <w:lang w:eastAsia="zh-CN"/>
              </w:rPr>
              <w:t>。</w:t>
            </w:r>
          </w:p>
        </w:tc>
      </w:tr>
      <w:tr w14:paraId="4020F1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F6C09B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4FD1350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09" w:type="pct"/>
            <w:shd w:val="clear" w:color="auto" w:fill="auto"/>
            <w:vAlign w:val="center"/>
          </w:tcPr>
          <w:p w14:paraId="45CF01F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r>
              <w:rPr>
                <w:rFonts w:hint="eastAsia" w:ascii="宋体" w:hAnsi="宋体" w:eastAsia="宋体" w:cs="宋体"/>
                <w:b/>
                <w:bCs/>
                <w:sz w:val="24"/>
                <w:szCs w:val="24"/>
                <w:highlight w:val="none"/>
                <w:lang w:eastAsia="zh-CN"/>
              </w:rPr>
              <w:t>本项目的扣除比例为：10%。</w:t>
            </w:r>
          </w:p>
        </w:tc>
      </w:tr>
      <w:tr w14:paraId="0A7239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0A8464D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E462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09" w:type="pct"/>
            <w:shd w:val="clear" w:color="auto" w:fill="auto"/>
            <w:vAlign w:val="center"/>
          </w:tcPr>
          <w:p w14:paraId="636CB9C0">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r>
              <w:rPr>
                <w:rFonts w:hint="eastAsia" w:ascii="宋体" w:hAnsi="宋体" w:eastAsia="宋体" w:cs="宋体"/>
                <w:b/>
                <w:bCs/>
                <w:sz w:val="24"/>
                <w:szCs w:val="24"/>
                <w:highlight w:val="none"/>
                <w:lang w:eastAsia="zh-CN"/>
              </w:rPr>
              <w:t>本项目的扣除比例为：10%。</w:t>
            </w:r>
          </w:p>
        </w:tc>
      </w:tr>
      <w:tr w14:paraId="0343D2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vMerge w:val="continue"/>
            <w:shd w:val="clear" w:color="auto" w:fill="auto"/>
            <w:vAlign w:val="center"/>
          </w:tcPr>
          <w:p w14:paraId="25705C1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p>
        </w:tc>
        <w:tc>
          <w:tcPr>
            <w:tcW w:w="751" w:type="pct"/>
            <w:shd w:val="clear" w:color="auto" w:fill="auto"/>
            <w:vAlign w:val="center"/>
          </w:tcPr>
          <w:p w14:paraId="57ACED9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09" w:type="pct"/>
            <w:shd w:val="clear" w:color="auto" w:fill="auto"/>
            <w:vAlign w:val="center"/>
          </w:tcPr>
          <w:p w14:paraId="1FD6DEB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参加政府采购活动的中小企业、监狱企业、残疾人福利性单位应根据企业性质分别提供《中小企业声明函》\《监狱企业证明函》\《残疾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5AA6D5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53099F4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51" w:type="pct"/>
            <w:shd w:val="clear" w:color="auto" w:fill="auto"/>
            <w:vAlign w:val="center"/>
          </w:tcPr>
          <w:p w14:paraId="23CDDE6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09" w:type="pct"/>
            <w:shd w:val="clear" w:color="auto" w:fill="auto"/>
            <w:vAlign w:val="center"/>
          </w:tcPr>
          <w:p w14:paraId="08D75FD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项目总预算金额：1152.5758万元</w:t>
            </w:r>
          </w:p>
          <w:p w14:paraId="5E3ED5F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合同包1预算：316.1654万元</w:t>
            </w:r>
          </w:p>
          <w:p w14:paraId="5A60B5F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w:t>
            </w:r>
            <w:r>
              <w:rPr>
                <w:rFonts w:hint="eastAsia" w:ascii="宋体" w:hAnsi="宋体" w:eastAsia="宋体" w:cs="宋体"/>
                <w:sz w:val="24"/>
                <w:szCs w:val="24"/>
                <w:highlight w:val="none"/>
                <w:lang w:val="en-US" w:eastAsia="zh-CN"/>
              </w:rPr>
              <w:t>最高限价总</w:t>
            </w:r>
            <w:r>
              <w:rPr>
                <w:rFonts w:hint="eastAsia" w:ascii="宋体" w:hAnsi="宋体" w:eastAsia="宋体" w:cs="宋体"/>
                <w:sz w:val="24"/>
                <w:szCs w:val="24"/>
                <w:highlight w:val="none"/>
                <w:lang w:eastAsia="zh-CN"/>
              </w:rPr>
              <w:t>金额：</w:t>
            </w:r>
            <w:r>
              <w:rPr>
                <w:rFonts w:hint="eastAsia" w:ascii="宋体" w:hAnsi="宋体" w:eastAsia="宋体" w:cs="宋体"/>
                <w:sz w:val="24"/>
                <w:szCs w:val="24"/>
                <w:highlight w:val="none"/>
                <w:lang w:val="en-US" w:eastAsia="zh-CN"/>
              </w:rPr>
              <w:t>1152.5758万</w:t>
            </w:r>
            <w:r>
              <w:rPr>
                <w:rFonts w:hint="eastAsia" w:ascii="宋体" w:hAnsi="宋体" w:eastAsia="宋体" w:cs="宋体"/>
                <w:sz w:val="24"/>
                <w:szCs w:val="24"/>
                <w:highlight w:val="none"/>
                <w:lang w:eastAsia="zh-CN"/>
              </w:rPr>
              <w:t>元</w:t>
            </w:r>
          </w:p>
          <w:p w14:paraId="49FAD64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合同包1最高限价</w:t>
            </w:r>
            <w:r>
              <w:rPr>
                <w:rFonts w:hint="eastAsia" w:ascii="宋体" w:hAnsi="宋体" w:eastAsia="宋体" w:cs="宋体"/>
                <w:sz w:val="24"/>
                <w:szCs w:val="24"/>
                <w:highlight w:val="none"/>
                <w:lang w:eastAsia="zh-CN"/>
              </w:rPr>
              <w:t>金额</w:t>
            </w:r>
            <w:r>
              <w:rPr>
                <w:rFonts w:hint="eastAsia" w:ascii="宋体" w:hAnsi="宋体" w:eastAsia="宋体" w:cs="宋体"/>
                <w:sz w:val="24"/>
                <w:szCs w:val="24"/>
                <w:highlight w:val="none"/>
                <w:lang w:val="en-US" w:eastAsia="zh-CN"/>
              </w:rPr>
              <w:t>：316.1654万元</w:t>
            </w:r>
          </w:p>
          <w:p w14:paraId="2A086BA8">
            <w:pPr>
              <w:pStyle w:val="15"/>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lang w:val="en-US" w:eastAsia="zh-CN" w:bidi="ar-SA"/>
              </w:rPr>
              <w:t>投标人投标报价超过每包最高限价为无效投标。</w:t>
            </w:r>
          </w:p>
        </w:tc>
      </w:tr>
      <w:tr w14:paraId="2B55B3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7F73C1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51" w:type="pct"/>
            <w:shd w:val="clear" w:color="auto" w:fill="auto"/>
            <w:vAlign w:val="center"/>
          </w:tcPr>
          <w:p w14:paraId="533EBE0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3909" w:type="pct"/>
            <w:shd w:val="clear" w:color="auto" w:fill="auto"/>
            <w:vAlign w:val="center"/>
          </w:tcPr>
          <w:p w14:paraId="4D516E3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sdt>
              <w:sdtPr>
                <w:rPr>
                  <w:rFonts w:hint="eastAsia" w:ascii="宋体" w:hAnsi="宋体" w:eastAsia="宋体" w:cs="宋体"/>
                  <w:sz w:val="24"/>
                  <w:szCs w:val="24"/>
                  <w:highlight w:val="none"/>
                </w:rPr>
                <w:id w:val="608160193"/>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317929335"/>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040F3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6FABB47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751" w:type="pct"/>
            <w:shd w:val="clear" w:color="auto" w:fill="auto"/>
            <w:vAlign w:val="center"/>
          </w:tcPr>
          <w:p w14:paraId="59ABFBA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rPr>
              <w:t>是否允许进口产品</w:t>
            </w:r>
          </w:p>
        </w:tc>
        <w:tc>
          <w:tcPr>
            <w:tcW w:w="3909" w:type="pct"/>
            <w:shd w:val="clear" w:color="auto" w:fill="auto"/>
            <w:vAlign w:val="center"/>
          </w:tcPr>
          <w:p w14:paraId="4A1F47F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sdt>
              <w:sdtPr>
                <w:rPr>
                  <w:rFonts w:hint="eastAsia" w:ascii="宋体" w:hAnsi="宋体" w:eastAsia="宋体" w:cs="宋体"/>
                  <w:sz w:val="24"/>
                  <w:szCs w:val="24"/>
                  <w:highlight w:val="none"/>
                </w:rPr>
                <w:id w:val="148570254"/>
                <w14:checkbox>
                  <w14:checked w14:val="0"/>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rPr>
                  <w:t>☐</w:t>
                </w:r>
              </w:sdtContent>
            </w:sdt>
            <w:r>
              <w:rPr>
                <w:rFonts w:hint="eastAsia" w:ascii="宋体" w:hAnsi="宋体" w:eastAsia="宋体" w:cs="宋体"/>
                <w:sz w:val="24"/>
                <w:szCs w:val="24"/>
                <w:highlight w:val="none"/>
              </w:rPr>
              <w:t xml:space="preserve">是  </w:t>
            </w:r>
            <w:sdt>
              <w:sdtPr>
                <w:rPr>
                  <w:rFonts w:hint="eastAsia" w:ascii="宋体" w:hAnsi="宋体" w:eastAsia="宋体" w:cs="宋体"/>
                  <w:sz w:val="24"/>
                  <w:szCs w:val="24"/>
                  <w:highlight w:val="none"/>
                </w:rPr>
                <w:id w:val="-1689594843"/>
                <w14:checkbox>
                  <w14:checked w14:val="1"/>
                  <w14:checkedState w14:val="2611" w14:font="MS Gothic"/>
                  <w14:uncheckedState w14:val="2610" w14:font="MS Gothic"/>
                </w14:checkbox>
              </w:sdtPr>
              <w:sdtEndPr>
                <w:rPr>
                  <w:rFonts w:hint="eastAsia" w:ascii="宋体" w:hAnsi="宋体" w:eastAsia="宋体" w:cs="宋体"/>
                  <w:sz w:val="24"/>
                  <w:szCs w:val="24"/>
                  <w:highlight w:val="none"/>
                </w:rPr>
              </w:sdtEndPr>
              <w:sdtContent>
                <w:r>
                  <w:rPr>
                    <w:rFonts w:hint="eastAsia" w:ascii="宋体" w:hAnsi="宋体" w:eastAsia="宋体" w:cs="宋体"/>
                    <w:sz w:val="24"/>
                    <w:szCs w:val="24"/>
                    <w:highlight w:val="none"/>
                    <w:lang w:val="en-US" w:eastAsia="zh-CN" w:bidi="ar-SA"/>
                  </w:rPr>
                  <w:t>☑</w:t>
                </w:r>
              </w:sdtContent>
            </w:sdt>
            <w:r>
              <w:rPr>
                <w:rFonts w:hint="eastAsia" w:ascii="宋体" w:hAnsi="宋体" w:eastAsia="宋体" w:cs="宋体"/>
                <w:sz w:val="24"/>
                <w:szCs w:val="24"/>
                <w:highlight w:val="none"/>
              </w:rPr>
              <w:t>否</w:t>
            </w:r>
          </w:p>
        </w:tc>
      </w:tr>
      <w:tr w14:paraId="34F62CD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388C9D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751" w:type="pct"/>
            <w:shd w:val="clear" w:color="auto" w:fill="auto"/>
            <w:vAlign w:val="center"/>
          </w:tcPr>
          <w:p w14:paraId="4A9ABD3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是否允许大中企业向小微企业分包</w:t>
            </w:r>
          </w:p>
        </w:tc>
        <w:tc>
          <w:tcPr>
            <w:tcW w:w="3909" w:type="pct"/>
            <w:shd w:val="clear" w:color="auto" w:fill="auto"/>
            <w:vAlign w:val="center"/>
          </w:tcPr>
          <w:p w14:paraId="08CC67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sdt>
              <w:sdtPr>
                <w:rPr>
                  <w:rFonts w:hint="eastAsia" w:ascii="宋体" w:hAnsi="宋体" w:eastAsia="宋体" w:cs="宋体"/>
                  <w:sz w:val="24"/>
                  <w:szCs w:val="24"/>
                </w:rPr>
                <w:id w:val="36572508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54473539"/>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004758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4E5082B">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751" w:type="pct"/>
            <w:shd w:val="clear" w:color="auto" w:fill="auto"/>
            <w:vAlign w:val="center"/>
          </w:tcPr>
          <w:p w14:paraId="6426602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采购内容</w:t>
            </w:r>
          </w:p>
        </w:tc>
        <w:tc>
          <w:tcPr>
            <w:tcW w:w="3909" w:type="pct"/>
            <w:shd w:val="clear" w:color="auto" w:fill="auto"/>
            <w:vAlign w:val="center"/>
          </w:tcPr>
          <w:p w14:paraId="74DD5176">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2025年全区学校教育教学设施设备采购项目第二批次(信息化及多媒体类部室)第一包，</w:t>
            </w:r>
            <w:r>
              <w:rPr>
                <w:rFonts w:hint="eastAsia" w:ascii="宋体" w:hAnsi="宋体" w:eastAsia="宋体" w:cs="宋体"/>
                <w:color w:val="auto"/>
                <w:sz w:val="24"/>
                <w:szCs w:val="24"/>
                <w:highlight w:val="none"/>
                <w:lang w:eastAsia="zh-CN"/>
              </w:rPr>
              <w:t>详见第三章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招标内容及要求</w:t>
            </w:r>
            <w:r>
              <w:rPr>
                <w:rFonts w:hint="eastAsia" w:ascii="宋体" w:hAnsi="宋体" w:eastAsia="宋体" w:cs="宋体"/>
                <w:color w:val="auto"/>
                <w:sz w:val="24"/>
                <w:szCs w:val="24"/>
                <w:highlight w:val="none"/>
              </w:rPr>
              <w:t>。</w:t>
            </w:r>
          </w:p>
        </w:tc>
      </w:tr>
      <w:tr w14:paraId="5C403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D857A9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751" w:type="pct"/>
            <w:shd w:val="clear" w:color="auto" w:fill="auto"/>
            <w:vAlign w:val="center"/>
          </w:tcPr>
          <w:p w14:paraId="7141EAA4">
            <w:pPr>
              <w:pStyle w:val="16"/>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交付期</w:t>
            </w:r>
          </w:p>
        </w:tc>
        <w:tc>
          <w:tcPr>
            <w:tcW w:w="3909" w:type="pct"/>
            <w:shd w:val="clear" w:color="auto" w:fill="auto"/>
            <w:vAlign w:val="center"/>
          </w:tcPr>
          <w:p w14:paraId="2506F0A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tc>
      </w:tr>
      <w:tr w14:paraId="4660B01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2667F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751" w:type="pct"/>
            <w:shd w:val="clear" w:color="auto" w:fill="auto"/>
            <w:vAlign w:val="center"/>
          </w:tcPr>
          <w:p w14:paraId="140DF66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交付</w:t>
            </w:r>
            <w:r>
              <w:rPr>
                <w:rFonts w:hint="eastAsia" w:ascii="宋体" w:hAnsi="宋体" w:eastAsia="宋体" w:cs="宋体"/>
                <w:color w:val="auto"/>
                <w:sz w:val="24"/>
                <w:szCs w:val="24"/>
                <w:highlight w:val="none"/>
                <w:lang w:eastAsia="zh-CN"/>
              </w:rPr>
              <w:t>地点</w:t>
            </w:r>
          </w:p>
        </w:tc>
        <w:tc>
          <w:tcPr>
            <w:tcW w:w="3909" w:type="pct"/>
            <w:shd w:val="clear" w:color="auto" w:fill="auto"/>
            <w:vAlign w:val="center"/>
          </w:tcPr>
          <w:p w14:paraId="53F7C4F5">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eastAsia="zh-CN"/>
              </w:rPr>
              <w:t>采购人指定地点</w:t>
            </w:r>
          </w:p>
        </w:tc>
      </w:tr>
      <w:tr w14:paraId="373264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61E92C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751" w:type="pct"/>
            <w:shd w:val="clear" w:color="auto" w:fill="auto"/>
            <w:vAlign w:val="center"/>
          </w:tcPr>
          <w:p w14:paraId="7054E26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szCs w:val="24"/>
                <w:highlight w:val="none"/>
                <w:lang w:eastAsia="zh-CN"/>
              </w:rPr>
              <w:t>质保期</w:t>
            </w:r>
          </w:p>
        </w:tc>
        <w:tc>
          <w:tcPr>
            <w:tcW w:w="3909" w:type="pct"/>
            <w:shd w:val="clear" w:color="auto" w:fill="auto"/>
            <w:vAlign w:val="center"/>
          </w:tcPr>
          <w:p w14:paraId="1C9FD7DB">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自终验合格之日起2年。</w:t>
            </w:r>
          </w:p>
        </w:tc>
      </w:tr>
      <w:tr w14:paraId="1BBCB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339" w:type="pct"/>
            <w:shd w:val="clear" w:color="auto" w:fill="auto"/>
            <w:vAlign w:val="center"/>
          </w:tcPr>
          <w:p w14:paraId="4E947F2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751" w:type="pct"/>
            <w:shd w:val="clear" w:color="auto" w:fill="auto"/>
            <w:vAlign w:val="center"/>
          </w:tcPr>
          <w:p w14:paraId="2986B69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质量要求</w:t>
            </w:r>
          </w:p>
        </w:tc>
        <w:tc>
          <w:tcPr>
            <w:tcW w:w="3909" w:type="pct"/>
            <w:shd w:val="clear" w:color="auto" w:fill="auto"/>
            <w:vAlign w:val="center"/>
          </w:tcPr>
          <w:p w14:paraId="56AB2639">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eastAsia="zh-CN"/>
              </w:rPr>
              <w:t>符合国家</w:t>
            </w:r>
            <w:r>
              <w:rPr>
                <w:rFonts w:hint="eastAsia" w:ascii="宋体" w:hAnsi="宋体" w:eastAsia="宋体" w:cs="宋体"/>
                <w:color w:val="auto"/>
                <w:sz w:val="24"/>
                <w:szCs w:val="24"/>
                <w:highlight w:val="none"/>
                <w:lang w:val="en-US" w:eastAsia="zh-CN"/>
              </w:rPr>
              <w:t>及行业</w:t>
            </w:r>
            <w:r>
              <w:rPr>
                <w:rFonts w:hint="eastAsia" w:ascii="宋体" w:hAnsi="宋体" w:eastAsia="宋体" w:cs="宋体"/>
                <w:color w:val="auto"/>
                <w:sz w:val="24"/>
                <w:szCs w:val="24"/>
                <w:highlight w:val="none"/>
                <w:lang w:eastAsia="zh-CN"/>
              </w:rPr>
              <w:t>有关现行规范、标准的要求</w:t>
            </w:r>
          </w:p>
        </w:tc>
      </w:tr>
      <w:tr w14:paraId="1E7B7A5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0CDAB32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751" w:type="pct"/>
            <w:shd w:val="clear" w:color="auto" w:fill="auto"/>
            <w:vAlign w:val="center"/>
          </w:tcPr>
          <w:p w14:paraId="03D155F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p>
        </w:tc>
        <w:tc>
          <w:tcPr>
            <w:tcW w:w="3909" w:type="pct"/>
            <w:shd w:val="clear" w:color="auto" w:fill="auto"/>
            <w:vAlign w:val="center"/>
          </w:tcPr>
          <w:p w14:paraId="014C5829">
            <w:pPr>
              <w:keepNext w:val="0"/>
              <w:keepLines w:val="0"/>
              <w:pageBreakBefore w:val="0"/>
              <w:widowControl/>
              <w:numPr>
                <w:ilvl w:val="0"/>
                <w:numId w:val="2"/>
              </w:numPr>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预付款支付条款：</w:t>
            </w:r>
          </w:p>
          <w:p w14:paraId="2896BC9A">
            <w:pPr>
              <w:keepNext w:val="0"/>
              <w:keepLines w:val="0"/>
              <w:pageBreakBefore w:val="0"/>
              <w:widowControl/>
              <w:numPr>
                <w:ilvl w:val="0"/>
                <w:numId w:val="0"/>
              </w:numPr>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1BC289E2">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549E1A77">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99B8693">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5AE8ED82">
            <w:pPr>
              <w:keepNext w:val="0"/>
              <w:keepLines w:val="0"/>
              <w:pageBreakBefore w:val="0"/>
              <w:widowControl/>
              <w:kinsoku/>
              <w:wordWrap/>
              <w:overflowPunct/>
              <w:topLinePunct w:val="0"/>
              <w:autoSpaceDE/>
              <w:autoSpaceDN/>
              <w:bidi w:val="0"/>
              <w:snapToGrid/>
              <w:spacing w:line="312" w:lineRule="auto"/>
              <w:jc w:val="left"/>
              <w:textAlignment w:val="auto"/>
              <w:rPr>
                <w:rFonts w:hint="eastAsia" w:ascii="宋体" w:hAnsi="宋体" w:eastAsia="宋体" w:cs="宋体"/>
                <w:sz w:val="24"/>
                <w:szCs w:val="24"/>
                <w:lang w:eastAsia="zh-CN"/>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tc>
      </w:tr>
      <w:tr w14:paraId="1AF1EE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8F640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751" w:type="pct"/>
            <w:shd w:val="clear" w:color="auto" w:fill="auto"/>
            <w:vAlign w:val="center"/>
          </w:tcPr>
          <w:p w14:paraId="0509A56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color w:val="auto"/>
                <w:sz w:val="24"/>
                <w:szCs w:val="24"/>
                <w:highlight w:val="none"/>
              </w:rPr>
              <w:t>供应商资质条件</w:t>
            </w:r>
          </w:p>
        </w:tc>
        <w:tc>
          <w:tcPr>
            <w:tcW w:w="3909" w:type="pct"/>
            <w:shd w:val="clear" w:color="auto" w:fill="auto"/>
            <w:vAlign w:val="center"/>
          </w:tcPr>
          <w:p w14:paraId="68802E02">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baseline"/>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lang w:val="en-US" w:eastAsia="zh-CN"/>
              </w:rPr>
              <w:t>1</w:t>
            </w: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w:t>
            </w:r>
            <w:r>
              <w:rPr>
                <w:rFonts w:hint="eastAsia" w:ascii="宋体" w:hAnsi="宋体" w:eastAsia="宋体" w:cs="宋体"/>
                <w:i w:val="0"/>
                <w:iCs w:val="0"/>
                <w:caps w:val="0"/>
                <w:color w:val="auto"/>
                <w:spacing w:val="0"/>
                <w:sz w:val="24"/>
                <w:szCs w:val="24"/>
                <w:highlight w:val="none"/>
                <w:shd w:val="clear" w:color="auto" w:fill="FFFFFF"/>
                <w:vertAlign w:val="baseline"/>
              </w:rPr>
              <w:t>基本资格条件：符合《中华人民共和国政府采购法》第二十二条的规定；</w:t>
            </w:r>
          </w:p>
          <w:p w14:paraId="7B9FD95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5D8C78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B82A7F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E8EBB3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lang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tc>
      </w:tr>
      <w:tr w14:paraId="7937CF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B752E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751" w:type="pct"/>
            <w:shd w:val="clear" w:color="auto" w:fill="auto"/>
            <w:vAlign w:val="center"/>
          </w:tcPr>
          <w:p w14:paraId="3AD77C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09" w:type="pct"/>
            <w:shd w:val="clear" w:color="auto" w:fill="auto"/>
            <w:vAlign w:val="center"/>
          </w:tcPr>
          <w:p w14:paraId="6A1D25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无</w:t>
            </w:r>
          </w:p>
        </w:tc>
      </w:tr>
      <w:tr w14:paraId="46389C6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71686B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751" w:type="pct"/>
            <w:shd w:val="clear" w:color="auto" w:fill="auto"/>
            <w:vAlign w:val="center"/>
          </w:tcPr>
          <w:p w14:paraId="1B1805C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履约保证金</w:t>
            </w:r>
          </w:p>
        </w:tc>
        <w:tc>
          <w:tcPr>
            <w:tcW w:w="3909" w:type="pct"/>
            <w:shd w:val="clear" w:color="auto" w:fill="auto"/>
            <w:vAlign w:val="center"/>
          </w:tcPr>
          <w:p w14:paraId="213EED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E195A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109689A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6D72516F">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2633CE9D">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20B16674">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2BAFFB0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56B1B3B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279BBE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751" w:type="pct"/>
            <w:shd w:val="clear" w:color="auto" w:fill="auto"/>
            <w:vAlign w:val="center"/>
          </w:tcPr>
          <w:p w14:paraId="6DEC48E0">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投标文件份数</w:t>
            </w:r>
          </w:p>
        </w:tc>
        <w:tc>
          <w:tcPr>
            <w:tcW w:w="3909" w:type="pct"/>
            <w:shd w:val="clear" w:color="auto" w:fill="auto"/>
            <w:vAlign w:val="center"/>
          </w:tcPr>
          <w:p w14:paraId="5EDD2AF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384753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p>
        </w:tc>
      </w:tr>
      <w:tr w14:paraId="5B59F08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38A5E3C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751" w:type="pct"/>
            <w:shd w:val="clear" w:color="auto" w:fill="auto"/>
            <w:vAlign w:val="center"/>
          </w:tcPr>
          <w:p w14:paraId="31A922A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现场踏勘</w:t>
            </w:r>
          </w:p>
        </w:tc>
        <w:tc>
          <w:tcPr>
            <w:tcW w:w="3909" w:type="pct"/>
            <w:shd w:val="clear" w:color="auto" w:fill="auto"/>
            <w:vAlign w:val="center"/>
          </w:tcPr>
          <w:p w14:paraId="4B286BF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zh-TW"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TW" w:eastAsia="zh-CN"/>
              </w:rPr>
              <w:t>由供应商自行踏勘现场，以便查明或核实有关编制投标文件和签订合同所必需的一切资料。</w:t>
            </w:r>
          </w:p>
          <w:p w14:paraId="23723AA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zh-TW" w:eastAsia="zh-CN"/>
              </w:rPr>
              <w:t>供应商应承担踏勘现场的责任和风险以及期间发生的一切费用，供应商若因踏勘现场而发生的人身伤亡、财物或其它损失，不论何种原因所造成，采购人和采购代理机构均不负责任。</w:t>
            </w:r>
          </w:p>
        </w:tc>
      </w:tr>
      <w:tr w14:paraId="5E119E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532A72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751" w:type="pct"/>
            <w:shd w:val="clear" w:color="auto" w:fill="auto"/>
            <w:vAlign w:val="center"/>
          </w:tcPr>
          <w:p w14:paraId="5CB298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785EA47F">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09" w:type="pct"/>
            <w:shd w:val="clear" w:color="auto" w:fill="auto"/>
            <w:vAlign w:val="center"/>
          </w:tcPr>
          <w:p w14:paraId="20DE94C2">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4B0A78C5">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69A86A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339" w:type="pct"/>
            <w:shd w:val="clear" w:color="auto" w:fill="auto"/>
            <w:vAlign w:val="center"/>
          </w:tcPr>
          <w:p w14:paraId="42A5508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21</w:t>
            </w:r>
          </w:p>
        </w:tc>
        <w:tc>
          <w:tcPr>
            <w:tcW w:w="751" w:type="pct"/>
            <w:shd w:val="clear" w:color="auto" w:fill="auto"/>
            <w:vAlign w:val="center"/>
          </w:tcPr>
          <w:p w14:paraId="5C538CA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09" w:type="pct"/>
            <w:shd w:val="clear" w:color="auto" w:fill="auto"/>
            <w:vAlign w:val="center"/>
          </w:tcPr>
          <w:p w14:paraId="655CD85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15EF0C3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5DA652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751" w:type="pct"/>
            <w:shd w:val="clear" w:color="auto" w:fill="auto"/>
            <w:vAlign w:val="center"/>
          </w:tcPr>
          <w:p w14:paraId="5392F347">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09" w:type="pct"/>
            <w:shd w:val="clear" w:color="auto" w:fill="auto"/>
            <w:vAlign w:val="center"/>
          </w:tcPr>
          <w:p w14:paraId="41970FF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w:t>
            </w:r>
            <w:r>
              <w:rPr>
                <w:rFonts w:hint="eastAsia" w:ascii="宋体" w:hAnsi="宋体" w:eastAsia="宋体" w:cs="宋体"/>
                <w:sz w:val="24"/>
                <w:szCs w:val="24"/>
                <w:highlight w:val="none"/>
                <w:lang w:eastAsia="zh-CN"/>
              </w:rPr>
              <w:t>同级财政部门</w:t>
            </w:r>
          </w:p>
          <w:p w14:paraId="116BD797">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0BD6E87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6CB7C6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27ECCF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751" w:type="pct"/>
            <w:shd w:val="clear" w:color="auto" w:fill="auto"/>
            <w:vAlign w:val="center"/>
          </w:tcPr>
          <w:p w14:paraId="2D5C8579">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09" w:type="pct"/>
            <w:shd w:val="clear" w:color="auto" w:fill="auto"/>
            <w:vAlign w:val="center"/>
          </w:tcPr>
          <w:p w14:paraId="17D2540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同提交投标文件截止时间</w:t>
            </w:r>
          </w:p>
        </w:tc>
      </w:tr>
      <w:tr w14:paraId="607AC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55" w:hRule="atLeast"/>
          <w:jc w:val="center"/>
        </w:trPr>
        <w:tc>
          <w:tcPr>
            <w:tcW w:w="339" w:type="pct"/>
            <w:shd w:val="clear" w:color="auto" w:fill="auto"/>
            <w:vAlign w:val="center"/>
          </w:tcPr>
          <w:p w14:paraId="417CAF4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751" w:type="pct"/>
            <w:shd w:val="clear" w:color="auto" w:fill="auto"/>
            <w:vAlign w:val="center"/>
          </w:tcPr>
          <w:p w14:paraId="29B93641">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09" w:type="pct"/>
            <w:shd w:val="clear" w:color="auto" w:fill="auto"/>
            <w:vAlign w:val="center"/>
          </w:tcPr>
          <w:p w14:paraId="71013B1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077786224"/>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 xml:space="preserve">不见面开标  </w:t>
            </w:r>
            <w:sdt>
              <w:sdtPr>
                <w:rPr>
                  <w:rFonts w:hint="eastAsia" w:ascii="宋体" w:hAnsi="宋体" w:eastAsia="宋体" w:cs="宋体"/>
                  <w:sz w:val="24"/>
                  <w:szCs w:val="24"/>
                </w:rPr>
                <w:id w:val="1553575034"/>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见面开标</w:t>
            </w:r>
          </w:p>
          <w:p w14:paraId="6B423AB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详见本章“开标程序”有关内容。</w:t>
            </w:r>
          </w:p>
        </w:tc>
      </w:tr>
      <w:tr w14:paraId="5A14AC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6C15FB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751" w:type="pct"/>
            <w:shd w:val="clear" w:color="auto" w:fill="auto"/>
            <w:vAlign w:val="center"/>
          </w:tcPr>
          <w:p w14:paraId="22E5C56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09" w:type="pct"/>
            <w:shd w:val="clear" w:color="auto" w:fill="auto"/>
            <w:vAlign w:val="center"/>
          </w:tcPr>
          <w:p w14:paraId="76438C9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sdt>
              <w:sdtPr>
                <w:rPr>
                  <w:rFonts w:hint="eastAsia" w:ascii="宋体" w:hAnsi="宋体" w:eastAsia="宋体" w:cs="宋体"/>
                  <w:sz w:val="24"/>
                  <w:szCs w:val="24"/>
                </w:rPr>
                <w:id w:val="1608857843"/>
                <w14:checkbox>
                  <w14:checked w14:val="0"/>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rPr>
                  <w:t>☐</w:t>
                </w:r>
              </w:sdtContent>
            </w:sdt>
            <w:r>
              <w:rPr>
                <w:rFonts w:hint="eastAsia" w:ascii="宋体" w:hAnsi="宋体" w:eastAsia="宋体" w:cs="宋体"/>
                <w:sz w:val="24"/>
                <w:szCs w:val="24"/>
              </w:rPr>
              <w:t xml:space="preserve">是  </w:t>
            </w:r>
            <w:sdt>
              <w:sdtPr>
                <w:rPr>
                  <w:rFonts w:hint="eastAsia" w:ascii="宋体" w:hAnsi="宋体" w:eastAsia="宋体" w:cs="宋体"/>
                  <w:sz w:val="24"/>
                  <w:szCs w:val="24"/>
                </w:rPr>
                <w:id w:val="618331253"/>
                <w14:checkbox>
                  <w14:checked w14:val="1"/>
                  <w14:checkedState w14:val="2611" w14:font="MS Gothic"/>
                  <w14:uncheckedState w14:val="2610" w14:font="MS Gothic"/>
                </w14:checkbox>
              </w:sdtPr>
              <w:sdtEndPr>
                <w:rPr>
                  <w:rFonts w:hint="eastAsia" w:ascii="宋体" w:hAnsi="宋体" w:eastAsia="宋体" w:cs="宋体"/>
                  <w:sz w:val="24"/>
                  <w:szCs w:val="24"/>
                </w:rPr>
              </w:sdtEndPr>
              <w:sdtContent>
                <w:r>
                  <w:rPr>
                    <w:rFonts w:hint="eastAsia" w:ascii="宋体" w:hAnsi="宋体" w:eastAsia="宋体" w:cs="宋体"/>
                    <w:sz w:val="24"/>
                    <w:szCs w:val="24"/>
                    <w:lang w:val="en-US" w:eastAsia="zh-CN" w:bidi="ar-SA"/>
                  </w:rPr>
                  <w:t>☑</w:t>
                </w:r>
              </w:sdtContent>
            </w:sdt>
            <w:r>
              <w:rPr>
                <w:rFonts w:hint="eastAsia" w:ascii="宋体" w:hAnsi="宋体" w:eastAsia="宋体" w:cs="宋体"/>
                <w:sz w:val="24"/>
                <w:szCs w:val="24"/>
              </w:rPr>
              <w:t>否</w:t>
            </w:r>
          </w:p>
        </w:tc>
      </w:tr>
      <w:tr w14:paraId="317675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1337F6D">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751" w:type="pct"/>
            <w:shd w:val="clear" w:color="auto" w:fill="auto"/>
            <w:vAlign w:val="center"/>
          </w:tcPr>
          <w:p w14:paraId="2090B0C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中标通知书</w:t>
            </w:r>
          </w:p>
        </w:tc>
        <w:tc>
          <w:tcPr>
            <w:tcW w:w="3909" w:type="pct"/>
            <w:shd w:val="clear" w:color="auto" w:fill="auto"/>
            <w:vAlign w:val="center"/>
          </w:tcPr>
          <w:p w14:paraId="7E4DD492">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3379CE2F">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029-82665555转8013</w:t>
            </w:r>
          </w:p>
          <w:p w14:paraId="5C5BB55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曹美奇、李琛、杨阳</w:t>
            </w:r>
          </w:p>
        </w:tc>
      </w:tr>
      <w:tr w14:paraId="4F7861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AC1C23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751" w:type="pct"/>
            <w:shd w:val="clear" w:color="auto" w:fill="auto"/>
            <w:vAlign w:val="center"/>
          </w:tcPr>
          <w:p w14:paraId="2FD15CB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09" w:type="pct"/>
            <w:shd w:val="clear" w:color="auto" w:fill="auto"/>
            <w:vAlign w:val="center"/>
          </w:tcPr>
          <w:p w14:paraId="676DFA3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w:t>
            </w:r>
            <w:r>
              <w:rPr>
                <w:rFonts w:hint="eastAsia" w:ascii="宋体" w:hAnsi="宋体" w:eastAsia="宋体" w:cs="宋体"/>
                <w:sz w:val="24"/>
                <w:szCs w:val="24"/>
                <w:lang w:eastAsia="zh-CN"/>
              </w:rPr>
              <w:t>货物</w:t>
            </w:r>
            <w:r>
              <w:rPr>
                <w:rFonts w:hint="eastAsia" w:ascii="宋体" w:hAnsi="宋体" w:eastAsia="宋体" w:cs="宋体"/>
                <w:sz w:val="24"/>
                <w:szCs w:val="24"/>
              </w:rPr>
              <w:t>收费标准计取。此服务费应计入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0FE59C6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50A28DC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银行户名：华晟国际项目管理有限公司</w:t>
            </w:r>
          </w:p>
          <w:p w14:paraId="2ECB6CE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开户银行：建设银行西安劳动路支行</w:t>
            </w:r>
          </w:p>
          <w:p w14:paraId="6B7C9759">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    号：610501 740015 00000 427</w:t>
            </w:r>
          </w:p>
          <w:p w14:paraId="7CC22785">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highlight w:val="none"/>
                <w:lang w:val="en-US" w:eastAsia="zh-CN"/>
              </w:rPr>
              <w:t>转账事由：HSGJ2025-164  包号  中标服务费</w:t>
            </w:r>
          </w:p>
        </w:tc>
      </w:tr>
      <w:tr w14:paraId="7CB32D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23EA7C5A">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751" w:type="pct"/>
            <w:shd w:val="clear" w:color="auto" w:fill="auto"/>
            <w:vAlign w:val="center"/>
          </w:tcPr>
          <w:p w14:paraId="199622A3">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09" w:type="pct"/>
            <w:shd w:val="clear" w:color="auto" w:fill="auto"/>
            <w:vAlign w:val="center"/>
          </w:tcPr>
          <w:p w14:paraId="17B31DAB">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25E5017">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5C42450A">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sz w:val="24"/>
                <w:szCs w:val="24"/>
                <w:lang w:eastAsia="zh-CN"/>
              </w:rPr>
            </w:pPr>
            <w:r>
              <w:rPr>
                <w:rFonts w:hint="eastAsia" w:ascii="宋体" w:hAnsi="宋体" w:eastAsia="宋体" w:cs="宋体"/>
                <w:sz w:val="24"/>
                <w:szCs w:val="24"/>
              </w:rPr>
              <w:t>2．驻场技术人员：029-86510166/86510167转80310</w:t>
            </w:r>
          </w:p>
        </w:tc>
      </w:tr>
      <w:tr w14:paraId="2565B9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156F426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751" w:type="pct"/>
            <w:shd w:val="clear" w:color="auto" w:fill="auto"/>
            <w:vAlign w:val="center"/>
          </w:tcPr>
          <w:p w14:paraId="1D10582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rPr>
              <w:t>CA业务网点</w:t>
            </w:r>
          </w:p>
        </w:tc>
        <w:tc>
          <w:tcPr>
            <w:tcW w:w="3909" w:type="pct"/>
            <w:shd w:val="clear" w:color="auto" w:fill="auto"/>
            <w:vAlign w:val="center"/>
          </w:tcPr>
          <w:p w14:paraId="67563134">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41F1D681">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62BC8F90">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1790C66C">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7D3121A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3A2A884D">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167D81F6">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3A0B561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513857C">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751" w:type="pct"/>
            <w:shd w:val="clear" w:color="auto" w:fill="auto"/>
            <w:vAlign w:val="center"/>
          </w:tcPr>
          <w:p w14:paraId="0FA83D78">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09" w:type="pct"/>
            <w:shd w:val="clear" w:color="auto" w:fill="auto"/>
            <w:vAlign w:val="center"/>
          </w:tcPr>
          <w:p w14:paraId="3D346D38">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61A61B1E">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69DC199A">
            <w:pPr>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sz w:val="24"/>
                <w:szCs w:val="24"/>
              </w:rPr>
            </w:pPr>
            <w:r>
              <w:rPr>
                <w:rFonts w:hint="eastAsia" w:ascii="宋体" w:hAnsi="宋体" w:eastAsia="宋体" w:cs="宋体"/>
                <w:sz w:val="24"/>
                <w:szCs w:val="24"/>
                <w:lang w:eastAsia="zh-CN"/>
              </w:rPr>
              <w:t>西安浐灞</w:t>
            </w:r>
            <w:r>
              <w:rPr>
                <w:rFonts w:hint="eastAsia" w:ascii="宋体" w:hAnsi="宋体" w:eastAsia="宋体" w:cs="宋体"/>
                <w:sz w:val="24"/>
                <w:szCs w:val="24"/>
              </w:rPr>
              <w:t>国际港政府采购信用融资联系人：王涛  15029991040</w:t>
            </w:r>
          </w:p>
        </w:tc>
      </w:tr>
      <w:tr w14:paraId="2C62229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83D7302">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751" w:type="pct"/>
            <w:shd w:val="clear" w:color="auto" w:fill="auto"/>
            <w:vAlign w:val="center"/>
          </w:tcPr>
          <w:p w14:paraId="4B395F5C">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所属行业</w:t>
            </w:r>
          </w:p>
        </w:tc>
        <w:tc>
          <w:tcPr>
            <w:tcW w:w="3909" w:type="pct"/>
            <w:shd w:val="clear" w:color="auto" w:fill="auto"/>
            <w:vAlign w:val="center"/>
          </w:tcPr>
          <w:p w14:paraId="06650170">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b/>
                <w:bCs/>
                <w:sz w:val="24"/>
                <w:szCs w:val="24"/>
                <w:highlight w:val="none"/>
                <w:u w:val="single"/>
                <w:lang w:eastAsia="zh-CN"/>
              </w:rPr>
            </w:pPr>
            <w:r>
              <w:rPr>
                <w:rFonts w:hint="eastAsia" w:ascii="宋体" w:hAnsi="宋体" w:eastAsia="宋体" w:cs="宋体"/>
                <w:b/>
                <w:bCs/>
                <w:sz w:val="24"/>
                <w:szCs w:val="24"/>
                <w:highlight w:val="none"/>
              </w:rPr>
              <w:t>采购标的对应的中小企业划分标准所属行业：</w:t>
            </w:r>
            <w:r>
              <w:rPr>
                <w:rFonts w:hint="eastAsia" w:ascii="宋体" w:hAnsi="宋体" w:eastAsia="宋体" w:cs="宋体"/>
                <w:b/>
                <w:bCs/>
                <w:sz w:val="24"/>
                <w:szCs w:val="24"/>
                <w:highlight w:val="none"/>
                <w:u w:val="single"/>
                <w:lang w:eastAsia="zh-CN"/>
              </w:rPr>
              <w:t>工业</w:t>
            </w:r>
          </w:p>
          <w:p w14:paraId="2879B64B">
            <w:pPr>
              <w:pStyle w:val="24"/>
              <w:keepNext w:val="0"/>
              <w:keepLines w:val="0"/>
              <w:pageBreakBefore w:val="0"/>
              <w:kinsoku/>
              <w:wordWrap/>
              <w:overflowPunct/>
              <w:topLinePunct w:val="0"/>
              <w:autoSpaceDE/>
              <w:autoSpaceDN/>
              <w:bidi w:val="0"/>
              <w:adjustRightInd/>
              <w:snapToGrid/>
              <w:spacing w:before="0" w:beforeAutospacing="0" w:after="0" w:afterAutospacing="0" w:line="240" w:lineRule="auto"/>
              <w:jc w:val="both"/>
              <w:rPr>
                <w:rFonts w:hint="eastAsia" w:ascii="宋体" w:hAnsi="宋体" w:eastAsia="宋体" w:cs="宋体"/>
                <w:sz w:val="24"/>
                <w:szCs w:val="24"/>
                <w:highlight w:val="none"/>
                <w:u w:val="single"/>
                <w:lang w:eastAsia="zh-CN"/>
              </w:rPr>
            </w:pPr>
            <w:r>
              <w:rPr>
                <w:rFonts w:hint="eastAsia" w:ascii="宋体" w:hAnsi="宋体" w:eastAsia="宋体" w:cs="宋体"/>
                <w:sz w:val="24"/>
                <w:szCs w:val="24"/>
                <w:highlight w:val="none"/>
                <w:u w:val="none"/>
                <w:lang w:eastAsia="zh-CN"/>
              </w:rPr>
              <w:t>根据《工业和信息化部、国家统计局、国家发展和改革委员会、财政部关于印发中小企业划型标准规定的通知》（工信部联企业〔2011〕300号）规定的划分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1DF2185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CE33E75">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751" w:type="pct"/>
            <w:shd w:val="clear" w:color="auto" w:fill="auto"/>
            <w:vAlign w:val="center"/>
          </w:tcPr>
          <w:p w14:paraId="384D169B">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入库登记</w:t>
            </w:r>
          </w:p>
        </w:tc>
        <w:tc>
          <w:tcPr>
            <w:tcW w:w="3909" w:type="pct"/>
            <w:shd w:val="clear" w:color="auto" w:fill="auto"/>
            <w:vAlign w:val="center"/>
          </w:tcPr>
          <w:p w14:paraId="4FF83502">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sz w:val="24"/>
                <w:szCs w:val="24"/>
                <w:highlight w:val="none"/>
                <w:lang w:eastAsia="zh-CN" w:bidi="ar-SA"/>
              </w:rPr>
              <w:t>请</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1CAA041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4ED067A6">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751" w:type="pct"/>
            <w:shd w:val="clear" w:color="auto" w:fill="auto"/>
            <w:vAlign w:val="center"/>
          </w:tcPr>
          <w:p w14:paraId="3233DA9E">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相同品牌产品说明</w:t>
            </w:r>
          </w:p>
        </w:tc>
        <w:tc>
          <w:tcPr>
            <w:tcW w:w="3909" w:type="pct"/>
            <w:shd w:val="clear" w:color="auto" w:fill="auto"/>
            <w:vAlign w:val="center"/>
          </w:tcPr>
          <w:p w14:paraId="3DCD73CD">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eastAsia="zh-CN" w:bidi="ar-SA"/>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highlight w:val="none"/>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5CC255E1">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eastAsia="zh-CN" w:bidi="ar-SA"/>
              </w:rPr>
              <w:t>本</w:t>
            </w:r>
            <w:r>
              <w:rPr>
                <w:rFonts w:hint="eastAsia" w:ascii="宋体" w:hAnsi="宋体" w:eastAsia="宋体" w:cs="宋体"/>
                <w:b/>
                <w:bCs/>
                <w:color w:val="auto"/>
                <w:kern w:val="2"/>
                <w:sz w:val="24"/>
                <w:szCs w:val="24"/>
                <w:highlight w:val="none"/>
                <w:lang w:val="en-US" w:eastAsia="zh-CN" w:bidi="ar-SA"/>
              </w:rPr>
              <w:t>项目</w:t>
            </w:r>
            <w:r>
              <w:rPr>
                <w:rFonts w:hint="eastAsia" w:ascii="宋体" w:hAnsi="宋体" w:eastAsia="宋体" w:cs="宋体"/>
                <w:b/>
                <w:bCs/>
                <w:color w:val="auto"/>
                <w:kern w:val="2"/>
                <w:sz w:val="24"/>
                <w:szCs w:val="24"/>
                <w:highlight w:val="none"/>
                <w:lang w:eastAsia="zh-CN" w:bidi="ar-SA"/>
              </w:rPr>
              <w:t>核心产品为：</w:t>
            </w:r>
            <w:r>
              <w:rPr>
                <w:rFonts w:hint="eastAsia" w:ascii="宋体" w:hAnsi="宋体" w:eastAsia="宋体" w:cs="宋体"/>
                <w:b/>
                <w:bCs w:val="0"/>
                <w:color w:val="auto"/>
                <w:sz w:val="24"/>
                <w:szCs w:val="24"/>
                <w:highlight w:val="none"/>
                <w:lang w:val="en-US" w:eastAsia="zh-CN"/>
              </w:rPr>
              <w:t>第一包：序号48 浐灞国际港第一学校（暂定名）“LED显示屏”；</w:t>
            </w:r>
          </w:p>
        </w:tc>
      </w:tr>
      <w:tr w14:paraId="162DF6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339" w:type="pct"/>
            <w:shd w:val="clear" w:color="auto" w:fill="auto"/>
            <w:vAlign w:val="center"/>
          </w:tcPr>
          <w:p w14:paraId="7B8CE7E4">
            <w:pPr>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751" w:type="pct"/>
            <w:shd w:val="clear" w:color="auto" w:fill="auto"/>
            <w:vAlign w:val="center"/>
          </w:tcPr>
          <w:p w14:paraId="07C8079F">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color w:val="auto"/>
                <w:kern w:val="2"/>
                <w:sz w:val="24"/>
                <w:szCs w:val="24"/>
                <w:highlight w:val="none"/>
                <w:lang w:eastAsia="zh-CN" w:bidi="ar-SA"/>
              </w:rPr>
              <w:t>其他未尽事宜</w:t>
            </w:r>
          </w:p>
        </w:tc>
        <w:tc>
          <w:tcPr>
            <w:tcW w:w="3909" w:type="pct"/>
            <w:shd w:val="clear" w:color="auto" w:fill="auto"/>
            <w:vAlign w:val="center"/>
          </w:tcPr>
          <w:p w14:paraId="04C4B4E2">
            <w:pPr>
              <w:pStyle w:val="72"/>
              <w:keepNext w:val="0"/>
              <w:keepLines w:val="0"/>
              <w:pageBreakBefore w:val="0"/>
              <w:widowControl w:val="0"/>
              <w:kinsoku/>
              <w:wordWrap/>
              <w:overflowPunct/>
              <w:topLinePunct w:val="0"/>
              <w:autoSpaceDE/>
              <w:autoSpaceDN/>
              <w:bidi w:val="0"/>
              <w:adjustRightInd/>
              <w:snapToGrid/>
              <w:spacing w:line="240" w:lineRule="auto"/>
              <w:ind w:left="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zh-TW" w:eastAsia="zh-CN" w:bidi="ar-SA"/>
              </w:rPr>
              <w:t>按照《中华人民共和国政府采购法》及相关法律法规执行。</w:t>
            </w:r>
          </w:p>
          <w:p w14:paraId="31E89DCC">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color w:val="auto"/>
                <w:kern w:val="2"/>
                <w:sz w:val="24"/>
                <w:szCs w:val="24"/>
                <w:highlight w:val="none"/>
                <w:lang w:val="zh-TW" w:eastAsia="zh-CN" w:bidi="ar-SA"/>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zh-TW" w:eastAsia="zh-CN" w:bidi="ar-SA"/>
              </w:rPr>
              <w:t>根据西安市财政局关于促进政府采购公平竞争优化营商环境的通知</w:t>
            </w:r>
            <w:r>
              <w:rPr>
                <w:rFonts w:hint="eastAsia" w:ascii="宋体" w:hAnsi="宋体" w:eastAsia="宋体" w:cs="宋体"/>
                <w:color w:val="auto"/>
                <w:kern w:val="2"/>
                <w:sz w:val="24"/>
                <w:szCs w:val="24"/>
                <w:highlight w:val="none"/>
                <w:lang w:val="en-US" w:eastAsia="zh-CN" w:bidi="ar-SA"/>
              </w:rPr>
              <w:t xml:space="preserve"> </w:t>
            </w:r>
            <w:r>
              <w:rPr>
                <w:rFonts w:hint="eastAsia" w:ascii="宋体" w:hAnsi="宋体" w:eastAsia="宋体" w:cs="宋体"/>
                <w:color w:val="auto"/>
                <w:kern w:val="2"/>
                <w:sz w:val="24"/>
                <w:szCs w:val="24"/>
                <w:highlight w:val="none"/>
                <w:lang w:val="zh-TW" w:eastAsia="zh-CN" w:bidi="ar-SA"/>
              </w:rPr>
              <w:t>市财函〔2021〕431号文规定，</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szCs w:val="24"/>
                <w:highlight w:val="none"/>
              </w:rPr>
              <w:t>供应商</w:t>
            </w:r>
            <w:r>
              <w:rPr>
                <w:rFonts w:hint="eastAsia" w:ascii="宋体" w:hAnsi="宋体" w:eastAsia="宋体" w:cs="宋体"/>
                <w:color w:val="auto"/>
                <w:kern w:val="2"/>
                <w:sz w:val="24"/>
                <w:szCs w:val="24"/>
                <w:highlight w:val="none"/>
                <w:lang w:val="zh-TW" w:eastAsia="zh-CN" w:bidi="ar-SA"/>
              </w:rPr>
              <w:t>一年内累计出现三次该情形，将被监管部门记录为失信行为。</w:t>
            </w:r>
          </w:p>
          <w:p w14:paraId="068835AE">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3.如投标人对多个包进行投标，只可以中标 1 包，每个合同包选择不同中标人，在评标过程中，将按标包顺序依次进行评审，经评审后在上一合同包排名第一的投标人将在后续合同包的评审过程中不再推荐为中标候选人。（本项目评审顺序：合同包1、合同包2、合同包3、合同包4）。</w:t>
            </w:r>
          </w:p>
          <w:p w14:paraId="314EF720">
            <w:pPr>
              <w:pStyle w:val="72"/>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val="0"/>
                <w:color w:val="auto"/>
                <w:sz w:val="24"/>
                <w:szCs w:val="24"/>
                <w:highlight w:val="none"/>
                <w:lang w:val="en-US" w:eastAsia="zh-CN"/>
              </w:rPr>
              <w:t>中标人应当自发出中标通知书之日起 30 日内,与采购人签订合同，本项目由西安浐灞国际港教育局统一组织实施采购，确定中标供应商后由中标供应商与各学校分别签订采购合同。</w:t>
            </w:r>
          </w:p>
        </w:tc>
      </w:tr>
    </w:tbl>
    <w:p w14:paraId="22C4897B">
      <w:pPr>
        <w:jc w:val="both"/>
        <w:rPr>
          <w:rFonts w:hint="eastAsia" w:ascii="宋体" w:hAnsi="宋体" w:eastAsia="宋体" w:cs="宋体"/>
          <w:sz w:val="24"/>
          <w:szCs w:val="24"/>
        </w:rPr>
      </w:pPr>
      <w:r>
        <w:rPr>
          <w:rFonts w:hint="eastAsia" w:ascii="宋体" w:hAnsi="宋体" w:eastAsia="宋体" w:cs="宋体"/>
          <w:sz w:val="24"/>
          <w:szCs w:val="24"/>
          <w:highlight w:val="none"/>
        </w:rPr>
        <w:br w:type="page"/>
      </w:r>
    </w:p>
    <w:p w14:paraId="24E6A871">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一、有关定义</w:t>
      </w:r>
    </w:p>
    <w:p w14:paraId="65970F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1．采购人：</w:t>
      </w:r>
      <w:r>
        <w:rPr>
          <w:rFonts w:hint="eastAsia" w:ascii="宋体" w:hAnsi="宋体" w:eastAsia="宋体" w:cs="宋体"/>
          <w:sz w:val="24"/>
          <w:szCs w:val="24"/>
          <w:highlight w:val="none"/>
          <w:lang w:eastAsia="zh-CN"/>
        </w:rPr>
        <w:t>西安浐灞国际港教育局。</w:t>
      </w:r>
    </w:p>
    <w:p w14:paraId="50DEFE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3B76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3．同级政府采购监管部门：</w:t>
      </w:r>
      <w:r>
        <w:rPr>
          <w:rFonts w:hint="eastAsia" w:ascii="宋体" w:hAnsi="宋体" w:eastAsia="宋体" w:cs="宋体"/>
          <w:sz w:val="24"/>
          <w:szCs w:val="24"/>
          <w:highlight w:val="none"/>
          <w:lang w:eastAsia="zh-CN"/>
        </w:rPr>
        <w:t>同级财政部门</w:t>
      </w:r>
      <w:r>
        <w:rPr>
          <w:rFonts w:hint="eastAsia" w:ascii="宋体" w:hAnsi="宋体" w:eastAsia="宋体" w:cs="宋体"/>
          <w:sz w:val="24"/>
          <w:szCs w:val="24"/>
          <w:highlight w:val="none"/>
        </w:rPr>
        <w:t>。</w:t>
      </w:r>
    </w:p>
    <w:p w14:paraId="49269F1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29DE410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4DFF8FBB">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二、供应商注意事项</w:t>
      </w:r>
    </w:p>
    <w:p w14:paraId="529ECBF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5F654BA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6C7642A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267949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01D169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6041A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0C8A1F70">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17CF5A26">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111671E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3CE9B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51CE83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7119F2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307185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649CAAA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027526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22CE8BB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4D4FB32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63AD239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0E6DEC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760E158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1B2B23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018567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6AEBAC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545C195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6A64CA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30A21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237E2C0F">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481421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10F7D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775E0AD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332A4E0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303551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7833B1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5D00B99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51E89B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0A5AC4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704FAA5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46B43E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w:t>
      </w:r>
      <w:r>
        <w:rPr>
          <w:rFonts w:hint="eastAsia" w:ascii="宋体" w:hAnsi="宋体" w:eastAsia="宋体" w:cs="宋体"/>
          <w:sz w:val="24"/>
          <w:szCs w:val="24"/>
          <w:lang w:eastAsia="zh-CN"/>
        </w:rPr>
        <w:t>同级财政部门</w:t>
      </w:r>
      <w:r>
        <w:rPr>
          <w:rFonts w:hint="eastAsia" w:ascii="宋体" w:hAnsi="宋体" w:eastAsia="宋体" w:cs="宋体"/>
          <w:sz w:val="24"/>
          <w:szCs w:val="24"/>
        </w:rPr>
        <w:t>提出投诉。</w:t>
      </w:r>
    </w:p>
    <w:p w14:paraId="68B4BF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2993D9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1F743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3E8229F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BF949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2BD07C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627FE9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04D434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6316E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3D20171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7598F30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117792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0C97FE2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8463C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6B1865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3954419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490553B4">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72C2C90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353737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联系方式:西安浐灞国际港政府采购信用融资联系人：王涛  15029991040</w:t>
      </w:r>
    </w:p>
    <w:p w14:paraId="57BD4423">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61747F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57A10C6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14D394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55559A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10F791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6381324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78083F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1E79A50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7D26DF0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0A718C7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2EBAEB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2F87728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50852F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F9AA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434BF52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73DF6D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1B7CC7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6DB3351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1FD551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2BE5969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1D477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6ADF79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38CB985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74F138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52D3E4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6EF78DF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562748A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35D40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036C10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721253D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6A466E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13AA90F7">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7E279B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43D76B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098D70EA">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62541F5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1．对中小企业、监狱企业、残疾人福利性单位的优惠政策</w:t>
      </w:r>
    </w:p>
    <w:p w14:paraId="205AE5B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的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4205AA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51EEC3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1B3869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1AC2AE7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651B4A9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4650A0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4CE633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6DE001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E1449E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26F172E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2A536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448DA4E9">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010A04B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64522C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3CB1CF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4C2724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4200341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443059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23716E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68B028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3．非单一产品采购项目，采购人将根据采购项目技术构成、产品价格比重等因素确定核心产品（可能不止一种），并在采购文件中载明。多家供应商提供的核心产品全部采用相同品牌的，按一家供应商计算。</w:t>
      </w:r>
    </w:p>
    <w:p w14:paraId="52D8F4A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29FDA8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624535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7D4F345B">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1740CE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831F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0780AC8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44ED7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26DF878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5CE42B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4DCB33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19618E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三、招标文件</w:t>
      </w:r>
    </w:p>
    <w:p w14:paraId="64B5F77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1717C5D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2602C4D6">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059D988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04A495B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213C30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3B1505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73E13A1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4A6902D9">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21AB34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70AD9C5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221D1B2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53CFCA5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31D1D0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506851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7EFC8C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65152F3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397FECF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494ECA5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四、投标文件</w:t>
      </w:r>
    </w:p>
    <w:p w14:paraId="6255F6F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02F62DE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2622485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39E53C9F">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690C522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681037EB">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7DF1C00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52E7ED52">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381E36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2F6A8411">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cyan"/>
          <w:lang w:eastAsia="zh-CN"/>
        </w:rPr>
      </w:pPr>
      <w:r>
        <w:rPr>
          <w:rFonts w:hint="eastAsia" w:ascii="宋体" w:hAnsi="宋体" w:eastAsia="宋体" w:cs="宋体"/>
          <w:sz w:val="24"/>
          <w:szCs w:val="24"/>
          <w:highlight w:val="none"/>
        </w:rPr>
        <w:t>（三）投标报价</w:t>
      </w:r>
    </w:p>
    <w:p w14:paraId="37BC360E">
      <w:pPr>
        <w:keepNext w:val="0"/>
        <w:keepLines w:val="0"/>
        <w:pageBreakBefore w:val="0"/>
        <w:widowControl/>
        <w:kinsoku/>
        <w:wordWrap/>
        <w:overflowPunct/>
        <w:topLinePunct w:val="0"/>
        <w:autoSpaceDE/>
        <w:autoSpaceDN/>
        <w:bidi w:val="0"/>
        <w:adjustRightInd/>
        <w:snapToGrid w:val="0"/>
        <w:spacing w:line="540" w:lineRule="exact"/>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本项目报价包括但</w:t>
      </w:r>
      <w:r>
        <w:rPr>
          <w:rFonts w:hint="eastAsia" w:ascii="宋体" w:hAnsi="宋体" w:eastAsia="宋体" w:cs="宋体"/>
          <w:bCs/>
          <w:color w:val="auto"/>
          <w:sz w:val="24"/>
          <w:szCs w:val="24"/>
          <w:highlight w:val="none"/>
          <w:lang w:bidi="ar"/>
        </w:rPr>
        <w:t>不限于货物价款(含通常配备的备品备件、易损件）、软件升级费、人工费、货物（产品）设计费、包装费、仓储费、运输费、装卸费、保险费、安装费、调试费、培训费、线材及配件费、售后服务、验收费、招标代理服务费、利润、风险、税金等在项目实施过程中所发生的所有费用，任何错报、漏报由乙方自行负责。</w:t>
      </w:r>
    </w:p>
    <w:p w14:paraId="34331F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74864A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1427E1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5A1950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76E0F1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2E86674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184863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7F1217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7C6819B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246BD4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5EF67190">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468001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26C8E1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182700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6F9A804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7AF47D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371C0D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4043026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330E8E9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6B74752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3D6953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11E7C5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26EF43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7B288658">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192BB7D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2653CF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24245B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0AEBABD5">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3D0FE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762D90C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7C3D574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838893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44C740B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1991D55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3079AE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7B759DCA">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五、开标程序</w:t>
      </w:r>
    </w:p>
    <w:p w14:paraId="619EB9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64CFE00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62EC0BA4">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1B434CD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6D6FE0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7DDF35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2EDF09F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135DC8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4EEF64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3782FB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11FA315C">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790C4F9E">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72DBFD93">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1．供应商放弃或拒绝对电子投标文件进行解密的；</w:t>
      </w:r>
    </w:p>
    <w:p w14:paraId="5CA33058">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2．因供应商自身原因，导致未在规定的解密时限内完整解密的，如忘带CA锁、或携带的CA锁与加密文件的CA锁不同、或使用旧版招标文件编制投标文件等情形；</w:t>
      </w:r>
    </w:p>
    <w:p w14:paraId="704C2E82">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3．上传的电子投标文件无法正常打开的；</w:t>
      </w:r>
    </w:p>
    <w:p w14:paraId="07E9BA5C">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4．政府采购法律法规规定的其他无效情形。</w:t>
      </w:r>
    </w:p>
    <w:p w14:paraId="57C85B5C">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3003FE9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2D5463A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2BB1AE6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081501A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614E7573">
      <w:pPr>
        <w:pStyle w:val="96"/>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157C238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7E0B2C37">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六、资格审查</w:t>
      </w:r>
    </w:p>
    <w:p w14:paraId="1BBBE40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2D93CC69">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3D7C0960">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76045A9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31695440">
      <w:pPr>
        <w:rPr>
          <w:rFonts w:hint="eastAsia" w:ascii="宋体" w:hAnsi="宋体" w:eastAsia="宋体" w:cs="宋体"/>
          <w:sz w:val="24"/>
          <w:szCs w:val="24"/>
        </w:rPr>
      </w:pPr>
      <w:r>
        <w:rPr>
          <w:rFonts w:hint="eastAsia" w:ascii="宋体" w:hAnsi="宋体" w:eastAsia="宋体" w:cs="宋体"/>
          <w:sz w:val="24"/>
          <w:szCs w:val="24"/>
        </w:rPr>
        <w:br w:type="page"/>
      </w:r>
    </w:p>
    <w:p w14:paraId="5834B47C">
      <w:pPr>
        <w:keepLines w:val="0"/>
        <w:pageBreakBefore w:val="0"/>
        <w:kinsoku/>
        <w:wordWrap/>
        <w:overflowPunct/>
        <w:topLinePunct w:val="0"/>
        <w:autoSpaceDE/>
        <w:autoSpaceDN/>
        <w:bidi w:val="0"/>
        <w:snapToGrid/>
        <w:spacing w:line="360" w:lineRule="auto"/>
        <w:ind w:firstLine="640" w:firstLineChars="200"/>
        <w:jc w:val="center"/>
        <w:textAlignment w:val="auto"/>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3"/>
        <w:gridCol w:w="2666"/>
        <w:gridCol w:w="6126"/>
      </w:tblGrid>
      <w:tr w14:paraId="510356B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tcBorders>
              <w:top w:val="single" w:color="auto" w:sz="12" w:space="0"/>
              <w:bottom w:val="single" w:color="auto" w:sz="2" w:space="0"/>
            </w:tcBorders>
            <w:shd w:val="clear" w:color="auto" w:fill="F1F1F1"/>
            <w:noWrap w:val="0"/>
            <w:vAlign w:val="center"/>
          </w:tcPr>
          <w:p w14:paraId="0F5EA26F">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2ECB8D1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4" w:type="pct"/>
            <w:tcBorders>
              <w:top w:val="single" w:color="auto" w:sz="12" w:space="0"/>
              <w:bottom w:val="single" w:color="auto" w:sz="2" w:space="0"/>
            </w:tcBorders>
            <w:shd w:val="clear" w:color="auto" w:fill="F1F1F1"/>
            <w:noWrap w:val="0"/>
            <w:vAlign w:val="center"/>
          </w:tcPr>
          <w:p w14:paraId="782C15A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0C8861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749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32D5D75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4" w:type="pct"/>
            <w:noWrap w:val="0"/>
            <w:vAlign w:val="center"/>
          </w:tcPr>
          <w:p w14:paraId="16A5BE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3C48950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1CC1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4354AD41">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4" w:type="pct"/>
            <w:noWrap w:val="0"/>
            <w:vAlign w:val="center"/>
          </w:tcPr>
          <w:p w14:paraId="00890D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符合《中华人民共和国政府采购法》第二十二条的规定，提供承诺函；</w:t>
            </w:r>
          </w:p>
        </w:tc>
      </w:tr>
      <w:tr w14:paraId="27ECC98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55A4A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0F2DC3B4">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4" w:type="pct"/>
            <w:noWrap w:val="0"/>
            <w:vAlign w:val="center"/>
          </w:tcPr>
          <w:p w14:paraId="3A60DB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color w:val="auto"/>
                <w:sz w:val="24"/>
                <w:szCs w:val="24"/>
                <w:highlight w:val="none"/>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1ACACD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0" w:type="pct"/>
            <w:noWrap w:val="0"/>
            <w:vAlign w:val="center"/>
          </w:tcPr>
          <w:p w14:paraId="04A40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1CA9F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4" w:type="pct"/>
            <w:noWrap w:val="0"/>
            <w:vAlign w:val="center"/>
          </w:tcPr>
          <w:p w14:paraId="5A4FE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5113D8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0AB144FC">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3E0F8C6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24BC5B17">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7F98B114">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60C9D723">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600D200A">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2599F7EC">
      <w:pPr>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七、评审方法和程序</w:t>
      </w:r>
    </w:p>
    <w:p w14:paraId="1F035375">
      <w:pPr>
        <w:pStyle w:val="96"/>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2DF33513">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53F82FA7">
      <w:pPr>
        <w:pStyle w:val="96"/>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（二）评标程序</w:t>
      </w:r>
    </w:p>
    <w:p w14:paraId="6FA009EC">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0B4EA19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5F06B6AA">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58063501">
      <w:pPr>
        <w:pStyle w:val="95"/>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626748E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3DAB67F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4B132A5B">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7FE432B9">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89"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7"/>
        <w:gridCol w:w="2129"/>
        <w:gridCol w:w="6657"/>
      </w:tblGrid>
      <w:tr w14:paraId="5FC405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12" w:space="0"/>
              <w:bottom w:val="single" w:color="auto" w:sz="2" w:space="0"/>
            </w:tcBorders>
            <w:shd w:val="clear" w:color="auto" w:fill="F1F1F1" w:themeFill="background1" w:themeFillShade="F2"/>
            <w:vAlign w:val="center"/>
          </w:tcPr>
          <w:p w14:paraId="2179F9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themeFill="background1" w:themeFillShade="F2"/>
            <w:vAlign w:val="center"/>
          </w:tcPr>
          <w:p w14:paraId="13B5949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5" w:type="pct"/>
            <w:tcBorders>
              <w:top w:val="single" w:color="auto" w:sz="12" w:space="0"/>
              <w:bottom w:val="single" w:color="auto" w:sz="2" w:space="0"/>
            </w:tcBorders>
            <w:shd w:val="clear" w:color="auto" w:fill="F1F1F1" w:themeFill="background1" w:themeFillShade="F2"/>
            <w:vAlign w:val="center"/>
          </w:tcPr>
          <w:p w14:paraId="45320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66B9566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tcBorders>
              <w:top w:val="single" w:color="auto" w:sz="2" w:space="0"/>
            </w:tcBorders>
            <w:vAlign w:val="center"/>
          </w:tcPr>
          <w:p w14:paraId="1ACA495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vAlign w:val="center"/>
          </w:tcPr>
          <w:p w14:paraId="5486A60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5" w:type="pct"/>
            <w:tcBorders>
              <w:top w:val="single" w:color="auto" w:sz="2" w:space="0"/>
            </w:tcBorders>
            <w:vAlign w:val="center"/>
          </w:tcPr>
          <w:p w14:paraId="2F03EA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3D196DF1">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0A4534E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02A3DF86">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（3）法定代表人（主要负责人）委托授权书\身份证明</w:t>
            </w:r>
          </w:p>
        </w:tc>
      </w:tr>
      <w:tr w14:paraId="1DA1A4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BCB86B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vAlign w:val="center"/>
          </w:tcPr>
          <w:p w14:paraId="51D5A5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5" w:type="pct"/>
            <w:vAlign w:val="center"/>
          </w:tcPr>
          <w:p w14:paraId="2BBC4DF7">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312F3B7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63804149">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41256DC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574C0ACD">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61D2AE68">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2ADBC1D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0848BD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54A4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vAlign w:val="center"/>
          </w:tcPr>
          <w:p w14:paraId="3DA4508D">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5" w:type="pct"/>
            <w:vAlign w:val="center"/>
          </w:tcPr>
          <w:p w14:paraId="3E8411FF">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6E648C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5730DC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vAlign w:val="center"/>
          </w:tcPr>
          <w:p w14:paraId="0526EAB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5" w:type="pct"/>
            <w:vAlign w:val="center"/>
          </w:tcPr>
          <w:p w14:paraId="1703398E">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772BD1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292D860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vAlign w:val="center"/>
          </w:tcPr>
          <w:p w14:paraId="064BD5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5" w:type="pct"/>
            <w:vAlign w:val="center"/>
          </w:tcPr>
          <w:p w14:paraId="3BA3311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05BB3D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AF62E3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vAlign w:val="center"/>
          </w:tcPr>
          <w:p w14:paraId="2A7688D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3505" w:type="pct"/>
            <w:vAlign w:val="center"/>
          </w:tcPr>
          <w:p w14:paraId="4E66D7B5">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3DCE81E2">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6A29228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5E8B4D8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3D8BC713">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highlight w:val="none"/>
              </w:rPr>
              <w:t>（4）符合《开标一览表》的填报要求</w:t>
            </w:r>
          </w:p>
        </w:tc>
      </w:tr>
      <w:tr w14:paraId="196F9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4B28744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vAlign w:val="center"/>
          </w:tcPr>
          <w:p w14:paraId="723E4CE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5" w:type="pct"/>
            <w:vAlign w:val="center"/>
          </w:tcPr>
          <w:p w14:paraId="660EFFEA">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2AAFBC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7AF4A1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vAlign w:val="center"/>
          </w:tcPr>
          <w:p w14:paraId="73FF5879">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5" w:type="pct"/>
            <w:vAlign w:val="center"/>
          </w:tcPr>
          <w:p w14:paraId="04E25AE4">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694252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6B30C72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vAlign w:val="center"/>
          </w:tcPr>
          <w:p w14:paraId="0121001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5" w:type="pct"/>
            <w:vAlign w:val="center"/>
          </w:tcPr>
          <w:p w14:paraId="4031D6FB">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726B4F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2" w:type="pct"/>
            <w:vAlign w:val="center"/>
          </w:tcPr>
          <w:p w14:paraId="37A9D68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121" w:type="pct"/>
            <w:vAlign w:val="center"/>
          </w:tcPr>
          <w:p w14:paraId="1475FEA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sz w:val="24"/>
                <w:szCs w:val="24"/>
                <w:highlight w:val="green"/>
              </w:rPr>
            </w:pPr>
            <w:r>
              <w:rPr>
                <w:rFonts w:hint="eastAsia" w:ascii="宋体" w:hAnsi="宋体" w:eastAsia="宋体" w:cs="宋体"/>
                <w:sz w:val="24"/>
                <w:szCs w:val="24"/>
              </w:rPr>
              <w:t>其他</w:t>
            </w:r>
          </w:p>
        </w:tc>
        <w:tc>
          <w:tcPr>
            <w:tcW w:w="3505" w:type="pct"/>
            <w:vAlign w:val="center"/>
          </w:tcPr>
          <w:p w14:paraId="762BB6EC">
            <w:pPr>
              <w:keepNext w:val="0"/>
              <w:keepLines w:val="0"/>
              <w:pageBreakBefore w:val="0"/>
              <w:widowControl/>
              <w:kinsoku/>
              <w:wordWrap/>
              <w:overflowPunct/>
              <w:topLinePunct w:val="0"/>
              <w:autoSpaceDE/>
              <w:autoSpaceDN/>
              <w:bidi w:val="0"/>
              <w:adjustRightInd/>
              <w:snapToGrid/>
              <w:spacing w:line="288" w:lineRule="auto"/>
              <w:jc w:val="both"/>
              <w:textAlignment w:val="auto"/>
              <w:rPr>
                <w:rFonts w:hint="eastAsia" w:ascii="宋体" w:hAnsi="宋体" w:eastAsia="宋体" w:cs="宋体"/>
                <w:sz w:val="24"/>
                <w:szCs w:val="24"/>
                <w:highlight w:val="green"/>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3F137D5E">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372C3D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68310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464F39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38157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0BC1573A">
      <w:pPr>
        <w:keepNext w:val="0"/>
        <w:keepLines w:val="0"/>
        <w:pageBreakBefore w:val="0"/>
        <w:widowControl/>
        <w:kinsoku/>
        <w:wordWrap/>
        <w:overflowPunct/>
        <w:topLinePunct w:val="0"/>
        <w:autoSpaceDE/>
        <w:autoSpaceDN/>
        <w:bidi w:val="0"/>
        <w:adjustRightInd/>
        <w:snapToGrid/>
        <w:spacing w:line="560" w:lineRule="exact"/>
        <w:jc w:val="center"/>
        <w:textAlignment w:val="auto"/>
        <w:outlineLvl w:val="2"/>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28"/>
        <w:tblW w:w="10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903"/>
        <w:gridCol w:w="8109"/>
      </w:tblGrid>
      <w:tr w14:paraId="2018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075" w:type="dxa"/>
            <w:noWrap w:val="0"/>
            <w:vAlign w:val="center"/>
          </w:tcPr>
          <w:p w14:paraId="279A8191">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p>
          <w:p w14:paraId="20DFC00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tc>
        <w:tc>
          <w:tcPr>
            <w:tcW w:w="903" w:type="dxa"/>
            <w:noWrap w:val="0"/>
            <w:vAlign w:val="center"/>
          </w:tcPr>
          <w:p w14:paraId="65783582">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8109" w:type="dxa"/>
            <w:noWrap w:val="0"/>
            <w:vAlign w:val="center"/>
          </w:tcPr>
          <w:p w14:paraId="718F24BC">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价格分采用低价优先法计算，即满足招标文件要求且投标价格最低的投标报价为评标基准价，其价格分为满分。其他供应商的价格分统一按照下列公式计算：</w:t>
            </w:r>
          </w:p>
          <w:p w14:paraId="0ACE60C6">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投标报价得分=（评标基准价/有效报价）×价格权重（3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%）×100</w:t>
            </w:r>
          </w:p>
          <w:p w14:paraId="6C01419F">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符合招标文件规定的小型或微型企业或监狱企业或残疾人福利性单位优惠条件的投标人，价格给予10%的扣除，用扣除后的价格参与评审。</w:t>
            </w:r>
          </w:p>
        </w:tc>
      </w:tr>
      <w:tr w14:paraId="72B3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75" w:type="dxa"/>
            <w:noWrap w:val="0"/>
            <w:vAlign w:val="center"/>
          </w:tcPr>
          <w:p w14:paraId="1158076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业绩证明</w:t>
            </w:r>
          </w:p>
        </w:tc>
        <w:tc>
          <w:tcPr>
            <w:tcW w:w="903" w:type="dxa"/>
            <w:noWrap w:val="0"/>
            <w:vAlign w:val="center"/>
          </w:tcPr>
          <w:p w14:paraId="47276B4C">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8109" w:type="dxa"/>
            <w:noWrap w:val="0"/>
            <w:vAlign w:val="center"/>
          </w:tcPr>
          <w:p w14:paraId="43DF3A21">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01</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1日以来类似项目业绩合同（以合同签订时间为准），每份计1分，满分5分。</w:t>
            </w:r>
          </w:p>
          <w:p w14:paraId="6D1B195D">
            <w:pPr>
              <w:spacing w:line="5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（注：以上证明文件在投标文件中附业绩合同扫描件并加盖公司公章。）</w:t>
            </w:r>
          </w:p>
        </w:tc>
      </w:tr>
      <w:tr w14:paraId="703B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1" w:hRule="atLeast"/>
          <w:jc w:val="center"/>
        </w:trPr>
        <w:tc>
          <w:tcPr>
            <w:tcW w:w="1075" w:type="dxa"/>
            <w:vMerge w:val="restart"/>
            <w:noWrap w:val="0"/>
            <w:vAlign w:val="center"/>
          </w:tcPr>
          <w:p w14:paraId="32B88370">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14:paraId="519F53B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w:t>
            </w:r>
          </w:p>
        </w:tc>
        <w:tc>
          <w:tcPr>
            <w:tcW w:w="903" w:type="dxa"/>
            <w:vMerge w:val="restart"/>
            <w:noWrap w:val="0"/>
            <w:vAlign w:val="center"/>
          </w:tcPr>
          <w:p w14:paraId="3A9929F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54</w:t>
            </w:r>
            <w:r>
              <w:rPr>
                <w:rFonts w:hint="eastAsia" w:ascii="宋体" w:hAnsi="宋体" w:eastAsia="宋体" w:cs="宋体"/>
                <w:color w:val="auto"/>
                <w:sz w:val="24"/>
                <w:szCs w:val="24"/>
                <w:highlight w:val="none"/>
              </w:rPr>
              <w:t>分</w:t>
            </w:r>
          </w:p>
        </w:tc>
        <w:tc>
          <w:tcPr>
            <w:tcW w:w="8109" w:type="dxa"/>
            <w:noWrap w:val="0"/>
            <w:vAlign w:val="center"/>
          </w:tcPr>
          <w:p w14:paraId="4062AE07">
            <w:pPr>
              <w:numPr>
                <w:ilvl w:val="0"/>
                <w:numId w:val="3"/>
              </w:num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所投产品选型、配置、功能满足招标文件要求，性能质量好、符合相关国家标准规范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本项满分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4339282B">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产品描述详细、完整，设备选型合理、功能齐全，</w:t>
            </w:r>
            <w:r>
              <w:rPr>
                <w:rFonts w:hint="eastAsia" w:ascii="宋体" w:hAnsi="宋体" w:eastAsia="宋体" w:cs="宋体"/>
                <w:color w:val="auto"/>
                <w:sz w:val="24"/>
                <w:szCs w:val="24"/>
                <w:highlight w:val="none"/>
                <w:lang w:val="en-US" w:eastAsia="zh-CN"/>
              </w:rPr>
              <w:t>完全</w:t>
            </w:r>
            <w:r>
              <w:rPr>
                <w:rFonts w:hint="eastAsia" w:ascii="宋体" w:hAnsi="宋体" w:eastAsia="宋体" w:cs="宋体"/>
                <w:color w:val="auto"/>
                <w:sz w:val="24"/>
                <w:szCs w:val="24"/>
                <w:highlight w:val="none"/>
                <w:lang w:eastAsia="zh-CN"/>
              </w:rPr>
              <w:t>满足招标文件中所有技术参数要求</w:t>
            </w:r>
            <w:r>
              <w:rPr>
                <w:rFonts w:hint="eastAsia" w:ascii="宋体" w:hAnsi="宋体" w:eastAsia="宋体" w:cs="宋体"/>
                <w:color w:val="auto"/>
                <w:sz w:val="24"/>
                <w:szCs w:val="24"/>
                <w:highlight w:val="none"/>
                <w:lang w:val="en-US" w:eastAsia="zh-CN"/>
              </w:rPr>
              <w:t>的计15分。技术参数有低于招标文件要求的，每一项扣1分，扣完为止。</w:t>
            </w:r>
          </w:p>
        </w:tc>
      </w:tr>
      <w:tr w14:paraId="69E0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dxa"/>
            <w:vMerge w:val="continue"/>
            <w:noWrap w:val="0"/>
            <w:vAlign w:val="center"/>
          </w:tcPr>
          <w:p w14:paraId="7E4B24DD">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3DA5A0B1">
            <w:pPr>
              <w:spacing w:line="500" w:lineRule="exact"/>
              <w:rPr>
                <w:rFonts w:hint="eastAsia" w:ascii="宋体" w:hAnsi="宋体" w:eastAsia="宋体" w:cs="宋体"/>
                <w:color w:val="auto"/>
                <w:sz w:val="24"/>
                <w:szCs w:val="24"/>
                <w:highlight w:val="none"/>
              </w:rPr>
            </w:pPr>
          </w:p>
        </w:tc>
        <w:tc>
          <w:tcPr>
            <w:tcW w:w="8109" w:type="dxa"/>
            <w:noWrap w:val="0"/>
            <w:vAlign w:val="center"/>
          </w:tcPr>
          <w:p w14:paraId="4198A942">
            <w:pPr>
              <w:spacing w:line="54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2、产品相关资料：投标产品附有详细的产品技术资料（包括但不限于</w:t>
            </w:r>
            <w:r>
              <w:rPr>
                <w:rFonts w:hint="eastAsia" w:ascii="宋体" w:hAnsi="宋体" w:eastAsia="宋体" w:cs="宋体"/>
                <w:color w:val="auto"/>
                <w:sz w:val="24"/>
                <w:szCs w:val="24"/>
                <w:highlight w:val="none"/>
                <w:lang w:val="en-US" w:eastAsia="zh-CN"/>
              </w:rPr>
              <w:t>认证证书或</w:t>
            </w:r>
            <w:r>
              <w:rPr>
                <w:rFonts w:hint="eastAsia" w:ascii="宋体" w:hAnsi="宋体" w:eastAsia="宋体" w:cs="宋体"/>
                <w:color w:val="auto"/>
                <w:sz w:val="24"/>
                <w:szCs w:val="24"/>
                <w:highlight w:val="none"/>
              </w:rPr>
              <w:t>产品宣传彩页</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检测报告</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官网功能截图等），本项满分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588D54AB">
            <w:pPr>
              <w:widowControl w:val="0"/>
              <w:adjustRightInd w:val="0"/>
              <w:snapToGrid w:val="0"/>
              <w:spacing w:line="300" w:lineRule="auto"/>
              <w:jc w:val="both"/>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en-US"/>
              </w:rPr>
              <w:t>产品检测报告或相关技术资料、说明书、彩页等完整详细，得</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w:t>
            </w:r>
            <w:r>
              <w:rPr>
                <w:rFonts w:hint="eastAsia" w:ascii="宋体" w:hAnsi="宋体" w:eastAsia="宋体" w:cs="宋体"/>
                <w:color w:val="auto"/>
                <w:highlight w:val="none"/>
                <w:lang w:val="en-US" w:eastAsia="zh-CN"/>
              </w:rPr>
              <w:t>较</w:t>
            </w:r>
            <w:r>
              <w:rPr>
                <w:rFonts w:hint="eastAsia" w:ascii="宋体" w:hAnsi="宋体" w:eastAsia="宋体" w:cs="宋体"/>
                <w:color w:val="auto"/>
                <w:highlight w:val="none"/>
                <w:lang w:val="en-US" w:eastAsia="en-US"/>
              </w:rPr>
              <w:t>完整，得</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产品检测报告或相关技术资料、说明书、彩页表述基本完整，得</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有缺失</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lang w:val="en-US" w:eastAsia="en-US"/>
              </w:rPr>
              <w:t>产品检测报告或相关技术资料、说明书、彩页</w:t>
            </w:r>
            <w:r>
              <w:rPr>
                <w:rFonts w:hint="eastAsia" w:ascii="宋体" w:hAnsi="宋体" w:eastAsia="宋体" w:cs="宋体"/>
                <w:color w:val="auto"/>
                <w:highlight w:val="none"/>
                <w:lang w:val="en-US" w:eastAsia="zh-CN"/>
              </w:rPr>
              <w:t>等资料缺失较多</w:t>
            </w:r>
            <w:r>
              <w:rPr>
                <w:rFonts w:hint="eastAsia" w:ascii="宋体" w:hAnsi="宋体" w:eastAsia="宋体" w:cs="宋体"/>
                <w:color w:val="auto"/>
                <w:highlight w:val="none"/>
                <w:lang w:val="en-US" w:eastAsia="en-US"/>
              </w:rPr>
              <w:t>，得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en-US" w:eastAsia="en-US"/>
              </w:rPr>
              <w:t>分</w:t>
            </w:r>
            <w:r>
              <w:rPr>
                <w:rFonts w:hint="eastAsia" w:ascii="宋体" w:hAnsi="宋体" w:eastAsia="宋体" w:cs="宋体"/>
                <w:color w:val="auto"/>
                <w:highlight w:val="none"/>
                <w:lang w:val="en-US" w:eastAsia="zh-CN"/>
              </w:rPr>
              <w:t>；</w:t>
            </w:r>
          </w:p>
        </w:tc>
      </w:tr>
      <w:tr w14:paraId="5A38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1075" w:type="dxa"/>
            <w:vMerge w:val="continue"/>
            <w:noWrap w:val="0"/>
            <w:vAlign w:val="center"/>
          </w:tcPr>
          <w:p w14:paraId="79DF6F18">
            <w:pPr>
              <w:spacing w:line="500" w:lineRule="exact"/>
              <w:jc w:val="center"/>
              <w:rPr>
                <w:rFonts w:hint="eastAsia" w:ascii="宋体" w:hAnsi="宋体" w:eastAsia="宋体" w:cs="宋体"/>
                <w:color w:val="auto"/>
                <w:sz w:val="24"/>
                <w:szCs w:val="24"/>
                <w:highlight w:val="none"/>
              </w:rPr>
            </w:pPr>
          </w:p>
        </w:tc>
        <w:tc>
          <w:tcPr>
            <w:tcW w:w="903" w:type="dxa"/>
            <w:vMerge w:val="continue"/>
            <w:noWrap w:val="0"/>
            <w:vAlign w:val="center"/>
          </w:tcPr>
          <w:p w14:paraId="20FF882A">
            <w:pPr>
              <w:spacing w:line="500" w:lineRule="exact"/>
              <w:rPr>
                <w:rFonts w:hint="eastAsia" w:ascii="宋体" w:hAnsi="宋体" w:eastAsia="宋体" w:cs="宋体"/>
                <w:color w:val="auto"/>
                <w:sz w:val="24"/>
                <w:szCs w:val="24"/>
                <w:highlight w:val="none"/>
              </w:rPr>
            </w:pPr>
          </w:p>
        </w:tc>
        <w:tc>
          <w:tcPr>
            <w:tcW w:w="8109" w:type="dxa"/>
            <w:noWrap w:val="0"/>
            <w:vAlign w:val="center"/>
          </w:tcPr>
          <w:p w14:paraId="0F49E1A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3、项目实施方案，包括供货安排，仓储、运输及派送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安装调试等，具有全面性、可行性、针对性，方案明确，布局规范。本项满分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未提供不计分。</w:t>
            </w:r>
          </w:p>
          <w:p w14:paraId="29D06741">
            <w:pPr>
              <w:spacing w:line="500" w:lineRule="exact"/>
              <w:rPr>
                <w:rFonts w:hint="default" w:ascii="宋体" w:hAnsi="宋体" w:eastAsia="仿宋_GB2312" w:cs="宋体"/>
                <w:color w:val="auto"/>
                <w:sz w:val="24"/>
                <w:szCs w:val="24"/>
                <w:highlight w:val="none"/>
                <w:lang w:val="en-US" w:eastAsia="zh-CN"/>
              </w:rPr>
            </w:pPr>
            <w:r>
              <w:rPr>
                <w:rFonts w:hint="eastAsia" w:ascii="宋体" w:hAnsi="宋体" w:eastAsia="宋体" w:cs="宋体"/>
                <w:color w:val="auto"/>
                <w:sz w:val="24"/>
                <w:szCs w:val="24"/>
                <w:highlight w:val="none"/>
              </w:rPr>
              <w:t>提供具体详细的实施方案，方案总体思路清晰，实施方法及工作安排合理，涵盖内容全面，针对性操作性强得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提供具体详细的实施方案，方案总体思路清晰，实施方法及工作安排合理，涵盖内容全面，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提供较为具体的实施方案，方案总体思路较清晰，实施方法及工作安排较合理，涵盖内容较全面，针对性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提供实施方案涵盖内容不全面，无法保证项目质量得2分； 方案内容简单笼统，实施难度大的得1分。</w:t>
            </w:r>
            <w:r>
              <w:rPr>
                <w:rFonts w:hint="eastAsia" w:ascii="宋体" w:hAnsi="宋体" w:eastAsia="宋体" w:cs="宋体"/>
                <w:color w:val="auto"/>
                <w:sz w:val="24"/>
                <w:szCs w:val="24"/>
                <w:highlight w:val="none"/>
                <w:lang w:val="en-US" w:eastAsia="zh-CN"/>
              </w:rPr>
              <w:t xml:space="preserve"> 未提供方案不得分。</w:t>
            </w:r>
          </w:p>
        </w:tc>
      </w:tr>
      <w:tr w14:paraId="1CF0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75" w:type="dxa"/>
            <w:vMerge w:val="continue"/>
            <w:noWrap w:val="0"/>
            <w:vAlign w:val="center"/>
          </w:tcPr>
          <w:p w14:paraId="22DC29D5">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503E3430">
            <w:pPr>
              <w:spacing w:line="500" w:lineRule="exact"/>
              <w:rPr>
                <w:rFonts w:hint="eastAsia" w:ascii="宋体" w:hAnsi="宋体" w:eastAsia="宋体" w:cs="宋体"/>
                <w:color w:val="auto"/>
                <w:sz w:val="24"/>
                <w:szCs w:val="24"/>
                <w:highlight w:val="none"/>
              </w:rPr>
            </w:pPr>
          </w:p>
        </w:tc>
        <w:tc>
          <w:tcPr>
            <w:tcW w:w="8109" w:type="dxa"/>
            <w:noWrap w:val="0"/>
            <w:vAlign w:val="center"/>
          </w:tcPr>
          <w:p w14:paraId="286B8F76">
            <w:pPr>
              <w:numPr>
                <w:ilvl w:val="0"/>
                <w:numId w:val="4"/>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根据投入项目组成人员安排，</w:t>
            </w:r>
            <w:r>
              <w:rPr>
                <w:rFonts w:hint="eastAsia" w:ascii="宋体" w:hAnsi="宋体" w:eastAsia="宋体" w:cs="宋体"/>
                <w:color w:val="auto"/>
                <w:sz w:val="24"/>
                <w:szCs w:val="24"/>
                <w:highlight w:val="none"/>
                <w:lang w:val="zh-CN"/>
              </w:rPr>
              <w:t>项目组织机构健全，人员经验丰富、配备合理</w:t>
            </w:r>
            <w:r>
              <w:rPr>
                <w:rFonts w:hint="eastAsia" w:ascii="宋体" w:hAnsi="宋体" w:eastAsia="宋体" w:cs="宋体"/>
                <w:color w:val="auto"/>
                <w:sz w:val="24"/>
                <w:szCs w:val="24"/>
                <w:highlight w:val="none"/>
              </w:rPr>
              <w:t>，根据响应程度计分。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3F194B68">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人员团队</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p>
          <w:p w14:paraId="10F86957">
            <w:pPr>
              <w:numPr>
                <w:ilvl w:val="0"/>
                <w:numId w:val="0"/>
              </w:numPr>
              <w:spacing w:line="460" w:lineRule="exact"/>
              <w:rPr>
                <w:rFonts w:hint="eastAsia" w:ascii="宋体" w:hAnsi="宋体" w:eastAsia="宋体" w:cs="宋体"/>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未提供方案不得分。</w:t>
            </w:r>
          </w:p>
        </w:tc>
      </w:tr>
      <w:tr w14:paraId="14A1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1075" w:type="dxa"/>
            <w:vMerge w:val="continue"/>
            <w:noWrap w:val="0"/>
            <w:vAlign w:val="center"/>
          </w:tcPr>
          <w:p w14:paraId="16DDB4FB">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6CC116B4">
            <w:pPr>
              <w:spacing w:line="500" w:lineRule="exact"/>
              <w:rPr>
                <w:rFonts w:hint="eastAsia" w:ascii="宋体" w:hAnsi="宋体" w:eastAsia="宋体" w:cs="宋体"/>
                <w:color w:val="auto"/>
                <w:sz w:val="24"/>
                <w:szCs w:val="24"/>
                <w:highlight w:val="none"/>
              </w:rPr>
            </w:pPr>
          </w:p>
        </w:tc>
        <w:tc>
          <w:tcPr>
            <w:tcW w:w="8109" w:type="dxa"/>
            <w:noWrap w:val="0"/>
            <w:vAlign w:val="center"/>
          </w:tcPr>
          <w:p w14:paraId="661AB3C3">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、确保质量的技术组织措施，包括进货渠道、质量保证等相关证明材料（包括但不限于产品的合法来源渠道、授权书、产品合格证等）。本项满分</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p w14:paraId="155D9ECD">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提供具体详细的确保质量的技术组织措施实施方案，方案总体思路清晰，实施方法及相关证明材料</w:t>
            </w:r>
            <w:r>
              <w:rPr>
                <w:rFonts w:hint="eastAsia" w:ascii="宋体" w:hAnsi="宋体" w:eastAsia="宋体" w:cs="宋体"/>
                <w:color w:val="auto"/>
                <w:sz w:val="24"/>
                <w:szCs w:val="24"/>
                <w:highlight w:val="none"/>
                <w:lang w:val="en-US" w:eastAsia="zh-CN"/>
              </w:rPr>
              <w:t>完整齐全</w:t>
            </w:r>
            <w:r>
              <w:rPr>
                <w:rFonts w:hint="eastAsia" w:ascii="宋体" w:hAnsi="宋体" w:eastAsia="宋体" w:cs="宋体"/>
                <w:color w:val="auto"/>
                <w:sz w:val="24"/>
                <w:szCs w:val="24"/>
                <w:highlight w:val="none"/>
              </w:rPr>
              <w:t>，涵盖内容全面，针对性操作性强得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 提供具体详细的实施方案，方案总体思路清晰，实施方法及相关证明材料</w:t>
            </w:r>
            <w:r>
              <w:rPr>
                <w:rFonts w:hint="eastAsia" w:ascii="宋体" w:hAnsi="宋体" w:eastAsia="宋体" w:cs="宋体"/>
                <w:color w:val="auto"/>
                <w:sz w:val="24"/>
                <w:szCs w:val="24"/>
                <w:highlight w:val="none"/>
                <w:lang w:val="en-US" w:eastAsia="zh-CN"/>
              </w:rPr>
              <w:t>齐全</w:t>
            </w:r>
            <w:r>
              <w:rPr>
                <w:rFonts w:hint="eastAsia" w:ascii="宋体" w:hAnsi="宋体" w:eastAsia="宋体" w:cs="宋体"/>
                <w:color w:val="auto"/>
                <w:sz w:val="24"/>
                <w:szCs w:val="24"/>
                <w:highlight w:val="none"/>
              </w:rPr>
              <w:t>，涵盖内容全面，</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针对性操作性得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 提供较为具体的实施方案，方案总体思路较清晰，实施方法及相关证明材料</w:t>
            </w:r>
            <w:r>
              <w:rPr>
                <w:rFonts w:hint="eastAsia" w:ascii="宋体" w:hAnsi="宋体" w:eastAsia="宋体" w:cs="宋体"/>
                <w:color w:val="auto"/>
                <w:sz w:val="24"/>
                <w:szCs w:val="24"/>
                <w:highlight w:val="none"/>
                <w:lang w:val="en-US" w:eastAsia="zh-CN"/>
              </w:rPr>
              <w:t>基本齐全</w:t>
            </w:r>
            <w:r>
              <w:rPr>
                <w:rFonts w:hint="eastAsia" w:ascii="宋体" w:hAnsi="宋体" w:eastAsia="宋体" w:cs="宋体"/>
                <w:color w:val="auto"/>
                <w:sz w:val="24"/>
                <w:szCs w:val="24"/>
                <w:highlight w:val="none"/>
              </w:rPr>
              <w:t>，涵盖内容较全面，针对性</w:t>
            </w:r>
            <w:r>
              <w:rPr>
                <w:rFonts w:hint="eastAsia" w:ascii="宋体" w:hAnsi="宋体" w:eastAsia="宋体" w:cs="宋体"/>
                <w:color w:val="auto"/>
                <w:sz w:val="24"/>
                <w:szCs w:val="24"/>
                <w:highlight w:val="none"/>
                <w:lang w:val="en-US" w:eastAsia="zh-CN"/>
              </w:rPr>
              <w:t>一般</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 提供实施方案涵盖内容不全面，相关证明材料</w:t>
            </w:r>
            <w:r>
              <w:rPr>
                <w:rFonts w:hint="eastAsia" w:ascii="宋体" w:hAnsi="宋体" w:eastAsia="宋体" w:cs="宋体"/>
                <w:color w:val="auto"/>
                <w:sz w:val="24"/>
                <w:szCs w:val="24"/>
                <w:highlight w:val="none"/>
                <w:lang w:val="en-US" w:eastAsia="zh-CN"/>
              </w:rPr>
              <w:t>缺失，</w:t>
            </w:r>
            <w:r>
              <w:rPr>
                <w:rFonts w:hint="eastAsia" w:ascii="宋体" w:hAnsi="宋体" w:eastAsia="宋体" w:cs="宋体"/>
                <w:color w:val="auto"/>
                <w:sz w:val="24"/>
                <w:szCs w:val="24"/>
                <w:highlight w:val="none"/>
              </w:rPr>
              <w:t>无法保证项目质量得2分； 方案内容简单笼统，</w:t>
            </w:r>
            <w:r>
              <w:rPr>
                <w:rFonts w:hint="eastAsia" w:ascii="宋体" w:hAnsi="宋体" w:eastAsia="宋体" w:cs="宋体"/>
                <w:color w:val="auto"/>
                <w:sz w:val="24"/>
                <w:szCs w:val="24"/>
                <w:highlight w:val="none"/>
                <w:lang w:val="en-US" w:eastAsia="zh-CN"/>
              </w:rPr>
              <w:t>无</w:t>
            </w:r>
            <w:r>
              <w:rPr>
                <w:rFonts w:hint="eastAsia" w:ascii="宋体" w:hAnsi="宋体" w:eastAsia="宋体" w:cs="宋体"/>
                <w:color w:val="auto"/>
                <w:sz w:val="24"/>
                <w:szCs w:val="24"/>
                <w:highlight w:val="none"/>
              </w:rPr>
              <w:t>相关证明材料实施难度大的得1分。</w:t>
            </w:r>
            <w:r>
              <w:rPr>
                <w:rFonts w:hint="eastAsia" w:ascii="宋体" w:hAnsi="宋体" w:eastAsia="宋体" w:cs="宋体"/>
                <w:color w:val="auto"/>
                <w:sz w:val="24"/>
                <w:szCs w:val="24"/>
                <w:highlight w:val="none"/>
                <w:lang w:val="en-US" w:eastAsia="zh-CN"/>
              </w:rPr>
              <w:t>未提供方案不得分。</w:t>
            </w:r>
          </w:p>
        </w:tc>
      </w:tr>
      <w:tr w14:paraId="666E5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79C719E3">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4EC6CCD4">
            <w:pPr>
              <w:spacing w:line="500" w:lineRule="exact"/>
              <w:rPr>
                <w:rFonts w:hint="eastAsia" w:ascii="宋体" w:hAnsi="宋体" w:eastAsia="宋体" w:cs="宋体"/>
                <w:color w:val="auto"/>
                <w:sz w:val="24"/>
                <w:szCs w:val="24"/>
                <w:highlight w:val="none"/>
              </w:rPr>
            </w:pPr>
          </w:p>
        </w:tc>
        <w:tc>
          <w:tcPr>
            <w:tcW w:w="8109" w:type="dxa"/>
            <w:noWrap w:val="0"/>
            <w:vAlign w:val="center"/>
          </w:tcPr>
          <w:p w14:paraId="7B6D8F8E">
            <w:pPr>
              <w:numPr>
                <w:ilvl w:val="0"/>
                <w:numId w:val="5"/>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rPr>
              <w:t>针对本项目可能出现的各类突发情况提供应急解决方案，根据响应程度计分。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29DADCDD">
            <w:pPr>
              <w:numPr>
                <w:ilvl w:val="0"/>
                <w:numId w:val="0"/>
              </w:numPr>
              <w:spacing w:line="460" w:lineRule="exact"/>
              <w:rPr>
                <w:rFonts w:hint="eastAsia" w:ascii="宋体" w:hAnsi="宋体" w:eastAsia="宋体" w:cs="宋体"/>
                <w:bCs/>
                <w:color w:val="auto"/>
                <w:sz w:val="24"/>
                <w:szCs w:val="24"/>
                <w:highlight w:val="none"/>
                <w:lang w:eastAsia="zh-CN"/>
              </w:rPr>
            </w:pPr>
            <w:r>
              <w:rPr>
                <w:rFonts w:hint="eastAsia" w:ascii="宋体" w:hAnsi="宋体" w:eastAsia="宋体" w:cs="宋体"/>
                <w:color w:val="auto"/>
                <w:sz w:val="24"/>
                <w:szCs w:val="24"/>
                <w:highlight w:val="none"/>
                <w:lang w:val="en-US" w:eastAsia="zh-CN"/>
              </w:rPr>
              <w:t>提供针对本项目的应急方案，方案科学全面、详细具体、针对性强得5分；应急方案科学全面、详细具体、针对性较强得4分；方案科学合理、可行得3分；方案基本可行，但不够全面得2分；方案欠缺、不利于实施得1分。未提供方案不得分。</w:t>
            </w:r>
          </w:p>
        </w:tc>
      </w:tr>
      <w:tr w14:paraId="601E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75" w:type="dxa"/>
            <w:vMerge w:val="continue"/>
            <w:noWrap w:val="0"/>
            <w:vAlign w:val="center"/>
          </w:tcPr>
          <w:p w14:paraId="18A6AA3E">
            <w:pPr>
              <w:spacing w:line="500" w:lineRule="exact"/>
              <w:rPr>
                <w:rFonts w:hint="eastAsia" w:ascii="宋体" w:hAnsi="宋体" w:eastAsia="宋体" w:cs="宋体"/>
                <w:color w:val="auto"/>
                <w:sz w:val="24"/>
                <w:szCs w:val="24"/>
                <w:highlight w:val="none"/>
              </w:rPr>
            </w:pPr>
          </w:p>
        </w:tc>
        <w:tc>
          <w:tcPr>
            <w:tcW w:w="903" w:type="dxa"/>
            <w:vMerge w:val="continue"/>
            <w:noWrap w:val="0"/>
            <w:vAlign w:val="center"/>
          </w:tcPr>
          <w:p w14:paraId="1101160A">
            <w:pPr>
              <w:spacing w:line="500" w:lineRule="exact"/>
              <w:rPr>
                <w:rFonts w:hint="eastAsia" w:ascii="宋体" w:hAnsi="宋体" w:eastAsia="宋体" w:cs="宋体"/>
                <w:color w:val="auto"/>
                <w:sz w:val="24"/>
                <w:szCs w:val="24"/>
                <w:highlight w:val="none"/>
              </w:rPr>
            </w:pPr>
          </w:p>
        </w:tc>
        <w:tc>
          <w:tcPr>
            <w:tcW w:w="8109" w:type="dxa"/>
            <w:noWrap w:val="0"/>
            <w:vAlign w:val="center"/>
          </w:tcPr>
          <w:p w14:paraId="34C349C3">
            <w:pPr>
              <w:numPr>
                <w:ilvl w:val="0"/>
                <w:numId w:val="5"/>
              </w:numPr>
              <w:spacing w:line="460" w:lineRule="exact"/>
              <w:ind w:left="0" w:leftChars="0" w:firstLine="0" w:firstLineChars="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供应商针对本项目有详细可行的技术培训措施：培训计划完善，内容充实，安排合理，保证使用单位能熟练操作维护和正常使用，根据响应程度计分；</w:t>
            </w:r>
            <w:r>
              <w:rPr>
                <w:rFonts w:hint="eastAsia" w:ascii="宋体" w:hAnsi="宋体" w:eastAsia="宋体" w:cs="宋体"/>
                <w:color w:val="auto"/>
                <w:sz w:val="24"/>
                <w:szCs w:val="24"/>
                <w:highlight w:val="none"/>
                <w:lang w:val="en-US" w:eastAsia="zh-CN"/>
              </w:rPr>
              <w:t>本项满分5分。</w:t>
            </w:r>
            <w:r>
              <w:rPr>
                <w:rFonts w:hint="eastAsia" w:ascii="宋体" w:hAnsi="宋体" w:eastAsia="宋体" w:cs="宋体"/>
                <w:bCs/>
                <w:color w:val="auto"/>
                <w:sz w:val="24"/>
                <w:szCs w:val="24"/>
                <w:highlight w:val="none"/>
                <w:lang w:eastAsia="zh-CN"/>
              </w:rPr>
              <w:t>未提供不计分。</w:t>
            </w:r>
          </w:p>
          <w:p w14:paraId="6DBE7147">
            <w:pPr>
              <w:numPr>
                <w:ilvl w:val="0"/>
                <w:numId w:val="0"/>
              </w:numPr>
              <w:spacing w:line="460" w:lineRule="exact"/>
              <w:ind w:left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提供针对本项目的</w:t>
            </w:r>
            <w:r>
              <w:rPr>
                <w:rFonts w:hint="eastAsia" w:ascii="宋体" w:hAnsi="宋体" w:eastAsia="宋体" w:cs="宋体"/>
                <w:bCs/>
                <w:color w:val="auto"/>
                <w:sz w:val="24"/>
                <w:szCs w:val="24"/>
                <w:highlight w:val="none"/>
                <w:lang w:val="en-US" w:eastAsia="zh-CN"/>
              </w:rPr>
              <w:t>培训</w:t>
            </w:r>
            <w:r>
              <w:rPr>
                <w:rFonts w:hint="eastAsia" w:ascii="宋体" w:hAnsi="宋体" w:eastAsia="宋体" w:cs="宋体"/>
                <w:bCs/>
                <w:color w:val="auto"/>
                <w:sz w:val="24"/>
                <w:szCs w:val="24"/>
                <w:highlight w:val="none"/>
              </w:rPr>
              <w:t>方案，方案科学全面、详细具体、针对性强得5分；方案科学全面、详细具体、针对性较强得4分；方案科学合理、可行得3分；方案基本可行，但不够全面得2分；方案欠缺、不利于实施得1分。</w:t>
            </w:r>
            <w:r>
              <w:rPr>
                <w:rFonts w:hint="eastAsia" w:ascii="宋体" w:hAnsi="宋体" w:eastAsia="宋体" w:cs="宋体"/>
                <w:color w:val="auto"/>
                <w:sz w:val="24"/>
                <w:szCs w:val="24"/>
                <w:highlight w:val="none"/>
                <w:lang w:val="en-US" w:eastAsia="zh-CN"/>
              </w:rPr>
              <w:t>未提供方案不得分。</w:t>
            </w:r>
          </w:p>
        </w:tc>
      </w:tr>
      <w:tr w14:paraId="77F5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1075" w:type="dxa"/>
            <w:noWrap w:val="0"/>
            <w:vAlign w:val="center"/>
          </w:tcPr>
          <w:p w14:paraId="0AC5BE29">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w:t>
            </w:r>
          </w:p>
          <w:p w14:paraId="4C7A1C0F">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w:t>
            </w:r>
          </w:p>
        </w:tc>
        <w:tc>
          <w:tcPr>
            <w:tcW w:w="903" w:type="dxa"/>
            <w:noWrap w:val="0"/>
            <w:vAlign w:val="center"/>
          </w:tcPr>
          <w:p w14:paraId="2CCBCEF3">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8109" w:type="dxa"/>
            <w:noWrap w:val="0"/>
            <w:vAlign w:val="top"/>
          </w:tcPr>
          <w:p w14:paraId="01AE46D8">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具有完善的售后服务保障体系，售后服务制度健全、质保期内的响应时间以及备品、备件供应计划（方案还应当包含不能完全履行售后服务时愿意接受相关处罚的承诺）</w:t>
            </w:r>
          </w:p>
          <w:p w14:paraId="3C85E128">
            <w:pPr>
              <w:spacing w:line="460" w:lineRule="exac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提供具体详细的售后服务实施方案，方案总体思路清晰，实施方法及工作安排完全合理，涵盖内容具体全面，针对性操作性强得10分；提供具体详细的实施方案，方案总体思路清晰，实施方法及售后服务工作安排合理，涵盖内容全面，针对性操作性较强得8分 ；提供具体详细的实施方案，方案总体思路较清晰，实施方法及售后服务工作安排较合理，涵盖内容较全面，有针对性操作性得6分；</w:t>
            </w:r>
            <w:bookmarkStart w:id="55" w:name="_GoBack"/>
            <w:bookmarkEnd w:id="55"/>
            <w:r>
              <w:rPr>
                <w:rFonts w:hint="eastAsia" w:ascii="宋体" w:hAnsi="宋体" w:eastAsia="宋体" w:cs="宋体"/>
                <w:bCs/>
                <w:color w:val="auto"/>
                <w:sz w:val="24"/>
                <w:szCs w:val="24"/>
                <w:highlight w:val="none"/>
              </w:rPr>
              <w:t>提供较为具体的实施方案，方案总体思路较清晰，实施方法及售后服务工作安排较合理，涵盖内容较全面，针对性一般得4分； 提供实施方案涵盖内容不全面，无法保证项目后期质量得2分； 方案内容简单笼统，实施难度大的得1分。未提供方案不得分。</w:t>
            </w:r>
          </w:p>
        </w:tc>
      </w:tr>
      <w:tr w14:paraId="751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75" w:type="dxa"/>
            <w:noWrap w:val="0"/>
            <w:vAlign w:val="center"/>
          </w:tcPr>
          <w:p w14:paraId="337F953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节能环保产品</w:t>
            </w:r>
          </w:p>
        </w:tc>
        <w:tc>
          <w:tcPr>
            <w:tcW w:w="903" w:type="dxa"/>
            <w:noWrap w:val="0"/>
            <w:vAlign w:val="center"/>
          </w:tcPr>
          <w:p w14:paraId="0986010D">
            <w:pPr>
              <w:spacing w:line="5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p>
        </w:tc>
        <w:tc>
          <w:tcPr>
            <w:tcW w:w="8109" w:type="dxa"/>
            <w:noWrap w:val="0"/>
            <w:vAlign w:val="center"/>
          </w:tcPr>
          <w:p w14:paraId="1C051201">
            <w:pPr>
              <w:spacing w:line="4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提供产品为节能产品或环境标志产品，并提供相关材料的（详见说明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），每提供一项得0.5分，本项最高得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w:t>
            </w:r>
            <w:r>
              <w:rPr>
                <w:rFonts w:hint="eastAsia" w:ascii="宋体" w:hAnsi="宋体" w:eastAsia="宋体" w:cs="宋体"/>
                <w:bCs/>
                <w:color w:val="auto"/>
                <w:sz w:val="24"/>
                <w:szCs w:val="24"/>
                <w:highlight w:val="none"/>
                <w:lang w:eastAsia="zh-CN"/>
              </w:rPr>
              <w:t>未提供不计分。</w:t>
            </w:r>
          </w:p>
        </w:tc>
      </w:tr>
    </w:tbl>
    <w:p w14:paraId="20387E1F">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：关于同品牌的说明：</w:t>
      </w:r>
    </w:p>
    <w:p w14:paraId="686942C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2"/>
          <w:sz w:val="24"/>
          <w:szCs w:val="24"/>
          <w:highlight w:val="none"/>
          <w:lang w:eastAsia="zh-CN" w:bidi="ar-SA"/>
        </w:rPr>
        <w:t>若供应商所投核心产品为同一品牌，</w:t>
      </w:r>
      <w:r>
        <w:rPr>
          <w:rFonts w:hint="eastAsia" w:ascii="宋体" w:hAnsi="宋体" w:eastAsia="宋体" w:cs="宋体"/>
          <w:color w:val="auto"/>
          <w:sz w:val="24"/>
          <w:szCs w:val="24"/>
        </w:rPr>
        <w:t>且通过资格审查、符合性审查的不同供应商参加同一合同项下投标的，按一家供应商计算，评审后得分最高的同品牌供应商获得中标供应商推荐资格；评审得分相同的，由采购人或者采购人委托评标委员会小组按照随机抽取的方式确定一个供应商获得中标供应商推荐资格</w:t>
      </w:r>
      <w:r>
        <w:rPr>
          <w:rFonts w:hint="eastAsia" w:ascii="宋体" w:hAnsi="宋体" w:eastAsia="宋体" w:cs="宋体"/>
          <w:color w:val="auto"/>
          <w:sz w:val="24"/>
          <w:szCs w:val="24"/>
          <w:lang w:eastAsia="zh-CN"/>
        </w:rPr>
        <w:t>，</w:t>
      </w:r>
      <w:r>
        <w:rPr>
          <w:rFonts w:hint="eastAsia" w:ascii="宋体" w:hAnsi="宋体" w:eastAsia="宋体" w:cs="宋体"/>
          <w:color w:val="auto"/>
          <w:kern w:val="2"/>
          <w:sz w:val="24"/>
          <w:szCs w:val="24"/>
          <w:highlight w:val="none"/>
          <w:lang w:eastAsia="zh-CN" w:bidi="ar-SA"/>
        </w:rPr>
        <w:t>其他同品牌供应商不作为中标候选人。</w:t>
      </w:r>
    </w:p>
    <w:p w14:paraId="12008646">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非单一产品采购项目中，采购人根据采购项目技术构成、产品价格比重等合理确定核心产品。多家供应商提供的核心产品品牌相同的，按上述规定处理。</w:t>
      </w:r>
    </w:p>
    <w:p w14:paraId="3687B030">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说明</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：关于调整优化节能产品、环境标志产品的说明</w:t>
      </w:r>
    </w:p>
    <w:p w14:paraId="6C3DC05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关于调整优化节能产品、环境标志产品政府采购执行机制的通知》--（财库〔2019〕9号）规定，政府采购属于品目清单中产品时，在技术、服务等指标同等条件下，应当优先采购品目清单所列的产品，执行的相关措施详见“商务和技术评分细则-节能环保产品”：</w:t>
      </w:r>
    </w:p>
    <w:p w14:paraId="2AFF99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color w:val="auto"/>
          <w:sz w:val="24"/>
          <w:szCs w:val="24"/>
        </w:rPr>
        <w:t>注：1、节能产品、环境标志产品是指政府优先采购和强制采购的产品类别及所依据的相关标准规范的“品目清单”中的有效期内的产品。</w:t>
      </w:r>
    </w:p>
    <w:p w14:paraId="04D12D1D">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2、在招标时供应商应提供加盖供应商公章的有效证明材料。</w:t>
      </w:r>
    </w:p>
    <w:p w14:paraId="52810471">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3、如同一产品既属于节能产品清单，又属于环境标志产品清单，不重复加分。</w:t>
      </w:r>
    </w:p>
    <w:p w14:paraId="3DC0DF74">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：关于绿色建材的说明</w:t>
      </w:r>
    </w:p>
    <w:p w14:paraId="00362BAA">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为落实关于印发《政府采购支持绿色建材促进建筑品质提升政策项目实施指南》的通知（财库〔2023〕52号）及《关于扩大政府采购支持绿色建材促进建筑品质提升政策实施范围的通知》（财库〔2022〕35号），对于供应商使用被纳入《绿色建筑和绿色建材政府采购需求标准》的建材产品或者使用获得绿色建材评价标识、认证、获得环境标志产品认证的绿色建材产品，并提供相关指标的第三方检测或认证机构出具的检测报告、认证证书等证明性文件的，在技术等指标同等条件下，应当优先采购绿色建材产品。</w:t>
      </w:r>
    </w:p>
    <w:p w14:paraId="7574A6EC">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w:t>
      </w:r>
      <w:r>
        <w:rPr>
          <w:rFonts w:hint="eastAsia" w:ascii="宋体" w:hAnsi="宋体" w:eastAsia="宋体" w:cs="宋体"/>
          <w:sz w:val="24"/>
          <w:szCs w:val="24"/>
        </w:rPr>
        <w:t>（1）评委打分超过得分界限或未按本方法赋分时，该评委的打分按废票处理。</w:t>
      </w:r>
    </w:p>
    <w:p w14:paraId="766294EE">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（2）各种计算数字均保留两位小数，第三位“四舍五入”。</w:t>
      </w:r>
    </w:p>
    <w:p w14:paraId="34081E48">
      <w:pPr>
        <w:keepNext w:val="0"/>
        <w:keepLines w:val="0"/>
        <w:pageBreakBefore w:val="0"/>
        <w:widowControl/>
        <w:tabs>
          <w:tab w:val="left" w:pos="1620"/>
        </w:tabs>
        <w:kinsoku/>
        <w:wordWrap/>
        <w:overflowPunct/>
        <w:topLinePunct w:val="0"/>
        <w:autoSpaceDE/>
        <w:autoSpaceDN/>
        <w:bidi w:val="0"/>
        <w:adjustRightInd/>
        <w:snapToGrid/>
        <w:spacing w:line="288" w:lineRule="auto"/>
        <w:ind w:right="-225" w:rightChars="-94" w:firstLine="480" w:firstLineChars="200"/>
        <w:jc w:val="left"/>
        <w:textAlignment w:val="auto"/>
        <w:rPr>
          <w:rFonts w:hint="eastAsia" w:ascii="宋体" w:hAnsi="宋体" w:eastAsia="宋体" w:cs="宋体"/>
          <w:b/>
          <w:bCs/>
          <w:sz w:val="24"/>
          <w:szCs w:val="24"/>
        </w:rPr>
      </w:pPr>
      <w:r>
        <w:rPr>
          <w:rFonts w:hint="eastAsia" w:ascii="宋体" w:hAnsi="宋体" w:eastAsia="宋体" w:cs="宋体"/>
          <w:sz w:val="24"/>
          <w:szCs w:val="24"/>
        </w:rPr>
        <w:t>（3）评标委员会根据以上内容打分，由高到低进行，推荐出中标候选单位。评标委员会依据评审结果写出评审报告，送采购人审定。</w:t>
      </w:r>
    </w:p>
    <w:p w14:paraId="7DD991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7B12013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5E27980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BB7B209">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60CDFF9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521D88E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1F317AE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41BE1142">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2EE720A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70EF61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6619917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03E922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26EF746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792A895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3C35193F">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1EE7E68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32675442">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3B1D5BA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05EE74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77A3E08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569BA65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32BCAE21">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八、中标</w:t>
      </w:r>
    </w:p>
    <w:p w14:paraId="702E750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1C4D193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379CC67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221B39F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120BA23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3F0D662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40D74CF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九、合同签订、履行及验收</w:t>
      </w:r>
    </w:p>
    <w:p w14:paraId="3DD4413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8F89B9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288D263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30</w:t>
      </w:r>
      <w:r>
        <w:rPr>
          <w:rFonts w:hint="eastAsia" w:ascii="宋体" w:hAnsi="宋体" w:eastAsia="宋体" w:cs="宋体"/>
          <w:sz w:val="24"/>
          <w:szCs w:val="24"/>
        </w:rPr>
        <w:t>日内，采购人与中标供应商应按招标文件和中标供应商投标文件的约定，签订书面合同。</w:t>
      </w:r>
    </w:p>
    <w:p w14:paraId="4F36ACB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78E8AA7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21CA10C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18B621FD">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3F37C79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28FC6A2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1AFF1465">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36BFDFE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733BE2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65C73BE7">
      <w:pPr>
        <w:pStyle w:val="96"/>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18A7680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30A11D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5FF26C4E">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十、废标及重新招标</w:t>
      </w:r>
    </w:p>
    <w:p w14:paraId="15CB5E9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3F0DDB2A">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637B86B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22D21059">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00B0ABC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44C7FA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010936D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36ABEE7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32FE0F46">
      <w:pPr>
        <w:rPr>
          <w:rFonts w:hint="eastAsia" w:ascii="宋体" w:hAnsi="宋体" w:eastAsia="宋体" w:cs="宋体"/>
          <w:sz w:val="24"/>
          <w:szCs w:val="24"/>
        </w:rPr>
      </w:pPr>
      <w:bookmarkStart w:id="14" w:name="_Toc100219614"/>
      <w:r>
        <w:rPr>
          <w:rFonts w:hint="eastAsia" w:ascii="宋体" w:hAnsi="宋体" w:eastAsia="宋体" w:cs="宋体"/>
          <w:sz w:val="24"/>
          <w:szCs w:val="24"/>
        </w:rPr>
        <w:br w:type="page"/>
      </w:r>
    </w:p>
    <w:p w14:paraId="58F96F45">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eastAsia="宋体" w:cs="宋体"/>
          <w:b/>
          <w:sz w:val="24"/>
          <w:szCs w:val="24"/>
          <w:highlight w:val="none"/>
          <w:lang w:eastAsia="zh-CN"/>
        </w:rPr>
        <w:t>附件一</w:t>
      </w:r>
      <w:r>
        <w:rPr>
          <w:rFonts w:hint="eastAsia" w:ascii="宋体" w:hAnsi="宋体" w:eastAsia="宋体" w:cs="宋体"/>
          <w:b/>
          <w:sz w:val="24"/>
          <w:szCs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339C7BFF">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0684F70">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886860C">
      <w:pPr>
        <w:pStyle w:val="102"/>
        <w:spacing w:before="40" w:line="420" w:lineRule="exact"/>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附件二</w:t>
      </w:r>
    </w:p>
    <w:p w14:paraId="6289BBEA">
      <w:pPr>
        <w:spacing w:before="281" w:after="0" w:line="360" w:lineRule="auto"/>
        <w:ind w:left="480" w:right="0" w:firstLine="0"/>
        <w:jc w:val="center"/>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陕西政府采购供应商信用融资信息服务平台操作手册</w:t>
      </w:r>
    </w:p>
    <w:p w14:paraId="5824D996">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3"/>
          <w:sz w:val="24"/>
          <w:szCs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szCs w:val="24"/>
          <w:highlight w:val="none"/>
        </w:rPr>
        <w:t>功能。</w:t>
      </w:r>
    </w:p>
    <w:p w14:paraId="4242472D">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1</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首页</w:t>
      </w:r>
    </w:p>
    <w:p w14:paraId="21C958BB">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平台首页主要呈现陕西政府采购信用融资相关政策法规、基本操作流程及供应商帮助内容，供应商企业可由登录注册模块登录平台。</w:t>
      </w:r>
    </w:p>
    <w:p w14:paraId="7996E64C">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szCs w:val="24"/>
          <w:highlight w:val="none"/>
        </w:rPr>
      </w:pPr>
      <w:r>
        <w:rPr>
          <w:rFonts w:hint="eastAsia" w:ascii="宋体" w:hAnsi="宋体" w:eastAsia="宋体" w:cs="宋体"/>
          <w:color w:val="333333"/>
          <w:spacing w:val="0"/>
          <w:sz w:val="24"/>
          <w:szCs w:val="24"/>
          <w:highlight w:val="none"/>
        </w:rPr>
        <w:t>2</w:t>
      </w:r>
      <w:r>
        <w:rPr>
          <w:rFonts w:hint="eastAsia" w:ascii="宋体" w:hAnsi="宋体" w:eastAsia="宋体" w:cs="宋体"/>
          <w:color w:val="333333"/>
          <w:spacing w:val="0"/>
          <w:sz w:val="24"/>
          <w:szCs w:val="24"/>
          <w:highlight w:val="none"/>
          <w:lang w:val="en-US" w:eastAsia="zh-CN"/>
        </w:rPr>
        <w:t>.</w:t>
      </w:r>
      <w:r>
        <w:rPr>
          <w:rFonts w:hint="eastAsia" w:ascii="宋体" w:hAnsi="宋体" w:eastAsia="宋体" w:cs="宋体"/>
          <w:color w:val="333333"/>
          <w:spacing w:val="0"/>
          <w:sz w:val="24"/>
          <w:szCs w:val="24"/>
          <w:highlight w:val="none"/>
        </w:rPr>
        <w:t>登录</w:t>
      </w:r>
    </w:p>
    <w:p w14:paraId="46E32C49">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lang w:eastAsia="zh-CN"/>
        </w:rPr>
      </w:pPr>
      <w:r>
        <w:rPr>
          <w:rFonts w:hint="eastAsia" w:ascii="宋体" w:hAnsi="宋体" w:eastAsia="宋体" w:cs="宋体"/>
          <w:color w:val="333333"/>
          <w:spacing w:val="-3"/>
          <w:sz w:val="24"/>
          <w:szCs w:val="24"/>
          <w:highlight w:val="none"/>
        </w:rPr>
        <w:t>陕西政府采购网的中标企业可用手机号注册用户，注册时需要填写企业名称及社会统一信用代码等信息，如下图：</w:t>
      </w:r>
    </w:p>
    <w:p w14:paraId="476B2322">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drawing>
          <wp:inline distT="0" distB="0" distL="114300" distR="114300">
            <wp:extent cx="6127750" cy="3615690"/>
            <wp:effectExtent l="0" t="0" r="635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11"/>
                    <a:stretch>
                      <a:fillRect/>
                    </a:stretch>
                  </pic:blipFill>
                  <pic:spPr>
                    <a:xfrm>
                      <a:off x="0" y="0"/>
                      <a:ext cx="6127750" cy="3615690"/>
                    </a:xfrm>
                    <a:prstGeom prst="rect">
                      <a:avLst/>
                    </a:prstGeom>
                  </pic:spPr>
                </pic:pic>
              </a:graphicData>
            </a:graphic>
          </wp:inline>
        </w:drawing>
      </w:r>
    </w:p>
    <w:p w14:paraId="716819F1">
      <w:pP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br w:type="page"/>
      </w:r>
    </w:p>
    <w:p w14:paraId="439A0C5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注册成功后，凭手机登录平台，如下图，点击首页：</w:t>
      </w:r>
    </w:p>
    <w:p w14:paraId="6F2B3857">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071235" cy="3425190"/>
            <wp:effectExtent l="0" t="0" r="5715" b="381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12"/>
                    <a:stretch>
                      <a:fillRect/>
                    </a:stretch>
                  </pic:blipFill>
                  <pic:spPr>
                    <a:xfrm>
                      <a:off x="0" y="0"/>
                      <a:ext cx="6071235" cy="3425190"/>
                    </a:xfrm>
                    <a:prstGeom prst="rect">
                      <a:avLst/>
                    </a:prstGeom>
                  </pic:spPr>
                </pic:pic>
              </a:graphicData>
            </a:graphic>
          </wp:inline>
        </w:drawing>
      </w:r>
    </w:p>
    <w:p w14:paraId="6AD9A029">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3.点击“可融资项目/合同”，再点击申请贷款：</w:t>
      </w:r>
    </w:p>
    <w:p w14:paraId="46678B0B">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01715" cy="3441065"/>
            <wp:effectExtent l="0" t="0" r="13335" b="6985"/>
            <wp:docPr id="10"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
                    <pic:cNvPicPr>
                      <a:picLocks noChangeAspect="1"/>
                    </pic:cNvPicPr>
                  </pic:nvPicPr>
                  <pic:blipFill>
                    <a:blip r:embed="rId13"/>
                    <a:stretch>
                      <a:fillRect/>
                    </a:stretch>
                  </pic:blipFill>
                  <pic:spPr>
                    <a:xfrm>
                      <a:off x="0" y="0"/>
                      <a:ext cx="6101715" cy="3441065"/>
                    </a:xfrm>
                    <a:prstGeom prst="rect">
                      <a:avLst/>
                    </a:prstGeom>
                  </pic:spPr>
                </pic:pic>
              </a:graphicData>
            </a:graphic>
          </wp:inline>
        </w:drawing>
      </w:r>
    </w:p>
    <w:p w14:paraId="0A5095B9">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A28D5A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4.勾选融资意向书：</w:t>
      </w:r>
    </w:p>
    <w:p w14:paraId="4637F00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4"/>
                    <a:stretch>
                      <a:fillRect/>
                    </a:stretch>
                  </pic:blipFill>
                  <pic:spPr>
                    <a:xfrm>
                      <a:off x="0" y="0"/>
                      <a:ext cx="6142990" cy="3464560"/>
                    </a:xfrm>
                    <a:prstGeom prst="rect">
                      <a:avLst/>
                    </a:prstGeom>
                  </pic:spPr>
                </pic:pic>
              </a:graphicData>
            </a:graphic>
          </wp:inline>
        </w:drawing>
      </w:r>
    </w:p>
    <w:p w14:paraId="4FF5882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5.页面下拉，输入贷款金额、预计用款周期、可接受利率、贷款资金用途，点击保存，选择办理贷款机构所在地，然后点击下一步。</w:t>
      </w:r>
    </w:p>
    <w:p w14:paraId="09C8AE1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76645" cy="3484880"/>
            <wp:effectExtent l="0" t="0" r="14605"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5"/>
                    <a:stretch>
                      <a:fillRect/>
                    </a:stretch>
                  </pic:blipFill>
                  <pic:spPr>
                    <a:xfrm>
                      <a:off x="0" y="0"/>
                      <a:ext cx="6176645" cy="3484880"/>
                    </a:xfrm>
                    <a:prstGeom prst="rect">
                      <a:avLst/>
                    </a:prstGeom>
                  </pic:spPr>
                </pic:pic>
              </a:graphicData>
            </a:graphic>
          </wp:inline>
        </w:drawing>
      </w:r>
      <w:r>
        <w:rPr>
          <w:rFonts w:hint="eastAsia" w:ascii="宋体" w:hAnsi="宋体" w:eastAsia="宋体" w:cs="宋体"/>
          <w:sz w:val="24"/>
          <w:szCs w:val="24"/>
          <w:highlight w:val="none"/>
          <w:lang w:eastAsia="zh-CN"/>
        </w:rPr>
        <w:br w:type="page"/>
      </w:r>
    </w:p>
    <w:p w14:paraId="0D395464">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6.在意向银行列点击提交贷款意向并确定：</w:t>
      </w:r>
    </w:p>
    <w:p w14:paraId="2777EE53">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13780" cy="3449320"/>
            <wp:effectExtent l="0" t="0" r="1270" b="1778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6"/>
                    <a:stretch>
                      <a:fillRect/>
                    </a:stretch>
                  </pic:blipFill>
                  <pic:spPr>
                    <a:xfrm>
                      <a:off x="0" y="0"/>
                      <a:ext cx="6113780" cy="3449320"/>
                    </a:xfrm>
                    <a:prstGeom prst="rect">
                      <a:avLst/>
                    </a:prstGeom>
                  </pic:spPr>
                </pic:pic>
              </a:graphicData>
            </a:graphic>
          </wp:inline>
        </w:drawing>
      </w:r>
    </w:p>
    <w:p w14:paraId="7893C51C">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szCs w:val="24"/>
          <w:highlight w:val="none"/>
        </w:rPr>
      </w:pPr>
      <w:r>
        <w:rPr>
          <w:rFonts w:hint="eastAsia" w:ascii="宋体" w:hAnsi="宋体" w:eastAsia="宋体" w:cs="宋体"/>
          <w:color w:val="333333"/>
          <w:spacing w:val="-3"/>
          <w:sz w:val="24"/>
          <w:szCs w:val="24"/>
          <w:highlight w:val="none"/>
        </w:rPr>
        <w:t>7.在申请进度栏即可查看本笔融资进度：</w:t>
      </w:r>
    </w:p>
    <w:p w14:paraId="28B28074">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drawing>
          <wp:inline distT="0" distB="0" distL="114300" distR="114300">
            <wp:extent cx="6142990" cy="3464560"/>
            <wp:effectExtent l="0" t="0" r="10160" b="2540"/>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pic:cNvPicPr>
                  </pic:nvPicPr>
                  <pic:blipFill>
                    <a:blip r:embed="rId17"/>
                    <a:stretch>
                      <a:fillRect/>
                    </a:stretch>
                  </pic:blipFill>
                  <pic:spPr>
                    <a:xfrm>
                      <a:off x="0" y="0"/>
                      <a:ext cx="6142990" cy="3464560"/>
                    </a:xfrm>
                    <a:prstGeom prst="rect">
                      <a:avLst/>
                    </a:prstGeom>
                  </pic:spPr>
                </pic:pic>
              </a:graphicData>
            </a:graphic>
          </wp:inline>
        </w:drawing>
      </w:r>
    </w:p>
    <w:p w14:paraId="415942DC">
      <w:pP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40F12A44">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附件三</w:t>
      </w:r>
    </w:p>
    <w:p w14:paraId="326EEC7E">
      <w:pPr>
        <w:pStyle w:val="102"/>
        <w:spacing w:before="40" w:line="360" w:lineRule="auto"/>
        <w:jc w:val="center"/>
        <w:rPr>
          <w:rFonts w:hint="eastAsia" w:ascii="宋体" w:hAnsi="宋体" w:eastAsia="宋体" w:cs="宋体"/>
          <w:color w:val="000000"/>
          <w:spacing w:val="0"/>
          <w:sz w:val="24"/>
          <w:szCs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lang w:val="en-US" w:eastAsia="en-US" w:bidi="ar-SA"/>
        </w:rPr>
        <w:t>开展政采贷业务</w:t>
      </w:r>
      <w:r>
        <w:rPr>
          <w:rFonts w:hint="eastAsia" w:ascii="宋体" w:hAnsi="宋体" w:eastAsia="宋体" w:cs="宋体"/>
          <w:color w:val="000000"/>
          <w:spacing w:val="0"/>
          <w:sz w:val="24"/>
          <w:szCs w:val="24"/>
          <w:highlight w:val="none"/>
        </w:rPr>
        <w:t>联系方式：</w:t>
      </w:r>
    </w:p>
    <w:p w14:paraId="4E2675D6">
      <w:pPr>
        <w:spacing w:before="165" w:after="0" w:line="360" w:lineRule="auto"/>
        <w:ind w:left="0" w:right="0" w:firstLine="480" w:firstLineChars="200"/>
        <w:jc w:val="left"/>
        <w:rPr>
          <w:rFonts w:hint="eastAsia" w:ascii="宋体" w:hAnsi="宋体" w:eastAsia="宋体" w:cs="宋体"/>
          <w:color w:val="000000"/>
          <w:spacing w:val="0"/>
          <w:sz w:val="24"/>
          <w:szCs w:val="24"/>
          <w:highlight w:val="none"/>
        </w:rPr>
      </w:pPr>
      <w:r>
        <w:rPr>
          <w:rFonts w:hint="eastAsia" w:ascii="宋体" w:hAnsi="宋体" w:eastAsia="宋体" w:cs="宋体"/>
          <w:sz w:val="24"/>
          <w:szCs w:val="24"/>
          <w:lang w:val="en-US" w:eastAsia="zh-CN"/>
        </w:rPr>
        <w:t>西安浐灞国际港</w:t>
      </w:r>
      <w:r>
        <w:rPr>
          <w:rFonts w:hint="eastAsia" w:ascii="宋体" w:hAnsi="宋体" w:eastAsia="宋体" w:cs="宋体"/>
          <w:color w:val="000000"/>
          <w:spacing w:val="0"/>
          <w:sz w:val="24"/>
          <w:szCs w:val="24"/>
          <w:highlight w:val="none"/>
        </w:rPr>
        <w:t>政府采购信用融资联系人：王涛  15029991040</w:t>
      </w:r>
    </w:p>
    <w:p w14:paraId="6F21970A">
      <w:pPr>
        <w:rPr>
          <w:rFonts w:hint="eastAsia" w:ascii="宋体" w:hAnsi="宋体" w:eastAsia="宋体" w:cs="宋体"/>
          <w:sz w:val="24"/>
          <w:szCs w:val="24"/>
        </w:rPr>
      </w:pPr>
    </w:p>
    <w:p w14:paraId="449BDC5F">
      <w:pPr>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br w:type="page"/>
      </w:r>
    </w:p>
    <w:p w14:paraId="41B89F4B">
      <w:pPr>
        <w:pStyle w:val="3"/>
        <w:numPr>
          <w:ilvl w:val="0"/>
          <w:numId w:val="6"/>
        </w:numPr>
        <w:rPr>
          <w:rFonts w:hint="eastAsia" w:ascii="宋体" w:hAnsi="宋体" w:eastAsia="宋体" w:cs="宋体"/>
          <w:b/>
          <w:bCs/>
          <w:sz w:val="32"/>
          <w:szCs w:val="32"/>
          <w:highlight w:val="none"/>
        </w:rPr>
      </w:pPr>
      <w:bookmarkStart w:id="15" w:name="_Toc1267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 xml:space="preserve"> </w:t>
      </w:r>
      <w:bookmarkStart w:id="16" w:name="_Toc23789"/>
      <w:r>
        <w:rPr>
          <w:rFonts w:hint="eastAsia" w:ascii="宋体" w:hAnsi="宋体" w:eastAsia="宋体" w:cs="宋体"/>
          <w:b/>
          <w:bCs/>
          <w:sz w:val="32"/>
          <w:szCs w:val="32"/>
          <w:highlight w:val="none"/>
        </w:rPr>
        <w:t>招标内容及要求</w:t>
      </w:r>
      <w:bookmarkEnd w:id="14"/>
      <w:bookmarkEnd w:id="15"/>
      <w:bookmarkEnd w:id="16"/>
    </w:p>
    <w:p w14:paraId="45FA2562">
      <w:pPr>
        <w:numPr>
          <w:ilvl w:val="0"/>
          <w:numId w:val="0"/>
        </w:num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bidi="ar-SA"/>
        </w:rPr>
        <w:t>一、</w:t>
      </w:r>
      <w:r>
        <w:rPr>
          <w:rFonts w:hint="eastAsia" w:ascii="宋体" w:hAnsi="宋体" w:eastAsia="宋体" w:cs="宋体"/>
          <w:b/>
          <w:bCs/>
          <w:sz w:val="24"/>
          <w:szCs w:val="24"/>
          <w:lang w:val="en-US" w:eastAsia="zh-CN"/>
        </w:rPr>
        <w:t>项目名称</w:t>
      </w:r>
    </w:p>
    <w:p w14:paraId="45414563">
      <w:pPr>
        <w:keepNext w:val="0"/>
        <w:keepLines w:val="0"/>
        <w:pageBreakBefore w:val="0"/>
        <w:widowControl/>
        <w:numPr>
          <w:ilvl w:val="0"/>
          <w:numId w:val="0"/>
        </w:numPr>
        <w:kinsoku/>
        <w:wordWrap/>
        <w:overflowPunct/>
        <w:topLinePunct w:val="0"/>
        <w:autoSpaceDE/>
        <w:autoSpaceDN/>
        <w:bidi w:val="0"/>
        <w:adjustRightInd/>
        <w:snapToGrid/>
        <w:textAlignment w:val="auto"/>
        <w:rPr>
          <w:rFonts w:hint="default" w:ascii="宋体" w:hAnsi="宋体" w:eastAsia="宋体" w:cs="宋体"/>
          <w:spacing w:val="0"/>
          <w:sz w:val="24"/>
          <w:szCs w:val="24"/>
          <w:lang w:val="en-US" w:eastAsia="zh-CN"/>
        </w:rPr>
      </w:pPr>
      <w:r>
        <w:rPr>
          <w:rFonts w:hint="eastAsia" w:ascii="宋体" w:hAnsi="宋体" w:eastAsia="宋体" w:cs="宋体"/>
          <w:spacing w:val="0"/>
          <w:sz w:val="24"/>
          <w:szCs w:val="24"/>
          <w:lang w:val="en-US" w:eastAsia="zh-CN"/>
        </w:rPr>
        <w:t>2025年全区学校教育教学设施设备采购项目第二批次(信息化及多媒体类部室)第一包</w:t>
      </w:r>
    </w:p>
    <w:p w14:paraId="4AA5A3EA">
      <w:pPr>
        <w:numPr>
          <w:ilvl w:val="0"/>
          <w:numId w:val="7"/>
        </w:numPr>
        <w:bidi w:val="0"/>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采购清单</w:t>
      </w:r>
    </w:p>
    <w:tbl>
      <w:tblPr>
        <w:tblStyle w:val="29"/>
        <w:tblpPr w:leftFromText="180" w:rightFromText="180" w:vertAnchor="text" w:horzAnchor="page" w:tblpX="895" w:tblpY="426"/>
        <w:tblOverlap w:val="never"/>
        <w:tblW w:w="10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
        <w:gridCol w:w="978"/>
        <w:gridCol w:w="706"/>
        <w:gridCol w:w="6279"/>
        <w:gridCol w:w="785"/>
        <w:gridCol w:w="988"/>
      </w:tblGrid>
      <w:tr w14:paraId="50DE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4" w:type="dxa"/>
            <w:noWrap w:val="0"/>
            <w:vAlign w:val="top"/>
          </w:tcPr>
          <w:p w14:paraId="12D22C8E">
            <w:pPr>
              <w:rPr>
                <w:rFonts w:hint="eastAsia" w:ascii="宋体" w:hAnsi="宋体" w:eastAsia="宋体" w:cs="宋体"/>
                <w:sz w:val="20"/>
                <w:szCs w:val="20"/>
                <w:vertAlign w:val="baseline"/>
                <w:lang w:val="en-US" w:eastAsia="zh-CN"/>
              </w:rPr>
            </w:pPr>
            <w:bookmarkStart w:id="17" w:name="_Toc100219615"/>
            <w:r>
              <w:rPr>
                <w:rFonts w:hint="eastAsia" w:ascii="宋体" w:hAnsi="宋体" w:eastAsia="宋体" w:cs="宋体"/>
                <w:sz w:val="20"/>
                <w:szCs w:val="20"/>
                <w:vertAlign w:val="baseline"/>
                <w:lang w:val="en-US" w:eastAsia="zh-CN"/>
              </w:rPr>
              <w:t>序号</w:t>
            </w:r>
          </w:p>
        </w:tc>
        <w:tc>
          <w:tcPr>
            <w:tcW w:w="978" w:type="dxa"/>
            <w:noWrap w:val="0"/>
            <w:vAlign w:val="center"/>
          </w:tcPr>
          <w:p w14:paraId="1710597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部室名称/项目名称</w:t>
            </w:r>
          </w:p>
        </w:tc>
        <w:tc>
          <w:tcPr>
            <w:tcW w:w="706" w:type="dxa"/>
            <w:noWrap w:val="0"/>
            <w:vAlign w:val="center"/>
          </w:tcPr>
          <w:p w14:paraId="5BE8F37A">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设备名称</w:t>
            </w:r>
          </w:p>
        </w:tc>
        <w:tc>
          <w:tcPr>
            <w:tcW w:w="6279" w:type="dxa"/>
            <w:noWrap w:val="0"/>
            <w:vAlign w:val="center"/>
          </w:tcPr>
          <w:p w14:paraId="6B7F27B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规格参数</w:t>
            </w:r>
          </w:p>
        </w:tc>
        <w:tc>
          <w:tcPr>
            <w:tcW w:w="785" w:type="dxa"/>
            <w:noWrap w:val="0"/>
            <w:vAlign w:val="center"/>
          </w:tcPr>
          <w:p w14:paraId="2E92E54E">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采购数量</w:t>
            </w:r>
          </w:p>
        </w:tc>
        <w:tc>
          <w:tcPr>
            <w:tcW w:w="988" w:type="dxa"/>
            <w:noWrap w:val="0"/>
            <w:vAlign w:val="center"/>
          </w:tcPr>
          <w:p w14:paraId="468CDFFC">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学校名称</w:t>
            </w:r>
          </w:p>
        </w:tc>
      </w:tr>
      <w:tr w14:paraId="0A0A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F49703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w:t>
            </w:r>
          </w:p>
        </w:tc>
        <w:tc>
          <w:tcPr>
            <w:tcW w:w="978" w:type="dxa"/>
            <w:noWrap w:val="0"/>
            <w:vAlign w:val="center"/>
          </w:tcPr>
          <w:p w14:paraId="593C67D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30259B8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显示屏室内P2.5  </w:t>
            </w:r>
          </w:p>
          <w:p w14:paraId="31498E4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p>
        </w:tc>
        <w:tc>
          <w:tcPr>
            <w:tcW w:w="6279" w:type="dxa"/>
            <w:noWrap w:val="0"/>
            <w:vAlign w:val="top"/>
          </w:tcPr>
          <w:p w14:paraId="61AFCA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显示屏室内P2.5         </w:t>
            </w:r>
          </w:p>
          <w:p w14:paraId="0E48DE4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长宽7.36*2.72米</w:t>
            </w:r>
          </w:p>
          <w:p w14:paraId="07A0BB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1.点间距：≤2.5mm；</w:t>
            </w:r>
          </w:p>
          <w:p w14:paraId="12120E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2.像素密度：≥250000点/平米</w:t>
            </w:r>
          </w:p>
          <w:p w14:paraId="4EFE20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3.平整度≤0.1mm</w:t>
            </w:r>
          </w:p>
          <w:p w14:paraId="34230D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4.模组间相对错位值≤0.1mm</w:t>
            </w:r>
          </w:p>
          <w:p w14:paraId="36F7A5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5.换帧频率，符合SJ/T11141-2017标准C级，频率≥50Hz</w:t>
            </w:r>
          </w:p>
          <w:p w14:paraId="2236E7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6.亮度均匀性≥98%</w:t>
            </w:r>
          </w:p>
          <w:p w14:paraId="74BEDE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7.基色主波长误差符合SJ/T11141-2017标准C级，△λD≤5</w:t>
            </w:r>
          </w:p>
          <w:p w14:paraId="6EEC64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8.刷新率，支持960Hz-5600Hz调整</w:t>
            </w:r>
          </w:p>
          <w:p w14:paraId="64A005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9.显示屏亮度：≥500cd/m2</w:t>
            </w:r>
          </w:p>
          <w:p w14:paraId="19541D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10.发光点中心距偏差≤1%</w:t>
            </w:r>
          </w:p>
          <w:p w14:paraId="26B5B2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11.对比度：≥8000:1；</w:t>
            </w:r>
          </w:p>
          <w:p w14:paraId="548ADB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12.水平/垂直视角：≥160°</w:t>
            </w:r>
          </w:p>
          <w:p w14:paraId="063A1D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13.温升：按GB4943.1-2011的规定进行测试， LED显示屏在满负荷工作30min后，用测温计测试各可触及点温度，LED显示屏屏体结构的金属部分温升不超过40K；</w:t>
            </w:r>
          </w:p>
          <w:p w14:paraId="55C483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14.高低温工试验，按GB/T2423.2-2008的规定方法进行，测试样品不包装、样品放入试验箱中，试验箱内问题80℃（同一条件下，试验箱内温度-40℃），通电存放72h，试验后样品能正常工作，无异常；</w:t>
            </w:r>
          </w:p>
          <w:p w14:paraId="446936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15.平均失效间隔工作时间 ≥100000h</w:t>
            </w:r>
          </w:p>
          <w:p w14:paraId="4DEFB1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16.支持灰阶控制技术提示低灰视觉效果；</w:t>
            </w:r>
          </w:p>
          <w:p w14:paraId="3CC935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17.低亮高灰：100%亮度时，16bit灰度；70%亮度时，16bit灰度；50%亮度时，13bit灰度；20%亮度时，12bit灰度；</w:t>
            </w:r>
          </w:p>
          <w:p w14:paraId="60822A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18.盐雾试验：10级</w:t>
            </w:r>
          </w:p>
          <w:p w14:paraId="175EC21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19.维护方式：前维护，模组与单元箱体间采用磁吸固定方式，磁吸固定点≥8个</w:t>
            </w:r>
          </w:p>
          <w:p w14:paraId="661F50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20.动态节能：带有智能节电功能、带电黑屏节电功能，开启智能节电功能比没有开启节能45%以上</w:t>
            </w:r>
          </w:p>
          <w:p w14:paraId="7B2DD1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21.稳定性试验：设备在正常工作条件下，连续工作168h，不应出现电、机械或操作系统的故障</w:t>
            </w:r>
          </w:p>
          <w:p w14:paraId="448C382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22.图像处理功能：具有亮度/对比度/色度调节/视觉修正等图像调节功能；</w:t>
            </w:r>
          </w:p>
          <w:p w14:paraId="0A95B1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23.HDR显示技术：依据CESI/TS 008-2019标准，支持HDR高动态光照渲染技术；</w:t>
            </w:r>
          </w:p>
          <w:p w14:paraId="54C12A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24.光生物安全，无危害类</w:t>
            </w:r>
          </w:p>
          <w:p w14:paraId="0FDF04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25.防碰撞：具备防碰撞焊盘技术LED，支持模组级别的LED灯防撞灯保护装置；</w:t>
            </w:r>
          </w:p>
          <w:p w14:paraId="1BB4A9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26.摩尔纹抑制功能：显示屏支持抑制摩尔纹功能，减轻摩尔纹视觉主观效果80%；</w:t>
            </w:r>
          </w:p>
          <w:p w14:paraId="51AE3D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27.系统加密功能：具有信号加密传输功能，支持控制器与屏体之间信号加密传输功能，防止网络恶意入侵；</w:t>
            </w:r>
          </w:p>
          <w:p w14:paraId="03AB61F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28.表面硬度：具备划痕性能计算，表面硬度≥4H</w:t>
            </w:r>
          </w:p>
          <w:p w14:paraId="62B6FB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29.LED显示屏能效：能效一级，能源效率≥3.2cd/W</w:t>
            </w:r>
          </w:p>
        </w:tc>
        <w:tc>
          <w:tcPr>
            <w:tcW w:w="785" w:type="dxa"/>
            <w:noWrap w:val="0"/>
            <w:vAlign w:val="center"/>
          </w:tcPr>
          <w:p w14:paraId="0EC02F2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default" w:ascii="Times New Roman" w:hAnsi="Times New Roman" w:eastAsia="宋体" w:cs="Times New Roman"/>
                <w:i w:val="0"/>
                <w:iCs w:val="0"/>
                <w:color w:val="000000"/>
                <w:kern w:val="0"/>
                <w:sz w:val="20"/>
                <w:szCs w:val="20"/>
                <w:u w:val="none"/>
                <w:lang w:val="en-US" w:eastAsia="zh-CN" w:bidi="ar"/>
              </w:rPr>
              <w:t>20.019</w:t>
            </w:r>
          </w:p>
        </w:tc>
        <w:tc>
          <w:tcPr>
            <w:tcW w:w="988" w:type="dxa"/>
            <w:noWrap w:val="0"/>
            <w:vAlign w:val="center"/>
          </w:tcPr>
          <w:p w14:paraId="667A8AE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7FC6D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4148A2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w:t>
            </w:r>
          </w:p>
        </w:tc>
        <w:tc>
          <w:tcPr>
            <w:tcW w:w="978" w:type="dxa"/>
            <w:noWrap w:val="0"/>
            <w:vAlign w:val="center"/>
          </w:tcPr>
          <w:p w14:paraId="7B4CA62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5CB0292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r>
              <w:rPr>
                <w:rFonts w:hint="eastAsia" w:ascii="宋体" w:hAnsi="宋体" w:eastAsia="宋体" w:cs="宋体"/>
                <w:i w:val="0"/>
                <w:iCs w:val="0"/>
                <w:color w:val="000000"/>
                <w:kern w:val="0"/>
                <w:sz w:val="20"/>
                <w:szCs w:val="20"/>
                <w:u w:val="none"/>
                <w:lang w:val="en-US" w:eastAsia="zh-CN" w:bidi="ar"/>
              </w:rPr>
              <w:br w:type="textWrapping"/>
            </w:r>
          </w:p>
        </w:tc>
        <w:tc>
          <w:tcPr>
            <w:tcW w:w="6279" w:type="dxa"/>
            <w:noWrap w:val="0"/>
            <w:vAlign w:val="top"/>
          </w:tcPr>
          <w:p w14:paraId="1BA89B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视频处理器</w:t>
            </w:r>
          </w:p>
          <w:p w14:paraId="6A6CBF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1.控制范围：≥390万像素，水平最大支持3840像素，垂直最大支持1920像素；</w:t>
            </w:r>
          </w:p>
          <w:p w14:paraId="3C58DF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2.信号切换：支持2路HDMI同步信号和1路USB信号任意切换；</w:t>
            </w:r>
          </w:p>
          <w:p w14:paraId="6B8721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3.USB播放：支持直接播放U盘根目录下各种主流格式的视频和图片，最大支持1080P高清视频播放；</w:t>
            </w:r>
          </w:p>
          <w:p w14:paraId="6C9B6C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4.音频输入/输出：支持2路HDMI音频输入（二选一播放），1路TRS 3.5mm标准双声道音频输出；</w:t>
            </w:r>
          </w:p>
          <w:p w14:paraId="739792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5.输出网口：标配2路千兆网口，直接级联接收卡；</w:t>
            </w:r>
          </w:p>
          <w:p w14:paraId="482B21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6.亮度设置：支持亮度一键调节，无需繁琐操作；</w:t>
            </w:r>
          </w:p>
          <w:p w14:paraId="44348F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7.按键锁定：锁定按键，防止误操作导致显示屏异常；</w:t>
            </w:r>
          </w:p>
          <w:p w14:paraId="7D94D3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8.无线控制：支持红外遥控切换节目、亮度设置等功能。</w:t>
            </w:r>
          </w:p>
        </w:tc>
        <w:tc>
          <w:tcPr>
            <w:tcW w:w="785" w:type="dxa"/>
            <w:noWrap w:val="0"/>
            <w:vAlign w:val="center"/>
          </w:tcPr>
          <w:p w14:paraId="1066309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4338AF9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12A0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A3829F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w:t>
            </w:r>
          </w:p>
        </w:tc>
        <w:tc>
          <w:tcPr>
            <w:tcW w:w="978" w:type="dxa"/>
            <w:noWrap w:val="0"/>
            <w:vAlign w:val="center"/>
          </w:tcPr>
          <w:p w14:paraId="086CB13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43E8D1B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404F76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接收卡</w:t>
            </w:r>
          </w:p>
          <w:p w14:paraId="004D44E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1.单卡16组RGB数据，支持256*512像素点；</w:t>
            </w:r>
          </w:p>
          <w:p w14:paraId="070B45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2.支持静态、1/2至1/64之间的任意扫描类型；</w:t>
            </w:r>
          </w:p>
          <w:p w14:paraId="46826B3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3.集成HUB320，无需配转接板，减少接插HUB板，减少故障点，故障率低，成本低；</w:t>
            </w:r>
          </w:p>
          <w:p w14:paraId="77AA59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4.支持数据组偏移，数据组交换；</w:t>
            </w:r>
          </w:p>
          <w:p w14:paraId="2018C67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5.支持绝大多数芯片高灰度高刷新，低亮高灰；</w:t>
            </w:r>
          </w:p>
          <w:p w14:paraId="4C1A97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6.本卡工作状态监测；</w:t>
            </w:r>
          </w:p>
          <w:p w14:paraId="7F3BF9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7.支持网线通讯状态检测；</w:t>
            </w:r>
          </w:p>
          <w:p w14:paraId="598579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8.支持配置文件回读；</w:t>
            </w:r>
          </w:p>
          <w:p w14:paraId="7D6EDA28">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9</w:t>
            </w:r>
            <w:r>
              <w:rPr>
                <w:rFonts w:hint="eastAsia" w:ascii="宋体" w:hAnsi="宋体" w:eastAsia="宋体" w:cs="宋体"/>
                <w:sz w:val="20"/>
                <w:szCs w:val="20"/>
                <w:vertAlign w:val="baseline"/>
              </w:rPr>
              <w:t>.支持工作环境-40℃~80℃；</w:t>
            </w:r>
          </w:p>
          <w:p w14:paraId="102AC3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w:t>
            </w:r>
            <w:r>
              <w:rPr>
                <w:rFonts w:hint="eastAsia" w:ascii="宋体" w:hAnsi="宋体" w:eastAsia="宋体" w:cs="宋体"/>
                <w:sz w:val="20"/>
                <w:szCs w:val="20"/>
                <w:vertAlign w:val="baseline"/>
                <w:lang w:val="en-US" w:eastAsia="zh-CN"/>
              </w:rPr>
              <w:t>0</w:t>
            </w:r>
            <w:r>
              <w:rPr>
                <w:rFonts w:hint="eastAsia" w:ascii="宋体" w:hAnsi="宋体" w:eastAsia="宋体" w:cs="宋体"/>
                <w:sz w:val="20"/>
                <w:szCs w:val="20"/>
                <w:vertAlign w:val="baseline"/>
              </w:rPr>
              <w:t>.可配合多功能卡，实现高温设置自动断电，保证屏体安全；</w:t>
            </w:r>
          </w:p>
        </w:tc>
        <w:tc>
          <w:tcPr>
            <w:tcW w:w="785" w:type="dxa"/>
            <w:noWrap w:val="0"/>
            <w:vAlign w:val="center"/>
          </w:tcPr>
          <w:p w14:paraId="70A8B56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38</w:t>
            </w:r>
          </w:p>
        </w:tc>
        <w:tc>
          <w:tcPr>
            <w:tcW w:w="988" w:type="dxa"/>
            <w:noWrap w:val="0"/>
            <w:vAlign w:val="center"/>
          </w:tcPr>
          <w:p w14:paraId="67970AA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2901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15E3E4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w:t>
            </w:r>
          </w:p>
        </w:tc>
        <w:tc>
          <w:tcPr>
            <w:tcW w:w="978" w:type="dxa"/>
            <w:noWrap w:val="0"/>
            <w:vAlign w:val="center"/>
          </w:tcPr>
          <w:p w14:paraId="72FE455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57D754E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开关电源</w:t>
            </w:r>
            <w:r>
              <w:rPr>
                <w:rFonts w:hint="eastAsia" w:ascii="宋体" w:hAnsi="宋体" w:eastAsia="宋体" w:cs="宋体"/>
                <w:i w:val="0"/>
                <w:iCs w:val="0"/>
                <w:color w:val="000000"/>
                <w:kern w:val="0"/>
                <w:sz w:val="20"/>
                <w:szCs w:val="20"/>
                <w:u w:val="none"/>
                <w:lang w:val="en-US" w:eastAsia="zh-CN" w:bidi="ar"/>
              </w:rPr>
              <w:br w:type="textWrapping"/>
            </w:r>
          </w:p>
        </w:tc>
        <w:tc>
          <w:tcPr>
            <w:tcW w:w="6279" w:type="dxa"/>
            <w:noWrap w:val="0"/>
            <w:vAlign w:val="top"/>
          </w:tcPr>
          <w:p w14:paraId="0CBD9F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开关电源</w:t>
            </w:r>
          </w:p>
          <w:p w14:paraId="43DDF3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1.节能电源；</w:t>
            </w:r>
          </w:p>
          <w:p w14:paraId="7305CF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2.≥200W、5V40A。</w:t>
            </w:r>
          </w:p>
        </w:tc>
        <w:tc>
          <w:tcPr>
            <w:tcW w:w="785" w:type="dxa"/>
            <w:noWrap w:val="0"/>
            <w:vAlign w:val="center"/>
          </w:tcPr>
          <w:p w14:paraId="6E71E5D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72</w:t>
            </w:r>
          </w:p>
        </w:tc>
        <w:tc>
          <w:tcPr>
            <w:tcW w:w="988" w:type="dxa"/>
            <w:noWrap w:val="0"/>
            <w:vAlign w:val="center"/>
          </w:tcPr>
          <w:p w14:paraId="6F77A18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3A27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B2B5B7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w:t>
            </w:r>
          </w:p>
        </w:tc>
        <w:tc>
          <w:tcPr>
            <w:tcW w:w="978" w:type="dxa"/>
            <w:noWrap w:val="0"/>
            <w:vAlign w:val="center"/>
          </w:tcPr>
          <w:p w14:paraId="3CDB543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38F69B5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钢结构</w:t>
            </w:r>
          </w:p>
        </w:tc>
        <w:tc>
          <w:tcPr>
            <w:tcW w:w="6279" w:type="dxa"/>
            <w:noWrap w:val="0"/>
            <w:vAlign w:val="top"/>
          </w:tcPr>
          <w:p w14:paraId="66AAC7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钢结构+包边</w:t>
            </w:r>
          </w:p>
          <w:p w14:paraId="7BA031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1.镀锌方管焊接而成；</w:t>
            </w:r>
          </w:p>
          <w:p w14:paraId="5ED3C7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2.国标产品。</w:t>
            </w:r>
          </w:p>
        </w:tc>
        <w:tc>
          <w:tcPr>
            <w:tcW w:w="785" w:type="dxa"/>
            <w:noWrap w:val="0"/>
            <w:vAlign w:val="center"/>
          </w:tcPr>
          <w:p w14:paraId="144BFFB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20.0192</w:t>
            </w:r>
          </w:p>
        </w:tc>
        <w:tc>
          <w:tcPr>
            <w:tcW w:w="988" w:type="dxa"/>
            <w:noWrap w:val="0"/>
            <w:vAlign w:val="center"/>
          </w:tcPr>
          <w:p w14:paraId="3420162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2D4A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E0CEF7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w:t>
            </w:r>
          </w:p>
        </w:tc>
        <w:tc>
          <w:tcPr>
            <w:tcW w:w="978" w:type="dxa"/>
            <w:noWrap w:val="0"/>
            <w:vAlign w:val="center"/>
          </w:tcPr>
          <w:p w14:paraId="350AAD1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74C1EFD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布线</w:t>
            </w:r>
            <w:r>
              <w:rPr>
                <w:rFonts w:hint="eastAsia" w:ascii="宋体" w:hAnsi="宋体" w:eastAsia="宋体" w:cs="宋体"/>
                <w:i w:val="0"/>
                <w:iCs w:val="0"/>
                <w:color w:val="000000"/>
                <w:kern w:val="0"/>
                <w:sz w:val="20"/>
                <w:szCs w:val="20"/>
                <w:u w:val="none"/>
                <w:lang w:val="en-US" w:eastAsia="zh-CN" w:bidi="ar"/>
              </w:rPr>
              <w:br w:type="textWrapping"/>
            </w:r>
          </w:p>
        </w:tc>
        <w:tc>
          <w:tcPr>
            <w:tcW w:w="6279" w:type="dxa"/>
            <w:noWrap w:val="0"/>
            <w:vAlign w:val="top"/>
          </w:tcPr>
          <w:p w14:paraId="200ED9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布线</w:t>
            </w:r>
          </w:p>
          <w:p w14:paraId="4C8EB7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1.国标纯铜线缆；</w:t>
            </w:r>
          </w:p>
          <w:p w14:paraId="76FE24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2.线缆铺设。</w:t>
            </w:r>
          </w:p>
          <w:p w14:paraId="35DD6D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3.辅材费用</w:t>
            </w:r>
          </w:p>
        </w:tc>
        <w:tc>
          <w:tcPr>
            <w:tcW w:w="785" w:type="dxa"/>
            <w:noWrap w:val="0"/>
            <w:vAlign w:val="center"/>
          </w:tcPr>
          <w:p w14:paraId="079532A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20F4C6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208E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A9E53F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w:t>
            </w:r>
          </w:p>
        </w:tc>
        <w:tc>
          <w:tcPr>
            <w:tcW w:w="978" w:type="dxa"/>
            <w:noWrap w:val="0"/>
            <w:vAlign w:val="center"/>
          </w:tcPr>
          <w:p w14:paraId="58DABED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161CFB7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技术服务费安装调试服务</w:t>
            </w:r>
          </w:p>
        </w:tc>
        <w:tc>
          <w:tcPr>
            <w:tcW w:w="6279" w:type="dxa"/>
            <w:noWrap w:val="0"/>
            <w:vAlign w:val="top"/>
          </w:tcPr>
          <w:p w14:paraId="10990B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技术服务费</w:t>
            </w:r>
            <w:r>
              <w:rPr>
                <w:rFonts w:hint="eastAsia" w:ascii="宋体" w:hAnsi="宋体" w:eastAsia="宋体" w:cs="宋体"/>
                <w:sz w:val="20"/>
                <w:szCs w:val="20"/>
                <w:vertAlign w:val="baseline"/>
                <w:lang w:val="en-US" w:eastAsia="zh-CN"/>
              </w:rPr>
              <w:t xml:space="preserve"> 辅材及</w:t>
            </w:r>
            <w:r>
              <w:rPr>
                <w:rFonts w:hint="eastAsia" w:ascii="宋体" w:hAnsi="宋体" w:eastAsia="宋体" w:cs="宋体"/>
                <w:sz w:val="20"/>
                <w:szCs w:val="20"/>
                <w:vertAlign w:val="baseline"/>
              </w:rPr>
              <w:t>安装调试服务</w:t>
            </w:r>
          </w:p>
        </w:tc>
        <w:tc>
          <w:tcPr>
            <w:tcW w:w="785" w:type="dxa"/>
            <w:noWrap w:val="0"/>
            <w:vAlign w:val="center"/>
          </w:tcPr>
          <w:p w14:paraId="1C21E9B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20.0192</w:t>
            </w:r>
          </w:p>
        </w:tc>
        <w:tc>
          <w:tcPr>
            <w:tcW w:w="988" w:type="dxa"/>
            <w:noWrap w:val="0"/>
            <w:vAlign w:val="center"/>
          </w:tcPr>
          <w:p w14:paraId="730B630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38A5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89CE69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w:t>
            </w:r>
          </w:p>
        </w:tc>
        <w:tc>
          <w:tcPr>
            <w:tcW w:w="978" w:type="dxa"/>
            <w:noWrap w:val="0"/>
            <w:vAlign w:val="center"/>
          </w:tcPr>
          <w:p w14:paraId="766B17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73B9ABF8">
            <w:pPr>
              <w:keepNext w:val="0"/>
              <w:keepLines w:val="0"/>
              <w:widowControl/>
              <w:suppressLineNumbers w:val="0"/>
              <w:jc w:val="left"/>
              <w:textAlignment w:val="center"/>
              <w:rPr>
                <w:rFonts w:hint="eastAsia" w:ascii="宋体" w:hAnsi="宋体" w:eastAsia="宋体" w:cs="宋体"/>
                <w:sz w:val="20"/>
                <w:szCs w:val="20"/>
                <w:vertAlign w:val="baseline"/>
              </w:rPr>
            </w:pPr>
            <w:r>
              <w:rPr>
                <w:rStyle w:val="115"/>
                <w:sz w:val="20"/>
                <w:szCs w:val="20"/>
                <w:lang w:val="en-US" w:eastAsia="zh-CN" w:bidi="ar"/>
              </w:rPr>
              <w:t>无线投屏器</w:t>
            </w:r>
            <w:r>
              <w:rPr>
                <w:rStyle w:val="115"/>
                <w:sz w:val="20"/>
                <w:szCs w:val="20"/>
                <w:lang w:val="en-US" w:eastAsia="zh-CN" w:bidi="ar"/>
              </w:rPr>
              <w:br w:type="textWrapping"/>
            </w:r>
            <w:r>
              <w:rPr>
                <w:rStyle w:val="116"/>
                <w:rFonts w:eastAsia="宋体"/>
                <w:sz w:val="20"/>
                <w:szCs w:val="20"/>
                <w:lang w:val="en-US" w:eastAsia="zh-CN" w:bidi="ar"/>
              </w:rPr>
              <w:t></w:t>
            </w:r>
          </w:p>
        </w:tc>
        <w:tc>
          <w:tcPr>
            <w:tcW w:w="6279" w:type="dxa"/>
            <w:noWrap w:val="0"/>
            <w:vAlign w:val="top"/>
          </w:tcPr>
          <w:p w14:paraId="510926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无线投屏器</w:t>
            </w:r>
          </w:p>
          <w:p w14:paraId="76EAC9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安卓9.0</w:t>
            </w:r>
            <w:r>
              <w:rPr>
                <w:rFonts w:hint="eastAsia" w:ascii="宋体" w:hAnsi="宋体" w:eastAsia="宋体" w:cs="宋体"/>
                <w:sz w:val="20"/>
                <w:szCs w:val="20"/>
                <w:vertAlign w:val="baseline"/>
                <w:lang w:val="en-US" w:eastAsia="zh-CN"/>
              </w:rPr>
              <w:t>及以上</w:t>
            </w:r>
            <w:r>
              <w:rPr>
                <w:rFonts w:hint="eastAsia" w:ascii="宋体" w:hAnsi="宋体" w:eastAsia="宋体" w:cs="宋体"/>
                <w:sz w:val="20"/>
                <w:szCs w:val="20"/>
                <w:vertAlign w:val="baseline"/>
              </w:rPr>
              <w:t>系统 4G+16G 支持千兆有线网  支持网络 POE 供电  支持双路 HDMI 异显输出支持 2T2R 双频 Wi-Fi  支持 5G 热点无线传屏 HDMI 输出分辨率4K@60Hz、1080p@60Hz</w:t>
            </w:r>
          </w:p>
        </w:tc>
        <w:tc>
          <w:tcPr>
            <w:tcW w:w="785" w:type="dxa"/>
            <w:noWrap w:val="0"/>
            <w:vAlign w:val="center"/>
          </w:tcPr>
          <w:p w14:paraId="7A06E0C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0E74CBB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4114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973C67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w:t>
            </w:r>
          </w:p>
        </w:tc>
        <w:tc>
          <w:tcPr>
            <w:tcW w:w="978" w:type="dxa"/>
            <w:noWrap w:val="0"/>
            <w:vAlign w:val="center"/>
          </w:tcPr>
          <w:p w14:paraId="160A0A1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LED屏：报告厅电子屏</w:t>
            </w:r>
          </w:p>
        </w:tc>
        <w:tc>
          <w:tcPr>
            <w:tcW w:w="706" w:type="dxa"/>
            <w:noWrap w:val="0"/>
            <w:vAlign w:val="center"/>
          </w:tcPr>
          <w:p w14:paraId="46F0BA8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装修包边</w:t>
            </w:r>
          </w:p>
        </w:tc>
        <w:tc>
          <w:tcPr>
            <w:tcW w:w="6279" w:type="dxa"/>
            <w:noWrap w:val="0"/>
            <w:vAlign w:val="top"/>
          </w:tcPr>
          <w:p w14:paraId="7E4189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装修包边</w:t>
            </w:r>
          </w:p>
        </w:tc>
        <w:tc>
          <w:tcPr>
            <w:tcW w:w="785" w:type="dxa"/>
            <w:noWrap w:val="0"/>
            <w:vAlign w:val="center"/>
          </w:tcPr>
          <w:p w14:paraId="4EC1BC4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1C2251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西安市浐灞丝路学校</w:t>
            </w:r>
          </w:p>
        </w:tc>
      </w:tr>
      <w:tr w14:paraId="31BB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154150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w:t>
            </w:r>
          </w:p>
        </w:tc>
        <w:tc>
          <w:tcPr>
            <w:tcW w:w="978" w:type="dxa"/>
            <w:noWrap w:val="0"/>
            <w:vAlign w:val="center"/>
          </w:tcPr>
          <w:p w14:paraId="5FEA2E0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专业模块化线阵音箱</w:t>
            </w:r>
          </w:p>
        </w:tc>
        <w:tc>
          <w:tcPr>
            <w:tcW w:w="706" w:type="dxa"/>
            <w:noWrap w:val="0"/>
            <w:vAlign w:val="center"/>
          </w:tcPr>
          <w:p w14:paraId="544D82E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线阵音箱</w:t>
            </w:r>
          </w:p>
        </w:tc>
        <w:tc>
          <w:tcPr>
            <w:tcW w:w="6279" w:type="dxa"/>
            <w:noWrap w:val="0"/>
            <w:vAlign w:val="top"/>
          </w:tcPr>
          <w:p w14:paraId="1C88DC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1、额定阻抗：LF：8Ω HF：8Ω</w:t>
            </w:r>
          </w:p>
          <w:p w14:paraId="371FCA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2、额定功率：LF：≥1200W HF：≥400W</w:t>
            </w:r>
          </w:p>
          <w:p w14:paraId="7EB8FDB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3、最大功率：LF：≥4800W HF：≥1600W</w:t>
            </w:r>
          </w:p>
          <w:p w14:paraId="550405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4、特性灵敏度：LF：≥99dB HF：≥106dB</w:t>
            </w:r>
          </w:p>
          <w:p w14:paraId="4B5526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5、连续声压级：LF：≥129dB HF：≥132dB</w:t>
            </w:r>
          </w:p>
          <w:p w14:paraId="3D4E09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6、最大声压级：LF：≥135dB HF：≥138dB</w:t>
            </w:r>
          </w:p>
          <w:p w14:paraId="182373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7、额定频率范围：70～19000Hz</w:t>
            </w:r>
          </w:p>
          <w:p w14:paraId="1B70E0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8、中低音扬声器：LF：10"×4</w:t>
            </w:r>
          </w:p>
          <w:p w14:paraId="1B24BB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9、高音扬声器：HF：3"×4</w:t>
            </w:r>
          </w:p>
          <w:p w14:paraId="334151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10、覆盖角度（H×V）：90°×50°</w:t>
            </w:r>
          </w:p>
          <w:p w14:paraId="2B2A5E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11、输入接口：NL4MP×4</w:t>
            </w:r>
          </w:p>
        </w:tc>
        <w:tc>
          <w:tcPr>
            <w:tcW w:w="785" w:type="dxa"/>
            <w:noWrap w:val="0"/>
            <w:vAlign w:val="center"/>
          </w:tcPr>
          <w:p w14:paraId="25BC412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056D424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646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trPr>
        <w:tc>
          <w:tcPr>
            <w:tcW w:w="524" w:type="dxa"/>
            <w:noWrap w:val="0"/>
            <w:vAlign w:val="top"/>
          </w:tcPr>
          <w:p w14:paraId="3A489FD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w:t>
            </w:r>
          </w:p>
        </w:tc>
        <w:tc>
          <w:tcPr>
            <w:tcW w:w="978" w:type="dxa"/>
            <w:noWrap w:val="0"/>
            <w:vAlign w:val="center"/>
          </w:tcPr>
          <w:p w14:paraId="4EA47E3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补声音箱</w:t>
            </w:r>
          </w:p>
        </w:tc>
        <w:tc>
          <w:tcPr>
            <w:tcW w:w="706" w:type="dxa"/>
            <w:noWrap w:val="0"/>
            <w:vAlign w:val="center"/>
          </w:tcPr>
          <w:p w14:paraId="35252F4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补声音箱</w:t>
            </w:r>
          </w:p>
        </w:tc>
        <w:tc>
          <w:tcPr>
            <w:tcW w:w="6279" w:type="dxa"/>
            <w:noWrap w:val="0"/>
            <w:vAlign w:val="top"/>
          </w:tcPr>
          <w:p w14:paraId="1705BB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1、额定功率：≥180W；</w:t>
            </w:r>
          </w:p>
          <w:p w14:paraId="25AF6EC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2、标称阻抗：8Ω；</w:t>
            </w:r>
          </w:p>
          <w:p w14:paraId="450D03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3、频率响应：低频截止不高于50Hz，高频截止不低于20KHz； </w:t>
            </w:r>
          </w:p>
          <w:p w14:paraId="04BA2A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4、灵敏度(1W/1M)：≥97dB；</w:t>
            </w:r>
          </w:p>
          <w:p w14:paraId="0BACE6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5、输出声压级： ≥116dB(连续) ≥119dB(峰值)；</w:t>
            </w:r>
          </w:p>
          <w:p w14:paraId="3DDD85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6、低音单元：≥1×8〞(50mm音圈)；</w:t>
            </w:r>
          </w:p>
          <w:p w14:paraId="5AF419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7、高音单元：≥1×1.38〞（34mm音圈）；</w:t>
            </w:r>
          </w:p>
          <w:p w14:paraId="1B8932F6">
            <w:pPr>
              <w:rPr>
                <w:rFonts w:hint="eastAsia" w:ascii="Calibri" w:hAnsi="Calibri" w:eastAsia="宋体" w:cs="Times New Roman"/>
                <w:kern w:val="2"/>
                <w:sz w:val="20"/>
                <w:szCs w:val="20"/>
                <w:lang w:val="en-US" w:eastAsia="zh-CN" w:bidi="ar-SA"/>
              </w:rPr>
            </w:pPr>
            <w:r>
              <w:rPr>
                <w:rFonts w:hint="eastAsia" w:ascii="宋体" w:hAnsi="宋体" w:eastAsia="宋体" w:cs="宋体"/>
                <w:sz w:val="20"/>
                <w:szCs w:val="20"/>
                <w:vertAlign w:val="baseline"/>
              </w:rPr>
              <w:t xml:space="preserve">8、盖角度（H×V）：90°×60°；          </w:t>
            </w:r>
          </w:p>
        </w:tc>
        <w:tc>
          <w:tcPr>
            <w:tcW w:w="785" w:type="dxa"/>
            <w:noWrap w:val="0"/>
            <w:vAlign w:val="center"/>
          </w:tcPr>
          <w:p w14:paraId="1872088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2383568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02052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55753B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w:t>
            </w:r>
          </w:p>
        </w:tc>
        <w:tc>
          <w:tcPr>
            <w:tcW w:w="978" w:type="dxa"/>
            <w:noWrap w:val="0"/>
            <w:vAlign w:val="center"/>
          </w:tcPr>
          <w:p w14:paraId="5E8DA02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超低音箱</w:t>
            </w:r>
          </w:p>
        </w:tc>
        <w:tc>
          <w:tcPr>
            <w:tcW w:w="706" w:type="dxa"/>
            <w:noWrap w:val="0"/>
            <w:vAlign w:val="center"/>
          </w:tcPr>
          <w:p w14:paraId="21F8517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超低音箱</w:t>
            </w:r>
          </w:p>
        </w:tc>
        <w:tc>
          <w:tcPr>
            <w:tcW w:w="6279" w:type="dxa"/>
            <w:noWrap w:val="0"/>
            <w:vAlign w:val="top"/>
          </w:tcPr>
          <w:p w14:paraId="3D7394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1、额定功率：≥680W；</w:t>
            </w:r>
          </w:p>
          <w:p w14:paraId="7BBC31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2、标称阻抗：8Ω；</w:t>
            </w:r>
          </w:p>
          <w:p w14:paraId="590967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3、频率响应：低频截止不高于38Hz；</w:t>
            </w:r>
          </w:p>
          <w:p w14:paraId="2C7821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4、灵敏度(1W/1M)：≥97dB；</w:t>
            </w:r>
          </w:p>
          <w:p w14:paraId="0E9F03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5、输出声压级： ≥126dB(连续) ≥132dB(峰值)；</w:t>
            </w:r>
          </w:p>
          <w:p w14:paraId="1A2732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6、低音单元：≥1×18〞；</w:t>
            </w:r>
          </w:p>
        </w:tc>
        <w:tc>
          <w:tcPr>
            <w:tcW w:w="785" w:type="dxa"/>
            <w:noWrap w:val="0"/>
            <w:vAlign w:val="center"/>
          </w:tcPr>
          <w:p w14:paraId="7162E34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162A9F3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687B3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500E01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w:t>
            </w:r>
          </w:p>
        </w:tc>
        <w:tc>
          <w:tcPr>
            <w:tcW w:w="978" w:type="dxa"/>
            <w:noWrap w:val="0"/>
            <w:vAlign w:val="center"/>
          </w:tcPr>
          <w:p w14:paraId="55310E5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返听音箱</w:t>
            </w:r>
          </w:p>
        </w:tc>
        <w:tc>
          <w:tcPr>
            <w:tcW w:w="706" w:type="dxa"/>
            <w:noWrap w:val="0"/>
            <w:vAlign w:val="center"/>
          </w:tcPr>
          <w:p w14:paraId="6D9D856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返听音箱</w:t>
            </w:r>
          </w:p>
        </w:tc>
        <w:tc>
          <w:tcPr>
            <w:tcW w:w="6279" w:type="dxa"/>
            <w:noWrap w:val="0"/>
            <w:vAlign w:val="top"/>
          </w:tcPr>
          <w:p w14:paraId="0CEAB7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1、额定功率:≥200W；</w:t>
            </w:r>
          </w:p>
          <w:p w14:paraId="7E6DCB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2、额定阻抗：8Ω士20%；</w:t>
            </w:r>
          </w:p>
          <w:p w14:paraId="410A693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3、频率响应：50Hz~20kHz；</w:t>
            </w:r>
          </w:p>
          <w:p w14:paraId="50A11F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4、分频模式：二分频；</w:t>
            </w:r>
          </w:p>
          <w:p w14:paraId="7F8866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5、扬声器：12”低音x1，1”高音x1。</w:t>
            </w:r>
          </w:p>
        </w:tc>
        <w:tc>
          <w:tcPr>
            <w:tcW w:w="785" w:type="dxa"/>
            <w:noWrap w:val="0"/>
            <w:vAlign w:val="center"/>
          </w:tcPr>
          <w:p w14:paraId="4D06B26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71C8E23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46FC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DC78FA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w:t>
            </w:r>
          </w:p>
        </w:tc>
        <w:tc>
          <w:tcPr>
            <w:tcW w:w="978" w:type="dxa"/>
            <w:noWrap w:val="0"/>
            <w:vAlign w:val="center"/>
          </w:tcPr>
          <w:p w14:paraId="0EAC6BD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线阵吊架</w:t>
            </w:r>
          </w:p>
        </w:tc>
        <w:tc>
          <w:tcPr>
            <w:tcW w:w="706" w:type="dxa"/>
            <w:noWrap w:val="0"/>
            <w:vAlign w:val="center"/>
          </w:tcPr>
          <w:p w14:paraId="5249636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线阵吊架</w:t>
            </w:r>
          </w:p>
        </w:tc>
        <w:tc>
          <w:tcPr>
            <w:tcW w:w="6279" w:type="dxa"/>
            <w:noWrap w:val="0"/>
            <w:vAlign w:val="top"/>
          </w:tcPr>
          <w:p w14:paraId="642CA2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专业线阵音响吊架</w:t>
            </w:r>
          </w:p>
        </w:tc>
        <w:tc>
          <w:tcPr>
            <w:tcW w:w="785" w:type="dxa"/>
            <w:noWrap w:val="0"/>
            <w:vAlign w:val="center"/>
          </w:tcPr>
          <w:p w14:paraId="3AD2D41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20F434A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31DC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113799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w:t>
            </w:r>
          </w:p>
        </w:tc>
        <w:tc>
          <w:tcPr>
            <w:tcW w:w="978" w:type="dxa"/>
            <w:noWrap w:val="0"/>
            <w:vAlign w:val="center"/>
          </w:tcPr>
          <w:p w14:paraId="295B931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专业数字功率放大器（线阵高音）</w:t>
            </w:r>
          </w:p>
        </w:tc>
        <w:tc>
          <w:tcPr>
            <w:tcW w:w="706" w:type="dxa"/>
            <w:noWrap w:val="0"/>
            <w:vAlign w:val="center"/>
          </w:tcPr>
          <w:p w14:paraId="0CF6E8A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专业数字功率放大器线阵高音</w:t>
            </w:r>
          </w:p>
        </w:tc>
        <w:tc>
          <w:tcPr>
            <w:tcW w:w="6279" w:type="dxa"/>
            <w:noWrap w:val="0"/>
            <w:vAlign w:val="top"/>
          </w:tcPr>
          <w:p w14:paraId="0BCBD78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 (RMS THD=1%,1kHz,典型值)： 8Ω≥ 4*630W ，4Ω ≥4*1080W ，2Ω ≥4*1850W；桥接 16Ω ≥2*1280W ，8Ω ≥2*2180W ，4Ω≥ 2*3720W</w:t>
            </w:r>
          </w:p>
          <w:p w14:paraId="54FDB9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输入灵敏度：32dB 35dB 38dB 41dB可选择；</w:t>
            </w:r>
          </w:p>
          <w:p w14:paraId="0A7886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THD+N： 0.01%(10%额定输出功率，典型值，8Ω) ；</w:t>
            </w:r>
          </w:p>
          <w:p w14:paraId="7C2C49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 ±0.2dB(10%额定输出功率，20Hz-20kHz，8Ω) ；</w:t>
            </w:r>
          </w:p>
          <w:p w14:paraId="77FBFF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 20kΩ(平衡)，10kΩ(非平衡) ；</w:t>
            </w:r>
          </w:p>
          <w:p w14:paraId="07C33E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阻尼系数： ≥1000(20Hz-200Hz, 8Ω)； </w:t>
            </w:r>
          </w:p>
          <w:p w14:paraId="4C46564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信噪比： ≥100dB(A 计权，20Hz-20kHz)； </w:t>
            </w:r>
          </w:p>
        </w:tc>
        <w:tc>
          <w:tcPr>
            <w:tcW w:w="785" w:type="dxa"/>
            <w:noWrap w:val="0"/>
            <w:vAlign w:val="center"/>
          </w:tcPr>
          <w:p w14:paraId="0BC5A80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830126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C73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D02808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w:t>
            </w:r>
          </w:p>
        </w:tc>
        <w:tc>
          <w:tcPr>
            <w:tcW w:w="978" w:type="dxa"/>
            <w:noWrap w:val="0"/>
            <w:vAlign w:val="center"/>
          </w:tcPr>
          <w:p w14:paraId="7CE3EF0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专业数字功率放大器(线阵低音）</w:t>
            </w:r>
          </w:p>
        </w:tc>
        <w:tc>
          <w:tcPr>
            <w:tcW w:w="706" w:type="dxa"/>
            <w:noWrap w:val="0"/>
            <w:vAlign w:val="center"/>
          </w:tcPr>
          <w:p w14:paraId="647BC2C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专业数字功率放大器线阵低音</w:t>
            </w:r>
          </w:p>
        </w:tc>
        <w:tc>
          <w:tcPr>
            <w:tcW w:w="6279" w:type="dxa"/>
            <w:noWrap w:val="0"/>
            <w:vAlign w:val="top"/>
          </w:tcPr>
          <w:p w14:paraId="67C02C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 (RMS THD=1%,1kHz,典型值)： 8Ω ≥4*1480W ，4Ω ≥4*2530W ，2Ω ≥4*4315W；桥接 16Ω ≥2*2980W ，8Ω ≥2*5000W ，4Ω≥ 2*8650W；</w:t>
            </w:r>
          </w:p>
          <w:p w14:paraId="71AC31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输入灵敏度：32dB 35dB 38dB 41dB可选择；</w:t>
            </w:r>
          </w:p>
          <w:p w14:paraId="0FE921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THD+N： 0.01%(10%额定输出功率，典型值，8Ω) ；</w:t>
            </w:r>
          </w:p>
          <w:p w14:paraId="43B452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 ±0.2dB(10%额定输出功率，20Hz-20kHz，8Ω) ；</w:t>
            </w:r>
          </w:p>
          <w:p w14:paraId="5F99FD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 20kΩ(平衡)，10kΩ(非平衡) ；</w:t>
            </w:r>
          </w:p>
          <w:p w14:paraId="583CAE2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阻尼系数： ≥1000(20Hz-200Hz, 8Ω)； </w:t>
            </w:r>
          </w:p>
          <w:p w14:paraId="5475A0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信噪比： ≥100dB(A 计权，20Hz-20kHz)； </w:t>
            </w:r>
          </w:p>
        </w:tc>
        <w:tc>
          <w:tcPr>
            <w:tcW w:w="785" w:type="dxa"/>
            <w:noWrap w:val="0"/>
            <w:vAlign w:val="center"/>
          </w:tcPr>
          <w:p w14:paraId="63D4C5A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0CF8DEE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3A0F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1C83D6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w:t>
            </w:r>
          </w:p>
        </w:tc>
        <w:tc>
          <w:tcPr>
            <w:tcW w:w="978" w:type="dxa"/>
            <w:noWrap w:val="0"/>
            <w:vAlign w:val="center"/>
          </w:tcPr>
          <w:p w14:paraId="107499A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数字功放（补声音箱）</w:t>
            </w:r>
          </w:p>
        </w:tc>
        <w:tc>
          <w:tcPr>
            <w:tcW w:w="706" w:type="dxa"/>
            <w:noWrap w:val="0"/>
            <w:vAlign w:val="center"/>
          </w:tcPr>
          <w:p w14:paraId="2067B12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补声音箱</w:t>
            </w:r>
          </w:p>
        </w:tc>
        <w:tc>
          <w:tcPr>
            <w:tcW w:w="6279" w:type="dxa"/>
            <w:noWrap w:val="0"/>
            <w:vAlign w:val="top"/>
          </w:tcPr>
          <w:p w14:paraId="0393B8E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1、标准功率：≥430W×4/8Ω、≥740W×4/4Ω、≥1280W×4/2Ω、≥1480W×2/8Ω桥接、≥1880W×2/4Ω桥接； </w:t>
            </w:r>
          </w:p>
          <w:p w14:paraId="20CF8D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2、频率响应：20Hz-20KHz（+0/-1.2dB）；</w:t>
            </w:r>
          </w:p>
          <w:p w14:paraId="55D075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3、总谐波失真：≤0.2%；</w:t>
            </w:r>
          </w:p>
          <w:p w14:paraId="2FAB06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4、信噪比：≥100dB；</w:t>
            </w:r>
          </w:p>
          <w:p w14:paraId="5FBFA64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5、输入灵敏度：0.775V/1.0V/32dB；</w:t>
            </w:r>
          </w:p>
          <w:p w14:paraId="778DBF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6、输入阻抗（平衡/不平衡）：20KΩ/10KΩ；</w:t>
            </w:r>
          </w:p>
          <w:p w14:paraId="117358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7、电压增益（8Ω时）：38.2dB；</w:t>
            </w:r>
          </w:p>
          <w:p w14:paraId="1DD4BC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8、输出类别 Class D；</w:t>
            </w:r>
          </w:p>
          <w:p w14:paraId="3B563A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9、冷却：从前到后抽风。</w:t>
            </w:r>
          </w:p>
        </w:tc>
        <w:tc>
          <w:tcPr>
            <w:tcW w:w="785" w:type="dxa"/>
            <w:noWrap w:val="0"/>
            <w:vAlign w:val="center"/>
          </w:tcPr>
          <w:p w14:paraId="2EDC1B5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669620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35E8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3E372C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18</w:t>
            </w:r>
          </w:p>
        </w:tc>
        <w:tc>
          <w:tcPr>
            <w:tcW w:w="978" w:type="dxa"/>
            <w:noWrap w:val="0"/>
            <w:vAlign w:val="center"/>
          </w:tcPr>
          <w:p w14:paraId="27DE852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数字功放（超低音箱）</w:t>
            </w:r>
          </w:p>
        </w:tc>
        <w:tc>
          <w:tcPr>
            <w:tcW w:w="706" w:type="dxa"/>
            <w:noWrap w:val="0"/>
            <w:vAlign w:val="center"/>
          </w:tcPr>
          <w:p w14:paraId="2541AC7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超低音箱</w:t>
            </w:r>
          </w:p>
        </w:tc>
        <w:tc>
          <w:tcPr>
            <w:tcW w:w="6279" w:type="dxa"/>
            <w:noWrap w:val="0"/>
            <w:vAlign w:val="top"/>
          </w:tcPr>
          <w:p w14:paraId="544379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 (RMS THD=1%,1kHz,典型值)： 8Ω ≥2*1180W，4Ω ≥2*1780W ，2Ω≥ 2*2380W ，桥接 8Ω ≥1*3580W，4Ω ≥1*4780W；</w:t>
            </w:r>
          </w:p>
          <w:p w14:paraId="2AB3711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2、输入灵敏度： 0.775V和32dB可选择；</w:t>
            </w:r>
          </w:p>
          <w:p w14:paraId="56C760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3、THD+N：典型值：0.05%(10%额定输出功率，典型值，8Ω)； </w:t>
            </w:r>
          </w:p>
          <w:p w14:paraId="63EF29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4、频率响应： 典型值：±0.2dB(10%额定输出功率，20Hz-20kHz，8Ω)； </w:t>
            </w:r>
          </w:p>
          <w:p w14:paraId="3CA2F6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5、输入阻抗： 20kΩ(平衡)，10kΩ(非平衡)； </w:t>
            </w:r>
          </w:p>
          <w:p w14:paraId="46AE0B0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6、阻尼系数： 典型值：1000(20Hz-200Hz, 8Ω)； </w:t>
            </w:r>
          </w:p>
          <w:p w14:paraId="3D564CF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7、信噪比： ≥100dB(A 计权，20Hz-20kHz)； </w:t>
            </w:r>
          </w:p>
          <w:p w14:paraId="240ECF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8、电源要求：100-240VAC(±10%)50-60Hz；</w:t>
            </w:r>
          </w:p>
          <w:p w14:paraId="01451B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9、保护功能：过热压限、过载保护、输出直流保护、电源欠压保护。</w:t>
            </w:r>
          </w:p>
        </w:tc>
        <w:tc>
          <w:tcPr>
            <w:tcW w:w="785" w:type="dxa"/>
            <w:noWrap w:val="0"/>
            <w:vAlign w:val="center"/>
          </w:tcPr>
          <w:p w14:paraId="2A47ECA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CF619E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4F74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A8055B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19</w:t>
            </w:r>
          </w:p>
        </w:tc>
        <w:tc>
          <w:tcPr>
            <w:tcW w:w="978" w:type="dxa"/>
            <w:noWrap w:val="0"/>
            <w:vAlign w:val="center"/>
          </w:tcPr>
          <w:p w14:paraId="20F7D2B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道数字功放（返听音箱）</w:t>
            </w:r>
          </w:p>
        </w:tc>
        <w:tc>
          <w:tcPr>
            <w:tcW w:w="706" w:type="dxa"/>
            <w:noWrap w:val="0"/>
            <w:vAlign w:val="center"/>
          </w:tcPr>
          <w:p w14:paraId="7C54827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返听音箱</w:t>
            </w:r>
          </w:p>
        </w:tc>
        <w:tc>
          <w:tcPr>
            <w:tcW w:w="6279" w:type="dxa"/>
            <w:noWrap w:val="0"/>
            <w:vAlign w:val="top"/>
          </w:tcPr>
          <w:p w14:paraId="5A9A40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 (RMS THD=1%,1kHz,典型值)： 8Ω≥ 2*430W ，4Ω ≥2*745W ，2Ω ≥2*1280W；桥接 16Ω≥ 1*880W ，8Ω≥ 1*1510W ，4Ω ≥1*2580W；</w:t>
            </w:r>
          </w:p>
          <w:p w14:paraId="1F5C2C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2、输入灵敏度： 15dB 18dB 19dB 21dB可选择；</w:t>
            </w:r>
          </w:p>
          <w:p w14:paraId="017E269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3、THD+N： 0.01%(10%额定输出功率，典型值，8Ω) ；</w:t>
            </w:r>
          </w:p>
          <w:p w14:paraId="7A0D4C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4、频率响应： ±0.2dB(10%额定输出功率，20Hz-20kHz，8Ω) ；</w:t>
            </w:r>
          </w:p>
          <w:p w14:paraId="501077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5、输入阻抗： 20kΩ(平衡)，10kΩ(非平衡) ；</w:t>
            </w:r>
          </w:p>
          <w:p w14:paraId="68F813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6、阻尼系数： ≥1000(20Hz-200Hz, 8Ω)； </w:t>
            </w:r>
          </w:p>
          <w:p w14:paraId="16223D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7、信噪比： ≥100dB(A 计权，20Hz-20kHz)； </w:t>
            </w:r>
          </w:p>
          <w:p w14:paraId="146FE0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8、电源要求： 100-240VAC(±10%)50-60Hz ；</w:t>
            </w:r>
          </w:p>
          <w:p w14:paraId="75B5B3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9、保护功能： 过热压限、过载保护、输出直流保护、电源欠压保护。</w:t>
            </w:r>
          </w:p>
        </w:tc>
        <w:tc>
          <w:tcPr>
            <w:tcW w:w="785" w:type="dxa"/>
            <w:noWrap w:val="0"/>
            <w:vAlign w:val="center"/>
          </w:tcPr>
          <w:p w14:paraId="1273BBD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7C0C2C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606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2CD4C6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20</w:t>
            </w:r>
          </w:p>
        </w:tc>
        <w:tc>
          <w:tcPr>
            <w:tcW w:w="978" w:type="dxa"/>
            <w:noWrap w:val="0"/>
            <w:vAlign w:val="center"/>
          </w:tcPr>
          <w:p w14:paraId="465C546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音箱壁挂架</w:t>
            </w:r>
          </w:p>
        </w:tc>
        <w:tc>
          <w:tcPr>
            <w:tcW w:w="706" w:type="dxa"/>
            <w:noWrap w:val="0"/>
            <w:vAlign w:val="center"/>
          </w:tcPr>
          <w:p w14:paraId="0EE35E9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音箱壁挂架</w:t>
            </w:r>
          </w:p>
        </w:tc>
        <w:tc>
          <w:tcPr>
            <w:tcW w:w="6279" w:type="dxa"/>
            <w:noWrap w:val="0"/>
            <w:vAlign w:val="top"/>
          </w:tcPr>
          <w:p w14:paraId="75B07D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全金属加厚，材料为铁和铝件</w:t>
            </w:r>
          </w:p>
        </w:tc>
        <w:tc>
          <w:tcPr>
            <w:tcW w:w="785" w:type="dxa"/>
            <w:noWrap w:val="0"/>
            <w:vAlign w:val="center"/>
          </w:tcPr>
          <w:p w14:paraId="28C6C3D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401FC53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04FA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E6BCB3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21</w:t>
            </w:r>
          </w:p>
        </w:tc>
        <w:tc>
          <w:tcPr>
            <w:tcW w:w="978" w:type="dxa"/>
            <w:noWrap w:val="0"/>
            <w:vAlign w:val="center"/>
          </w:tcPr>
          <w:p w14:paraId="5C9EFD0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音频处理器</w:t>
            </w:r>
          </w:p>
        </w:tc>
        <w:tc>
          <w:tcPr>
            <w:tcW w:w="706" w:type="dxa"/>
            <w:noWrap w:val="0"/>
            <w:vAlign w:val="center"/>
          </w:tcPr>
          <w:p w14:paraId="289D74B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音频处理器</w:t>
            </w:r>
          </w:p>
        </w:tc>
        <w:tc>
          <w:tcPr>
            <w:tcW w:w="6279" w:type="dxa"/>
            <w:noWrap w:val="0"/>
            <w:vAlign w:val="top"/>
          </w:tcPr>
          <w:p w14:paraId="2FDA8A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产品描述：</w:t>
            </w:r>
          </w:p>
          <w:p w14:paraId="325EB5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1、8*8数字音频矩阵处理器；</w:t>
            </w:r>
          </w:p>
          <w:p w14:paraId="3024F4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2、每路输入带48V幻象供电；</w:t>
            </w:r>
          </w:p>
          <w:p w14:paraId="3C9DFA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3、DSP音频处理，内置自动混音台，反馈消除，回声消除，噪声消除模块；</w:t>
            </w:r>
          </w:p>
          <w:p w14:paraId="43FF7B8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4、输入：前级放大、信号发生器、扩展器、压缩器、5段参量均衡、自动增益；</w:t>
            </w:r>
          </w:p>
          <w:p w14:paraId="7ABA10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5、输出：31段图示均衡、延时器、分频器、限幅器；</w:t>
            </w:r>
          </w:p>
          <w:p w14:paraId="60E299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6、全功能矩阵混音功能；</w:t>
            </w:r>
          </w:p>
          <w:p w14:paraId="47CCF2D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7、USB背景音乐播放与录制功能；</w:t>
            </w:r>
          </w:p>
          <w:p w14:paraId="679048E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8、支持Windows，Android，IOS平台客户端；</w:t>
            </w:r>
          </w:p>
          <w:p w14:paraId="458FD1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9、支持外接RS232控制；</w:t>
            </w:r>
          </w:p>
          <w:p w14:paraId="2B0B03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10、支持场景预设功能；</w:t>
            </w:r>
          </w:p>
          <w:p w14:paraId="64D98F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11、断电自动保护记忆功能；</w:t>
            </w:r>
          </w:p>
          <w:p w14:paraId="1D4E30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12、每通道可独立设置中文名称；</w:t>
            </w:r>
          </w:p>
          <w:p w14:paraId="17B6F8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13、1.3英寸OLED屏幕，实时显示本机当前IP；</w:t>
            </w:r>
          </w:p>
          <w:p w14:paraId="4B5A8FA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14、测试信号发生器，正弦波、粉噪、白噪；</w:t>
            </w:r>
          </w:p>
          <w:p w14:paraId="77E577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15、输入相位开关、静音开关、幻象供电开关；</w:t>
            </w:r>
          </w:p>
          <w:p w14:paraId="50D13D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16、每通道5段参量均衡-15至+15dB；</w:t>
            </w:r>
          </w:p>
          <w:p w14:paraId="4D7CA89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17、每通道压缩器阈值-48至0dBFS，压缩输出-24至+30dBFS；</w:t>
            </w:r>
          </w:p>
          <w:p w14:paraId="6E67590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18、每通道自动增益比率1至20；</w:t>
            </w:r>
          </w:p>
          <w:p w14:paraId="68B5F1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19、反馈抑制功能有输入输出开关，回声抑制功能有3种模式5个等级选择，噪声抑制功能有5个等级选择；</w:t>
            </w:r>
          </w:p>
          <w:p w14:paraId="6ED5BB2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20、每通道最大延时2S；</w:t>
            </w:r>
          </w:p>
          <w:p w14:paraId="5157A9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21、每输出通道独立高低通滤波，3种模式8种等级，独立开关；</w:t>
            </w:r>
          </w:p>
          <w:p w14:paraId="0BE1030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22、每通道独立31段图示均衡，3种Q值可选，-15至+15dB范围调控，独立开关控制，一键复位；</w:t>
            </w:r>
          </w:p>
          <w:p w14:paraId="0DFE5D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23、每通道限幅器阈值-48至0dBFS，恢复时间1至1000ms；</w:t>
            </w:r>
          </w:p>
          <w:p w14:paraId="2AAE15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24、每通道输出独立开关，相位开关；</w:t>
            </w:r>
          </w:p>
          <w:p w14:paraId="5C05C36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25、中、繁、英三种语言灵活切换；</w:t>
            </w:r>
          </w:p>
          <w:p w14:paraId="535171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26、一键显示所有功能模块；</w:t>
            </w:r>
          </w:p>
          <w:p w14:paraId="5476EE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27、随机存储PC软件；</w:t>
            </w:r>
          </w:p>
          <w:p w14:paraId="63EEF3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28、中控代码随机生成；</w:t>
            </w:r>
          </w:p>
          <w:p w14:paraId="2E039D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29、同一台主机允许10个用户管理，用户名可设置为中文；</w:t>
            </w:r>
          </w:p>
          <w:p w14:paraId="4265EF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28、设备名称可修改，允许中文名称；</w:t>
            </w:r>
          </w:p>
          <w:p w14:paraId="4EE21B6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30、可编辑预置模式，新建、删除、修改，一键初始化，预置模式可存储至电脑及一键恢复；</w:t>
            </w:r>
          </w:p>
          <w:p w14:paraId="029391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31、输入输出通道可独立设置颜色，一键恢复开关；</w:t>
            </w:r>
          </w:p>
          <w:p w14:paraId="510639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32、有摄像跟踪功能，可独立对一台摄像机进行预置位调整；</w:t>
            </w:r>
          </w:p>
          <w:p w14:paraId="5B4168C3">
            <w:pPr>
              <w:rPr>
                <w:rFonts w:hint="eastAsia" w:ascii="宋体" w:hAnsi="宋体" w:eastAsia="宋体" w:cs="宋体"/>
                <w:sz w:val="20"/>
                <w:szCs w:val="20"/>
                <w:vertAlign w:val="baseline"/>
              </w:rPr>
            </w:pPr>
          </w:p>
          <w:p w14:paraId="40B9032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33、支持Dante数字音频信号扩展</w:t>
            </w:r>
          </w:p>
          <w:p w14:paraId="19983C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63F5A0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1、频率响应：不劣于20Hz-20kHz ±0.3dB；</w:t>
            </w:r>
          </w:p>
          <w:p w14:paraId="636B2C0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2、总谐波失真：≤0.01%@4dBu，1kHz</w:t>
            </w:r>
          </w:p>
          <w:p w14:paraId="1DFE552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3、采样率及量化位数：48kHz/24bit；</w:t>
            </w:r>
          </w:p>
          <w:p w14:paraId="7D7365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4、最大输入电平：≥17dBu；</w:t>
            </w:r>
          </w:p>
          <w:p w14:paraId="7A40E3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5、最大输出电平：≥17dBu；</w:t>
            </w:r>
          </w:p>
          <w:p w14:paraId="75A317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6、信噪比：≥100dB</w:t>
            </w:r>
          </w:p>
          <w:p w14:paraId="71F0E3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7、增益：≥48dB；</w:t>
            </w:r>
          </w:p>
        </w:tc>
        <w:tc>
          <w:tcPr>
            <w:tcW w:w="785" w:type="dxa"/>
            <w:noWrap w:val="0"/>
            <w:vAlign w:val="center"/>
          </w:tcPr>
          <w:p w14:paraId="54D38B6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4A0C897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A80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4652BD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22</w:t>
            </w:r>
          </w:p>
        </w:tc>
        <w:tc>
          <w:tcPr>
            <w:tcW w:w="978" w:type="dxa"/>
            <w:noWrap w:val="0"/>
            <w:vAlign w:val="center"/>
          </w:tcPr>
          <w:p w14:paraId="2C174BC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智能电源时序器</w:t>
            </w:r>
          </w:p>
        </w:tc>
        <w:tc>
          <w:tcPr>
            <w:tcW w:w="706" w:type="dxa"/>
            <w:noWrap w:val="0"/>
            <w:vAlign w:val="center"/>
          </w:tcPr>
          <w:p w14:paraId="7396B7B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智能电源时序器</w:t>
            </w:r>
          </w:p>
        </w:tc>
        <w:tc>
          <w:tcPr>
            <w:tcW w:w="6279" w:type="dxa"/>
            <w:noWrap w:val="0"/>
            <w:vAlign w:val="top"/>
          </w:tcPr>
          <w:p w14:paraId="58C269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1、电源输入：三相五线制AC38OV±10%，50Hz/60Hz；</w:t>
            </w:r>
          </w:p>
          <w:p w14:paraId="5538B24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2、输出：12路独立输出，每路相电压AC 220V±10％，每路带载4kW，总输出最大可带载48kW；</w:t>
            </w:r>
          </w:p>
          <w:p w14:paraId="58E925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3、短路保护：每路输出配有液压电磁式20A断路器，断路器可提供过载，短路保护；</w:t>
            </w:r>
          </w:p>
          <w:p w14:paraId="265111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4、一键开关：单台设备12路输出一键式顺序、逆序开关，也可以每路独立开关；</w:t>
            </w:r>
          </w:p>
          <w:p w14:paraId="7B31B7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5、定时控制：可以自定义选择输出通道定时开启或关闭，可单次运行，也可以循环运行；</w:t>
            </w:r>
          </w:p>
          <w:p w14:paraId="46660D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6、参数监测：每路输出通道都具有电流，电压，功率，温度，开关状态，运行时长与三项平衡监测多种异常情况报警；</w:t>
            </w:r>
          </w:p>
          <w:p w14:paraId="440B56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7、报警管理：报警原因自动上传报警日志至云端，可在手机或电脑上远程实时监控；</w:t>
            </w:r>
          </w:p>
          <w:p w14:paraId="26FDDC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8、电气设置：可以设置输入电压过压和欠压阈值，可以为每路输出单独设置电流、功率、温度断电阈值，超出范围报警，能够识别出没有正常工作的设备，也可以选择是否断开输出电源；</w:t>
            </w:r>
          </w:p>
          <w:p w14:paraId="4847D4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9、显示：≥3.5</w:t>
            </w:r>
            <w:r>
              <w:rPr>
                <w:rFonts w:hint="eastAsia" w:ascii="宋体" w:hAnsi="宋体" w:eastAsia="宋体" w:cs="宋体"/>
                <w:sz w:val="20"/>
                <w:szCs w:val="20"/>
                <w:vertAlign w:val="baseline"/>
                <w:lang w:val="en-US" w:eastAsia="zh-CN"/>
              </w:rPr>
              <w:t>英</w:t>
            </w:r>
            <w:r>
              <w:rPr>
                <w:rFonts w:hint="eastAsia" w:ascii="宋体" w:hAnsi="宋体" w:eastAsia="宋体" w:cs="宋体"/>
                <w:sz w:val="20"/>
                <w:szCs w:val="20"/>
                <w:vertAlign w:val="baseline"/>
              </w:rPr>
              <w:t>寸触摸显示屏，可以显示设备状态，日期时间，通道开启状态，每一路漏电、过压，过载等告警状态，可以操控设备。自带屏幕锁、密码锁定和按键锁定，防止误触，可调节屏幕亮度，适应多种光照条件；</w:t>
            </w:r>
          </w:p>
          <w:p w14:paraId="744FBF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10、远程控制：手机和平板APP支持在具有移动网络或宽带网络的任何地点使用，可实现以上一键开关、并机运行、顺序开关、场景保存、参数监测、报警管理。</w:t>
            </w:r>
          </w:p>
          <w:p w14:paraId="02AB71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11、并机运行：多台设备可以组网运行，对所有组网设备一键开关，可以保存当前所有开关状态作为场景，可保存多个场景，支持开关状态一键恢复；</w:t>
            </w:r>
          </w:p>
          <w:p w14:paraId="499EEF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12、对接中控：设备有凤凰端子，可以向设备发送通讯协议控制设备通道开关。</w:t>
            </w:r>
          </w:p>
        </w:tc>
        <w:tc>
          <w:tcPr>
            <w:tcW w:w="785" w:type="dxa"/>
            <w:noWrap w:val="0"/>
            <w:vAlign w:val="center"/>
          </w:tcPr>
          <w:p w14:paraId="21B8559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05C92A7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3C12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AF350F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23</w:t>
            </w:r>
          </w:p>
        </w:tc>
        <w:tc>
          <w:tcPr>
            <w:tcW w:w="978" w:type="dxa"/>
            <w:noWrap w:val="0"/>
            <w:vAlign w:val="center"/>
          </w:tcPr>
          <w:p w14:paraId="06BB9E0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网络中控主机</w:t>
            </w:r>
          </w:p>
        </w:tc>
        <w:tc>
          <w:tcPr>
            <w:tcW w:w="706" w:type="dxa"/>
            <w:noWrap w:val="0"/>
            <w:vAlign w:val="center"/>
          </w:tcPr>
          <w:p w14:paraId="54DDC2A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网络中控主机</w:t>
            </w:r>
          </w:p>
        </w:tc>
        <w:tc>
          <w:tcPr>
            <w:tcW w:w="6279" w:type="dxa"/>
            <w:noWrap w:val="0"/>
            <w:vAlign w:val="top"/>
          </w:tcPr>
          <w:p w14:paraId="012C7C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1、可通过串口单独控制；</w:t>
            </w:r>
          </w:p>
          <w:p w14:paraId="5EFB3A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2、主机自带≥8个自定义按键，自定编程；</w:t>
            </w:r>
          </w:p>
          <w:p w14:paraId="2D41A3F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3、触摸屏支持图片和视频作为背景墙编程；</w:t>
            </w:r>
          </w:p>
          <w:p w14:paraId="3F174F8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4、主机共采用≥3颗嵌入式高速中央处理器(CPU)并行运算（包括TCP/IP协议栈），可快速处理各种复杂的控制指令，提高响应用户的速度；</w:t>
            </w:r>
          </w:p>
          <w:p w14:paraId="327900A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5、主机前面板带蓝光液晶显示屏自带LCD屏幕，可以显示IP地址以及任何字符串以及显示工作状态等；</w:t>
            </w:r>
          </w:p>
          <w:p w14:paraId="23DBE6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6、触屏可直接显示与中控连接状态即时反馈连接或离线，支持WIFI双向通讯以及射频发射器；</w:t>
            </w:r>
          </w:p>
          <w:p w14:paraId="240457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7、主机内置红外学习器，可把红外数据保存到电脑成为红外库文件，供后续工程或后续维护升级使用；</w:t>
            </w:r>
          </w:p>
          <w:p w14:paraId="1F13D2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8、内部提供多种可编程控制接口，RS-485/RS-422/RS-232、IR、I/O、RELAY等多种控制方式来满足多种用途的需要；</w:t>
            </w:r>
          </w:p>
          <w:p w14:paraId="475CFE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9、≥8路独立可编程双向发送及接收控制，可以收发RS232、RS485、RS422格式数据；</w:t>
            </w:r>
          </w:p>
          <w:p w14:paraId="652C53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10、≥8路数字I/0输入输出控制口和8路弱电继电器控制接口，输入输出分开可同时受控；</w:t>
            </w:r>
          </w:p>
          <w:p w14:paraId="5C59D8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11、≥8路红外驱动端口，8路独立可编程IR红外发射口，支持控制多台相同或不同的红外设备,可实现对VCR、DVD、CD、MD放音机和投影机等的遥控；</w:t>
            </w:r>
          </w:p>
          <w:p w14:paraId="70FAA04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12、控制通讯：以太网(TCP/IP)，10/100M自适应，TCP SERVER方式，也可定制为UDP方式，也可连接射频接收器；</w:t>
            </w:r>
          </w:p>
          <w:p w14:paraId="563A729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13、网络设备控制功能：主机PORT口集成了内置 TCP/IP 协议簇，支持IPv4、DHCP 、ARP、ICMP、IGMP、UDP、TCP 协议。支持域名解析远程控制及云服务器接入远程控制，可以对任意基于TCP/IP的网络设备（数量不受限制）进行控制，不同协议之间（TCP/UDP）的转换速度可在毫秒级完成；</w:t>
            </w:r>
          </w:p>
          <w:p w14:paraId="787035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14、支持HTML(WEB模式)任何平台设备均可利用 4G/5G 公网，通过浏览器接入云服务器，进行界面编辑、保存及设备控制，不受地域局限；</w:t>
            </w:r>
          </w:p>
          <w:p w14:paraId="7C1BC0D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15、支持HTML(WEB模式)通过在局域网设置本地 WEB 服务器的方式进行部署，用户界面的编辑、保存及设备控制均在本地 WEB 服务器内完成；</w:t>
            </w:r>
          </w:p>
          <w:p w14:paraId="3A0E2C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16、支持多模式滑杆（水平/垂直/圆形）、流媒体窗口、网页窗口等多种控件；</w:t>
            </w:r>
          </w:p>
          <w:p w14:paraId="15FDE4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17、可接RF无线射频接收器和WIFI无线路由器，可与平板电脑或苹果IPAD通信；</w:t>
            </w:r>
          </w:p>
          <w:p w14:paraId="4BF2F7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18、1个终端模块，4PIN排针，支持JU-NET控制总线，提供DC24V/1A的输出电源；</w:t>
            </w:r>
          </w:p>
          <w:p w14:paraId="6E97BA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19、网络扩展接口:≥2个RJ45以太网(TCP/IP)，10/100M自适应；</w:t>
            </w:r>
          </w:p>
          <w:p w14:paraId="60D68D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20、支持各种平板分辨率可以自定义修改，并网络上传程序；</w:t>
            </w:r>
          </w:p>
          <w:p w14:paraId="14C0DD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21、支持触摸屏范围：支持安卓系统/IOS系统的平板触摸屏机控制触摸屏机控制，支持WINDOWS系统的PC电脑控制；</w:t>
            </w:r>
          </w:p>
          <w:p w14:paraId="735521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22、弱继电器：≥8路，每路负载为30V/2A；</w:t>
            </w:r>
          </w:p>
          <w:p w14:paraId="7CD6F4E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23、RS232串口：≥8路，可编程300-115200波特率，支持奇/偶/无效验；</w:t>
            </w:r>
          </w:p>
          <w:p w14:paraId="391451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24、RS485串口：≥8 路，可编程300-115200波特率，支持奇/偶/无效验；</w:t>
            </w:r>
          </w:p>
          <w:p w14:paraId="540C75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25、IO口：≥8个，支持外部短路/开路触发、支持外部0-5V电平触发；</w:t>
            </w:r>
          </w:p>
          <w:p w14:paraId="7C8B10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26、红外口：≥8个，内置红外学习器；</w:t>
            </w:r>
          </w:p>
          <w:p w14:paraId="3C30D0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27、NET总线接口:≥1个，内置24V直流供电；</w:t>
            </w:r>
          </w:p>
          <w:p w14:paraId="268BB1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28、网络接口：≥2个。</w:t>
            </w:r>
          </w:p>
        </w:tc>
        <w:tc>
          <w:tcPr>
            <w:tcW w:w="785" w:type="dxa"/>
            <w:noWrap w:val="0"/>
            <w:vAlign w:val="center"/>
          </w:tcPr>
          <w:p w14:paraId="2989F93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290384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3B3F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D06D66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24</w:t>
            </w:r>
          </w:p>
        </w:tc>
        <w:tc>
          <w:tcPr>
            <w:tcW w:w="978" w:type="dxa"/>
            <w:noWrap w:val="0"/>
            <w:vAlign w:val="center"/>
          </w:tcPr>
          <w:p w14:paraId="71F6FE0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wifi解码器</w:t>
            </w:r>
          </w:p>
        </w:tc>
        <w:tc>
          <w:tcPr>
            <w:tcW w:w="706" w:type="dxa"/>
            <w:noWrap w:val="0"/>
            <w:vAlign w:val="center"/>
          </w:tcPr>
          <w:p w14:paraId="02387E4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wifi解码器</w:t>
            </w:r>
          </w:p>
        </w:tc>
        <w:tc>
          <w:tcPr>
            <w:tcW w:w="6279" w:type="dxa"/>
            <w:noWrap w:val="0"/>
            <w:vAlign w:val="top"/>
          </w:tcPr>
          <w:p w14:paraId="29CA2C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新一代Wi-Fi6技术</w:t>
            </w:r>
          </w:p>
          <w:p w14:paraId="2558C7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11AX 2.4G/5G 双频并发，无线速率高达5378Mbps</w:t>
            </w:r>
          </w:p>
          <w:p w14:paraId="2A02F1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正面底部1个千兆RJ45接口，背面1个2.5G RJ45接口；</w:t>
            </w:r>
          </w:p>
          <w:p w14:paraId="3F27362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802.3at标准PoE网线供电</w:t>
            </w:r>
          </w:p>
          <w:p w14:paraId="434350A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频谱导航，优先连接5GHz 频段，2.4GHz 和5GHz 两个频段负载均衡</w:t>
            </w:r>
          </w:p>
          <w:p w14:paraId="41C8A4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支持弱信号剔除、禁止弱信号设备接入功能</w:t>
            </w:r>
          </w:p>
          <w:p w14:paraId="752E39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可以根据不同应用环境选择不同模式</w:t>
            </w:r>
          </w:p>
          <w:p w14:paraId="7AA6568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FIT模式支持射频自动调优</w:t>
            </w:r>
          </w:p>
          <w:p w14:paraId="5CF158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FIT模式支持智能漫游</w:t>
            </w:r>
          </w:p>
          <w:p w14:paraId="7E5206D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支持网络云平台集中管理</w:t>
            </w:r>
          </w:p>
          <w:p w14:paraId="596915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支持APP远程查看/管理</w:t>
            </w:r>
          </w:p>
        </w:tc>
        <w:tc>
          <w:tcPr>
            <w:tcW w:w="785" w:type="dxa"/>
            <w:noWrap w:val="0"/>
            <w:vAlign w:val="center"/>
          </w:tcPr>
          <w:p w14:paraId="72EC22D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435013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5717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2C5F0A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25</w:t>
            </w:r>
          </w:p>
        </w:tc>
        <w:tc>
          <w:tcPr>
            <w:tcW w:w="978" w:type="dxa"/>
            <w:noWrap w:val="0"/>
            <w:vAlign w:val="center"/>
          </w:tcPr>
          <w:p w14:paraId="1536EF0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智能控制系统软件</w:t>
            </w:r>
          </w:p>
        </w:tc>
        <w:tc>
          <w:tcPr>
            <w:tcW w:w="706" w:type="dxa"/>
            <w:noWrap w:val="0"/>
            <w:vAlign w:val="center"/>
          </w:tcPr>
          <w:p w14:paraId="0D87C5F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智能控制系统软件</w:t>
            </w:r>
          </w:p>
        </w:tc>
        <w:tc>
          <w:tcPr>
            <w:tcW w:w="6279" w:type="dxa"/>
            <w:noWrap w:val="0"/>
            <w:vAlign w:val="top"/>
          </w:tcPr>
          <w:p w14:paraId="0C705E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路电源控制（管理）器主要应用于控制系统中的可编程开关模块，可以控制应用与会场需求的电源以及环境灯光等开关变量，通过与中控系统的连接对周边设备进行定时以及延时的闭合，起到对设备的管理和保护作用；</w:t>
            </w:r>
          </w:p>
          <w:p w14:paraId="6518226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2、电源控制器采用 RS-485 总线、RS232控制、IO控制及 网络（选配）结构，用于控制灯光、电动窗帘、电动屏 幕及投影机等外设的供电电源；</w:t>
            </w:r>
          </w:p>
          <w:p w14:paraId="70C17D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3、控制器内设≥8个大电流继电器，每路继电器的最大电流值≥30A（纯阻性负载），最大负载能力为≥4000W/路，总负载能力为≥16000W；</w:t>
            </w:r>
          </w:p>
          <w:p w14:paraId="52D56B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4、除了通过 RS-485 总线和RS232控制外，还可通过拨码开关手动控制 8 路继电器。</w:t>
            </w:r>
          </w:p>
          <w:p w14:paraId="6A31EC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5、载入容量：单路功率≥20A；</w:t>
            </w:r>
          </w:p>
          <w:p w14:paraId="67FEF2D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6、ID选择：旋转的ID切换设置网络ID身份代码；</w:t>
            </w:r>
          </w:p>
          <w:p w14:paraId="0839DB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7、电源：2种供电方式，24V单独供电或第三方中控NET总线供电；</w:t>
            </w:r>
          </w:p>
          <w:p w14:paraId="18E905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8、控制方法：通过独立的网络协议控制；</w:t>
            </w:r>
          </w:p>
          <w:p w14:paraId="74E936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9、IO控制:在机器的内部有≥8个IO接口；</w:t>
            </w:r>
          </w:p>
          <w:p w14:paraId="29517BF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10、通讯方式：RS-232/RS485、NET协议、IO控制；</w:t>
            </w:r>
          </w:p>
          <w:p w14:paraId="65F09A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11、继电器常开、常闭触点均引出到插座，方便用户选用、设计；</w:t>
            </w:r>
          </w:p>
          <w:p w14:paraId="4263EB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12、面板具有≥8路输出独立控制按键，可单独开启、关闭任意一路输出。</w:t>
            </w:r>
          </w:p>
        </w:tc>
        <w:tc>
          <w:tcPr>
            <w:tcW w:w="785" w:type="dxa"/>
            <w:noWrap w:val="0"/>
            <w:vAlign w:val="center"/>
          </w:tcPr>
          <w:p w14:paraId="201E4AB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05CC5E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C86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74F773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26</w:t>
            </w:r>
          </w:p>
        </w:tc>
        <w:tc>
          <w:tcPr>
            <w:tcW w:w="978" w:type="dxa"/>
            <w:noWrap w:val="0"/>
            <w:vAlign w:val="center"/>
          </w:tcPr>
          <w:p w14:paraId="243DA28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电源管理器</w:t>
            </w:r>
          </w:p>
        </w:tc>
        <w:tc>
          <w:tcPr>
            <w:tcW w:w="706" w:type="dxa"/>
            <w:noWrap w:val="0"/>
            <w:vAlign w:val="center"/>
          </w:tcPr>
          <w:p w14:paraId="723618F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电源管理器</w:t>
            </w:r>
          </w:p>
        </w:tc>
        <w:tc>
          <w:tcPr>
            <w:tcW w:w="6279" w:type="dxa"/>
            <w:noWrap w:val="0"/>
            <w:vAlign w:val="top"/>
          </w:tcPr>
          <w:p w14:paraId="5B467C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1、具有不少于8路独立电源开关控制接口；</w:t>
            </w:r>
          </w:p>
          <w:p w14:paraId="7D710B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2、采用RS-232,RS-485通讯方式；</w:t>
            </w:r>
          </w:p>
          <w:p w14:paraId="4E987A6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3、具有ID选择功能：旋转的ID切换设置网络ID身份代码；</w:t>
            </w:r>
          </w:p>
          <w:p w14:paraId="6A6CAA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4、电源方式：外部AC100-240V电源输入或通过T-BUS控制总线提供+24VDC供电；</w:t>
            </w:r>
          </w:p>
          <w:p w14:paraId="795343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5、具有单路或多路开关；</w:t>
            </w:r>
          </w:p>
          <w:p w14:paraId="06D8ED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6、单路载入容量AC250V/10A、DC30V/10A.</w:t>
            </w:r>
          </w:p>
        </w:tc>
        <w:tc>
          <w:tcPr>
            <w:tcW w:w="785" w:type="dxa"/>
            <w:noWrap w:val="0"/>
            <w:vAlign w:val="center"/>
          </w:tcPr>
          <w:p w14:paraId="3E79C76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E4ABB7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05FF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619568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27</w:t>
            </w:r>
          </w:p>
        </w:tc>
        <w:tc>
          <w:tcPr>
            <w:tcW w:w="978" w:type="dxa"/>
            <w:noWrap w:val="0"/>
            <w:vAlign w:val="center"/>
          </w:tcPr>
          <w:p w14:paraId="378EE62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音箱线</w:t>
            </w:r>
          </w:p>
        </w:tc>
        <w:tc>
          <w:tcPr>
            <w:tcW w:w="706" w:type="dxa"/>
            <w:noWrap w:val="0"/>
            <w:vAlign w:val="center"/>
          </w:tcPr>
          <w:p w14:paraId="16F1048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音箱线</w:t>
            </w:r>
          </w:p>
        </w:tc>
        <w:tc>
          <w:tcPr>
            <w:tcW w:w="6279" w:type="dxa"/>
            <w:noWrap w:val="0"/>
            <w:vAlign w:val="top"/>
          </w:tcPr>
          <w:p w14:paraId="6DDC079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4×2.5mm²护套绞型喇叭线, 采用优质高纯度（OFC）无氧铜丝绞合，特别配方聚氯乙烯绝缘；灰色PVC护套，外径：11.8mm；导体：77/0.20的绞合裸铜丝；导体截面积：2.5mm2；绝缘：PVC绝缘料，黑色、红色、蓝色、黄色，4芯对绞；护套：PVC护套料；导体直流电阻：0.69Ω/100m；电容：96pF/m</w:t>
            </w:r>
          </w:p>
        </w:tc>
        <w:tc>
          <w:tcPr>
            <w:tcW w:w="785" w:type="dxa"/>
            <w:noWrap w:val="0"/>
            <w:vAlign w:val="center"/>
          </w:tcPr>
          <w:p w14:paraId="4125553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400</w:t>
            </w:r>
          </w:p>
        </w:tc>
        <w:tc>
          <w:tcPr>
            <w:tcW w:w="988" w:type="dxa"/>
            <w:noWrap w:val="0"/>
            <w:vAlign w:val="center"/>
          </w:tcPr>
          <w:p w14:paraId="0F01580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831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41EF39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28</w:t>
            </w:r>
          </w:p>
        </w:tc>
        <w:tc>
          <w:tcPr>
            <w:tcW w:w="978" w:type="dxa"/>
            <w:noWrap w:val="0"/>
            <w:vAlign w:val="center"/>
          </w:tcPr>
          <w:p w14:paraId="289DBC9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音频安装线缆</w:t>
            </w:r>
          </w:p>
        </w:tc>
        <w:tc>
          <w:tcPr>
            <w:tcW w:w="706" w:type="dxa"/>
            <w:noWrap w:val="0"/>
            <w:vAlign w:val="center"/>
          </w:tcPr>
          <w:p w14:paraId="4C749A9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音频安装线缆</w:t>
            </w:r>
          </w:p>
        </w:tc>
        <w:tc>
          <w:tcPr>
            <w:tcW w:w="6279" w:type="dxa"/>
            <w:noWrap w:val="0"/>
            <w:vAlign w:val="top"/>
          </w:tcPr>
          <w:p w14:paraId="1E55EC8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频安装线缆，采用优质高纯度（OFC）无氧铜丝绞合，特别配方聚乙烯绝缘；灰色聚氯乙烯护套，护套为绞形，较细，硬线，适合机柜后面使用；外径：4.6mm；2芯加铝箔反包屏蔽，导体截面积：0.37mm2；导体直流电阻：4.8Ω/100m，芯与芯之间的电容：70pF/m，芯与屏蔽之间的电容：120pF/m。</w:t>
            </w:r>
          </w:p>
        </w:tc>
        <w:tc>
          <w:tcPr>
            <w:tcW w:w="785" w:type="dxa"/>
            <w:noWrap w:val="0"/>
            <w:vAlign w:val="center"/>
          </w:tcPr>
          <w:p w14:paraId="0399415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400</w:t>
            </w:r>
          </w:p>
        </w:tc>
        <w:tc>
          <w:tcPr>
            <w:tcW w:w="988" w:type="dxa"/>
            <w:noWrap w:val="0"/>
            <w:vAlign w:val="center"/>
          </w:tcPr>
          <w:p w14:paraId="767DB13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1BDE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C5653F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29</w:t>
            </w:r>
          </w:p>
        </w:tc>
        <w:tc>
          <w:tcPr>
            <w:tcW w:w="978" w:type="dxa"/>
            <w:noWrap w:val="0"/>
            <w:vAlign w:val="center"/>
          </w:tcPr>
          <w:p w14:paraId="66AF1C9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缠绕屏蔽话筒线</w:t>
            </w:r>
          </w:p>
        </w:tc>
        <w:tc>
          <w:tcPr>
            <w:tcW w:w="706" w:type="dxa"/>
            <w:noWrap w:val="0"/>
            <w:vAlign w:val="center"/>
          </w:tcPr>
          <w:p w14:paraId="0CCA880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缠绕屏蔽话筒线</w:t>
            </w:r>
          </w:p>
        </w:tc>
        <w:tc>
          <w:tcPr>
            <w:tcW w:w="6279" w:type="dxa"/>
            <w:noWrap w:val="0"/>
            <w:vAlign w:val="top"/>
          </w:tcPr>
          <w:p w14:paraId="5E8965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2x 0.3mm² 专业双绞话筒线, 采用优质无氧铜丝（OFC）揉合成导体，特别配方聚氯乙烯绝缘，弹性PVC外护套，屏蔽层采用优质无氧铜（OFC）缠绕。导体：16/0.15mm绞合裸铜丝；导体截面积：0.3mm2；绝缘：PVC绝缘料，2芯绞合；屏蔽：优质无氧裸铜丝缠绕屏蔽；护套：黑色弹性PVC护套料；外径：6.0mm；导体直流电阻：6.01Ω/100m；电容：126pF/m</w:t>
            </w:r>
          </w:p>
        </w:tc>
        <w:tc>
          <w:tcPr>
            <w:tcW w:w="785" w:type="dxa"/>
            <w:noWrap w:val="0"/>
            <w:vAlign w:val="center"/>
          </w:tcPr>
          <w:p w14:paraId="3773F21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t>
            </w:r>
          </w:p>
        </w:tc>
        <w:tc>
          <w:tcPr>
            <w:tcW w:w="988" w:type="dxa"/>
            <w:noWrap w:val="0"/>
            <w:vAlign w:val="center"/>
          </w:tcPr>
          <w:p w14:paraId="3F51113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5AC1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EAE1E5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30</w:t>
            </w:r>
          </w:p>
        </w:tc>
        <w:tc>
          <w:tcPr>
            <w:tcW w:w="978" w:type="dxa"/>
            <w:noWrap w:val="0"/>
            <w:vAlign w:val="center"/>
          </w:tcPr>
          <w:p w14:paraId="575B44B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地插盒</w:t>
            </w:r>
          </w:p>
        </w:tc>
        <w:tc>
          <w:tcPr>
            <w:tcW w:w="706" w:type="dxa"/>
            <w:noWrap w:val="0"/>
            <w:vAlign w:val="center"/>
          </w:tcPr>
          <w:p w14:paraId="06AA1B6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地插盒</w:t>
            </w:r>
          </w:p>
        </w:tc>
        <w:tc>
          <w:tcPr>
            <w:tcW w:w="6279" w:type="dxa"/>
            <w:noWrap w:val="0"/>
            <w:vAlign w:val="top"/>
          </w:tcPr>
          <w:p w14:paraId="6FE22D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2*4P音箱插头</w:t>
            </w:r>
          </w:p>
        </w:tc>
        <w:tc>
          <w:tcPr>
            <w:tcW w:w="785" w:type="dxa"/>
            <w:noWrap w:val="0"/>
            <w:vAlign w:val="center"/>
          </w:tcPr>
          <w:p w14:paraId="10DEB23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1E25BF4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6F8D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2051A6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31</w:t>
            </w:r>
          </w:p>
        </w:tc>
        <w:tc>
          <w:tcPr>
            <w:tcW w:w="978" w:type="dxa"/>
            <w:noWrap w:val="0"/>
            <w:vAlign w:val="center"/>
          </w:tcPr>
          <w:p w14:paraId="118C708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其他插件辅材</w:t>
            </w:r>
          </w:p>
        </w:tc>
        <w:tc>
          <w:tcPr>
            <w:tcW w:w="706" w:type="dxa"/>
            <w:noWrap w:val="0"/>
            <w:vAlign w:val="center"/>
          </w:tcPr>
          <w:p w14:paraId="1764B64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其他插件辅材</w:t>
            </w:r>
          </w:p>
        </w:tc>
        <w:tc>
          <w:tcPr>
            <w:tcW w:w="6279" w:type="dxa"/>
            <w:noWrap w:val="0"/>
            <w:vAlign w:val="top"/>
          </w:tcPr>
          <w:p w14:paraId="29C237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其他所需安装到位接插件、穿线管，桥架灯等</w:t>
            </w:r>
          </w:p>
        </w:tc>
        <w:tc>
          <w:tcPr>
            <w:tcW w:w="785" w:type="dxa"/>
            <w:noWrap w:val="0"/>
            <w:vAlign w:val="center"/>
          </w:tcPr>
          <w:p w14:paraId="7C8271D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CF0A2B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45A0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8A0FA7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32</w:t>
            </w:r>
          </w:p>
        </w:tc>
        <w:tc>
          <w:tcPr>
            <w:tcW w:w="978" w:type="dxa"/>
            <w:noWrap w:val="0"/>
            <w:vAlign w:val="center"/>
          </w:tcPr>
          <w:p w14:paraId="0DE5278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机柜</w:t>
            </w:r>
          </w:p>
        </w:tc>
        <w:tc>
          <w:tcPr>
            <w:tcW w:w="706" w:type="dxa"/>
            <w:noWrap w:val="0"/>
            <w:vAlign w:val="center"/>
          </w:tcPr>
          <w:p w14:paraId="50DE780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机柜</w:t>
            </w:r>
          </w:p>
        </w:tc>
        <w:tc>
          <w:tcPr>
            <w:tcW w:w="6279" w:type="dxa"/>
            <w:noWrap w:val="0"/>
            <w:vAlign w:val="top"/>
          </w:tcPr>
          <w:p w14:paraId="0A051D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类型 网络服务器机柜</w:t>
            </w:r>
          </w:p>
          <w:p w14:paraId="3FCCAD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容量 42U</w:t>
            </w:r>
          </w:p>
          <w:p w14:paraId="3717B9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门及门锁 网门</w:t>
            </w:r>
          </w:p>
          <w:p w14:paraId="0ABC9C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材料及工艺 颜色：黑色，白色</w:t>
            </w:r>
          </w:p>
          <w:p w14:paraId="0D6A5A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附加功能 8位10APDU插排一个</w:t>
            </w:r>
          </w:p>
          <w:p w14:paraId="6A3809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固定板3组</w:t>
            </w:r>
          </w:p>
          <w:p w14:paraId="293FCC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风扇部件≥2组</w:t>
            </w:r>
          </w:p>
          <w:p w14:paraId="3E51642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4只两寸重型脚轮</w:t>
            </w:r>
          </w:p>
          <w:p w14:paraId="6C76681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M6方螺母钉20套</w:t>
            </w:r>
          </w:p>
          <w:p w14:paraId="381D358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内六角扳手一只</w:t>
            </w:r>
          </w:p>
          <w:p w14:paraId="0D587C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外观参数</w:t>
            </w:r>
          </w:p>
          <w:p w14:paraId="4C229B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高度 ≥600mm</w:t>
            </w:r>
          </w:p>
          <w:p w14:paraId="1EAA9D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宽度 ≥1000mm</w:t>
            </w:r>
          </w:p>
          <w:p w14:paraId="43BAC56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深度 ≥2055mm</w:t>
            </w:r>
          </w:p>
        </w:tc>
        <w:tc>
          <w:tcPr>
            <w:tcW w:w="785" w:type="dxa"/>
            <w:noWrap w:val="0"/>
            <w:vAlign w:val="center"/>
          </w:tcPr>
          <w:p w14:paraId="0617589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BB2453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西安市浐灞第一小学</w:t>
            </w:r>
          </w:p>
        </w:tc>
      </w:tr>
      <w:tr w14:paraId="5F27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D59CCE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33</w:t>
            </w:r>
          </w:p>
        </w:tc>
        <w:tc>
          <w:tcPr>
            <w:tcW w:w="978" w:type="dxa"/>
            <w:noWrap w:val="0"/>
            <w:vAlign w:val="center"/>
          </w:tcPr>
          <w:p w14:paraId="11DC646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LED显示屏（会议室）LED显示屏</w:t>
            </w:r>
          </w:p>
        </w:tc>
        <w:tc>
          <w:tcPr>
            <w:tcW w:w="706" w:type="dxa"/>
            <w:noWrap w:val="0"/>
            <w:vAlign w:val="center"/>
          </w:tcPr>
          <w:p w14:paraId="4B725EB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6279" w:type="dxa"/>
            <w:noWrap w:val="0"/>
            <w:vAlign w:val="top"/>
          </w:tcPr>
          <w:p w14:paraId="5F5295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屏体尺寸：8.32*4.8m</w:t>
            </w:r>
          </w:p>
          <w:p w14:paraId="3C75D9E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点间距：2.0mm</w:t>
            </w:r>
          </w:p>
          <w:p w14:paraId="022AF8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密度：250000点/m2</w:t>
            </w:r>
          </w:p>
          <w:p w14:paraId="0A8D37C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模组尺寸：320mm*160mm</w:t>
            </w:r>
          </w:p>
          <w:p w14:paraId="73CA1C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模组拼接平整度：≤0.1mm</w:t>
            </w:r>
          </w:p>
          <w:p w14:paraId="5BBA16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白平衡亮度:≥600 cd/㎡（色温1800K-10000K），</w:t>
            </w:r>
          </w:p>
          <w:p w14:paraId="2D380A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刷新率:≥3840Hz</w:t>
            </w:r>
          </w:p>
          <w:p w14:paraId="2E3CCF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水平视角：水平≥160°、垂直≥160°，</w:t>
            </w:r>
          </w:p>
          <w:p w14:paraId="17BCA1E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色度均匀性:±0.002Cx,Cy之内</w:t>
            </w:r>
          </w:p>
          <w:p w14:paraId="3F93B2F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对比度:≥8000:1</w:t>
            </w:r>
          </w:p>
          <w:p w14:paraId="1E7F3E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峰值功耗:≤500w/㎡</w:t>
            </w:r>
          </w:p>
          <w:p w14:paraId="70300C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平均功耗:≤200w/㎡</w:t>
            </w:r>
          </w:p>
          <w:p w14:paraId="3F219B6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供电要求:AC100V~240V（50-60Hz）</w:t>
            </w:r>
          </w:p>
          <w:p w14:paraId="1827F4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换帧频率:60Hz-120 Hz</w:t>
            </w:r>
          </w:p>
          <w:p w14:paraId="3252ED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连续工作时间:≥72小时，平均无故障时间:≥10000小时</w:t>
            </w:r>
          </w:p>
        </w:tc>
        <w:tc>
          <w:tcPr>
            <w:tcW w:w="785" w:type="dxa"/>
            <w:noWrap w:val="0"/>
            <w:vAlign w:val="center"/>
          </w:tcPr>
          <w:p w14:paraId="7ED8CC8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40</w:t>
            </w:r>
          </w:p>
        </w:tc>
        <w:tc>
          <w:tcPr>
            <w:tcW w:w="988" w:type="dxa"/>
            <w:noWrap w:val="0"/>
            <w:vAlign w:val="center"/>
          </w:tcPr>
          <w:p w14:paraId="0F7A6008">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629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626295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34</w:t>
            </w:r>
          </w:p>
        </w:tc>
        <w:tc>
          <w:tcPr>
            <w:tcW w:w="978" w:type="dxa"/>
            <w:noWrap w:val="0"/>
            <w:vAlign w:val="center"/>
          </w:tcPr>
          <w:p w14:paraId="3A1212B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LED显示屏（会议室）接收卡</w:t>
            </w:r>
          </w:p>
        </w:tc>
        <w:tc>
          <w:tcPr>
            <w:tcW w:w="706" w:type="dxa"/>
            <w:noWrap w:val="0"/>
            <w:vAlign w:val="center"/>
          </w:tcPr>
          <w:p w14:paraId="7CFEEAE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374DD3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自带16个HUB75接口，数据组数：32组，最大带载：长度256点，高度1024点，支持亮度/色度校正</w:t>
            </w:r>
          </w:p>
        </w:tc>
        <w:tc>
          <w:tcPr>
            <w:tcW w:w="785" w:type="dxa"/>
            <w:noWrap w:val="0"/>
            <w:vAlign w:val="center"/>
          </w:tcPr>
          <w:p w14:paraId="01D625E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52</w:t>
            </w:r>
          </w:p>
        </w:tc>
        <w:tc>
          <w:tcPr>
            <w:tcW w:w="988" w:type="dxa"/>
            <w:noWrap w:val="0"/>
            <w:vAlign w:val="center"/>
          </w:tcPr>
          <w:p w14:paraId="4F51C35D">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61D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7E9930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35</w:t>
            </w:r>
          </w:p>
        </w:tc>
        <w:tc>
          <w:tcPr>
            <w:tcW w:w="978" w:type="dxa"/>
            <w:noWrap w:val="0"/>
            <w:vAlign w:val="center"/>
          </w:tcPr>
          <w:p w14:paraId="38A902A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LED显示屏（会议室）电源</w:t>
            </w:r>
          </w:p>
        </w:tc>
        <w:tc>
          <w:tcPr>
            <w:tcW w:w="706" w:type="dxa"/>
            <w:noWrap w:val="0"/>
            <w:vAlign w:val="center"/>
          </w:tcPr>
          <w:p w14:paraId="4E9CDF3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w:t>
            </w:r>
          </w:p>
        </w:tc>
        <w:tc>
          <w:tcPr>
            <w:tcW w:w="6279" w:type="dxa"/>
            <w:noWrap w:val="0"/>
            <w:vAlign w:val="top"/>
          </w:tcPr>
          <w:p w14:paraId="3504DAF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5V40A</w:t>
            </w:r>
          </w:p>
        </w:tc>
        <w:tc>
          <w:tcPr>
            <w:tcW w:w="785" w:type="dxa"/>
            <w:noWrap w:val="0"/>
            <w:vAlign w:val="center"/>
          </w:tcPr>
          <w:p w14:paraId="7E2B302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t>
            </w:r>
          </w:p>
        </w:tc>
        <w:tc>
          <w:tcPr>
            <w:tcW w:w="988" w:type="dxa"/>
            <w:noWrap w:val="0"/>
            <w:vAlign w:val="center"/>
          </w:tcPr>
          <w:p w14:paraId="4541C49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2BF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F5C3D9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36</w:t>
            </w:r>
          </w:p>
        </w:tc>
        <w:tc>
          <w:tcPr>
            <w:tcW w:w="978" w:type="dxa"/>
            <w:noWrap w:val="0"/>
            <w:vAlign w:val="center"/>
          </w:tcPr>
          <w:p w14:paraId="38836EF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LED显示屏（会议室）视频处理器</w:t>
            </w:r>
          </w:p>
        </w:tc>
        <w:tc>
          <w:tcPr>
            <w:tcW w:w="706" w:type="dxa"/>
            <w:noWrap w:val="0"/>
            <w:vAlign w:val="center"/>
          </w:tcPr>
          <w:p w14:paraId="6AF8BA4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3D9200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带载1300像素，最宽16384像素最高8192像素，最大输入分辨率4096×2160@60Hz（支持自定义分辨率设置）输入接口：1路DP 1.4、1路HDMI 2.0、2路HDMI 1.4、2路DVI（支持6画面显示，位置，大小可自由调节）</w:t>
            </w:r>
          </w:p>
          <w:p w14:paraId="7369B9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输出接口：20路千兆网口或者2路万兆光口输出，支持独立音频输入输出（HDMI和DP音频解析）</w:t>
            </w:r>
          </w:p>
          <w:p w14:paraId="4D04EC76">
            <w:pP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rPr>
              <w:t>支持LAN口控制及手机端APP控制</w:t>
            </w:r>
          </w:p>
        </w:tc>
        <w:tc>
          <w:tcPr>
            <w:tcW w:w="785" w:type="dxa"/>
            <w:noWrap w:val="0"/>
            <w:vAlign w:val="center"/>
          </w:tcPr>
          <w:p w14:paraId="5DB76CC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D30811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516D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93C821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37</w:t>
            </w:r>
          </w:p>
        </w:tc>
        <w:tc>
          <w:tcPr>
            <w:tcW w:w="978" w:type="dxa"/>
            <w:noWrap w:val="0"/>
            <w:vAlign w:val="center"/>
          </w:tcPr>
          <w:p w14:paraId="7B51E0E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LED显示屏（会议室）结构</w:t>
            </w:r>
          </w:p>
        </w:tc>
        <w:tc>
          <w:tcPr>
            <w:tcW w:w="706" w:type="dxa"/>
            <w:noWrap w:val="0"/>
            <w:vAlign w:val="center"/>
          </w:tcPr>
          <w:p w14:paraId="5B025B5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结构</w:t>
            </w:r>
          </w:p>
        </w:tc>
        <w:tc>
          <w:tcPr>
            <w:tcW w:w="6279" w:type="dxa"/>
            <w:noWrap w:val="0"/>
            <w:vAlign w:val="top"/>
          </w:tcPr>
          <w:p w14:paraId="1ECAA7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壁挂结构，8.42*4.9 贴墙钢结构；  材料：SPCC 高强度钢板</w:t>
            </w:r>
          </w:p>
          <w:p w14:paraId="1A1704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表面处理：静电喷塑</w:t>
            </w:r>
          </w:p>
        </w:tc>
        <w:tc>
          <w:tcPr>
            <w:tcW w:w="785" w:type="dxa"/>
            <w:noWrap w:val="0"/>
            <w:vAlign w:val="center"/>
          </w:tcPr>
          <w:p w14:paraId="3ECE89B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42</w:t>
            </w:r>
          </w:p>
        </w:tc>
        <w:tc>
          <w:tcPr>
            <w:tcW w:w="988" w:type="dxa"/>
            <w:noWrap w:val="0"/>
            <w:vAlign w:val="center"/>
          </w:tcPr>
          <w:p w14:paraId="676813D3">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3616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1D01A9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38</w:t>
            </w:r>
          </w:p>
        </w:tc>
        <w:tc>
          <w:tcPr>
            <w:tcW w:w="978" w:type="dxa"/>
            <w:noWrap w:val="0"/>
            <w:vAlign w:val="center"/>
          </w:tcPr>
          <w:p w14:paraId="6B95383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LED显示屏（会议室）配电柜</w:t>
            </w:r>
          </w:p>
        </w:tc>
        <w:tc>
          <w:tcPr>
            <w:tcW w:w="706" w:type="dxa"/>
            <w:noWrap w:val="0"/>
            <w:vAlign w:val="center"/>
          </w:tcPr>
          <w:p w14:paraId="525747A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配电柜</w:t>
            </w:r>
          </w:p>
        </w:tc>
        <w:tc>
          <w:tcPr>
            <w:tcW w:w="6279" w:type="dxa"/>
            <w:noWrap w:val="0"/>
            <w:vAlign w:val="top"/>
          </w:tcPr>
          <w:p w14:paraId="11A332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1、额定功率：≥40KW，输出路数：3路</w:t>
            </w:r>
          </w:p>
          <w:p w14:paraId="236738F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2、防护功能：具有防静电、抗震动、防电磁干扰；  </w:t>
            </w:r>
          </w:p>
          <w:p w14:paraId="0662EA0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3、具有电源过压、过流、断电保护、分布上电措施；</w:t>
            </w:r>
          </w:p>
          <w:p w14:paraId="40DE82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4、主线4平方，4+1纯铜线缆</w:t>
            </w:r>
          </w:p>
        </w:tc>
        <w:tc>
          <w:tcPr>
            <w:tcW w:w="785" w:type="dxa"/>
            <w:noWrap w:val="0"/>
            <w:vAlign w:val="center"/>
          </w:tcPr>
          <w:p w14:paraId="6A74A2C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B33435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81D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F42F49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39</w:t>
            </w:r>
          </w:p>
        </w:tc>
        <w:tc>
          <w:tcPr>
            <w:tcW w:w="978" w:type="dxa"/>
            <w:noWrap w:val="0"/>
            <w:vAlign w:val="center"/>
          </w:tcPr>
          <w:p w14:paraId="199F3E8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LED显示屏（会议室）控制电脑</w:t>
            </w:r>
          </w:p>
        </w:tc>
        <w:tc>
          <w:tcPr>
            <w:tcW w:w="706" w:type="dxa"/>
            <w:noWrap w:val="0"/>
            <w:vAlign w:val="center"/>
          </w:tcPr>
          <w:p w14:paraId="0C9D51D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控制电脑</w:t>
            </w:r>
          </w:p>
        </w:tc>
        <w:tc>
          <w:tcPr>
            <w:tcW w:w="6279" w:type="dxa"/>
            <w:noWrap w:val="0"/>
            <w:vAlign w:val="top"/>
          </w:tcPr>
          <w:p w14:paraId="00D7C4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1、处理器：性能≥八核，主频≥2.7GHz</w:t>
            </w:r>
          </w:p>
          <w:p w14:paraId="0E83E2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2、内存：≥16GB DDR4 UDIMM内存，配置≥2个内存插槽；</w:t>
            </w:r>
          </w:p>
          <w:p w14:paraId="335450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3、显卡：集成显卡，支持VGA+HDMI接口，支持4K视频输出；</w:t>
            </w:r>
          </w:p>
          <w:p w14:paraId="4ABED2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4、硬盘：≥512GB M.2光驱 选配Slim DVD RW；</w:t>
            </w:r>
          </w:p>
          <w:p w14:paraId="69453A4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5、电源：电源功率≤180W；</w:t>
            </w:r>
          </w:p>
          <w:p w14:paraId="21D3C2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6、网络：1个RJ45 10/100/1000自适应以太网口；</w:t>
            </w:r>
          </w:p>
          <w:p w14:paraId="080DAA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7、接口扩展：1个PCIe x16，2个PCIe x1扩展槽；USB接口≥8个（其中前置USB3.0数量≥4个，后置USB3.0数量≥2个，USB2.0数量≥2个），音频接口：麦克风1个，耳机1个；后端3个Audio音频接口；</w:t>
            </w:r>
          </w:p>
          <w:p w14:paraId="69DBE6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数据安全：1、支持基于BIOS级的一键备份和恢复的功能（非操作系统自带功能）；2、BIOS级USB屏蔽及智能USB数据保护：USB支持BIOS下全部接口一键开关，前后分组开关；针对存储设备支持全部USB接口一键切换禁止访问模式/只读模式。</w:t>
            </w:r>
          </w:p>
          <w:p w14:paraId="10CDB9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9、显示器：≥23.8英寸。                                                                                                                                                      10、出厂麒麟或统信系统</w:t>
            </w:r>
          </w:p>
        </w:tc>
        <w:tc>
          <w:tcPr>
            <w:tcW w:w="785" w:type="dxa"/>
            <w:noWrap w:val="0"/>
            <w:vAlign w:val="center"/>
          </w:tcPr>
          <w:p w14:paraId="75DE004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48119D7F">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160E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3ABA88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40</w:t>
            </w:r>
          </w:p>
        </w:tc>
        <w:tc>
          <w:tcPr>
            <w:tcW w:w="978" w:type="dxa"/>
            <w:noWrap w:val="0"/>
            <w:vAlign w:val="center"/>
          </w:tcPr>
          <w:p w14:paraId="2816A89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706" w:type="dxa"/>
            <w:noWrap w:val="0"/>
            <w:vAlign w:val="center"/>
          </w:tcPr>
          <w:p w14:paraId="3FD5DF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6279" w:type="dxa"/>
            <w:noWrap w:val="0"/>
            <w:vAlign w:val="top"/>
          </w:tcPr>
          <w:p w14:paraId="383BD4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屏体尺寸：9.6*6.24m</w:t>
            </w:r>
          </w:p>
          <w:p w14:paraId="1F588B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像素结构：SMD三合一</w:t>
            </w:r>
          </w:p>
          <w:p w14:paraId="729DFE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像素间距：3.0mm</w:t>
            </w:r>
          </w:p>
          <w:p w14:paraId="56F3E9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模组尺寸（mm）：320（W）×160(H)</w:t>
            </w:r>
          </w:p>
          <w:p w14:paraId="07359A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模组分辨率（W×H）：104×52=5408</w:t>
            </w:r>
          </w:p>
          <w:p w14:paraId="0AD6962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模组最大功耗：≤42W</w:t>
            </w:r>
          </w:p>
          <w:p w14:paraId="5373E6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像素密度: 105625Pixels/m2；</w:t>
            </w:r>
          </w:p>
          <w:p w14:paraId="45A330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白平衡最大亮度：≥5000cd/m2                                    </w:t>
            </w:r>
          </w:p>
          <w:p w14:paraId="0C3E1B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灰度等级：≥14bit </w:t>
            </w:r>
          </w:p>
          <w:p w14:paraId="3A80AD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峰值功耗：≤700W；</w:t>
            </w:r>
          </w:p>
          <w:p w14:paraId="674050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平均功耗：≤300m²W/m2 </w:t>
            </w:r>
          </w:p>
          <w:p w14:paraId="1B1FA2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视角：水平视角≥160°,垂直视角≥160°                           </w:t>
            </w:r>
          </w:p>
          <w:p w14:paraId="2F1D34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最高对比度：≥5000:1</w:t>
            </w:r>
          </w:p>
          <w:p w14:paraId="2A3381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防护等级：正面IP66，背面IP43                                  </w:t>
            </w:r>
          </w:p>
          <w:p w14:paraId="1742D18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PCB阻燃：V-0等级色温：2000K-18000K可调</w:t>
            </w:r>
          </w:p>
          <w:p w14:paraId="5FCB41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色域均匀性：±0.003Cx,Cy之内</w:t>
            </w:r>
          </w:p>
          <w:p w14:paraId="3EE604F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刷新频率：≤3840Hz</w:t>
            </w:r>
          </w:p>
          <w:p w14:paraId="4A560B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像素失控率：≤0.0001</w:t>
            </w:r>
          </w:p>
          <w:p w14:paraId="4793AA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亮度均匀性：≥98%</w:t>
            </w:r>
          </w:p>
          <w:p w14:paraId="7E57C0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工作温度：-30ºC to +60ºC</w:t>
            </w:r>
          </w:p>
          <w:p w14:paraId="39F549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工作湿度：10% to 70%</w:t>
            </w:r>
          </w:p>
          <w:p w14:paraId="0923B7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显示屏寿命：≥10万小时</w:t>
            </w:r>
          </w:p>
          <w:p w14:paraId="435ECC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平均无故障时间：≥5000小时</w:t>
            </w:r>
          </w:p>
        </w:tc>
        <w:tc>
          <w:tcPr>
            <w:tcW w:w="785" w:type="dxa"/>
            <w:noWrap w:val="0"/>
            <w:vAlign w:val="center"/>
          </w:tcPr>
          <w:p w14:paraId="6F8005E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60</w:t>
            </w:r>
          </w:p>
        </w:tc>
        <w:tc>
          <w:tcPr>
            <w:tcW w:w="988" w:type="dxa"/>
            <w:noWrap w:val="0"/>
            <w:vAlign w:val="center"/>
          </w:tcPr>
          <w:p w14:paraId="5139A003">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CA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24" w:type="dxa"/>
            <w:noWrap w:val="0"/>
            <w:vAlign w:val="top"/>
          </w:tcPr>
          <w:p w14:paraId="15BD2B1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41</w:t>
            </w:r>
          </w:p>
        </w:tc>
        <w:tc>
          <w:tcPr>
            <w:tcW w:w="978" w:type="dxa"/>
            <w:noWrap w:val="0"/>
            <w:vAlign w:val="center"/>
          </w:tcPr>
          <w:p w14:paraId="0CE6958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706" w:type="dxa"/>
            <w:noWrap w:val="0"/>
            <w:vAlign w:val="center"/>
          </w:tcPr>
          <w:p w14:paraId="0C952D9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0D5FCC8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自带16个HUB75接口，数据组数：32组，最大带载：长度256点，高度1024点，支持亮度/色度校正</w:t>
            </w:r>
          </w:p>
        </w:tc>
        <w:tc>
          <w:tcPr>
            <w:tcW w:w="785" w:type="dxa"/>
            <w:noWrap w:val="0"/>
            <w:vAlign w:val="center"/>
          </w:tcPr>
          <w:p w14:paraId="7FED61F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75</w:t>
            </w:r>
          </w:p>
        </w:tc>
        <w:tc>
          <w:tcPr>
            <w:tcW w:w="988" w:type="dxa"/>
            <w:noWrap w:val="0"/>
            <w:vAlign w:val="center"/>
          </w:tcPr>
          <w:p w14:paraId="6A006A94">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DB1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46C5DE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42</w:t>
            </w:r>
          </w:p>
        </w:tc>
        <w:tc>
          <w:tcPr>
            <w:tcW w:w="978" w:type="dxa"/>
            <w:noWrap w:val="0"/>
            <w:vAlign w:val="center"/>
          </w:tcPr>
          <w:p w14:paraId="2B5A998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w:t>
            </w:r>
          </w:p>
        </w:tc>
        <w:tc>
          <w:tcPr>
            <w:tcW w:w="706" w:type="dxa"/>
            <w:noWrap w:val="0"/>
            <w:vAlign w:val="center"/>
          </w:tcPr>
          <w:p w14:paraId="4E75756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w:t>
            </w:r>
          </w:p>
        </w:tc>
        <w:tc>
          <w:tcPr>
            <w:tcW w:w="6279" w:type="dxa"/>
            <w:noWrap w:val="0"/>
            <w:vAlign w:val="top"/>
          </w:tcPr>
          <w:p w14:paraId="24C2B9E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5V40A</w:t>
            </w:r>
          </w:p>
        </w:tc>
        <w:tc>
          <w:tcPr>
            <w:tcW w:w="785" w:type="dxa"/>
            <w:noWrap w:val="0"/>
            <w:vAlign w:val="center"/>
          </w:tcPr>
          <w:p w14:paraId="346D217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t>
            </w:r>
          </w:p>
        </w:tc>
        <w:tc>
          <w:tcPr>
            <w:tcW w:w="988" w:type="dxa"/>
            <w:noWrap w:val="0"/>
            <w:vAlign w:val="center"/>
          </w:tcPr>
          <w:p w14:paraId="4FAD609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AA9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9FD346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43</w:t>
            </w:r>
          </w:p>
        </w:tc>
        <w:tc>
          <w:tcPr>
            <w:tcW w:w="978" w:type="dxa"/>
            <w:noWrap w:val="0"/>
            <w:vAlign w:val="center"/>
          </w:tcPr>
          <w:p w14:paraId="337B50A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706" w:type="dxa"/>
            <w:noWrap w:val="0"/>
            <w:vAlign w:val="center"/>
          </w:tcPr>
          <w:p w14:paraId="5146844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29453E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带载720W像素，最宽8192像素最高4096像素，最大输入分辨率1920*1080@60Hz（支持自定义分辨率设置）输入接口：3路HDMI 1.4、1路DVI（支持3画面显示，位置，大小可自由调节）输出接口：12路千兆网口，支持独立音频输入输出（HDMI音频解析），支持RS232串口控制</w:t>
            </w:r>
          </w:p>
        </w:tc>
        <w:tc>
          <w:tcPr>
            <w:tcW w:w="785" w:type="dxa"/>
            <w:noWrap w:val="0"/>
            <w:vAlign w:val="center"/>
          </w:tcPr>
          <w:p w14:paraId="5865B02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E4EF72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F93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33C83D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44</w:t>
            </w:r>
          </w:p>
        </w:tc>
        <w:tc>
          <w:tcPr>
            <w:tcW w:w="978" w:type="dxa"/>
            <w:noWrap w:val="0"/>
            <w:vAlign w:val="center"/>
          </w:tcPr>
          <w:p w14:paraId="34E5511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结构</w:t>
            </w:r>
          </w:p>
        </w:tc>
        <w:tc>
          <w:tcPr>
            <w:tcW w:w="706" w:type="dxa"/>
            <w:noWrap w:val="0"/>
            <w:vAlign w:val="center"/>
          </w:tcPr>
          <w:p w14:paraId="4DB9293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结构</w:t>
            </w:r>
          </w:p>
        </w:tc>
        <w:tc>
          <w:tcPr>
            <w:tcW w:w="6279" w:type="dxa"/>
            <w:noWrap w:val="0"/>
            <w:vAlign w:val="top"/>
          </w:tcPr>
          <w:p w14:paraId="383ACD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壁挂结构，9700*6340mm 贴墙钢结构；  材料：SPCC 高强度钢板</w:t>
            </w:r>
          </w:p>
          <w:p w14:paraId="5D1079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表面处理：静电喷塑</w:t>
            </w:r>
          </w:p>
        </w:tc>
        <w:tc>
          <w:tcPr>
            <w:tcW w:w="785" w:type="dxa"/>
            <w:noWrap w:val="0"/>
            <w:vAlign w:val="center"/>
          </w:tcPr>
          <w:p w14:paraId="3BFA22E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62</w:t>
            </w:r>
          </w:p>
        </w:tc>
        <w:tc>
          <w:tcPr>
            <w:tcW w:w="988" w:type="dxa"/>
            <w:noWrap w:val="0"/>
            <w:vAlign w:val="center"/>
          </w:tcPr>
          <w:p w14:paraId="31F4FBA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1C0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4D4E6A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45</w:t>
            </w:r>
          </w:p>
        </w:tc>
        <w:tc>
          <w:tcPr>
            <w:tcW w:w="978" w:type="dxa"/>
            <w:noWrap w:val="0"/>
            <w:vAlign w:val="center"/>
          </w:tcPr>
          <w:p w14:paraId="6C7D850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配电柜</w:t>
            </w:r>
          </w:p>
        </w:tc>
        <w:tc>
          <w:tcPr>
            <w:tcW w:w="706" w:type="dxa"/>
            <w:noWrap w:val="0"/>
            <w:vAlign w:val="center"/>
          </w:tcPr>
          <w:p w14:paraId="3B2CD49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配电柜</w:t>
            </w:r>
          </w:p>
        </w:tc>
        <w:tc>
          <w:tcPr>
            <w:tcW w:w="6279" w:type="dxa"/>
            <w:noWrap w:val="0"/>
            <w:vAlign w:val="top"/>
          </w:tcPr>
          <w:p w14:paraId="57497F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1、额定功率：≥40KW，输出路数：3路</w:t>
            </w:r>
          </w:p>
          <w:p w14:paraId="1F47AF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2、防护功能：具有防静电、抗震动、防电磁干扰；  </w:t>
            </w:r>
          </w:p>
          <w:p w14:paraId="00F022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3、具有电源过压、过流、断电保护、分布上电措施；</w:t>
            </w:r>
          </w:p>
          <w:p w14:paraId="73B163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4、主线4平方，4+1纯铜线缆</w:t>
            </w:r>
          </w:p>
        </w:tc>
        <w:tc>
          <w:tcPr>
            <w:tcW w:w="785" w:type="dxa"/>
            <w:noWrap w:val="0"/>
            <w:vAlign w:val="center"/>
          </w:tcPr>
          <w:p w14:paraId="1A10F5F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29AC9B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C2F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804CFC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46</w:t>
            </w:r>
          </w:p>
        </w:tc>
        <w:tc>
          <w:tcPr>
            <w:tcW w:w="978" w:type="dxa"/>
            <w:noWrap w:val="0"/>
            <w:vAlign w:val="center"/>
          </w:tcPr>
          <w:p w14:paraId="5295521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控制电脑</w:t>
            </w:r>
          </w:p>
        </w:tc>
        <w:tc>
          <w:tcPr>
            <w:tcW w:w="706" w:type="dxa"/>
            <w:noWrap w:val="0"/>
            <w:vAlign w:val="center"/>
          </w:tcPr>
          <w:p w14:paraId="5F264C8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控制电脑</w:t>
            </w:r>
          </w:p>
        </w:tc>
        <w:tc>
          <w:tcPr>
            <w:tcW w:w="6279" w:type="dxa"/>
            <w:noWrap w:val="0"/>
            <w:vAlign w:val="top"/>
          </w:tcPr>
          <w:p w14:paraId="42AEA7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1、处理器：性能≥KX-U6780A处理器，八核，主频≥2.7GHz</w:t>
            </w:r>
          </w:p>
          <w:p w14:paraId="5694A7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2、内存：≥16GB DDR4 UDIMM内存，配置≥2个内存插槽；</w:t>
            </w:r>
          </w:p>
          <w:p w14:paraId="7547B3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3、显卡：≥4GB独立显卡，支持VGA+HDMI接口，支持4K视频输出；</w:t>
            </w:r>
          </w:p>
          <w:p w14:paraId="147B97A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4、硬盘：≥512GB M.2光驱 选配Slim DVD RW；</w:t>
            </w:r>
          </w:p>
          <w:p w14:paraId="1D2689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5、电源：电源功率≤180W；</w:t>
            </w:r>
          </w:p>
          <w:p w14:paraId="662045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6、网络：1个RJ45 10/100/1000自适应以太网口；</w:t>
            </w:r>
          </w:p>
          <w:p w14:paraId="572858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7、接口扩展：1个PCIe x16，2个PCIe x1扩展槽；USB接口≥8个（其中前置USB3.0数量≥4个，后置USB3.0数量≥2个，USB2.0数量≥2个），音频接口：麦克风1个，耳机1个；后端3个Audio音频接口；</w:t>
            </w:r>
          </w:p>
          <w:p w14:paraId="1AB830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数据安全：1、支持基于BIOS级的一键备份和恢复的功能（非操作系统自带功能）；2、BIOS级USB屏蔽及智能USB数据保护：USB支持BIOS下全部接口一键开关，前后分组开关；针对存储设备支持全部USB接口一键切换禁止访问模式/只读模式。</w:t>
            </w:r>
          </w:p>
          <w:p w14:paraId="6E34AF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9、显示器：≥23.8英寸。                                                                                                                                                      10、出厂麒麟或统信系统   </w:t>
            </w:r>
          </w:p>
        </w:tc>
        <w:tc>
          <w:tcPr>
            <w:tcW w:w="785" w:type="dxa"/>
            <w:noWrap w:val="0"/>
            <w:vAlign w:val="center"/>
          </w:tcPr>
          <w:p w14:paraId="16AF538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99FC95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750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70C5E6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47</w:t>
            </w:r>
          </w:p>
        </w:tc>
        <w:tc>
          <w:tcPr>
            <w:tcW w:w="978" w:type="dxa"/>
            <w:noWrap w:val="0"/>
            <w:vAlign w:val="center"/>
          </w:tcPr>
          <w:p w14:paraId="0CDA71A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散热系统</w:t>
            </w:r>
          </w:p>
        </w:tc>
        <w:tc>
          <w:tcPr>
            <w:tcW w:w="706" w:type="dxa"/>
            <w:noWrap w:val="0"/>
            <w:vAlign w:val="center"/>
          </w:tcPr>
          <w:p w14:paraId="5F44B21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散热系统</w:t>
            </w:r>
          </w:p>
        </w:tc>
        <w:tc>
          <w:tcPr>
            <w:tcW w:w="6279" w:type="dxa"/>
            <w:noWrap w:val="0"/>
            <w:vAlign w:val="top"/>
          </w:tcPr>
          <w:p w14:paraId="6315623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显示屏散热系统</w:t>
            </w:r>
          </w:p>
        </w:tc>
        <w:tc>
          <w:tcPr>
            <w:tcW w:w="785" w:type="dxa"/>
            <w:noWrap w:val="0"/>
            <w:vAlign w:val="center"/>
          </w:tcPr>
          <w:p w14:paraId="4442D2B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27D6722A">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DE7E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7FA97E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48</w:t>
            </w:r>
          </w:p>
        </w:tc>
        <w:tc>
          <w:tcPr>
            <w:tcW w:w="978" w:type="dxa"/>
            <w:noWrap w:val="0"/>
            <w:vAlign w:val="center"/>
          </w:tcPr>
          <w:p w14:paraId="3AC8E9E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706" w:type="dxa"/>
            <w:noWrap w:val="0"/>
            <w:vAlign w:val="center"/>
          </w:tcPr>
          <w:p w14:paraId="5A28A84B">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LED显示屏</w:t>
            </w:r>
          </w:p>
          <w:p w14:paraId="605405F6">
            <w:pPr>
              <w:pStyle w:val="2"/>
              <w:numPr>
                <w:ilvl w:val="3"/>
                <w:numId w:val="0"/>
              </w:numPr>
              <w:ind w:leftChars="0"/>
              <w:rPr>
                <w:rFonts w:hint="eastAsia"/>
              </w:rPr>
            </w:pPr>
            <w:r>
              <w:rPr>
                <w:rFonts w:hint="eastAsia" w:ascii="宋体" w:hAnsi="宋体" w:eastAsia="宋体" w:cs="宋体"/>
                <w:i w:val="0"/>
                <w:iCs w:val="0"/>
                <w:color w:val="000000"/>
                <w:kern w:val="0"/>
                <w:sz w:val="20"/>
                <w:szCs w:val="20"/>
                <w:u w:val="none"/>
                <w:lang w:val="en-US" w:eastAsia="zh-CN" w:bidi="ar"/>
              </w:rPr>
              <w:t>（核心产品）</w:t>
            </w:r>
          </w:p>
        </w:tc>
        <w:tc>
          <w:tcPr>
            <w:tcW w:w="6279" w:type="dxa"/>
            <w:noWrap w:val="0"/>
            <w:vAlign w:val="top"/>
          </w:tcPr>
          <w:p w14:paraId="7E2A5B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三色屏</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条幅屏  像素点间距：4.0mm</w:t>
            </w:r>
          </w:p>
          <w:p w14:paraId="42F856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LED封装方式：SMD封装</w:t>
            </w:r>
          </w:p>
          <w:p w14:paraId="426B49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发光点像素之间中心距偏差：1%</w:t>
            </w:r>
          </w:p>
          <w:p w14:paraId="1F7E7FE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防护等级：≥IP50</w:t>
            </w:r>
          </w:p>
          <w:p w14:paraId="71E95B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拼接平整度：模组（0.09㎜）、箱体（0.1㎜）</w:t>
            </w:r>
          </w:p>
          <w:p w14:paraId="033001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漏光度：≤0.5cd/㎡</w:t>
            </w:r>
          </w:p>
          <w:p w14:paraId="073F4A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视觉健康舒适度：VIC0 指数 1级</w:t>
            </w:r>
          </w:p>
          <w:p w14:paraId="0E9A1A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功耗：峰值:≤475W/㎡,平均:≤155W/㎡</w:t>
            </w:r>
          </w:p>
          <w:p w14:paraId="185F0E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可视角度：水平、垂直均达到≥160°</w:t>
            </w:r>
          </w:p>
          <w:p w14:paraId="664C42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对比度：15000 :1</w:t>
            </w:r>
          </w:p>
          <w:p w14:paraId="1ED3AE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白平衡亮度：8100cd/㎡</w:t>
            </w:r>
          </w:p>
          <w:p w14:paraId="4B09A1F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亮度均匀度(校正后)：99%</w:t>
            </w:r>
          </w:p>
          <w:p w14:paraId="1AEB3D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色温，色域：1000K-15000K 连续可调，色域重合度需≥125%NTSC，100% BT.709，≥96% DCI-P3,≥85% BT.2020显示更多的动态范围</w:t>
            </w:r>
          </w:p>
          <w:p w14:paraId="1AD81A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色度均匀性：x≤0.001， y≤0.001</w:t>
            </w:r>
          </w:p>
          <w:p w14:paraId="358BFF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刷新频率：≥3840Hz    条幅屏共三个，三个点位：学校校门口一个，操场主席台上方一个，室内舞台上方一个，共100平方米。            </w:t>
            </w:r>
          </w:p>
        </w:tc>
        <w:tc>
          <w:tcPr>
            <w:tcW w:w="785" w:type="dxa"/>
            <w:noWrap w:val="0"/>
            <w:vAlign w:val="center"/>
          </w:tcPr>
          <w:p w14:paraId="66ACAE5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100</w:t>
            </w:r>
          </w:p>
        </w:tc>
        <w:tc>
          <w:tcPr>
            <w:tcW w:w="988" w:type="dxa"/>
            <w:noWrap w:val="0"/>
            <w:vAlign w:val="center"/>
          </w:tcPr>
          <w:p w14:paraId="6E3E9E20">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BA6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E6EB55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49</w:t>
            </w:r>
          </w:p>
        </w:tc>
        <w:tc>
          <w:tcPr>
            <w:tcW w:w="978" w:type="dxa"/>
            <w:noWrap w:val="0"/>
            <w:vAlign w:val="center"/>
          </w:tcPr>
          <w:p w14:paraId="5CDFF7A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线材</w:t>
            </w:r>
          </w:p>
        </w:tc>
        <w:tc>
          <w:tcPr>
            <w:tcW w:w="706" w:type="dxa"/>
            <w:noWrap w:val="0"/>
            <w:vAlign w:val="center"/>
          </w:tcPr>
          <w:p w14:paraId="0A3DF59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线材</w:t>
            </w:r>
          </w:p>
        </w:tc>
        <w:tc>
          <w:tcPr>
            <w:tcW w:w="6279" w:type="dxa"/>
            <w:noWrap w:val="0"/>
            <w:vAlign w:val="top"/>
          </w:tcPr>
          <w:p w14:paraId="73D9B0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1.电源线：规格：RVV3×2.5mm²导体材质：无氧铜  绝缘材质：聚乙烯绝缘、                                                         2、网线：CAT6；305M/箱     材质：无氧铜芯。绝缘层为聚乙烯材料；   频率范围：1MHz-250MHz，  支持速率：常规1Gbps，短距离可达10Gbps；兼容10GBASE-T网络</w:t>
            </w:r>
          </w:p>
        </w:tc>
        <w:tc>
          <w:tcPr>
            <w:tcW w:w="785" w:type="dxa"/>
            <w:noWrap w:val="0"/>
            <w:vAlign w:val="center"/>
          </w:tcPr>
          <w:p w14:paraId="2797BB0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0EF652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B9D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AFF393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50</w:t>
            </w:r>
          </w:p>
        </w:tc>
        <w:tc>
          <w:tcPr>
            <w:tcW w:w="978" w:type="dxa"/>
            <w:noWrap w:val="0"/>
            <w:vAlign w:val="center"/>
          </w:tcPr>
          <w:p w14:paraId="7281C02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系统集成</w:t>
            </w:r>
          </w:p>
        </w:tc>
        <w:tc>
          <w:tcPr>
            <w:tcW w:w="706" w:type="dxa"/>
            <w:noWrap w:val="0"/>
            <w:vAlign w:val="center"/>
          </w:tcPr>
          <w:p w14:paraId="5B1C3AA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系统集成</w:t>
            </w:r>
          </w:p>
        </w:tc>
        <w:tc>
          <w:tcPr>
            <w:tcW w:w="6279" w:type="dxa"/>
            <w:noWrap w:val="0"/>
            <w:vAlign w:val="top"/>
          </w:tcPr>
          <w:p w14:paraId="2C3EB63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设备安装调试费</w:t>
            </w:r>
          </w:p>
        </w:tc>
        <w:tc>
          <w:tcPr>
            <w:tcW w:w="785" w:type="dxa"/>
            <w:noWrap w:val="0"/>
            <w:vAlign w:val="center"/>
          </w:tcPr>
          <w:p w14:paraId="73F5824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5475EA0">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BCB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5D5D32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51</w:t>
            </w:r>
          </w:p>
        </w:tc>
        <w:tc>
          <w:tcPr>
            <w:tcW w:w="978" w:type="dxa"/>
            <w:noWrap w:val="0"/>
            <w:vAlign w:val="center"/>
          </w:tcPr>
          <w:p w14:paraId="6E0CCFF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弱电：风雨操场设备无源全频音箱</w:t>
            </w:r>
          </w:p>
        </w:tc>
        <w:tc>
          <w:tcPr>
            <w:tcW w:w="706" w:type="dxa"/>
            <w:noWrap w:val="0"/>
            <w:vAlign w:val="center"/>
          </w:tcPr>
          <w:p w14:paraId="5B9E20C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全频音箱</w:t>
            </w:r>
          </w:p>
        </w:tc>
        <w:tc>
          <w:tcPr>
            <w:tcW w:w="6279" w:type="dxa"/>
            <w:noWrap w:val="0"/>
            <w:vAlign w:val="top"/>
          </w:tcPr>
          <w:p w14:paraId="5573DC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性能规格：</w:t>
            </w:r>
          </w:p>
          <w:p w14:paraId="4B135A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1.驱动单元 LF12"×1 HF1.75"×1</w:t>
            </w:r>
          </w:p>
          <w:p w14:paraId="41EB02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 55Hz-18kHz</w:t>
            </w:r>
          </w:p>
          <w:p w14:paraId="42FFFF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3.灵敏度 98±2dB</w:t>
            </w:r>
          </w:p>
          <w:p w14:paraId="6C39F9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4.最大声压级 123±2dB</w:t>
            </w:r>
          </w:p>
          <w:p w14:paraId="069AE6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5.额定阻抗 8Ω</w:t>
            </w:r>
          </w:p>
          <w:p w14:paraId="45B122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6.额定功率≥350W</w:t>
            </w:r>
          </w:p>
          <w:p w14:paraId="656587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7.指向性（H×V） 90°×40°</w:t>
            </w:r>
          </w:p>
        </w:tc>
        <w:tc>
          <w:tcPr>
            <w:tcW w:w="785" w:type="dxa"/>
            <w:noWrap w:val="0"/>
            <w:vAlign w:val="center"/>
          </w:tcPr>
          <w:p w14:paraId="39ABEEA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w:t>
            </w:r>
          </w:p>
        </w:tc>
        <w:tc>
          <w:tcPr>
            <w:tcW w:w="988" w:type="dxa"/>
            <w:noWrap w:val="0"/>
            <w:vAlign w:val="center"/>
          </w:tcPr>
          <w:p w14:paraId="1102E577">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DC3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7A0F8E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52</w:t>
            </w:r>
          </w:p>
        </w:tc>
        <w:tc>
          <w:tcPr>
            <w:tcW w:w="978" w:type="dxa"/>
            <w:noWrap w:val="0"/>
            <w:vAlign w:val="center"/>
          </w:tcPr>
          <w:p w14:paraId="1967D1A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弱电：风雨操场设备支架</w:t>
            </w:r>
          </w:p>
        </w:tc>
        <w:tc>
          <w:tcPr>
            <w:tcW w:w="706" w:type="dxa"/>
            <w:noWrap w:val="0"/>
            <w:vAlign w:val="center"/>
          </w:tcPr>
          <w:p w14:paraId="1F2D3C9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支架</w:t>
            </w:r>
          </w:p>
        </w:tc>
        <w:tc>
          <w:tcPr>
            <w:tcW w:w="6279" w:type="dxa"/>
            <w:noWrap w:val="0"/>
            <w:vAlign w:val="top"/>
          </w:tcPr>
          <w:p w14:paraId="039E5D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特点：</w:t>
            </w:r>
          </w:p>
          <w:p w14:paraId="25BD0D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1.全金属音箱壁架</w:t>
            </w:r>
          </w:p>
          <w:p w14:paraId="0EDD972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2.材料：钢材</w:t>
            </w:r>
          </w:p>
          <w:p w14:paraId="55CD95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3.承重≥30公斤</w:t>
            </w:r>
          </w:p>
          <w:p w14:paraId="28148D61">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4</w:t>
            </w:r>
            <w:r>
              <w:rPr>
                <w:rFonts w:hint="eastAsia" w:ascii="宋体" w:hAnsi="宋体" w:eastAsia="宋体" w:cs="宋体"/>
                <w:sz w:val="20"/>
                <w:szCs w:val="20"/>
                <w:vertAlign w:val="baseline"/>
              </w:rPr>
              <w:t>.架子伸缩长度：210MM~390MM</w:t>
            </w:r>
          </w:p>
          <w:p w14:paraId="5B02EF8E">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5</w:t>
            </w:r>
            <w:r>
              <w:rPr>
                <w:rFonts w:hint="eastAsia" w:ascii="宋体" w:hAnsi="宋体" w:eastAsia="宋体" w:cs="宋体"/>
                <w:sz w:val="20"/>
                <w:szCs w:val="20"/>
                <w:vertAlign w:val="baseline"/>
              </w:rPr>
              <w:t>.音箱支柱直径：35</w:t>
            </w:r>
          </w:p>
          <w:p w14:paraId="1B53ADFD">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6</w:t>
            </w:r>
            <w:r>
              <w:rPr>
                <w:rFonts w:hint="eastAsia" w:ascii="宋体" w:hAnsi="宋体" w:eastAsia="宋体" w:cs="宋体"/>
                <w:sz w:val="20"/>
                <w:szCs w:val="20"/>
                <w:vertAlign w:val="baseline"/>
              </w:rPr>
              <w:t>.可左右调节角度，中间杆子可伸缩调节，架子稳重扎实，稳定性强</w:t>
            </w:r>
          </w:p>
        </w:tc>
        <w:tc>
          <w:tcPr>
            <w:tcW w:w="785" w:type="dxa"/>
            <w:noWrap w:val="0"/>
            <w:vAlign w:val="center"/>
          </w:tcPr>
          <w:p w14:paraId="1B326C4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w:t>
            </w:r>
          </w:p>
        </w:tc>
        <w:tc>
          <w:tcPr>
            <w:tcW w:w="988" w:type="dxa"/>
            <w:noWrap w:val="0"/>
            <w:vAlign w:val="center"/>
          </w:tcPr>
          <w:p w14:paraId="463307FF">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994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225AB3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53</w:t>
            </w:r>
          </w:p>
        </w:tc>
        <w:tc>
          <w:tcPr>
            <w:tcW w:w="978" w:type="dxa"/>
            <w:noWrap w:val="0"/>
            <w:vAlign w:val="center"/>
          </w:tcPr>
          <w:p w14:paraId="65E91FA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弱电：风雨操场设备大功率四通道数字功放</w:t>
            </w:r>
          </w:p>
        </w:tc>
        <w:tc>
          <w:tcPr>
            <w:tcW w:w="706" w:type="dxa"/>
            <w:noWrap w:val="0"/>
            <w:vAlign w:val="center"/>
          </w:tcPr>
          <w:p w14:paraId="7F51113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大功率四通道数字功放</w:t>
            </w:r>
          </w:p>
        </w:tc>
        <w:tc>
          <w:tcPr>
            <w:tcW w:w="6279" w:type="dxa"/>
            <w:noWrap w:val="0"/>
            <w:vAlign w:val="top"/>
          </w:tcPr>
          <w:p w14:paraId="7B5EC6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1.采用2U机箱设计PWM数字脉宽调制。</w:t>
            </w:r>
          </w:p>
          <w:p w14:paraId="726F51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2.两通道输入输出，内置模拟压缩电路，带点阵显示屏显示音量大小，温度指示，状态指示。</w:t>
            </w:r>
          </w:p>
          <w:p w14:paraId="1781DA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3.XLR座输入，采用XLR座输出。支持0.775V、1.44V灵敏度选择</w:t>
            </w:r>
          </w:p>
          <w:p w14:paraId="5CDA1BA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4.远程开关机参数（远程模块可选配）</w:t>
            </w:r>
          </w:p>
          <w:p w14:paraId="4F7E789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5.设备支持TCP/UDP协议网络远程开关机</w:t>
            </w:r>
          </w:p>
          <w:p w14:paraId="2A764FB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6.支持电脑/平板/手机 软件管理</w:t>
            </w:r>
          </w:p>
          <w:p w14:paraId="033D964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7.通过电脑可实现单设备和多设备编组集中控制</w:t>
            </w:r>
          </w:p>
          <w:p w14:paraId="438DCA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8.通过电脑可实现多设备延时开关机功能，延时时间可调。</w:t>
            </w:r>
          </w:p>
          <w:p w14:paraId="728D47D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9.通过电脑可改变设备名称以及设备IP地址</w:t>
            </w:r>
          </w:p>
          <w:p w14:paraId="1C6044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10.支持中控协议控制</w:t>
            </w:r>
          </w:p>
          <w:p w14:paraId="056A4C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11.支持串口RS485接入方式</w:t>
            </w:r>
          </w:p>
          <w:p w14:paraId="1544C0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12.支持串口RS232接入方式</w:t>
            </w:r>
          </w:p>
          <w:p w14:paraId="20938F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13.8Ω立体声功率 600W x4 </w:t>
            </w:r>
          </w:p>
          <w:p w14:paraId="7C26A3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14.4Ω立体声功率 900W x4</w:t>
            </w:r>
          </w:p>
          <w:p w14:paraId="2D00A2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15.8Ω桥接功率 1800W x2 </w:t>
            </w:r>
          </w:p>
          <w:p w14:paraId="45E34C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16.频率响应1/8功率  20Hz-20KHz(+0/-0.3dB,1W/8Ω)</w:t>
            </w:r>
          </w:p>
          <w:p w14:paraId="7A793C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17.总谐波失真8Ω，1kHz，1/8额定功率 &lt;0.1%(20 Hz-20 kHz 1/8功率)</w:t>
            </w:r>
          </w:p>
          <w:p w14:paraId="5462DC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18.信噪比A 8Ω，1kHz，1v灵敏度 ≥100dB</w:t>
            </w:r>
          </w:p>
          <w:p w14:paraId="0472C1E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19.输入灵敏度    0.7v/1.4v</w:t>
            </w:r>
          </w:p>
          <w:p w14:paraId="44012F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20.输入阻抗（平衡/非平衡）    20KΩ平衡式</w:t>
            </w:r>
          </w:p>
          <w:p w14:paraId="0C7702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21.转换速率    ≥20v/uS</w:t>
            </w:r>
          </w:p>
          <w:p w14:paraId="4E9BF0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22.阻尼系数    ≥600</w:t>
            </w:r>
          </w:p>
          <w:p w14:paraId="73D1829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23.分离度    ≥70dB</w:t>
            </w:r>
          </w:p>
        </w:tc>
        <w:tc>
          <w:tcPr>
            <w:tcW w:w="785" w:type="dxa"/>
            <w:noWrap w:val="0"/>
            <w:vAlign w:val="center"/>
          </w:tcPr>
          <w:p w14:paraId="7B4C8AC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0720D27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7C9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EE2256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54</w:t>
            </w:r>
          </w:p>
        </w:tc>
        <w:tc>
          <w:tcPr>
            <w:tcW w:w="978" w:type="dxa"/>
            <w:noWrap w:val="0"/>
            <w:vAlign w:val="center"/>
          </w:tcPr>
          <w:p w14:paraId="30627E7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弱电：风雨操场设备调音台</w:t>
            </w:r>
          </w:p>
        </w:tc>
        <w:tc>
          <w:tcPr>
            <w:tcW w:w="706" w:type="dxa"/>
            <w:noWrap w:val="0"/>
            <w:vAlign w:val="center"/>
          </w:tcPr>
          <w:p w14:paraId="514F11C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调音台</w:t>
            </w:r>
          </w:p>
        </w:tc>
        <w:tc>
          <w:tcPr>
            <w:tcW w:w="6279" w:type="dxa"/>
            <w:noWrap w:val="0"/>
            <w:vAlign w:val="top"/>
          </w:tcPr>
          <w:p w14:paraId="0D16C2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1.8路MIC单声通道+ 4路立体声输入</w:t>
            </w:r>
          </w:p>
          <w:p w14:paraId="5FBE95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2.带4编组输出+4组AUX母线辅助输出（包括EFF),</w:t>
            </w:r>
          </w:p>
          <w:p w14:paraId="056CC7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3.1组立体声返回（可分配主输出或编组输出）</w:t>
            </w:r>
          </w:p>
          <w:p w14:paraId="3D8DBE7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4.一组监听耳机输出</w:t>
            </w:r>
          </w:p>
          <w:p w14:paraId="3A6B8D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5.来自立体声的LPF低通滤波器输出（60-150HZ可调），</w:t>
            </w:r>
          </w:p>
          <w:p w14:paraId="4F26F1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6.内置24种DSP数字效果器,，</w:t>
            </w:r>
          </w:p>
          <w:p w14:paraId="035530A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7.内置USB播放器，MP3播放，USB直插录音</w:t>
            </w:r>
          </w:p>
          <w:p w14:paraId="0E38CA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8.内置蓝牙5.0接收播放</w:t>
            </w:r>
          </w:p>
          <w:p w14:paraId="25F78D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9.USB音频声卡（连接电脑)将电脑播放的声音传输到调音台；</w:t>
            </w:r>
          </w:p>
          <w:p w14:paraId="4BDCDA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10.内置48V幻象电源供电；每个通道带独立开关</w:t>
            </w:r>
          </w:p>
          <w:p w14:paraId="5DD26B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11.主输出9段立体声图示均衡器</w:t>
            </w:r>
          </w:p>
          <w:p w14:paraId="4EE058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12.USB可与一路立体声切换，USB可独立调节</w:t>
            </w:r>
          </w:p>
          <w:p w14:paraId="0953DC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13.单声通道100HZ低频衰减开关（高通滤波器）;</w:t>
            </w:r>
          </w:p>
          <w:p w14:paraId="2308E3F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14.XLR输入晶体管双差分话放</w:t>
            </w:r>
          </w:p>
          <w:p w14:paraId="190002F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15.每通道3段参量均衡，80Hz.</w:t>
            </w:r>
          </w:p>
          <w:p w14:paraId="027AA6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16.单声通道带（350Hz-3.5K中音扫频）.12KHz</w:t>
            </w:r>
          </w:p>
          <w:p w14:paraId="5CB3B1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17.每输入通道MUTE静音开关，PFL耳机开关，平滑100MM行程推子器</w:t>
            </w:r>
          </w:p>
          <w:p w14:paraId="3CCB31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18.12段精准三色LED电平灯显示信号状态;</w:t>
            </w:r>
          </w:p>
          <w:p w14:paraId="7731AC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19.12V (LAMP) DJ灯卡侬接口</w:t>
            </w:r>
          </w:p>
          <w:p w14:paraId="5996785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rPr>
              <w:t>20.适用全球供电电压,功率30瓦。</w:t>
            </w:r>
            <w:r>
              <w:rPr>
                <w:rFonts w:hint="eastAsia" w:ascii="宋体" w:hAnsi="宋体" w:eastAsia="宋体" w:cs="宋体"/>
                <w:sz w:val="20"/>
                <w:szCs w:val="20"/>
                <w:vertAlign w:val="baseline"/>
                <w:lang w:val="en-US" w:eastAsia="zh-CN"/>
              </w:rPr>
              <w:t xml:space="preserve"> </w:t>
            </w:r>
          </w:p>
        </w:tc>
        <w:tc>
          <w:tcPr>
            <w:tcW w:w="785" w:type="dxa"/>
            <w:noWrap w:val="0"/>
            <w:vAlign w:val="center"/>
          </w:tcPr>
          <w:p w14:paraId="2D66954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977D96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42A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F8ACBB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55</w:t>
            </w:r>
          </w:p>
        </w:tc>
        <w:tc>
          <w:tcPr>
            <w:tcW w:w="978" w:type="dxa"/>
            <w:noWrap w:val="0"/>
            <w:vAlign w:val="center"/>
          </w:tcPr>
          <w:p w14:paraId="40B04B3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弱电：风雨操场设备专业音频处理器</w:t>
            </w:r>
          </w:p>
        </w:tc>
        <w:tc>
          <w:tcPr>
            <w:tcW w:w="706" w:type="dxa"/>
            <w:noWrap w:val="0"/>
            <w:vAlign w:val="center"/>
          </w:tcPr>
          <w:p w14:paraId="35C0B2B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专业音频处理器</w:t>
            </w:r>
          </w:p>
        </w:tc>
        <w:tc>
          <w:tcPr>
            <w:tcW w:w="6279" w:type="dxa"/>
            <w:noWrap w:val="0"/>
            <w:vAlign w:val="top"/>
          </w:tcPr>
          <w:p w14:paraId="13972B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1.8路模拟输入8路模拟输出；</w:t>
            </w:r>
          </w:p>
          <w:p w14:paraId="1BA071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2.支持麦克风输入和线路输入自由切换；</w:t>
            </w:r>
          </w:p>
          <w:p w14:paraId="433A73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3.每路输入带48V幻象电源，通过网页开关控制；</w:t>
            </w:r>
          </w:p>
          <w:p w14:paraId="3BFF53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4.输入灵敏度调节，共计 21 档，步长 3dB，最大输入增益 60dB；</w:t>
            </w:r>
          </w:p>
          <w:p w14:paraId="04E5BC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5.增益调节、均衡器、噪声门、延时、压缩器、限幅器，分频器，自动增益等；</w:t>
            </w:r>
          </w:p>
          <w:p w14:paraId="23808F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6.全功能矩阵混音功能，支持发送量调节；</w:t>
            </w:r>
          </w:p>
          <w:p w14:paraId="160692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7.TCP/IP协议，网页端进行各种参数调节控制；</w:t>
            </w:r>
          </w:p>
          <w:p w14:paraId="3B6393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8.RS-232、RS-485、GPIO接口提供完善的控制功能；</w:t>
            </w:r>
          </w:p>
          <w:p w14:paraId="305BEA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9.输入15段PEQ可调，输出15段PEQ可调；</w:t>
            </w:r>
          </w:p>
          <w:p w14:paraId="3FA4DA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10.60 个场景，支持中英文快速切换；</w:t>
            </w:r>
          </w:p>
          <w:p w14:paraId="377236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11.供电范围：AC100V---240V  50/60 Hz；</w:t>
            </w:r>
          </w:p>
          <w:p w14:paraId="677726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12.工作温度：-20℃--80℃</w:t>
            </w:r>
          </w:p>
        </w:tc>
        <w:tc>
          <w:tcPr>
            <w:tcW w:w="785" w:type="dxa"/>
            <w:noWrap w:val="0"/>
            <w:vAlign w:val="center"/>
          </w:tcPr>
          <w:p w14:paraId="76CF613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6C8ACB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EC46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B3324F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56</w:t>
            </w:r>
          </w:p>
        </w:tc>
        <w:tc>
          <w:tcPr>
            <w:tcW w:w="978" w:type="dxa"/>
            <w:noWrap w:val="0"/>
            <w:vAlign w:val="center"/>
          </w:tcPr>
          <w:p w14:paraId="2FBBBE0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弱电：风雨操场设备专业自动反馈抑制器</w:t>
            </w:r>
          </w:p>
        </w:tc>
        <w:tc>
          <w:tcPr>
            <w:tcW w:w="706" w:type="dxa"/>
            <w:noWrap w:val="0"/>
            <w:vAlign w:val="center"/>
          </w:tcPr>
          <w:p w14:paraId="2C4EBC9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专业自动反馈抑制器</w:t>
            </w:r>
          </w:p>
        </w:tc>
        <w:tc>
          <w:tcPr>
            <w:tcW w:w="6279" w:type="dxa"/>
            <w:noWrap w:val="0"/>
            <w:vAlign w:val="top"/>
          </w:tcPr>
          <w:p w14:paraId="044926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1.2路线路/话筒输入，2路线路/话筒输出；</w:t>
            </w:r>
          </w:p>
          <w:p w14:paraId="0EE9E3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2.内置高端高速浮点数字信号处理器和自适应反馈陷波处理算法技术；</w:t>
            </w:r>
          </w:p>
          <w:p w14:paraId="477A98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3.面板带有4*8段实时电平显示指示灯，精准显示输入/输出信号电平的大小；</w:t>
            </w:r>
          </w:p>
          <w:p w14:paraId="5C4979B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4.面板带有通道静音，旁路和滤波器重置的快速按钮；</w:t>
            </w:r>
          </w:p>
          <w:p w14:paraId="67C12E7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5.每路输入带15个自适应陷波滤波器，可按需配置动态/固定滤波器数量；</w:t>
            </w:r>
          </w:p>
          <w:p w14:paraId="1F6358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6.TCP/IP控制协议，连接PC电脑进行网页端进行各种详细参数的控制调节；</w:t>
            </w:r>
          </w:p>
          <w:p w14:paraId="222912A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7.支持多档位模拟音量调节(-18dBV ~ 12dBV)，最大输入电平(1%失真)10V，信噪比(0dBv)≥93dB；</w:t>
            </w:r>
          </w:p>
          <w:p w14:paraId="1A0984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8.设备供电范围：AC100V---240V  50/60 Hz，功耗≤10W；</w:t>
            </w:r>
          </w:p>
        </w:tc>
        <w:tc>
          <w:tcPr>
            <w:tcW w:w="785" w:type="dxa"/>
            <w:noWrap w:val="0"/>
            <w:vAlign w:val="center"/>
          </w:tcPr>
          <w:p w14:paraId="2327DDE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7959A5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3F0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588A9B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57</w:t>
            </w:r>
          </w:p>
        </w:tc>
        <w:tc>
          <w:tcPr>
            <w:tcW w:w="978" w:type="dxa"/>
            <w:noWrap w:val="0"/>
            <w:vAlign w:val="center"/>
          </w:tcPr>
          <w:p w14:paraId="56F7025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弱电：风雨操场设备电源时序器</w:t>
            </w:r>
          </w:p>
        </w:tc>
        <w:tc>
          <w:tcPr>
            <w:tcW w:w="706" w:type="dxa"/>
            <w:noWrap w:val="0"/>
            <w:vAlign w:val="center"/>
          </w:tcPr>
          <w:p w14:paraId="4993247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电源时序器</w:t>
            </w:r>
          </w:p>
        </w:tc>
        <w:tc>
          <w:tcPr>
            <w:tcW w:w="6279" w:type="dxa"/>
            <w:noWrap w:val="0"/>
            <w:vAlign w:val="top"/>
          </w:tcPr>
          <w:p w14:paraId="772BA3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1.独立的八路大功率电源输出，万能插座，可满足多种三极的电源插座；</w:t>
            </w:r>
          </w:p>
          <w:p w14:paraId="7CD885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2.单路最大输出为≥10A，总输入电流容量≥16A；</w:t>
            </w:r>
          </w:p>
          <w:p w14:paraId="172B02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3.八路通道开关状态可由面板控制操作和显示；通过面板一键开关，可时序关启通道，实现时序功能；</w:t>
            </w:r>
          </w:p>
          <w:p w14:paraId="3FBC04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4.开机时由前级到后级按顺序逐个启动各类设备，关机时由后级到前级逐个关闭各个设备，有效的统一管理控制用电设备，确保整个系统的稳定运行；</w:t>
            </w:r>
          </w:p>
          <w:p w14:paraId="15430E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5.可广泛用于多媒体教室、多功能厅、会议室、投影拼接、视频会议、监控中心、楼宇控制、管理指挥中心等领域。</w:t>
            </w:r>
          </w:p>
          <w:p w14:paraId="3500583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6.性能规格：</w:t>
            </w:r>
          </w:p>
          <w:p w14:paraId="5EB18B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7.电源输出：≥8路，万能插座</w:t>
            </w:r>
          </w:p>
          <w:p w14:paraId="6E753F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8.单路最大负荷：≥10A</w:t>
            </w:r>
          </w:p>
          <w:p w14:paraId="696D12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9.控制方式：手动顺序启动、外接短路信号触发启动</w:t>
            </w:r>
          </w:p>
          <w:p w14:paraId="57C796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10.电源容量：总容量≥220V，16A</w:t>
            </w:r>
          </w:p>
          <w:p w14:paraId="29352E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11.输入电源：AC220/50Hz</w:t>
            </w:r>
          </w:p>
          <w:p w14:paraId="315022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12.时序间隔：0.4-0.5s</w:t>
            </w:r>
          </w:p>
        </w:tc>
        <w:tc>
          <w:tcPr>
            <w:tcW w:w="785" w:type="dxa"/>
            <w:noWrap w:val="0"/>
            <w:vAlign w:val="center"/>
          </w:tcPr>
          <w:p w14:paraId="7890161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4835B078">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621D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0CB72D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58</w:t>
            </w:r>
          </w:p>
        </w:tc>
        <w:tc>
          <w:tcPr>
            <w:tcW w:w="978" w:type="dxa"/>
            <w:noWrap w:val="0"/>
            <w:vAlign w:val="center"/>
          </w:tcPr>
          <w:p w14:paraId="29CD1FF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弱电：风雨操场设备八路天线放大器</w:t>
            </w:r>
          </w:p>
        </w:tc>
        <w:tc>
          <w:tcPr>
            <w:tcW w:w="706" w:type="dxa"/>
            <w:noWrap w:val="0"/>
            <w:vAlign w:val="center"/>
          </w:tcPr>
          <w:p w14:paraId="781792A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八路天线放大器</w:t>
            </w:r>
          </w:p>
        </w:tc>
        <w:tc>
          <w:tcPr>
            <w:tcW w:w="6279" w:type="dxa"/>
            <w:noWrap w:val="0"/>
            <w:vAlign w:val="top"/>
          </w:tcPr>
          <w:p w14:paraId="4ECEBA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系统参数</w:t>
            </w:r>
          </w:p>
          <w:p w14:paraId="3EAF8D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1.天线翼板与强波器参数</w:t>
            </w:r>
          </w:p>
          <w:p w14:paraId="4412065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天线类型：对数周期指向（LPDA）</w:t>
            </w:r>
          </w:p>
          <w:p w14:paraId="2EE5AF4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频率范围：400-950MHz</w:t>
            </w:r>
          </w:p>
          <w:p w14:paraId="429250B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输出接口：卡口母座（BNC)</w:t>
            </w:r>
          </w:p>
          <w:p w14:paraId="1E974F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天线阻抗：50 Ω</w:t>
            </w:r>
          </w:p>
          <w:p w14:paraId="3BA5E2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内置强波器：+2db,+6db,+8db,+12db（四档可调）</w:t>
            </w:r>
          </w:p>
          <w:p w14:paraId="31C25A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工作状态指示： 带电源与增益量LED指示</w:t>
            </w:r>
          </w:p>
          <w:p w14:paraId="0190BF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指向性：水平90°垂直60°</w:t>
            </w:r>
          </w:p>
          <w:p w14:paraId="4844E5F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指向极性：垂直极化</w:t>
            </w:r>
          </w:p>
          <w:p w14:paraId="106A020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工作电压：偏压电源8~15 V DC</w:t>
            </w:r>
          </w:p>
          <w:p w14:paraId="03F49D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外观尺寸（mm） ：≥320×275×22</w:t>
            </w:r>
          </w:p>
          <w:p w14:paraId="2210339A">
            <w:pPr>
              <w:rPr>
                <w:rFonts w:hint="eastAsia" w:ascii="宋体" w:hAnsi="宋体" w:eastAsia="宋体" w:cs="宋体"/>
                <w:sz w:val="20"/>
                <w:szCs w:val="20"/>
                <w:vertAlign w:val="baseline"/>
              </w:rPr>
            </w:pPr>
          </w:p>
          <w:p w14:paraId="61022E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2.分配主机参数</w:t>
            </w:r>
          </w:p>
          <w:p w14:paraId="6A8A203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高频信号输入：2路BNC输入</w:t>
            </w:r>
          </w:p>
          <w:p w14:paraId="20DD19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输入端信号最大灵敏度：+32dBm</w:t>
            </w:r>
          </w:p>
          <w:p w14:paraId="1048E2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系统工作总电源： 12V3A</w:t>
            </w:r>
          </w:p>
          <w:p w14:paraId="5EEA63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放大信号输出:  8路BNC输出+ 2路BNC备用级联输出</w:t>
            </w:r>
          </w:p>
          <w:p w14:paraId="02996A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系统DC输出： 4路DC  12V/1A 输出（为接收机供电）</w:t>
            </w:r>
          </w:p>
          <w:p w14:paraId="6EFEAA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输出/入阻抗： 50 Ω</w:t>
            </w:r>
          </w:p>
          <w:p w14:paraId="54AE6A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系统信号输入端对外供电： +8.0V DC / 200mA</w:t>
            </w:r>
          </w:p>
          <w:p w14:paraId="29D2B3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3.同轴电缆参数</w:t>
            </w:r>
          </w:p>
          <w:p w14:paraId="1C629A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线材规格：发泡聚乙烯绝缘同轴电缆LMR195</w:t>
            </w:r>
          </w:p>
          <w:p w14:paraId="6FA34B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阻抗：50Ω</w:t>
            </w:r>
          </w:p>
          <w:p w14:paraId="008F95D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弯曲半径：25mm</w:t>
            </w:r>
          </w:p>
          <w:p w14:paraId="2C5112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线损：≤0.24db/m(20度）</w:t>
            </w:r>
          </w:p>
          <w:p w14:paraId="080A71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线径：6mm</w:t>
            </w:r>
          </w:p>
          <w:p w14:paraId="43AB38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材质结构：5层带编织线与屏蔽层铜芯线</w:t>
            </w:r>
          </w:p>
          <w:p w14:paraId="459C2E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备注：50米线长信号通过衰减为-5dBM，10米长内信号衰减可忽略不计。</w:t>
            </w:r>
          </w:p>
          <w:p w14:paraId="323E35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产品特点：</w:t>
            </w:r>
          </w:p>
          <w:p w14:paraId="571429E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1.有效工作频率为400MHZ-950MHZ，信号增益+2DBM到+12DBM可调。</w:t>
            </w:r>
          </w:p>
          <w:p w14:paraId="26708F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2.兼容市面上大部分UHF频段无线麦克风接收机工作使用。</w:t>
            </w:r>
          </w:p>
          <w:p w14:paraId="7817E1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3.在天线板安装了高效的强滤波电路，有效过滤与隔离了工作范围外的干忧信号的输入。</w:t>
            </w:r>
          </w:p>
          <w:p w14:paraId="4E506B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4.在天线板加入了高性能的高频增益芯片，可对话筒信号进行无损的增强与补偿。</w:t>
            </w:r>
          </w:p>
          <w:p w14:paraId="0CD637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5.系统分配主机提供了8路稳定高质量信号输出（可多机级联增路）。</w:t>
            </w:r>
          </w:p>
          <w:p w14:paraId="363498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6.系统分配主机提供了4路稳定的 DC电源输出，专为话筒接收机供电。（每路负载12V/1A)。</w:t>
            </w:r>
          </w:p>
          <w:p w14:paraId="40DC76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7.所有同轴电缆线材为5层结构的带屏蔽铝箔的高频铜芯专用线。</w:t>
            </w:r>
          </w:p>
          <w:p w14:paraId="556565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8.系统提供两个可伸缩与转向调节的天线板金属安装支架。</w:t>
            </w:r>
          </w:p>
          <w:p w14:paraId="3E7FD8B6">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9</w:t>
            </w:r>
            <w:r>
              <w:rPr>
                <w:rFonts w:hint="eastAsia" w:ascii="宋体" w:hAnsi="宋体" w:eastAsia="宋体" w:cs="宋体"/>
                <w:sz w:val="20"/>
                <w:szCs w:val="20"/>
                <w:vertAlign w:val="baseline"/>
              </w:rPr>
              <w:t>.天线翼板上的强波器电路由散热快的铝合金外壳密封，防淋雨防晒，适合户外长期固定安装。</w:t>
            </w:r>
          </w:p>
          <w:p w14:paraId="6430D8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w:t>
            </w:r>
            <w:r>
              <w:rPr>
                <w:rFonts w:hint="eastAsia" w:ascii="宋体" w:hAnsi="宋体" w:eastAsia="宋体" w:cs="宋体"/>
                <w:sz w:val="20"/>
                <w:szCs w:val="20"/>
                <w:vertAlign w:val="baseline"/>
                <w:lang w:val="en-US" w:eastAsia="zh-CN"/>
              </w:rPr>
              <w:t>0</w:t>
            </w:r>
            <w:r>
              <w:rPr>
                <w:rFonts w:hint="eastAsia" w:ascii="宋体" w:hAnsi="宋体" w:eastAsia="宋体" w:cs="宋体"/>
                <w:sz w:val="20"/>
                <w:szCs w:val="20"/>
                <w:vertAlign w:val="baseline"/>
              </w:rPr>
              <w:t>.系统主机设计有系统连接状态指示灯，当天线板正常安装并工作的时候，指示灯长亮。</w:t>
            </w:r>
          </w:p>
          <w:p w14:paraId="1031F4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w:t>
            </w:r>
            <w:r>
              <w:rPr>
                <w:rFonts w:hint="eastAsia" w:ascii="宋体" w:hAnsi="宋体" w:eastAsia="宋体" w:cs="宋体"/>
                <w:sz w:val="20"/>
                <w:szCs w:val="20"/>
                <w:vertAlign w:val="baseline"/>
                <w:lang w:val="en-US" w:eastAsia="zh-CN"/>
              </w:rPr>
              <w:t>1</w:t>
            </w:r>
            <w:r>
              <w:rPr>
                <w:rFonts w:hint="eastAsia" w:ascii="宋体" w:hAnsi="宋体" w:eastAsia="宋体" w:cs="宋体"/>
                <w:sz w:val="20"/>
                <w:szCs w:val="20"/>
                <w:vertAlign w:val="baseline"/>
              </w:rPr>
              <w:t>.天线翼板设计有连接状态指示灯，当与系统主机正常连接并工作的时候，指示灯长亮。</w:t>
            </w:r>
          </w:p>
        </w:tc>
        <w:tc>
          <w:tcPr>
            <w:tcW w:w="785" w:type="dxa"/>
            <w:noWrap w:val="0"/>
            <w:vAlign w:val="center"/>
          </w:tcPr>
          <w:p w14:paraId="650B403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BE9A58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64E8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02DE4D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59</w:t>
            </w:r>
          </w:p>
        </w:tc>
        <w:tc>
          <w:tcPr>
            <w:tcW w:w="978" w:type="dxa"/>
            <w:noWrap w:val="0"/>
            <w:vAlign w:val="center"/>
          </w:tcPr>
          <w:p w14:paraId="2BF5FDB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弱电：风雨操场设备会议有源监听音箱</w:t>
            </w:r>
          </w:p>
        </w:tc>
        <w:tc>
          <w:tcPr>
            <w:tcW w:w="706" w:type="dxa"/>
            <w:noWrap w:val="0"/>
            <w:vAlign w:val="center"/>
          </w:tcPr>
          <w:p w14:paraId="3655A75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有源监听音箱</w:t>
            </w:r>
          </w:p>
        </w:tc>
        <w:tc>
          <w:tcPr>
            <w:tcW w:w="6279" w:type="dxa"/>
            <w:noWrap w:val="0"/>
            <w:vAlign w:val="top"/>
          </w:tcPr>
          <w:p w14:paraId="1D2DF45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1.接口输入:平衡XLR接口和不平衡RCA插口输入</w:t>
            </w:r>
          </w:p>
          <w:p w14:paraId="0D8EBD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2.频宽:(-10dB):70Hz-20,000Hz</w:t>
            </w:r>
          </w:p>
          <w:p w14:paraId="4B5AC8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3.灵敏度（1m，1W）:91dB</w:t>
            </w:r>
          </w:p>
          <w:p w14:paraId="2E29956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4.最大声压级(1m):106dB</w:t>
            </w:r>
          </w:p>
          <w:p w14:paraId="37F639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5.频率范围:70Hz～20KHz</w:t>
            </w:r>
          </w:p>
          <w:p w14:paraId="0ADFE7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6.额定功率:30W</w:t>
            </w:r>
          </w:p>
          <w:p w14:paraId="2AEC44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7.结构组成:6.5′低音×1(低、中频)2.5′高音×1(高频)</w:t>
            </w:r>
          </w:p>
          <w:p w14:paraId="30B617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8.适应环境温度:-10℃~+40℃</w:t>
            </w:r>
          </w:p>
        </w:tc>
        <w:tc>
          <w:tcPr>
            <w:tcW w:w="785" w:type="dxa"/>
            <w:noWrap w:val="0"/>
            <w:vAlign w:val="center"/>
          </w:tcPr>
          <w:p w14:paraId="14C6846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0DF0BA00">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75C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75DEEE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60</w:t>
            </w:r>
          </w:p>
        </w:tc>
        <w:tc>
          <w:tcPr>
            <w:tcW w:w="978" w:type="dxa"/>
            <w:noWrap w:val="0"/>
            <w:vAlign w:val="center"/>
          </w:tcPr>
          <w:p w14:paraId="053D15C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弱电：风雨操场设备2.4G无线数字会议主机</w:t>
            </w:r>
          </w:p>
        </w:tc>
        <w:tc>
          <w:tcPr>
            <w:tcW w:w="706" w:type="dxa"/>
            <w:noWrap w:val="0"/>
            <w:vAlign w:val="center"/>
          </w:tcPr>
          <w:p w14:paraId="3AC0D9B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会议主机</w:t>
            </w:r>
          </w:p>
        </w:tc>
        <w:tc>
          <w:tcPr>
            <w:tcW w:w="6279" w:type="dxa"/>
            <w:noWrap w:val="0"/>
            <w:vAlign w:val="top"/>
          </w:tcPr>
          <w:p w14:paraId="513C2BE4">
            <w:pP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rPr>
              <w:t>1.≥4.3英寸电容触摸屏，所有的功能项及设置操作信息以及单元工作的基本信息，触摸屏操控方式</w:t>
            </w:r>
            <w:r>
              <w:rPr>
                <w:rFonts w:hint="eastAsia" w:ascii="宋体" w:hAnsi="宋体" w:eastAsia="宋体" w:cs="宋体"/>
                <w:sz w:val="20"/>
                <w:szCs w:val="20"/>
                <w:vertAlign w:val="baseline"/>
                <w:lang w:eastAsia="zh-CN"/>
              </w:rPr>
              <w:t>；</w:t>
            </w:r>
          </w:p>
          <w:p w14:paraId="149F26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2.可与WiFi完全共存，具备抗干扰性；</w:t>
            </w:r>
          </w:p>
          <w:p w14:paraId="4D60D88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3.数字无线收发器分离及自适应跳频技术，前向误差校正与重传机制，确保数据永不丢失；</w:t>
            </w:r>
          </w:p>
          <w:p w14:paraId="44A4B8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4.具有加密保护，防止窃听和非授权访问，确保会议的私密性；</w:t>
            </w:r>
          </w:p>
          <w:p w14:paraId="11CAE5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5.全数字音频处理技术，音频采样频率48KHz；</w:t>
            </w:r>
          </w:p>
          <w:p w14:paraId="1B9080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6.可连接255台无线会议单元；</w:t>
            </w:r>
          </w:p>
          <w:p w14:paraId="0FA6E6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7.具有一键关机所有单元功能；</w:t>
            </w:r>
          </w:p>
          <w:p w14:paraId="4C2055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8.一个系统可设定多个主席单元；</w:t>
            </w:r>
          </w:p>
          <w:p w14:paraId="163FF3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9.3种会议模式：先进先出、正常模式、主席模式，同时发言数量1/2/3/4台；</w:t>
            </w:r>
          </w:p>
          <w:p w14:paraId="6AFB3F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10.1个RS232接口，实现与中控系统的无缝连接；</w:t>
            </w:r>
          </w:p>
          <w:p w14:paraId="3B58521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11.实时对单元的通道、ID地址码、电量显示；</w:t>
            </w:r>
          </w:p>
          <w:p w14:paraId="5E9606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12.1个RS422接口，实现对摄像头的集中控制；</w:t>
            </w:r>
          </w:p>
          <w:p w14:paraId="3837C0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13.具有总音量和4通道音量调节，调整信号输出大小；</w:t>
            </w:r>
          </w:p>
          <w:p w14:paraId="247B7B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14.主席单元具有优先权功能，可关闭代表单元发言；</w:t>
            </w:r>
          </w:p>
          <w:p w14:paraId="179387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15.具有发言定时和定时发言结束提醒倒计时功能。发言定时功能可以设置单元的发言时间，也可关闭发言定时，即不做限制；</w:t>
            </w:r>
          </w:p>
          <w:p w14:paraId="042F29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16.系统显示字幕中/英文两种语言可选择；</w:t>
            </w:r>
          </w:p>
          <w:p w14:paraId="0EBABA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17.采用专业通讯电缆与无线收发器连接，主机可给无线收发器供电，不需另加电；</w:t>
            </w:r>
          </w:p>
          <w:p w14:paraId="32AEED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18.两个音频非平衡输出接口，可连接前置放大器、调音台、专业功放；</w:t>
            </w:r>
          </w:p>
          <w:p w14:paraId="1AD4DF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19.4通道音频平衡输出接口，连接音频处理器；</w:t>
            </w:r>
          </w:p>
          <w:p w14:paraId="7BB722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20.高档的外观设计，2U标准机箱，可安装在19英寸标准机柜。</w:t>
            </w:r>
          </w:p>
          <w:p w14:paraId="3ADA725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21.频率响应：80Hz---16KHz(±3dB)；</w:t>
            </w:r>
          </w:p>
          <w:p w14:paraId="3DA3ED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22.LINE输出电压：1000±100 mV；</w:t>
            </w:r>
          </w:p>
          <w:p w14:paraId="5B86E8F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23.通道BALANCE输出电压：1000±100 mV；</w:t>
            </w:r>
          </w:p>
          <w:p w14:paraId="21AF24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24.信噪比: ≥70dB；</w:t>
            </w:r>
          </w:p>
          <w:p w14:paraId="737F93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25.总谐波失真：≤0.5%；</w:t>
            </w:r>
          </w:p>
          <w:p w14:paraId="6057AC0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26.通讯接口：RS232/RS422；</w:t>
            </w:r>
          </w:p>
          <w:p w14:paraId="1FF06E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27.电源：AC220V/50Hz；</w:t>
            </w:r>
          </w:p>
        </w:tc>
        <w:tc>
          <w:tcPr>
            <w:tcW w:w="785" w:type="dxa"/>
            <w:noWrap w:val="0"/>
            <w:vAlign w:val="center"/>
          </w:tcPr>
          <w:p w14:paraId="5B51567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8A3B6C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F79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9AF1CD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61</w:t>
            </w:r>
          </w:p>
        </w:tc>
        <w:tc>
          <w:tcPr>
            <w:tcW w:w="978" w:type="dxa"/>
            <w:noWrap w:val="0"/>
            <w:vAlign w:val="center"/>
          </w:tcPr>
          <w:p w14:paraId="05C9BF3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弱电：风雨操场设备2.4G无线数字会议主席单元</w:t>
            </w:r>
          </w:p>
        </w:tc>
        <w:tc>
          <w:tcPr>
            <w:tcW w:w="706" w:type="dxa"/>
            <w:noWrap w:val="0"/>
            <w:vAlign w:val="center"/>
          </w:tcPr>
          <w:p w14:paraId="2C0486C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主席单元</w:t>
            </w:r>
          </w:p>
        </w:tc>
        <w:tc>
          <w:tcPr>
            <w:tcW w:w="6279" w:type="dxa"/>
            <w:noWrap w:val="0"/>
            <w:vAlign w:val="top"/>
          </w:tcPr>
          <w:p w14:paraId="420060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1.发言功能的会议单元；</w:t>
            </w:r>
          </w:p>
          <w:p w14:paraId="3517063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2.每个会议单元都有独一无二的ID编号；</w:t>
            </w:r>
          </w:p>
          <w:p w14:paraId="50FF9D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3.具有话筒开关键，主席单元有主席优先键；</w:t>
            </w:r>
          </w:p>
          <w:p w14:paraId="00A94DF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4.≥2.8</w:t>
            </w:r>
            <w:r>
              <w:rPr>
                <w:rFonts w:hint="eastAsia" w:ascii="宋体" w:hAnsi="宋体" w:eastAsia="宋体" w:cs="宋体"/>
                <w:sz w:val="20"/>
                <w:szCs w:val="20"/>
                <w:vertAlign w:val="baseline"/>
                <w:lang w:val="en-US" w:eastAsia="zh-CN"/>
              </w:rPr>
              <w:t>英</w:t>
            </w:r>
            <w:r>
              <w:rPr>
                <w:rFonts w:hint="eastAsia" w:ascii="宋体" w:hAnsi="宋体" w:eastAsia="宋体" w:cs="宋体"/>
                <w:sz w:val="20"/>
                <w:szCs w:val="20"/>
                <w:vertAlign w:val="baseline"/>
              </w:rPr>
              <w:t>寸TFT彩屏，显示单元ID号、信号强度、电池电量、发言计时等；</w:t>
            </w:r>
          </w:p>
          <w:p w14:paraId="59045B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5.驻极体心型指向性电容式拾音器,提供鹅颈话筒杆有黑色、银色两种颜色可选，长度为315mm、415mm；</w:t>
            </w:r>
          </w:p>
          <w:p w14:paraId="750CAE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6.话筒杆可以拆卸；</w:t>
            </w:r>
          </w:p>
          <w:p w14:paraId="17BF97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7.话筒音量可调；</w:t>
            </w:r>
          </w:p>
          <w:p w14:paraId="67BBEC3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8.抗手机干扰能力；</w:t>
            </w:r>
          </w:p>
          <w:p w14:paraId="5FA0FF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9.中文简体、英文双语种切换显示单元信息；</w:t>
            </w:r>
          </w:p>
          <w:p w14:paraId="332FC1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10.高保真无损音频传输技术，48KHz音频采样频率；</w:t>
            </w:r>
          </w:p>
          <w:p w14:paraId="14262F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11.具有加密保护，防止窃听和非授权访问，确保会议的私密性；</w:t>
            </w:r>
          </w:p>
          <w:p w14:paraId="298CDA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12.使用主机设置，配合摄像头可摄像自动跟踪； </w:t>
            </w:r>
          </w:p>
          <w:p w14:paraId="436ED4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13.通过TYPE-C接口给本机充电；</w:t>
            </w:r>
          </w:p>
          <w:p w14:paraId="7C8F2A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14.采用≥5000mA容量的锂电池,供电电压:3.3V-4.2V；</w:t>
            </w:r>
          </w:p>
          <w:p w14:paraId="30E772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15.单元输入灵敏度：-45±2dBV/Pa</w:t>
            </w:r>
          </w:p>
          <w:p w14:paraId="7803B2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16.增益限制的有效频率范围(±3dB) :80Hz-16kHz；</w:t>
            </w:r>
          </w:p>
          <w:p w14:paraId="587433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17.静态功耗：≤2W；</w:t>
            </w:r>
          </w:p>
          <w:p w14:paraId="4787D7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18.最大功耗：2W；</w:t>
            </w:r>
          </w:p>
          <w:p w14:paraId="024804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19.信噪比：≥70dB；</w:t>
            </w:r>
          </w:p>
          <w:p w14:paraId="6227C3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20.谐波失真：≤0.5%；</w:t>
            </w:r>
          </w:p>
        </w:tc>
        <w:tc>
          <w:tcPr>
            <w:tcW w:w="785" w:type="dxa"/>
            <w:noWrap w:val="0"/>
            <w:vAlign w:val="center"/>
          </w:tcPr>
          <w:p w14:paraId="69A33BB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5D55FED">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8E4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4B9173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62</w:t>
            </w:r>
          </w:p>
        </w:tc>
        <w:tc>
          <w:tcPr>
            <w:tcW w:w="978" w:type="dxa"/>
            <w:noWrap w:val="0"/>
            <w:vAlign w:val="center"/>
          </w:tcPr>
          <w:p w14:paraId="0DCA2C6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弱电：风雨操场设备2.4G无线数字会议代表单元</w:t>
            </w:r>
          </w:p>
        </w:tc>
        <w:tc>
          <w:tcPr>
            <w:tcW w:w="706" w:type="dxa"/>
            <w:noWrap w:val="0"/>
            <w:vAlign w:val="center"/>
          </w:tcPr>
          <w:p w14:paraId="4D25C01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代表单元</w:t>
            </w:r>
          </w:p>
        </w:tc>
        <w:tc>
          <w:tcPr>
            <w:tcW w:w="6279" w:type="dxa"/>
            <w:noWrap w:val="0"/>
            <w:vAlign w:val="top"/>
          </w:tcPr>
          <w:p w14:paraId="7F9076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1.发言功能的会议单元；</w:t>
            </w:r>
          </w:p>
          <w:p w14:paraId="077120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2.每个会议单元都有独一无二的ID编号；</w:t>
            </w:r>
          </w:p>
          <w:p w14:paraId="5B3513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3.具有话筒开关键；</w:t>
            </w:r>
          </w:p>
          <w:p w14:paraId="628B26E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4.≥2.8</w:t>
            </w:r>
            <w:r>
              <w:rPr>
                <w:rFonts w:hint="eastAsia" w:ascii="宋体" w:hAnsi="宋体" w:eastAsia="宋体" w:cs="宋体"/>
                <w:sz w:val="20"/>
                <w:szCs w:val="20"/>
                <w:vertAlign w:val="baseline"/>
                <w:lang w:val="en-US" w:eastAsia="zh-CN"/>
              </w:rPr>
              <w:t>英</w:t>
            </w:r>
            <w:r>
              <w:rPr>
                <w:rFonts w:hint="eastAsia" w:ascii="宋体" w:hAnsi="宋体" w:eastAsia="宋体" w:cs="宋体"/>
                <w:sz w:val="20"/>
                <w:szCs w:val="20"/>
                <w:vertAlign w:val="baseline"/>
              </w:rPr>
              <w:t>寸TFT彩屏，显示单元ID号、信号强度、电池电量、发言计时等；</w:t>
            </w:r>
          </w:p>
          <w:p w14:paraId="36CFDA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5.驻极体心型指向性电容式拾音器,提供鹅颈话筒杆有黑色、银色两种颜色可选，长度为315mm、415mm；</w:t>
            </w:r>
          </w:p>
          <w:p w14:paraId="2646AD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6.话筒杆可以拆卸；</w:t>
            </w:r>
          </w:p>
          <w:p w14:paraId="4C9911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7.话筒音量可调；</w:t>
            </w:r>
          </w:p>
          <w:p w14:paraId="1DC038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8.超强的抗手机干扰能力；</w:t>
            </w:r>
          </w:p>
          <w:p w14:paraId="57C899B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9.中文简体、英文双语种切换显示单元信息；</w:t>
            </w:r>
          </w:p>
          <w:p w14:paraId="5A4C37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10.高保真无损音频传输技术，48KHz音频采样频率；</w:t>
            </w:r>
          </w:p>
          <w:p w14:paraId="0973C9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11.具有加密保护，防止窃听和非授权访问，确保会议的私密性；</w:t>
            </w:r>
          </w:p>
          <w:p w14:paraId="5AC5705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12.使用主机设置，配合摄像头可摄像自动跟踪； </w:t>
            </w:r>
          </w:p>
          <w:p w14:paraId="713E09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13.通过TYPE-C接口给本机充电；</w:t>
            </w:r>
          </w:p>
          <w:p w14:paraId="11CE54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14.采用≥5000mA容量的锂电池,供电电压:3.3V-4.2V；</w:t>
            </w:r>
          </w:p>
          <w:p w14:paraId="0F9408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15.单元输入灵敏度：-45±2dBV/Pa</w:t>
            </w:r>
          </w:p>
          <w:p w14:paraId="33980C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16.增益限制的有效频率范围(±3dB) :80Hz-16kHz；</w:t>
            </w:r>
          </w:p>
          <w:p w14:paraId="3E4319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17.静态功耗：≤2W；</w:t>
            </w:r>
          </w:p>
          <w:p w14:paraId="49D7483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18.最大功耗：2W；</w:t>
            </w:r>
          </w:p>
          <w:p w14:paraId="5741B7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19.信噪比：≥70dB；</w:t>
            </w:r>
          </w:p>
          <w:p w14:paraId="2C6BB3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20.谐波失真：≤0.5%；</w:t>
            </w:r>
          </w:p>
        </w:tc>
        <w:tc>
          <w:tcPr>
            <w:tcW w:w="785" w:type="dxa"/>
            <w:noWrap w:val="0"/>
            <w:vAlign w:val="center"/>
          </w:tcPr>
          <w:p w14:paraId="0E6B6D9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w:t>
            </w:r>
          </w:p>
        </w:tc>
        <w:tc>
          <w:tcPr>
            <w:tcW w:w="988" w:type="dxa"/>
            <w:noWrap w:val="0"/>
            <w:vAlign w:val="center"/>
          </w:tcPr>
          <w:p w14:paraId="513B741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F6A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3029AC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63</w:t>
            </w:r>
          </w:p>
        </w:tc>
        <w:tc>
          <w:tcPr>
            <w:tcW w:w="978" w:type="dxa"/>
            <w:noWrap w:val="0"/>
            <w:vAlign w:val="center"/>
          </w:tcPr>
          <w:p w14:paraId="47474A6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弱电：风雨操场设备2.4G无线数字会议室内信号放大器</w:t>
            </w:r>
          </w:p>
        </w:tc>
        <w:tc>
          <w:tcPr>
            <w:tcW w:w="706" w:type="dxa"/>
            <w:noWrap w:val="0"/>
            <w:vAlign w:val="center"/>
          </w:tcPr>
          <w:p w14:paraId="59E76F5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信号放大器</w:t>
            </w:r>
          </w:p>
        </w:tc>
        <w:tc>
          <w:tcPr>
            <w:tcW w:w="6279" w:type="dxa"/>
            <w:noWrap w:val="0"/>
            <w:vAlign w:val="top"/>
          </w:tcPr>
          <w:p w14:paraId="616201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1.采用2.4-2.5G频段14Dbi定向高增益平面天线，输入阻抗为50Ω；</w:t>
            </w:r>
          </w:p>
          <w:p w14:paraId="42BA430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2.内置2.4G超低功耗无线模块，具备48K数字音频采样速率；</w:t>
            </w:r>
          </w:p>
          <w:p w14:paraId="59057C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3.采用2.4G全数字跳频调制通讯技术；</w:t>
            </w:r>
          </w:p>
          <w:p w14:paraId="20E184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4.包含强大的内置无线音频传输协议，利用大量共存机制避免无线会议单元遭受外界干扰；</w:t>
            </w:r>
          </w:p>
          <w:p w14:paraId="53A355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5.内置数字电路，可大幅度的把2.4G无线信号进行放大；</w:t>
            </w:r>
          </w:p>
          <w:p w14:paraId="34119E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6.自适应跳频，前向误差校正与重传机制， 确保数据永不丢失；</w:t>
            </w:r>
          </w:p>
          <w:p w14:paraId="4CA2B49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7.与主机直接连接，无需外接电源，具有接收和发射功能；</w:t>
            </w:r>
          </w:p>
          <w:p w14:paraId="686C57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8.辐射范围达40米，可吸顶式、壁挂式、桌面式安装方式；</w:t>
            </w:r>
          </w:p>
          <w:p w14:paraId="4B4028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9.调制方式：DSSS跳频；</w:t>
            </w:r>
          </w:p>
          <w:p w14:paraId="6DAC57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10.供电方式：主机供电；</w:t>
            </w:r>
          </w:p>
          <w:p w14:paraId="40AACB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11.辐射范围：直线空旷距离≥40米；</w:t>
            </w:r>
          </w:p>
          <w:p w14:paraId="2C84BC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12.发射功率：18dBm；</w:t>
            </w:r>
          </w:p>
          <w:p w14:paraId="189E6A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13.接收灵敏度：-88dBm；</w:t>
            </w:r>
          </w:p>
          <w:p w14:paraId="741D894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14.机器尺寸：192*192*48mm；</w:t>
            </w:r>
          </w:p>
        </w:tc>
        <w:tc>
          <w:tcPr>
            <w:tcW w:w="785" w:type="dxa"/>
            <w:noWrap w:val="0"/>
            <w:vAlign w:val="center"/>
          </w:tcPr>
          <w:p w14:paraId="0762EFB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AB427BA">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6C5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EC0130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64</w:t>
            </w:r>
          </w:p>
        </w:tc>
        <w:tc>
          <w:tcPr>
            <w:tcW w:w="978" w:type="dxa"/>
            <w:noWrap w:val="0"/>
            <w:vAlign w:val="center"/>
          </w:tcPr>
          <w:p w14:paraId="5B3508A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弱电：风雨操场设备WiFi无线会议单元专用充电箱</w:t>
            </w:r>
          </w:p>
        </w:tc>
        <w:tc>
          <w:tcPr>
            <w:tcW w:w="706" w:type="dxa"/>
            <w:noWrap w:val="0"/>
            <w:vAlign w:val="center"/>
          </w:tcPr>
          <w:p w14:paraId="29A3D95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WiFi无线会议单元专用充电箱</w:t>
            </w:r>
          </w:p>
        </w:tc>
        <w:tc>
          <w:tcPr>
            <w:tcW w:w="6279" w:type="dxa"/>
            <w:noWrap w:val="0"/>
            <w:vAlign w:val="top"/>
          </w:tcPr>
          <w:p w14:paraId="57009D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1.宽电压输入100V-240V AC：50/60Hz；                                                                               </w:t>
            </w:r>
          </w:p>
          <w:p w14:paraId="5711DA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2.支持快充慢充；                                                                             </w:t>
            </w:r>
          </w:p>
          <w:p w14:paraId="4F99ED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3.锂电池为≥1000mAH,充满小于3.5小时；                                                                               </w:t>
            </w:r>
          </w:p>
          <w:p w14:paraId="419E13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4.能同时给10个单元充电；</w:t>
            </w:r>
          </w:p>
          <w:p w14:paraId="5954E3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5.满足充电协议。</w:t>
            </w:r>
          </w:p>
          <w:p w14:paraId="5FC9A0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6.最大功耗：200W；</w:t>
            </w:r>
          </w:p>
        </w:tc>
        <w:tc>
          <w:tcPr>
            <w:tcW w:w="785" w:type="dxa"/>
            <w:noWrap w:val="0"/>
            <w:vAlign w:val="center"/>
          </w:tcPr>
          <w:p w14:paraId="726DC8F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C2BFC0A">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875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33E208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65</w:t>
            </w:r>
          </w:p>
        </w:tc>
        <w:tc>
          <w:tcPr>
            <w:tcW w:w="978" w:type="dxa"/>
            <w:noWrap w:val="0"/>
            <w:vAlign w:val="center"/>
          </w:tcPr>
          <w:p w14:paraId="07C137B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弱电：风雨操场设备主席台会议桌</w:t>
            </w:r>
          </w:p>
        </w:tc>
        <w:tc>
          <w:tcPr>
            <w:tcW w:w="706" w:type="dxa"/>
            <w:noWrap w:val="0"/>
            <w:vAlign w:val="center"/>
          </w:tcPr>
          <w:p w14:paraId="2264BDA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主席台会议桌</w:t>
            </w:r>
          </w:p>
        </w:tc>
        <w:tc>
          <w:tcPr>
            <w:tcW w:w="6279" w:type="dxa"/>
            <w:noWrap w:val="0"/>
            <w:vAlign w:val="top"/>
          </w:tcPr>
          <w:p w14:paraId="404686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规格：≥1400*600*760mm                                  </w:t>
            </w:r>
          </w:p>
          <w:p w14:paraId="6A8C13F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板材采用E1级中纤板贴木皮，密度达标700KG以上；实木封边并通过绿色环保认证和甲醛含量检测认证，台面贴厚为≥0.8mm的优质胡桃木皮，所有木质材料经过严格的杀菌、防腐、防虫、防潮等处理，干燥率底于9%含水率；采用进口环保油漆，经过9道磨退工艺，油漆面无颗粒，无气泡，无渣点，颜色均匀，硬度高，保证光亮平整，耐磨耐压耐高温，可长期保持表面效果，符合国际环保标准；挡板落地，桌面有挡条，台面安装线盒孔，侧面两桌间预留线盒孔。</w:t>
            </w:r>
          </w:p>
        </w:tc>
        <w:tc>
          <w:tcPr>
            <w:tcW w:w="785" w:type="dxa"/>
            <w:noWrap w:val="0"/>
            <w:vAlign w:val="center"/>
          </w:tcPr>
          <w:p w14:paraId="0EC47D8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w:t>
            </w:r>
          </w:p>
        </w:tc>
        <w:tc>
          <w:tcPr>
            <w:tcW w:w="988" w:type="dxa"/>
            <w:noWrap w:val="0"/>
            <w:vAlign w:val="center"/>
          </w:tcPr>
          <w:p w14:paraId="4635023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483C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3DE246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66</w:t>
            </w:r>
          </w:p>
        </w:tc>
        <w:tc>
          <w:tcPr>
            <w:tcW w:w="978" w:type="dxa"/>
            <w:noWrap w:val="0"/>
            <w:vAlign w:val="center"/>
          </w:tcPr>
          <w:p w14:paraId="117CAA5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弱电：风雨操场设备会议座椅</w:t>
            </w:r>
          </w:p>
        </w:tc>
        <w:tc>
          <w:tcPr>
            <w:tcW w:w="706" w:type="dxa"/>
            <w:noWrap w:val="0"/>
            <w:vAlign w:val="center"/>
          </w:tcPr>
          <w:p w14:paraId="4111CAF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会议座椅</w:t>
            </w:r>
          </w:p>
        </w:tc>
        <w:tc>
          <w:tcPr>
            <w:tcW w:w="6279" w:type="dxa"/>
            <w:noWrap w:val="0"/>
            <w:vAlign w:val="top"/>
          </w:tcPr>
          <w:p w14:paraId="207BBC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全实木架，内板采用多层实木板加压而成厚≥12MM，木质材料须经过严格的杀菌、防腐、防虫、防潮等处理，干燥率低于9%含水率；基材：曲木板依据人体工学原理设计；采用优质环保皮，皮面光泽度好，柔软舒适；座垫内芯物料采用低烧高密泡棉，海绵：45#高密度成型PU，软硬适中，坐感从天而舒适，回弹性好，永不变形；椅背和椅座之间无缝隙。</w:t>
            </w:r>
          </w:p>
        </w:tc>
        <w:tc>
          <w:tcPr>
            <w:tcW w:w="785" w:type="dxa"/>
            <w:noWrap w:val="0"/>
            <w:vAlign w:val="center"/>
          </w:tcPr>
          <w:p w14:paraId="58F2058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w:t>
            </w:r>
          </w:p>
        </w:tc>
        <w:tc>
          <w:tcPr>
            <w:tcW w:w="988" w:type="dxa"/>
            <w:noWrap w:val="0"/>
            <w:vAlign w:val="center"/>
          </w:tcPr>
          <w:p w14:paraId="5607B74C">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788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EE28B4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67</w:t>
            </w:r>
          </w:p>
        </w:tc>
        <w:tc>
          <w:tcPr>
            <w:tcW w:w="978" w:type="dxa"/>
            <w:noWrap w:val="0"/>
            <w:vAlign w:val="center"/>
          </w:tcPr>
          <w:p w14:paraId="6B13CB0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弱电：风雨操场设备设备机柜</w:t>
            </w:r>
          </w:p>
        </w:tc>
        <w:tc>
          <w:tcPr>
            <w:tcW w:w="706" w:type="dxa"/>
            <w:noWrap w:val="0"/>
            <w:vAlign w:val="center"/>
          </w:tcPr>
          <w:p w14:paraId="060AA19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设备机柜</w:t>
            </w:r>
          </w:p>
        </w:tc>
        <w:tc>
          <w:tcPr>
            <w:tcW w:w="6279" w:type="dxa"/>
            <w:noWrap w:val="0"/>
            <w:vAlign w:val="top"/>
          </w:tcPr>
          <w:p w14:paraId="30E751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技术参数：              </w:t>
            </w:r>
          </w:p>
          <w:p w14:paraId="1873EE7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1.≥2mm冷板、钢化玻璃门、2风扇、黑色；</w:t>
            </w:r>
          </w:p>
          <w:p w14:paraId="07D304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2.产品尺寸（L×W×H）：≥600×600×1800mm</w:t>
            </w:r>
          </w:p>
        </w:tc>
        <w:tc>
          <w:tcPr>
            <w:tcW w:w="785" w:type="dxa"/>
            <w:noWrap w:val="0"/>
            <w:vAlign w:val="center"/>
          </w:tcPr>
          <w:p w14:paraId="7C39057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94F4F33">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BB2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958441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68</w:t>
            </w:r>
          </w:p>
        </w:tc>
        <w:tc>
          <w:tcPr>
            <w:tcW w:w="978" w:type="dxa"/>
            <w:noWrap w:val="0"/>
            <w:vAlign w:val="center"/>
          </w:tcPr>
          <w:p w14:paraId="199E121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弱电：风雨操场设备操作平台</w:t>
            </w:r>
          </w:p>
        </w:tc>
        <w:tc>
          <w:tcPr>
            <w:tcW w:w="706" w:type="dxa"/>
            <w:noWrap w:val="0"/>
            <w:vAlign w:val="center"/>
          </w:tcPr>
          <w:p w14:paraId="287BE06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操作平台</w:t>
            </w:r>
          </w:p>
        </w:tc>
        <w:tc>
          <w:tcPr>
            <w:tcW w:w="6279" w:type="dxa"/>
            <w:noWrap w:val="0"/>
            <w:vAlign w:val="top"/>
          </w:tcPr>
          <w:p w14:paraId="1F2507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材质：E1级环保板台面/冷轧钢台体；尺寸：≥1650×900×750mm，台面：≥2.5mm，立柱：≥1.5mm；框架：≥1.5mm；门板：≥1.2mm</w:t>
            </w:r>
          </w:p>
        </w:tc>
        <w:tc>
          <w:tcPr>
            <w:tcW w:w="785" w:type="dxa"/>
            <w:noWrap w:val="0"/>
            <w:vAlign w:val="center"/>
          </w:tcPr>
          <w:p w14:paraId="3317A87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65698C2">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CB1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ECA027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69</w:t>
            </w:r>
          </w:p>
        </w:tc>
        <w:tc>
          <w:tcPr>
            <w:tcW w:w="978" w:type="dxa"/>
            <w:noWrap w:val="0"/>
            <w:vAlign w:val="center"/>
          </w:tcPr>
          <w:p w14:paraId="3CF7BEE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弱电：风雨操场设备系统集成</w:t>
            </w:r>
          </w:p>
        </w:tc>
        <w:tc>
          <w:tcPr>
            <w:tcW w:w="706" w:type="dxa"/>
            <w:noWrap w:val="0"/>
            <w:vAlign w:val="center"/>
          </w:tcPr>
          <w:p w14:paraId="66EDFCB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系统集成</w:t>
            </w:r>
          </w:p>
        </w:tc>
        <w:tc>
          <w:tcPr>
            <w:tcW w:w="6279" w:type="dxa"/>
            <w:noWrap w:val="0"/>
            <w:vAlign w:val="top"/>
          </w:tcPr>
          <w:p w14:paraId="0B1364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安装调试、线材、辅材等</w:t>
            </w:r>
          </w:p>
        </w:tc>
        <w:tc>
          <w:tcPr>
            <w:tcW w:w="785" w:type="dxa"/>
            <w:noWrap w:val="0"/>
            <w:vAlign w:val="center"/>
          </w:tcPr>
          <w:p w14:paraId="13D8367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5E9D298">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89AC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28D28A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70</w:t>
            </w:r>
          </w:p>
        </w:tc>
        <w:tc>
          <w:tcPr>
            <w:tcW w:w="978" w:type="dxa"/>
            <w:noWrap w:val="0"/>
            <w:vAlign w:val="center"/>
          </w:tcPr>
          <w:p w14:paraId="5735343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大报告厅：室内P2</w:t>
            </w:r>
          </w:p>
        </w:tc>
        <w:tc>
          <w:tcPr>
            <w:tcW w:w="706" w:type="dxa"/>
            <w:noWrap w:val="0"/>
            <w:vAlign w:val="center"/>
          </w:tcPr>
          <w:p w14:paraId="5A41DEC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室内P2</w:t>
            </w:r>
          </w:p>
        </w:tc>
        <w:tc>
          <w:tcPr>
            <w:tcW w:w="6279" w:type="dxa"/>
            <w:noWrap w:val="0"/>
            <w:vAlign w:val="top"/>
          </w:tcPr>
          <w:p w14:paraId="46D1D8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尺寸：8320×4480mm   点间距：2.0mm</w:t>
            </w:r>
          </w:p>
          <w:p w14:paraId="7175E64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密度：250000点/m2</w:t>
            </w:r>
          </w:p>
          <w:p w14:paraId="21DDD57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模组尺寸：320mm*160mm</w:t>
            </w:r>
          </w:p>
          <w:p w14:paraId="207ECBF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模组拼接平整度：≤0.1mm</w:t>
            </w:r>
          </w:p>
          <w:p w14:paraId="457F57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白平衡亮度:≥800 cd/㎡（色温1800K-10000K），</w:t>
            </w:r>
          </w:p>
          <w:p w14:paraId="5EAFA90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刷新率:≥3840Hz</w:t>
            </w:r>
          </w:p>
          <w:p w14:paraId="6F3586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水平视角：水平≥160°、垂直≥160°</w:t>
            </w:r>
          </w:p>
          <w:p w14:paraId="0395AC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色度均匀性:±0.002Cx,Cy之内</w:t>
            </w:r>
          </w:p>
          <w:p w14:paraId="35E578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对比度:≥8000:1</w:t>
            </w:r>
          </w:p>
          <w:p w14:paraId="269522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峰值功耗:≤500w/㎡</w:t>
            </w:r>
          </w:p>
          <w:p w14:paraId="5750D4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平均功耗:≤200w/㎡</w:t>
            </w:r>
          </w:p>
          <w:p w14:paraId="559014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供电要求:AC100V~240V（50-60Hz）</w:t>
            </w:r>
          </w:p>
          <w:p w14:paraId="1D8B03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换帧频率:60Hz-120 Hz        </w:t>
            </w:r>
          </w:p>
        </w:tc>
        <w:tc>
          <w:tcPr>
            <w:tcW w:w="785" w:type="dxa"/>
            <w:noWrap w:val="0"/>
            <w:vAlign w:val="center"/>
          </w:tcPr>
          <w:p w14:paraId="6A57C86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37.27</w:t>
            </w:r>
          </w:p>
        </w:tc>
        <w:tc>
          <w:tcPr>
            <w:tcW w:w="988" w:type="dxa"/>
            <w:noWrap w:val="0"/>
            <w:vAlign w:val="center"/>
          </w:tcPr>
          <w:p w14:paraId="5FA5ADB2">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075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C2CFD9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71</w:t>
            </w:r>
          </w:p>
        </w:tc>
        <w:tc>
          <w:tcPr>
            <w:tcW w:w="978" w:type="dxa"/>
            <w:noWrap w:val="0"/>
            <w:vAlign w:val="center"/>
          </w:tcPr>
          <w:p w14:paraId="7357CA8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大报告厅：开关电源</w:t>
            </w:r>
          </w:p>
        </w:tc>
        <w:tc>
          <w:tcPr>
            <w:tcW w:w="706" w:type="dxa"/>
            <w:noWrap w:val="0"/>
            <w:vAlign w:val="center"/>
          </w:tcPr>
          <w:p w14:paraId="5CE79D8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开关电源</w:t>
            </w:r>
          </w:p>
        </w:tc>
        <w:tc>
          <w:tcPr>
            <w:tcW w:w="6279" w:type="dxa"/>
            <w:noWrap w:val="0"/>
            <w:vAlign w:val="top"/>
          </w:tcPr>
          <w:p w14:paraId="51FFBE6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5V40A</w:t>
            </w:r>
          </w:p>
        </w:tc>
        <w:tc>
          <w:tcPr>
            <w:tcW w:w="785" w:type="dxa"/>
            <w:noWrap w:val="0"/>
            <w:vAlign w:val="center"/>
          </w:tcPr>
          <w:p w14:paraId="674741C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125</w:t>
            </w:r>
          </w:p>
        </w:tc>
        <w:tc>
          <w:tcPr>
            <w:tcW w:w="988" w:type="dxa"/>
            <w:noWrap w:val="0"/>
            <w:vAlign w:val="center"/>
          </w:tcPr>
          <w:p w14:paraId="58A79F9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39A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129537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72</w:t>
            </w:r>
          </w:p>
        </w:tc>
        <w:tc>
          <w:tcPr>
            <w:tcW w:w="978" w:type="dxa"/>
            <w:noWrap w:val="0"/>
            <w:vAlign w:val="center"/>
          </w:tcPr>
          <w:p w14:paraId="358BE40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大报告厅：接收卡</w:t>
            </w:r>
          </w:p>
        </w:tc>
        <w:tc>
          <w:tcPr>
            <w:tcW w:w="706" w:type="dxa"/>
            <w:noWrap w:val="0"/>
            <w:vAlign w:val="center"/>
          </w:tcPr>
          <w:p w14:paraId="3922B31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2B3030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自带16个HUB75接口，数据组数：32组，最大带载：长度256点，高度1024点，支持亮度/色度校正</w:t>
            </w:r>
          </w:p>
        </w:tc>
        <w:tc>
          <w:tcPr>
            <w:tcW w:w="785" w:type="dxa"/>
            <w:noWrap w:val="0"/>
            <w:vAlign w:val="center"/>
          </w:tcPr>
          <w:p w14:paraId="0192F5E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54</w:t>
            </w:r>
          </w:p>
        </w:tc>
        <w:tc>
          <w:tcPr>
            <w:tcW w:w="988" w:type="dxa"/>
            <w:noWrap w:val="0"/>
            <w:vAlign w:val="center"/>
          </w:tcPr>
          <w:p w14:paraId="7F52368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F62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422505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73</w:t>
            </w:r>
          </w:p>
        </w:tc>
        <w:tc>
          <w:tcPr>
            <w:tcW w:w="978" w:type="dxa"/>
            <w:noWrap w:val="0"/>
            <w:vAlign w:val="center"/>
          </w:tcPr>
          <w:p w14:paraId="7192123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大报告厅：视频处理器</w:t>
            </w:r>
          </w:p>
        </w:tc>
        <w:tc>
          <w:tcPr>
            <w:tcW w:w="706" w:type="dxa"/>
            <w:noWrap w:val="0"/>
            <w:vAlign w:val="center"/>
          </w:tcPr>
          <w:p w14:paraId="0B16427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737C09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带载1300像素，最宽16384像素最高8192像素，最大输入分辨率4096×2160@60Hz（支持自定义分辨率设置）输入接口：1路DP 1.4、1路HDMI 2.0、2路HDMI 1.4、2路DVI（支持6画面显示，位置，大小可自由调节）</w:t>
            </w:r>
          </w:p>
          <w:p w14:paraId="367EDC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输出接口：20路千兆网口或者2路万兆光口输出，支持独立音频输入输出（HDMI和DP音频解析）</w:t>
            </w:r>
          </w:p>
          <w:p w14:paraId="14A128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支持LAN口控制及手机端APP控制</w:t>
            </w:r>
          </w:p>
        </w:tc>
        <w:tc>
          <w:tcPr>
            <w:tcW w:w="785" w:type="dxa"/>
            <w:noWrap w:val="0"/>
            <w:vAlign w:val="center"/>
          </w:tcPr>
          <w:p w14:paraId="305F510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5C1316E">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B00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C3047D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74</w:t>
            </w:r>
          </w:p>
        </w:tc>
        <w:tc>
          <w:tcPr>
            <w:tcW w:w="978" w:type="dxa"/>
            <w:noWrap w:val="0"/>
            <w:vAlign w:val="center"/>
          </w:tcPr>
          <w:p w14:paraId="560AABB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大报告厅：长排线数据线</w:t>
            </w:r>
          </w:p>
        </w:tc>
        <w:tc>
          <w:tcPr>
            <w:tcW w:w="706" w:type="dxa"/>
            <w:noWrap w:val="0"/>
            <w:vAlign w:val="center"/>
          </w:tcPr>
          <w:p w14:paraId="2A18386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长排线数据线</w:t>
            </w:r>
          </w:p>
        </w:tc>
        <w:tc>
          <w:tcPr>
            <w:tcW w:w="6279" w:type="dxa"/>
            <w:noWrap w:val="0"/>
            <w:vAlign w:val="top"/>
          </w:tcPr>
          <w:p w14:paraId="3981852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导体材质：镀锌无氧铜 绝缘材质：环保硅胶； 额定温度：≥105度，额定电压：≥300V </w:t>
            </w:r>
          </w:p>
        </w:tc>
        <w:tc>
          <w:tcPr>
            <w:tcW w:w="785" w:type="dxa"/>
            <w:noWrap w:val="0"/>
            <w:vAlign w:val="center"/>
          </w:tcPr>
          <w:p w14:paraId="7B18E20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728</w:t>
            </w:r>
          </w:p>
        </w:tc>
        <w:tc>
          <w:tcPr>
            <w:tcW w:w="988" w:type="dxa"/>
            <w:noWrap w:val="0"/>
            <w:vAlign w:val="center"/>
          </w:tcPr>
          <w:p w14:paraId="335BBF00">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C736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EB57E3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75</w:t>
            </w:r>
          </w:p>
        </w:tc>
        <w:tc>
          <w:tcPr>
            <w:tcW w:w="978" w:type="dxa"/>
            <w:noWrap w:val="0"/>
            <w:vAlign w:val="center"/>
          </w:tcPr>
          <w:p w14:paraId="2307254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大报告厅：屏体成品网线</w:t>
            </w:r>
          </w:p>
        </w:tc>
        <w:tc>
          <w:tcPr>
            <w:tcW w:w="706" w:type="dxa"/>
            <w:noWrap w:val="0"/>
            <w:vAlign w:val="center"/>
          </w:tcPr>
          <w:p w14:paraId="53899E1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网线</w:t>
            </w:r>
          </w:p>
        </w:tc>
        <w:tc>
          <w:tcPr>
            <w:tcW w:w="6279" w:type="dxa"/>
            <w:noWrap w:val="0"/>
            <w:vAlign w:val="center"/>
          </w:tcPr>
          <w:p w14:paraId="6C94DAF0">
            <w:pPr>
              <w:spacing w:line="240" w:lineRule="auto"/>
              <w:jc w:val="left"/>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rPr>
              <w:t>CAT6</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305M/</w:t>
            </w:r>
            <w:r>
              <w:rPr>
                <w:rFonts w:hint="eastAsia" w:ascii="宋体" w:hAnsi="宋体" w:eastAsia="宋体" w:cs="宋体"/>
                <w:sz w:val="20"/>
                <w:szCs w:val="20"/>
                <w:vertAlign w:val="baseline"/>
                <w:lang w:val="en-US" w:eastAsia="zh-CN"/>
              </w:rPr>
              <w:t>箱</w:t>
            </w:r>
          </w:p>
          <w:p w14:paraId="0011BF57">
            <w:pPr>
              <w:spacing w:line="240" w:lineRule="auto"/>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材质：无氧铜芯。</w:t>
            </w:r>
          </w:p>
          <w:p w14:paraId="1CD21DB9">
            <w:pPr>
              <w:spacing w:line="240" w:lineRule="auto"/>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绝缘层为聚乙烯材料；</w:t>
            </w:r>
          </w:p>
          <w:p w14:paraId="5C696D52">
            <w:pPr>
              <w:spacing w:line="240" w:lineRule="auto"/>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频率范围：1MHz-250MHz</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 xml:space="preserve">                                                                                        支持速率：常规1Gbps，短距离可达10Gbps</w:t>
            </w:r>
          </w:p>
          <w:p w14:paraId="70A4C40F">
            <w:pPr>
              <w:spacing w:line="240" w:lineRule="auto"/>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兼容10GBASE-T网络</w:t>
            </w:r>
          </w:p>
        </w:tc>
        <w:tc>
          <w:tcPr>
            <w:tcW w:w="785" w:type="dxa"/>
            <w:noWrap w:val="0"/>
            <w:vAlign w:val="center"/>
          </w:tcPr>
          <w:p w14:paraId="3DBB811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w:t>
            </w:r>
          </w:p>
        </w:tc>
        <w:tc>
          <w:tcPr>
            <w:tcW w:w="988" w:type="dxa"/>
            <w:noWrap w:val="0"/>
            <w:vAlign w:val="center"/>
          </w:tcPr>
          <w:p w14:paraId="3DC46F1C">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55C1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A8876C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76</w:t>
            </w:r>
          </w:p>
        </w:tc>
        <w:tc>
          <w:tcPr>
            <w:tcW w:w="978" w:type="dxa"/>
            <w:noWrap w:val="0"/>
            <w:vAlign w:val="center"/>
          </w:tcPr>
          <w:p w14:paraId="7F9D1F4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大报告厅：三芯220v电源线</w:t>
            </w:r>
          </w:p>
        </w:tc>
        <w:tc>
          <w:tcPr>
            <w:tcW w:w="706" w:type="dxa"/>
            <w:noWrap w:val="0"/>
            <w:vAlign w:val="center"/>
          </w:tcPr>
          <w:p w14:paraId="4BEE61D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三芯220v电源线</w:t>
            </w:r>
          </w:p>
        </w:tc>
        <w:tc>
          <w:tcPr>
            <w:tcW w:w="6279" w:type="dxa"/>
            <w:noWrap w:val="0"/>
            <w:vAlign w:val="top"/>
          </w:tcPr>
          <w:p w14:paraId="093C87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规格：RVV3×2.5mm²  导体材质：无氧铜  绝缘材质：聚乙烯绝缘</w:t>
            </w:r>
          </w:p>
        </w:tc>
        <w:tc>
          <w:tcPr>
            <w:tcW w:w="785" w:type="dxa"/>
            <w:noWrap w:val="0"/>
            <w:vAlign w:val="center"/>
          </w:tcPr>
          <w:p w14:paraId="2289D70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125</w:t>
            </w:r>
          </w:p>
        </w:tc>
        <w:tc>
          <w:tcPr>
            <w:tcW w:w="988" w:type="dxa"/>
            <w:noWrap w:val="0"/>
            <w:vAlign w:val="center"/>
          </w:tcPr>
          <w:p w14:paraId="187BB557">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B12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A925F6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77</w:t>
            </w:r>
          </w:p>
        </w:tc>
        <w:tc>
          <w:tcPr>
            <w:tcW w:w="978" w:type="dxa"/>
            <w:noWrap w:val="0"/>
            <w:vAlign w:val="center"/>
          </w:tcPr>
          <w:p w14:paraId="38DEA05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大报告厅：安装调试费</w:t>
            </w:r>
          </w:p>
        </w:tc>
        <w:tc>
          <w:tcPr>
            <w:tcW w:w="706" w:type="dxa"/>
            <w:noWrap w:val="0"/>
            <w:vAlign w:val="center"/>
          </w:tcPr>
          <w:p w14:paraId="4240C2D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安装调试费</w:t>
            </w:r>
          </w:p>
        </w:tc>
        <w:tc>
          <w:tcPr>
            <w:tcW w:w="6279" w:type="dxa"/>
            <w:noWrap w:val="0"/>
            <w:vAlign w:val="top"/>
          </w:tcPr>
          <w:p w14:paraId="11F429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设备安装、系统调试、技术培训费用</w:t>
            </w:r>
          </w:p>
        </w:tc>
        <w:tc>
          <w:tcPr>
            <w:tcW w:w="785" w:type="dxa"/>
            <w:noWrap w:val="0"/>
            <w:vAlign w:val="center"/>
          </w:tcPr>
          <w:p w14:paraId="5E565B4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37.27</w:t>
            </w:r>
          </w:p>
        </w:tc>
        <w:tc>
          <w:tcPr>
            <w:tcW w:w="988" w:type="dxa"/>
            <w:noWrap w:val="0"/>
            <w:vAlign w:val="center"/>
          </w:tcPr>
          <w:p w14:paraId="69FB999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621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A9C9E3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78</w:t>
            </w:r>
          </w:p>
        </w:tc>
        <w:tc>
          <w:tcPr>
            <w:tcW w:w="978" w:type="dxa"/>
            <w:noWrap w:val="0"/>
            <w:vAlign w:val="center"/>
          </w:tcPr>
          <w:p w14:paraId="7A0D1BF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大报告厅：大屏结构包边</w:t>
            </w:r>
          </w:p>
        </w:tc>
        <w:tc>
          <w:tcPr>
            <w:tcW w:w="706" w:type="dxa"/>
            <w:noWrap w:val="0"/>
            <w:vAlign w:val="center"/>
          </w:tcPr>
          <w:p w14:paraId="3FCACF9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大屏结构包边</w:t>
            </w:r>
          </w:p>
        </w:tc>
        <w:tc>
          <w:tcPr>
            <w:tcW w:w="6279" w:type="dxa"/>
            <w:noWrap w:val="0"/>
            <w:vAlign w:val="top"/>
          </w:tcPr>
          <w:p w14:paraId="209066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材质：不锈钢    宽度：100mm</w:t>
            </w:r>
          </w:p>
        </w:tc>
        <w:tc>
          <w:tcPr>
            <w:tcW w:w="785" w:type="dxa"/>
            <w:noWrap w:val="0"/>
            <w:vAlign w:val="center"/>
          </w:tcPr>
          <w:p w14:paraId="5B3F13E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37.27</w:t>
            </w:r>
          </w:p>
        </w:tc>
        <w:tc>
          <w:tcPr>
            <w:tcW w:w="988" w:type="dxa"/>
            <w:noWrap w:val="0"/>
            <w:vAlign w:val="center"/>
          </w:tcPr>
          <w:p w14:paraId="187521CE">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50F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0AC7D8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79</w:t>
            </w:r>
          </w:p>
        </w:tc>
        <w:tc>
          <w:tcPr>
            <w:tcW w:w="978" w:type="dxa"/>
            <w:noWrap w:val="0"/>
            <w:vAlign w:val="center"/>
          </w:tcPr>
          <w:p w14:paraId="14306E6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大报告厅：智能配电箱</w:t>
            </w:r>
          </w:p>
        </w:tc>
        <w:tc>
          <w:tcPr>
            <w:tcW w:w="706" w:type="dxa"/>
            <w:noWrap w:val="0"/>
            <w:vAlign w:val="center"/>
          </w:tcPr>
          <w:p w14:paraId="608F67F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智能配电箱</w:t>
            </w:r>
          </w:p>
        </w:tc>
        <w:tc>
          <w:tcPr>
            <w:tcW w:w="6279" w:type="dxa"/>
            <w:noWrap w:val="0"/>
            <w:vAlign w:val="top"/>
          </w:tcPr>
          <w:p w14:paraId="055EC7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1、额定功率：≥40KW</w:t>
            </w:r>
          </w:p>
          <w:p w14:paraId="2C3916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2、防护功能：具有防静电、抗震动、防电磁干扰；  </w:t>
            </w:r>
          </w:p>
          <w:p w14:paraId="57ADA5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3、具有电源过压、过流、断电保护、分布上电措施；</w:t>
            </w:r>
          </w:p>
          <w:p w14:paraId="294532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4、主线4平方，4+1纯铜线缆</w:t>
            </w:r>
          </w:p>
        </w:tc>
        <w:tc>
          <w:tcPr>
            <w:tcW w:w="785" w:type="dxa"/>
            <w:noWrap w:val="0"/>
            <w:vAlign w:val="center"/>
          </w:tcPr>
          <w:p w14:paraId="414FDBF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FE2E35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E471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6F445D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80</w:t>
            </w:r>
          </w:p>
        </w:tc>
        <w:tc>
          <w:tcPr>
            <w:tcW w:w="978" w:type="dxa"/>
            <w:noWrap w:val="0"/>
            <w:vAlign w:val="center"/>
          </w:tcPr>
          <w:p w14:paraId="3432CE8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大报告厅：295W电脑摇头灯</w:t>
            </w:r>
          </w:p>
        </w:tc>
        <w:tc>
          <w:tcPr>
            <w:tcW w:w="706" w:type="dxa"/>
            <w:noWrap w:val="0"/>
            <w:vAlign w:val="center"/>
          </w:tcPr>
          <w:p w14:paraId="0C79EA2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295W电脑摇头灯</w:t>
            </w:r>
          </w:p>
        </w:tc>
        <w:tc>
          <w:tcPr>
            <w:tcW w:w="6279" w:type="dxa"/>
            <w:noWrap w:val="0"/>
            <w:vAlign w:val="top"/>
          </w:tcPr>
          <w:p w14:paraId="0F6AFC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输入电压:AC110V-240V 50/60Hz ，380W镇流器:电子镇流器</w:t>
            </w:r>
          </w:p>
          <w:p w14:paraId="1E82FA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光源:295灯泡，25m可达150000lux，</w:t>
            </w:r>
          </w:p>
          <w:p w14:paraId="6BA3B1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平均寿命:≥2000H，色温:8000K，光束角度:2.5°</w:t>
            </w:r>
          </w:p>
          <w:p w14:paraId="1C1EF0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光学：高精度玻璃光学透镜（6面7层镀膜），二组透镜。</w:t>
            </w:r>
          </w:p>
          <w:p w14:paraId="53A76A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色盘：14个颜色片+1个白光，双向彩虹效果，速度可调，任意定位功能。</w:t>
            </w:r>
          </w:p>
          <w:p w14:paraId="33063C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固定图案盘：14个固定图案片+4个玻璃图案片,,单向流水，速度可调，任意定位功能。</w:t>
            </w:r>
          </w:p>
          <w:p w14:paraId="35A36A4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棱镜：一个8棱镜 + 一个3层棱镜8/16/24正反向旋转，两个棱镜盘可叠加，速度可调。</w:t>
            </w:r>
          </w:p>
          <w:p w14:paraId="27F7188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频闪：双片式频闪0.5-13次/S，具有同步、异步、随机频闪方式，速度可调。</w:t>
            </w:r>
          </w:p>
          <w:p w14:paraId="6C4794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雾化： 1个独立的雾化效果，七彩效果、光斑柔和自然。</w:t>
            </w:r>
          </w:p>
          <w:p w14:paraId="49B59F8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扫描范围：X轴540°，Y轴270°，精确扫描定位。</w:t>
            </w:r>
          </w:p>
          <w:p w14:paraId="584F8C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控制方式:DMX512协议，支持RDM协议及程序在线更新功能；支持Art-net以太网数据接口 </w:t>
            </w:r>
          </w:p>
          <w:p w14:paraId="4C178D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智能散热：采用风向引流与温度智能监控技术，根据灯具不同位置的温度高低，自动驱动灯具里面不同部位的冷却风扇，对灯具部件进行有效的冷却。</w:t>
            </w:r>
          </w:p>
          <w:p w14:paraId="6A25BC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陀螺仪：陀螺仪功能打开，Y轴自动定位补偿</w:t>
            </w:r>
          </w:p>
          <w:p w14:paraId="4118FE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自动对焦：3-25.5米自动对焦，根据现场安装高度调焦透镜自动调节清晰状态。</w:t>
            </w:r>
          </w:p>
          <w:p w14:paraId="1019434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信号故障检测：信号故障使用时间检测系统，可以让快速判断灯具使用或通讯故障排查，提醒光源使用寿命。</w:t>
            </w:r>
          </w:p>
          <w:p w14:paraId="7CE1C49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界面：采用宽屏≥2.8英寸LCD液晶中英文显示界面，带可充电式电池，无需上电就可以进入菜单设地址码和进行其他设置；菜单分层结构，友好的图形界面，支持触摸屏的常规操作，包括点击、双击、滑动等操作手势。</w:t>
            </w:r>
          </w:p>
          <w:p w14:paraId="72BA7A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通道:≥18通道</w:t>
            </w:r>
          </w:p>
          <w:p w14:paraId="5E8501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灯具材料:耐高温塑料+模压合金材料</w:t>
            </w:r>
          </w:p>
          <w:p w14:paraId="4929E61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防护等级:≥IP20</w:t>
            </w:r>
          </w:p>
        </w:tc>
        <w:tc>
          <w:tcPr>
            <w:tcW w:w="785" w:type="dxa"/>
            <w:noWrap w:val="0"/>
            <w:vAlign w:val="center"/>
          </w:tcPr>
          <w:p w14:paraId="1C1E33C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20</w:t>
            </w:r>
          </w:p>
        </w:tc>
        <w:tc>
          <w:tcPr>
            <w:tcW w:w="988" w:type="dxa"/>
            <w:noWrap w:val="0"/>
            <w:vAlign w:val="center"/>
          </w:tcPr>
          <w:p w14:paraId="38E7F533">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0A4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2656DA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81</w:t>
            </w:r>
          </w:p>
        </w:tc>
        <w:tc>
          <w:tcPr>
            <w:tcW w:w="978" w:type="dxa"/>
            <w:noWrap w:val="0"/>
            <w:vAlign w:val="center"/>
          </w:tcPr>
          <w:p w14:paraId="75F7CF4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大报告厅：四眼面光灯</w:t>
            </w:r>
          </w:p>
        </w:tc>
        <w:tc>
          <w:tcPr>
            <w:tcW w:w="706" w:type="dxa"/>
            <w:noWrap w:val="0"/>
            <w:vAlign w:val="center"/>
          </w:tcPr>
          <w:p w14:paraId="52A2F33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四眼面光灯</w:t>
            </w:r>
          </w:p>
        </w:tc>
        <w:tc>
          <w:tcPr>
            <w:tcW w:w="6279" w:type="dxa"/>
            <w:noWrap w:val="0"/>
            <w:vAlign w:val="top"/>
          </w:tcPr>
          <w:p w14:paraId="50234F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  四眼面光灯</w:t>
            </w:r>
          </w:p>
          <w:p w14:paraId="719423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电压:AC90-240V 50-60Hz   功率:≥250W</w:t>
            </w:r>
          </w:p>
          <w:p w14:paraId="71CC6B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光源:≥4颗50W  LED集成灯珠</w:t>
            </w:r>
          </w:p>
          <w:p w14:paraId="739671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颜色：暖白加正白，正白，暖白</w:t>
            </w:r>
          </w:p>
          <w:p w14:paraId="21B77F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色温:3000K-7000K可调</w:t>
            </w:r>
          </w:p>
          <w:p w14:paraId="212486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光源寿命:6-10万小时</w:t>
            </w:r>
          </w:p>
          <w:p w14:paraId="1A7BA7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模式：DMX512,主从,自走   通道:2/4/7通道</w:t>
            </w:r>
          </w:p>
          <w:p w14:paraId="41D7B11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风机自然散热</w:t>
            </w:r>
          </w:p>
        </w:tc>
        <w:tc>
          <w:tcPr>
            <w:tcW w:w="785" w:type="dxa"/>
            <w:noWrap w:val="0"/>
            <w:vAlign w:val="center"/>
          </w:tcPr>
          <w:p w14:paraId="3B01C7E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w:t>
            </w:r>
          </w:p>
        </w:tc>
        <w:tc>
          <w:tcPr>
            <w:tcW w:w="988" w:type="dxa"/>
            <w:noWrap w:val="0"/>
            <w:vAlign w:val="center"/>
          </w:tcPr>
          <w:p w14:paraId="7C97CD1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400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42A7EB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82</w:t>
            </w:r>
          </w:p>
        </w:tc>
        <w:tc>
          <w:tcPr>
            <w:tcW w:w="978" w:type="dxa"/>
            <w:noWrap w:val="0"/>
            <w:vAlign w:val="center"/>
          </w:tcPr>
          <w:p w14:paraId="1484463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大报告厅：LED54颗帕灯</w:t>
            </w:r>
          </w:p>
        </w:tc>
        <w:tc>
          <w:tcPr>
            <w:tcW w:w="706" w:type="dxa"/>
            <w:noWrap w:val="0"/>
            <w:vAlign w:val="center"/>
          </w:tcPr>
          <w:p w14:paraId="5A14F72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LED54颗帕灯</w:t>
            </w:r>
          </w:p>
        </w:tc>
        <w:tc>
          <w:tcPr>
            <w:tcW w:w="6279" w:type="dxa"/>
            <w:noWrap w:val="0"/>
            <w:vAlign w:val="top"/>
          </w:tcPr>
          <w:p w14:paraId="515C84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1、≥54颗3W高品质LED光源。</w:t>
            </w:r>
          </w:p>
          <w:p w14:paraId="33D3EF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2、具备8、11两种通道模式；8通道模式需与市场常见LED舞台灯的8通道模式兼容；</w:t>
            </w:r>
          </w:p>
          <w:p w14:paraId="3F090C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3、配置有柔光调光通道，调光过程不能有明显抖动，以适合歌舞剧等需要灯光缓慢变化的场景使用； </w:t>
            </w:r>
          </w:p>
          <w:p w14:paraId="38B254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4、全部光源打开时，起光亮度在0.5m处≤1LUX，要求亮度稳定，不抖动闪烁，以适合需要弱光的场景使用；</w:t>
            </w:r>
          </w:p>
          <w:p w14:paraId="51D259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5、配备3200K和5600K两个色温校正通道；配备黄、紫、青三个混色通道；</w:t>
            </w:r>
          </w:p>
          <w:p w14:paraId="41DBC2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6、配备本灯自控开灯功能，可以自控开出各个颜色或全部颜色；并可自控淡入淡出走灯换色；</w:t>
            </w:r>
          </w:p>
          <w:p w14:paraId="25E250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7、人性化操作界面，所有地址码设置、显示和自检、自控数字显示</w:t>
            </w:r>
          </w:p>
          <w:p w14:paraId="3B4593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8、带DMX-512信号接收状态显示专用指示灯，信号正常时快速闪动，无信号、信号接反或信号不正常时慢闪，方便判断信号状态；</w:t>
            </w:r>
          </w:p>
          <w:p w14:paraId="563B8F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9、控制信号中断后能自动保持最后场景灯光状态；</w:t>
            </w:r>
          </w:p>
          <w:p w14:paraId="0AA141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10、易安装手拉手电源和信号连接配置，每个灯均带输入、输出电源和信号并接线；</w:t>
            </w:r>
          </w:p>
          <w:p w14:paraId="1A7418C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11、驱动方式：恒流驱动； </w:t>
            </w:r>
          </w:p>
          <w:p w14:paraId="6D81B5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12、聚光杯角度15度、25度、45度散光等多种可选；</w:t>
            </w:r>
          </w:p>
          <w:p w14:paraId="72C16C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13、压铸铝结构，低噪散热风扇，1米处噪声，小于30db；</w:t>
            </w:r>
          </w:p>
          <w:p w14:paraId="4FA5580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14、产品通过CCC认证；</w:t>
            </w:r>
          </w:p>
          <w:p w14:paraId="1124F45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15、供电电源：配带PFC开关电源，供电为AC 90-250V，50/60Hz </w:t>
            </w:r>
          </w:p>
          <w:p w14:paraId="0AFDD2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16、控制信号：DMX-512 信号 </w:t>
            </w:r>
          </w:p>
          <w:p w14:paraId="73F9E5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17、寿   命：≥5万小时</w:t>
            </w:r>
          </w:p>
          <w:p w14:paraId="5BB44B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18、调光精度：16bit即64K</w:t>
            </w:r>
          </w:p>
          <w:p w14:paraId="7345A8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19、调光范围：0.01%-100%</w:t>
            </w:r>
          </w:p>
          <w:p w14:paraId="3BB83B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20、发光效率：120lm/W</w:t>
            </w:r>
          </w:p>
          <w:p w14:paraId="221F49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21、防护等级：≥IP20； </w:t>
            </w:r>
          </w:p>
          <w:p w14:paraId="7B0488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22、电源功率：≥200W    </w:t>
            </w:r>
          </w:p>
        </w:tc>
        <w:tc>
          <w:tcPr>
            <w:tcW w:w="785" w:type="dxa"/>
            <w:noWrap w:val="0"/>
            <w:vAlign w:val="center"/>
          </w:tcPr>
          <w:p w14:paraId="55CE4AF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27</w:t>
            </w:r>
          </w:p>
        </w:tc>
        <w:tc>
          <w:tcPr>
            <w:tcW w:w="988" w:type="dxa"/>
            <w:noWrap w:val="0"/>
            <w:vAlign w:val="center"/>
          </w:tcPr>
          <w:p w14:paraId="3CA4E9B8">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41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1A037A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83</w:t>
            </w:r>
          </w:p>
        </w:tc>
        <w:tc>
          <w:tcPr>
            <w:tcW w:w="978" w:type="dxa"/>
            <w:noWrap w:val="0"/>
            <w:vAlign w:val="center"/>
          </w:tcPr>
          <w:p w14:paraId="4008619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大报告厅：LED三基色</w:t>
            </w:r>
          </w:p>
        </w:tc>
        <w:tc>
          <w:tcPr>
            <w:tcW w:w="706" w:type="dxa"/>
            <w:noWrap w:val="0"/>
            <w:vAlign w:val="center"/>
          </w:tcPr>
          <w:p w14:paraId="23E286C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LED三基色</w:t>
            </w:r>
          </w:p>
        </w:tc>
        <w:tc>
          <w:tcPr>
            <w:tcW w:w="6279" w:type="dxa"/>
            <w:noWrap w:val="0"/>
            <w:vAlign w:val="top"/>
          </w:tcPr>
          <w:p w14:paraId="65BABBB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电压：AC110-220V，50-60HZ；</w:t>
            </w:r>
          </w:p>
          <w:p w14:paraId="4A36B6B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总功率：≥200W；</w:t>
            </w:r>
          </w:p>
          <w:p w14:paraId="6A03AC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光源：LED5730进口贴片灯珠；</w:t>
            </w:r>
          </w:p>
          <w:p w14:paraId="7F24C1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色温：暖白正白可选(双色温）；</w:t>
            </w:r>
          </w:p>
          <w:p w14:paraId="6FF6E4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数量：≥432颗；</w:t>
            </w:r>
          </w:p>
          <w:p w14:paraId="744596E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外壳：压铸铝，黑色，铝材静音散热</w:t>
            </w:r>
          </w:p>
          <w:p w14:paraId="1C7FA6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控制模式：自亮（DMX512）可调光；</w:t>
            </w:r>
          </w:p>
          <w:p w14:paraId="4672197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单颗灯珠流明值：60-65LM；</w:t>
            </w:r>
          </w:p>
          <w:p w14:paraId="60F245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显色值：90-95</w:t>
            </w:r>
          </w:p>
          <w:p w14:paraId="7B4B2D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光束角度：120°；</w:t>
            </w:r>
          </w:p>
          <w:p w14:paraId="53E314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通道：3通道；</w:t>
            </w:r>
          </w:p>
          <w:p w14:paraId="1C30E4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灯尺寸：≥50*30.5*10cm </w:t>
            </w:r>
          </w:p>
        </w:tc>
        <w:tc>
          <w:tcPr>
            <w:tcW w:w="785" w:type="dxa"/>
            <w:noWrap w:val="0"/>
            <w:vAlign w:val="center"/>
          </w:tcPr>
          <w:p w14:paraId="7F77127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w:t>
            </w:r>
          </w:p>
        </w:tc>
        <w:tc>
          <w:tcPr>
            <w:tcW w:w="988" w:type="dxa"/>
            <w:noWrap w:val="0"/>
            <w:vAlign w:val="center"/>
          </w:tcPr>
          <w:p w14:paraId="0EA16CC6">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5CF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E18FB5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84</w:t>
            </w:r>
          </w:p>
        </w:tc>
        <w:tc>
          <w:tcPr>
            <w:tcW w:w="978" w:type="dxa"/>
            <w:noWrap w:val="0"/>
            <w:vAlign w:val="center"/>
          </w:tcPr>
          <w:p w14:paraId="778DDD7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大报告厅：直通箱</w:t>
            </w:r>
          </w:p>
        </w:tc>
        <w:tc>
          <w:tcPr>
            <w:tcW w:w="706" w:type="dxa"/>
            <w:noWrap w:val="0"/>
            <w:vAlign w:val="center"/>
          </w:tcPr>
          <w:p w14:paraId="5F23327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直通箱</w:t>
            </w:r>
          </w:p>
        </w:tc>
        <w:tc>
          <w:tcPr>
            <w:tcW w:w="6279" w:type="dxa"/>
            <w:noWrap w:val="0"/>
            <w:vAlign w:val="top"/>
          </w:tcPr>
          <w:p w14:paraId="5EF7B5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供电：三相五线制AC380V±10％，频率50Hz±5％.</w:t>
            </w:r>
          </w:p>
          <w:p w14:paraId="1F0EFBE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额定功率：12路×4KW; 可适用于任何负载.</w:t>
            </w:r>
          </w:p>
          <w:p w14:paraId="3FE117F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过载与短路双重保护高分断空气开关.</w:t>
            </w:r>
          </w:p>
          <w:p w14:paraId="71705F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A.B.C三相工作指示灯. 设两脚和三脚万能用插座方便使用，进口接线端输入，单40A胶木插输出</w:t>
            </w:r>
          </w:p>
          <w:p w14:paraId="155884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外形尺寸(mm):≥L515×W485×H133  </w:t>
            </w:r>
          </w:p>
        </w:tc>
        <w:tc>
          <w:tcPr>
            <w:tcW w:w="785" w:type="dxa"/>
            <w:noWrap w:val="0"/>
            <w:vAlign w:val="center"/>
          </w:tcPr>
          <w:p w14:paraId="15E81EE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03241FE">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68C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944DA7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85</w:t>
            </w:r>
          </w:p>
        </w:tc>
        <w:tc>
          <w:tcPr>
            <w:tcW w:w="978" w:type="dxa"/>
            <w:noWrap w:val="0"/>
            <w:vAlign w:val="center"/>
          </w:tcPr>
          <w:p w14:paraId="7377895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大报告厅：8路信号放大器</w:t>
            </w:r>
          </w:p>
        </w:tc>
        <w:tc>
          <w:tcPr>
            <w:tcW w:w="706" w:type="dxa"/>
            <w:noWrap w:val="0"/>
            <w:vAlign w:val="center"/>
          </w:tcPr>
          <w:p w14:paraId="4A960B7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8路信号放大器</w:t>
            </w:r>
          </w:p>
        </w:tc>
        <w:tc>
          <w:tcPr>
            <w:tcW w:w="6279" w:type="dxa"/>
            <w:noWrap w:val="0"/>
            <w:vAlign w:val="top"/>
          </w:tcPr>
          <w:p w14:paraId="1A5F69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1.本多功能DMX处理放大器共8路输出与二路输入 每路输入有三芯卡侬座与五芯卡侬座。</w:t>
            </w:r>
          </w:p>
          <w:p w14:paraId="2D9F86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2.DMX处理放大器有四个工作模式 由三个LED指示状态工作。</w:t>
            </w:r>
          </w:p>
          <w:p w14:paraId="212057E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3.放大器的信号模式通过输出按键选择打开与关闭。</w:t>
            </w:r>
          </w:p>
          <w:p w14:paraId="70338A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4.背后输出8个位对应的LED亮或者闪表示该路有信号输出。灭表示该路无信号输出。</w:t>
            </w:r>
          </w:p>
          <w:p w14:paraId="310556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5.放大器共有二个按键，每按一下改变相应的功能，在没有操作按键30秒后记录当前工作状态。</w:t>
            </w:r>
          </w:p>
        </w:tc>
        <w:tc>
          <w:tcPr>
            <w:tcW w:w="785" w:type="dxa"/>
            <w:noWrap w:val="0"/>
            <w:vAlign w:val="center"/>
          </w:tcPr>
          <w:p w14:paraId="03C35E5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28B8B67">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B1E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E13B54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86</w:t>
            </w:r>
          </w:p>
        </w:tc>
        <w:tc>
          <w:tcPr>
            <w:tcW w:w="978" w:type="dxa"/>
            <w:noWrap w:val="0"/>
            <w:vAlign w:val="center"/>
          </w:tcPr>
          <w:p w14:paraId="31167F6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大报告厅：1024控台</w:t>
            </w:r>
          </w:p>
        </w:tc>
        <w:tc>
          <w:tcPr>
            <w:tcW w:w="706" w:type="dxa"/>
            <w:noWrap w:val="0"/>
            <w:vAlign w:val="center"/>
          </w:tcPr>
          <w:p w14:paraId="6BBCC75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1024控台</w:t>
            </w:r>
          </w:p>
        </w:tc>
        <w:tc>
          <w:tcPr>
            <w:tcW w:w="6279" w:type="dxa"/>
            <w:noWrap w:val="0"/>
            <w:vAlign w:val="top"/>
          </w:tcPr>
          <w:p w14:paraId="4F5C05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1.DMX512/1990标准，最大1024个DMX控制通道，两路光电隔离信号输出。</w:t>
            </w:r>
          </w:p>
          <w:p w14:paraId="115941F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 最大控制≥96台电脑灯或≥96路调光。</w:t>
            </w:r>
          </w:p>
          <w:p w14:paraId="4872F0B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 增加网络协议，远程控制控台场景输出.</w:t>
            </w:r>
          </w:p>
          <w:p w14:paraId="5195E1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 使用珍珠灯库（R20格式灯库），且控台上可自行编写灯库。</w:t>
            </w:r>
          </w:p>
          <w:p w14:paraId="725903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 支持通道数为40主通道+40微调通道的灯库</w:t>
            </w:r>
          </w:p>
          <w:p w14:paraId="45DF9F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 带背光的LCD显示屏</w:t>
            </w:r>
          </w:p>
          <w:p w14:paraId="5E11D5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 内置图形效果器，有135个内置图形，方便用户对电脑灯进行图形轨迹控制，如画圆、螺旋、彩虹、追逐等多种效果。</w:t>
            </w:r>
          </w:p>
          <w:p w14:paraId="3B7E19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 图形参数（如：振幅、速度、间隔、波浪、方向）均可独立设置，</w:t>
            </w:r>
          </w:p>
          <w:p w14:paraId="07E192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 每个场景可保存图形数量5个；同时可运行图形数量10个。</w:t>
            </w:r>
          </w:p>
          <w:p w14:paraId="0A4AD1E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 可储存≥60个素材（如颜色，位置，棱镜，图案）</w:t>
            </w:r>
          </w:p>
          <w:p w14:paraId="76F6F0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 支独享素材</w:t>
            </w:r>
          </w:p>
          <w:p w14:paraId="18002F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 可储存60个重演场景，用于储存多步场景和单步场景。每个多步场景最多可储存600个单步。</w:t>
            </w:r>
          </w:p>
          <w:p w14:paraId="1C5FF7C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 可同时输出和运行10个重演场景。</w:t>
            </w:r>
          </w:p>
          <w:p w14:paraId="207ECD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 场景的时间控制支持淡入、淡出、LTP滑步</w:t>
            </w:r>
          </w:p>
          <w:p w14:paraId="78AD4E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 支持展开修改多步场景中某一步的时间或者增加减少步数</w:t>
            </w:r>
          </w:p>
          <w:p w14:paraId="2F2D4B3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 带10根集控推杆。按键点控和推杆集控兼容。</w:t>
            </w:r>
          </w:p>
          <w:p w14:paraId="10A82E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 支持重新配接地址码、垂直水平交换、通道输出反向等功能。</w:t>
            </w:r>
          </w:p>
          <w:p w14:paraId="1119CD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 支持自动计算灯具地址码进行配接</w:t>
            </w:r>
          </w:p>
          <w:p w14:paraId="61A1B5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19. 关机或者突发断电等情况数据可记忆保持。</w:t>
            </w:r>
          </w:p>
          <w:p w14:paraId="37F95D2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 U盘可备份控台数据，并支持重新导入到控台使用，同型号控台数据可共享。</w:t>
            </w:r>
          </w:p>
          <w:p w14:paraId="44CAFD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21. 支持远程软件升级，随时随地增加新的功能。                                                                                                    </w:t>
            </w:r>
          </w:p>
          <w:p w14:paraId="734282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 预置推杆可控制电脑灯的属性，属性控制更方便快捷。</w:t>
            </w:r>
          </w:p>
          <w:p w14:paraId="40D0F2AD">
            <w:pP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rPr>
              <w:t>23. 支持立即黑场</w:t>
            </w:r>
          </w:p>
          <w:p w14:paraId="50115A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24. 鹅颈工作灯。</w:t>
            </w:r>
          </w:p>
          <w:p w14:paraId="2E7A0F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25. 电源：AC 100 -240V /</w:t>
            </w:r>
          </w:p>
        </w:tc>
        <w:tc>
          <w:tcPr>
            <w:tcW w:w="785" w:type="dxa"/>
            <w:noWrap w:val="0"/>
            <w:vAlign w:val="center"/>
          </w:tcPr>
          <w:p w14:paraId="5CA48C2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7E95382">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410A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524" w:type="dxa"/>
            <w:noWrap w:val="0"/>
            <w:vAlign w:val="top"/>
          </w:tcPr>
          <w:p w14:paraId="7D01707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87</w:t>
            </w:r>
          </w:p>
        </w:tc>
        <w:tc>
          <w:tcPr>
            <w:tcW w:w="978" w:type="dxa"/>
            <w:noWrap w:val="0"/>
            <w:vAlign w:val="center"/>
          </w:tcPr>
          <w:p w14:paraId="72C6029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大报告厅：专业灯钩</w:t>
            </w:r>
          </w:p>
        </w:tc>
        <w:tc>
          <w:tcPr>
            <w:tcW w:w="706" w:type="dxa"/>
            <w:noWrap w:val="0"/>
            <w:vAlign w:val="center"/>
          </w:tcPr>
          <w:p w14:paraId="43745FF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专业灯钩</w:t>
            </w:r>
          </w:p>
        </w:tc>
        <w:tc>
          <w:tcPr>
            <w:tcW w:w="6279" w:type="dxa"/>
            <w:noWrap w:val="0"/>
            <w:vAlign w:val="top"/>
          </w:tcPr>
          <w:p w14:paraId="72A847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舞台专用专业灯钩</w:t>
            </w:r>
          </w:p>
        </w:tc>
        <w:tc>
          <w:tcPr>
            <w:tcW w:w="785" w:type="dxa"/>
            <w:noWrap w:val="0"/>
            <w:vAlign w:val="center"/>
          </w:tcPr>
          <w:p w14:paraId="59478D7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65</w:t>
            </w:r>
          </w:p>
        </w:tc>
        <w:tc>
          <w:tcPr>
            <w:tcW w:w="988" w:type="dxa"/>
            <w:noWrap w:val="0"/>
            <w:vAlign w:val="center"/>
          </w:tcPr>
          <w:p w14:paraId="20A48978">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0D4C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524" w:type="dxa"/>
            <w:noWrap w:val="0"/>
            <w:vAlign w:val="top"/>
          </w:tcPr>
          <w:p w14:paraId="7244FD8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88</w:t>
            </w:r>
          </w:p>
        </w:tc>
        <w:tc>
          <w:tcPr>
            <w:tcW w:w="978" w:type="dxa"/>
            <w:noWrap w:val="0"/>
            <w:vAlign w:val="center"/>
          </w:tcPr>
          <w:p w14:paraId="2A613DB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大报告厅：保险绳</w:t>
            </w:r>
          </w:p>
        </w:tc>
        <w:tc>
          <w:tcPr>
            <w:tcW w:w="706" w:type="dxa"/>
            <w:noWrap w:val="0"/>
            <w:vAlign w:val="center"/>
          </w:tcPr>
          <w:p w14:paraId="077E5FE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保险绳</w:t>
            </w:r>
          </w:p>
        </w:tc>
        <w:tc>
          <w:tcPr>
            <w:tcW w:w="6279" w:type="dxa"/>
            <w:noWrap w:val="0"/>
            <w:vAlign w:val="top"/>
          </w:tcPr>
          <w:p w14:paraId="3027CC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舞台灯光专用保险绳</w:t>
            </w:r>
          </w:p>
        </w:tc>
        <w:tc>
          <w:tcPr>
            <w:tcW w:w="785" w:type="dxa"/>
            <w:noWrap w:val="0"/>
            <w:vAlign w:val="center"/>
          </w:tcPr>
          <w:p w14:paraId="60CB0E7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65</w:t>
            </w:r>
          </w:p>
        </w:tc>
        <w:tc>
          <w:tcPr>
            <w:tcW w:w="988" w:type="dxa"/>
            <w:noWrap w:val="0"/>
            <w:vAlign w:val="center"/>
          </w:tcPr>
          <w:p w14:paraId="29B16357">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11B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978C21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89</w:t>
            </w:r>
          </w:p>
        </w:tc>
        <w:tc>
          <w:tcPr>
            <w:tcW w:w="978" w:type="dxa"/>
            <w:noWrap w:val="0"/>
            <w:vAlign w:val="center"/>
          </w:tcPr>
          <w:p w14:paraId="50EF920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大报告厅：线性阵列音箱</w:t>
            </w:r>
          </w:p>
        </w:tc>
        <w:tc>
          <w:tcPr>
            <w:tcW w:w="706" w:type="dxa"/>
            <w:noWrap w:val="0"/>
            <w:vAlign w:val="center"/>
          </w:tcPr>
          <w:p w14:paraId="322F8C5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线性阵列音箱</w:t>
            </w:r>
          </w:p>
        </w:tc>
        <w:tc>
          <w:tcPr>
            <w:tcW w:w="6279" w:type="dxa"/>
            <w:noWrap w:val="0"/>
            <w:vAlign w:val="top"/>
          </w:tcPr>
          <w:p w14:paraId="723B6D4E">
            <w:pP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rPr>
              <w:t>双10寸线阵音箱高精度线性阵列扬声器系统，组件上相位精准调校以及专业设计的线性号角，搭载两只≥10英寸进口纸盆低音及两只钕磁44芯高音单元</w:t>
            </w:r>
            <w:r>
              <w:rPr>
                <w:rFonts w:hint="eastAsia" w:ascii="宋体" w:hAnsi="宋体" w:eastAsia="宋体" w:cs="宋体"/>
                <w:sz w:val="20"/>
                <w:szCs w:val="20"/>
                <w:vertAlign w:val="baseline"/>
                <w:lang w:eastAsia="zh-CN"/>
              </w:rPr>
              <w:t>。</w:t>
            </w:r>
          </w:p>
          <w:p w14:paraId="1A1BC50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频率响应：65Hz-18KHz</w:t>
            </w:r>
          </w:p>
          <w:p w14:paraId="55DA14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灵敏度：104dB±3dB</w:t>
            </w:r>
          </w:p>
          <w:p w14:paraId="24A6E3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最大声压：126db±3dB</w:t>
            </w:r>
          </w:p>
          <w:p w14:paraId="4D755D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阻抗：16Ω </w:t>
            </w:r>
          </w:p>
          <w:p w14:paraId="7F9E473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额定功率：≥600W</w:t>
            </w:r>
          </w:p>
          <w:p w14:paraId="786881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覆盖角度：70°x50°</w:t>
            </w:r>
          </w:p>
          <w:p w14:paraId="1FF567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低音：2x10"(250mm)</w:t>
            </w:r>
          </w:p>
          <w:p w14:paraId="0738D70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高音：2x 1.35"(钕磁44mm)</w:t>
            </w:r>
          </w:p>
          <w:p w14:paraId="74EC4B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连接器：2 x Speakon NL4</w:t>
            </w:r>
          </w:p>
          <w:p w14:paraId="4660E3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连接方式：±1…LHF </w:t>
            </w:r>
          </w:p>
          <w:p w14:paraId="10D5DA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系统类型 内置分频</w:t>
            </w:r>
          </w:p>
          <w:p w14:paraId="4BB70C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箱体类型 梯形箱体 材质 桦木多层夹板</w:t>
            </w:r>
          </w:p>
          <w:p w14:paraId="7EA5E4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 黑色聚亚胺脂喷涂；</w:t>
            </w:r>
          </w:p>
          <w:p w14:paraId="7300D1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面网: 黑色多孔喷粉钢网和透声的音箱网布</w:t>
            </w:r>
          </w:p>
        </w:tc>
        <w:tc>
          <w:tcPr>
            <w:tcW w:w="785" w:type="dxa"/>
            <w:noWrap w:val="0"/>
            <w:vAlign w:val="center"/>
          </w:tcPr>
          <w:p w14:paraId="1A7E819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w:t>
            </w:r>
          </w:p>
        </w:tc>
        <w:tc>
          <w:tcPr>
            <w:tcW w:w="988" w:type="dxa"/>
            <w:noWrap w:val="0"/>
            <w:vAlign w:val="center"/>
          </w:tcPr>
          <w:p w14:paraId="04FCF02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3A733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EA9FF2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90</w:t>
            </w:r>
          </w:p>
        </w:tc>
        <w:tc>
          <w:tcPr>
            <w:tcW w:w="978" w:type="dxa"/>
            <w:noWrap w:val="0"/>
            <w:vAlign w:val="center"/>
          </w:tcPr>
          <w:p w14:paraId="4C96F0F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大报告厅：两通道数字功放</w:t>
            </w:r>
          </w:p>
        </w:tc>
        <w:tc>
          <w:tcPr>
            <w:tcW w:w="706" w:type="dxa"/>
            <w:noWrap w:val="0"/>
            <w:vAlign w:val="center"/>
          </w:tcPr>
          <w:p w14:paraId="3197CEB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2F13F6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1、4通道专业放大器，高效，发热量低;</w:t>
            </w:r>
          </w:p>
          <w:p w14:paraId="5667D66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2、采用合格变压器供电，</w:t>
            </w:r>
          </w:p>
          <w:p w14:paraId="0D5585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3、高效的散热系统，</w:t>
            </w:r>
          </w:p>
          <w:p w14:paraId="5B87D6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4、性能稳定;</w:t>
            </w:r>
          </w:p>
          <w:p w14:paraId="7C7A68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5、高频保护，过载/过流保护，过温保护，输出短路保护，直流保护，失真限幅保护等;</w:t>
            </w:r>
          </w:p>
          <w:p w14:paraId="2A8EC7F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6、开机音量渐大功能，</w:t>
            </w:r>
          </w:p>
          <w:p w14:paraId="5FA248C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7、专业级发烧电容。                             </w:t>
            </w:r>
          </w:p>
          <w:p w14:paraId="6186E4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395CB3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1、立体声功率：8Ω 1200WX4, 4Ω 2200WX4；</w:t>
            </w:r>
          </w:p>
          <w:p w14:paraId="3C1A02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  20Hz-20KHz(±0.5dB)</w:t>
            </w:r>
          </w:p>
          <w:p w14:paraId="4C8D54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3、总谐波失真： ≤0.08%</w:t>
            </w:r>
          </w:p>
          <w:p w14:paraId="4E9BA5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4、信噪比 ：≥98dB</w:t>
            </w:r>
          </w:p>
          <w:p w14:paraId="77769FC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5、阻尼系数：≥350</w:t>
            </w:r>
          </w:p>
          <w:p w14:paraId="36F2B6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6、输入灵敏度：</w:t>
            </w:r>
          </w:p>
          <w:p w14:paraId="3ADB740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0.77V/1.0V/1.4V</w:t>
            </w:r>
          </w:p>
          <w:p w14:paraId="37B6E8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7、输入阻抗(不平衡/平衡)：   20KΩ/10KΩ</w:t>
            </w:r>
          </w:p>
          <w:p w14:paraId="477BA3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8、风路：从前向后吹风</w:t>
            </w:r>
          </w:p>
          <w:p w14:paraId="36EA06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 软启动、直流、短路、过载、失真限幅、过热、VHF, 音量渐大</w:t>
            </w:r>
          </w:p>
          <w:p w14:paraId="1F5863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10、指示灯：面板指灯：电源、信号UV、削峰、保护</w:t>
            </w:r>
          </w:p>
          <w:p w14:paraId="79E6D3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11、前面板功能：电源启动开关、音量控制旋钮立体声</w:t>
            </w:r>
          </w:p>
          <w:p w14:paraId="097C7D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12、后面板功能：输入灵敏度选择开关,接地开关、并接选择开关</w:t>
            </w:r>
          </w:p>
          <w:p w14:paraId="01CE666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13、电源:AC220-240V/50Hz±10%</w:t>
            </w:r>
          </w:p>
        </w:tc>
        <w:tc>
          <w:tcPr>
            <w:tcW w:w="785" w:type="dxa"/>
            <w:noWrap w:val="0"/>
            <w:vAlign w:val="center"/>
          </w:tcPr>
          <w:p w14:paraId="4E6BC0F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11C56421">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23AD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0EF6B3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91</w:t>
            </w:r>
          </w:p>
        </w:tc>
        <w:tc>
          <w:tcPr>
            <w:tcW w:w="978" w:type="dxa"/>
            <w:noWrap w:val="0"/>
            <w:vAlign w:val="center"/>
          </w:tcPr>
          <w:p w14:paraId="09F1759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大报告厅：300W数字功放</w:t>
            </w:r>
          </w:p>
        </w:tc>
        <w:tc>
          <w:tcPr>
            <w:tcW w:w="706" w:type="dxa"/>
            <w:noWrap w:val="0"/>
            <w:vAlign w:val="center"/>
          </w:tcPr>
          <w:p w14:paraId="3306FDF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300W数字功放</w:t>
            </w:r>
          </w:p>
        </w:tc>
        <w:tc>
          <w:tcPr>
            <w:tcW w:w="6279" w:type="dxa"/>
            <w:noWrap w:val="0"/>
            <w:vAlign w:val="top"/>
          </w:tcPr>
          <w:p w14:paraId="41B066F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1、4通道专业放大器，高效，发热量低;</w:t>
            </w:r>
          </w:p>
          <w:p w14:paraId="2D3F67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2、采用合格变压器供电，</w:t>
            </w:r>
          </w:p>
          <w:p w14:paraId="40E9EA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3、高效的散热系统，</w:t>
            </w:r>
          </w:p>
          <w:p w14:paraId="4CCEA3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4、性能稳定;</w:t>
            </w:r>
          </w:p>
          <w:p w14:paraId="7F703A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5、高频保护，过载/过流保护，过温保护，输出短路保护，直流保护，失真限幅保护等;</w:t>
            </w:r>
          </w:p>
          <w:p w14:paraId="0A0A85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6、开机音量渐大功能，</w:t>
            </w:r>
          </w:p>
          <w:p w14:paraId="7BD6AF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7、专业级发烧电容。                             </w:t>
            </w:r>
          </w:p>
          <w:p w14:paraId="48C0DE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54FB599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1、立体声功率：8Ω1200WX4, 4Ω 2200WX4；</w:t>
            </w:r>
          </w:p>
          <w:p w14:paraId="77545B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20Hz-20KHz(±0.5dB)</w:t>
            </w:r>
          </w:p>
          <w:p w14:paraId="7AC05D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3、总谐波失真： ≤0.08%</w:t>
            </w:r>
          </w:p>
          <w:p w14:paraId="17B108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4、信噪比 ：≥98dB</w:t>
            </w:r>
          </w:p>
          <w:p w14:paraId="340F99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5、阻尼系数： ≥350</w:t>
            </w:r>
          </w:p>
          <w:p w14:paraId="58C280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6、输入灵敏度：</w:t>
            </w:r>
          </w:p>
          <w:p w14:paraId="755DF4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0.77V/1.0V/1.4V</w:t>
            </w:r>
          </w:p>
          <w:p w14:paraId="0CD2DF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7、输入阻抗(不平衡/平衡)：   20KΩ/10KΩ</w:t>
            </w:r>
          </w:p>
          <w:p w14:paraId="09B9FC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8、风路：从前向后吹风</w:t>
            </w:r>
          </w:p>
          <w:p w14:paraId="6E9C87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 软启动、直流、短路、过载、失真限幅、过热、VHF, 音量渐大</w:t>
            </w:r>
          </w:p>
          <w:p w14:paraId="426A18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10、指示灯：面板指灯：电源、信号UV、削峰、保护</w:t>
            </w:r>
          </w:p>
          <w:p w14:paraId="052ADB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11、前面板功能： 电源启动开关、音量控制旋钮立体声</w:t>
            </w:r>
          </w:p>
          <w:p w14:paraId="10526F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12、后面板功能：输入灵敏度选择开关,接地开关、并接选择开关</w:t>
            </w:r>
          </w:p>
          <w:p w14:paraId="26F711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13、电源 :AC220-240V/50Hz±10%</w:t>
            </w:r>
          </w:p>
        </w:tc>
        <w:tc>
          <w:tcPr>
            <w:tcW w:w="785" w:type="dxa"/>
            <w:noWrap w:val="0"/>
            <w:vAlign w:val="center"/>
          </w:tcPr>
          <w:p w14:paraId="1D08CDF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4B3823AD">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6BC2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91D202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92</w:t>
            </w:r>
          </w:p>
        </w:tc>
        <w:tc>
          <w:tcPr>
            <w:tcW w:w="978" w:type="dxa"/>
            <w:noWrap w:val="0"/>
            <w:vAlign w:val="center"/>
          </w:tcPr>
          <w:p w14:paraId="1147FA2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大报告厅：线性阵列音箱</w:t>
            </w:r>
          </w:p>
        </w:tc>
        <w:tc>
          <w:tcPr>
            <w:tcW w:w="706" w:type="dxa"/>
            <w:noWrap w:val="0"/>
            <w:vAlign w:val="center"/>
          </w:tcPr>
          <w:p w14:paraId="4567685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线性阵列音箱</w:t>
            </w:r>
          </w:p>
        </w:tc>
        <w:tc>
          <w:tcPr>
            <w:tcW w:w="6279" w:type="dxa"/>
            <w:noWrap w:val="0"/>
            <w:vAlign w:val="top"/>
          </w:tcPr>
          <w:p w14:paraId="4831C7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18寸线阵低音、高精度线性阵列扬声器系统，</w:t>
            </w:r>
          </w:p>
          <w:p w14:paraId="38F2745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具有极大的动态容量，组件上相位精准调校以及专业设计的线性号角</w:t>
            </w:r>
          </w:p>
          <w:p w14:paraId="49C9E12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搭载纸盆18英寸超低单元</w:t>
            </w:r>
          </w:p>
          <w:p w14:paraId="58578A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吊挂系统</w:t>
            </w:r>
            <w:r>
              <w:rPr>
                <w:rFonts w:hint="eastAsia" w:ascii="宋体" w:hAnsi="宋体" w:eastAsia="宋体" w:cs="宋体"/>
                <w:sz w:val="20"/>
                <w:szCs w:val="20"/>
                <w:vertAlign w:val="baseline"/>
                <w:lang w:val="en-US" w:eastAsia="zh-CN"/>
              </w:rPr>
              <w:t>符合</w:t>
            </w:r>
            <w:r>
              <w:rPr>
                <w:rFonts w:hint="eastAsia" w:ascii="宋体" w:hAnsi="宋体" w:eastAsia="宋体" w:cs="宋体"/>
                <w:sz w:val="20"/>
                <w:szCs w:val="20"/>
                <w:vertAlign w:val="baseline"/>
              </w:rPr>
              <w:t xml:space="preserve">人体工程学和机械设计 </w:t>
            </w:r>
          </w:p>
          <w:p w14:paraId="33C2A27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箱体采用桦木多层夹板，耐磨环保黑金沙喷涂制作。</w:t>
            </w:r>
          </w:p>
          <w:p w14:paraId="3FB995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性能参数:</w:t>
            </w:r>
          </w:p>
          <w:p w14:paraId="6D4E47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单元配置 18"×1 (220磁100芯)</w:t>
            </w:r>
          </w:p>
          <w:p w14:paraId="36C7A8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 :≥600W</w:t>
            </w:r>
          </w:p>
          <w:p w14:paraId="08B8A7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峰值功率 :≥1000W</w:t>
            </w:r>
          </w:p>
          <w:p w14:paraId="1881DA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 :45Hz-130Hz(±3dB)</w:t>
            </w:r>
          </w:p>
          <w:p w14:paraId="720249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100dB</w:t>
            </w:r>
          </w:p>
          <w:p w14:paraId="235E68E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标称阻抗 8Ω</w:t>
            </w:r>
          </w:p>
          <w:p w14:paraId="743435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连接器：2 x Speakon NL4</w:t>
            </w:r>
          </w:p>
          <w:p w14:paraId="5DB4408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连接方式：±1…LHF </w:t>
            </w:r>
          </w:p>
          <w:p w14:paraId="3FD1AB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桦木多层夹板</w:t>
            </w:r>
          </w:p>
          <w:p w14:paraId="28B1EA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黑色聚亚胺脂喷涂；</w:t>
            </w:r>
          </w:p>
          <w:p w14:paraId="695DAF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面网: 黑色多孔喷粉钢网和透声的音箱网布</w:t>
            </w:r>
          </w:p>
        </w:tc>
        <w:tc>
          <w:tcPr>
            <w:tcW w:w="785" w:type="dxa"/>
            <w:noWrap w:val="0"/>
            <w:vAlign w:val="center"/>
          </w:tcPr>
          <w:p w14:paraId="06D4550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103718F2">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5BE6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CC7748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93</w:t>
            </w:r>
          </w:p>
        </w:tc>
        <w:tc>
          <w:tcPr>
            <w:tcW w:w="978" w:type="dxa"/>
            <w:noWrap w:val="0"/>
            <w:vAlign w:val="center"/>
          </w:tcPr>
          <w:p w14:paraId="77E5158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大报告厅：两通道数字功放</w:t>
            </w:r>
          </w:p>
        </w:tc>
        <w:tc>
          <w:tcPr>
            <w:tcW w:w="706" w:type="dxa"/>
            <w:noWrap w:val="0"/>
            <w:vAlign w:val="center"/>
          </w:tcPr>
          <w:p w14:paraId="19F27AE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094CF2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输出功率：1000Wx2/8Ω; 1500Wx2/4Ω</w:t>
            </w:r>
          </w:p>
          <w:p w14:paraId="3AA6BF1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07E663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7C25AD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53EFED1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13FF168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12C66B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558FAB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4CD44F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2E3378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11238E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3CD3C0E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w:t>
            </w:r>
          </w:p>
          <w:p w14:paraId="28FC53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+22.0dBu(10.0Vrms)；</w:t>
            </w:r>
          </w:p>
          <w:p w14:paraId="0225C1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1AE213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2D94297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778286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5BD3076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72F55B5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48D4CD69">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356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77EFE6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94</w:t>
            </w:r>
          </w:p>
        </w:tc>
        <w:tc>
          <w:tcPr>
            <w:tcW w:w="978" w:type="dxa"/>
            <w:noWrap w:val="0"/>
            <w:vAlign w:val="center"/>
          </w:tcPr>
          <w:p w14:paraId="7115694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大报告厅：数字音频处理器</w:t>
            </w:r>
          </w:p>
        </w:tc>
        <w:tc>
          <w:tcPr>
            <w:tcW w:w="706" w:type="dxa"/>
            <w:noWrap w:val="0"/>
            <w:vAlign w:val="center"/>
          </w:tcPr>
          <w:p w14:paraId="2BB0988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数字音频处理器</w:t>
            </w:r>
          </w:p>
        </w:tc>
        <w:tc>
          <w:tcPr>
            <w:tcW w:w="6279" w:type="dxa"/>
            <w:noWrap w:val="0"/>
            <w:vAlign w:val="top"/>
          </w:tcPr>
          <w:p w14:paraId="78FC4C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1、96KHz采样频率，性能≥32-bit DSP处理器，24-bit A/D及D/A转换                                                                                                                                                      </w:t>
            </w:r>
          </w:p>
          <w:p w14:paraId="4E68C8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2、设备内每个功能支持单独锁定，可根据现场要求任意开放或锁定某一个单独的功能，防止误操作和数据保密；                                                                                                                                                             </w:t>
            </w:r>
          </w:p>
          <w:p w14:paraId="5F8822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3、每个输入和输出处理均有6段独立的全参量均衡，调节增益范围可达±20dB，同时还可选择参量、高调、低调、1阶全通、2阶全通5种均衡模式；均有延时和相位控制及哑音设置，                                                                                            </w:t>
            </w:r>
          </w:p>
          <w:p w14:paraId="1A872F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4、设备软件内置中控代码生成器、可实现一键中英文切换，</w:t>
            </w:r>
          </w:p>
          <w:p w14:paraId="5F38BE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5、可通过外置盒与电脑进行连接,可实现互联网远程控制                                                                                                                                                                 </w:t>
            </w:r>
          </w:p>
          <w:p w14:paraId="44ED5E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4路平衡式信号输入，8路平衡式信号输出；可灵活组合多种分频模式，高、低通分频点均可达20Hz～20KHz，提供USB2.0、USB3.0和RS485连接电脑或中控设备，其中RS485接口可级连250台设备设ID进行控制</w:t>
            </w:r>
          </w:p>
          <w:p w14:paraId="2D2B685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每个输入通道可调噪声门，并且每个输入通道有两段全参数可调的动态均衡（DEQ），自动增益控制</w:t>
            </w:r>
          </w:p>
          <w:p w14:paraId="70850C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输出通道还可独立控制压缩、限幅及自由选择输入信号通道，并能将某通道的所有参数复制到另外一个通道同时进行联动控制</w:t>
            </w:r>
          </w:p>
          <w:p w14:paraId="2D513C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2×24 LCD蓝色背光显示功能设置，5段LED显示输入/输出的精确数字电平表、哑音及编辑状态</w:t>
            </w:r>
          </w:p>
          <w:p w14:paraId="1D54BD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单机可存储30组用户程序数据；其它数据可通过PC软件存储于其它存储介质上                                                                                                                                              </w:t>
            </w:r>
          </w:p>
          <w:p w14:paraId="572EBCA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7C5E2C2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输入阻抗：平衡20KΩ，                                                                                                                                                                                         </w:t>
            </w:r>
          </w:p>
          <w:p w14:paraId="26FBEC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输出阻抗：平衡100Ω，                                                                                                                                                                                                                                                                                                                                                                                       </w:t>
            </w:r>
          </w:p>
          <w:p w14:paraId="24173A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共模拟制比：≥70dB(1KHz)                                                                                                                                                                                     </w:t>
            </w:r>
          </w:p>
          <w:p w14:paraId="657442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输入范围：≤+25dBu                                                                                                                                                                                             </w:t>
            </w:r>
          </w:p>
          <w:p w14:paraId="65DE25C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频率相应：20Hz-20KHz(±0.5dB)                                                                                                                                                                                                                                                                                                                                                                                  </w:t>
            </w:r>
          </w:p>
          <w:p w14:paraId="526DDB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信噪比：≥104dB@1KHz 0dBu                                                                                                                                                                                                                                                                                                                                                                                     失真度：≤0.002% OUTPUT=0dBu/1KHz，                                                                                                                                                                                                                                                                                                                                                                    </w:t>
            </w:r>
          </w:p>
          <w:p w14:paraId="394C621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信道分离度：≥104dB（1KHz）                                                                                                                                                                                 </w:t>
            </w:r>
          </w:p>
          <w:p w14:paraId="275083E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功耗：≤42.4W                                                                                                                                                                                                       </w:t>
            </w:r>
          </w:p>
          <w:p w14:paraId="2E030A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电源:AC110V/220V  50/60Hz</w:t>
            </w:r>
          </w:p>
        </w:tc>
        <w:tc>
          <w:tcPr>
            <w:tcW w:w="785" w:type="dxa"/>
            <w:noWrap w:val="0"/>
            <w:vAlign w:val="center"/>
          </w:tcPr>
          <w:p w14:paraId="7F136FB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FDF4D0B">
            <w:pPr>
              <w:keepNext w:val="0"/>
              <w:keepLines w:val="0"/>
              <w:widowControl/>
              <w:suppressLineNumbers w:val="0"/>
              <w:jc w:val="center"/>
              <w:textAlignment w:val="center"/>
              <w:rPr>
                <w:rFonts w:hint="eastAsia" w:ascii="宋体" w:hAnsi="宋体" w:eastAsia="宋体" w:cs="宋体"/>
                <w:sz w:val="20"/>
                <w:szCs w:val="20"/>
                <w:highlight w:val="none"/>
                <w:vertAlign w:val="baseline"/>
              </w:rPr>
            </w:pPr>
            <w:r>
              <w:rPr>
                <w:rFonts w:hint="eastAsia" w:ascii="宋体" w:hAnsi="宋体" w:eastAsia="宋体" w:cs="宋体"/>
                <w:i w:val="0"/>
                <w:iCs w:val="0"/>
                <w:color w:val="000000"/>
                <w:kern w:val="0"/>
                <w:sz w:val="20"/>
                <w:szCs w:val="20"/>
                <w:highlight w:val="none"/>
                <w:u w:val="none"/>
                <w:lang w:val="en-US" w:eastAsia="zh-CN" w:bidi="ar"/>
              </w:rPr>
              <w:t>浐灞国际港第一学校（暂定名）</w:t>
            </w:r>
          </w:p>
        </w:tc>
      </w:tr>
      <w:tr w14:paraId="7F2C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67752F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95</w:t>
            </w:r>
          </w:p>
        </w:tc>
        <w:tc>
          <w:tcPr>
            <w:tcW w:w="978" w:type="dxa"/>
            <w:noWrap w:val="0"/>
            <w:vAlign w:val="center"/>
          </w:tcPr>
          <w:p w14:paraId="654872E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大报告厅：田字架</w:t>
            </w:r>
          </w:p>
        </w:tc>
        <w:tc>
          <w:tcPr>
            <w:tcW w:w="706" w:type="dxa"/>
            <w:noWrap w:val="0"/>
            <w:vAlign w:val="center"/>
          </w:tcPr>
          <w:p w14:paraId="2160769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田字架</w:t>
            </w:r>
          </w:p>
        </w:tc>
        <w:tc>
          <w:tcPr>
            <w:tcW w:w="6279" w:type="dxa"/>
            <w:noWrap w:val="0"/>
            <w:vAlign w:val="top"/>
          </w:tcPr>
          <w:p w14:paraId="61970C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双8"线阵、双10"线阵田字架（配4个吊环+2根飞机带）</w:t>
            </w:r>
          </w:p>
        </w:tc>
        <w:tc>
          <w:tcPr>
            <w:tcW w:w="785" w:type="dxa"/>
            <w:noWrap w:val="0"/>
            <w:vAlign w:val="center"/>
          </w:tcPr>
          <w:p w14:paraId="05FEC73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3088D9C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9AA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D33791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96</w:t>
            </w:r>
          </w:p>
        </w:tc>
        <w:tc>
          <w:tcPr>
            <w:tcW w:w="978" w:type="dxa"/>
            <w:noWrap w:val="0"/>
            <w:vAlign w:val="center"/>
          </w:tcPr>
          <w:p w14:paraId="650D35B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大报告厅：12寸返听箱</w:t>
            </w:r>
          </w:p>
        </w:tc>
        <w:tc>
          <w:tcPr>
            <w:tcW w:w="706" w:type="dxa"/>
            <w:noWrap w:val="0"/>
            <w:vAlign w:val="center"/>
          </w:tcPr>
          <w:p w14:paraId="1E24F60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12寸返听箱</w:t>
            </w:r>
          </w:p>
        </w:tc>
        <w:tc>
          <w:tcPr>
            <w:tcW w:w="6279" w:type="dxa"/>
            <w:noWrap w:val="0"/>
            <w:vAlign w:val="top"/>
          </w:tcPr>
          <w:p w14:paraId="66D0347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系统类型：12"2单元2分频返听扬声器</w:t>
            </w:r>
          </w:p>
          <w:p w14:paraId="538226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低音LF ：1×12"</w:t>
            </w:r>
          </w:p>
          <w:p w14:paraId="56DF090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：1×1.75"动圈</w:t>
            </w:r>
          </w:p>
          <w:p w14:paraId="2336B8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频响范围(Hz)：55-20KHz (±3dB)</w:t>
            </w:r>
          </w:p>
          <w:p w14:paraId="416540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阻抗(ohms)：8Ω</w:t>
            </w:r>
          </w:p>
          <w:p w14:paraId="72E998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 (W)：400W</w:t>
            </w:r>
          </w:p>
          <w:p w14:paraId="435DCC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峰值功率 (W)：1600W</w:t>
            </w:r>
          </w:p>
          <w:p w14:paraId="593AB4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灵敏度(SPL 1W@1M)：99dB</w:t>
            </w:r>
          </w:p>
          <w:p w14:paraId="45AE68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最大声压(dB)：125dB</w:t>
            </w:r>
          </w:p>
          <w:p w14:paraId="724514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覆盖角度(Hx V): 60°×90°</w:t>
            </w:r>
          </w:p>
          <w:p w14:paraId="1D1C4E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连接器 ：2 x Speakon NL4</w:t>
            </w:r>
          </w:p>
          <w:p w14:paraId="483821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连接方式：±1…LHF </w:t>
            </w:r>
          </w:p>
          <w:p w14:paraId="753D9C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系统类型 内置分频</w:t>
            </w:r>
          </w:p>
          <w:p w14:paraId="70C2B5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箱体类型 多边形箱体 </w:t>
            </w:r>
          </w:p>
          <w:p w14:paraId="2547807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箱体表面处理:黑色环保点漆</w:t>
            </w:r>
          </w:p>
          <w:p w14:paraId="6883AF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面网: 黑色多孔喷粉钢网和透声的音箱网布  </w:t>
            </w:r>
          </w:p>
        </w:tc>
        <w:tc>
          <w:tcPr>
            <w:tcW w:w="785" w:type="dxa"/>
            <w:noWrap w:val="0"/>
            <w:vAlign w:val="center"/>
          </w:tcPr>
          <w:p w14:paraId="3B8E1A2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3903A94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D35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2D365B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97</w:t>
            </w:r>
          </w:p>
        </w:tc>
        <w:tc>
          <w:tcPr>
            <w:tcW w:w="978" w:type="dxa"/>
            <w:noWrap w:val="0"/>
            <w:vAlign w:val="center"/>
          </w:tcPr>
          <w:p w14:paraId="2BBC551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大报告厅：两通道专业功放</w:t>
            </w:r>
          </w:p>
        </w:tc>
        <w:tc>
          <w:tcPr>
            <w:tcW w:w="706" w:type="dxa"/>
            <w:noWrap w:val="0"/>
            <w:vAlign w:val="center"/>
          </w:tcPr>
          <w:p w14:paraId="47A0487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两通道专业功放</w:t>
            </w:r>
          </w:p>
        </w:tc>
        <w:tc>
          <w:tcPr>
            <w:tcW w:w="6279" w:type="dxa"/>
            <w:noWrap w:val="0"/>
            <w:vAlign w:val="top"/>
          </w:tcPr>
          <w:p w14:paraId="4B5455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输出功率：650Wx2/8Ω; 1100Wx2/4Ω</w:t>
            </w:r>
          </w:p>
          <w:p w14:paraId="6F79C03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0A51C2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4473D2F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381C40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2FBB17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6679FC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1EE1AF7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560ED9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1511684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18AEDB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556731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013DC8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5AD32D4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4A1AD2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4B5400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08E0B0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61BCAD9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02C632B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06E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4F8A56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98</w:t>
            </w:r>
          </w:p>
        </w:tc>
        <w:tc>
          <w:tcPr>
            <w:tcW w:w="978" w:type="dxa"/>
            <w:noWrap w:val="0"/>
            <w:vAlign w:val="center"/>
          </w:tcPr>
          <w:p w14:paraId="0AC96AE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大报告厅：12寸专业箱</w:t>
            </w:r>
          </w:p>
        </w:tc>
        <w:tc>
          <w:tcPr>
            <w:tcW w:w="706" w:type="dxa"/>
            <w:noWrap w:val="0"/>
            <w:vAlign w:val="center"/>
          </w:tcPr>
          <w:p w14:paraId="7FE4AC4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12寸专业箱</w:t>
            </w:r>
          </w:p>
        </w:tc>
        <w:tc>
          <w:tcPr>
            <w:tcW w:w="6279" w:type="dxa"/>
            <w:noWrap w:val="0"/>
            <w:vAlign w:val="top"/>
          </w:tcPr>
          <w:p w14:paraId="6F4B80D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1、全频音箱配置，</w:t>
            </w:r>
          </w:p>
          <w:p w14:paraId="451983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2、箱体采用桦木夹板,水性环保喷涂制作，</w:t>
            </w:r>
          </w:p>
          <w:p w14:paraId="660900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3、面网 黑/白色多孔喷粉钢网和透声的音箱网布</w:t>
            </w:r>
          </w:p>
          <w:p w14:paraId="6FF646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详细参数：</w:t>
            </w:r>
          </w:p>
          <w:p w14:paraId="760904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参数</w:t>
            </w:r>
          </w:p>
          <w:p w14:paraId="2F2F933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 55Hz~20KHz(±3dB)</w:t>
            </w:r>
          </w:p>
          <w:p w14:paraId="6A1698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低音LOW/Mid Driver 12〞×1</w:t>
            </w:r>
          </w:p>
          <w:p w14:paraId="1DCCF0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34mm×1</w:t>
            </w:r>
          </w:p>
          <w:p w14:paraId="792D50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功率≥350W(RMS)</w:t>
            </w:r>
          </w:p>
          <w:p w14:paraId="0F5A1A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阻抗lmpedance 8Ω</w:t>
            </w:r>
          </w:p>
          <w:p w14:paraId="45D16F7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98dB</w:t>
            </w:r>
          </w:p>
          <w:p w14:paraId="39966B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连续声压级 SPL 123dB</w:t>
            </w:r>
          </w:p>
          <w:p w14:paraId="4BF5089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最大声压级 SPL 129dB</w:t>
            </w:r>
          </w:p>
          <w:p w14:paraId="399026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扩散角 90°Hor×50°Ver</w:t>
            </w:r>
          </w:p>
          <w:p w14:paraId="32D519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连接方式t2×NL4R Speakon</w:t>
            </w:r>
          </w:p>
          <w:p w14:paraId="423319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功放 400W/8Ω~500W/8Ω</w:t>
            </w:r>
          </w:p>
        </w:tc>
        <w:tc>
          <w:tcPr>
            <w:tcW w:w="785" w:type="dxa"/>
            <w:noWrap w:val="0"/>
            <w:vAlign w:val="center"/>
          </w:tcPr>
          <w:p w14:paraId="3763B2D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6289D31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14D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D51B90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99</w:t>
            </w:r>
          </w:p>
        </w:tc>
        <w:tc>
          <w:tcPr>
            <w:tcW w:w="978" w:type="dxa"/>
            <w:noWrap w:val="0"/>
            <w:vAlign w:val="center"/>
          </w:tcPr>
          <w:p w14:paraId="0540DFD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大报告厅：两通道专业功放</w:t>
            </w:r>
          </w:p>
        </w:tc>
        <w:tc>
          <w:tcPr>
            <w:tcW w:w="706" w:type="dxa"/>
            <w:noWrap w:val="0"/>
            <w:vAlign w:val="center"/>
          </w:tcPr>
          <w:p w14:paraId="5F8C2AF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两通道专业功放</w:t>
            </w:r>
          </w:p>
        </w:tc>
        <w:tc>
          <w:tcPr>
            <w:tcW w:w="6279" w:type="dxa"/>
            <w:noWrap w:val="0"/>
            <w:vAlign w:val="top"/>
          </w:tcPr>
          <w:p w14:paraId="773401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输出功率：650Wx2/8Ω; 1100Wx2/4Ω</w:t>
            </w:r>
          </w:p>
          <w:p w14:paraId="258F6A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1FE785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35A4286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0FE227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4C41D9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75ABB00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0DC05A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613939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331FD0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650E901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6178CC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7C7E63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4C88BE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4EA6784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6BEBAB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4D940C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0EFDE3D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BE14EC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109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D08432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100</w:t>
            </w:r>
          </w:p>
        </w:tc>
        <w:tc>
          <w:tcPr>
            <w:tcW w:w="978" w:type="dxa"/>
            <w:noWrap w:val="0"/>
            <w:vAlign w:val="center"/>
          </w:tcPr>
          <w:p w14:paraId="143C650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大报告厅：专业音箱</w:t>
            </w:r>
          </w:p>
        </w:tc>
        <w:tc>
          <w:tcPr>
            <w:tcW w:w="706" w:type="dxa"/>
            <w:noWrap w:val="0"/>
            <w:vAlign w:val="center"/>
          </w:tcPr>
          <w:p w14:paraId="09E900B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专业音箱</w:t>
            </w:r>
          </w:p>
        </w:tc>
        <w:tc>
          <w:tcPr>
            <w:tcW w:w="6279" w:type="dxa"/>
            <w:noWrap w:val="0"/>
            <w:vAlign w:val="top"/>
          </w:tcPr>
          <w:p w14:paraId="0A05C4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1、全频音箱配置，</w:t>
            </w:r>
          </w:p>
          <w:p w14:paraId="6913E1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2、箱体采用桦木夹板,水性环保喷涂制作，</w:t>
            </w:r>
          </w:p>
          <w:p w14:paraId="47065C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3、面网 黑/白色多孔喷粉钢网和透声的音箱网布</w:t>
            </w:r>
          </w:p>
          <w:p w14:paraId="09C1F8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详细参数：</w:t>
            </w:r>
          </w:p>
          <w:p w14:paraId="2D770E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参数</w:t>
            </w:r>
          </w:p>
          <w:p w14:paraId="015E9AA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 55Hz~20KHz(±3dB)</w:t>
            </w:r>
          </w:p>
          <w:p w14:paraId="6DBC18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低音LOW/Mid Driver 12〞×1</w:t>
            </w:r>
          </w:p>
          <w:p w14:paraId="742653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34mm×1</w:t>
            </w:r>
          </w:p>
          <w:p w14:paraId="4DC46D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功率≥350W(RMS)</w:t>
            </w:r>
          </w:p>
          <w:p w14:paraId="5FEFB8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阻抗lmpedance 8Ω</w:t>
            </w:r>
          </w:p>
          <w:p w14:paraId="3FBF5E3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98dB</w:t>
            </w:r>
          </w:p>
          <w:p w14:paraId="5D1741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连续声压级 SPL 123dB</w:t>
            </w:r>
          </w:p>
          <w:p w14:paraId="5EC22C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最大声压级 SPL 129dB</w:t>
            </w:r>
          </w:p>
          <w:p w14:paraId="47AF5B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扩散角 90°Hor×50°Ver</w:t>
            </w:r>
          </w:p>
          <w:p w14:paraId="260809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连接方式t2×NL4R Speakon</w:t>
            </w:r>
          </w:p>
          <w:p w14:paraId="27484D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功放 400W/8Ω~500W/8Ω</w:t>
            </w:r>
          </w:p>
        </w:tc>
        <w:tc>
          <w:tcPr>
            <w:tcW w:w="785" w:type="dxa"/>
            <w:noWrap w:val="0"/>
            <w:vAlign w:val="center"/>
          </w:tcPr>
          <w:p w14:paraId="62E87B3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25031FC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50BD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6B06CC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101</w:t>
            </w:r>
          </w:p>
        </w:tc>
        <w:tc>
          <w:tcPr>
            <w:tcW w:w="978" w:type="dxa"/>
            <w:noWrap w:val="0"/>
            <w:vAlign w:val="center"/>
          </w:tcPr>
          <w:p w14:paraId="0348222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大报告厅：4通道专业功放</w:t>
            </w:r>
          </w:p>
        </w:tc>
        <w:tc>
          <w:tcPr>
            <w:tcW w:w="706" w:type="dxa"/>
            <w:noWrap w:val="0"/>
            <w:vAlign w:val="center"/>
          </w:tcPr>
          <w:p w14:paraId="04F1549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4通道专业功放</w:t>
            </w:r>
          </w:p>
        </w:tc>
        <w:tc>
          <w:tcPr>
            <w:tcW w:w="6279" w:type="dxa"/>
            <w:noWrap w:val="0"/>
            <w:vAlign w:val="top"/>
          </w:tcPr>
          <w:p w14:paraId="5B0E00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1、4通道专业放大器，高效，发热量低;</w:t>
            </w:r>
          </w:p>
          <w:p w14:paraId="05380C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2、采用变压器供电，</w:t>
            </w:r>
          </w:p>
          <w:p w14:paraId="39C343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3、高效的散热系统，机箱内部和表面温度极低;</w:t>
            </w:r>
          </w:p>
          <w:p w14:paraId="29FF24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4、性能稳定</w:t>
            </w:r>
          </w:p>
          <w:p w14:paraId="1FD7C7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5、高频保护，过载/过流保护，过温保护，输出短路保护，直流保护，失真限幅保护等;</w:t>
            </w:r>
          </w:p>
          <w:p w14:paraId="358B49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6、开机音量渐大功能，                           </w:t>
            </w:r>
          </w:p>
          <w:p w14:paraId="2492EF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642D75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1、立体声功率：8Ω 600WX4, 4Ω 1000WX4；</w:t>
            </w:r>
          </w:p>
          <w:p w14:paraId="33DC40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  20Hz-20KHz(±0.5dB)</w:t>
            </w:r>
          </w:p>
          <w:p w14:paraId="5A5704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3、总谐波失真：  ≤0.08%</w:t>
            </w:r>
          </w:p>
          <w:p w14:paraId="51A9A3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4、信噪比 ：   ≥98dB</w:t>
            </w:r>
          </w:p>
          <w:p w14:paraId="076C91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5、阻尼系数：  ≥350</w:t>
            </w:r>
          </w:p>
          <w:p w14:paraId="643F9C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6、输入灵敏度： 0.77V/1.0V/1.4V</w:t>
            </w:r>
          </w:p>
          <w:p w14:paraId="66FEE1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7、输入阻抗(不平衡/平衡)：   20KΩ/10KΩ</w:t>
            </w:r>
          </w:p>
          <w:p w14:paraId="662C86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8、风路：从前向后吹风</w:t>
            </w:r>
          </w:p>
          <w:p w14:paraId="64602F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 软启动、直流、短路、过载、失真限幅、过热、VHF, 音量渐大</w:t>
            </w:r>
          </w:p>
          <w:p w14:paraId="05AF02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10、指示灯：面板指灯：电源、信号UV、削峰、保护</w:t>
            </w:r>
          </w:p>
          <w:p w14:paraId="5777EB7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11、前面板功能：电源启动开关、音量控制旋钮立体声</w:t>
            </w:r>
          </w:p>
          <w:p w14:paraId="3C1971C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12、后面板功能：输入灵敏度选择开关,接地开关、并接选择开关</w:t>
            </w:r>
          </w:p>
          <w:p w14:paraId="77A988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13、电源 : AC220-240V/50Hz±10%</w:t>
            </w:r>
          </w:p>
        </w:tc>
        <w:tc>
          <w:tcPr>
            <w:tcW w:w="785" w:type="dxa"/>
            <w:noWrap w:val="0"/>
            <w:vAlign w:val="center"/>
          </w:tcPr>
          <w:p w14:paraId="6C276D6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F5CE8A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BE7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2D379C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102</w:t>
            </w:r>
          </w:p>
        </w:tc>
        <w:tc>
          <w:tcPr>
            <w:tcW w:w="978" w:type="dxa"/>
            <w:noWrap w:val="0"/>
            <w:vAlign w:val="center"/>
          </w:tcPr>
          <w:p w14:paraId="0D99A91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大报告厅：模拟调音台</w:t>
            </w:r>
          </w:p>
        </w:tc>
        <w:tc>
          <w:tcPr>
            <w:tcW w:w="706" w:type="dxa"/>
            <w:noWrap w:val="0"/>
            <w:vAlign w:val="center"/>
          </w:tcPr>
          <w:p w14:paraId="3CC5FE2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模拟调音台</w:t>
            </w:r>
          </w:p>
        </w:tc>
        <w:tc>
          <w:tcPr>
            <w:tcW w:w="6279" w:type="dxa"/>
            <w:noWrap w:val="0"/>
            <w:vAlign w:val="top"/>
          </w:tcPr>
          <w:p w14:paraId="01C74E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1、20路输入，12个单声道+4个立体声输入</w:t>
            </w:r>
          </w:p>
          <w:p w14:paraId="34EC91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2、通道3段参量均衡器+扫频，耳机监听输出 </w:t>
            </w:r>
          </w:p>
          <w:p w14:paraId="4725FF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3、COMP压限，PAN声像定位，静音开关，OL/信号失真监控灯 </w:t>
            </w:r>
          </w:p>
          <w:p w14:paraId="28265C2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4、主声道L/R，SUB编组，PFL独奏等母线信号分配按钮 </w:t>
            </w:r>
          </w:p>
          <w:p w14:paraId="2F865D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5、60mm高精度电平衰减推子</w:t>
            </w:r>
          </w:p>
          <w:p w14:paraId="0DD274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6、AUX辅助发送，效果FX发送功能，REC录音输出  </w:t>
            </w:r>
          </w:p>
          <w:p w14:paraId="683D78A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7、2路立体声辅助返回输入外接其他电子设备，方便使用</w:t>
            </w:r>
          </w:p>
          <w:p w14:paraId="3E7833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8、蓝牙、USB接口，播放和保存音频文件</w:t>
            </w:r>
          </w:p>
          <w:p w14:paraId="4D75A26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9、内置99种24BIT DSP 预设效果种类，彩色显示屏 </w:t>
            </w:r>
          </w:p>
          <w:p w14:paraId="69F4EE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10、SUB1/4编组输出 ，双12段电平监视，48V幻象供电 </w:t>
            </w:r>
          </w:p>
          <w:p w14:paraId="3C9EF9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11、内置110V/240V，50-60Hz宽频电源</w:t>
            </w:r>
          </w:p>
        </w:tc>
        <w:tc>
          <w:tcPr>
            <w:tcW w:w="785" w:type="dxa"/>
            <w:noWrap w:val="0"/>
            <w:vAlign w:val="center"/>
          </w:tcPr>
          <w:p w14:paraId="78F13FA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29D010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045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97CB52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103</w:t>
            </w:r>
          </w:p>
        </w:tc>
        <w:tc>
          <w:tcPr>
            <w:tcW w:w="978" w:type="dxa"/>
            <w:noWrap w:val="0"/>
            <w:vAlign w:val="center"/>
          </w:tcPr>
          <w:p w14:paraId="521C033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大报告厅：电源时序器</w:t>
            </w:r>
          </w:p>
        </w:tc>
        <w:tc>
          <w:tcPr>
            <w:tcW w:w="706" w:type="dxa"/>
            <w:noWrap w:val="0"/>
            <w:vAlign w:val="center"/>
          </w:tcPr>
          <w:p w14:paraId="5250CA4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电源时序器</w:t>
            </w:r>
          </w:p>
        </w:tc>
        <w:tc>
          <w:tcPr>
            <w:tcW w:w="6279" w:type="dxa"/>
            <w:noWrap w:val="0"/>
            <w:vAlign w:val="top"/>
          </w:tcPr>
          <w:p w14:paraId="76C2E2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1、≧2 寸彩色液晶智能显示窗，实时显示当前电压、电流，功率显示屏。 </w:t>
            </w:r>
          </w:p>
          <w:p w14:paraId="5E4E0E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2、电力输入条件(单相3线)：   AC220-240V 50-60HZ两相（三线：零，火，地）</w:t>
            </w:r>
          </w:p>
          <w:p w14:paraId="234493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3、≧8 路通道输出，每路延时开启和关闭时间可自由设置(范围0~9959)</w:t>
            </w:r>
          </w:p>
          <w:p w14:paraId="3DC995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4、继电器受控输出最大承受单路功率/总功率(无功功率）：2000W/6000W最大承受无功功率</w:t>
            </w:r>
          </w:p>
          <w:p w14:paraId="022256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5、输出电源插座规格：阻燃ABS材料，最大可承受13A电流磷铜材质，标准万用插座</w:t>
            </w:r>
          </w:p>
          <w:p w14:paraId="554E668E">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6、</w:t>
            </w:r>
            <w:r>
              <w:rPr>
                <w:rFonts w:hint="eastAsia" w:ascii="宋体" w:hAnsi="宋体" w:eastAsia="宋体" w:cs="宋体"/>
                <w:sz w:val="20"/>
                <w:szCs w:val="20"/>
                <w:vertAlign w:val="baseline"/>
              </w:rPr>
              <w:t>功能特点：1：点阵功能显示 2：准数码电压显示 3：内置时钟，定时开关机 4：顺序开启逆序关闭 5：10组数据保存，提取</w:t>
            </w:r>
          </w:p>
          <w:p w14:paraId="388FAD0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6：时间间隔可调 </w:t>
            </w:r>
          </w:p>
          <w:p w14:paraId="756137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7、通道数量10路：8路万用插座继电器受控与2路万用插座直通，</w:t>
            </w:r>
          </w:p>
          <w:p w14:paraId="1AEA7B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输出继电器触点电流：10A 277VAC</w:t>
            </w:r>
          </w:p>
          <w:p w14:paraId="297A05B9">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9、</w:t>
            </w:r>
            <w:r>
              <w:rPr>
                <w:rFonts w:hint="eastAsia" w:ascii="宋体" w:hAnsi="宋体" w:eastAsia="宋体" w:cs="宋体"/>
                <w:sz w:val="20"/>
                <w:szCs w:val="20"/>
                <w:vertAlign w:val="baseline"/>
              </w:rPr>
              <w:t>≧10 组设备开关场景数据保存/调用。</w:t>
            </w:r>
          </w:p>
          <w:p w14:paraId="6558A6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10、供电规格：内置变压器，适用电压220V-240V 50-60HZ</w:t>
            </w:r>
          </w:p>
          <w:p w14:paraId="7EFA08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11、主电缆线规格：3*4平方电缆线，总长度为1.2米（无配电源输入插头）</w:t>
            </w:r>
          </w:p>
          <w:p w14:paraId="038654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12、定时开关机功能，内置时钟芯片，可根据日期时间设定，无需人为操作，让设备管更简单。</w:t>
            </w:r>
          </w:p>
          <w:p w14:paraId="38B6D3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13、单路独立开关功能：支持面板独立控制（可软件设定控制）</w:t>
            </w:r>
          </w:p>
          <w:p w14:paraId="3F1ABD14">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14、</w:t>
            </w:r>
            <w:r>
              <w:rPr>
                <w:rFonts w:hint="eastAsia" w:ascii="宋体" w:hAnsi="宋体" w:eastAsia="宋体" w:cs="宋体"/>
                <w:sz w:val="20"/>
                <w:szCs w:val="20"/>
                <w:vertAlign w:val="baseline"/>
              </w:rPr>
              <w:t>支持多台设备级联控制，级联状态可自动检测及设置。</w:t>
            </w:r>
          </w:p>
          <w:p w14:paraId="2BB2EDC3">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15、</w:t>
            </w:r>
            <w:r>
              <w:rPr>
                <w:rFonts w:hint="eastAsia" w:ascii="宋体" w:hAnsi="宋体" w:eastAsia="宋体" w:cs="宋体"/>
                <w:sz w:val="20"/>
                <w:szCs w:val="20"/>
                <w:vertAlign w:val="baseline"/>
              </w:rPr>
              <w:t>支持面板 Lock 锁定功能，防止人为误操作。</w:t>
            </w:r>
          </w:p>
          <w:p w14:paraId="317550AB">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16、</w:t>
            </w:r>
            <w:r>
              <w:rPr>
                <w:rFonts w:hint="eastAsia" w:ascii="宋体" w:hAnsi="宋体" w:eastAsia="宋体" w:cs="宋体"/>
                <w:sz w:val="20"/>
                <w:szCs w:val="20"/>
                <w:vertAlign w:val="baseline"/>
              </w:rPr>
              <w:t>外接控制开关接口：RS232 接口，支持外部中央控制设备控制</w:t>
            </w:r>
          </w:p>
          <w:p w14:paraId="65A9AB34">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17、</w:t>
            </w:r>
            <w:r>
              <w:rPr>
                <w:rFonts w:hint="eastAsia" w:ascii="宋体" w:hAnsi="宋体" w:eastAsia="宋体" w:cs="宋体"/>
                <w:sz w:val="20"/>
                <w:szCs w:val="20"/>
                <w:vertAlign w:val="baseline"/>
              </w:rPr>
              <w:t>随机控制软件及支持中控功能与ID数量分配：自带指令代码与控制软件</w:t>
            </w:r>
          </w:p>
          <w:p w14:paraId="4B6EBC22">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18、</w:t>
            </w:r>
            <w:r>
              <w:rPr>
                <w:rFonts w:hint="eastAsia" w:ascii="宋体" w:hAnsi="宋体" w:eastAsia="宋体" w:cs="宋体"/>
                <w:sz w:val="20"/>
                <w:szCs w:val="20"/>
                <w:vertAlign w:val="baseline"/>
              </w:rPr>
              <w:t>电源净化功能</w:t>
            </w:r>
          </w:p>
        </w:tc>
        <w:tc>
          <w:tcPr>
            <w:tcW w:w="785" w:type="dxa"/>
            <w:noWrap w:val="0"/>
            <w:vAlign w:val="center"/>
          </w:tcPr>
          <w:p w14:paraId="01F5BAA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w:t>
            </w:r>
          </w:p>
        </w:tc>
        <w:tc>
          <w:tcPr>
            <w:tcW w:w="988" w:type="dxa"/>
            <w:noWrap w:val="0"/>
            <w:vAlign w:val="center"/>
          </w:tcPr>
          <w:p w14:paraId="2D05C5B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D3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5F66F6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104</w:t>
            </w:r>
          </w:p>
        </w:tc>
        <w:tc>
          <w:tcPr>
            <w:tcW w:w="978" w:type="dxa"/>
            <w:noWrap w:val="0"/>
            <w:vAlign w:val="center"/>
          </w:tcPr>
          <w:p w14:paraId="3F061E0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大报告厅：天线系统</w:t>
            </w:r>
          </w:p>
        </w:tc>
        <w:tc>
          <w:tcPr>
            <w:tcW w:w="706" w:type="dxa"/>
            <w:noWrap w:val="0"/>
            <w:vAlign w:val="center"/>
          </w:tcPr>
          <w:p w14:paraId="1868941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天线系统</w:t>
            </w:r>
          </w:p>
        </w:tc>
        <w:tc>
          <w:tcPr>
            <w:tcW w:w="6279" w:type="dxa"/>
            <w:noWrap w:val="0"/>
            <w:vAlign w:val="top"/>
          </w:tcPr>
          <w:p w14:paraId="6A3AAA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10路天线输入端口可接最多5台双天线的U段无线麦克风接收机；</w:t>
            </w:r>
          </w:p>
          <w:p w14:paraId="7F8833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设有12V 1A单独供电端口，最多为4台设备供电；</w:t>
            </w:r>
          </w:p>
          <w:p w14:paraId="1AAA76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两个级联端口可增加一台天线分配系统共用一对天线；</w:t>
            </w:r>
          </w:p>
          <w:p w14:paraId="63399B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为有源无线指向型，可双极化对数周期阵列；</w:t>
            </w:r>
          </w:p>
          <w:p w14:paraId="09B113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为补偿同轴电缆的信号损失，板载放大器提供给用户可选的3/10db增益；</w:t>
            </w:r>
          </w:p>
          <w:p w14:paraId="502F97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天线增益具备两个LED指示灯，</w:t>
            </w:r>
          </w:p>
          <w:p w14:paraId="389AFD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远程12V直流供电，由天线分配系统通过同轴电缆为放大器供电；</w:t>
            </w:r>
          </w:p>
          <w:p w14:paraId="782FAC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系统设有前侧安装天线预留端口及附带配件，</w:t>
            </w:r>
          </w:p>
          <w:p w14:paraId="5E364A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天线安装有以下三种方式：话筒支架，悬挂在天花板上；室外使用；</w:t>
            </w:r>
          </w:p>
          <w:p w14:paraId="4C2522C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接收频率范围：450-972MHZ；</w:t>
            </w:r>
          </w:p>
          <w:p w14:paraId="6950FF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 3dB（绿色LED）、 10dB（红色LED）；</w:t>
            </w:r>
          </w:p>
          <w:p w14:paraId="0EB719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功率要求：12V由同轴电缆供电或≧80W直流供电；</w:t>
            </w:r>
          </w:p>
          <w:p w14:paraId="6F5040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输入阻抗：50Ω</w:t>
            </w:r>
          </w:p>
          <w:p w14:paraId="6D140D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输出阻抗：50Ω</w:t>
            </w:r>
          </w:p>
          <w:p w14:paraId="34BF5C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安装插头：BNC；</w:t>
            </w:r>
          </w:p>
          <w:p w14:paraId="6AF44F9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主机尺寸：≥475*225*45MM</w:t>
            </w:r>
          </w:p>
          <w:p w14:paraId="59A4D0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天线尺寸：≥345*300MM</w:t>
            </w:r>
          </w:p>
          <w:p w14:paraId="785FDB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天线放大器：25*45*75MM</w:t>
            </w:r>
          </w:p>
          <w:p w14:paraId="072717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接收模式(3 dB 波束宽度):≥ 70 角度</w:t>
            </w:r>
          </w:p>
          <w:p w14:paraId="468D45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三阶过载交截点 (OIP3): ≥30 dBm</w:t>
            </w:r>
          </w:p>
          <w:p w14:paraId="16E5A7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 (在轴): 7.5 dBi</w:t>
            </w:r>
          </w:p>
          <w:p w14:paraId="1C12BF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信号增益 ±1 dB</w:t>
            </w:r>
          </w:p>
        </w:tc>
        <w:tc>
          <w:tcPr>
            <w:tcW w:w="785" w:type="dxa"/>
            <w:noWrap w:val="0"/>
            <w:vAlign w:val="center"/>
          </w:tcPr>
          <w:p w14:paraId="28E30A1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20D3EB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F45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914768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105</w:t>
            </w:r>
          </w:p>
        </w:tc>
        <w:tc>
          <w:tcPr>
            <w:tcW w:w="978" w:type="dxa"/>
            <w:noWrap w:val="0"/>
            <w:vAlign w:val="center"/>
          </w:tcPr>
          <w:p w14:paraId="3AEB230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大报告厅：无线麦克风</w:t>
            </w:r>
          </w:p>
        </w:tc>
        <w:tc>
          <w:tcPr>
            <w:tcW w:w="706" w:type="dxa"/>
            <w:noWrap w:val="0"/>
            <w:vAlign w:val="center"/>
          </w:tcPr>
          <w:p w14:paraId="5C2D744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无线麦克风</w:t>
            </w:r>
          </w:p>
        </w:tc>
        <w:tc>
          <w:tcPr>
            <w:tcW w:w="6279" w:type="dxa"/>
            <w:noWrap w:val="0"/>
            <w:vAlign w:val="top"/>
          </w:tcPr>
          <w:p w14:paraId="3AD0707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通道组数：二通道</w:t>
            </w:r>
          </w:p>
          <w:p w14:paraId="00329D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频率稳定性：± 0.005% ，PLL 锁相回路頻率控制</w:t>
            </w:r>
          </w:p>
          <w:p w14:paraId="24D4C3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载波频段：UHF 640-690MHz</w:t>
            </w:r>
          </w:p>
          <w:p w14:paraId="7C184B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预设数位音频等化器  可模拟各种音头的音质特性</w:t>
            </w:r>
          </w:p>
          <w:p w14:paraId="4FF6CB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调制方式：FM   </w:t>
            </w:r>
          </w:p>
          <w:p w14:paraId="7A55C8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工作有效距离：一般150米以上（空阔地方）</w:t>
            </w:r>
          </w:p>
          <w:p w14:paraId="095AE0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振荡方式：PLL相位锁定频率合成    </w:t>
            </w:r>
          </w:p>
          <w:p w14:paraId="0524CF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：≥95dB</w:t>
            </w:r>
          </w:p>
          <w:p w14:paraId="664975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输入1K(MOD) 25mV时,S/N≥50dB  </w:t>
            </w:r>
          </w:p>
          <w:p w14:paraId="13C663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频带宽度：300MHz  </w:t>
            </w:r>
          </w:p>
          <w:p w14:paraId="66F4EA2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最大偏移度：±50KHz             </w:t>
            </w:r>
          </w:p>
          <w:p w14:paraId="4749A48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综合S/N比 ≥108dB    </w:t>
            </w:r>
          </w:p>
          <w:p w14:paraId="17C56D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综合T.H.D.≤0.4 % @ 1KHz      </w:t>
            </w:r>
          </w:p>
          <w:p w14:paraId="1EDF4D1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输出插座：6.35</w:t>
            </w:r>
          </w:p>
          <w:p w14:paraId="58EE62C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合频率响应：55Hz～16KHz ± 3dB       </w:t>
            </w:r>
          </w:p>
          <w:p w14:paraId="0CBE25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供电：100-240V AC50/60 Hz, 10W</w:t>
            </w:r>
          </w:p>
          <w:p w14:paraId="034C94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  UHF 640-690MHz</w:t>
            </w:r>
          </w:p>
          <w:p w14:paraId="1456D5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振荡方式  PLL相位锁定频率合成；谐波辐射  ≤-63dBm；</w:t>
            </w:r>
          </w:p>
          <w:p w14:paraId="564ED4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  50MHz；    </w:t>
            </w:r>
          </w:p>
          <w:p w14:paraId="662636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大偏移度  ±75KHz</w:t>
            </w:r>
          </w:p>
          <w:p w14:paraId="19ED09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音头；电容式, 心型指向性</w:t>
            </w:r>
          </w:p>
          <w:p w14:paraId="152D5F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RF 功率输出 ≥ 10mW；     </w:t>
            </w:r>
          </w:p>
          <w:p w14:paraId="296995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电池  AA X 2；</w:t>
            </w:r>
          </w:p>
          <w:p w14:paraId="40A479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电流消耗  100mA；电池耗电  ≥10个小时</w:t>
            </w:r>
          </w:p>
        </w:tc>
        <w:tc>
          <w:tcPr>
            <w:tcW w:w="785" w:type="dxa"/>
            <w:noWrap w:val="0"/>
            <w:vAlign w:val="center"/>
          </w:tcPr>
          <w:p w14:paraId="3C86A1D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w:t>
            </w:r>
          </w:p>
        </w:tc>
        <w:tc>
          <w:tcPr>
            <w:tcW w:w="988" w:type="dxa"/>
            <w:noWrap w:val="0"/>
            <w:vAlign w:val="center"/>
          </w:tcPr>
          <w:p w14:paraId="5CE0C77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00B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52D849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106</w:t>
            </w:r>
          </w:p>
        </w:tc>
        <w:tc>
          <w:tcPr>
            <w:tcW w:w="978" w:type="dxa"/>
            <w:noWrap w:val="0"/>
            <w:vAlign w:val="center"/>
          </w:tcPr>
          <w:p w14:paraId="35ECE7F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大报告厅：分集式无线麦克风</w:t>
            </w:r>
          </w:p>
        </w:tc>
        <w:tc>
          <w:tcPr>
            <w:tcW w:w="706" w:type="dxa"/>
            <w:noWrap w:val="0"/>
            <w:vAlign w:val="center"/>
          </w:tcPr>
          <w:p w14:paraId="7A65546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分集式无线麦克风</w:t>
            </w:r>
          </w:p>
        </w:tc>
        <w:tc>
          <w:tcPr>
            <w:tcW w:w="6279" w:type="dxa"/>
            <w:noWrap w:val="0"/>
            <w:vAlign w:val="top"/>
          </w:tcPr>
          <w:p w14:paraId="4941B4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通道组数：二通道</w:t>
            </w:r>
          </w:p>
          <w:p w14:paraId="5F7CF5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频率稳定性：± 0.005% ，PLL 锁相回路頻率控制</w:t>
            </w:r>
          </w:p>
          <w:p w14:paraId="77D1398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载波频段：UHF 640-690MHz</w:t>
            </w:r>
          </w:p>
          <w:p w14:paraId="6DCECDF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预设数位音频等化器  可模拟各种音头的音质特性</w:t>
            </w:r>
          </w:p>
          <w:p w14:paraId="45068E4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调制方式：FM   </w:t>
            </w:r>
          </w:p>
          <w:p w14:paraId="10E330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工作有效距离：一般150米以上（空阔地方）</w:t>
            </w:r>
          </w:p>
          <w:p w14:paraId="1BFA78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振荡方式：PLL相位锁定频率合成    </w:t>
            </w:r>
          </w:p>
          <w:p w14:paraId="47B8EE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：≥95dB</w:t>
            </w:r>
          </w:p>
          <w:p w14:paraId="5D7136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输入1K(MOD) 25mV时,S/N≥50dB  </w:t>
            </w:r>
          </w:p>
          <w:p w14:paraId="04921AA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频带宽度：300MHz  </w:t>
            </w:r>
          </w:p>
          <w:p w14:paraId="3C8B4F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最大偏移度：±50KHz             </w:t>
            </w:r>
          </w:p>
          <w:p w14:paraId="026521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综合S/N比 ≥108dB    </w:t>
            </w:r>
          </w:p>
          <w:p w14:paraId="7401D8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综合T.H.D.≤0.4 % @ 1KHz      </w:t>
            </w:r>
          </w:p>
          <w:p w14:paraId="0883559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输出插座：6.35</w:t>
            </w:r>
          </w:p>
          <w:p w14:paraId="6E7044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合频率响应：55Hz～16KHz ± 3dB       </w:t>
            </w:r>
          </w:p>
          <w:p w14:paraId="579C7A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供电：100-240V AC50/60 Hz, 10W</w:t>
            </w:r>
          </w:p>
          <w:p w14:paraId="07159A1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  UHF 640-690MHz</w:t>
            </w:r>
          </w:p>
          <w:p w14:paraId="2D54D6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振荡方式  PLL相位锁定频率合成；谐波辐射  ≤-63dBm；</w:t>
            </w:r>
          </w:p>
          <w:p w14:paraId="5B13C5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  50MHz；    </w:t>
            </w:r>
          </w:p>
          <w:p w14:paraId="0D4472E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大偏移度  ±75KHz</w:t>
            </w:r>
          </w:p>
          <w:p w14:paraId="02845E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音头；电容式, 心型指向性</w:t>
            </w:r>
          </w:p>
          <w:p w14:paraId="127D486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RF 功率输出 ≥ 10mW；     </w:t>
            </w:r>
          </w:p>
          <w:p w14:paraId="44AA744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电池  AA X 2；</w:t>
            </w:r>
          </w:p>
          <w:p w14:paraId="54243A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电流消耗  100mA；电池耗电  ≥10个小时</w:t>
            </w:r>
          </w:p>
        </w:tc>
        <w:tc>
          <w:tcPr>
            <w:tcW w:w="785" w:type="dxa"/>
            <w:noWrap w:val="0"/>
            <w:vAlign w:val="center"/>
          </w:tcPr>
          <w:p w14:paraId="0A17A01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280425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0FA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5EA816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107</w:t>
            </w:r>
          </w:p>
        </w:tc>
        <w:tc>
          <w:tcPr>
            <w:tcW w:w="978" w:type="dxa"/>
            <w:noWrap w:val="0"/>
            <w:vAlign w:val="center"/>
          </w:tcPr>
          <w:p w14:paraId="3EDBF1F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大报告厅：无线会议麦克风</w:t>
            </w:r>
          </w:p>
        </w:tc>
        <w:tc>
          <w:tcPr>
            <w:tcW w:w="706" w:type="dxa"/>
            <w:noWrap w:val="0"/>
            <w:vAlign w:val="center"/>
          </w:tcPr>
          <w:p w14:paraId="673C3F2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无线会议麦克风</w:t>
            </w:r>
          </w:p>
        </w:tc>
        <w:tc>
          <w:tcPr>
            <w:tcW w:w="6279" w:type="dxa"/>
            <w:noWrap w:val="0"/>
            <w:vAlign w:val="top"/>
          </w:tcPr>
          <w:p w14:paraId="658E90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道组数：二通道</w:t>
            </w:r>
          </w:p>
          <w:p w14:paraId="453F97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频率稳定性：± 0.005% ，PLL 锁相回路頻率控制</w:t>
            </w:r>
          </w:p>
          <w:p w14:paraId="310F15A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载波频段：UHF 640-690MHz</w:t>
            </w:r>
          </w:p>
          <w:p w14:paraId="3BC9D04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预设数位音频等化器  可模拟各种音头的音质特性</w:t>
            </w:r>
          </w:p>
          <w:p w14:paraId="1C9E53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调制方式：FM   </w:t>
            </w:r>
          </w:p>
          <w:p w14:paraId="4A25923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工作有效距离：一般150米以上（空阔地方）</w:t>
            </w:r>
          </w:p>
          <w:p w14:paraId="301F47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振荡方式：PLL相位锁定频率合成    </w:t>
            </w:r>
          </w:p>
          <w:p w14:paraId="388315D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：≥95dB</w:t>
            </w:r>
          </w:p>
          <w:p w14:paraId="0BE30C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输入1K(MOD) 25mV时,S/N≥50dB  </w:t>
            </w:r>
          </w:p>
          <w:p w14:paraId="7DABB5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频带宽度：300MHz  </w:t>
            </w:r>
          </w:p>
          <w:p w14:paraId="3FA51F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最大偏移度：±50KHz             </w:t>
            </w:r>
          </w:p>
          <w:p w14:paraId="3ADCCD6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综合S/N比 ≥108dB    </w:t>
            </w:r>
          </w:p>
          <w:p w14:paraId="22AAABE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综合T.H.D.≤0.4 % @ 1KHz      </w:t>
            </w:r>
          </w:p>
          <w:p w14:paraId="02550D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输出插座：6.35</w:t>
            </w:r>
          </w:p>
          <w:p w14:paraId="6E700A0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合频率响应：55Hz～16KHz ± 3dB       </w:t>
            </w:r>
          </w:p>
          <w:p w14:paraId="5A6166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供电：100-240V AC50/60 Hz, 10W</w:t>
            </w:r>
          </w:p>
          <w:p w14:paraId="75638F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参数：</w:t>
            </w:r>
          </w:p>
          <w:p w14:paraId="300DCD1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  UHF 640-690MHz</w:t>
            </w:r>
          </w:p>
          <w:p w14:paraId="41E102F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振荡方式  PLL相位锁定频率合成；谐波辐射  ≤-63dBm；</w:t>
            </w:r>
          </w:p>
          <w:p w14:paraId="5CBD90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  50MHz；    </w:t>
            </w:r>
          </w:p>
          <w:p w14:paraId="047F00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大偏移度  ±75KHz</w:t>
            </w:r>
          </w:p>
          <w:p w14:paraId="1BBE92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音头；电容式, 心型指向性</w:t>
            </w:r>
          </w:p>
          <w:p w14:paraId="5DC04C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RF 功率输出  10mW；     </w:t>
            </w:r>
          </w:p>
          <w:p w14:paraId="0ED5CC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电池  AA X 2；</w:t>
            </w:r>
          </w:p>
          <w:p w14:paraId="7CEB60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电流消耗  100mA</w:t>
            </w:r>
          </w:p>
          <w:p w14:paraId="53046B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电池耗电  ≥10个小时</w:t>
            </w:r>
          </w:p>
        </w:tc>
        <w:tc>
          <w:tcPr>
            <w:tcW w:w="785" w:type="dxa"/>
            <w:noWrap w:val="0"/>
            <w:vAlign w:val="center"/>
          </w:tcPr>
          <w:p w14:paraId="09BD8D1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8DB8F5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536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1B6B80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108</w:t>
            </w:r>
          </w:p>
        </w:tc>
        <w:tc>
          <w:tcPr>
            <w:tcW w:w="978" w:type="dxa"/>
            <w:noWrap w:val="0"/>
            <w:vAlign w:val="center"/>
          </w:tcPr>
          <w:p w14:paraId="7E5F881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大报告厅：反馈抑制器</w:t>
            </w:r>
          </w:p>
        </w:tc>
        <w:tc>
          <w:tcPr>
            <w:tcW w:w="706" w:type="dxa"/>
            <w:noWrap w:val="0"/>
            <w:vAlign w:val="center"/>
          </w:tcPr>
          <w:p w14:paraId="750F28B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反馈抑制器</w:t>
            </w:r>
          </w:p>
        </w:tc>
        <w:tc>
          <w:tcPr>
            <w:tcW w:w="6279" w:type="dxa"/>
            <w:noWrap w:val="0"/>
            <w:vAlign w:val="top"/>
          </w:tcPr>
          <w:p w14:paraId="1E1377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环型变压器供电，自动适应声学环境，</w:t>
            </w:r>
          </w:p>
          <w:p w14:paraId="34808F4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反馈系统设计灵活，具备4路多功能输入端口，适用不同的设备输出接口。</w:t>
            </w:r>
          </w:p>
          <w:p w14:paraId="6D0C4E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配有专用的RAC接口，可同时外接设备输入和输出功能使用。</w:t>
            </w:r>
          </w:p>
          <w:p w14:paraId="644FB5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输入具备48V幻像供电，可以实现4路幻像麦克风接口</w:t>
            </w:r>
          </w:p>
          <w:p w14:paraId="371309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专业数字反馈抑制模块,直通/反馈模式可转换</w:t>
            </w:r>
          </w:p>
          <w:p w14:paraId="50EA37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AC220V供电（110V可选）</w:t>
            </w:r>
          </w:p>
          <w:p w14:paraId="619704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采样率为 48Khz，</w:t>
            </w:r>
          </w:p>
          <w:p w14:paraId="497D80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频率响应范围为 50Hz～15kHz；</w:t>
            </w:r>
          </w:p>
          <w:p w14:paraId="1F7E427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传声增益提高： 8～10dB；</w:t>
            </w:r>
          </w:p>
          <w:p w14:paraId="65C6A6D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噪声抑制比： 18dB；</w:t>
            </w:r>
          </w:p>
          <w:p w14:paraId="55F7F7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最大模拟输入输出为 1.5V Vpp</w:t>
            </w:r>
          </w:p>
          <w:p w14:paraId="479595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输入阻抗：10KΩ</w:t>
            </w:r>
          </w:p>
          <w:p w14:paraId="538548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输出阻抗：1KΩ</w:t>
            </w:r>
          </w:p>
        </w:tc>
        <w:tc>
          <w:tcPr>
            <w:tcW w:w="785" w:type="dxa"/>
            <w:noWrap w:val="0"/>
            <w:vAlign w:val="center"/>
          </w:tcPr>
          <w:p w14:paraId="2A74BB9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9C7EAD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4C2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DC866E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109</w:t>
            </w:r>
          </w:p>
        </w:tc>
        <w:tc>
          <w:tcPr>
            <w:tcW w:w="978" w:type="dxa"/>
            <w:noWrap w:val="0"/>
            <w:vAlign w:val="center"/>
          </w:tcPr>
          <w:p w14:paraId="2980521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大报告厅：有源监听音箱</w:t>
            </w:r>
          </w:p>
        </w:tc>
        <w:tc>
          <w:tcPr>
            <w:tcW w:w="706" w:type="dxa"/>
            <w:noWrap w:val="0"/>
            <w:vAlign w:val="center"/>
          </w:tcPr>
          <w:p w14:paraId="5203F9D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有源监听音箱</w:t>
            </w:r>
          </w:p>
        </w:tc>
        <w:tc>
          <w:tcPr>
            <w:tcW w:w="6279" w:type="dxa"/>
            <w:noWrap w:val="0"/>
            <w:vAlign w:val="top"/>
          </w:tcPr>
          <w:p w14:paraId="1C11E75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输出功率：50W 可带一只或多只副箱</w:t>
            </w:r>
          </w:p>
          <w:p w14:paraId="6DA9D8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灵敏度：91dB±</w:t>
            </w:r>
          </w:p>
          <w:p w14:paraId="43D1F98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频率响应：20Hz-20KHz(+-3dB)</w:t>
            </w:r>
          </w:p>
          <w:p w14:paraId="326F7E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总谐波失真：≤0.5%</w:t>
            </w:r>
          </w:p>
          <w:p w14:paraId="0B1C615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信噪比：≥90dB</w:t>
            </w:r>
          </w:p>
          <w:p w14:paraId="778E9C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信号输入：、平衡式输入x1、有线话筒输入x2</w:t>
            </w:r>
          </w:p>
          <w:p w14:paraId="0FA13B7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功能面板：独立话筒音量调节、独立混响调节、独立高低音调节、独立音乐音量调节</w:t>
            </w:r>
          </w:p>
          <w:p w14:paraId="1110D1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电源电压：180V~240V</w:t>
            </w:r>
          </w:p>
          <w:p w14:paraId="7AA4D8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功耗：≥50W</w:t>
            </w:r>
          </w:p>
          <w:p w14:paraId="47C2AB7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工作温度：-35℃~60℃</w:t>
            </w:r>
          </w:p>
          <w:p w14:paraId="6DDF40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箱体工艺：无缝连接箱体</w:t>
            </w:r>
          </w:p>
          <w:p w14:paraId="099F71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喇叭：≥6寸</w:t>
            </w:r>
          </w:p>
        </w:tc>
        <w:tc>
          <w:tcPr>
            <w:tcW w:w="785" w:type="dxa"/>
            <w:noWrap w:val="0"/>
            <w:vAlign w:val="center"/>
          </w:tcPr>
          <w:p w14:paraId="1CD6A77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B1AE51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18C4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8D820E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110</w:t>
            </w:r>
          </w:p>
        </w:tc>
        <w:tc>
          <w:tcPr>
            <w:tcW w:w="978" w:type="dxa"/>
            <w:noWrap w:val="0"/>
            <w:vAlign w:val="center"/>
          </w:tcPr>
          <w:p w14:paraId="12E06E9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大报告厅：线材辅材</w:t>
            </w:r>
          </w:p>
        </w:tc>
        <w:tc>
          <w:tcPr>
            <w:tcW w:w="706" w:type="dxa"/>
            <w:noWrap w:val="0"/>
            <w:vAlign w:val="center"/>
          </w:tcPr>
          <w:p w14:paraId="3D22F20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线材辅材</w:t>
            </w:r>
          </w:p>
        </w:tc>
        <w:tc>
          <w:tcPr>
            <w:tcW w:w="6279" w:type="dxa"/>
            <w:noWrap w:val="0"/>
            <w:vAlign w:val="center"/>
          </w:tcPr>
          <w:p w14:paraId="4D91F41A">
            <w:pPr>
              <w:numPr>
                <w:ilvl w:val="0"/>
                <w:numId w:val="8"/>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音箱线  线芯：2×200芯，外被：PVC，导体：精炼铜+镀锌铜，200米；</w:t>
            </w:r>
          </w:p>
          <w:p w14:paraId="202AE9F0">
            <w:pPr>
              <w:numPr>
                <w:ilvl w:val="0"/>
                <w:numId w:val="8"/>
              </w:numPr>
              <w:ind w:left="0" w:leftChars="0" w:firstLine="0" w:firstLine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话筒线：导体：精炼铜；屏蔽：铝箔+128网编织，外被：PVC，100米</w:t>
            </w:r>
          </w:p>
          <w:p w14:paraId="0F9E3EE1">
            <w:pPr>
              <w:numPr>
                <w:ilvl w:val="0"/>
                <w:numId w:val="8"/>
              </w:numPr>
              <w:ind w:left="0" w:leftChars="0" w:firstLine="0" w:firstLine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电源线：规格：RVV3×2.5mm² 导体材质：无氧铜  </w:t>
            </w:r>
          </w:p>
          <w:p w14:paraId="6B7C6387">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绝缘材质：聚乙烯绝缘</w:t>
            </w:r>
          </w:p>
          <w:p w14:paraId="0D1017E4">
            <w:pPr>
              <w:numPr>
                <w:ilvl w:val="0"/>
                <w:numId w:val="8"/>
              </w:numPr>
              <w:ind w:left="0" w:leftChars="0" w:firstLine="0" w:firstLine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网线：CAT6；305M/箱</w:t>
            </w:r>
          </w:p>
          <w:p w14:paraId="51E6BD06">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材质：无氧铜芯。绝缘层为聚乙烯材料；</w:t>
            </w:r>
          </w:p>
          <w:p w14:paraId="324EB86D">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频率范围：1MHz-250MHz，</w:t>
            </w:r>
          </w:p>
          <w:p w14:paraId="21935A0F">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支持速率：常规1Gbps，短距离可达10Gbps；</w:t>
            </w:r>
          </w:p>
          <w:p w14:paraId="48B137BB">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兼容10GBASE-T网络                                                                  5、灯杆：材质：镀锌钢管，</w:t>
            </w:r>
          </w:p>
          <w:p w14:paraId="310DB4C8">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直径：35mm</w:t>
            </w:r>
          </w:p>
          <w:p w14:paraId="36348B2B">
            <w:pPr>
              <w:numPr>
                <w:ilvl w:val="0"/>
                <w:numId w:val="0"/>
              </w:numPr>
              <w:ind w:leftChars="0"/>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6、机柜：材质：冷轧钢板，玻璃门、尺寸：600×600×2000mm</w:t>
            </w:r>
          </w:p>
        </w:tc>
        <w:tc>
          <w:tcPr>
            <w:tcW w:w="785" w:type="dxa"/>
            <w:noWrap w:val="0"/>
            <w:vAlign w:val="center"/>
          </w:tcPr>
          <w:p w14:paraId="1DA04B9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4DF358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63F5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F1D2DF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111</w:t>
            </w:r>
          </w:p>
        </w:tc>
        <w:tc>
          <w:tcPr>
            <w:tcW w:w="978" w:type="dxa"/>
            <w:noWrap w:val="0"/>
            <w:vAlign w:val="center"/>
          </w:tcPr>
          <w:p w14:paraId="3C855BF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大报告厅：安装调试费</w:t>
            </w:r>
          </w:p>
        </w:tc>
        <w:tc>
          <w:tcPr>
            <w:tcW w:w="706" w:type="dxa"/>
            <w:noWrap w:val="0"/>
            <w:vAlign w:val="center"/>
          </w:tcPr>
          <w:p w14:paraId="4D77D9F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安装调试费</w:t>
            </w:r>
          </w:p>
        </w:tc>
        <w:tc>
          <w:tcPr>
            <w:tcW w:w="6279" w:type="dxa"/>
            <w:noWrap w:val="0"/>
            <w:vAlign w:val="top"/>
          </w:tcPr>
          <w:p w14:paraId="30528D0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LED显示屏、舞台灯光、扩音设备运输、安装、调试等 </w:t>
            </w:r>
          </w:p>
        </w:tc>
        <w:tc>
          <w:tcPr>
            <w:tcW w:w="785" w:type="dxa"/>
            <w:noWrap w:val="0"/>
            <w:vAlign w:val="center"/>
          </w:tcPr>
          <w:p w14:paraId="20E3CC6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04EE0F9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0B5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8F0F18D">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112</w:t>
            </w:r>
          </w:p>
        </w:tc>
        <w:tc>
          <w:tcPr>
            <w:tcW w:w="978" w:type="dxa"/>
            <w:noWrap w:val="0"/>
            <w:vAlign w:val="center"/>
          </w:tcPr>
          <w:p w14:paraId="30983B7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LED显示屏（风雨操场）LED显示屏</w:t>
            </w:r>
          </w:p>
        </w:tc>
        <w:tc>
          <w:tcPr>
            <w:tcW w:w="706" w:type="dxa"/>
            <w:noWrap w:val="0"/>
            <w:vAlign w:val="center"/>
          </w:tcPr>
          <w:p w14:paraId="445D382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6279" w:type="dxa"/>
            <w:noWrap w:val="0"/>
            <w:vAlign w:val="top"/>
          </w:tcPr>
          <w:p w14:paraId="10C86C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屏体尺寸：8.32*4.8m</w:t>
            </w:r>
          </w:p>
          <w:p w14:paraId="01F629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点间距：2.0mm</w:t>
            </w:r>
          </w:p>
          <w:p w14:paraId="2E55FD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密度：250000点/m2</w:t>
            </w:r>
          </w:p>
          <w:p w14:paraId="51F9F4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模组尺寸：320mm*160mm</w:t>
            </w:r>
          </w:p>
          <w:p w14:paraId="42BF62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模组拼接平整度：≤0.1mm</w:t>
            </w:r>
          </w:p>
          <w:p w14:paraId="08F3E1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白平衡亮度:≥600 cd/㎡（色温1800K-10000K），</w:t>
            </w:r>
          </w:p>
          <w:p w14:paraId="6287D8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刷新率:≥3840Hz</w:t>
            </w:r>
          </w:p>
          <w:p w14:paraId="7953FF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水平视角：水平≥160°、垂直≥160°，</w:t>
            </w:r>
          </w:p>
          <w:p w14:paraId="0C807A5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色度均匀性:±0.002Cx,Cy之内</w:t>
            </w:r>
          </w:p>
          <w:p w14:paraId="4056220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对比度:≥8000:1</w:t>
            </w:r>
          </w:p>
          <w:p w14:paraId="2C59616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峰值功耗:≤500w/㎡</w:t>
            </w:r>
          </w:p>
          <w:p w14:paraId="16BADC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平均功耗:≤200w/㎡</w:t>
            </w:r>
          </w:p>
          <w:p w14:paraId="20C4599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供电要求:AC100V~240V（50-60Hz）</w:t>
            </w:r>
          </w:p>
          <w:p w14:paraId="5A19A1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换帧频率:60Hz-120 Hz</w:t>
            </w:r>
          </w:p>
          <w:p w14:paraId="1053728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连续工作时间:≥72小时，平均无故障时间:≥10000小时</w:t>
            </w:r>
          </w:p>
        </w:tc>
        <w:tc>
          <w:tcPr>
            <w:tcW w:w="785" w:type="dxa"/>
            <w:noWrap w:val="0"/>
            <w:vAlign w:val="center"/>
          </w:tcPr>
          <w:p w14:paraId="36CDA67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40</w:t>
            </w:r>
          </w:p>
        </w:tc>
        <w:tc>
          <w:tcPr>
            <w:tcW w:w="988" w:type="dxa"/>
            <w:noWrap w:val="0"/>
            <w:vAlign w:val="center"/>
          </w:tcPr>
          <w:p w14:paraId="42BFE82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9DC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44C0E2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113</w:t>
            </w:r>
          </w:p>
        </w:tc>
        <w:tc>
          <w:tcPr>
            <w:tcW w:w="978" w:type="dxa"/>
            <w:noWrap w:val="0"/>
            <w:vAlign w:val="center"/>
          </w:tcPr>
          <w:p w14:paraId="7705D1F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LED显示屏（风雨操场）接收卡</w:t>
            </w:r>
          </w:p>
        </w:tc>
        <w:tc>
          <w:tcPr>
            <w:tcW w:w="706" w:type="dxa"/>
            <w:noWrap w:val="0"/>
            <w:vAlign w:val="center"/>
          </w:tcPr>
          <w:p w14:paraId="5491236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1A1F40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自带16个HUB75接口，数据组数：32组，最大带载：长度256点，高度1024点，支持亮度/色度校正</w:t>
            </w:r>
          </w:p>
        </w:tc>
        <w:tc>
          <w:tcPr>
            <w:tcW w:w="785" w:type="dxa"/>
            <w:noWrap w:val="0"/>
            <w:vAlign w:val="center"/>
          </w:tcPr>
          <w:p w14:paraId="6D87EB0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52</w:t>
            </w:r>
          </w:p>
        </w:tc>
        <w:tc>
          <w:tcPr>
            <w:tcW w:w="988" w:type="dxa"/>
            <w:noWrap w:val="0"/>
            <w:vAlign w:val="center"/>
          </w:tcPr>
          <w:p w14:paraId="3F5B7C4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186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48E1AE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114</w:t>
            </w:r>
          </w:p>
        </w:tc>
        <w:tc>
          <w:tcPr>
            <w:tcW w:w="978" w:type="dxa"/>
            <w:noWrap w:val="0"/>
            <w:vAlign w:val="center"/>
          </w:tcPr>
          <w:p w14:paraId="0501C30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LED显示屏（风雨操场）电源</w:t>
            </w:r>
          </w:p>
        </w:tc>
        <w:tc>
          <w:tcPr>
            <w:tcW w:w="706" w:type="dxa"/>
            <w:noWrap w:val="0"/>
            <w:vAlign w:val="center"/>
          </w:tcPr>
          <w:p w14:paraId="05681D2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w:t>
            </w:r>
          </w:p>
        </w:tc>
        <w:tc>
          <w:tcPr>
            <w:tcW w:w="6279" w:type="dxa"/>
            <w:noWrap w:val="0"/>
            <w:vAlign w:val="top"/>
          </w:tcPr>
          <w:p w14:paraId="4A1659D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5V40A</w:t>
            </w:r>
          </w:p>
        </w:tc>
        <w:tc>
          <w:tcPr>
            <w:tcW w:w="785" w:type="dxa"/>
            <w:noWrap w:val="0"/>
            <w:vAlign w:val="center"/>
          </w:tcPr>
          <w:p w14:paraId="0135590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t>
            </w:r>
          </w:p>
        </w:tc>
        <w:tc>
          <w:tcPr>
            <w:tcW w:w="988" w:type="dxa"/>
            <w:noWrap w:val="0"/>
            <w:vAlign w:val="center"/>
          </w:tcPr>
          <w:p w14:paraId="1C43081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CFE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D63B17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115</w:t>
            </w:r>
          </w:p>
        </w:tc>
        <w:tc>
          <w:tcPr>
            <w:tcW w:w="978" w:type="dxa"/>
            <w:noWrap w:val="0"/>
            <w:vAlign w:val="center"/>
          </w:tcPr>
          <w:p w14:paraId="580C3C7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LED显示屏（风雨操场）视频处理器</w:t>
            </w:r>
          </w:p>
        </w:tc>
        <w:tc>
          <w:tcPr>
            <w:tcW w:w="706" w:type="dxa"/>
            <w:noWrap w:val="0"/>
            <w:vAlign w:val="center"/>
          </w:tcPr>
          <w:p w14:paraId="137645A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10590D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带载1300像素，最宽16384像素最高8192像素，最大输入分辨率4096×2160@60Hz（支持自定义分辨率设置）输入接口：1路DP 1.4、1路HDMI 2.0、2路HDMI 1.4、2路DVI（支持6画面显示，位置，大小可自由调节）</w:t>
            </w:r>
          </w:p>
          <w:p w14:paraId="09FF58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输出接口：20路千兆网口或者2路万兆光口输出，支持独立音频输入输出（HDMI和DP音频解析）</w:t>
            </w:r>
          </w:p>
          <w:p w14:paraId="40E3C7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支持LAN口控制及手机端APP控制</w:t>
            </w:r>
          </w:p>
        </w:tc>
        <w:tc>
          <w:tcPr>
            <w:tcW w:w="785" w:type="dxa"/>
            <w:noWrap w:val="0"/>
            <w:vAlign w:val="center"/>
          </w:tcPr>
          <w:p w14:paraId="4D31EEA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8F84DD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5A97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B2C593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116</w:t>
            </w:r>
          </w:p>
        </w:tc>
        <w:tc>
          <w:tcPr>
            <w:tcW w:w="978" w:type="dxa"/>
            <w:noWrap w:val="0"/>
            <w:vAlign w:val="center"/>
          </w:tcPr>
          <w:p w14:paraId="67DB410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LED显示屏（风雨操场）结构</w:t>
            </w:r>
          </w:p>
        </w:tc>
        <w:tc>
          <w:tcPr>
            <w:tcW w:w="706" w:type="dxa"/>
            <w:noWrap w:val="0"/>
            <w:vAlign w:val="center"/>
          </w:tcPr>
          <w:p w14:paraId="0AD62FA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结构</w:t>
            </w:r>
          </w:p>
        </w:tc>
        <w:tc>
          <w:tcPr>
            <w:tcW w:w="6279" w:type="dxa"/>
            <w:noWrap w:val="0"/>
            <w:vAlign w:val="top"/>
          </w:tcPr>
          <w:p w14:paraId="7E0969C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壁挂结构，8.42*4.9  </w:t>
            </w:r>
          </w:p>
          <w:p w14:paraId="5DFE07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贴墙钢结构；  </w:t>
            </w:r>
          </w:p>
          <w:p w14:paraId="2D75C9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材料：SPCC 高强度钢板</w:t>
            </w:r>
          </w:p>
          <w:p w14:paraId="1CB9F1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表面处理：静电喷塑</w:t>
            </w:r>
          </w:p>
        </w:tc>
        <w:tc>
          <w:tcPr>
            <w:tcW w:w="785" w:type="dxa"/>
            <w:noWrap w:val="0"/>
            <w:vAlign w:val="center"/>
          </w:tcPr>
          <w:p w14:paraId="49BB06D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42</w:t>
            </w:r>
          </w:p>
        </w:tc>
        <w:tc>
          <w:tcPr>
            <w:tcW w:w="988" w:type="dxa"/>
            <w:noWrap w:val="0"/>
            <w:vAlign w:val="center"/>
          </w:tcPr>
          <w:p w14:paraId="611949C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DA1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E861AB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117</w:t>
            </w:r>
          </w:p>
        </w:tc>
        <w:tc>
          <w:tcPr>
            <w:tcW w:w="978" w:type="dxa"/>
            <w:noWrap w:val="0"/>
            <w:vAlign w:val="center"/>
          </w:tcPr>
          <w:p w14:paraId="2911EEF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LED显示屏（风雨操场）配电柜</w:t>
            </w:r>
          </w:p>
        </w:tc>
        <w:tc>
          <w:tcPr>
            <w:tcW w:w="706" w:type="dxa"/>
            <w:noWrap w:val="0"/>
            <w:vAlign w:val="center"/>
          </w:tcPr>
          <w:p w14:paraId="5F807FC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配电柜</w:t>
            </w:r>
          </w:p>
        </w:tc>
        <w:tc>
          <w:tcPr>
            <w:tcW w:w="6279" w:type="dxa"/>
            <w:noWrap w:val="0"/>
            <w:vAlign w:val="top"/>
          </w:tcPr>
          <w:p w14:paraId="04F54B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1、额定功率：≥40KW，输出路数：3路</w:t>
            </w:r>
          </w:p>
          <w:p w14:paraId="49AA5C0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2、防护功能：具有防静电、抗震动、防电磁干扰；  </w:t>
            </w:r>
          </w:p>
          <w:p w14:paraId="52F126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3、具有电源过压、过流、断电保护、分布上电措施；</w:t>
            </w:r>
          </w:p>
          <w:p w14:paraId="27658A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4、主线4平方，4+1纯铜线缆</w:t>
            </w:r>
          </w:p>
        </w:tc>
        <w:tc>
          <w:tcPr>
            <w:tcW w:w="785" w:type="dxa"/>
            <w:noWrap w:val="0"/>
            <w:vAlign w:val="center"/>
          </w:tcPr>
          <w:p w14:paraId="0388549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CC5C58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B2B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FCAFB6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118</w:t>
            </w:r>
          </w:p>
        </w:tc>
        <w:tc>
          <w:tcPr>
            <w:tcW w:w="978" w:type="dxa"/>
            <w:noWrap w:val="0"/>
            <w:vAlign w:val="center"/>
          </w:tcPr>
          <w:p w14:paraId="43A2A02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LED显示屏（风雨操场）控制电脑</w:t>
            </w:r>
          </w:p>
        </w:tc>
        <w:tc>
          <w:tcPr>
            <w:tcW w:w="706" w:type="dxa"/>
            <w:noWrap w:val="0"/>
            <w:vAlign w:val="center"/>
          </w:tcPr>
          <w:p w14:paraId="37F3C27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控制电脑</w:t>
            </w:r>
          </w:p>
        </w:tc>
        <w:tc>
          <w:tcPr>
            <w:tcW w:w="6279" w:type="dxa"/>
            <w:noWrap w:val="0"/>
            <w:vAlign w:val="top"/>
          </w:tcPr>
          <w:p w14:paraId="7EC202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1、处理器：性能≥KX-U6780A处理器，≥八核，主频≥2.7GHz</w:t>
            </w:r>
          </w:p>
          <w:p w14:paraId="0A9C8AC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2、内存：≥16GB DDR4 UDIMM内存，配置≥2个内存插槽；</w:t>
            </w:r>
          </w:p>
          <w:p w14:paraId="06645C5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3、显卡：集成显卡，支持VGA+HDMI接口，支持4K视频输出；</w:t>
            </w:r>
          </w:p>
          <w:p w14:paraId="7665DC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4、硬盘：≥512GB M.2光驱 选配Slim DVD RW；</w:t>
            </w:r>
          </w:p>
          <w:p w14:paraId="54929B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5、电源：电源功率≤180W；</w:t>
            </w:r>
          </w:p>
          <w:p w14:paraId="25624E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6、网络：1个RJ45 10/100/1000自适应以太网口；</w:t>
            </w:r>
          </w:p>
          <w:p w14:paraId="52E58FD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7、接口扩展：1个PCIe x16，2个PCIe x1扩展槽；USB接口≥8个（其中前置USB3.0数量≥4个，后置USB3.0数量≥2个，USB2.0数量≥2个），音频接口：麦克风1个，耳机1个；后端3个Audio音频接口；</w:t>
            </w:r>
          </w:p>
          <w:p w14:paraId="7C2C442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数据安全：1、支持基于BIOS级的一键备份和恢复的功能（非操作系统自带功能）；2、BIOS级USB屏蔽及智能USB数据保护：USB支持BIOS下全部接口一键开关，前后分组开关；针对存储设备支持全部USB接口一键切换禁止访问模式/只读模式。</w:t>
            </w:r>
          </w:p>
          <w:p w14:paraId="4E6FC0C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9、显示器：≥23.8英寸。                                                                                                                                                      10、出厂麒麟或统信系统</w:t>
            </w:r>
          </w:p>
        </w:tc>
        <w:tc>
          <w:tcPr>
            <w:tcW w:w="785" w:type="dxa"/>
            <w:noWrap w:val="0"/>
            <w:vAlign w:val="center"/>
          </w:tcPr>
          <w:p w14:paraId="3E2C2A9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B5851F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D44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5C9C65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119</w:t>
            </w:r>
          </w:p>
        </w:tc>
        <w:tc>
          <w:tcPr>
            <w:tcW w:w="978" w:type="dxa"/>
            <w:noWrap w:val="0"/>
            <w:vAlign w:val="center"/>
          </w:tcPr>
          <w:p w14:paraId="1A343A8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室外操场：室外P3.076</w:t>
            </w:r>
          </w:p>
        </w:tc>
        <w:tc>
          <w:tcPr>
            <w:tcW w:w="706" w:type="dxa"/>
            <w:noWrap w:val="0"/>
            <w:vAlign w:val="center"/>
          </w:tcPr>
          <w:p w14:paraId="019B5B8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室外P3.076</w:t>
            </w:r>
          </w:p>
        </w:tc>
        <w:tc>
          <w:tcPr>
            <w:tcW w:w="6279" w:type="dxa"/>
            <w:noWrap w:val="0"/>
            <w:vAlign w:val="top"/>
          </w:tcPr>
          <w:p w14:paraId="41DE4D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尺寸：7680×2880mm    点间距：3.076mm</w:t>
            </w:r>
          </w:p>
          <w:p w14:paraId="53D2AE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密度：105688点/m2</w:t>
            </w:r>
          </w:p>
          <w:p w14:paraId="0CA7E7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模组尺寸：320mm*160mm</w:t>
            </w:r>
          </w:p>
          <w:p w14:paraId="6B7A8F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模组拼接平整度：≤0.1mm</w:t>
            </w:r>
          </w:p>
          <w:p w14:paraId="11859B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白平衡亮度:≥800 cd/㎡（色温1800K-10000K），</w:t>
            </w:r>
          </w:p>
          <w:p w14:paraId="6FEDD1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刷新率:≥3840Hz</w:t>
            </w:r>
          </w:p>
          <w:p w14:paraId="1B99D4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水平视角：水平≥160°、垂直≥160°</w:t>
            </w:r>
          </w:p>
          <w:p w14:paraId="123622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色度均匀性:±0.002Cx,Cy之内</w:t>
            </w:r>
          </w:p>
          <w:p w14:paraId="5324E7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对比度:≥8000:1</w:t>
            </w:r>
          </w:p>
          <w:p w14:paraId="5D8FD5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峰值功耗:≤500w/㎡</w:t>
            </w:r>
          </w:p>
          <w:p w14:paraId="15599C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平均功耗:≤200w/㎡</w:t>
            </w:r>
          </w:p>
          <w:p w14:paraId="1F7E75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供电要求:AC100V~240V（50-60Hz）</w:t>
            </w:r>
          </w:p>
          <w:p w14:paraId="169E65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换帧频率:60Hz-120 Hz</w:t>
            </w:r>
          </w:p>
        </w:tc>
        <w:tc>
          <w:tcPr>
            <w:tcW w:w="785" w:type="dxa"/>
            <w:noWrap w:val="0"/>
            <w:vAlign w:val="center"/>
          </w:tcPr>
          <w:p w14:paraId="4AE697A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22.11</w:t>
            </w:r>
          </w:p>
        </w:tc>
        <w:tc>
          <w:tcPr>
            <w:tcW w:w="988" w:type="dxa"/>
            <w:noWrap w:val="0"/>
            <w:vAlign w:val="center"/>
          </w:tcPr>
          <w:p w14:paraId="51D6E74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9F44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3A09B1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120</w:t>
            </w:r>
          </w:p>
        </w:tc>
        <w:tc>
          <w:tcPr>
            <w:tcW w:w="978" w:type="dxa"/>
            <w:noWrap w:val="0"/>
            <w:vAlign w:val="center"/>
          </w:tcPr>
          <w:p w14:paraId="41B9D07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真分集无线话筒套装</w:t>
            </w:r>
          </w:p>
        </w:tc>
        <w:tc>
          <w:tcPr>
            <w:tcW w:w="706" w:type="dxa"/>
            <w:noWrap w:val="0"/>
            <w:vAlign w:val="center"/>
          </w:tcPr>
          <w:p w14:paraId="1B7E626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真分集无线话筒套装</w:t>
            </w:r>
          </w:p>
        </w:tc>
        <w:tc>
          <w:tcPr>
            <w:tcW w:w="6279" w:type="dxa"/>
            <w:noWrap w:val="0"/>
            <w:vAlign w:val="top"/>
          </w:tcPr>
          <w:p w14:paraId="430719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1.波段范围（UHF）：632MHz～695MHz；</w:t>
            </w:r>
          </w:p>
          <w:p w14:paraId="1CEF87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2.PLL双频道锁相环回路设计；</w:t>
            </w:r>
          </w:p>
          <w:p w14:paraId="5469ED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3.UHF200频道PLL数字锁定自动通讯功能；</w:t>
            </w:r>
          </w:p>
          <w:p w14:paraId="1320E4D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4.显示屏显示功能(显示频率、频道、静噪、电平等)；</w:t>
            </w:r>
          </w:p>
          <w:p w14:paraId="00E294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5.每通道有音量调节功能；</w:t>
            </w:r>
          </w:p>
          <w:p w14:paraId="5730CF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6.AF输出（采用“XLR”型插座分别输出，混合输出）；</w:t>
            </w:r>
          </w:p>
          <w:p w14:paraId="70AB788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7.发射功率调节，高功率14dBm; 低功率6dBm；</w:t>
            </w:r>
          </w:p>
          <w:p w14:paraId="6E38188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8.发射机采用2节5号1.5V碱性电池；</w:t>
            </w:r>
          </w:p>
          <w:p w14:paraId="1C6F44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9.动态范围：88dB;</w:t>
            </w:r>
          </w:p>
          <w:p w14:paraId="0F1ADC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10.最大频偏：±45KHz；</w:t>
            </w:r>
          </w:p>
          <w:p w14:paraId="744A49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11.频率响应：120Hz-16KHz(±3dB)；</w:t>
            </w:r>
          </w:p>
          <w:p w14:paraId="1D7435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12.综合信噪比：≥73dB；</w:t>
            </w:r>
          </w:p>
          <w:p w14:paraId="25DD9F4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13.综合失真度：≤1%；</w:t>
            </w:r>
          </w:p>
          <w:p w14:paraId="323EF6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14.发射机工作时间8小时以上；</w:t>
            </w:r>
          </w:p>
          <w:p w14:paraId="19D56E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15.含1台一拖四接收机及4只手持式话筒</w:t>
            </w:r>
          </w:p>
        </w:tc>
        <w:tc>
          <w:tcPr>
            <w:tcW w:w="785" w:type="dxa"/>
            <w:noWrap w:val="0"/>
            <w:vAlign w:val="center"/>
          </w:tcPr>
          <w:p w14:paraId="45B34D3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center"/>
          </w:tcPr>
          <w:p w14:paraId="480FD60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59A7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445D2D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121</w:t>
            </w:r>
          </w:p>
        </w:tc>
        <w:tc>
          <w:tcPr>
            <w:tcW w:w="978" w:type="dxa"/>
            <w:noWrap w:val="0"/>
            <w:vAlign w:val="center"/>
          </w:tcPr>
          <w:p w14:paraId="584F1FA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室外操场：开关电源</w:t>
            </w:r>
          </w:p>
        </w:tc>
        <w:tc>
          <w:tcPr>
            <w:tcW w:w="706" w:type="dxa"/>
            <w:noWrap w:val="0"/>
            <w:vAlign w:val="center"/>
          </w:tcPr>
          <w:p w14:paraId="1BB379D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开关电源</w:t>
            </w:r>
          </w:p>
        </w:tc>
        <w:tc>
          <w:tcPr>
            <w:tcW w:w="6279" w:type="dxa"/>
            <w:noWrap w:val="0"/>
            <w:vAlign w:val="top"/>
          </w:tcPr>
          <w:p w14:paraId="066EAE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5V40A</w:t>
            </w:r>
          </w:p>
        </w:tc>
        <w:tc>
          <w:tcPr>
            <w:tcW w:w="785" w:type="dxa"/>
            <w:noWrap w:val="0"/>
            <w:vAlign w:val="center"/>
          </w:tcPr>
          <w:p w14:paraId="43FB0F9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150</w:t>
            </w:r>
          </w:p>
        </w:tc>
        <w:tc>
          <w:tcPr>
            <w:tcW w:w="988" w:type="dxa"/>
            <w:noWrap w:val="0"/>
            <w:vAlign w:val="center"/>
          </w:tcPr>
          <w:p w14:paraId="02A94C2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22F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627638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122</w:t>
            </w:r>
          </w:p>
        </w:tc>
        <w:tc>
          <w:tcPr>
            <w:tcW w:w="978" w:type="dxa"/>
            <w:noWrap w:val="0"/>
            <w:vAlign w:val="center"/>
          </w:tcPr>
          <w:p w14:paraId="1AD1676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室外操场：接收卡</w:t>
            </w:r>
          </w:p>
        </w:tc>
        <w:tc>
          <w:tcPr>
            <w:tcW w:w="706" w:type="dxa"/>
            <w:noWrap w:val="0"/>
            <w:vAlign w:val="center"/>
          </w:tcPr>
          <w:p w14:paraId="186D57A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接收卡</w:t>
            </w:r>
          </w:p>
        </w:tc>
        <w:tc>
          <w:tcPr>
            <w:tcW w:w="6279" w:type="dxa"/>
            <w:noWrap w:val="0"/>
            <w:vAlign w:val="top"/>
          </w:tcPr>
          <w:p w14:paraId="572AAE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自带8个HUB75接口，数据组数：16组，最大带载：长度256点，高度512点，支持亮度/色度校正</w:t>
            </w:r>
          </w:p>
        </w:tc>
        <w:tc>
          <w:tcPr>
            <w:tcW w:w="785" w:type="dxa"/>
            <w:noWrap w:val="0"/>
            <w:vAlign w:val="center"/>
          </w:tcPr>
          <w:p w14:paraId="509E545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50</w:t>
            </w:r>
          </w:p>
        </w:tc>
        <w:tc>
          <w:tcPr>
            <w:tcW w:w="988" w:type="dxa"/>
            <w:noWrap w:val="0"/>
            <w:vAlign w:val="center"/>
          </w:tcPr>
          <w:p w14:paraId="0F10F74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2C2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5FBF81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123</w:t>
            </w:r>
          </w:p>
        </w:tc>
        <w:tc>
          <w:tcPr>
            <w:tcW w:w="978" w:type="dxa"/>
            <w:noWrap w:val="0"/>
            <w:vAlign w:val="center"/>
          </w:tcPr>
          <w:p w14:paraId="3939C86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室外操场：视频处理器</w:t>
            </w:r>
          </w:p>
        </w:tc>
        <w:tc>
          <w:tcPr>
            <w:tcW w:w="706" w:type="dxa"/>
            <w:noWrap w:val="0"/>
            <w:vAlign w:val="center"/>
          </w:tcPr>
          <w:p w14:paraId="23ABEFF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52B9FA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带载260W像素，最宽4096像素最高2560像素，最大输入分辨率1920*1080@60Hz（支持自定义分辨率设置）输入接口：1路HDMI 1.4、2路DVI，输出接口：4路千兆网口，支持USB级联控制</w:t>
            </w:r>
          </w:p>
        </w:tc>
        <w:tc>
          <w:tcPr>
            <w:tcW w:w="785" w:type="dxa"/>
            <w:noWrap w:val="0"/>
            <w:vAlign w:val="center"/>
          </w:tcPr>
          <w:p w14:paraId="062CCB2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B9AAF6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D8A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F0C1F7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124</w:t>
            </w:r>
          </w:p>
        </w:tc>
        <w:tc>
          <w:tcPr>
            <w:tcW w:w="978" w:type="dxa"/>
            <w:noWrap w:val="0"/>
            <w:vAlign w:val="center"/>
          </w:tcPr>
          <w:p w14:paraId="0AED69D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室外操场：简易箱体</w:t>
            </w:r>
          </w:p>
        </w:tc>
        <w:tc>
          <w:tcPr>
            <w:tcW w:w="706" w:type="dxa"/>
            <w:noWrap w:val="0"/>
            <w:vAlign w:val="center"/>
          </w:tcPr>
          <w:p w14:paraId="1C38D87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简易箱体</w:t>
            </w:r>
          </w:p>
        </w:tc>
        <w:tc>
          <w:tcPr>
            <w:tcW w:w="6279" w:type="dxa"/>
            <w:noWrap w:val="0"/>
            <w:vAlign w:val="top"/>
          </w:tcPr>
          <w:p w14:paraId="48F7A4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箱体尺寸：960×960，材质：铁/铝；防护等级（正面/背面）：IP65/IP43</w:t>
            </w:r>
          </w:p>
        </w:tc>
        <w:tc>
          <w:tcPr>
            <w:tcW w:w="785" w:type="dxa"/>
            <w:noWrap w:val="0"/>
            <w:vAlign w:val="center"/>
          </w:tcPr>
          <w:p w14:paraId="4620A4D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24</w:t>
            </w:r>
          </w:p>
        </w:tc>
        <w:tc>
          <w:tcPr>
            <w:tcW w:w="988" w:type="dxa"/>
            <w:noWrap w:val="0"/>
            <w:vAlign w:val="center"/>
          </w:tcPr>
          <w:p w14:paraId="3530059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3206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C24E20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125</w:t>
            </w:r>
          </w:p>
        </w:tc>
        <w:tc>
          <w:tcPr>
            <w:tcW w:w="978" w:type="dxa"/>
            <w:noWrap w:val="0"/>
            <w:vAlign w:val="center"/>
          </w:tcPr>
          <w:p w14:paraId="23C8F16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室外操场：成品网线数据线</w:t>
            </w:r>
          </w:p>
        </w:tc>
        <w:tc>
          <w:tcPr>
            <w:tcW w:w="706" w:type="dxa"/>
            <w:noWrap w:val="0"/>
            <w:vAlign w:val="center"/>
          </w:tcPr>
          <w:p w14:paraId="2F6C0E5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成品网线数据线</w:t>
            </w:r>
          </w:p>
        </w:tc>
        <w:tc>
          <w:tcPr>
            <w:tcW w:w="6279" w:type="dxa"/>
            <w:noWrap w:val="0"/>
            <w:vAlign w:val="center"/>
          </w:tcPr>
          <w:p w14:paraId="3B906506">
            <w:p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CAT6 材质：无氧铜芯。绝缘层为聚乙烯材料；</w:t>
            </w:r>
          </w:p>
          <w:p w14:paraId="12174932">
            <w:p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频率范围：1MHz-250MHz，支持速率：常规1Gbps，短距离可达10Gbps；兼容10GBASE-T网络</w:t>
            </w:r>
          </w:p>
        </w:tc>
        <w:tc>
          <w:tcPr>
            <w:tcW w:w="785" w:type="dxa"/>
            <w:noWrap w:val="0"/>
            <w:vAlign w:val="center"/>
          </w:tcPr>
          <w:p w14:paraId="2C2B404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658A048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114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81050C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126</w:t>
            </w:r>
          </w:p>
        </w:tc>
        <w:tc>
          <w:tcPr>
            <w:tcW w:w="978" w:type="dxa"/>
            <w:noWrap w:val="0"/>
            <w:vAlign w:val="center"/>
          </w:tcPr>
          <w:p w14:paraId="1C713A2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室外操场：三芯220v电源线</w:t>
            </w:r>
          </w:p>
        </w:tc>
        <w:tc>
          <w:tcPr>
            <w:tcW w:w="706" w:type="dxa"/>
            <w:noWrap w:val="0"/>
            <w:vAlign w:val="center"/>
          </w:tcPr>
          <w:p w14:paraId="6623037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三芯220v电源线</w:t>
            </w:r>
          </w:p>
        </w:tc>
        <w:tc>
          <w:tcPr>
            <w:tcW w:w="6279" w:type="dxa"/>
            <w:noWrap w:val="0"/>
            <w:vAlign w:val="top"/>
          </w:tcPr>
          <w:p w14:paraId="38ED00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规格：RVV3×2.5mm²  导体材质：无氧铜  绝缘材质：聚乙烯绝缘</w:t>
            </w:r>
          </w:p>
        </w:tc>
        <w:tc>
          <w:tcPr>
            <w:tcW w:w="785" w:type="dxa"/>
            <w:noWrap w:val="0"/>
            <w:vAlign w:val="center"/>
          </w:tcPr>
          <w:p w14:paraId="1223A22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150</w:t>
            </w:r>
          </w:p>
        </w:tc>
        <w:tc>
          <w:tcPr>
            <w:tcW w:w="988" w:type="dxa"/>
            <w:noWrap w:val="0"/>
            <w:vAlign w:val="center"/>
          </w:tcPr>
          <w:p w14:paraId="5F3EBA0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899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AA352A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127</w:t>
            </w:r>
          </w:p>
        </w:tc>
        <w:tc>
          <w:tcPr>
            <w:tcW w:w="978" w:type="dxa"/>
            <w:noWrap w:val="0"/>
            <w:vAlign w:val="center"/>
          </w:tcPr>
          <w:p w14:paraId="2165A04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室外操场：安装调试费</w:t>
            </w:r>
          </w:p>
        </w:tc>
        <w:tc>
          <w:tcPr>
            <w:tcW w:w="706" w:type="dxa"/>
            <w:noWrap w:val="0"/>
            <w:vAlign w:val="center"/>
          </w:tcPr>
          <w:p w14:paraId="06DC001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安装调试费</w:t>
            </w:r>
          </w:p>
        </w:tc>
        <w:tc>
          <w:tcPr>
            <w:tcW w:w="6279" w:type="dxa"/>
            <w:noWrap w:val="0"/>
            <w:vAlign w:val="top"/>
          </w:tcPr>
          <w:p w14:paraId="77AD30E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设备安装、系统调试、技术培训费用</w:t>
            </w:r>
          </w:p>
        </w:tc>
        <w:tc>
          <w:tcPr>
            <w:tcW w:w="785" w:type="dxa"/>
            <w:noWrap w:val="0"/>
            <w:vAlign w:val="center"/>
          </w:tcPr>
          <w:p w14:paraId="5210E19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22.11</w:t>
            </w:r>
          </w:p>
        </w:tc>
        <w:tc>
          <w:tcPr>
            <w:tcW w:w="988" w:type="dxa"/>
            <w:noWrap w:val="0"/>
            <w:vAlign w:val="center"/>
          </w:tcPr>
          <w:p w14:paraId="13683F2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1234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80EC21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128</w:t>
            </w:r>
          </w:p>
        </w:tc>
        <w:tc>
          <w:tcPr>
            <w:tcW w:w="978" w:type="dxa"/>
            <w:noWrap w:val="0"/>
            <w:vAlign w:val="center"/>
          </w:tcPr>
          <w:p w14:paraId="08D459D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室外操场：大屏结构装饰</w:t>
            </w:r>
          </w:p>
        </w:tc>
        <w:tc>
          <w:tcPr>
            <w:tcW w:w="706" w:type="dxa"/>
            <w:noWrap w:val="0"/>
            <w:vAlign w:val="center"/>
          </w:tcPr>
          <w:p w14:paraId="18B0434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大屏结构装饰</w:t>
            </w:r>
          </w:p>
        </w:tc>
        <w:tc>
          <w:tcPr>
            <w:tcW w:w="6279" w:type="dxa"/>
            <w:noWrap w:val="0"/>
            <w:vAlign w:val="top"/>
          </w:tcPr>
          <w:p w14:paraId="520478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户外版、铝塑板、厚度≧3mm 密封胶</w:t>
            </w:r>
          </w:p>
        </w:tc>
        <w:tc>
          <w:tcPr>
            <w:tcW w:w="785" w:type="dxa"/>
            <w:noWrap w:val="0"/>
            <w:vAlign w:val="center"/>
          </w:tcPr>
          <w:p w14:paraId="369C580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22.11</w:t>
            </w:r>
          </w:p>
        </w:tc>
        <w:tc>
          <w:tcPr>
            <w:tcW w:w="988" w:type="dxa"/>
            <w:noWrap w:val="0"/>
            <w:vAlign w:val="center"/>
          </w:tcPr>
          <w:p w14:paraId="48D9758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EE42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E4A5A1F">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129</w:t>
            </w:r>
          </w:p>
        </w:tc>
        <w:tc>
          <w:tcPr>
            <w:tcW w:w="978" w:type="dxa"/>
            <w:noWrap w:val="0"/>
            <w:vAlign w:val="center"/>
          </w:tcPr>
          <w:p w14:paraId="493E844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室外操场：智能配电箱</w:t>
            </w:r>
          </w:p>
        </w:tc>
        <w:tc>
          <w:tcPr>
            <w:tcW w:w="706" w:type="dxa"/>
            <w:noWrap w:val="0"/>
            <w:vAlign w:val="center"/>
          </w:tcPr>
          <w:p w14:paraId="6127521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智能配电箱</w:t>
            </w:r>
          </w:p>
        </w:tc>
        <w:tc>
          <w:tcPr>
            <w:tcW w:w="6279" w:type="dxa"/>
            <w:noWrap w:val="0"/>
            <w:vAlign w:val="top"/>
          </w:tcPr>
          <w:p w14:paraId="42DF456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1、额定功率：≥30KW</w:t>
            </w:r>
          </w:p>
          <w:p w14:paraId="24BEEFE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2、防护功能：具有防静电、抗震动、防电磁干扰；  </w:t>
            </w:r>
          </w:p>
          <w:p w14:paraId="08F4220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3、具有电源过压、过流、断电保护、分布上电措施；</w:t>
            </w:r>
          </w:p>
          <w:p w14:paraId="144F558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4、主线4平方，4+1纯铜线缆</w:t>
            </w:r>
          </w:p>
        </w:tc>
        <w:tc>
          <w:tcPr>
            <w:tcW w:w="785" w:type="dxa"/>
            <w:noWrap w:val="0"/>
            <w:vAlign w:val="center"/>
          </w:tcPr>
          <w:p w14:paraId="5F6F804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7C35F2C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507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DCC244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130</w:t>
            </w:r>
          </w:p>
        </w:tc>
        <w:tc>
          <w:tcPr>
            <w:tcW w:w="978" w:type="dxa"/>
            <w:noWrap w:val="0"/>
            <w:vAlign w:val="center"/>
          </w:tcPr>
          <w:p w14:paraId="1AE88F1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室外操场：双8寸线性阵列</w:t>
            </w:r>
          </w:p>
        </w:tc>
        <w:tc>
          <w:tcPr>
            <w:tcW w:w="706" w:type="dxa"/>
            <w:noWrap w:val="0"/>
            <w:vAlign w:val="center"/>
          </w:tcPr>
          <w:p w14:paraId="4581BC1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双8寸线性阵列</w:t>
            </w:r>
          </w:p>
        </w:tc>
        <w:tc>
          <w:tcPr>
            <w:tcW w:w="6279" w:type="dxa"/>
            <w:noWrap w:val="0"/>
            <w:vAlign w:val="top"/>
          </w:tcPr>
          <w:p w14:paraId="1389B7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 8Ω</w:t>
            </w:r>
          </w:p>
          <w:p w14:paraId="1F341B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 58Hz~18KHz(±3dB）</w:t>
            </w:r>
          </w:p>
          <w:p w14:paraId="2AB970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 8"×2 200W*2 400W</w:t>
            </w:r>
          </w:p>
          <w:p w14:paraId="5916B3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中音Mid Driver/power NONE</w:t>
            </w:r>
          </w:p>
          <w:p w14:paraId="5744CA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50W</w:t>
            </w:r>
          </w:p>
          <w:p w14:paraId="74FDD8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功率460W(RMS)</w:t>
            </w:r>
          </w:p>
          <w:p w14:paraId="5BAF21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灵敏度98dB</w:t>
            </w:r>
          </w:p>
          <w:p w14:paraId="74313F4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连续声压级SPL 124dB</w:t>
            </w:r>
          </w:p>
          <w:p w14:paraId="23AB65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最大声压级 SPL 130dB</w:t>
            </w:r>
          </w:p>
          <w:p w14:paraId="6131B00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扩散角120°Hor×8°Ver</w:t>
            </w:r>
          </w:p>
          <w:p w14:paraId="1EDC11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连接方式  2×NL4R Speakon</w:t>
            </w:r>
          </w:p>
        </w:tc>
        <w:tc>
          <w:tcPr>
            <w:tcW w:w="785" w:type="dxa"/>
            <w:noWrap w:val="0"/>
            <w:vAlign w:val="center"/>
          </w:tcPr>
          <w:p w14:paraId="5EC02ED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w:t>
            </w:r>
          </w:p>
        </w:tc>
        <w:tc>
          <w:tcPr>
            <w:tcW w:w="988" w:type="dxa"/>
            <w:noWrap w:val="0"/>
            <w:vAlign w:val="center"/>
          </w:tcPr>
          <w:p w14:paraId="06C7EBA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6EA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A68219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131</w:t>
            </w:r>
          </w:p>
        </w:tc>
        <w:tc>
          <w:tcPr>
            <w:tcW w:w="978" w:type="dxa"/>
            <w:noWrap w:val="0"/>
            <w:vAlign w:val="center"/>
          </w:tcPr>
          <w:p w14:paraId="7633F98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室外操场：两通道数字功放</w:t>
            </w:r>
          </w:p>
        </w:tc>
        <w:tc>
          <w:tcPr>
            <w:tcW w:w="706" w:type="dxa"/>
            <w:noWrap w:val="0"/>
            <w:vAlign w:val="center"/>
          </w:tcPr>
          <w:p w14:paraId="1F55B32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7C8E1FF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产品描述：                                                          </w:t>
            </w:r>
          </w:p>
          <w:p w14:paraId="7053BE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1、4通道专业放大器，高效，发热量低;</w:t>
            </w:r>
          </w:p>
          <w:p w14:paraId="335D65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2、采用变压器供电，</w:t>
            </w:r>
          </w:p>
          <w:p w14:paraId="1127F6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3、高效的散热系统，机箱内部和表面温度极低;</w:t>
            </w:r>
          </w:p>
          <w:p w14:paraId="4AD390C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4、性能稳定;</w:t>
            </w:r>
          </w:p>
          <w:p w14:paraId="59ADEB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5、高频保护，过载/过流保护，过温保护，输出短路保护，直流保护，失真限幅保护等;</w:t>
            </w:r>
          </w:p>
          <w:p w14:paraId="57F199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6、开机音量渐大功能，</w:t>
            </w:r>
          </w:p>
          <w:p w14:paraId="397085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8、专业级发烧电容 ，                          </w:t>
            </w:r>
          </w:p>
          <w:p w14:paraId="6619BF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0B345F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1、立体声功率：8Ω 800WX4, 4Ω 1500WX4；</w:t>
            </w:r>
          </w:p>
          <w:p w14:paraId="426DBB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2、频率响应：  20Hz-20KHz(±0.5dB)</w:t>
            </w:r>
          </w:p>
          <w:p w14:paraId="577AB7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3、总谐波失真：  ≤0.08%</w:t>
            </w:r>
          </w:p>
          <w:p w14:paraId="04931A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4、信噪比 ：   ≥98dB</w:t>
            </w:r>
          </w:p>
          <w:p w14:paraId="7C7E93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5、阻尼系数：  ≥350</w:t>
            </w:r>
          </w:p>
          <w:p w14:paraId="1D4169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6、输入灵敏度：</w:t>
            </w:r>
          </w:p>
          <w:p w14:paraId="777E1B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0.77V/1.0V/1.4V</w:t>
            </w:r>
          </w:p>
          <w:p w14:paraId="05763C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7、输入阻抗(不平衡/平衡)：   20KΩ/10KΩ</w:t>
            </w:r>
          </w:p>
          <w:p w14:paraId="42AD6F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8、风路：从前向后吹风</w:t>
            </w:r>
          </w:p>
          <w:p w14:paraId="4D46768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9、保护： 软启动、直流、短路、过载、失真限幅、过热、VHF, 音量渐大</w:t>
            </w:r>
          </w:p>
          <w:p w14:paraId="5250A0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10、指示灯：面板指灯：电源、信号UV、削峰、保护</w:t>
            </w:r>
          </w:p>
          <w:p w14:paraId="79DEC8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11、前面板功能： 电源启动开关、音量控制旋钮立体声</w:t>
            </w:r>
          </w:p>
          <w:p w14:paraId="5940A7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12、后面板功能： 输入灵敏度选择开关,接地开关、并接选择开关</w:t>
            </w:r>
          </w:p>
          <w:p w14:paraId="64DADA95">
            <w:pPr>
              <w:rPr>
                <w:rFonts w:hint="eastAsia" w:ascii="宋体" w:hAnsi="宋体" w:eastAsia="宋体" w:cs="宋体"/>
                <w:sz w:val="20"/>
                <w:szCs w:val="20"/>
                <w:vertAlign w:val="baseline"/>
              </w:rPr>
            </w:pPr>
            <w:r>
              <w:rPr>
                <w:rFonts w:hint="eastAsia" w:ascii="宋体" w:hAnsi="宋体" w:eastAsia="宋体" w:cs="宋体"/>
                <w:sz w:val="20"/>
                <w:szCs w:val="20"/>
                <w:vertAlign w:val="baseline"/>
                <w:lang w:val="en-US" w:eastAsia="zh-CN"/>
              </w:rPr>
              <w:t>13、</w:t>
            </w:r>
            <w:r>
              <w:rPr>
                <w:rFonts w:hint="eastAsia" w:ascii="宋体" w:hAnsi="宋体" w:eastAsia="宋体" w:cs="宋体"/>
                <w:sz w:val="20"/>
                <w:szCs w:val="20"/>
                <w:vertAlign w:val="baseline"/>
              </w:rPr>
              <w:t xml:space="preserve">电源 </w:t>
            </w:r>
            <w:r>
              <w:rPr>
                <w:rFonts w:hint="eastAsia" w:ascii="宋体" w:hAnsi="宋体" w:eastAsia="宋体" w:cs="宋体"/>
                <w:sz w:val="20"/>
                <w:szCs w:val="20"/>
                <w:vertAlign w:val="baseline"/>
                <w:lang w:val="en-US" w:eastAsia="zh-CN"/>
              </w:rPr>
              <w:t>:</w:t>
            </w:r>
            <w:r>
              <w:rPr>
                <w:rFonts w:hint="eastAsia" w:ascii="宋体" w:hAnsi="宋体" w:eastAsia="宋体" w:cs="宋体"/>
                <w:sz w:val="20"/>
                <w:szCs w:val="20"/>
                <w:vertAlign w:val="baseline"/>
              </w:rPr>
              <w:t>AC220-240V/50Hz±10%</w:t>
            </w:r>
          </w:p>
        </w:tc>
        <w:tc>
          <w:tcPr>
            <w:tcW w:w="785" w:type="dxa"/>
            <w:noWrap w:val="0"/>
            <w:vAlign w:val="center"/>
          </w:tcPr>
          <w:p w14:paraId="2706E95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75A9CD2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51F2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9F299C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132</w:t>
            </w:r>
          </w:p>
        </w:tc>
        <w:tc>
          <w:tcPr>
            <w:tcW w:w="978" w:type="dxa"/>
            <w:noWrap w:val="0"/>
            <w:vAlign w:val="center"/>
          </w:tcPr>
          <w:p w14:paraId="3C24659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室外操场：300W数字功放</w:t>
            </w:r>
          </w:p>
        </w:tc>
        <w:tc>
          <w:tcPr>
            <w:tcW w:w="706" w:type="dxa"/>
            <w:noWrap w:val="0"/>
            <w:vAlign w:val="center"/>
          </w:tcPr>
          <w:p w14:paraId="4592717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300W数字功放</w:t>
            </w:r>
          </w:p>
        </w:tc>
        <w:tc>
          <w:tcPr>
            <w:tcW w:w="6279" w:type="dxa"/>
            <w:noWrap w:val="0"/>
            <w:vAlign w:val="top"/>
          </w:tcPr>
          <w:p w14:paraId="702551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输出功率：1000Wx2/8Ω; 1500Wx2/4Ω</w:t>
            </w:r>
          </w:p>
          <w:p w14:paraId="5690ADF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24348E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556915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7530960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0CCC53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2D21926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422226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37C682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4B190F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5EAD540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7B51118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w:t>
            </w:r>
          </w:p>
          <w:p w14:paraId="2B1CA4C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+22.0dBu(10.0Vrms)；</w:t>
            </w:r>
          </w:p>
          <w:p w14:paraId="52BDFE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1170D7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270596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66B211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1B32D2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6F8316F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1D0F8AA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DAC1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DC7CA8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133</w:t>
            </w:r>
          </w:p>
        </w:tc>
        <w:tc>
          <w:tcPr>
            <w:tcW w:w="978" w:type="dxa"/>
            <w:noWrap w:val="0"/>
            <w:vAlign w:val="center"/>
          </w:tcPr>
          <w:p w14:paraId="2B017CB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室外操场：超低音音箱</w:t>
            </w:r>
          </w:p>
        </w:tc>
        <w:tc>
          <w:tcPr>
            <w:tcW w:w="706" w:type="dxa"/>
            <w:noWrap w:val="0"/>
            <w:vAlign w:val="center"/>
          </w:tcPr>
          <w:p w14:paraId="3367FB2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超低音音箱</w:t>
            </w:r>
          </w:p>
        </w:tc>
        <w:tc>
          <w:tcPr>
            <w:tcW w:w="6279" w:type="dxa"/>
            <w:noWrap w:val="0"/>
            <w:vAlign w:val="top"/>
          </w:tcPr>
          <w:p w14:paraId="5C204D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 30Hz~300Hz(±3dB）</w:t>
            </w:r>
          </w:p>
          <w:p w14:paraId="5C30FB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低音18"×1 </w:t>
            </w:r>
          </w:p>
          <w:p w14:paraId="56A482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 600W(RMS)</w:t>
            </w:r>
          </w:p>
          <w:p w14:paraId="3D5B6E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 8Ω</w:t>
            </w:r>
          </w:p>
          <w:p w14:paraId="217FF51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灵敏度98dB</w:t>
            </w:r>
          </w:p>
          <w:p w14:paraId="1546AF7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连续声压级 SPL 124dB</w:t>
            </w:r>
          </w:p>
          <w:p w14:paraId="72F32A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最大声压级SPL 130dB</w:t>
            </w:r>
          </w:p>
          <w:p w14:paraId="713F26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扩散角</w:t>
            </w:r>
          </w:p>
          <w:p w14:paraId="47DF64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连接方式 2×NL4R Speakon</w:t>
            </w:r>
          </w:p>
        </w:tc>
        <w:tc>
          <w:tcPr>
            <w:tcW w:w="785" w:type="dxa"/>
            <w:noWrap w:val="0"/>
            <w:vAlign w:val="center"/>
          </w:tcPr>
          <w:p w14:paraId="127DB87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1F9CC9A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DA8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2401B1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134</w:t>
            </w:r>
          </w:p>
        </w:tc>
        <w:tc>
          <w:tcPr>
            <w:tcW w:w="978" w:type="dxa"/>
            <w:noWrap w:val="0"/>
            <w:vAlign w:val="center"/>
          </w:tcPr>
          <w:p w14:paraId="4C17CD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室外操场：两通道数字功放</w:t>
            </w:r>
          </w:p>
        </w:tc>
        <w:tc>
          <w:tcPr>
            <w:tcW w:w="706" w:type="dxa"/>
            <w:noWrap w:val="0"/>
            <w:vAlign w:val="center"/>
          </w:tcPr>
          <w:p w14:paraId="1D166BB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46D2F4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输出功率：1000Wx2/8Ω; 1500Wx2/4Ω</w:t>
            </w:r>
          </w:p>
          <w:p w14:paraId="6C4221F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5DB06C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29357E8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25AE73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09E159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5ED2C9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435147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1BA8ED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4B574F5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0B082A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2E35EB0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4348EC2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1773C35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5BE353C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2D6743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47655D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634A87B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95B70E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ACE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E49AA8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135</w:t>
            </w:r>
          </w:p>
        </w:tc>
        <w:tc>
          <w:tcPr>
            <w:tcW w:w="978" w:type="dxa"/>
            <w:noWrap w:val="0"/>
            <w:vAlign w:val="center"/>
          </w:tcPr>
          <w:p w14:paraId="62CE3C7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室外操场：数字音频处理器</w:t>
            </w:r>
          </w:p>
        </w:tc>
        <w:tc>
          <w:tcPr>
            <w:tcW w:w="706" w:type="dxa"/>
            <w:noWrap w:val="0"/>
            <w:vAlign w:val="center"/>
          </w:tcPr>
          <w:p w14:paraId="4EE1811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数字音频处理器</w:t>
            </w:r>
          </w:p>
        </w:tc>
        <w:tc>
          <w:tcPr>
            <w:tcW w:w="6279" w:type="dxa"/>
            <w:noWrap w:val="0"/>
            <w:vAlign w:val="top"/>
          </w:tcPr>
          <w:p w14:paraId="1BA25E0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1、96KHz采样频率，性能≥32-bit DSP处理器，24-bit A/D及D/A转换                                                                                                                                                      </w:t>
            </w:r>
          </w:p>
          <w:p w14:paraId="4E3DF86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2、设备内每个功能支持单独锁定，可根据现场要求任意开放或锁定某一个单独的功能，防止误操作和数据保密；                                                                                                                                                             </w:t>
            </w:r>
          </w:p>
          <w:p w14:paraId="2327EC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3、每个输入和输出处理均有6段独立的全参量均衡，调节增益范围可达±20dB，同时还可选择参量、高调、低调、1阶全通、2阶全通5种均衡模式；均有延时和相位控制及哑音设置，                                                                                            </w:t>
            </w:r>
          </w:p>
          <w:p w14:paraId="6CEA39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4、设备软件内置中控代码生成器、可实现一键中英文切换，</w:t>
            </w:r>
          </w:p>
          <w:p w14:paraId="17A0A1A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5、可通过外置UTWR1盒与电脑进行连接,可实现互联网远程控制                                                                                                                                                                 </w:t>
            </w:r>
          </w:p>
          <w:p w14:paraId="3C0486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4路平衡式信号输入，8路平衡式信号输出；可灵活组合多种分频模式，高、低通分频点均可达20Hz～20KHz，提供USB2.0、USB3.0和RS485连接电脑或中控设备，其中RS485接口可级连250台设备设ID进行控制</w:t>
            </w:r>
          </w:p>
          <w:p w14:paraId="4C0F69E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每个输入通道可调噪声门，并且每个输入通道有两段全参数可调的动态均衡（DEQ），自动增益控制</w:t>
            </w:r>
          </w:p>
          <w:p w14:paraId="6F6C4CB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输出通道还可独立控制压缩、限幅及自由选择输入信号通道，并能将某通道的所有参数复制到另外一个通道同时进行联动控制</w:t>
            </w:r>
          </w:p>
          <w:p w14:paraId="12CB1DB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2×24 LCD蓝色背光显示功能设置，5段LED显示输入/输出的精确数字电平表、哑音及编辑状态</w:t>
            </w:r>
          </w:p>
          <w:p w14:paraId="45CA2C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单机可存储30组用户程序数据；其它数据可通过PC软件存储于其它存储介质上                                                                                                                                              </w:t>
            </w:r>
          </w:p>
          <w:p w14:paraId="05DAF8B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主要技术参数：                                                                                                                                                                                                         </w:t>
            </w:r>
          </w:p>
          <w:p w14:paraId="031790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输入阻抗：平衡20KΩ，                                                                                                                                                                                         </w:t>
            </w:r>
          </w:p>
          <w:p w14:paraId="5CA80A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输出阻抗：平衡100Ω，                                                                                                                                                                                                                                                                                                                                                                                       </w:t>
            </w:r>
          </w:p>
          <w:p w14:paraId="4AD430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共模拟制比：≥70dB(1KHz)                                                                                                                                                                                     </w:t>
            </w:r>
          </w:p>
          <w:p w14:paraId="50FA1C7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输入范围：≤+25dBu                                                                                                                                                                                             </w:t>
            </w:r>
          </w:p>
          <w:p w14:paraId="2AB116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频率相应：20Hz-20KHz(±0.5dB)                                                                                                                                                                                                                                                                                                                                                                                  </w:t>
            </w:r>
          </w:p>
          <w:p w14:paraId="0DD860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信噪比：≥104dB@1KHz 0dBu                                                                                                                                                                                                                                                                                                                                                                                     失真度：≤0.002% OUTPUT=0dBu/1KHz，                                                                                                                                                                                                                                                                                                                                                                    </w:t>
            </w:r>
          </w:p>
          <w:p w14:paraId="4909E2F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信道分离度：≥104dB（1KHz）                                                                                                                                                                                 </w:t>
            </w:r>
          </w:p>
          <w:p w14:paraId="0834211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功耗：≤42.4W                                                                                                                                                                                                       </w:t>
            </w:r>
          </w:p>
          <w:p w14:paraId="5406BB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电源:AC110V/220V  50/60Hz</w:t>
            </w:r>
          </w:p>
        </w:tc>
        <w:tc>
          <w:tcPr>
            <w:tcW w:w="785" w:type="dxa"/>
            <w:noWrap w:val="0"/>
            <w:vAlign w:val="center"/>
          </w:tcPr>
          <w:p w14:paraId="30155CF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1 </w:t>
            </w:r>
          </w:p>
        </w:tc>
        <w:tc>
          <w:tcPr>
            <w:tcW w:w="988" w:type="dxa"/>
            <w:noWrap w:val="0"/>
            <w:vAlign w:val="center"/>
          </w:tcPr>
          <w:p w14:paraId="386BCE2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2E9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F5C108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136</w:t>
            </w:r>
          </w:p>
        </w:tc>
        <w:tc>
          <w:tcPr>
            <w:tcW w:w="978" w:type="dxa"/>
            <w:noWrap w:val="0"/>
            <w:vAlign w:val="center"/>
          </w:tcPr>
          <w:p w14:paraId="4F42C9A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室外操场：音响架</w:t>
            </w:r>
          </w:p>
        </w:tc>
        <w:tc>
          <w:tcPr>
            <w:tcW w:w="706" w:type="dxa"/>
            <w:noWrap w:val="0"/>
            <w:vAlign w:val="center"/>
          </w:tcPr>
          <w:p w14:paraId="63D1F3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音响架</w:t>
            </w:r>
          </w:p>
        </w:tc>
        <w:tc>
          <w:tcPr>
            <w:tcW w:w="6279" w:type="dxa"/>
            <w:noWrap w:val="0"/>
            <w:vAlign w:val="top"/>
          </w:tcPr>
          <w:p w14:paraId="5CD6DB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双8"线阵、双10"线阵田字架（配4个吊环+2根飞机带）</w:t>
            </w:r>
          </w:p>
        </w:tc>
        <w:tc>
          <w:tcPr>
            <w:tcW w:w="785" w:type="dxa"/>
            <w:noWrap w:val="0"/>
            <w:vAlign w:val="center"/>
          </w:tcPr>
          <w:p w14:paraId="5A7462B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2143D99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58C6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59FF1C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137</w:t>
            </w:r>
          </w:p>
        </w:tc>
        <w:tc>
          <w:tcPr>
            <w:tcW w:w="978" w:type="dxa"/>
            <w:noWrap w:val="0"/>
            <w:vAlign w:val="center"/>
          </w:tcPr>
          <w:p w14:paraId="579AA9A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室外操场：12寸专业箱</w:t>
            </w:r>
          </w:p>
        </w:tc>
        <w:tc>
          <w:tcPr>
            <w:tcW w:w="706" w:type="dxa"/>
            <w:noWrap w:val="0"/>
            <w:vAlign w:val="center"/>
          </w:tcPr>
          <w:p w14:paraId="2CD0006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12寸专业箱</w:t>
            </w:r>
          </w:p>
        </w:tc>
        <w:tc>
          <w:tcPr>
            <w:tcW w:w="6279" w:type="dxa"/>
            <w:noWrap w:val="0"/>
            <w:vAlign w:val="top"/>
          </w:tcPr>
          <w:p w14:paraId="6C3F7E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1、全频音箱配置，</w:t>
            </w:r>
          </w:p>
          <w:p w14:paraId="0A58DF8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2、箱体采用桦木夹板,水性环保喷涂制作，</w:t>
            </w:r>
          </w:p>
          <w:p w14:paraId="099708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3、面网 黑/白色多孔喷粉钢网和透声的音箱网布</w:t>
            </w:r>
          </w:p>
          <w:p w14:paraId="1F4477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详细参数：</w:t>
            </w:r>
          </w:p>
          <w:p w14:paraId="764FF0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参数</w:t>
            </w:r>
          </w:p>
          <w:p w14:paraId="197C03B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 55Hz~20KHz(±3dB)</w:t>
            </w:r>
          </w:p>
          <w:p w14:paraId="38D8F58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低音LOW/Mid Driver 12〞×1</w:t>
            </w:r>
          </w:p>
          <w:p w14:paraId="0499BC2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34mm×1</w:t>
            </w:r>
          </w:p>
          <w:p w14:paraId="3EF247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功率≥350W(RMS)</w:t>
            </w:r>
          </w:p>
          <w:p w14:paraId="3C2F2A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阻抗lmpedance 8Ω</w:t>
            </w:r>
          </w:p>
          <w:p w14:paraId="7F8BFF2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98dB</w:t>
            </w:r>
          </w:p>
          <w:p w14:paraId="5E1099C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连续声压级 SPL 123dB</w:t>
            </w:r>
          </w:p>
          <w:p w14:paraId="7CE7B0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最大声压级 SPL 129dB</w:t>
            </w:r>
          </w:p>
          <w:p w14:paraId="44F5B5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扩散角 90°Hor×50°Ver</w:t>
            </w:r>
          </w:p>
          <w:p w14:paraId="5A4E9A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连接方式t2×NL4R Speakon</w:t>
            </w:r>
          </w:p>
          <w:p w14:paraId="41A527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功放 400W/8Ω~500W/8Ω</w:t>
            </w:r>
          </w:p>
        </w:tc>
        <w:tc>
          <w:tcPr>
            <w:tcW w:w="785" w:type="dxa"/>
            <w:noWrap w:val="0"/>
            <w:vAlign w:val="center"/>
          </w:tcPr>
          <w:p w14:paraId="7849453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4 </w:t>
            </w:r>
          </w:p>
        </w:tc>
        <w:tc>
          <w:tcPr>
            <w:tcW w:w="988" w:type="dxa"/>
            <w:noWrap w:val="0"/>
            <w:vAlign w:val="center"/>
          </w:tcPr>
          <w:p w14:paraId="05B5F9D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1B41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51B774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138</w:t>
            </w:r>
          </w:p>
        </w:tc>
        <w:tc>
          <w:tcPr>
            <w:tcW w:w="978" w:type="dxa"/>
            <w:noWrap w:val="0"/>
            <w:vAlign w:val="center"/>
          </w:tcPr>
          <w:p w14:paraId="66BF07F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室外操场：两通道数字功放</w:t>
            </w:r>
          </w:p>
        </w:tc>
        <w:tc>
          <w:tcPr>
            <w:tcW w:w="706" w:type="dxa"/>
            <w:noWrap w:val="0"/>
            <w:vAlign w:val="center"/>
          </w:tcPr>
          <w:p w14:paraId="771C3E1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29570A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输出功率：650Wx2/8Ω; 1100Wx2/4Ω</w:t>
            </w:r>
          </w:p>
          <w:p w14:paraId="69A9B99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53F360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0A2CE6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2A8EC3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7E5922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057AEC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13B2CF1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1130111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2FA7D5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65ED43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2D2CFB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425072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4F8C0F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3BFCF7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628306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5973BD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110B3D9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63FD279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7AD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5BDBDF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139</w:t>
            </w:r>
          </w:p>
        </w:tc>
        <w:tc>
          <w:tcPr>
            <w:tcW w:w="978" w:type="dxa"/>
            <w:noWrap w:val="0"/>
            <w:vAlign w:val="center"/>
          </w:tcPr>
          <w:p w14:paraId="04D9C50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室外操场：12寸返听箱</w:t>
            </w:r>
          </w:p>
        </w:tc>
        <w:tc>
          <w:tcPr>
            <w:tcW w:w="706" w:type="dxa"/>
            <w:noWrap w:val="0"/>
            <w:vAlign w:val="center"/>
          </w:tcPr>
          <w:p w14:paraId="201E73C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12寸返听箱</w:t>
            </w:r>
          </w:p>
        </w:tc>
        <w:tc>
          <w:tcPr>
            <w:tcW w:w="6279" w:type="dxa"/>
            <w:noWrap w:val="0"/>
            <w:vAlign w:val="top"/>
          </w:tcPr>
          <w:p w14:paraId="5C83B8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系统类型：12"2单元2分频返听扬声器</w:t>
            </w:r>
          </w:p>
          <w:p w14:paraId="203F35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低音LF ：1×12"</w:t>
            </w:r>
          </w:p>
          <w:p w14:paraId="2131A4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高音HF ：1×1.75"动圈</w:t>
            </w:r>
          </w:p>
          <w:p w14:paraId="22D33AD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频响范围(Hz)：55-20KHz (±3dB)</w:t>
            </w:r>
          </w:p>
          <w:p w14:paraId="3A239F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阻抗(ohms)：8Ω</w:t>
            </w:r>
          </w:p>
          <w:p w14:paraId="297142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额定功率 (W)：400W</w:t>
            </w:r>
          </w:p>
          <w:p w14:paraId="2B2AAA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峰值功率 (W)：1600W</w:t>
            </w:r>
          </w:p>
          <w:p w14:paraId="7E2BFAC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灵敏度(SPL 1W@1M)：99dB</w:t>
            </w:r>
          </w:p>
          <w:p w14:paraId="3B06B0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最大声压(dB)：125dB</w:t>
            </w:r>
          </w:p>
          <w:p w14:paraId="43AD6A1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覆盖角度(Hx V): 60°×90°</w:t>
            </w:r>
          </w:p>
          <w:p w14:paraId="508662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连接器 ：2 x Speakon NL4</w:t>
            </w:r>
          </w:p>
          <w:p w14:paraId="31DA50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连接方式：±1…LHF </w:t>
            </w:r>
          </w:p>
          <w:p w14:paraId="69DEEDF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系统类型 内置分频</w:t>
            </w:r>
          </w:p>
          <w:p w14:paraId="317CC1C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箱体类型 多边形箱体 </w:t>
            </w:r>
          </w:p>
          <w:p w14:paraId="1CFBD30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箱体表面处理:黑色环保点漆</w:t>
            </w:r>
          </w:p>
          <w:p w14:paraId="493237C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面网: 黑色多孔喷粉钢网和透声的音箱网布  </w:t>
            </w:r>
          </w:p>
        </w:tc>
        <w:tc>
          <w:tcPr>
            <w:tcW w:w="785" w:type="dxa"/>
            <w:noWrap w:val="0"/>
            <w:vAlign w:val="center"/>
          </w:tcPr>
          <w:p w14:paraId="3D367F1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1BF64E2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56A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CF8FFE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140</w:t>
            </w:r>
          </w:p>
        </w:tc>
        <w:tc>
          <w:tcPr>
            <w:tcW w:w="978" w:type="dxa"/>
            <w:noWrap w:val="0"/>
            <w:vAlign w:val="center"/>
          </w:tcPr>
          <w:p w14:paraId="1581277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室外操场：两通道数字功放</w:t>
            </w:r>
          </w:p>
        </w:tc>
        <w:tc>
          <w:tcPr>
            <w:tcW w:w="706" w:type="dxa"/>
            <w:noWrap w:val="0"/>
            <w:vAlign w:val="center"/>
          </w:tcPr>
          <w:p w14:paraId="6F6E51B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两通道数字功放</w:t>
            </w:r>
          </w:p>
        </w:tc>
        <w:tc>
          <w:tcPr>
            <w:tcW w:w="6279" w:type="dxa"/>
            <w:noWrap w:val="0"/>
            <w:vAlign w:val="top"/>
          </w:tcPr>
          <w:p w14:paraId="352B6A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输出功率：650Wx2/8Ω; 1100Wx2/4Ω</w:t>
            </w:r>
          </w:p>
          <w:p w14:paraId="728DCE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1CD4C4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372D420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463CC50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62EF62F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3352E38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10493B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4D9409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3119D8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6CF01A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4120CB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0A2E0FF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31D337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6BAF4A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60B548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49A5AB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57E7AED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1 </w:t>
            </w:r>
          </w:p>
        </w:tc>
        <w:tc>
          <w:tcPr>
            <w:tcW w:w="988" w:type="dxa"/>
            <w:noWrap w:val="0"/>
            <w:vAlign w:val="center"/>
          </w:tcPr>
          <w:p w14:paraId="281EABF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1F0E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073D9B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141</w:t>
            </w:r>
          </w:p>
        </w:tc>
        <w:tc>
          <w:tcPr>
            <w:tcW w:w="978" w:type="dxa"/>
            <w:noWrap w:val="0"/>
            <w:vAlign w:val="center"/>
          </w:tcPr>
          <w:p w14:paraId="6851B9F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室外操场：模拟调音台</w:t>
            </w:r>
          </w:p>
        </w:tc>
        <w:tc>
          <w:tcPr>
            <w:tcW w:w="706" w:type="dxa"/>
            <w:noWrap w:val="0"/>
            <w:vAlign w:val="center"/>
          </w:tcPr>
          <w:p w14:paraId="7A8F2F9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模拟调音台</w:t>
            </w:r>
          </w:p>
        </w:tc>
        <w:tc>
          <w:tcPr>
            <w:tcW w:w="6279" w:type="dxa"/>
            <w:noWrap w:val="0"/>
            <w:vAlign w:val="top"/>
          </w:tcPr>
          <w:p w14:paraId="29E183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 20路输入，12个单声道+4个立体声输入</w:t>
            </w:r>
          </w:p>
          <w:p w14:paraId="2C2F507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 通道3段参量均衡器+扫频，耳机监听输出 </w:t>
            </w:r>
          </w:p>
          <w:p w14:paraId="767161E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3、 COMP压限，PAN声像定位，静音开关，OL/信号失真监控灯 </w:t>
            </w:r>
          </w:p>
          <w:p w14:paraId="66D355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4、 主声道L/R，SUB编组，PFL独奏等母线信号分配按钮 </w:t>
            </w:r>
          </w:p>
          <w:p w14:paraId="5C52580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 60mm高精度电平衰减推子</w:t>
            </w:r>
          </w:p>
          <w:p w14:paraId="15FEB0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 AUX辅助发送，效果FX发送功能，REC录音输出  </w:t>
            </w:r>
          </w:p>
          <w:p w14:paraId="6EF72D1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 2路立体声辅助返回输入外接其他电子设备，方便使用</w:t>
            </w:r>
          </w:p>
          <w:p w14:paraId="68209B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 蓝牙、USB接口，播放和保存音频文件</w:t>
            </w:r>
          </w:p>
          <w:p w14:paraId="14EBBB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9、 内置99种24BIT DSP 预设效果种类，彩色显示屏 </w:t>
            </w:r>
          </w:p>
          <w:p w14:paraId="30E2F56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10、 SUB1/4编组输出 ，双12段电平监视，48V幻象供电 </w:t>
            </w:r>
          </w:p>
          <w:p w14:paraId="2F8B6C69">
            <w:pPr>
              <w:rPr>
                <w:rFonts w:hint="eastAsia" w:ascii="宋体" w:hAnsi="宋体" w:eastAsia="宋体" w:cs="宋体"/>
                <w:sz w:val="20"/>
                <w:szCs w:val="20"/>
                <w:vertAlign w:val="baseline"/>
                <w:lang w:eastAsia="zh-CN"/>
              </w:rPr>
            </w:pPr>
            <w:r>
              <w:rPr>
                <w:rFonts w:hint="eastAsia" w:ascii="宋体" w:hAnsi="宋体" w:eastAsia="宋体" w:cs="宋体"/>
                <w:sz w:val="20"/>
                <w:szCs w:val="20"/>
                <w:vertAlign w:val="baseline"/>
              </w:rPr>
              <w:t>11、 内置110V/240V，50-60Hz宽频电源</w:t>
            </w:r>
          </w:p>
        </w:tc>
        <w:tc>
          <w:tcPr>
            <w:tcW w:w="785" w:type="dxa"/>
            <w:noWrap w:val="0"/>
            <w:vAlign w:val="center"/>
          </w:tcPr>
          <w:p w14:paraId="2A4C976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1 </w:t>
            </w:r>
          </w:p>
        </w:tc>
        <w:tc>
          <w:tcPr>
            <w:tcW w:w="988" w:type="dxa"/>
            <w:noWrap w:val="0"/>
            <w:vAlign w:val="center"/>
          </w:tcPr>
          <w:p w14:paraId="2F146C2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DBE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85BA9F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142</w:t>
            </w:r>
          </w:p>
        </w:tc>
        <w:tc>
          <w:tcPr>
            <w:tcW w:w="978" w:type="dxa"/>
            <w:noWrap w:val="0"/>
            <w:vAlign w:val="center"/>
          </w:tcPr>
          <w:p w14:paraId="20EA4FC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室外操场：电源时序器</w:t>
            </w:r>
          </w:p>
        </w:tc>
        <w:tc>
          <w:tcPr>
            <w:tcW w:w="706" w:type="dxa"/>
            <w:noWrap w:val="0"/>
            <w:vAlign w:val="center"/>
          </w:tcPr>
          <w:p w14:paraId="2FC8A16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电源时序器</w:t>
            </w:r>
          </w:p>
        </w:tc>
        <w:tc>
          <w:tcPr>
            <w:tcW w:w="6279" w:type="dxa"/>
            <w:noWrap w:val="0"/>
            <w:vAlign w:val="top"/>
          </w:tcPr>
          <w:p w14:paraId="54C7D7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1、 ≧2 寸彩色液晶智能显示窗，实时显示当前电压、电流，功率显示屏。 </w:t>
            </w:r>
          </w:p>
          <w:p w14:paraId="3C96FF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2、 电力输入条件(单相3线)：   AC220-240V 50-60HZ两相（三线：零，火，地）</w:t>
            </w:r>
          </w:p>
          <w:p w14:paraId="6AA16F1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3、≧8 路通道输出，每路延时开启和关闭时间可自由设置(范围0~9959)</w:t>
            </w:r>
          </w:p>
          <w:p w14:paraId="0849B1D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4、 继电器受控输出最大承受单路功率/总功率(无功功率）：2000W/6000W最大承受无功功率</w:t>
            </w:r>
          </w:p>
          <w:p w14:paraId="17FDC7E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5、 输出电源插座规格：阻燃ABS材料，最大可承受13A电流磷铜材质，标准万用插座</w:t>
            </w:r>
          </w:p>
          <w:p w14:paraId="1F4AD02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6 、功能特点：1：点阵功能显示 2：准数码电压显示 3：内置时钟，定时开关机 4：顺序开启逆序关闭 5：10组数据保存，提取   6：时间间隔可调 </w:t>
            </w:r>
          </w:p>
          <w:p w14:paraId="0C0164E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7、 通道数量10路：8路万用插座继电器受控与2路万用插座直通，</w:t>
            </w:r>
          </w:p>
          <w:p w14:paraId="1C5E3A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8 、输出继电器触点电流：10A 277VAC</w:t>
            </w:r>
          </w:p>
          <w:p w14:paraId="2ADD00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9 、≧10 组设备开关场景数据保存/调用。</w:t>
            </w:r>
          </w:p>
          <w:p w14:paraId="33DB270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 供电规格：内置变压器，适用电压220V-240V 50-60HZ</w:t>
            </w:r>
          </w:p>
          <w:p w14:paraId="2176FE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 主电缆线规格：3*4平方电缆线，总长度为1.2米（无配电源输入插头）</w:t>
            </w:r>
          </w:p>
          <w:p w14:paraId="344C90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 定时开关机功能，内置时钟芯片，可根据日期时间设定，无需人为操作，让设备管更简单。</w:t>
            </w:r>
          </w:p>
          <w:p w14:paraId="2D28B6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 单路独立开关功能：支持面板独立控制</w:t>
            </w:r>
          </w:p>
          <w:p w14:paraId="3FDD353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14 、支持多台设备级联控制，级联状态可自动检测及设置。</w:t>
            </w:r>
          </w:p>
          <w:p w14:paraId="1ED3005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15、 支持面板 Lock 锁定功能，防止人为误操作。</w:t>
            </w:r>
          </w:p>
          <w:p w14:paraId="561D0F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16 、外接控制开关接口：RS232 接口，支持外部中央控制设备控制</w:t>
            </w:r>
          </w:p>
          <w:p w14:paraId="1D2BD5C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17 、随机控制软件及支持中控功能与ID数量分配：自带指令代码与控制软件</w:t>
            </w:r>
          </w:p>
          <w:p w14:paraId="40B744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18、 电源净化功能</w:t>
            </w:r>
          </w:p>
        </w:tc>
        <w:tc>
          <w:tcPr>
            <w:tcW w:w="785" w:type="dxa"/>
            <w:noWrap w:val="0"/>
            <w:vAlign w:val="center"/>
          </w:tcPr>
          <w:p w14:paraId="0327E8C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3 </w:t>
            </w:r>
          </w:p>
        </w:tc>
        <w:tc>
          <w:tcPr>
            <w:tcW w:w="988" w:type="dxa"/>
            <w:noWrap w:val="0"/>
            <w:vAlign w:val="center"/>
          </w:tcPr>
          <w:p w14:paraId="7CBD1AC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6B2B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BA0FFC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143</w:t>
            </w:r>
          </w:p>
        </w:tc>
        <w:tc>
          <w:tcPr>
            <w:tcW w:w="978" w:type="dxa"/>
            <w:noWrap w:val="0"/>
            <w:vAlign w:val="center"/>
          </w:tcPr>
          <w:p w14:paraId="2090B31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室外操场：反馈抑制器</w:t>
            </w:r>
          </w:p>
        </w:tc>
        <w:tc>
          <w:tcPr>
            <w:tcW w:w="706" w:type="dxa"/>
            <w:noWrap w:val="0"/>
            <w:vAlign w:val="center"/>
          </w:tcPr>
          <w:p w14:paraId="44FB157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反馈抑制器</w:t>
            </w:r>
          </w:p>
        </w:tc>
        <w:tc>
          <w:tcPr>
            <w:tcW w:w="6279" w:type="dxa"/>
            <w:noWrap w:val="0"/>
            <w:vAlign w:val="top"/>
          </w:tcPr>
          <w:p w14:paraId="319F7E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环型变压器供电，自动适应声学环境，</w:t>
            </w:r>
          </w:p>
          <w:p w14:paraId="11C751A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反馈系统设计灵活，具备4路多功能输入端口，适用不同的设备输出接口。</w:t>
            </w:r>
          </w:p>
          <w:p w14:paraId="2D75AF7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配有专用的RAC接口，可同时外接设备输入和输出功能使用。</w:t>
            </w:r>
          </w:p>
          <w:p w14:paraId="206878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输入具备48V幻像供电，可以实现4路幻像麦克风接口</w:t>
            </w:r>
          </w:p>
          <w:p w14:paraId="6CEE70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专业数字反馈抑制模块,直通/反馈模式可转换</w:t>
            </w:r>
          </w:p>
          <w:p w14:paraId="0B8565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AC220V供电（110V可选）</w:t>
            </w:r>
          </w:p>
          <w:p w14:paraId="48D4E5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采样率为 48Khz，</w:t>
            </w:r>
          </w:p>
          <w:p w14:paraId="154482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频率响应范围为 50Hz～15kHz；</w:t>
            </w:r>
          </w:p>
          <w:p w14:paraId="74F97F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传声增益提高： 8～10dB；</w:t>
            </w:r>
          </w:p>
          <w:p w14:paraId="6487B23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噪声抑制比： 18dB；</w:t>
            </w:r>
          </w:p>
          <w:p w14:paraId="25D9B73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最大模拟输入输出为 1.5V Vpp</w:t>
            </w:r>
          </w:p>
          <w:p w14:paraId="6CC4399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输入阻抗：10KΩ</w:t>
            </w:r>
          </w:p>
          <w:p w14:paraId="13C1DAD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输出阻抗：1KΩ</w:t>
            </w:r>
          </w:p>
        </w:tc>
        <w:tc>
          <w:tcPr>
            <w:tcW w:w="785" w:type="dxa"/>
            <w:noWrap w:val="0"/>
            <w:vAlign w:val="center"/>
          </w:tcPr>
          <w:p w14:paraId="7CECBD2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3360B5F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71FE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9E5753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144</w:t>
            </w:r>
          </w:p>
        </w:tc>
        <w:tc>
          <w:tcPr>
            <w:tcW w:w="978" w:type="dxa"/>
            <w:noWrap w:val="0"/>
            <w:vAlign w:val="center"/>
          </w:tcPr>
          <w:p w14:paraId="4BA23C2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室外操场：天线系统</w:t>
            </w:r>
          </w:p>
        </w:tc>
        <w:tc>
          <w:tcPr>
            <w:tcW w:w="706" w:type="dxa"/>
            <w:noWrap w:val="0"/>
            <w:vAlign w:val="center"/>
          </w:tcPr>
          <w:p w14:paraId="2CF2274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天线系统</w:t>
            </w:r>
          </w:p>
        </w:tc>
        <w:tc>
          <w:tcPr>
            <w:tcW w:w="6279" w:type="dxa"/>
            <w:noWrap w:val="0"/>
            <w:vAlign w:val="top"/>
          </w:tcPr>
          <w:p w14:paraId="533F76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10路天线输入端口可接最多5台双天线的U段无线麦克风接收机；</w:t>
            </w:r>
          </w:p>
          <w:p w14:paraId="525320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设有12V 1A单独供电端口，最多为4台设备供电；</w:t>
            </w:r>
          </w:p>
          <w:p w14:paraId="36A80A6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两个BNC级联端口可增加一台天线分配系统共用一对天线；</w:t>
            </w:r>
          </w:p>
          <w:p w14:paraId="64468E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为有源无线指向型，可双极化对数周期阵列；</w:t>
            </w:r>
          </w:p>
          <w:p w14:paraId="2DD486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为补偿同轴电缆的信号损失，板载放大器提供给用户可选的3/10db增益；</w:t>
            </w:r>
          </w:p>
          <w:p w14:paraId="6E2AB6E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天线增益具备两个LED指示灯，</w:t>
            </w:r>
          </w:p>
          <w:p w14:paraId="4D50D93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远程12V直流供电，由天线分配系统通过同轴电缆为放大器供电；</w:t>
            </w:r>
          </w:p>
          <w:p w14:paraId="7C9D6F9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系统设有前侧安装天线预留端口及附带配件，</w:t>
            </w:r>
          </w:p>
          <w:p w14:paraId="27A0D2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天线安装有以下三种方式：话筒支架，悬挂在天花板上；室外使用；</w:t>
            </w:r>
          </w:p>
          <w:p w14:paraId="1EB893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接收频率范围：450-972MHZ；</w:t>
            </w:r>
          </w:p>
          <w:p w14:paraId="20DEF7B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 3dB（绿色LED）、 10dB（红色LED）；</w:t>
            </w:r>
          </w:p>
          <w:p w14:paraId="794E6B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功率要求：12V由同轴电缆供电或≧80W直流供电；</w:t>
            </w:r>
          </w:p>
          <w:p w14:paraId="51D326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输入阻抗：50Ω</w:t>
            </w:r>
          </w:p>
          <w:p w14:paraId="7A1DFA8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输出阻抗：50Ω</w:t>
            </w:r>
          </w:p>
          <w:p w14:paraId="7EA66A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安装插头：BNC；</w:t>
            </w:r>
          </w:p>
          <w:p w14:paraId="043327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主机尺寸：≥475*225*45MM</w:t>
            </w:r>
          </w:p>
          <w:p w14:paraId="1207C6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天线尺寸：≥345*300MM</w:t>
            </w:r>
          </w:p>
          <w:p w14:paraId="1B892ED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天线放大器：25*45*75MM</w:t>
            </w:r>
          </w:p>
          <w:p w14:paraId="1DE45F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接收模式(3 dB 波束宽度):≥ 70 角度</w:t>
            </w:r>
          </w:p>
          <w:p w14:paraId="3A0BD3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三阶过载交截点 (OIP3): ≥30 dBm</w:t>
            </w:r>
          </w:p>
          <w:p w14:paraId="546F289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天线增益 (在轴): 7.5 dBi</w:t>
            </w:r>
          </w:p>
          <w:p w14:paraId="571670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信号增益 ±1 dB</w:t>
            </w:r>
          </w:p>
        </w:tc>
        <w:tc>
          <w:tcPr>
            <w:tcW w:w="785" w:type="dxa"/>
            <w:noWrap w:val="0"/>
            <w:vAlign w:val="center"/>
          </w:tcPr>
          <w:p w14:paraId="1483DB3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593F221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E0F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6EAE1C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145</w:t>
            </w:r>
          </w:p>
        </w:tc>
        <w:tc>
          <w:tcPr>
            <w:tcW w:w="978" w:type="dxa"/>
            <w:noWrap w:val="0"/>
            <w:vAlign w:val="center"/>
          </w:tcPr>
          <w:p w14:paraId="25BDF17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室外操场：UHF无线麦克风</w:t>
            </w:r>
          </w:p>
        </w:tc>
        <w:tc>
          <w:tcPr>
            <w:tcW w:w="706" w:type="dxa"/>
            <w:noWrap w:val="0"/>
            <w:vAlign w:val="center"/>
          </w:tcPr>
          <w:p w14:paraId="3A553C7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UHF无线麦克风</w:t>
            </w:r>
          </w:p>
        </w:tc>
        <w:tc>
          <w:tcPr>
            <w:tcW w:w="6279" w:type="dxa"/>
            <w:noWrap w:val="0"/>
            <w:vAlign w:val="top"/>
          </w:tcPr>
          <w:p w14:paraId="55711B7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通道组数：二通道</w:t>
            </w:r>
          </w:p>
          <w:p w14:paraId="5D7E679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频率稳定性：± 0.005% ，PLL 锁相回路頻率控制</w:t>
            </w:r>
          </w:p>
          <w:p w14:paraId="64927B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载波频段：UHF 640-690MHz</w:t>
            </w:r>
          </w:p>
          <w:p w14:paraId="1EB951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预设数位音频等化器  可模拟各种音头的音质特性</w:t>
            </w:r>
          </w:p>
          <w:p w14:paraId="70924B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调制方式：FM   </w:t>
            </w:r>
          </w:p>
          <w:p w14:paraId="5A5310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工作有效距离：150米以上（空阔地方）</w:t>
            </w:r>
          </w:p>
          <w:p w14:paraId="504C65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振荡方式：PLL相位锁定频率合成    </w:t>
            </w:r>
          </w:p>
          <w:p w14:paraId="47B9BC2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：≥95dB</w:t>
            </w:r>
          </w:p>
          <w:p w14:paraId="7B2F2F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输入1K(MOD) 25mV时,S/N≥50dB  </w:t>
            </w:r>
          </w:p>
          <w:p w14:paraId="6444596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频带宽度：300MHz  </w:t>
            </w:r>
          </w:p>
          <w:p w14:paraId="5FE8B4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最大偏移度：±50KHz             </w:t>
            </w:r>
          </w:p>
          <w:p w14:paraId="2D9983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综合S/N比 ≥108dB    综合T.H.D.≤0.4 % @ 1KHz      </w:t>
            </w:r>
          </w:p>
          <w:p w14:paraId="215CD56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输出插座：6.35</w:t>
            </w:r>
          </w:p>
          <w:p w14:paraId="64758F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合频率响应：55Hz～16KHz ± 3dB       </w:t>
            </w:r>
          </w:p>
          <w:p w14:paraId="1168FB3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供电：100-240V AC50/60 Hz, 10W</w:t>
            </w:r>
          </w:p>
          <w:p w14:paraId="0985E03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  UHF 640-690MHz</w:t>
            </w:r>
          </w:p>
          <w:p w14:paraId="7E1C43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振荡方式  PLL相位锁定频率合成；谐波辐射  ≤-63dBm；</w:t>
            </w:r>
          </w:p>
          <w:p w14:paraId="50B2EC3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频带宽度  50MHz；    大偏移度  ±75KHz</w:t>
            </w:r>
          </w:p>
          <w:p w14:paraId="44EDF3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音头；  电容式, 心型指向性</w:t>
            </w:r>
          </w:p>
          <w:p w14:paraId="6997C1C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RF 功率输出 ≥ 10mW；     电池  AA X 2；</w:t>
            </w:r>
          </w:p>
          <w:p w14:paraId="739FE12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电流消耗  100mA；电池耗电 ≥10个小时</w:t>
            </w:r>
          </w:p>
        </w:tc>
        <w:tc>
          <w:tcPr>
            <w:tcW w:w="785" w:type="dxa"/>
            <w:noWrap w:val="0"/>
            <w:vAlign w:val="center"/>
          </w:tcPr>
          <w:p w14:paraId="7B361A2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3 </w:t>
            </w:r>
          </w:p>
        </w:tc>
        <w:tc>
          <w:tcPr>
            <w:tcW w:w="988" w:type="dxa"/>
            <w:noWrap w:val="0"/>
            <w:vAlign w:val="center"/>
          </w:tcPr>
          <w:p w14:paraId="7DFE226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2B11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D76A55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146</w:t>
            </w:r>
          </w:p>
        </w:tc>
        <w:tc>
          <w:tcPr>
            <w:tcW w:w="978" w:type="dxa"/>
            <w:noWrap w:val="0"/>
            <w:vAlign w:val="center"/>
          </w:tcPr>
          <w:p w14:paraId="24B06B4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室外操场：分集式无线麦克风</w:t>
            </w:r>
          </w:p>
        </w:tc>
        <w:tc>
          <w:tcPr>
            <w:tcW w:w="706" w:type="dxa"/>
            <w:noWrap w:val="0"/>
            <w:vAlign w:val="center"/>
          </w:tcPr>
          <w:p w14:paraId="7FC9ABA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分集式无线麦克风</w:t>
            </w:r>
          </w:p>
        </w:tc>
        <w:tc>
          <w:tcPr>
            <w:tcW w:w="6279" w:type="dxa"/>
            <w:noWrap w:val="0"/>
            <w:vAlign w:val="top"/>
          </w:tcPr>
          <w:p w14:paraId="06175E9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通道组数：二通道</w:t>
            </w:r>
          </w:p>
          <w:p w14:paraId="641CDD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频率稳定性：± 0.005% ，PLL 锁相回路頻率控制</w:t>
            </w:r>
          </w:p>
          <w:p w14:paraId="712E66A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载波频段：UHF 640-690MHz</w:t>
            </w:r>
          </w:p>
          <w:p w14:paraId="4FBD33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预设数位音频等化器  可模拟各种音头的音质特性</w:t>
            </w:r>
          </w:p>
          <w:p w14:paraId="3E3365E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调制方式：FM   </w:t>
            </w:r>
          </w:p>
          <w:p w14:paraId="7E50D1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工作有效距离：150米以上（空阔地方）</w:t>
            </w:r>
          </w:p>
          <w:p w14:paraId="0BC921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振荡方式：PLL相位锁定频率合成    </w:t>
            </w:r>
          </w:p>
          <w:p w14:paraId="25A08D6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灵敏度 ：≥95dB</w:t>
            </w:r>
          </w:p>
          <w:p w14:paraId="2E89EF9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输入1K(MOD) 25mV时,S/N≥50dB  </w:t>
            </w:r>
          </w:p>
          <w:p w14:paraId="534AD0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频带宽度：300MHz  </w:t>
            </w:r>
          </w:p>
          <w:p w14:paraId="5B27BE5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最大偏移度：±50KHz             </w:t>
            </w:r>
          </w:p>
          <w:p w14:paraId="1EEA86C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综合S/N比 ≥108dB    综合T.H.D.≤0.4 % @ 1KHz      </w:t>
            </w:r>
          </w:p>
          <w:p w14:paraId="2497A7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输出插座：6.35</w:t>
            </w:r>
          </w:p>
          <w:p w14:paraId="61E361C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合频率响应：55Hz～16KHz ± 3dB       </w:t>
            </w:r>
          </w:p>
          <w:p w14:paraId="283C408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供电：100-240V AC50/60 Hz, 10W</w:t>
            </w:r>
          </w:p>
          <w:p w14:paraId="654546E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载波频段  UHF 640-690MHz</w:t>
            </w:r>
          </w:p>
          <w:p w14:paraId="222F16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振荡方式  PLL相位锁定频率合成；谐波辐射  ≤-63dBm；</w:t>
            </w:r>
          </w:p>
          <w:p w14:paraId="0D8ED8F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频带宽度  50MHz；    大偏移度  ±75KHz</w:t>
            </w:r>
          </w:p>
          <w:p w14:paraId="35AB1C7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音头；  电容式, 心型指向性</w:t>
            </w:r>
          </w:p>
          <w:p w14:paraId="342AB9D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RF 功率输出 ≥ 10mW；     电池  AA X 2；</w:t>
            </w:r>
          </w:p>
          <w:p w14:paraId="38F8FCD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电流消耗  100mA；</w:t>
            </w:r>
            <w:r>
              <w:rPr>
                <w:rFonts w:hint="eastAsia" w:ascii="宋体" w:hAnsi="宋体" w:eastAsia="宋体" w:cs="宋体"/>
                <w:sz w:val="20"/>
                <w:szCs w:val="20"/>
                <w:vertAlign w:val="baseline"/>
                <w:lang w:val="en-US" w:eastAsia="zh-CN"/>
              </w:rPr>
              <w:t xml:space="preserve"> </w:t>
            </w:r>
            <w:r>
              <w:rPr>
                <w:rFonts w:hint="eastAsia" w:ascii="宋体" w:hAnsi="宋体" w:eastAsia="宋体" w:cs="宋体"/>
                <w:sz w:val="20"/>
                <w:szCs w:val="20"/>
                <w:vertAlign w:val="baseline"/>
              </w:rPr>
              <w:t>电池耗电  ≥10个小时</w:t>
            </w:r>
          </w:p>
        </w:tc>
        <w:tc>
          <w:tcPr>
            <w:tcW w:w="785" w:type="dxa"/>
            <w:noWrap w:val="0"/>
            <w:vAlign w:val="center"/>
          </w:tcPr>
          <w:p w14:paraId="4AE5A7E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1346037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0DE5C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A40CAC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147</w:t>
            </w:r>
          </w:p>
        </w:tc>
        <w:tc>
          <w:tcPr>
            <w:tcW w:w="978" w:type="dxa"/>
            <w:noWrap w:val="0"/>
            <w:vAlign w:val="center"/>
          </w:tcPr>
          <w:p w14:paraId="3724D59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室外操场：二通道专业功放2*350</w:t>
            </w:r>
          </w:p>
        </w:tc>
        <w:tc>
          <w:tcPr>
            <w:tcW w:w="706" w:type="dxa"/>
            <w:noWrap w:val="0"/>
            <w:vAlign w:val="center"/>
          </w:tcPr>
          <w:p w14:paraId="28337F7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二通道专业功放2*350</w:t>
            </w:r>
          </w:p>
        </w:tc>
        <w:tc>
          <w:tcPr>
            <w:tcW w:w="6279" w:type="dxa"/>
            <w:noWrap w:val="0"/>
            <w:vAlign w:val="top"/>
          </w:tcPr>
          <w:p w14:paraId="7721D8F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输出功率：350Wx2/8Ω;500Wx2/4Ω</w:t>
            </w:r>
          </w:p>
          <w:p w14:paraId="4037B45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频率响应：20Hz～20KHz±0.35dB ；</w:t>
            </w:r>
          </w:p>
          <w:p w14:paraId="1233EE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总谐波失真：≤0.05%；</w:t>
            </w:r>
          </w:p>
          <w:p w14:paraId="1A8482B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互调失真：≤0.05%；</w:t>
            </w:r>
          </w:p>
          <w:p w14:paraId="062112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信噪比：≥102dB；</w:t>
            </w:r>
          </w:p>
          <w:p w14:paraId="0612DC2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输入共抑制比@1KHz：≥78dB；</w:t>
            </w:r>
          </w:p>
          <w:p w14:paraId="479D6F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通道分离度@1KHz：≥78dB；</w:t>
            </w:r>
          </w:p>
          <w:p w14:paraId="26F360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阻尼系数@8Ω,≤1KHz：≥200；</w:t>
            </w:r>
          </w:p>
          <w:p w14:paraId="26F1C35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输入阻抗：20KΩ平衡输入；</w:t>
            </w:r>
          </w:p>
          <w:p w14:paraId="4EB526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转换速率：40V/us；</w:t>
            </w:r>
          </w:p>
          <w:p w14:paraId="7273F7E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输入灵敏度：+2.2dBu(1.0Vrms)；</w:t>
            </w:r>
          </w:p>
          <w:p w14:paraId="0E7DD0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最大输入电平：+22.0dBu(10.0Vrms)；</w:t>
            </w:r>
          </w:p>
          <w:p w14:paraId="0F829B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动态压限：全自动智能；</w:t>
            </w:r>
          </w:p>
          <w:p w14:paraId="00E1405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保护电路：软启动，输入浪涌限制，输出短路、直流、过载保护，主保险丝保护，开关机哑音保护，射频干扰保护；</w:t>
            </w:r>
          </w:p>
          <w:p w14:paraId="4AAEA00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冷却方式：2个直流温控变速风扇，空气流动方向从前到后；</w:t>
            </w:r>
          </w:p>
          <w:p w14:paraId="56CE5C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面板指示：电源，削波，压限，信号；</w:t>
            </w:r>
          </w:p>
          <w:p w14:paraId="421E4B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后面板接口：输入：母3针XLR×2；输出：公3针XLR×2，4孔SPEAKON连接座×2，2组专用红黑接线柱</w:t>
            </w:r>
          </w:p>
        </w:tc>
        <w:tc>
          <w:tcPr>
            <w:tcW w:w="785" w:type="dxa"/>
            <w:noWrap w:val="0"/>
            <w:vAlign w:val="center"/>
          </w:tcPr>
          <w:p w14:paraId="6AE9077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2 </w:t>
            </w:r>
          </w:p>
        </w:tc>
        <w:tc>
          <w:tcPr>
            <w:tcW w:w="988" w:type="dxa"/>
            <w:noWrap w:val="0"/>
            <w:vAlign w:val="center"/>
          </w:tcPr>
          <w:p w14:paraId="395D789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F53D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70A918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148</w:t>
            </w:r>
          </w:p>
        </w:tc>
        <w:tc>
          <w:tcPr>
            <w:tcW w:w="978" w:type="dxa"/>
            <w:noWrap w:val="0"/>
            <w:vAlign w:val="center"/>
          </w:tcPr>
          <w:p w14:paraId="3CC6DDA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室外操场：防水音柱音箱4*3"</w:t>
            </w:r>
          </w:p>
        </w:tc>
        <w:tc>
          <w:tcPr>
            <w:tcW w:w="706" w:type="dxa"/>
            <w:noWrap w:val="0"/>
            <w:vAlign w:val="center"/>
          </w:tcPr>
          <w:p w14:paraId="604C4CF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防水音柱音箱4*3"</w:t>
            </w:r>
          </w:p>
        </w:tc>
        <w:tc>
          <w:tcPr>
            <w:tcW w:w="6279" w:type="dxa"/>
            <w:noWrap w:val="0"/>
            <w:vAlign w:val="top"/>
          </w:tcPr>
          <w:p w14:paraId="3B9825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2只铷磁3英寸订制单元体，箱体采用桦木夹板                                                                                                                                            </w:t>
            </w:r>
          </w:p>
          <w:p w14:paraId="3EF789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•中低音喇叭 :4×3" (Φ25mm)  </w:t>
            </w:r>
          </w:p>
          <w:p w14:paraId="074C03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标称阻抗:    8Ω </w:t>
            </w:r>
          </w:p>
          <w:p w14:paraId="7EDF101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持续功率:≥ 200W  </w:t>
            </w:r>
          </w:p>
          <w:p w14:paraId="229680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峰值功率:≥ 400W  </w:t>
            </w:r>
          </w:p>
          <w:p w14:paraId="71845B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频率响应: 100-20Hz  </w:t>
            </w:r>
          </w:p>
          <w:p w14:paraId="627261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灵敏度: 89dB  </w:t>
            </w:r>
          </w:p>
          <w:p w14:paraId="119D7E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最大声压级:128dB  </w:t>
            </w:r>
          </w:p>
          <w:p w14:paraId="4FCB478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指向性: H120xV90     </w:t>
            </w:r>
          </w:p>
          <w:p w14:paraId="16FFA3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尺寸:≥108*138*370</w:t>
            </w:r>
          </w:p>
          <w:p w14:paraId="676050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分频模式：内/外置分频</w:t>
            </w:r>
          </w:p>
          <w:p w14:paraId="486BCD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安装：壁挂/504吊挂/支撑</w:t>
            </w:r>
          </w:p>
          <w:p w14:paraId="11FBFB5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表面处理：黑色多孔钢网和透声的音箱网布</w:t>
            </w:r>
          </w:p>
          <w:p w14:paraId="1B75C3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连接器：1×4针WP4音箱座，</w:t>
            </w:r>
          </w:p>
          <w:p w14:paraId="16E4F39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2个凤凰座</w:t>
            </w:r>
          </w:p>
        </w:tc>
        <w:tc>
          <w:tcPr>
            <w:tcW w:w="785" w:type="dxa"/>
            <w:noWrap w:val="0"/>
            <w:vAlign w:val="center"/>
          </w:tcPr>
          <w:p w14:paraId="48AD232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4 </w:t>
            </w:r>
          </w:p>
        </w:tc>
        <w:tc>
          <w:tcPr>
            <w:tcW w:w="988" w:type="dxa"/>
            <w:noWrap w:val="0"/>
            <w:vAlign w:val="center"/>
          </w:tcPr>
          <w:p w14:paraId="7075BC5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671A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4FDC8F4">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149</w:t>
            </w:r>
          </w:p>
        </w:tc>
        <w:tc>
          <w:tcPr>
            <w:tcW w:w="978" w:type="dxa"/>
            <w:noWrap w:val="0"/>
            <w:vAlign w:val="center"/>
          </w:tcPr>
          <w:p w14:paraId="6B93B92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室外操场：线材辅材</w:t>
            </w:r>
          </w:p>
        </w:tc>
        <w:tc>
          <w:tcPr>
            <w:tcW w:w="706" w:type="dxa"/>
            <w:noWrap w:val="0"/>
            <w:vAlign w:val="center"/>
          </w:tcPr>
          <w:p w14:paraId="5B45932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线材辅材</w:t>
            </w:r>
          </w:p>
        </w:tc>
        <w:tc>
          <w:tcPr>
            <w:tcW w:w="6279" w:type="dxa"/>
            <w:noWrap w:val="0"/>
            <w:vAlign w:val="center"/>
          </w:tcPr>
          <w:p w14:paraId="57F3B3A0">
            <w:pPr>
              <w:numPr>
                <w:ilvl w:val="0"/>
                <w:numId w:val="9"/>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音箱线  线芯：2×200芯，外被：PVC，导体：精炼铜+镀锌铜，200米；</w:t>
            </w:r>
          </w:p>
          <w:p w14:paraId="7F4908E8">
            <w:pPr>
              <w:numPr>
                <w:ilvl w:val="0"/>
                <w:numId w:val="9"/>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话筒线：导体：精炼铜；屏蔽：铝箔+128网编织，外被：PVC，100米，</w:t>
            </w:r>
          </w:p>
          <w:p w14:paraId="05460BC4">
            <w:pPr>
              <w:numPr>
                <w:ilvl w:val="0"/>
                <w:numId w:val="9"/>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电源线：规格：RVV3×2.5mm²导体材质：无氧铜  绝缘材质：聚乙烯绝缘</w:t>
            </w:r>
          </w:p>
          <w:p w14:paraId="09C5BC65">
            <w:pPr>
              <w:numPr>
                <w:ilvl w:val="0"/>
                <w:numId w:val="9"/>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网线：CAT6；305M/箱</w:t>
            </w:r>
          </w:p>
          <w:p w14:paraId="20CC5357">
            <w:pPr>
              <w:numPr>
                <w:ilvl w:val="0"/>
                <w:numId w:val="0"/>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材质：无氧铜芯。绝缘层为聚乙烯材料；</w:t>
            </w:r>
          </w:p>
          <w:p w14:paraId="217E4923">
            <w:pPr>
              <w:numPr>
                <w:ilvl w:val="0"/>
                <w:numId w:val="0"/>
              </w:numPr>
              <w:jc w:val="left"/>
              <w:rPr>
                <w:rFonts w:hint="eastAsia" w:ascii="宋体" w:hAnsi="宋体" w:eastAsia="宋体" w:cs="宋体"/>
                <w:sz w:val="20"/>
                <w:szCs w:val="20"/>
                <w:vertAlign w:val="baseline"/>
              </w:rPr>
            </w:pPr>
            <w:r>
              <w:rPr>
                <w:rFonts w:hint="eastAsia" w:ascii="宋体" w:hAnsi="宋体" w:eastAsia="宋体" w:cs="宋体"/>
                <w:sz w:val="20"/>
                <w:szCs w:val="20"/>
                <w:vertAlign w:val="baseline"/>
              </w:rPr>
              <w:t>频率范围：1MHz-250MHz，  支持速率：常规1Gbps，短距离可达10Gbps；兼容10GBASE-T网络                                                                                                                                         5、机柜：材质：冷轧钢板，玻璃门、尺寸：600×600×2000mm</w:t>
            </w:r>
          </w:p>
        </w:tc>
        <w:tc>
          <w:tcPr>
            <w:tcW w:w="785" w:type="dxa"/>
            <w:noWrap w:val="0"/>
            <w:vAlign w:val="center"/>
          </w:tcPr>
          <w:p w14:paraId="31CABD3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 xml:space="preserve">1 </w:t>
            </w:r>
          </w:p>
        </w:tc>
        <w:tc>
          <w:tcPr>
            <w:tcW w:w="988" w:type="dxa"/>
            <w:noWrap w:val="0"/>
            <w:vAlign w:val="center"/>
          </w:tcPr>
          <w:p w14:paraId="520C8CE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4153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78F922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150</w:t>
            </w:r>
          </w:p>
        </w:tc>
        <w:tc>
          <w:tcPr>
            <w:tcW w:w="978" w:type="dxa"/>
            <w:noWrap w:val="0"/>
            <w:vAlign w:val="center"/>
          </w:tcPr>
          <w:p w14:paraId="45D00DB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室外操场：安装调试费</w:t>
            </w:r>
          </w:p>
        </w:tc>
        <w:tc>
          <w:tcPr>
            <w:tcW w:w="706" w:type="dxa"/>
            <w:noWrap w:val="0"/>
            <w:vAlign w:val="center"/>
          </w:tcPr>
          <w:p w14:paraId="712B7AD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安装调试费</w:t>
            </w:r>
          </w:p>
        </w:tc>
        <w:tc>
          <w:tcPr>
            <w:tcW w:w="6279" w:type="dxa"/>
            <w:noWrap w:val="0"/>
            <w:vAlign w:val="top"/>
          </w:tcPr>
          <w:p w14:paraId="47A3094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LED显示屏、扩音设备运输、安装、调试等</w:t>
            </w:r>
          </w:p>
        </w:tc>
        <w:tc>
          <w:tcPr>
            <w:tcW w:w="785" w:type="dxa"/>
            <w:noWrap w:val="0"/>
            <w:vAlign w:val="center"/>
          </w:tcPr>
          <w:p w14:paraId="38A4562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E13D43E">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浐灞国际港第一学校（暂定名）</w:t>
            </w:r>
          </w:p>
        </w:tc>
      </w:tr>
      <w:tr w14:paraId="189D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C94CE2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151</w:t>
            </w:r>
          </w:p>
        </w:tc>
        <w:tc>
          <w:tcPr>
            <w:tcW w:w="978" w:type="dxa"/>
            <w:noWrap w:val="0"/>
            <w:vAlign w:val="center"/>
          </w:tcPr>
          <w:p w14:paraId="1052B0D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LED投光灯（面光）</w:t>
            </w:r>
          </w:p>
        </w:tc>
        <w:tc>
          <w:tcPr>
            <w:tcW w:w="706" w:type="dxa"/>
            <w:noWrap w:val="0"/>
            <w:vAlign w:val="center"/>
          </w:tcPr>
          <w:p w14:paraId="155E8B5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LED投光灯面光</w:t>
            </w:r>
          </w:p>
        </w:tc>
        <w:tc>
          <w:tcPr>
            <w:tcW w:w="6279" w:type="dxa"/>
            <w:noWrap w:val="0"/>
            <w:vAlign w:val="top"/>
          </w:tcPr>
          <w:p w14:paraId="1C7019D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1ABD1A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 ≥210W</w:t>
            </w:r>
          </w:p>
          <w:p w14:paraId="47882D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灯源 ≥4颗*50W COB高显色LED</w:t>
            </w:r>
          </w:p>
          <w:p w14:paraId="78D43F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制模式 DMX512,主/从，自走，声控</w:t>
            </w:r>
          </w:p>
          <w:p w14:paraId="635C043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电压 AC110V-240V, 50/60Hz</w:t>
            </w:r>
          </w:p>
          <w:p w14:paraId="309397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色温 暖白（3200K）</w:t>
            </w:r>
          </w:p>
          <w:p w14:paraId="1A792B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放大功能 25°</w:t>
            </w:r>
          </w:p>
          <w:p w14:paraId="41CDC97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 0-100%线性调光、单头控制</w:t>
            </w:r>
          </w:p>
          <w:p w14:paraId="7750CCF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 4/9CHs</w:t>
            </w:r>
          </w:p>
          <w:p w14:paraId="04B6276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其他功能 透镜角度：25°</w:t>
            </w:r>
          </w:p>
        </w:tc>
        <w:tc>
          <w:tcPr>
            <w:tcW w:w="785" w:type="dxa"/>
            <w:noWrap w:val="0"/>
            <w:vAlign w:val="center"/>
          </w:tcPr>
          <w:p w14:paraId="675996C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14</w:t>
            </w:r>
          </w:p>
        </w:tc>
        <w:tc>
          <w:tcPr>
            <w:tcW w:w="988" w:type="dxa"/>
            <w:noWrap w:val="0"/>
            <w:vAlign w:val="center"/>
          </w:tcPr>
          <w:p w14:paraId="5F13BAA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1BA3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4E7F26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152</w:t>
            </w:r>
          </w:p>
        </w:tc>
        <w:tc>
          <w:tcPr>
            <w:tcW w:w="978" w:type="dxa"/>
            <w:noWrap w:val="0"/>
            <w:vAlign w:val="center"/>
          </w:tcPr>
          <w:p w14:paraId="1BD6370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LED会议平板灯</w:t>
            </w:r>
          </w:p>
        </w:tc>
        <w:tc>
          <w:tcPr>
            <w:tcW w:w="706" w:type="dxa"/>
            <w:noWrap w:val="0"/>
            <w:vAlign w:val="center"/>
          </w:tcPr>
          <w:p w14:paraId="4D6F0F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LED会议平板灯</w:t>
            </w:r>
          </w:p>
        </w:tc>
        <w:tc>
          <w:tcPr>
            <w:tcW w:w="6279" w:type="dxa"/>
            <w:noWrap w:val="0"/>
            <w:vAlign w:val="top"/>
          </w:tcPr>
          <w:p w14:paraId="7F2E97B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电压：AC110～240V  50Hz/60Hz   </w:t>
            </w:r>
          </w:p>
          <w:p w14:paraId="5C76231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光源：256颗*0.5W高显色MD/LED</w:t>
            </w:r>
          </w:p>
          <w:p w14:paraId="45481C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色温： 3200K±5%        </w:t>
            </w:r>
          </w:p>
          <w:p w14:paraId="0CF2D2A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显色指数： Ra≥90      </w:t>
            </w:r>
          </w:p>
          <w:p w14:paraId="5D61A3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调光系统： 0%～100%线性平滑调光</w:t>
            </w:r>
          </w:p>
          <w:p w14:paraId="2C9E77D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操作界面： 数码显示板        </w:t>
            </w:r>
          </w:p>
          <w:p w14:paraId="10C9B9E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控制： DMX512、手动模式、        </w:t>
            </w:r>
          </w:p>
          <w:p w14:paraId="0694B77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 2CH</w:t>
            </w:r>
          </w:p>
          <w:p w14:paraId="4500E1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光束角： 120°</w:t>
            </w:r>
          </w:p>
          <w:p w14:paraId="1ED6A5B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机箱材质：铝合金</w:t>
            </w:r>
          </w:p>
          <w:p w14:paraId="4617168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机箱颜色：黑色</w:t>
            </w:r>
          </w:p>
          <w:p w14:paraId="3C66F1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俯仰角度：±90°      </w:t>
            </w:r>
          </w:p>
          <w:p w14:paraId="76CEA1B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散热系统：全铝合金自然散热      </w:t>
            </w:r>
          </w:p>
          <w:p w14:paraId="579F61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环境温度：-10℃～45℃        </w:t>
            </w:r>
          </w:p>
          <w:p w14:paraId="7901102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防护等级：≥IP20      </w:t>
            </w:r>
          </w:p>
          <w:p w14:paraId="3152975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总功率：≥250W</w:t>
            </w:r>
          </w:p>
        </w:tc>
        <w:tc>
          <w:tcPr>
            <w:tcW w:w="785" w:type="dxa"/>
            <w:noWrap w:val="0"/>
            <w:vAlign w:val="center"/>
          </w:tcPr>
          <w:p w14:paraId="67CFCC56">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w:t>
            </w:r>
          </w:p>
        </w:tc>
        <w:tc>
          <w:tcPr>
            <w:tcW w:w="988" w:type="dxa"/>
            <w:noWrap w:val="0"/>
            <w:vAlign w:val="top"/>
          </w:tcPr>
          <w:p w14:paraId="4267F07E">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92C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880C1C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153</w:t>
            </w:r>
          </w:p>
        </w:tc>
        <w:tc>
          <w:tcPr>
            <w:tcW w:w="978" w:type="dxa"/>
            <w:noWrap w:val="0"/>
            <w:vAlign w:val="center"/>
          </w:tcPr>
          <w:p w14:paraId="0FCBD89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LED染色投光灯</w:t>
            </w:r>
          </w:p>
        </w:tc>
        <w:tc>
          <w:tcPr>
            <w:tcW w:w="706" w:type="dxa"/>
            <w:noWrap w:val="0"/>
            <w:vAlign w:val="center"/>
          </w:tcPr>
          <w:p w14:paraId="025A005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投光灯</w:t>
            </w:r>
          </w:p>
        </w:tc>
        <w:tc>
          <w:tcPr>
            <w:tcW w:w="6279" w:type="dxa"/>
            <w:noWrap w:val="0"/>
            <w:vAlign w:val="top"/>
          </w:tcPr>
          <w:p w14:paraId="5D1D124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17811E4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额定电压：AC100～240V, 50～60Hz</w:t>
            </w:r>
          </w:p>
          <w:p w14:paraId="3DF01B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功率：≥300W</w:t>
            </w:r>
          </w:p>
          <w:p w14:paraId="57F2E32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 灯珠：18颗*15W,节能四合一灯珠 RGBW，色温：6000-6500K</w:t>
            </w:r>
          </w:p>
          <w:p w14:paraId="217FF3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光学透镜：直径38mm,全新大透镜25度光学</w:t>
            </w:r>
          </w:p>
          <w:p w14:paraId="0174C60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通道：3/8CH通道模式选择 </w:t>
            </w:r>
          </w:p>
          <w:p w14:paraId="237A14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控制模式：DMX-512控制操作、主从机模式、单机模式,8种内置效果可以通过DMX控台和已制定程序选择使用</w:t>
            </w:r>
          </w:p>
          <w:p w14:paraId="0851E4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颜色：连续的红绿蓝和白色的颜色转换, RGBW无限混色炫彩效果,可调速</w:t>
            </w:r>
          </w:p>
          <w:p w14:paraId="3F07674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w:t>
            </w:r>
          </w:p>
          <w:p w14:paraId="7A7055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显示：四位八段数码管</w:t>
            </w:r>
          </w:p>
          <w:p w14:paraId="497F04B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频闪：电子频闪1-25fps/秒,随机频闪,按顺序跳动, 变速频闪（从慢到快）, 混合频闪（频闪+底色、频闪+渐变）</w:t>
            </w:r>
          </w:p>
          <w:p w14:paraId="549F33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散热：通过优质压铸铝散热片对流冷却</w:t>
            </w:r>
          </w:p>
          <w:p w14:paraId="7F532B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防护等级：≥IP66</w:t>
            </w:r>
          </w:p>
          <w:p w14:paraId="0E49CAE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尺寸：≥L340*W270*H260(MM)</w:t>
            </w:r>
          </w:p>
        </w:tc>
        <w:tc>
          <w:tcPr>
            <w:tcW w:w="785" w:type="dxa"/>
            <w:noWrap w:val="0"/>
            <w:vAlign w:val="center"/>
          </w:tcPr>
          <w:p w14:paraId="188443F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10</w:t>
            </w:r>
          </w:p>
        </w:tc>
        <w:tc>
          <w:tcPr>
            <w:tcW w:w="988" w:type="dxa"/>
            <w:noWrap w:val="0"/>
            <w:vAlign w:val="top"/>
          </w:tcPr>
          <w:p w14:paraId="17509064">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5FD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F017CD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154</w:t>
            </w:r>
          </w:p>
        </w:tc>
        <w:tc>
          <w:tcPr>
            <w:tcW w:w="978" w:type="dxa"/>
            <w:noWrap w:val="0"/>
            <w:vAlign w:val="center"/>
          </w:tcPr>
          <w:p w14:paraId="0AB9E9A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LED会议平板灯</w:t>
            </w:r>
          </w:p>
        </w:tc>
        <w:tc>
          <w:tcPr>
            <w:tcW w:w="706" w:type="dxa"/>
            <w:noWrap w:val="0"/>
            <w:vAlign w:val="center"/>
          </w:tcPr>
          <w:p w14:paraId="4D42FC8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LED会议平板灯</w:t>
            </w:r>
          </w:p>
        </w:tc>
        <w:tc>
          <w:tcPr>
            <w:tcW w:w="6279" w:type="dxa"/>
            <w:noWrap w:val="0"/>
            <w:vAlign w:val="top"/>
          </w:tcPr>
          <w:p w14:paraId="6EFDCE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电压：AC110～240V  50Hz/60Hz   </w:t>
            </w:r>
          </w:p>
          <w:p w14:paraId="61658B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光源：256颗*0.5W高显色MD/LED</w:t>
            </w:r>
          </w:p>
          <w:p w14:paraId="22A771B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色温： 3200K±5%        </w:t>
            </w:r>
          </w:p>
          <w:p w14:paraId="4A62B2A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显色指数： Ra≥90      </w:t>
            </w:r>
          </w:p>
          <w:p w14:paraId="3807071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调光系统： 0%～100%线性平滑调光</w:t>
            </w:r>
          </w:p>
          <w:p w14:paraId="53C83BB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操作界面： 数码显示板        </w:t>
            </w:r>
          </w:p>
          <w:p w14:paraId="014EE7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控制： DMX512、手动模式、        </w:t>
            </w:r>
          </w:p>
          <w:p w14:paraId="238C4D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 2CH</w:t>
            </w:r>
          </w:p>
          <w:p w14:paraId="576672E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光束角： 120°</w:t>
            </w:r>
          </w:p>
          <w:p w14:paraId="38C9894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机箱材质： 铝合金</w:t>
            </w:r>
          </w:p>
          <w:p w14:paraId="1DEEC09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机箱颜色： 黑色</w:t>
            </w:r>
          </w:p>
          <w:p w14:paraId="4EDECF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俯仰角度： ±90°      </w:t>
            </w:r>
          </w:p>
          <w:p w14:paraId="0981990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散热系统： 全铝合金自然散热      </w:t>
            </w:r>
          </w:p>
          <w:p w14:paraId="226E0E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环境温度： -10℃～45℃        </w:t>
            </w:r>
          </w:p>
          <w:p w14:paraId="2165F07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防护等级：≥ IP20      </w:t>
            </w:r>
          </w:p>
          <w:p w14:paraId="78E1E6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总功率：≥250W</w:t>
            </w:r>
          </w:p>
        </w:tc>
        <w:tc>
          <w:tcPr>
            <w:tcW w:w="785" w:type="dxa"/>
            <w:noWrap w:val="0"/>
            <w:vAlign w:val="center"/>
          </w:tcPr>
          <w:p w14:paraId="0C3561E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w:t>
            </w:r>
          </w:p>
        </w:tc>
        <w:tc>
          <w:tcPr>
            <w:tcW w:w="988" w:type="dxa"/>
            <w:noWrap w:val="0"/>
            <w:vAlign w:val="top"/>
          </w:tcPr>
          <w:p w14:paraId="46DFAB93">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E0CB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7C54EB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155</w:t>
            </w:r>
          </w:p>
        </w:tc>
        <w:tc>
          <w:tcPr>
            <w:tcW w:w="978" w:type="dxa"/>
            <w:noWrap w:val="0"/>
            <w:vAlign w:val="center"/>
          </w:tcPr>
          <w:p w14:paraId="45B4D08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LED染色投光灯</w:t>
            </w:r>
          </w:p>
        </w:tc>
        <w:tc>
          <w:tcPr>
            <w:tcW w:w="706" w:type="dxa"/>
            <w:noWrap w:val="0"/>
            <w:vAlign w:val="center"/>
          </w:tcPr>
          <w:p w14:paraId="590D0EF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投光灯</w:t>
            </w:r>
          </w:p>
        </w:tc>
        <w:tc>
          <w:tcPr>
            <w:tcW w:w="6279" w:type="dxa"/>
            <w:noWrap w:val="0"/>
            <w:vAlign w:val="top"/>
          </w:tcPr>
          <w:p w14:paraId="6A01477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3184AB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额定电压：AC100～240V, 50～60Hz</w:t>
            </w:r>
          </w:p>
          <w:p w14:paraId="5EAA58F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功率：≥300W</w:t>
            </w:r>
          </w:p>
          <w:p w14:paraId="70903E0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 灯珠：18颗*15W,节能四合一灯珠 RGBW，色温：6000-6500K</w:t>
            </w:r>
          </w:p>
          <w:p w14:paraId="50FD239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光学透镜：直径38mm,全新大透镜25度光学</w:t>
            </w:r>
          </w:p>
          <w:p w14:paraId="33B9AC5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通道：3/8CH通道模式选择 </w:t>
            </w:r>
          </w:p>
          <w:p w14:paraId="01F5566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控制模式：DMX-512控制操作、主从机模式、单机模式,8种内置效果可以通过DMX控台和已制定程序选择使用</w:t>
            </w:r>
          </w:p>
          <w:p w14:paraId="3BEA430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颜色：连续的红绿蓝和白色的颜色转换, RGBW无限混色炫彩效果,可调速</w:t>
            </w:r>
          </w:p>
          <w:p w14:paraId="30EE923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w:t>
            </w:r>
          </w:p>
          <w:p w14:paraId="014AF4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显示：四位八段数码管</w:t>
            </w:r>
          </w:p>
          <w:p w14:paraId="4529D0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频闪：电子频闪1-25fps/秒,随机频闪,按顺序跳动, 变速频闪（从慢到快）, 混合频闪（频闪+底色、频闪+渐变）</w:t>
            </w:r>
          </w:p>
          <w:p w14:paraId="4145571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散热：通过优质压铸铝散热片对流冷却</w:t>
            </w:r>
          </w:p>
          <w:p w14:paraId="205778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防护等级：≥IP66</w:t>
            </w:r>
          </w:p>
          <w:p w14:paraId="5E5D7B3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尺寸：≥L340*W270*H260(MM)</w:t>
            </w:r>
          </w:p>
        </w:tc>
        <w:tc>
          <w:tcPr>
            <w:tcW w:w="785" w:type="dxa"/>
            <w:noWrap w:val="0"/>
            <w:vAlign w:val="center"/>
          </w:tcPr>
          <w:p w14:paraId="4091D3D0">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10</w:t>
            </w:r>
          </w:p>
        </w:tc>
        <w:tc>
          <w:tcPr>
            <w:tcW w:w="988" w:type="dxa"/>
            <w:noWrap w:val="0"/>
            <w:vAlign w:val="top"/>
          </w:tcPr>
          <w:p w14:paraId="6B23ADC4">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4A19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2E6866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156</w:t>
            </w:r>
          </w:p>
        </w:tc>
        <w:tc>
          <w:tcPr>
            <w:tcW w:w="978" w:type="dxa"/>
            <w:noWrap w:val="0"/>
            <w:vAlign w:val="center"/>
          </w:tcPr>
          <w:p w14:paraId="0E4DB1E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摇头光束灯</w:t>
            </w:r>
          </w:p>
        </w:tc>
        <w:tc>
          <w:tcPr>
            <w:tcW w:w="706" w:type="dxa"/>
            <w:noWrap w:val="0"/>
            <w:vAlign w:val="center"/>
          </w:tcPr>
          <w:p w14:paraId="52C5E78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摇头光束灯</w:t>
            </w:r>
          </w:p>
        </w:tc>
        <w:tc>
          <w:tcPr>
            <w:tcW w:w="6279" w:type="dxa"/>
            <w:noWrap w:val="0"/>
            <w:vAlign w:val="top"/>
          </w:tcPr>
          <w:p w14:paraId="4C3059E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320EC5B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电压：AC100V-240V,50/60Hz</w:t>
            </w:r>
          </w:p>
          <w:p w14:paraId="7B9A9EC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总功率：≥500W</w:t>
            </w:r>
          </w:p>
          <w:p w14:paraId="7D2E671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灯泡：优灯≥380W</w:t>
            </w:r>
          </w:p>
          <w:p w14:paraId="240C6E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镜头组合：0-5°透镜式透镜组合</w:t>
            </w:r>
          </w:p>
          <w:p w14:paraId="6960FB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显示屏;液晶显示</w:t>
            </w:r>
          </w:p>
          <w:p w14:paraId="7EB1581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控制模式：18个国际标准DMX512控制，Art-net以太灯光控制协议和无线DMX512控制；自带电池，无须通电亦可设置地址码等信息（通道模式待定）</w:t>
            </w:r>
          </w:p>
          <w:p w14:paraId="689726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颜色盘：1个色盘，14个色片+白光</w:t>
            </w:r>
          </w:p>
          <w:p w14:paraId="75C46A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图案盘：1个固定图案盘，17个图案+白光</w:t>
            </w:r>
          </w:p>
          <w:p w14:paraId="5BA744E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1个6彩镜盘（七彩缤纷效果）</w:t>
            </w:r>
          </w:p>
          <w:p w14:paraId="1C8885F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棱镜组：1个16棱镜，1个（8+16+24）棱镜，两组棱镜可叠加组合</w:t>
            </w:r>
          </w:p>
          <w:p w14:paraId="06219A6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频闪：双铡刀频闪频率最高可达13次每秒,并可选择随机频闪及脉冲频闪</w:t>
            </w:r>
          </w:p>
          <w:p w14:paraId="3939627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调光：0%-100%线性调光</w:t>
            </w:r>
          </w:p>
          <w:p w14:paraId="74D1A69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雾化镜：雾化</w:t>
            </w:r>
          </w:p>
          <w:p w14:paraId="432F25D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X轴：540°16Bit(精确扫描）</w:t>
            </w:r>
          </w:p>
          <w:p w14:paraId="07A546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Y轴：270°16Bit(精确扫描）</w:t>
            </w:r>
          </w:p>
          <w:p w14:paraId="14C15FB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IP防护等级：≥IP20</w:t>
            </w:r>
            <w:r>
              <w:rPr>
                <w:rFonts w:hint="eastAsia" w:ascii="宋体" w:hAnsi="宋体" w:eastAsia="宋体" w:cs="宋体"/>
                <w:sz w:val="20"/>
                <w:szCs w:val="20"/>
                <w:vertAlign w:val="baseline"/>
                <w:lang w:eastAsia="zh-CN"/>
              </w:rPr>
              <w:t>，</w:t>
            </w:r>
            <w:r>
              <w:rPr>
                <w:rFonts w:hint="eastAsia" w:ascii="宋体" w:hAnsi="宋体" w:eastAsia="宋体" w:cs="宋体"/>
                <w:sz w:val="20"/>
                <w:szCs w:val="20"/>
                <w:vertAlign w:val="baseline"/>
              </w:rPr>
              <w:t>高效率可靠开关电源</w:t>
            </w:r>
          </w:p>
          <w:p w14:paraId="66BA6F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其他功能：远程控制灯泡开关功能，自走模式，主从模式，声控模式</w:t>
            </w:r>
          </w:p>
        </w:tc>
        <w:tc>
          <w:tcPr>
            <w:tcW w:w="785" w:type="dxa"/>
            <w:noWrap w:val="0"/>
            <w:vAlign w:val="center"/>
          </w:tcPr>
          <w:p w14:paraId="03D9088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4</w:t>
            </w:r>
          </w:p>
        </w:tc>
        <w:tc>
          <w:tcPr>
            <w:tcW w:w="988" w:type="dxa"/>
            <w:noWrap w:val="0"/>
            <w:vAlign w:val="top"/>
          </w:tcPr>
          <w:p w14:paraId="4014820D">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059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37539C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157</w:t>
            </w:r>
          </w:p>
        </w:tc>
        <w:tc>
          <w:tcPr>
            <w:tcW w:w="978" w:type="dxa"/>
            <w:noWrap w:val="0"/>
            <w:vAlign w:val="center"/>
          </w:tcPr>
          <w:p w14:paraId="22B5FE7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LED染色投光灯</w:t>
            </w:r>
          </w:p>
        </w:tc>
        <w:tc>
          <w:tcPr>
            <w:tcW w:w="706" w:type="dxa"/>
            <w:noWrap w:val="0"/>
            <w:vAlign w:val="center"/>
          </w:tcPr>
          <w:p w14:paraId="44C0940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投光灯</w:t>
            </w:r>
          </w:p>
        </w:tc>
        <w:tc>
          <w:tcPr>
            <w:tcW w:w="6279" w:type="dxa"/>
            <w:noWrap w:val="0"/>
            <w:vAlign w:val="top"/>
          </w:tcPr>
          <w:p w14:paraId="1F272C1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3C7683A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额定电压：AC100～240V, 50～60Hz</w:t>
            </w:r>
          </w:p>
          <w:p w14:paraId="74AE7A5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功率：≥300W</w:t>
            </w:r>
          </w:p>
          <w:p w14:paraId="607399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 灯珠：18颗*15W,节能四合一灯珠 RGBW，色温：6000-6500K</w:t>
            </w:r>
          </w:p>
          <w:p w14:paraId="102177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光学透镜：直径38mm,全新大透镜25度光学</w:t>
            </w:r>
          </w:p>
          <w:p w14:paraId="51C2836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通道：3/8CH通道模式选择 </w:t>
            </w:r>
          </w:p>
          <w:p w14:paraId="6DE6DB5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控制模式：DMX-512控制操作、主从机模式、单机模式,8种内置效果可以通过DMX控台和已制定程序选择使用</w:t>
            </w:r>
          </w:p>
          <w:p w14:paraId="16ABA8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颜色：连续的红绿蓝和白色的颜色转换, RGBW无限混色炫彩效果,可调速</w:t>
            </w:r>
          </w:p>
          <w:p w14:paraId="708070A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w:t>
            </w:r>
          </w:p>
          <w:p w14:paraId="2AC80EB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显示：四位八段数码管</w:t>
            </w:r>
          </w:p>
          <w:p w14:paraId="3243174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频闪：电子频闪1-25fps/秒,随机频闪,按顺序跳动, 变速频闪（从慢到快）, 混合频闪（频闪+底色、频闪+渐变）</w:t>
            </w:r>
          </w:p>
          <w:p w14:paraId="5F2617F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散热：通过优质压铸铝散热片对流冷却</w:t>
            </w:r>
          </w:p>
          <w:p w14:paraId="13EF4B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防护等级：≥IP66</w:t>
            </w:r>
          </w:p>
          <w:p w14:paraId="4F9B752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尺寸：≥L340*W270*H260(MM)</w:t>
            </w:r>
          </w:p>
        </w:tc>
        <w:tc>
          <w:tcPr>
            <w:tcW w:w="785" w:type="dxa"/>
            <w:noWrap w:val="0"/>
            <w:vAlign w:val="center"/>
          </w:tcPr>
          <w:p w14:paraId="7146B10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10</w:t>
            </w:r>
          </w:p>
        </w:tc>
        <w:tc>
          <w:tcPr>
            <w:tcW w:w="988" w:type="dxa"/>
            <w:noWrap w:val="0"/>
            <w:vAlign w:val="top"/>
          </w:tcPr>
          <w:p w14:paraId="313D6B59">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10B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71E3BB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158</w:t>
            </w:r>
          </w:p>
        </w:tc>
        <w:tc>
          <w:tcPr>
            <w:tcW w:w="978" w:type="dxa"/>
            <w:noWrap w:val="0"/>
            <w:vAlign w:val="center"/>
          </w:tcPr>
          <w:p w14:paraId="64D9465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摇头光束灯</w:t>
            </w:r>
          </w:p>
        </w:tc>
        <w:tc>
          <w:tcPr>
            <w:tcW w:w="706" w:type="dxa"/>
            <w:noWrap w:val="0"/>
            <w:vAlign w:val="center"/>
          </w:tcPr>
          <w:p w14:paraId="3D74A46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摇头光束灯</w:t>
            </w:r>
          </w:p>
        </w:tc>
        <w:tc>
          <w:tcPr>
            <w:tcW w:w="6279" w:type="dxa"/>
            <w:noWrap w:val="0"/>
            <w:vAlign w:val="top"/>
          </w:tcPr>
          <w:p w14:paraId="016ECE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525C345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电压：AC100V-240V,50/60Hz</w:t>
            </w:r>
          </w:p>
          <w:p w14:paraId="2FA927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总功率：≥500W</w:t>
            </w:r>
          </w:p>
          <w:p w14:paraId="3F5950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灯泡：优灯≥380W</w:t>
            </w:r>
          </w:p>
          <w:p w14:paraId="6632CC7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镜头组合：0-5°透镜式透镜组合</w:t>
            </w:r>
          </w:p>
          <w:p w14:paraId="39935D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显示屏;液晶显示</w:t>
            </w:r>
          </w:p>
          <w:p w14:paraId="574045B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控制模式：18个国际标准DMX512控制，Art-net以太灯光控制协议和无线DMX512控制；自带电池，无须通电亦可设置地址码等信息（通道模式待定）</w:t>
            </w:r>
          </w:p>
          <w:p w14:paraId="0A37A7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颜色盘：1个色盘，14个色片+白光</w:t>
            </w:r>
          </w:p>
          <w:p w14:paraId="312AA98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图案盘：1个固定图案盘，17个图案+白光</w:t>
            </w:r>
          </w:p>
          <w:p w14:paraId="25D6CB6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1个6彩镜盘（七彩缤纷效果）</w:t>
            </w:r>
          </w:p>
          <w:p w14:paraId="3FBC0D7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棱镜组：1个16棱镜，1个（8+16+24）棱镜，两组棱镜可叠加组合</w:t>
            </w:r>
          </w:p>
          <w:p w14:paraId="63382C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频闪：双铡刀频闪频率最高可达13次每秒,并可选择随机频闪及脉冲频闪</w:t>
            </w:r>
          </w:p>
          <w:p w14:paraId="70BE2F3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调光：0%-100%线性调光</w:t>
            </w:r>
          </w:p>
          <w:p w14:paraId="2489652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雾化镜：雾化</w:t>
            </w:r>
          </w:p>
          <w:p w14:paraId="591507F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X轴：540°16Bit(精确扫描）</w:t>
            </w:r>
          </w:p>
          <w:p w14:paraId="0311B6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Y轴：270°16Bit(精确扫描）</w:t>
            </w:r>
          </w:p>
          <w:p w14:paraId="0F06588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IP防护等级：IP20高效率可靠开关电源</w:t>
            </w:r>
          </w:p>
          <w:p w14:paraId="3599959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其他功能：远程控制灯泡开关功能，自走模式，主从模式，声控模式</w:t>
            </w:r>
          </w:p>
        </w:tc>
        <w:tc>
          <w:tcPr>
            <w:tcW w:w="785" w:type="dxa"/>
            <w:noWrap w:val="0"/>
            <w:vAlign w:val="center"/>
          </w:tcPr>
          <w:p w14:paraId="239A8CF2">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6</w:t>
            </w:r>
          </w:p>
        </w:tc>
        <w:tc>
          <w:tcPr>
            <w:tcW w:w="988" w:type="dxa"/>
            <w:noWrap w:val="0"/>
            <w:vAlign w:val="top"/>
          </w:tcPr>
          <w:p w14:paraId="7B423F22">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317C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3E9DB2F">
            <w:pP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159</w:t>
            </w:r>
          </w:p>
        </w:tc>
        <w:tc>
          <w:tcPr>
            <w:tcW w:w="978" w:type="dxa"/>
            <w:noWrap w:val="0"/>
            <w:vAlign w:val="center"/>
          </w:tcPr>
          <w:p w14:paraId="6B67AC4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LED染色投光灯</w:t>
            </w:r>
          </w:p>
        </w:tc>
        <w:tc>
          <w:tcPr>
            <w:tcW w:w="706" w:type="dxa"/>
            <w:noWrap w:val="0"/>
            <w:vAlign w:val="center"/>
          </w:tcPr>
          <w:p w14:paraId="751429E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投光灯</w:t>
            </w:r>
          </w:p>
        </w:tc>
        <w:tc>
          <w:tcPr>
            <w:tcW w:w="6279" w:type="dxa"/>
            <w:noWrap w:val="0"/>
            <w:vAlign w:val="top"/>
          </w:tcPr>
          <w:p w14:paraId="78E50D3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技术参数：</w:t>
            </w:r>
          </w:p>
          <w:p w14:paraId="062D3BC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额定电压：AC100～240V, 50～60Hz</w:t>
            </w:r>
          </w:p>
          <w:p w14:paraId="433F522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功率：≥300W</w:t>
            </w:r>
          </w:p>
          <w:p w14:paraId="148BCE7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LED 灯珠：18颗*15W,节能四合一灯珠 RGBW，色温：6000-6500K</w:t>
            </w:r>
          </w:p>
          <w:p w14:paraId="7A074B3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光学透镜：直径38mm,全新大透镜25度光学</w:t>
            </w:r>
          </w:p>
          <w:p w14:paraId="37B5854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通道：3/8CH通道模式选择 </w:t>
            </w:r>
          </w:p>
          <w:p w14:paraId="776C13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控制模式：DMX-512控制操作、主从机模式、单机模式,8种内置效果可以通过DMX控台和已制定程序选择使用</w:t>
            </w:r>
          </w:p>
          <w:p w14:paraId="14988C7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颜色：连续的红绿蓝和白色的颜色转换, RGBW无限混色炫彩效果,可调速</w:t>
            </w:r>
          </w:p>
          <w:p w14:paraId="33490B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调光：0—100%</w:t>
            </w:r>
          </w:p>
          <w:p w14:paraId="2D60F6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显示：四位八段数码管</w:t>
            </w:r>
          </w:p>
          <w:p w14:paraId="7A958FA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频闪：电子频闪1-25fps/秒,随机频闪,按顺序跳动, 变速频闪（从慢到快）, 混合频闪（频闪+底色、频闪+渐变）</w:t>
            </w:r>
          </w:p>
          <w:p w14:paraId="507619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散热：通过优质压铸铝散热片对流冷却</w:t>
            </w:r>
          </w:p>
          <w:p w14:paraId="0CE4FD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防护等级：≥IP66</w:t>
            </w:r>
          </w:p>
          <w:p w14:paraId="2181AC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尺寸：≥L340*W270*H260(MM)</w:t>
            </w:r>
          </w:p>
        </w:tc>
        <w:tc>
          <w:tcPr>
            <w:tcW w:w="785" w:type="dxa"/>
            <w:noWrap w:val="0"/>
            <w:vAlign w:val="center"/>
          </w:tcPr>
          <w:p w14:paraId="7A1E408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12</w:t>
            </w:r>
          </w:p>
        </w:tc>
        <w:tc>
          <w:tcPr>
            <w:tcW w:w="988" w:type="dxa"/>
            <w:noWrap w:val="0"/>
            <w:vAlign w:val="top"/>
          </w:tcPr>
          <w:p w14:paraId="5BF9BDEA">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49D4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871E4A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160</w:t>
            </w:r>
          </w:p>
        </w:tc>
        <w:tc>
          <w:tcPr>
            <w:tcW w:w="978" w:type="dxa"/>
            <w:noWrap w:val="0"/>
            <w:vAlign w:val="center"/>
          </w:tcPr>
          <w:p w14:paraId="06AA7290">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调光台</w:t>
            </w:r>
          </w:p>
        </w:tc>
        <w:tc>
          <w:tcPr>
            <w:tcW w:w="706" w:type="dxa"/>
            <w:noWrap w:val="0"/>
            <w:vAlign w:val="center"/>
          </w:tcPr>
          <w:p w14:paraId="16B51D8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调光台</w:t>
            </w:r>
          </w:p>
        </w:tc>
        <w:tc>
          <w:tcPr>
            <w:tcW w:w="6279" w:type="dxa"/>
            <w:noWrap w:val="0"/>
            <w:vAlign w:val="top"/>
          </w:tcPr>
          <w:p w14:paraId="5523394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 DMX512/1990标准,最大2048个DMX控制通道,光电隔离信号输出</w:t>
            </w:r>
          </w:p>
          <w:p w14:paraId="173E411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2. 最大控制≥200台电脑灯或≥200路调光,使用珍珠灯库</w:t>
            </w:r>
          </w:p>
          <w:p w14:paraId="4B5932A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3. 内置图形轨迹发生器,235个内置图形,方便用户对电脑灯进行图形</w:t>
            </w:r>
          </w:p>
          <w:p w14:paraId="548870C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4. 轨迹控制,如画圆,螺旋、彩虹、追逐等多种效果。图形参数(如:振</w:t>
            </w:r>
          </w:p>
          <w:p w14:paraId="6D321E1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5. 幅、速度、间隔、波浪、方向、循环方式、编组)均可独立设置</w:t>
            </w:r>
          </w:p>
          <w:p w14:paraId="1E59A6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6. ≥100个素材,拥有4种模式,更加灵活</w:t>
            </w:r>
          </w:p>
          <w:p w14:paraId="242646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7. ≥150个重演场景,用于储存多步场景,单步场景和场景集合</w:t>
            </w:r>
          </w:p>
          <w:p w14:paraId="7D7740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8. 多步场景最多可储存600步</w:t>
            </w:r>
          </w:p>
          <w:p w14:paraId="1F23CEA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 9. 带背光的LED显示屏,中英文显示</w:t>
            </w:r>
          </w:p>
          <w:p w14:paraId="7BC3225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 关机数据保持</w:t>
            </w:r>
          </w:p>
          <w:p w14:paraId="0EBDF1A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 U盘备份和专业鹅颈工作灯</w:t>
            </w:r>
          </w:p>
          <w:p w14:paraId="372A1A4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12. 适合室外演出使用</w:t>
            </w:r>
          </w:p>
          <w:p w14:paraId="3E1FB5E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13. 电源:AC100-240V/50-60Hz</w:t>
            </w:r>
          </w:p>
        </w:tc>
        <w:tc>
          <w:tcPr>
            <w:tcW w:w="785" w:type="dxa"/>
            <w:noWrap w:val="0"/>
            <w:vAlign w:val="center"/>
          </w:tcPr>
          <w:p w14:paraId="3DE24D4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10449F7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3711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30E355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161</w:t>
            </w:r>
          </w:p>
        </w:tc>
        <w:tc>
          <w:tcPr>
            <w:tcW w:w="978" w:type="dxa"/>
            <w:noWrap w:val="0"/>
            <w:vAlign w:val="center"/>
          </w:tcPr>
          <w:p w14:paraId="160F2CB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直通柜</w:t>
            </w:r>
          </w:p>
        </w:tc>
        <w:tc>
          <w:tcPr>
            <w:tcW w:w="706" w:type="dxa"/>
            <w:noWrap w:val="0"/>
            <w:vAlign w:val="center"/>
          </w:tcPr>
          <w:p w14:paraId="26C6736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直通柜</w:t>
            </w:r>
          </w:p>
        </w:tc>
        <w:tc>
          <w:tcPr>
            <w:tcW w:w="6279" w:type="dxa"/>
            <w:noWrap w:val="0"/>
            <w:vAlign w:val="top"/>
          </w:tcPr>
          <w:p w14:paraId="0E569C2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技术特点：</w:t>
            </w:r>
          </w:p>
          <w:p w14:paraId="59391B9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1.12路输出；</w:t>
            </w:r>
          </w:p>
          <w:p w14:paraId="09A053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2.每路输出均带空气开关；</w:t>
            </w:r>
          </w:p>
          <w:p w14:paraId="52319A0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3.第路输出均带工作指示灯；</w:t>
            </w:r>
          </w:p>
          <w:p w14:paraId="40A5E8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4.输出功率大,每路最大输出可达4KW；</w:t>
            </w:r>
          </w:p>
          <w:p w14:paraId="07F788A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5.三相四线带保护接地供电输入,单相交流220V输出；</w:t>
            </w:r>
          </w:p>
          <w:p w14:paraId="63060FC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6.19英寸标准机箱,并与电源箱配合构成流动直通柜；</w:t>
            </w:r>
          </w:p>
          <w:p w14:paraId="46CB2FF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7.电源输入可单相、三相供电；</w:t>
            </w:r>
          </w:p>
          <w:p w14:paraId="6C036ED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8.电源输入标配为压线板式，另有100A接线柱总电、160A犀牛插总电等多种方式可选；单机流动使用时建议选160A犀牛插式总电；</w:t>
            </w:r>
          </w:p>
          <w:p w14:paraId="52B3002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9.输出标配为单路单40A式，另有2*10A式、压线板式等多种可选;</w:t>
            </w:r>
          </w:p>
        </w:tc>
        <w:tc>
          <w:tcPr>
            <w:tcW w:w="785" w:type="dxa"/>
            <w:noWrap w:val="0"/>
            <w:vAlign w:val="center"/>
          </w:tcPr>
          <w:p w14:paraId="31A1B7C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556D08D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6AA8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CBB389B">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162</w:t>
            </w:r>
          </w:p>
        </w:tc>
        <w:tc>
          <w:tcPr>
            <w:tcW w:w="978" w:type="dxa"/>
            <w:noWrap w:val="0"/>
            <w:vAlign w:val="center"/>
          </w:tcPr>
          <w:p w14:paraId="228CF92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信号放大器</w:t>
            </w:r>
          </w:p>
        </w:tc>
        <w:tc>
          <w:tcPr>
            <w:tcW w:w="706" w:type="dxa"/>
            <w:noWrap w:val="0"/>
            <w:vAlign w:val="center"/>
          </w:tcPr>
          <w:p w14:paraId="27C674E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信号放大器</w:t>
            </w:r>
          </w:p>
        </w:tc>
        <w:tc>
          <w:tcPr>
            <w:tcW w:w="6279" w:type="dxa"/>
            <w:noWrap w:val="0"/>
            <w:vAlign w:val="top"/>
          </w:tcPr>
          <w:p w14:paraId="3EBFC8B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1路DMX512数码输入，1路DMX512直接输出。</w:t>
            </w:r>
          </w:p>
          <w:p w14:paraId="3CFD677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输入输出光电隔离。</w:t>
            </w:r>
          </w:p>
          <w:p w14:paraId="60E7DBB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8路独立放大驱动输出。</w:t>
            </w:r>
          </w:p>
          <w:p w14:paraId="7F4B14B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信号放大整形功能，延长信号传输距离。</w:t>
            </w:r>
          </w:p>
          <w:p w14:paraId="0B56E34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增强数据总线接入设备数量的能力。保护灯光控制台DMX512输出接口，故障现场隔离，提高数字式灯光控制系统的安全可靠性。</w:t>
            </w:r>
          </w:p>
          <w:p w14:paraId="66287F7A">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独立的LED信号指示。</w:t>
            </w:r>
          </w:p>
          <w:p w14:paraId="1F9156F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电源：AC100~240V/50-60HZ</w:t>
            </w:r>
          </w:p>
        </w:tc>
        <w:tc>
          <w:tcPr>
            <w:tcW w:w="785" w:type="dxa"/>
            <w:noWrap w:val="0"/>
            <w:vAlign w:val="center"/>
          </w:tcPr>
          <w:p w14:paraId="15D1DED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2</w:t>
            </w:r>
          </w:p>
        </w:tc>
        <w:tc>
          <w:tcPr>
            <w:tcW w:w="988" w:type="dxa"/>
            <w:noWrap w:val="0"/>
            <w:vAlign w:val="center"/>
          </w:tcPr>
          <w:p w14:paraId="7538B0E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E6F0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315900E">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163</w:t>
            </w:r>
          </w:p>
        </w:tc>
        <w:tc>
          <w:tcPr>
            <w:tcW w:w="978" w:type="dxa"/>
            <w:noWrap w:val="0"/>
            <w:vAlign w:val="center"/>
          </w:tcPr>
          <w:p w14:paraId="741D3F4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栅顶转换层</w:t>
            </w:r>
          </w:p>
        </w:tc>
        <w:tc>
          <w:tcPr>
            <w:tcW w:w="706" w:type="dxa"/>
            <w:noWrap w:val="0"/>
            <w:vAlign w:val="center"/>
          </w:tcPr>
          <w:p w14:paraId="25A2001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栅顶转换层</w:t>
            </w:r>
          </w:p>
        </w:tc>
        <w:tc>
          <w:tcPr>
            <w:tcW w:w="6279" w:type="dxa"/>
            <w:noWrap w:val="0"/>
            <w:vAlign w:val="top"/>
          </w:tcPr>
          <w:p w14:paraId="46E2756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结构层必须设计为整体格栅+承重滑轮梁分散主梁向下承载力。吊筋（6#槽钢），机架梁，滑轮钢梁（12#槽钢），格栅层（50*50方钢）等材料。整体面积不低于60m²。</w:t>
            </w:r>
          </w:p>
        </w:tc>
        <w:tc>
          <w:tcPr>
            <w:tcW w:w="785" w:type="dxa"/>
            <w:noWrap w:val="0"/>
            <w:vAlign w:val="center"/>
          </w:tcPr>
          <w:p w14:paraId="4B30638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855BF6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B5E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1F7758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164</w:t>
            </w:r>
          </w:p>
        </w:tc>
        <w:tc>
          <w:tcPr>
            <w:tcW w:w="978" w:type="dxa"/>
            <w:noWrap w:val="0"/>
            <w:vAlign w:val="center"/>
          </w:tcPr>
          <w:p w14:paraId="5613800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灯杆</w:t>
            </w:r>
          </w:p>
        </w:tc>
        <w:tc>
          <w:tcPr>
            <w:tcW w:w="706" w:type="dxa"/>
            <w:noWrap w:val="0"/>
            <w:vAlign w:val="center"/>
          </w:tcPr>
          <w:p w14:paraId="5666A93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灯杆</w:t>
            </w:r>
          </w:p>
        </w:tc>
        <w:tc>
          <w:tcPr>
            <w:tcW w:w="6279" w:type="dxa"/>
            <w:noWrap w:val="0"/>
            <w:vAlign w:val="top"/>
          </w:tcPr>
          <w:p w14:paraId="101C67F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1道面光，2道顶光，2道逆光，两道侧光  壁厚2mm，φ50钢管焊制，测光杆不低于4米，2吊点；面光、顶光、逆光杆不少于11米，4吊点。</w:t>
            </w:r>
          </w:p>
        </w:tc>
        <w:tc>
          <w:tcPr>
            <w:tcW w:w="785" w:type="dxa"/>
            <w:noWrap w:val="0"/>
            <w:vAlign w:val="center"/>
          </w:tcPr>
          <w:p w14:paraId="46CB4F2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7</w:t>
            </w:r>
          </w:p>
        </w:tc>
        <w:tc>
          <w:tcPr>
            <w:tcW w:w="988" w:type="dxa"/>
            <w:noWrap w:val="0"/>
            <w:vAlign w:val="center"/>
          </w:tcPr>
          <w:p w14:paraId="1057191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AA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832309A">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165</w:t>
            </w:r>
          </w:p>
        </w:tc>
        <w:tc>
          <w:tcPr>
            <w:tcW w:w="978" w:type="dxa"/>
            <w:noWrap w:val="0"/>
            <w:vAlign w:val="center"/>
          </w:tcPr>
          <w:p w14:paraId="2B3D58C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沿幕杆</w:t>
            </w:r>
          </w:p>
        </w:tc>
        <w:tc>
          <w:tcPr>
            <w:tcW w:w="706" w:type="dxa"/>
            <w:noWrap w:val="0"/>
            <w:vAlign w:val="center"/>
          </w:tcPr>
          <w:p w14:paraId="22AC3016">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沿幕杆</w:t>
            </w:r>
          </w:p>
        </w:tc>
        <w:tc>
          <w:tcPr>
            <w:tcW w:w="6279" w:type="dxa"/>
            <w:noWrap w:val="0"/>
            <w:vAlign w:val="top"/>
          </w:tcPr>
          <w:p w14:paraId="197423B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壁厚2mm，φ50钢管焊制，13米长。</w:t>
            </w:r>
          </w:p>
        </w:tc>
        <w:tc>
          <w:tcPr>
            <w:tcW w:w="785" w:type="dxa"/>
            <w:noWrap w:val="0"/>
            <w:vAlign w:val="center"/>
          </w:tcPr>
          <w:p w14:paraId="20FE26C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2DABC268">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518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E3B6DA6">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166</w:t>
            </w:r>
          </w:p>
        </w:tc>
        <w:tc>
          <w:tcPr>
            <w:tcW w:w="978" w:type="dxa"/>
            <w:noWrap w:val="0"/>
            <w:vAlign w:val="center"/>
          </w:tcPr>
          <w:p w14:paraId="763E7DD9">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前沿幕</w:t>
            </w:r>
          </w:p>
        </w:tc>
        <w:tc>
          <w:tcPr>
            <w:tcW w:w="706" w:type="dxa"/>
            <w:noWrap w:val="0"/>
            <w:vAlign w:val="center"/>
          </w:tcPr>
          <w:p w14:paraId="559F5C6D">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前沿幕</w:t>
            </w:r>
          </w:p>
        </w:tc>
        <w:tc>
          <w:tcPr>
            <w:tcW w:w="6279" w:type="dxa"/>
            <w:noWrap w:val="0"/>
            <w:vAlign w:val="top"/>
          </w:tcPr>
          <w:p w14:paraId="73D5B0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枣红色绒布，长：25m，高2m，3折（正面及两侧）</w:t>
            </w:r>
          </w:p>
        </w:tc>
        <w:tc>
          <w:tcPr>
            <w:tcW w:w="785" w:type="dxa"/>
            <w:noWrap w:val="0"/>
            <w:vAlign w:val="center"/>
          </w:tcPr>
          <w:p w14:paraId="4F28A8C7">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150</w:t>
            </w:r>
          </w:p>
        </w:tc>
        <w:tc>
          <w:tcPr>
            <w:tcW w:w="988" w:type="dxa"/>
            <w:noWrap w:val="0"/>
            <w:vAlign w:val="center"/>
          </w:tcPr>
          <w:p w14:paraId="2ABCC62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09FD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8453CC9">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167</w:t>
            </w:r>
          </w:p>
        </w:tc>
        <w:tc>
          <w:tcPr>
            <w:tcW w:w="978" w:type="dxa"/>
            <w:noWrap w:val="0"/>
            <w:vAlign w:val="center"/>
          </w:tcPr>
          <w:p w14:paraId="755592F1">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电源线</w:t>
            </w:r>
          </w:p>
        </w:tc>
        <w:tc>
          <w:tcPr>
            <w:tcW w:w="706" w:type="dxa"/>
            <w:noWrap w:val="0"/>
            <w:vAlign w:val="center"/>
          </w:tcPr>
          <w:p w14:paraId="716FB97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电源线</w:t>
            </w:r>
          </w:p>
        </w:tc>
        <w:tc>
          <w:tcPr>
            <w:tcW w:w="6279" w:type="dxa"/>
            <w:noWrap w:val="0"/>
            <w:vAlign w:val="top"/>
          </w:tcPr>
          <w:p w14:paraId="22C2399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3卷规格ZRRVV2*2.5；达到GB8624-2006防火阻燃B级要求； 每卷不低于98米。</w:t>
            </w:r>
          </w:p>
        </w:tc>
        <w:tc>
          <w:tcPr>
            <w:tcW w:w="785" w:type="dxa"/>
            <w:noWrap w:val="0"/>
            <w:vAlign w:val="center"/>
          </w:tcPr>
          <w:p w14:paraId="42F2795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3</w:t>
            </w:r>
          </w:p>
        </w:tc>
        <w:tc>
          <w:tcPr>
            <w:tcW w:w="988" w:type="dxa"/>
            <w:noWrap w:val="0"/>
            <w:vAlign w:val="center"/>
          </w:tcPr>
          <w:p w14:paraId="64970CF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518A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78711BC">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168</w:t>
            </w:r>
          </w:p>
        </w:tc>
        <w:tc>
          <w:tcPr>
            <w:tcW w:w="978" w:type="dxa"/>
            <w:noWrap w:val="0"/>
            <w:vAlign w:val="center"/>
          </w:tcPr>
          <w:p w14:paraId="0124E4E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信号线</w:t>
            </w:r>
          </w:p>
        </w:tc>
        <w:tc>
          <w:tcPr>
            <w:tcW w:w="706" w:type="dxa"/>
            <w:noWrap w:val="0"/>
            <w:vAlign w:val="center"/>
          </w:tcPr>
          <w:p w14:paraId="1711691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信号线</w:t>
            </w:r>
          </w:p>
        </w:tc>
        <w:tc>
          <w:tcPr>
            <w:tcW w:w="6279" w:type="dxa"/>
            <w:noWrap w:val="0"/>
            <w:vAlign w:val="top"/>
          </w:tcPr>
          <w:p w14:paraId="3CBB7FD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1卷规格DMX512；</w:t>
            </w:r>
          </w:p>
          <w:p w14:paraId="2729D6A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采用90%的优质高纯度无氧铜；</w:t>
            </w:r>
          </w:p>
          <w:p w14:paraId="45A28E4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护套采用弹性聚氯乙烯材料；</w:t>
            </w:r>
          </w:p>
          <w:p w14:paraId="02EE24E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每卷不低于98米。</w:t>
            </w:r>
          </w:p>
        </w:tc>
        <w:tc>
          <w:tcPr>
            <w:tcW w:w="785" w:type="dxa"/>
            <w:noWrap w:val="0"/>
            <w:vAlign w:val="center"/>
          </w:tcPr>
          <w:p w14:paraId="729FE43C">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center"/>
          </w:tcPr>
          <w:p w14:paraId="3C4C965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01BB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17465999">
            <w:pP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169</w:t>
            </w:r>
          </w:p>
        </w:tc>
        <w:tc>
          <w:tcPr>
            <w:tcW w:w="978" w:type="dxa"/>
            <w:noWrap w:val="0"/>
            <w:vAlign w:val="center"/>
          </w:tcPr>
          <w:p w14:paraId="0347311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灯钩</w:t>
            </w:r>
          </w:p>
        </w:tc>
        <w:tc>
          <w:tcPr>
            <w:tcW w:w="706" w:type="dxa"/>
            <w:noWrap w:val="0"/>
            <w:vAlign w:val="center"/>
          </w:tcPr>
          <w:p w14:paraId="6DB6865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灯钩</w:t>
            </w:r>
          </w:p>
        </w:tc>
        <w:tc>
          <w:tcPr>
            <w:tcW w:w="6279" w:type="dxa"/>
            <w:noWrap w:val="0"/>
            <w:vAlign w:val="top"/>
          </w:tcPr>
          <w:p w14:paraId="0938A9F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采用高强度铝合金压铸，承重 ≥120kg</w:t>
            </w:r>
          </w:p>
        </w:tc>
        <w:tc>
          <w:tcPr>
            <w:tcW w:w="785" w:type="dxa"/>
            <w:noWrap w:val="0"/>
            <w:vAlign w:val="center"/>
          </w:tcPr>
          <w:p w14:paraId="6DF0EC7A">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92</w:t>
            </w:r>
          </w:p>
        </w:tc>
        <w:tc>
          <w:tcPr>
            <w:tcW w:w="988" w:type="dxa"/>
            <w:noWrap w:val="0"/>
            <w:vAlign w:val="center"/>
          </w:tcPr>
          <w:p w14:paraId="024003E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61D4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9238032">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170</w:t>
            </w:r>
          </w:p>
        </w:tc>
        <w:tc>
          <w:tcPr>
            <w:tcW w:w="978" w:type="dxa"/>
            <w:noWrap w:val="0"/>
            <w:vAlign w:val="center"/>
          </w:tcPr>
          <w:p w14:paraId="692BF0A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保险绳</w:t>
            </w:r>
          </w:p>
        </w:tc>
        <w:tc>
          <w:tcPr>
            <w:tcW w:w="706" w:type="dxa"/>
            <w:noWrap w:val="0"/>
            <w:vAlign w:val="center"/>
          </w:tcPr>
          <w:p w14:paraId="256D727B">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保险绳</w:t>
            </w:r>
          </w:p>
        </w:tc>
        <w:tc>
          <w:tcPr>
            <w:tcW w:w="6279" w:type="dxa"/>
            <w:noWrap w:val="0"/>
            <w:vAlign w:val="top"/>
          </w:tcPr>
          <w:p w14:paraId="0D98134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80根</w:t>
            </w:r>
          </w:p>
          <w:p w14:paraId="5E4894F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不锈钢丝绳，单根长度80cm,承重：≥100KG</w:t>
            </w:r>
          </w:p>
        </w:tc>
        <w:tc>
          <w:tcPr>
            <w:tcW w:w="785" w:type="dxa"/>
            <w:noWrap w:val="0"/>
            <w:vAlign w:val="center"/>
          </w:tcPr>
          <w:p w14:paraId="6726F7EF">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50</w:t>
            </w:r>
          </w:p>
        </w:tc>
        <w:tc>
          <w:tcPr>
            <w:tcW w:w="988" w:type="dxa"/>
            <w:noWrap w:val="0"/>
            <w:vAlign w:val="top"/>
          </w:tcPr>
          <w:p w14:paraId="1717AEC2">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4536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7F02F73">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171</w:t>
            </w:r>
          </w:p>
        </w:tc>
        <w:tc>
          <w:tcPr>
            <w:tcW w:w="978" w:type="dxa"/>
            <w:noWrap w:val="0"/>
            <w:vAlign w:val="center"/>
          </w:tcPr>
          <w:p w14:paraId="1C02ABD4">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辅材</w:t>
            </w:r>
          </w:p>
        </w:tc>
        <w:tc>
          <w:tcPr>
            <w:tcW w:w="706" w:type="dxa"/>
            <w:noWrap w:val="0"/>
            <w:vAlign w:val="center"/>
          </w:tcPr>
          <w:p w14:paraId="24D40E0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辅材</w:t>
            </w:r>
          </w:p>
        </w:tc>
        <w:tc>
          <w:tcPr>
            <w:tcW w:w="6279" w:type="dxa"/>
            <w:noWrap w:val="0"/>
            <w:vAlign w:val="top"/>
          </w:tcPr>
          <w:p w14:paraId="6FFC6A38">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200米包含但不限于桥架规格100*100/100*50/50*25及安装配件等材料；</w:t>
            </w:r>
          </w:p>
        </w:tc>
        <w:tc>
          <w:tcPr>
            <w:tcW w:w="785" w:type="dxa"/>
            <w:noWrap w:val="0"/>
            <w:vAlign w:val="center"/>
          </w:tcPr>
          <w:p w14:paraId="2DA48199">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top"/>
          </w:tcPr>
          <w:p w14:paraId="27F74D4C">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0069F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5A0B745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172</w:t>
            </w:r>
          </w:p>
        </w:tc>
        <w:tc>
          <w:tcPr>
            <w:tcW w:w="978" w:type="dxa"/>
            <w:noWrap w:val="0"/>
            <w:vAlign w:val="center"/>
          </w:tcPr>
          <w:p w14:paraId="7B9FFF7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706" w:type="dxa"/>
            <w:noWrap w:val="0"/>
            <w:vAlign w:val="center"/>
          </w:tcPr>
          <w:p w14:paraId="450CB438">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LED显示屏</w:t>
            </w:r>
          </w:p>
        </w:tc>
        <w:tc>
          <w:tcPr>
            <w:tcW w:w="6279" w:type="dxa"/>
            <w:noWrap w:val="0"/>
            <w:vAlign w:val="top"/>
          </w:tcPr>
          <w:p w14:paraId="0599FCC0">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主屏尺寸：9.92m（W）*4m（H）=39.68㎡  包边尺寸：10.2m（W）*4.1m（H）=41.82㎡  </w:t>
            </w:r>
          </w:p>
          <w:p w14:paraId="0FA06ED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两侧屏尺寸： 1.92m（W）*4m（H）*2块=15.36㎡  两侧屏包边： 2.02m（W）*4.1m（H）*2块=16.56㎡                                     1 、物理像素间距≤2.5mm                                                                                                                                              2、模组尺寸：320mm*160mm                                                                                                                                               3、屏体正面为亚光处理，反光率：≤2%         </w:t>
            </w:r>
          </w:p>
          <w:p w14:paraId="6447C979">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4、可视视角：水平175°，垂直175°</w:t>
            </w:r>
          </w:p>
          <w:p w14:paraId="523E28B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5、亮度均匀性≥99.2%  色度均匀性≤≤±0.001Cx、Cy之内； （</w:t>
            </w:r>
          </w:p>
          <w:p w14:paraId="1E7BA9C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6、显示刷新频率：3840Hz，对比度 ≥10000：1  </w:t>
            </w:r>
          </w:p>
          <w:p w14:paraId="2DCBB1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7、平均功耗≤152W/㎡；峰值功耗≤450W/㎡，模组最大功耗不超过23W/块；</w:t>
            </w:r>
          </w:p>
          <w:p w14:paraId="606AACE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8、亮度≥800cd/㎡可做256级（手动和自动）调节；  </w:t>
            </w:r>
          </w:p>
          <w:p w14:paraId="22F04D8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9、逐点校正功能及数据存储，模块级亮度、色度校正，校正数据可保存及回读。LED显示屏像素失控率为0；</w:t>
            </w:r>
          </w:p>
          <w:p w14:paraId="26F83F52">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10、画面延时≤2ms                                                                                                                                                     11、拼接拼缝：≤0.05mm整屏平整度误差≤0.05mm                                                          12、平均无故障时间（MTBF）≥100000小时 ，平均故障恢复时间（MTTF）≤5分钟</w:t>
            </w:r>
          </w:p>
        </w:tc>
        <w:tc>
          <w:tcPr>
            <w:tcW w:w="785" w:type="dxa"/>
            <w:noWrap w:val="0"/>
            <w:vAlign w:val="center"/>
          </w:tcPr>
          <w:p w14:paraId="77A8695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55.04</w:t>
            </w:r>
          </w:p>
        </w:tc>
        <w:tc>
          <w:tcPr>
            <w:tcW w:w="988" w:type="dxa"/>
            <w:noWrap w:val="0"/>
            <w:vAlign w:val="top"/>
          </w:tcPr>
          <w:p w14:paraId="3DD2523B">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0E1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C9A2BB0">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173</w:t>
            </w:r>
          </w:p>
        </w:tc>
        <w:tc>
          <w:tcPr>
            <w:tcW w:w="978" w:type="dxa"/>
            <w:noWrap w:val="0"/>
            <w:vAlign w:val="center"/>
          </w:tcPr>
          <w:p w14:paraId="76BA0AD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控制卡</w:t>
            </w:r>
          </w:p>
        </w:tc>
        <w:tc>
          <w:tcPr>
            <w:tcW w:w="706" w:type="dxa"/>
            <w:noWrap w:val="0"/>
            <w:vAlign w:val="center"/>
          </w:tcPr>
          <w:p w14:paraId="7A75659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控制卡</w:t>
            </w:r>
          </w:p>
        </w:tc>
        <w:tc>
          <w:tcPr>
            <w:tcW w:w="6279" w:type="dxa"/>
            <w:noWrap w:val="0"/>
            <w:vAlign w:val="top"/>
          </w:tcPr>
          <w:p w14:paraId="28EA2B9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1、单卡12个标准HUB75E接口，输出32组RGB数据，无需配转接板，减少接插HUB板，减少故障点，故障率低。</w:t>
            </w:r>
          </w:p>
          <w:p w14:paraId="1B1CFB41">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2、支持高灰高刷、低亮高灰显示，可消除某行偏暗、低灰偏红、鬼影等细节问题。</w:t>
            </w:r>
          </w:p>
          <w:p w14:paraId="2AA9EAD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3、支持亮度逐点校正，提供校正低灰补偿，保障低灰显示效果。</w:t>
            </w:r>
          </w:p>
          <w:p w14:paraId="1319705D">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4、支持修边修缝功能，可消除显示单元间的亮暗线，且不影响原始校正系数。</w:t>
            </w:r>
          </w:p>
          <w:p w14:paraId="4363DF3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5、支持接收卡画面旋转功能，实现0度、90度、180度、270度画面显示。</w:t>
            </w:r>
          </w:p>
          <w:p w14:paraId="16E1B3D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6、支持抽点显示与数据偏移，可完成异形屏带载。</w:t>
            </w:r>
          </w:p>
        </w:tc>
        <w:tc>
          <w:tcPr>
            <w:tcW w:w="785" w:type="dxa"/>
            <w:noWrap w:val="0"/>
            <w:vAlign w:val="center"/>
          </w:tcPr>
          <w:p w14:paraId="45B6E54D">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88</w:t>
            </w:r>
          </w:p>
        </w:tc>
        <w:tc>
          <w:tcPr>
            <w:tcW w:w="988" w:type="dxa"/>
            <w:noWrap w:val="0"/>
            <w:vAlign w:val="top"/>
          </w:tcPr>
          <w:p w14:paraId="75D38137">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472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7B4BC0B1">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174</w:t>
            </w:r>
          </w:p>
        </w:tc>
        <w:tc>
          <w:tcPr>
            <w:tcW w:w="978" w:type="dxa"/>
            <w:noWrap w:val="0"/>
            <w:vAlign w:val="center"/>
          </w:tcPr>
          <w:p w14:paraId="33AF79A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专用电源</w:t>
            </w:r>
          </w:p>
        </w:tc>
        <w:tc>
          <w:tcPr>
            <w:tcW w:w="706" w:type="dxa"/>
            <w:noWrap w:val="0"/>
            <w:vAlign w:val="center"/>
          </w:tcPr>
          <w:p w14:paraId="1774AA7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专用电源</w:t>
            </w:r>
          </w:p>
        </w:tc>
        <w:tc>
          <w:tcPr>
            <w:tcW w:w="6279" w:type="dxa"/>
            <w:noWrap w:val="0"/>
            <w:vAlign w:val="top"/>
          </w:tcPr>
          <w:p w14:paraId="5A49CF7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输出电压 5V </w:t>
            </w:r>
          </w:p>
          <w:p w14:paraId="07C2550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输出电压调整范围 4.5~5.6 V</w:t>
            </w:r>
          </w:p>
          <w:p w14:paraId="7B601BC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过载保护 105~150% </w:t>
            </w:r>
          </w:p>
          <w:p w14:paraId="10953B8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过温保护 100℃±5℃（5V） ℃</w:t>
            </w:r>
          </w:p>
          <w:p w14:paraId="29AFD01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绝缘耐压 1/P-FG:1.5KVAC V</w:t>
            </w:r>
          </w:p>
        </w:tc>
        <w:tc>
          <w:tcPr>
            <w:tcW w:w="785" w:type="dxa"/>
            <w:noWrap w:val="0"/>
            <w:vAlign w:val="center"/>
          </w:tcPr>
          <w:p w14:paraId="75310C91">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181</w:t>
            </w:r>
          </w:p>
        </w:tc>
        <w:tc>
          <w:tcPr>
            <w:tcW w:w="988" w:type="dxa"/>
            <w:noWrap w:val="0"/>
            <w:vAlign w:val="top"/>
          </w:tcPr>
          <w:p w14:paraId="5EAA0D09">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80E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3E11CDC8">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175</w:t>
            </w:r>
          </w:p>
        </w:tc>
        <w:tc>
          <w:tcPr>
            <w:tcW w:w="978" w:type="dxa"/>
            <w:noWrap w:val="0"/>
            <w:vAlign w:val="center"/>
          </w:tcPr>
          <w:p w14:paraId="6E894B52">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706" w:type="dxa"/>
            <w:noWrap w:val="0"/>
            <w:vAlign w:val="center"/>
          </w:tcPr>
          <w:p w14:paraId="729EE59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视频处理器</w:t>
            </w:r>
          </w:p>
        </w:tc>
        <w:tc>
          <w:tcPr>
            <w:tcW w:w="6279" w:type="dxa"/>
            <w:noWrap w:val="0"/>
            <w:vAlign w:val="top"/>
          </w:tcPr>
          <w:p w14:paraId="7F41AE2C">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输入接口包括 1 ×HDMI 1.4、 1 × DVI、 1 × 3G-SDI（IN+LOOP），选配 1 × 3.5mm 音频输入接口；</w:t>
            </w:r>
          </w:p>
          <w:p w14:paraId="3D1F6E8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输出接口包括 20路千兆网口，最大带载 1300万像素，单台设备输出最大宽度 10240，高度 8192， 1路 HDMI 1.3 输出接口，可用作输出预监或视频输出；</w:t>
            </w:r>
          </w:p>
          <w:p w14:paraId="1FD1C86F">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音频输入输出： 支持 HDMI伴随音频输入， 支持 3.5mm 独立音频输入， 支持 3.5mm 独立音频输出， 支持通过多功能卡进行音频输出</w:t>
            </w:r>
          </w:p>
        </w:tc>
        <w:tc>
          <w:tcPr>
            <w:tcW w:w="785" w:type="dxa"/>
            <w:noWrap w:val="0"/>
            <w:vAlign w:val="center"/>
          </w:tcPr>
          <w:p w14:paraId="0820EF63">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top"/>
          </w:tcPr>
          <w:p w14:paraId="495D27A0">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4C35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25A61C8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176</w:t>
            </w:r>
          </w:p>
        </w:tc>
        <w:tc>
          <w:tcPr>
            <w:tcW w:w="978" w:type="dxa"/>
            <w:noWrap w:val="0"/>
            <w:vAlign w:val="center"/>
          </w:tcPr>
          <w:p w14:paraId="19918787">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屏体钢架</w:t>
            </w:r>
          </w:p>
        </w:tc>
        <w:tc>
          <w:tcPr>
            <w:tcW w:w="706" w:type="dxa"/>
            <w:noWrap w:val="0"/>
            <w:vAlign w:val="center"/>
          </w:tcPr>
          <w:p w14:paraId="7ECE266A">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屏体钢架</w:t>
            </w:r>
          </w:p>
        </w:tc>
        <w:tc>
          <w:tcPr>
            <w:tcW w:w="6279" w:type="dxa"/>
            <w:noWrap w:val="0"/>
            <w:vAlign w:val="top"/>
          </w:tcPr>
          <w:p w14:paraId="4C744D0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两侧屏尺寸：10.2m（W）*4.1m（H）=41.82㎡ 两侧屏包边： 2.02m（W）*4.1m（H）*2块=16.56㎡      </w:t>
            </w:r>
          </w:p>
          <w:p w14:paraId="6A5B7ED5">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钢材：国标镀锌方管、40*40*2   40*20*2.黑钛不锈钢包边</w:t>
            </w:r>
          </w:p>
        </w:tc>
        <w:tc>
          <w:tcPr>
            <w:tcW w:w="785" w:type="dxa"/>
            <w:noWrap w:val="0"/>
            <w:vAlign w:val="center"/>
          </w:tcPr>
          <w:p w14:paraId="7D24FD75">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58.38</w:t>
            </w:r>
          </w:p>
        </w:tc>
        <w:tc>
          <w:tcPr>
            <w:tcW w:w="988" w:type="dxa"/>
            <w:noWrap w:val="0"/>
            <w:vAlign w:val="top"/>
          </w:tcPr>
          <w:p w14:paraId="4E30124D">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73D11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413AB445">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177</w:t>
            </w:r>
          </w:p>
        </w:tc>
        <w:tc>
          <w:tcPr>
            <w:tcW w:w="978" w:type="dxa"/>
            <w:noWrap w:val="0"/>
            <w:vAlign w:val="center"/>
          </w:tcPr>
          <w:p w14:paraId="7F33228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辅材</w:t>
            </w:r>
          </w:p>
        </w:tc>
        <w:tc>
          <w:tcPr>
            <w:tcW w:w="706" w:type="dxa"/>
            <w:noWrap w:val="0"/>
            <w:vAlign w:val="center"/>
          </w:tcPr>
          <w:p w14:paraId="527F3D9C">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辅材</w:t>
            </w:r>
          </w:p>
        </w:tc>
        <w:tc>
          <w:tcPr>
            <w:tcW w:w="6279" w:type="dxa"/>
            <w:noWrap w:val="0"/>
            <w:vAlign w:val="top"/>
          </w:tcPr>
          <w:p w14:paraId="2E9E425E">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屏体内部220v 排线等  主电缆 YJV 4*25+1  50m、分项电线bv2.5  200m bv4.0 100m、 网线超六类 1000m  线管100m、弯头 10个、扎带2袋</w:t>
            </w:r>
          </w:p>
        </w:tc>
        <w:tc>
          <w:tcPr>
            <w:tcW w:w="785" w:type="dxa"/>
            <w:noWrap w:val="0"/>
            <w:vAlign w:val="center"/>
          </w:tcPr>
          <w:p w14:paraId="5F1A088B">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55.04</w:t>
            </w:r>
          </w:p>
        </w:tc>
        <w:tc>
          <w:tcPr>
            <w:tcW w:w="988" w:type="dxa"/>
            <w:noWrap w:val="0"/>
            <w:vAlign w:val="top"/>
          </w:tcPr>
          <w:p w14:paraId="4386F04F">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2B05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6FFF2BD7">
            <w:pPr>
              <w:rPr>
                <w:rFonts w:hint="eastAsia"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178</w:t>
            </w:r>
          </w:p>
        </w:tc>
        <w:tc>
          <w:tcPr>
            <w:tcW w:w="978" w:type="dxa"/>
            <w:noWrap w:val="0"/>
            <w:vAlign w:val="center"/>
          </w:tcPr>
          <w:p w14:paraId="58930473">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配电箱</w:t>
            </w:r>
          </w:p>
        </w:tc>
        <w:tc>
          <w:tcPr>
            <w:tcW w:w="706" w:type="dxa"/>
            <w:noWrap w:val="0"/>
            <w:vAlign w:val="center"/>
          </w:tcPr>
          <w:p w14:paraId="7B02A62F">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配电箱</w:t>
            </w:r>
          </w:p>
        </w:tc>
        <w:tc>
          <w:tcPr>
            <w:tcW w:w="6279" w:type="dxa"/>
            <w:noWrap w:val="0"/>
            <w:vAlign w:val="top"/>
          </w:tcPr>
          <w:p w14:paraId="54A58B73">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50kw配电箱、三相五线制</w:t>
            </w:r>
          </w:p>
        </w:tc>
        <w:tc>
          <w:tcPr>
            <w:tcW w:w="785" w:type="dxa"/>
            <w:noWrap w:val="0"/>
            <w:vAlign w:val="center"/>
          </w:tcPr>
          <w:p w14:paraId="7A9CCF6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top"/>
          </w:tcPr>
          <w:p w14:paraId="0DFE8BD4">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r w14:paraId="4821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dxa"/>
            <w:noWrap w:val="0"/>
            <w:vAlign w:val="top"/>
          </w:tcPr>
          <w:p w14:paraId="0C175DC1">
            <w:pPr>
              <w:rPr>
                <w:rFonts w:hint="default" w:ascii="宋体" w:hAnsi="宋体" w:eastAsia="宋体" w:cs="宋体"/>
                <w:sz w:val="20"/>
                <w:szCs w:val="20"/>
                <w:vertAlign w:val="baseline"/>
                <w:lang w:val="en-US" w:eastAsia="zh-CN"/>
              </w:rPr>
            </w:pPr>
            <w:r>
              <w:rPr>
                <w:rFonts w:hint="eastAsia" w:ascii="宋体" w:hAnsi="宋体" w:eastAsia="宋体" w:cs="宋体"/>
                <w:sz w:val="20"/>
                <w:szCs w:val="20"/>
                <w:vertAlign w:val="baseline"/>
                <w:lang w:val="en-US" w:eastAsia="zh-CN"/>
              </w:rPr>
              <w:t>179</w:t>
            </w:r>
          </w:p>
        </w:tc>
        <w:tc>
          <w:tcPr>
            <w:tcW w:w="978" w:type="dxa"/>
            <w:noWrap w:val="0"/>
            <w:vAlign w:val="center"/>
          </w:tcPr>
          <w:p w14:paraId="4726EDFE">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备品备件</w:t>
            </w:r>
          </w:p>
        </w:tc>
        <w:tc>
          <w:tcPr>
            <w:tcW w:w="706" w:type="dxa"/>
            <w:noWrap w:val="0"/>
            <w:vAlign w:val="center"/>
          </w:tcPr>
          <w:p w14:paraId="31700D45">
            <w:pPr>
              <w:keepNext w:val="0"/>
              <w:keepLines w:val="0"/>
              <w:widowControl/>
              <w:suppressLineNumbers w:val="0"/>
              <w:jc w:val="left"/>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备品备件</w:t>
            </w:r>
          </w:p>
        </w:tc>
        <w:tc>
          <w:tcPr>
            <w:tcW w:w="6279" w:type="dxa"/>
            <w:noWrap w:val="0"/>
            <w:vAlign w:val="top"/>
          </w:tcPr>
          <w:p w14:paraId="0F8AE3AB">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6张模组  1 、物理像素间距≤2.5mm                                                                                                                                              2、模组尺寸：320mm*160mm                                                                                                                                               3、屏体正面为亚光处理，反光率：≤2%        </w:t>
            </w:r>
          </w:p>
          <w:p w14:paraId="7FF59364">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4、可视视角：水平175°，垂直175°</w:t>
            </w:r>
          </w:p>
          <w:p w14:paraId="5747AFE6">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 xml:space="preserve">5、亮度均匀性≥99.2%  色度均匀性≤≤±0.001Cx、Cy之内； </w:t>
            </w:r>
          </w:p>
          <w:p w14:paraId="580A1137">
            <w:pPr>
              <w:rPr>
                <w:rFonts w:hint="eastAsia" w:ascii="宋体" w:hAnsi="宋体" w:eastAsia="宋体" w:cs="宋体"/>
                <w:sz w:val="20"/>
                <w:szCs w:val="20"/>
                <w:vertAlign w:val="baseline"/>
              </w:rPr>
            </w:pPr>
            <w:r>
              <w:rPr>
                <w:rFonts w:hint="eastAsia" w:ascii="宋体" w:hAnsi="宋体" w:eastAsia="宋体" w:cs="宋体"/>
                <w:sz w:val="20"/>
                <w:szCs w:val="20"/>
                <w:vertAlign w:val="baseline"/>
              </w:rPr>
              <w:t>6、显示刷新频率：3840Hz，对比度 ≥10000：1</w:t>
            </w:r>
          </w:p>
        </w:tc>
        <w:tc>
          <w:tcPr>
            <w:tcW w:w="785" w:type="dxa"/>
            <w:noWrap w:val="0"/>
            <w:vAlign w:val="center"/>
          </w:tcPr>
          <w:p w14:paraId="5F0EFAC4">
            <w:pPr>
              <w:keepNext w:val="0"/>
              <w:keepLines w:val="0"/>
              <w:widowControl/>
              <w:suppressLineNumbers w:val="0"/>
              <w:jc w:val="center"/>
              <w:textAlignment w:val="center"/>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1</w:t>
            </w:r>
          </w:p>
        </w:tc>
        <w:tc>
          <w:tcPr>
            <w:tcW w:w="988" w:type="dxa"/>
            <w:noWrap w:val="0"/>
            <w:vAlign w:val="top"/>
          </w:tcPr>
          <w:p w14:paraId="62ECFFDA">
            <w:pPr>
              <w:keepNext w:val="0"/>
              <w:keepLines w:val="0"/>
              <w:widowControl/>
              <w:suppressLineNumbers w:val="0"/>
              <w:jc w:val="center"/>
              <w:textAlignment w:val="top"/>
              <w:rPr>
                <w:rFonts w:hint="eastAsia" w:ascii="宋体" w:hAnsi="宋体" w:eastAsia="宋体" w:cs="宋体"/>
                <w:sz w:val="20"/>
                <w:szCs w:val="20"/>
                <w:vertAlign w:val="baseline"/>
              </w:rPr>
            </w:pPr>
            <w:r>
              <w:rPr>
                <w:rFonts w:hint="eastAsia" w:ascii="宋体" w:hAnsi="宋体" w:eastAsia="宋体" w:cs="宋体"/>
                <w:i w:val="0"/>
                <w:iCs w:val="0"/>
                <w:color w:val="000000"/>
                <w:kern w:val="0"/>
                <w:sz w:val="20"/>
                <w:szCs w:val="20"/>
                <w:u w:val="none"/>
                <w:lang w:val="en-US" w:eastAsia="zh-CN" w:bidi="ar"/>
              </w:rPr>
              <w:t>西安市浐灞第六小学</w:t>
            </w:r>
          </w:p>
        </w:tc>
      </w:tr>
    </w:tbl>
    <w:p w14:paraId="790CC555">
      <w:pPr>
        <w:rPr>
          <w:rFonts w:hint="eastAsia" w:ascii="宋体" w:hAnsi="宋体" w:eastAsia="宋体" w:cs="宋体"/>
          <w:b/>
          <w:bCs/>
          <w:sz w:val="20"/>
          <w:szCs w:val="20"/>
          <w:lang w:val="en-US" w:eastAsia="zh-CN"/>
        </w:rPr>
      </w:pPr>
    </w:p>
    <w:p w14:paraId="54CDBBE6">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both"/>
        <w:textAlignment w:val="auto"/>
        <w:rPr>
          <w:rFonts w:hint="eastAsia" w:ascii="宋体" w:hAnsi="宋体" w:eastAsia="宋体" w:cs="宋体"/>
          <w:b/>
          <w:bCs w:val="0"/>
          <w:color w:val="auto"/>
          <w:sz w:val="20"/>
          <w:szCs w:val="20"/>
          <w:highlight w:val="none"/>
          <w:lang w:val="en-US" w:eastAsia="zh-CN"/>
        </w:rPr>
      </w:pPr>
    </w:p>
    <w:p w14:paraId="1CA06535">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240" w:firstLineChars="100"/>
        <w:jc w:val="both"/>
        <w:textAlignment w:val="auto"/>
        <w:rPr>
          <w:rFonts w:hint="eastAsia" w:ascii="宋体" w:hAnsi="宋体" w:eastAsia="宋体" w:cs="Times New Roman"/>
          <w:b/>
          <w:bCs/>
          <w:sz w:val="24"/>
          <w:szCs w:val="24"/>
          <w:highlight w:val="green"/>
          <w:lang w:val="en-US" w:eastAsia="zh-CN" w:bidi="ar-SA"/>
        </w:rPr>
      </w:pPr>
      <w:r>
        <w:rPr>
          <w:rFonts w:hint="eastAsia" w:ascii="宋体" w:hAnsi="宋体" w:eastAsia="宋体" w:cs="宋体"/>
          <w:b/>
          <w:bCs w:val="0"/>
          <w:color w:val="auto"/>
          <w:sz w:val="24"/>
          <w:szCs w:val="24"/>
          <w:highlight w:val="none"/>
          <w:lang w:val="en-US" w:eastAsia="zh-CN"/>
        </w:rPr>
        <w:t>注：1.如核心产品出现同品牌，按照评审标准“说明1”执行。</w:t>
      </w:r>
    </w:p>
    <w:p w14:paraId="1A90806C">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720" w:firstLineChars="300"/>
        <w:jc w:val="both"/>
        <w:textAlignment w:val="auto"/>
        <w:rPr>
          <w:rFonts w:hint="eastAsia" w:ascii="宋体" w:hAnsi="宋体" w:eastAsia="宋体" w:cs="宋体"/>
          <w:b/>
          <w:bCs w:val="0"/>
          <w:color w:val="auto"/>
          <w:sz w:val="24"/>
          <w:szCs w:val="24"/>
          <w:highlight w:val="none"/>
          <w:lang w:val="en-US" w:eastAsia="zh-CN" w:bidi="ar-SA"/>
        </w:rPr>
      </w:pPr>
      <w:r>
        <w:rPr>
          <w:rFonts w:hint="eastAsia" w:ascii="宋体" w:hAnsi="宋体" w:eastAsia="宋体" w:cs="宋体"/>
          <w:b/>
          <w:bCs w:val="0"/>
          <w:color w:val="auto"/>
          <w:sz w:val="24"/>
          <w:szCs w:val="24"/>
          <w:highlight w:val="none"/>
          <w:lang w:val="en-US" w:eastAsia="zh-CN" w:bidi="ar-SA"/>
        </w:rPr>
        <w:t>2.以上所有尺寸均为参考尺寸，供应商供货时均以学校现场实际及要求为准；定制类产品必须以学校确认过的规格、颜色等为准。供货清单经各学校确认后供货。</w:t>
      </w:r>
    </w:p>
    <w:p w14:paraId="3F4F1083">
      <w:pPr>
        <w:spacing w:line="560" w:lineRule="exact"/>
        <w:jc w:val="both"/>
        <w:rPr>
          <w:rFonts w:hint="eastAsia" w:ascii="宋体" w:hAnsi="宋体" w:eastAsia="宋体" w:cs="宋体"/>
          <w:sz w:val="24"/>
          <w:szCs w:val="24"/>
          <w:highlight w:val="none"/>
        </w:rPr>
      </w:pPr>
      <w:r>
        <w:rPr>
          <w:rFonts w:hint="eastAsia" w:ascii="宋体" w:hAnsi="宋体" w:eastAsia="宋体" w:cs="宋体"/>
          <w:sz w:val="24"/>
          <w:szCs w:val="24"/>
          <w:highlight w:val="none"/>
        </w:rPr>
        <w:br w:type="page"/>
      </w:r>
    </w:p>
    <w:bookmarkEnd w:id="17"/>
    <w:p w14:paraId="13519441">
      <w:pPr>
        <w:pStyle w:val="3"/>
        <w:rPr>
          <w:rFonts w:hint="eastAsia" w:ascii="宋体" w:hAnsi="宋体" w:eastAsia="宋体" w:cs="宋体"/>
          <w:b/>
          <w:bCs/>
          <w:sz w:val="32"/>
          <w:szCs w:val="32"/>
          <w:highlight w:val="none"/>
        </w:rPr>
      </w:pPr>
      <w:bookmarkStart w:id="18" w:name="_Toc5471"/>
      <w:bookmarkStart w:id="19" w:name="_Toc30877"/>
      <w:bookmarkStart w:id="20" w:name="_Toc7322"/>
      <w:bookmarkStart w:id="21" w:name="_Toc100219616"/>
      <w:r>
        <w:rPr>
          <w:rFonts w:hint="eastAsia" w:ascii="宋体" w:hAnsi="宋体" w:eastAsia="宋体" w:cs="宋体"/>
          <w:b/>
          <w:bCs/>
          <w:sz w:val="32"/>
          <w:szCs w:val="32"/>
          <w:highlight w:val="none"/>
        </w:rPr>
        <w:t xml:space="preserve">第四章  </w:t>
      </w:r>
      <w:bookmarkEnd w:id="18"/>
      <w:r>
        <w:rPr>
          <w:rFonts w:hint="eastAsia" w:ascii="宋体" w:hAnsi="宋体" w:eastAsia="宋体" w:cs="宋体"/>
          <w:b/>
          <w:bCs/>
          <w:sz w:val="32"/>
          <w:szCs w:val="32"/>
          <w:highlight w:val="none"/>
        </w:rPr>
        <w:t>商务及合同文本</w:t>
      </w:r>
      <w:bookmarkEnd w:id="19"/>
    </w:p>
    <w:p w14:paraId="2EF942CB">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11BA73C4">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（一）交付期：</w:t>
      </w:r>
      <w:r>
        <w:rPr>
          <w:rFonts w:hint="eastAsia" w:ascii="宋体" w:hAnsi="宋体" w:eastAsia="宋体" w:cs="宋体"/>
          <w:i w:val="0"/>
          <w:iCs w:val="0"/>
          <w:caps w:val="0"/>
          <w:color w:val="auto"/>
          <w:spacing w:val="0"/>
          <w:kern w:val="0"/>
          <w:sz w:val="24"/>
          <w:szCs w:val="24"/>
          <w:highlight w:val="none"/>
          <w:u w:val="none"/>
          <w:lang w:val="en-US" w:eastAsia="zh-CN" w:bidi="ar-SA"/>
        </w:rPr>
        <w:t>2025年8月25日前完成供货、安装、调试。</w:t>
      </w:r>
    </w:p>
    <w:p w14:paraId="73382B87">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（二）交付地点：采购人指定地点。</w:t>
      </w:r>
    </w:p>
    <w:p w14:paraId="5DA6F90F">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（三）质保期：自终验合格之日起2年。</w:t>
      </w:r>
    </w:p>
    <w:p w14:paraId="38C4DEA2">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（四）质量要求：符合国家及行业有关现行规范、标准的要求。</w:t>
      </w:r>
    </w:p>
    <w:p w14:paraId="0AD78BD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w:t>
      </w:r>
      <w:r>
        <w:rPr>
          <w:rFonts w:hint="eastAsia" w:ascii="宋体" w:hAnsi="宋体" w:eastAsia="宋体" w:cs="宋体"/>
          <w:bCs/>
          <w:color w:val="auto"/>
          <w:sz w:val="24"/>
          <w:szCs w:val="24"/>
          <w:highlight w:val="none"/>
          <w:lang w:bidi="ar"/>
        </w:rPr>
        <w:t>合同价款包括但不限于货物价款(含通常配备的备品备件、易损件）、软件升级费、人工费、货物（产品）设计费、包装费、仓储费、运输费、装卸费、保险费、安装费、调试费、</w:t>
      </w:r>
      <w:r>
        <w:rPr>
          <w:rFonts w:hint="eastAsia" w:ascii="宋体" w:hAnsi="宋体" w:eastAsia="宋体" w:cs="宋体"/>
          <w:bCs/>
          <w:color w:val="auto"/>
          <w:sz w:val="24"/>
          <w:szCs w:val="24"/>
          <w:highlight w:val="none"/>
          <w:lang w:val="en-US" w:eastAsia="zh-CN" w:bidi="ar"/>
        </w:rPr>
        <w:t>软件服务费、</w:t>
      </w:r>
      <w:r>
        <w:rPr>
          <w:rFonts w:hint="eastAsia" w:ascii="宋体" w:hAnsi="宋体" w:eastAsia="宋体" w:cs="宋体"/>
          <w:bCs/>
          <w:color w:val="auto"/>
          <w:sz w:val="24"/>
          <w:szCs w:val="24"/>
          <w:highlight w:val="none"/>
          <w:lang w:bidi="ar"/>
        </w:rPr>
        <w:t>培训费、线材及配件费、售后服务、验收费、招标代理服务费、利润、风险、税金等在项目实施过程中所发生的所有费用，任何错报、漏报由乙方自行负责。</w:t>
      </w:r>
    </w:p>
    <w:p w14:paraId="13C6723D">
      <w:pPr>
        <w:keepNext w:val="0"/>
        <w:keepLines w:val="0"/>
        <w:pageBreakBefore w:val="0"/>
        <w:widowControl/>
        <w:kinsoku/>
        <w:wordWrap/>
        <w:overflowPunct/>
        <w:topLinePunct w:val="0"/>
        <w:autoSpaceDE/>
        <w:autoSpaceDN/>
        <w:bidi w:val="0"/>
        <w:adjustRightIn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（六）付款方式</w:t>
      </w:r>
    </w:p>
    <w:p w14:paraId="22844B2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25CFC09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62CAA578">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33559755">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5811FA5D">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461A98EF">
      <w:pPr>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4C78E4FD">
      <w:pPr>
        <w:numPr>
          <w:ilvl w:val="0"/>
          <w:numId w:val="0"/>
        </w:numPr>
        <w:spacing w:line="360" w:lineRule="auto"/>
        <w:rPr>
          <w:rFonts w:hint="eastAsia" w:ascii="宋体" w:hAnsi="宋体" w:eastAsia="宋体" w:cs="宋体"/>
          <w:color w:val="000000"/>
          <w:sz w:val="24"/>
          <w:szCs w:val="24"/>
        </w:rPr>
      </w:pPr>
    </w:p>
    <w:p w14:paraId="3A1A5D27">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u w:val="none"/>
          <w:lang w:val="en-US" w:eastAsia="zh-CN"/>
        </w:rPr>
      </w:pPr>
      <w:r>
        <w:rPr>
          <w:rFonts w:hint="eastAsia" w:ascii="宋体" w:hAnsi="宋体" w:eastAsia="宋体" w:cs="宋体"/>
          <w:b/>
          <w:color w:val="000000"/>
          <w:sz w:val="44"/>
          <w:szCs w:val="44"/>
          <w:u w:val="none"/>
          <w:lang w:val="en-US" w:eastAsia="zh-CN"/>
        </w:rPr>
        <w:t>2025年全区学校教育教学设施设备采购项目第二批次(信息化及多媒体类部室)</w:t>
      </w:r>
    </w:p>
    <w:p w14:paraId="4269F3CF">
      <w:pPr>
        <w:keepLines w:val="0"/>
        <w:pageBreakBefore w:val="0"/>
        <w:kinsoku/>
        <w:wordWrap/>
        <w:overflowPunct/>
        <w:topLinePunct w:val="0"/>
        <w:autoSpaceDE/>
        <w:autoSpaceDN/>
        <w:bidi w:val="0"/>
        <w:spacing w:line="360" w:lineRule="auto"/>
        <w:jc w:val="center"/>
        <w:textAlignment w:val="auto"/>
        <w:rPr>
          <w:rFonts w:hint="eastAsia" w:ascii="宋体" w:hAnsi="宋体" w:eastAsia="宋体" w:cs="宋体"/>
          <w:b/>
          <w:color w:val="000000"/>
          <w:sz w:val="44"/>
          <w:szCs w:val="44"/>
          <w:lang w:eastAsia="zh-CN"/>
        </w:rPr>
      </w:pPr>
      <w:r>
        <w:rPr>
          <w:rFonts w:hint="eastAsia" w:ascii="宋体" w:hAnsi="宋体" w:eastAsia="宋体" w:cs="宋体"/>
          <w:b/>
          <w:color w:val="000000"/>
          <w:sz w:val="44"/>
          <w:szCs w:val="44"/>
          <w:u w:val="none"/>
          <w:lang w:val="en-US" w:eastAsia="zh-CN"/>
        </w:rPr>
        <w:t>第</w:t>
      </w:r>
      <w:r>
        <w:rPr>
          <w:rFonts w:hint="eastAsia" w:ascii="宋体" w:hAnsi="宋体" w:eastAsia="宋体" w:cs="宋体"/>
          <w:b/>
          <w:color w:val="000000"/>
          <w:sz w:val="44"/>
          <w:szCs w:val="44"/>
          <w:u w:val="single"/>
          <w:lang w:val="en-US" w:eastAsia="zh-CN"/>
        </w:rPr>
        <w:t xml:space="preserve">   </w:t>
      </w:r>
      <w:r>
        <w:rPr>
          <w:rFonts w:hint="eastAsia" w:ascii="宋体" w:hAnsi="宋体" w:eastAsia="宋体" w:cs="宋体"/>
          <w:b/>
          <w:color w:val="000000"/>
          <w:sz w:val="44"/>
          <w:szCs w:val="44"/>
          <w:lang w:eastAsia="zh-CN"/>
        </w:rPr>
        <w:t>包</w:t>
      </w:r>
    </w:p>
    <w:p w14:paraId="2A1EC583">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50EFA19B">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0C6F2592">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r>
        <w:rPr>
          <w:rFonts w:hint="eastAsia" w:ascii="宋体" w:hAnsi="宋体" w:eastAsia="宋体" w:cs="宋体"/>
          <w:b/>
          <w:color w:val="000000"/>
          <w:sz w:val="36"/>
          <w:szCs w:val="36"/>
        </w:rPr>
        <w:t>合 同 条 款</w:t>
      </w:r>
    </w:p>
    <w:p w14:paraId="72C4FAA2">
      <w:pPr>
        <w:pStyle w:val="11"/>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6"/>
          <w:szCs w:val="36"/>
        </w:rPr>
      </w:pPr>
      <w:r>
        <w:rPr>
          <w:rFonts w:hint="eastAsia" w:ascii="宋体" w:hAnsi="宋体" w:eastAsia="宋体" w:cs="宋体"/>
          <w:b/>
          <w:color w:val="000000"/>
          <w:kern w:val="0"/>
          <w:sz w:val="36"/>
          <w:szCs w:val="36"/>
        </w:rPr>
        <w:t>（本格式条款供双方签订合同参考，采购人可根据项目的实际情况增加条款和内容）</w:t>
      </w:r>
    </w:p>
    <w:p w14:paraId="42A622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6F30FDDE">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color w:val="000000"/>
          <w:sz w:val="36"/>
          <w:szCs w:val="36"/>
        </w:rPr>
      </w:pPr>
    </w:p>
    <w:p w14:paraId="29F8A28A">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b/>
          <w:bCs/>
          <w:color w:val="000000"/>
          <w:sz w:val="36"/>
          <w:szCs w:val="36"/>
        </w:rPr>
      </w:pPr>
      <w:r>
        <w:rPr>
          <w:rFonts w:hint="eastAsia" w:ascii="宋体" w:hAnsi="宋体" w:eastAsia="宋体" w:cs="宋体"/>
          <w:b/>
          <w:color w:val="000000"/>
          <w:sz w:val="36"/>
          <w:szCs w:val="36"/>
        </w:rPr>
        <w:t>合同编号：</w:t>
      </w:r>
      <w:r>
        <w:rPr>
          <w:rFonts w:hint="eastAsia" w:ascii="宋体" w:hAnsi="宋体" w:eastAsia="宋体" w:cs="宋体"/>
          <w:b/>
          <w:bCs/>
          <w:color w:val="000000"/>
          <w:sz w:val="36"/>
          <w:szCs w:val="36"/>
        </w:rPr>
        <w:t>XXXX</w:t>
      </w:r>
    </w:p>
    <w:p w14:paraId="057E6611">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1FE03DBB">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571B55A0">
      <w:pPr>
        <w:keepLines w:val="0"/>
        <w:pageBreakBefore w:val="0"/>
        <w:kinsoku/>
        <w:wordWrap/>
        <w:overflowPunct/>
        <w:topLinePunct w:val="0"/>
        <w:autoSpaceDE/>
        <w:autoSpaceDN/>
        <w:bidi w:val="0"/>
        <w:spacing w:line="540" w:lineRule="exact"/>
        <w:textAlignment w:val="auto"/>
        <w:rPr>
          <w:rFonts w:hint="eastAsia" w:ascii="宋体" w:hAnsi="宋体" w:eastAsia="宋体" w:cs="宋体"/>
          <w:b/>
          <w:color w:val="000000"/>
          <w:sz w:val="24"/>
          <w:szCs w:val="24"/>
        </w:rPr>
      </w:pPr>
    </w:p>
    <w:p w14:paraId="2FD93C38">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38AF8544">
      <w:pPr>
        <w:keepLines w:val="0"/>
        <w:pageBreakBefore w:val="0"/>
        <w:widowControl w:val="0"/>
        <w:kinsoku/>
        <w:wordWrap/>
        <w:overflowPunct/>
        <w:topLinePunct w:val="0"/>
        <w:autoSpaceDE/>
        <w:autoSpaceDN/>
        <w:bidi w:val="0"/>
        <w:adjustRightInd/>
        <w:snapToGrid/>
        <w:spacing w:line="540" w:lineRule="exact"/>
        <w:textAlignment w:val="auto"/>
        <w:outlineLvl w:val="9"/>
        <w:rPr>
          <w:rFonts w:hint="eastAsia" w:ascii="宋体" w:hAnsi="宋体" w:eastAsia="宋体" w:cs="宋体"/>
          <w:b/>
          <w:color w:val="000000"/>
          <w:sz w:val="24"/>
          <w:szCs w:val="24"/>
        </w:rPr>
      </w:pPr>
    </w:p>
    <w:p w14:paraId="386C0331">
      <w:pPr>
        <w:keepLines w:val="0"/>
        <w:pageBreakBefore w:val="0"/>
        <w:kinsoku/>
        <w:wordWrap/>
        <w:overflowPunct/>
        <w:topLinePunct w:val="0"/>
        <w:autoSpaceDE/>
        <w:autoSpaceDN/>
        <w:bidi w:val="0"/>
        <w:spacing w:line="540" w:lineRule="exact"/>
        <w:textAlignment w:val="auto"/>
        <w:rPr>
          <w:rFonts w:hint="eastAsia" w:ascii="宋体" w:hAnsi="宋体" w:eastAsia="宋体" w:cs="宋体"/>
          <w:color w:val="000000"/>
          <w:sz w:val="24"/>
          <w:szCs w:val="24"/>
        </w:rPr>
      </w:pPr>
    </w:p>
    <w:p w14:paraId="59162CE9">
      <w:pPr>
        <w:keepNext w:val="0"/>
        <w:keepLines w:val="0"/>
        <w:pageBreakBefore w:val="0"/>
        <w:widowControl/>
        <w:kinsoku/>
        <w:wordWrap/>
        <w:overflowPunct/>
        <w:topLinePunct w:val="0"/>
        <w:autoSpaceDE/>
        <w:autoSpaceDN/>
        <w:bidi w:val="0"/>
        <w:adjustRightInd/>
        <w:snapToGrid/>
        <w:spacing w:line="540" w:lineRule="exact"/>
        <w:textAlignment w:val="auto"/>
        <w:outlineLvl w:val="9"/>
        <w:rPr>
          <w:rFonts w:hint="eastAsia" w:ascii="宋体" w:hAnsi="宋体" w:eastAsia="宋体" w:cs="宋体"/>
          <w:color w:val="000000"/>
          <w:sz w:val="24"/>
          <w:szCs w:val="24"/>
        </w:rPr>
      </w:pPr>
    </w:p>
    <w:p w14:paraId="72F9B582">
      <w:pPr>
        <w:keepLines w:val="0"/>
        <w:pageBreakBefore w:val="0"/>
        <w:kinsoku/>
        <w:wordWrap/>
        <w:overflowPunct/>
        <w:topLinePunct w:val="0"/>
        <w:autoSpaceDE/>
        <w:autoSpaceDN/>
        <w:bidi w:val="0"/>
        <w:spacing w:line="540" w:lineRule="exact"/>
        <w:textAlignment w:val="auto"/>
        <w:rPr>
          <w:rFonts w:hint="eastAsia" w:ascii="宋体" w:hAnsi="宋体" w:eastAsia="宋体" w:cs="宋体"/>
          <w:sz w:val="24"/>
          <w:szCs w:val="24"/>
        </w:rPr>
      </w:pPr>
    </w:p>
    <w:p w14:paraId="2AA5DEF8">
      <w:pPr>
        <w:keepLines w:val="0"/>
        <w:pageBreakBefore w:val="0"/>
        <w:kinsoku/>
        <w:wordWrap/>
        <w:overflowPunct/>
        <w:topLinePunct w:val="0"/>
        <w:autoSpaceDE/>
        <w:autoSpaceDN/>
        <w:bidi w:val="0"/>
        <w:spacing w:line="540" w:lineRule="exact"/>
        <w:ind w:left="1469" w:hanging="1464" w:hangingChars="400"/>
        <w:jc w:val="center"/>
        <w:textAlignment w:val="auto"/>
        <w:rPr>
          <w:rFonts w:hint="eastAsia" w:ascii="宋体" w:hAnsi="宋体" w:eastAsia="宋体" w:cs="宋体"/>
          <w:b/>
          <w:color w:val="000000"/>
          <w:spacing w:val="23"/>
          <w:sz w:val="32"/>
          <w:szCs w:val="32"/>
        </w:rPr>
      </w:pPr>
      <w:r>
        <w:rPr>
          <w:rFonts w:hint="eastAsia" w:ascii="宋体" w:hAnsi="宋体" w:eastAsia="宋体" w:cs="宋体"/>
          <w:b/>
          <w:color w:val="000000"/>
          <w:spacing w:val="23"/>
          <w:sz w:val="32"/>
          <w:szCs w:val="32"/>
        </w:rPr>
        <w:t>甲方(</w:t>
      </w:r>
      <w:r>
        <w:rPr>
          <w:rFonts w:hint="eastAsia" w:ascii="宋体" w:hAnsi="宋体" w:eastAsia="宋体" w:cs="宋体"/>
          <w:b/>
          <w:color w:val="000000"/>
          <w:spacing w:val="23"/>
          <w:sz w:val="32"/>
          <w:szCs w:val="32"/>
          <w:lang w:val="en-US" w:eastAsia="zh-CN"/>
        </w:rPr>
        <w:t>**学校</w:t>
      </w:r>
      <w:r>
        <w:rPr>
          <w:rFonts w:hint="eastAsia" w:ascii="宋体" w:hAnsi="宋体" w:eastAsia="宋体" w:cs="宋体"/>
          <w:b/>
          <w:color w:val="000000"/>
          <w:spacing w:val="23"/>
          <w:sz w:val="32"/>
          <w:szCs w:val="32"/>
        </w:rPr>
        <w:t>)：</w:t>
      </w:r>
      <w:r>
        <w:rPr>
          <w:rFonts w:hint="eastAsia" w:ascii="宋体" w:hAnsi="宋体" w:eastAsia="宋体" w:cs="宋体"/>
          <w:color w:val="000000"/>
          <w:spacing w:val="23"/>
          <w:sz w:val="32"/>
          <w:szCs w:val="32"/>
          <w:u w:val="single"/>
        </w:rPr>
        <w:t></w:t>
      </w:r>
    </w:p>
    <w:p w14:paraId="00A57612">
      <w:pPr>
        <w:keepLines w:val="0"/>
        <w:pageBreakBefore w:val="0"/>
        <w:kinsoku/>
        <w:wordWrap/>
        <w:overflowPunct/>
        <w:topLinePunct w:val="0"/>
        <w:autoSpaceDE/>
        <w:autoSpaceDN/>
        <w:bidi w:val="0"/>
        <w:spacing w:line="540" w:lineRule="exact"/>
        <w:ind w:left="1285" w:hanging="1464" w:hangingChars="400"/>
        <w:jc w:val="center"/>
        <w:textAlignment w:val="auto"/>
        <w:rPr>
          <w:rFonts w:hint="eastAsia" w:ascii="宋体" w:hAnsi="宋体" w:eastAsia="宋体" w:cs="宋体"/>
          <w:color w:val="000000"/>
          <w:spacing w:val="23"/>
          <w:sz w:val="32"/>
          <w:szCs w:val="32"/>
          <w:u w:val="single"/>
        </w:rPr>
      </w:pPr>
      <w:r>
        <w:rPr>
          <w:rFonts w:hint="eastAsia" w:ascii="宋体" w:hAnsi="宋体" w:eastAsia="宋体" w:cs="宋体"/>
          <w:b/>
          <w:color w:val="000000"/>
          <w:spacing w:val="23"/>
          <w:sz w:val="32"/>
          <w:szCs w:val="32"/>
        </w:rPr>
        <w:fldChar w:fldCharType="begin"/>
      </w:r>
      <w:r>
        <w:rPr>
          <w:rFonts w:hint="eastAsia" w:ascii="宋体" w:hAnsi="宋体" w:eastAsia="宋体" w:cs="宋体"/>
          <w:b/>
          <w:color w:val="000000"/>
          <w:spacing w:val="23"/>
          <w:sz w:val="32"/>
          <w:szCs w:val="32"/>
        </w:rPr>
        <w:instrText xml:space="preserve">HYPERLINK "http://set2.mail.qq.com/cgi-bin/mail_spam?action=check_link&amp;spam=0&amp;url=http%3A%2F%2Fwww%2Ebaidu%2Ecom%2Fs%3Fwd%3D%25E4%25B9%2599%25E6%2596%25B9%26hl_tag%3Dtextlink%26tn%3DSE_hldp01350_v6v6zkg6"</w:instrText>
      </w:r>
      <w:r>
        <w:rPr>
          <w:rFonts w:hint="eastAsia" w:ascii="宋体" w:hAnsi="宋体" w:eastAsia="宋体" w:cs="宋体"/>
          <w:b/>
          <w:color w:val="000000"/>
          <w:spacing w:val="23"/>
          <w:sz w:val="32"/>
          <w:szCs w:val="32"/>
        </w:rPr>
        <w:fldChar w:fldCharType="separate"/>
      </w:r>
      <w:r>
        <w:rPr>
          <w:rFonts w:hint="eastAsia" w:ascii="宋体" w:hAnsi="宋体" w:eastAsia="宋体" w:cs="宋体"/>
          <w:b/>
          <w:color w:val="000000"/>
          <w:spacing w:val="23"/>
          <w:sz w:val="32"/>
          <w:szCs w:val="32"/>
        </w:rPr>
        <w:t>乙方</w:t>
      </w:r>
      <w:r>
        <w:rPr>
          <w:rFonts w:hint="eastAsia" w:ascii="宋体" w:hAnsi="宋体" w:eastAsia="宋体" w:cs="宋体"/>
          <w:b/>
          <w:color w:val="000000"/>
          <w:spacing w:val="23"/>
          <w:sz w:val="32"/>
          <w:szCs w:val="32"/>
        </w:rPr>
        <w:fldChar w:fldCharType="end"/>
      </w:r>
      <w:r>
        <w:rPr>
          <w:rFonts w:hint="eastAsia" w:ascii="宋体" w:hAnsi="宋体" w:eastAsia="宋体" w:cs="宋体"/>
          <w:b/>
          <w:color w:val="000000"/>
          <w:spacing w:val="23"/>
          <w:sz w:val="32"/>
          <w:szCs w:val="32"/>
        </w:rPr>
        <w:t>(供应商)：</w:t>
      </w:r>
      <w:r>
        <w:rPr>
          <w:rFonts w:hint="eastAsia" w:ascii="宋体" w:hAnsi="宋体" w:eastAsia="宋体" w:cs="宋体"/>
          <w:color w:val="000000"/>
          <w:spacing w:val="23"/>
          <w:sz w:val="32"/>
          <w:szCs w:val="32"/>
          <w:u w:val="single"/>
        </w:rPr>
        <w:t></w:t>
      </w:r>
    </w:p>
    <w:p w14:paraId="4D7D5F89">
      <w:pPr>
        <w:keepLines w:val="0"/>
        <w:pageBreakBefore w:val="0"/>
        <w:kinsoku/>
        <w:wordWrap/>
        <w:overflowPunct/>
        <w:topLinePunct w:val="0"/>
        <w:autoSpaceDE/>
        <w:autoSpaceDN/>
        <w:bidi w:val="0"/>
        <w:spacing w:line="540" w:lineRule="exact"/>
        <w:jc w:val="center"/>
        <w:textAlignment w:val="auto"/>
        <w:rPr>
          <w:rFonts w:hint="eastAsia" w:ascii="宋体" w:hAnsi="宋体" w:eastAsia="宋体" w:cs="宋体"/>
          <w:color w:val="000000"/>
          <w:sz w:val="32"/>
          <w:szCs w:val="32"/>
        </w:rPr>
      </w:pPr>
      <w:r>
        <w:rPr>
          <w:rFonts w:hint="eastAsia" w:ascii="宋体" w:hAnsi="宋体" w:eastAsia="宋体" w:cs="宋体"/>
          <w:b/>
          <w:color w:val="000000"/>
          <w:spacing w:val="23"/>
          <w:sz w:val="32"/>
          <w:szCs w:val="32"/>
        </w:rPr>
        <w:t>签订时间：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年</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月</w:t>
      </w:r>
      <w:r>
        <w:rPr>
          <w:rFonts w:hint="eastAsia" w:ascii="宋体" w:hAnsi="宋体" w:eastAsia="宋体" w:cs="宋体"/>
          <w:color w:val="000000"/>
          <w:spacing w:val="23"/>
          <w:sz w:val="32"/>
          <w:szCs w:val="32"/>
          <w:u w:val="single"/>
        </w:rPr>
        <w:t></w:t>
      </w:r>
      <w:r>
        <w:rPr>
          <w:rFonts w:hint="eastAsia" w:ascii="宋体" w:hAnsi="宋体" w:eastAsia="宋体" w:cs="宋体"/>
          <w:b/>
          <w:color w:val="000000"/>
          <w:spacing w:val="23"/>
          <w:sz w:val="32"/>
          <w:szCs w:val="32"/>
        </w:rPr>
        <w:t>日</w:t>
      </w:r>
    </w:p>
    <w:p w14:paraId="4149655F">
      <w:pPr>
        <w:rPr>
          <w:rFonts w:hint="eastAsia" w:ascii="宋体" w:hAnsi="宋体" w:eastAsia="宋体" w:cs="宋体"/>
          <w:b/>
          <w:color w:val="000000"/>
          <w:sz w:val="24"/>
          <w:szCs w:val="24"/>
          <w:lang w:bidi="ar"/>
        </w:rPr>
      </w:pPr>
      <w:r>
        <w:rPr>
          <w:rFonts w:hint="eastAsia" w:ascii="宋体" w:hAnsi="宋体" w:eastAsia="宋体" w:cs="宋体"/>
          <w:b/>
          <w:color w:val="000000"/>
          <w:sz w:val="24"/>
          <w:szCs w:val="24"/>
          <w:lang w:bidi="ar"/>
        </w:rPr>
        <w:br w:type="page"/>
      </w:r>
    </w:p>
    <w:p w14:paraId="3C5CF15F">
      <w:pPr>
        <w:shd w:val="clear" w:color="auto" w:fill="auto"/>
        <w:spacing w:line="360" w:lineRule="auto"/>
        <w:jc w:val="center"/>
        <w:outlineLvl w:val="9"/>
        <w:rPr>
          <w:rFonts w:hint="eastAsia" w:ascii="宋体" w:hAnsi="宋体" w:eastAsia="宋体" w:cs="宋体"/>
          <w:b/>
          <w:bCs/>
          <w:color w:val="auto"/>
          <w:sz w:val="24"/>
          <w:szCs w:val="24"/>
          <w:highlight w:val="none"/>
          <w:lang w:val="zh-CN"/>
        </w:rPr>
      </w:pPr>
      <w:r>
        <w:rPr>
          <w:rFonts w:hint="eastAsia" w:ascii="宋体" w:hAnsi="宋体" w:eastAsia="宋体" w:cs="宋体"/>
          <w:b/>
          <w:color w:val="auto"/>
          <w:kern w:val="44"/>
          <w:sz w:val="32"/>
          <w:highlight w:val="none"/>
        </w:rPr>
        <w:t>拟签订的合同</w:t>
      </w:r>
      <w:bookmarkStart w:id="22" w:name="_Hlt487972895"/>
      <w:bookmarkEnd w:id="22"/>
      <w:bookmarkStart w:id="23" w:name="_Toc487900382"/>
      <w:bookmarkStart w:id="24" w:name="_Toc216513788"/>
      <w:r>
        <w:rPr>
          <w:rFonts w:hint="eastAsia" w:ascii="宋体" w:hAnsi="宋体" w:eastAsia="宋体" w:cs="宋体"/>
          <w:b/>
          <w:color w:val="auto"/>
          <w:kern w:val="44"/>
          <w:sz w:val="32"/>
          <w:highlight w:val="none"/>
        </w:rPr>
        <w:t>文本</w:t>
      </w:r>
      <w:bookmarkEnd w:id="23"/>
      <w:bookmarkEnd w:id="24"/>
    </w:p>
    <w:p w14:paraId="63FB071E">
      <w:pPr>
        <w:tabs>
          <w:tab w:val="left" w:pos="735"/>
        </w:tabs>
        <w:autoSpaceDE w:val="0"/>
        <w:autoSpaceDN w:val="0"/>
        <w:adjustRightInd w:val="0"/>
        <w:snapToGrid w:val="0"/>
        <w:spacing w:before="240" w:beforeLines="100" w:line="360" w:lineRule="auto"/>
        <w:ind w:firstLine="480"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甲方：</w:t>
      </w:r>
      <w:r>
        <w:rPr>
          <w:rFonts w:hint="eastAsia" w:ascii="宋体" w:hAnsi="宋体" w:eastAsia="宋体" w:cs="宋体"/>
          <w:bCs/>
          <w:color w:val="auto"/>
          <w:sz w:val="24"/>
          <w:szCs w:val="24"/>
          <w:highlight w:val="none"/>
          <w:lang w:val="zh-CN"/>
        </w:rPr>
        <w:t>（前款所称采购人）     住所：</w:t>
      </w:r>
    </w:p>
    <w:p w14:paraId="6DE86362">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zh-CN"/>
        </w:rPr>
      </w:pPr>
      <w:r>
        <w:rPr>
          <w:rFonts w:hint="eastAsia" w:ascii="宋体" w:hAnsi="宋体" w:eastAsia="宋体" w:cs="宋体"/>
          <w:b/>
          <w:bCs/>
          <w:color w:val="auto"/>
          <w:sz w:val="24"/>
          <w:szCs w:val="24"/>
          <w:highlight w:val="none"/>
          <w:lang w:val="zh-CN"/>
        </w:rPr>
        <w:t>乙方：</w:t>
      </w:r>
      <w:r>
        <w:rPr>
          <w:rFonts w:hint="eastAsia" w:ascii="宋体" w:hAnsi="宋体" w:eastAsia="宋体" w:cs="宋体"/>
          <w:bCs/>
          <w:color w:val="auto"/>
          <w:sz w:val="24"/>
          <w:szCs w:val="24"/>
          <w:highlight w:val="none"/>
          <w:lang w:val="zh-CN"/>
        </w:rPr>
        <w:t>（前款所称中标人）     住所：</w:t>
      </w:r>
    </w:p>
    <w:p w14:paraId="55F84C20">
      <w:pPr>
        <w:tabs>
          <w:tab w:val="left" w:pos="735"/>
        </w:tabs>
        <w:autoSpaceDE w:val="0"/>
        <w:autoSpaceDN w:val="0"/>
        <w:adjustRightInd w:val="0"/>
        <w:snapToGrid w:val="0"/>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注：本项目由西安浐灞国际港教育局统一组织实施采购，确定中标供应商后由中标供应商与各学校分别签订采购合同</w:t>
      </w:r>
      <w:r>
        <w:rPr>
          <w:rFonts w:hint="eastAsia" w:ascii="宋体" w:hAnsi="宋体" w:eastAsia="宋体" w:cs="宋体"/>
          <w:color w:val="auto"/>
          <w:sz w:val="24"/>
          <w:szCs w:val="24"/>
          <w:highlight w:val="none"/>
          <w:lang w:eastAsia="zh-CN"/>
        </w:rPr>
        <w:t>。</w:t>
      </w:r>
    </w:p>
    <w:p w14:paraId="2A4E061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5" w:name="_Toc19515384"/>
      <w:r>
        <w:rPr>
          <w:rFonts w:hint="eastAsia" w:ascii="宋体" w:hAnsi="宋体" w:eastAsia="宋体" w:cs="宋体"/>
          <w:color w:val="auto"/>
          <w:sz w:val="24"/>
          <w:szCs w:val="24"/>
          <w:highlight w:val="none"/>
        </w:rPr>
        <w:t>一、合同内容（标的、数量、规格等）:</w:t>
      </w:r>
      <w:bookmarkEnd w:id="25"/>
    </w:p>
    <w:p w14:paraId="1A134EA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供货清单：</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503"/>
        <w:gridCol w:w="1550"/>
        <w:gridCol w:w="1181"/>
        <w:gridCol w:w="1048"/>
        <w:gridCol w:w="1345"/>
        <w:gridCol w:w="1037"/>
        <w:gridCol w:w="924"/>
      </w:tblGrid>
      <w:tr w14:paraId="2EA8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6E5CF778">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90" w:type="pct"/>
            <w:noWrap w:val="0"/>
            <w:vAlign w:val="center"/>
          </w:tcPr>
          <w:p w14:paraId="63E7FD4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产品</w:t>
            </w:r>
          </w:p>
          <w:p w14:paraId="730C3A33">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815" w:type="pct"/>
            <w:noWrap w:val="0"/>
            <w:vAlign w:val="center"/>
          </w:tcPr>
          <w:p w14:paraId="730678D9">
            <w:pPr>
              <w:adjustRightInd w:val="0"/>
              <w:snapToGri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规格</w:t>
            </w:r>
          </w:p>
          <w:p w14:paraId="65CB39DF">
            <w:pPr>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参数</w:t>
            </w:r>
          </w:p>
        </w:tc>
        <w:tc>
          <w:tcPr>
            <w:tcW w:w="621" w:type="pct"/>
            <w:noWrap w:val="0"/>
            <w:vAlign w:val="center"/>
          </w:tcPr>
          <w:p w14:paraId="75A5D77B">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制造</w:t>
            </w:r>
          </w:p>
          <w:p w14:paraId="56D068E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厂家</w:t>
            </w:r>
          </w:p>
        </w:tc>
        <w:tc>
          <w:tcPr>
            <w:tcW w:w="551" w:type="pct"/>
            <w:noWrap w:val="0"/>
            <w:vAlign w:val="center"/>
          </w:tcPr>
          <w:p w14:paraId="4244C572">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07" w:type="pct"/>
            <w:noWrap w:val="0"/>
            <w:vAlign w:val="center"/>
          </w:tcPr>
          <w:p w14:paraId="1C96625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545" w:type="pct"/>
            <w:noWrap w:val="0"/>
            <w:vAlign w:val="center"/>
          </w:tcPr>
          <w:p w14:paraId="087B393C">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482" w:type="pct"/>
            <w:noWrap w:val="0"/>
            <w:vAlign w:val="center"/>
          </w:tcPr>
          <w:p w14:paraId="45DE1A59">
            <w:pPr>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9BE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5A43D39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7FAC62F4">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48EB7F9D">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487EC5C">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33674D82">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4561F8DA">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7BBFAF9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71DAF6B3">
            <w:pPr>
              <w:adjustRightInd w:val="0"/>
              <w:snapToGrid w:val="0"/>
              <w:spacing w:line="360" w:lineRule="auto"/>
              <w:rPr>
                <w:rFonts w:hint="eastAsia" w:ascii="宋体" w:hAnsi="宋体" w:eastAsia="宋体" w:cs="宋体"/>
                <w:color w:val="auto"/>
                <w:sz w:val="24"/>
                <w:szCs w:val="24"/>
                <w:highlight w:val="none"/>
              </w:rPr>
            </w:pPr>
          </w:p>
        </w:tc>
      </w:tr>
      <w:tr w14:paraId="1025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85" w:type="pct"/>
            <w:noWrap w:val="0"/>
            <w:vAlign w:val="center"/>
          </w:tcPr>
          <w:p w14:paraId="4DA62971">
            <w:pPr>
              <w:adjustRightInd w:val="0"/>
              <w:snapToGrid w:val="0"/>
              <w:spacing w:line="360" w:lineRule="auto"/>
              <w:rPr>
                <w:rFonts w:hint="eastAsia" w:ascii="宋体" w:hAnsi="宋体" w:eastAsia="宋体" w:cs="宋体"/>
                <w:color w:val="auto"/>
                <w:sz w:val="24"/>
                <w:szCs w:val="24"/>
                <w:highlight w:val="none"/>
              </w:rPr>
            </w:pPr>
          </w:p>
        </w:tc>
        <w:tc>
          <w:tcPr>
            <w:tcW w:w="790" w:type="pct"/>
            <w:noWrap w:val="0"/>
            <w:vAlign w:val="center"/>
          </w:tcPr>
          <w:p w14:paraId="628CE27F">
            <w:pPr>
              <w:adjustRightInd w:val="0"/>
              <w:snapToGrid w:val="0"/>
              <w:spacing w:line="360" w:lineRule="auto"/>
              <w:rPr>
                <w:rFonts w:hint="eastAsia" w:ascii="宋体" w:hAnsi="宋体" w:eastAsia="宋体" w:cs="宋体"/>
                <w:color w:val="auto"/>
                <w:sz w:val="24"/>
                <w:szCs w:val="24"/>
                <w:highlight w:val="none"/>
              </w:rPr>
            </w:pPr>
          </w:p>
        </w:tc>
        <w:tc>
          <w:tcPr>
            <w:tcW w:w="815" w:type="pct"/>
            <w:noWrap w:val="0"/>
            <w:vAlign w:val="top"/>
          </w:tcPr>
          <w:p w14:paraId="536C0B54">
            <w:pPr>
              <w:adjustRightInd w:val="0"/>
              <w:snapToGrid w:val="0"/>
              <w:spacing w:line="360" w:lineRule="auto"/>
              <w:rPr>
                <w:rFonts w:hint="eastAsia" w:ascii="宋体" w:hAnsi="宋体" w:eastAsia="宋体" w:cs="宋体"/>
                <w:color w:val="auto"/>
                <w:sz w:val="24"/>
                <w:szCs w:val="24"/>
                <w:highlight w:val="none"/>
              </w:rPr>
            </w:pPr>
          </w:p>
        </w:tc>
        <w:tc>
          <w:tcPr>
            <w:tcW w:w="621" w:type="pct"/>
            <w:noWrap w:val="0"/>
            <w:vAlign w:val="top"/>
          </w:tcPr>
          <w:p w14:paraId="5D07EBFE">
            <w:pPr>
              <w:adjustRightInd w:val="0"/>
              <w:snapToGrid w:val="0"/>
              <w:spacing w:line="360" w:lineRule="auto"/>
              <w:rPr>
                <w:rFonts w:hint="eastAsia" w:ascii="宋体" w:hAnsi="宋体" w:eastAsia="宋体" w:cs="宋体"/>
                <w:color w:val="auto"/>
                <w:sz w:val="24"/>
                <w:szCs w:val="24"/>
                <w:highlight w:val="none"/>
              </w:rPr>
            </w:pPr>
          </w:p>
        </w:tc>
        <w:tc>
          <w:tcPr>
            <w:tcW w:w="551" w:type="pct"/>
            <w:noWrap w:val="0"/>
            <w:vAlign w:val="center"/>
          </w:tcPr>
          <w:p w14:paraId="21ABC309">
            <w:pPr>
              <w:adjustRightInd w:val="0"/>
              <w:snapToGrid w:val="0"/>
              <w:spacing w:line="360" w:lineRule="auto"/>
              <w:rPr>
                <w:rFonts w:hint="eastAsia" w:ascii="宋体" w:hAnsi="宋体" w:eastAsia="宋体" w:cs="宋体"/>
                <w:color w:val="auto"/>
                <w:sz w:val="24"/>
                <w:szCs w:val="24"/>
                <w:highlight w:val="none"/>
              </w:rPr>
            </w:pPr>
          </w:p>
        </w:tc>
        <w:tc>
          <w:tcPr>
            <w:tcW w:w="707" w:type="pct"/>
            <w:noWrap w:val="0"/>
            <w:vAlign w:val="center"/>
          </w:tcPr>
          <w:p w14:paraId="139E37E7">
            <w:pPr>
              <w:adjustRightInd w:val="0"/>
              <w:snapToGrid w:val="0"/>
              <w:spacing w:line="360" w:lineRule="auto"/>
              <w:rPr>
                <w:rFonts w:hint="eastAsia" w:ascii="宋体" w:hAnsi="宋体" w:eastAsia="宋体" w:cs="宋体"/>
                <w:color w:val="auto"/>
                <w:sz w:val="24"/>
                <w:szCs w:val="24"/>
                <w:highlight w:val="none"/>
              </w:rPr>
            </w:pPr>
          </w:p>
        </w:tc>
        <w:tc>
          <w:tcPr>
            <w:tcW w:w="545" w:type="pct"/>
            <w:noWrap w:val="0"/>
            <w:vAlign w:val="center"/>
          </w:tcPr>
          <w:p w14:paraId="6390756E">
            <w:pPr>
              <w:adjustRightInd w:val="0"/>
              <w:snapToGrid w:val="0"/>
              <w:spacing w:line="360" w:lineRule="auto"/>
              <w:rPr>
                <w:rFonts w:hint="eastAsia" w:ascii="宋体" w:hAnsi="宋体" w:eastAsia="宋体" w:cs="宋体"/>
                <w:color w:val="auto"/>
                <w:sz w:val="24"/>
                <w:szCs w:val="24"/>
                <w:highlight w:val="none"/>
              </w:rPr>
            </w:pPr>
          </w:p>
        </w:tc>
        <w:tc>
          <w:tcPr>
            <w:tcW w:w="482" w:type="pct"/>
            <w:noWrap w:val="0"/>
            <w:vAlign w:val="center"/>
          </w:tcPr>
          <w:p w14:paraId="3C09AA58">
            <w:pPr>
              <w:adjustRightInd w:val="0"/>
              <w:snapToGrid w:val="0"/>
              <w:spacing w:line="360" w:lineRule="auto"/>
              <w:rPr>
                <w:rFonts w:hint="eastAsia" w:ascii="宋体" w:hAnsi="宋体" w:eastAsia="宋体" w:cs="宋体"/>
                <w:color w:val="auto"/>
                <w:sz w:val="24"/>
                <w:szCs w:val="24"/>
                <w:highlight w:val="none"/>
              </w:rPr>
            </w:pPr>
          </w:p>
        </w:tc>
      </w:tr>
      <w:tr w14:paraId="1C13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000" w:type="pct"/>
            <w:gridSpan w:val="8"/>
            <w:noWrap w:val="0"/>
            <w:vAlign w:val="center"/>
          </w:tcPr>
          <w:p w14:paraId="431EFD70">
            <w:pPr>
              <w:adjustRightInd w:val="0"/>
              <w:snapToGrid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合计：</w:t>
            </w:r>
          </w:p>
        </w:tc>
      </w:tr>
    </w:tbl>
    <w:p w14:paraId="520136E0">
      <w:pPr>
        <w:pStyle w:val="106"/>
        <w:rPr>
          <w:rFonts w:hint="eastAsia" w:ascii="宋体" w:hAnsi="宋体" w:eastAsia="宋体" w:cs="宋体"/>
          <w:color w:val="auto"/>
          <w:sz w:val="24"/>
          <w:szCs w:val="24"/>
          <w:highlight w:val="none"/>
        </w:rPr>
      </w:pPr>
    </w:p>
    <w:p w14:paraId="25ECEF49">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6" w:name="_Toc19515385"/>
      <w:r>
        <w:rPr>
          <w:rFonts w:hint="eastAsia" w:ascii="宋体" w:hAnsi="宋体" w:eastAsia="宋体" w:cs="宋体"/>
          <w:color w:val="auto"/>
          <w:sz w:val="24"/>
          <w:szCs w:val="24"/>
          <w:highlight w:val="none"/>
        </w:rPr>
        <w:t>二、合同价款</w:t>
      </w:r>
      <w:bookmarkEnd w:id="26"/>
    </w:p>
    <w:p w14:paraId="09578824">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1、合同总价：</w:t>
      </w:r>
    </w:p>
    <w:p w14:paraId="121428E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2、合同总价包括：</w:t>
      </w:r>
    </w:p>
    <w:p w14:paraId="6311E3D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3、合同</w:t>
      </w:r>
      <w:r>
        <w:rPr>
          <w:rFonts w:hint="eastAsia" w:ascii="宋体" w:hAnsi="宋体" w:eastAsia="宋体" w:cs="宋体"/>
          <w:color w:val="auto"/>
          <w:sz w:val="24"/>
          <w:szCs w:val="24"/>
          <w:highlight w:val="none"/>
          <w:lang w:val="en-US" w:eastAsia="zh-CN"/>
        </w:rPr>
        <w:t>价格</w:t>
      </w:r>
      <w:r>
        <w:rPr>
          <w:rFonts w:hint="eastAsia" w:ascii="宋体" w:hAnsi="宋体" w:eastAsia="宋体" w:cs="宋体"/>
          <w:color w:val="auto"/>
          <w:sz w:val="24"/>
          <w:szCs w:val="24"/>
          <w:highlight w:val="none"/>
        </w:rPr>
        <w:t>不受市场价变化影响。</w:t>
      </w:r>
    </w:p>
    <w:p w14:paraId="16D4F88F">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7" w:name="_Toc19515386"/>
      <w:r>
        <w:rPr>
          <w:rFonts w:hint="eastAsia" w:ascii="宋体" w:hAnsi="宋体" w:eastAsia="宋体" w:cs="宋体"/>
          <w:color w:val="auto"/>
          <w:sz w:val="24"/>
          <w:szCs w:val="24"/>
          <w:highlight w:val="none"/>
        </w:rPr>
        <w:t>三、合同结算</w:t>
      </w:r>
      <w:bookmarkEnd w:id="27"/>
    </w:p>
    <w:p w14:paraId="564C5E80">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1、付款方式：</w:t>
      </w:r>
    </w:p>
    <w:p w14:paraId="135F0C92">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w:t>
      </w:r>
      <w:r>
        <w:rPr>
          <w:rFonts w:hint="eastAsia" w:ascii="宋体" w:hAnsi="宋体" w:eastAsia="宋体" w:cs="宋体"/>
          <w:bCs/>
          <w:color w:val="000000"/>
          <w:sz w:val="24"/>
          <w:szCs w:val="24"/>
          <w:highlight w:val="none"/>
          <w:lang w:eastAsia="zh-CN" w:bidi="ar"/>
        </w:rPr>
        <w:t>.</w:t>
      </w:r>
      <w:r>
        <w:rPr>
          <w:rFonts w:hint="eastAsia" w:ascii="宋体" w:hAnsi="宋体" w:eastAsia="宋体" w:cs="宋体"/>
          <w:bCs/>
          <w:color w:val="000000"/>
          <w:sz w:val="24"/>
          <w:szCs w:val="24"/>
          <w:highlight w:val="none"/>
          <w:lang w:bidi="ar"/>
        </w:rPr>
        <w:t>预付款支付条款：</w:t>
      </w:r>
    </w:p>
    <w:p w14:paraId="6AD60D1D">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（1）本合同设置预付款：</w:t>
      </w:r>
    </w:p>
    <w:p w14:paraId="7DC88F16">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（2）预付款金额：合同总价的30%；</w:t>
      </w:r>
    </w:p>
    <w:p w14:paraId="460A0CA8">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3）其他：本项目预付款是根据政府采购相关政策规定要求，甲方为帮助乙方解决项目前期启动资金困难，保证乙方更有条件履行合同的保障性支援性资金。乙方应保证该资金用于项目前期各项工作费用，不得挪作他用，若因此项目进展受到影响，乙方承担由此引起的所有责任。</w:t>
      </w:r>
    </w:p>
    <w:p w14:paraId="125FE6E5">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2.剩余款项支付条款：</w:t>
      </w:r>
    </w:p>
    <w:p w14:paraId="0EF94D43">
      <w:p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bidi="ar"/>
        </w:rPr>
        <w:t>项目最终验收合格后，支付合同总价的70%。注：乙方应向甲方出具符合国家财税规定的增值税发票，否则甲方有权延迟履行付款义务。如因乙方缘故（如开具增值税发票延误等）导致甲方无法按时付款，甲方不承担违约责任。如遇突发事件，付款日期则以实际付款日期为准。</w:t>
      </w:r>
    </w:p>
    <w:p w14:paraId="77C13686">
      <w:pPr>
        <w:numPr>
          <w:ilvl w:val="0"/>
          <w:numId w:val="0"/>
        </w:numPr>
        <w:spacing w:line="360" w:lineRule="auto"/>
        <w:rPr>
          <w:rFonts w:hint="eastAsia" w:ascii="宋体" w:hAnsi="宋体" w:eastAsia="宋体" w:cs="宋体"/>
          <w:bCs/>
          <w:color w:val="000000"/>
          <w:sz w:val="24"/>
          <w:szCs w:val="24"/>
          <w:highlight w:val="none"/>
          <w:lang w:bidi="ar"/>
        </w:rPr>
      </w:pPr>
      <w:r>
        <w:rPr>
          <w:rFonts w:hint="eastAsia" w:ascii="宋体" w:hAnsi="宋体" w:eastAsia="宋体" w:cs="宋体"/>
          <w:bCs/>
          <w:color w:val="000000"/>
          <w:sz w:val="24"/>
          <w:szCs w:val="24"/>
          <w:highlight w:val="none"/>
          <w:lang w:val="en-US" w:eastAsia="zh-CN" w:bidi="ar"/>
        </w:rPr>
        <w:t>3.</w:t>
      </w:r>
      <w:r>
        <w:rPr>
          <w:rFonts w:hint="eastAsia" w:ascii="宋体" w:hAnsi="宋体" w:eastAsia="宋体" w:cs="宋体"/>
          <w:bCs/>
          <w:color w:val="000000"/>
          <w:sz w:val="24"/>
          <w:szCs w:val="24"/>
          <w:highlight w:val="none"/>
          <w:lang w:bidi="ar"/>
        </w:rPr>
        <w:t>本合同中数量如有调整需求，须征得主管部门同意后方可实施，甲乙双方不得擅自调整。</w:t>
      </w:r>
    </w:p>
    <w:p w14:paraId="5223150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2、结算方式：银行转账。</w:t>
      </w:r>
    </w:p>
    <w:p w14:paraId="5088E8A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3、结算单位：由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负责结算，乙方开具合同总价数的全额发票交采购人</w:t>
      </w:r>
      <w:r>
        <w:rPr>
          <w:rFonts w:hint="eastAsia" w:ascii="宋体" w:hAnsi="宋体" w:eastAsia="宋体" w:cs="宋体"/>
          <w:color w:val="auto"/>
          <w:sz w:val="24"/>
          <w:szCs w:val="24"/>
          <w:highlight w:val="none"/>
          <w:lang w:val="en-US" w:eastAsia="zh-CN"/>
        </w:rPr>
        <w:t>或采购人指定单位</w:t>
      </w:r>
      <w:r>
        <w:rPr>
          <w:rFonts w:hint="eastAsia" w:ascii="宋体" w:hAnsi="宋体" w:eastAsia="宋体" w:cs="宋体"/>
          <w:color w:val="auto"/>
          <w:sz w:val="24"/>
          <w:szCs w:val="24"/>
          <w:highlight w:val="none"/>
        </w:rPr>
        <w:t>。</w:t>
      </w:r>
    </w:p>
    <w:p w14:paraId="746A5393">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8" w:name="_Toc19515387"/>
      <w:r>
        <w:rPr>
          <w:rFonts w:hint="eastAsia" w:ascii="宋体" w:hAnsi="宋体" w:eastAsia="宋体" w:cs="宋体"/>
          <w:color w:val="auto"/>
          <w:sz w:val="24"/>
          <w:szCs w:val="24"/>
          <w:highlight w:val="none"/>
        </w:rPr>
        <w:t>四、</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地点及方式:</w:t>
      </w:r>
      <w:bookmarkEnd w:id="28"/>
    </w:p>
    <w:p w14:paraId="7DBF5ED6">
      <w:pPr>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i w:val="0"/>
          <w:iCs w:val="0"/>
          <w:caps w:val="0"/>
          <w:color w:val="auto"/>
          <w:spacing w:val="0"/>
          <w:sz w:val="24"/>
          <w:szCs w:val="24"/>
          <w:highlight w:val="none"/>
          <w:shd w:val="clear" w:fill="FFFFFF"/>
        </w:rPr>
        <w:t>合同履行期限：</w:t>
      </w:r>
      <w:r>
        <w:rPr>
          <w:rFonts w:hint="eastAsia" w:ascii="宋体" w:hAnsi="宋体" w:eastAsia="宋体" w:cs="宋体"/>
          <w:i w:val="0"/>
          <w:iCs w:val="0"/>
          <w:caps w:val="0"/>
          <w:color w:val="auto"/>
          <w:spacing w:val="0"/>
          <w:sz w:val="24"/>
          <w:szCs w:val="24"/>
          <w:highlight w:val="none"/>
          <w:shd w:val="clear" w:fill="FFFFFF"/>
          <w:lang w:eastAsia="zh-CN"/>
        </w:rPr>
        <w:t>2025年8月25日前完成供货、安装、调试</w:t>
      </w:r>
    </w:p>
    <w:p w14:paraId="60B9CC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交货</w:t>
      </w:r>
      <w:r>
        <w:rPr>
          <w:rFonts w:hint="eastAsia" w:ascii="宋体" w:hAnsi="宋体" w:eastAsia="宋体" w:cs="宋体"/>
          <w:color w:val="auto"/>
          <w:sz w:val="24"/>
          <w:szCs w:val="24"/>
          <w:highlight w:val="none"/>
        </w:rPr>
        <w:t>地点：采购人指定地点</w:t>
      </w:r>
    </w:p>
    <w:p w14:paraId="1236DE2F">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3、方式：</w:t>
      </w:r>
      <w:r>
        <w:rPr>
          <w:rFonts w:hint="eastAsia" w:ascii="宋体" w:hAnsi="宋体" w:eastAsia="宋体" w:cs="宋体"/>
          <w:color w:val="auto"/>
          <w:sz w:val="24"/>
          <w:szCs w:val="24"/>
          <w:highlight w:val="none"/>
          <w:lang w:val="en-US" w:eastAsia="zh-CN"/>
        </w:rPr>
        <w:t>于</w:t>
      </w:r>
      <w:r>
        <w:rPr>
          <w:rFonts w:hint="eastAsia" w:ascii="宋体" w:hAnsi="宋体" w:eastAsia="宋体" w:cs="宋体"/>
          <w:color w:val="auto"/>
          <w:sz w:val="24"/>
          <w:szCs w:val="24"/>
          <w:highlight w:val="none"/>
        </w:rPr>
        <w:t>采购人指定地点现场交货</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安装、调试</w:t>
      </w:r>
    </w:p>
    <w:p w14:paraId="33912556">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29" w:name="_Toc19515390"/>
      <w:r>
        <w:rPr>
          <w:rFonts w:hint="eastAsia" w:ascii="宋体" w:hAnsi="宋体" w:eastAsia="宋体" w:cs="宋体"/>
          <w:color w:val="auto"/>
          <w:sz w:val="24"/>
          <w:szCs w:val="24"/>
          <w:highlight w:val="none"/>
        </w:rPr>
        <w:t>五、技术服务</w:t>
      </w:r>
      <w:bookmarkEnd w:id="29"/>
    </w:p>
    <w:p w14:paraId="51A795C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1、对技术服务的要求：</w:t>
      </w:r>
    </w:p>
    <w:p w14:paraId="61551AD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2、技术资料：</w:t>
      </w:r>
    </w:p>
    <w:p w14:paraId="7A81292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3、技术培训：</w:t>
      </w:r>
    </w:p>
    <w:p w14:paraId="053624C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3-1、培训内容：</w:t>
      </w:r>
    </w:p>
    <w:p w14:paraId="6C1A2F7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3-2、培训地点：</w:t>
      </w:r>
    </w:p>
    <w:p w14:paraId="5F5D410B">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3-3、培训时间：</w:t>
      </w:r>
    </w:p>
    <w:p w14:paraId="4353E51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3-4、培训人数：</w:t>
      </w:r>
    </w:p>
    <w:p w14:paraId="154E507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3-5、培训费用：受训人员的食宿费、资料费、培训场地费、耗材（包括水电费等）费等已包含在合同总价中，甲方不再另行支付。</w:t>
      </w:r>
    </w:p>
    <w:p w14:paraId="701FD59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4、售后服务</w:t>
      </w:r>
    </w:p>
    <w:p w14:paraId="670868A5">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4-1、质保期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自终验合格之日起2年。</w:t>
      </w:r>
    </w:p>
    <w:p w14:paraId="159CD789">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4-2、质保期内乙方在接到甲方电话通知后在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小时内派出合格的服务人员到达现场进行服务，并由乙方承担相应费用。</w:t>
      </w:r>
    </w:p>
    <w:p w14:paraId="4B50F3A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4-3、如果乙方在收到通知后两天内没有弥补缺陷，甲方可采取必要的补救措施，但其风险和费用将由乙方承担，甲方根据合同规定对乙方行使的其它权力不受影响。</w:t>
      </w:r>
    </w:p>
    <w:p w14:paraId="79D31C02">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0" w:name="_Toc19515391"/>
      <w:r>
        <w:rPr>
          <w:rFonts w:hint="eastAsia" w:ascii="宋体" w:hAnsi="宋体" w:eastAsia="宋体" w:cs="宋体"/>
          <w:color w:val="auto"/>
          <w:sz w:val="24"/>
          <w:szCs w:val="24"/>
          <w:highlight w:val="none"/>
        </w:rPr>
        <w:t>六、验收</w:t>
      </w:r>
      <w:bookmarkEnd w:id="30"/>
    </w:p>
    <w:p w14:paraId="4F8055E0">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1、验收：乙方完成服务内容后，向甲方提出验收申请，甲方接到乙方验收申请后组织验收（必要时可聘请相应专家或委托相应部门验收），验收合格后，出具使用验收合格证明。</w:t>
      </w:r>
    </w:p>
    <w:p w14:paraId="2FE7B6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2、最终验收：最终验收结果作为付款依据，乙方填写验收单，并向甲方提交实施过程中的所有资料，以便甲方日后管理和维护。</w:t>
      </w:r>
    </w:p>
    <w:p w14:paraId="78B7B22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3、质保期满后：由乙方出具质保期运行质量报告，若存在质量问题，应按相应规定协商处理。</w:t>
      </w:r>
    </w:p>
    <w:p w14:paraId="11B1C088">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4、验收依据：</w:t>
      </w:r>
    </w:p>
    <w:p w14:paraId="225E506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4-1、合同文本、合同附件、招标文件、投标文件。</w:t>
      </w:r>
    </w:p>
    <w:p w14:paraId="45DA087C">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4-2、国内相应的标准、规范。</w:t>
      </w:r>
    </w:p>
    <w:p w14:paraId="68B4CE50">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1" w:name="_Toc19515392"/>
      <w:r>
        <w:rPr>
          <w:rFonts w:hint="eastAsia" w:ascii="宋体" w:hAnsi="宋体" w:eastAsia="宋体" w:cs="宋体"/>
          <w:color w:val="auto"/>
          <w:sz w:val="24"/>
          <w:szCs w:val="24"/>
          <w:highlight w:val="none"/>
        </w:rPr>
        <w:t>七、违约责任</w:t>
      </w:r>
      <w:bookmarkEnd w:id="31"/>
    </w:p>
    <w:p w14:paraId="23DB5B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1、按《中华人民共和国民法典》中的相关条款执行。</w:t>
      </w:r>
    </w:p>
    <w:p w14:paraId="51CA4B43">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2、乙方履约延误</w:t>
      </w:r>
    </w:p>
    <w:p w14:paraId="12BF2142">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2-1、如乙方事先未征得甲方同意并得到甲方的谅解而单方面延迟执行合同，将按违约终止合同。</w:t>
      </w:r>
    </w:p>
    <w:p w14:paraId="2DC5D93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2-2、在履行合同过程中，如果乙方遇到可能妨碍按时提供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的情况，应及时以书面形式将拖延的事实，可能拖延的期限和理由通知甲方。甲方在收到乙方通知后，应尽快对情况进行评价，并确定是否通过修改合同，酌情延长交货时间或对乙方加收误期赔偿金。每延误一</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rPr>
        <w:t>的赔偿费按合同金额的百分之</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%）计收，直至</w:t>
      </w:r>
      <w:r>
        <w:rPr>
          <w:rFonts w:hint="eastAsia" w:ascii="宋体" w:hAnsi="宋体" w:eastAsia="宋体" w:cs="宋体"/>
          <w:color w:val="auto"/>
          <w:sz w:val="24"/>
          <w:szCs w:val="24"/>
          <w:highlight w:val="none"/>
          <w:lang w:val="en-US" w:eastAsia="zh-CN"/>
        </w:rPr>
        <w:t>全部完成</w:t>
      </w:r>
      <w:r>
        <w:rPr>
          <w:rFonts w:hint="eastAsia" w:ascii="宋体" w:hAnsi="宋体" w:eastAsia="宋体" w:cs="宋体"/>
          <w:color w:val="auto"/>
          <w:sz w:val="24"/>
          <w:szCs w:val="24"/>
          <w:highlight w:val="none"/>
        </w:rPr>
        <w:t>为止。误期赔偿费的最高限额为合同价格的百分之</w:t>
      </w:r>
      <w:r>
        <w:rPr>
          <w:rFonts w:hint="eastAsia" w:ascii="宋体" w:hAnsi="宋体" w:eastAsia="宋体" w:cs="宋体"/>
          <w:color w:val="auto"/>
          <w:sz w:val="24"/>
          <w:szCs w:val="24"/>
          <w:highlight w:val="none"/>
          <w:lang w:val="en-US" w:eastAsia="zh-CN"/>
        </w:rPr>
        <w:t>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%）。一旦达到误期赔偿费的最高限额，甲方可终止合同。</w:t>
      </w:r>
    </w:p>
    <w:p w14:paraId="558D63E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3、违约终止合同：未按合同要求提供服务或不能满足技术要求，甲方会同监督机构有权终止合同，对乙方违约行为进行追究，同时按政府采购法的有关规定进行相应的处罚。</w:t>
      </w:r>
    </w:p>
    <w:p w14:paraId="2378D575">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2" w:name="_Toc19515393"/>
      <w:r>
        <w:rPr>
          <w:rFonts w:hint="eastAsia" w:ascii="宋体" w:hAnsi="宋体" w:eastAsia="宋体" w:cs="宋体"/>
          <w:color w:val="auto"/>
          <w:sz w:val="24"/>
          <w:szCs w:val="24"/>
          <w:highlight w:val="none"/>
        </w:rPr>
        <w:t>八、合同组成</w:t>
      </w:r>
      <w:bookmarkEnd w:id="32"/>
    </w:p>
    <w:p w14:paraId="0EAE085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w:t>
      </w:r>
    </w:p>
    <w:p w14:paraId="6256937E">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2、合同文件</w:t>
      </w:r>
    </w:p>
    <w:p w14:paraId="0857A1BA">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3、国家相关规范及标准</w:t>
      </w:r>
    </w:p>
    <w:p w14:paraId="5FA06201">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4、招标文件</w:t>
      </w:r>
    </w:p>
    <w:p w14:paraId="06991757">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5、投标文件</w:t>
      </w:r>
    </w:p>
    <w:p w14:paraId="0EEFEABC">
      <w:pPr>
        <w:adjustRightInd w:val="0"/>
        <w:snapToGrid w:val="0"/>
        <w:spacing w:line="360" w:lineRule="auto"/>
        <w:ind w:firstLine="480" w:firstLineChars="200"/>
        <w:rPr>
          <w:rFonts w:hint="eastAsia" w:ascii="宋体" w:hAnsi="宋体" w:eastAsia="宋体" w:cs="宋体"/>
          <w:color w:val="auto"/>
          <w:sz w:val="24"/>
          <w:szCs w:val="24"/>
          <w:highlight w:val="none"/>
        </w:rPr>
      </w:pPr>
      <w:bookmarkStart w:id="33" w:name="_Toc19515394"/>
      <w:r>
        <w:rPr>
          <w:rFonts w:hint="eastAsia" w:ascii="宋体" w:hAnsi="宋体" w:eastAsia="宋体" w:cs="宋体"/>
          <w:color w:val="auto"/>
          <w:sz w:val="24"/>
          <w:szCs w:val="24"/>
          <w:highlight w:val="none"/>
        </w:rPr>
        <w:t>九、解决争议的方法</w:t>
      </w:r>
      <w:bookmarkEnd w:id="33"/>
    </w:p>
    <w:p w14:paraId="2374DE78">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凡因本合同引起的或与本合同有关的争议，双方应友好协商解决。协商不成时，双方均同意采用以下第（  ）种争议解决方式：</w:t>
      </w:r>
    </w:p>
    <w:p w14:paraId="058FF234">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1、甲、乙双方均同意向（甲方所在地人民法院）提起诉讼。</w:t>
      </w:r>
    </w:p>
    <w:p w14:paraId="42B5D90C">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2、甲、乙双方均同意向（</w:t>
      </w:r>
      <w:r>
        <w:rPr>
          <w:rFonts w:hint="eastAsia" w:ascii="宋体" w:hAnsi="宋体" w:eastAsia="宋体" w:cs="宋体"/>
          <w:color w:val="auto"/>
          <w:kern w:val="0"/>
          <w:sz w:val="24"/>
          <w:szCs w:val="24"/>
          <w:highlight w:val="none"/>
        </w:rPr>
        <w:fldChar w:fldCharType="begin"/>
      </w:r>
      <w:r>
        <w:rPr>
          <w:rFonts w:hint="eastAsia" w:ascii="宋体" w:hAnsi="宋体" w:eastAsia="宋体" w:cs="宋体"/>
          <w:color w:val="auto"/>
          <w:kern w:val="0"/>
          <w:sz w:val="24"/>
          <w:szCs w:val="24"/>
          <w:highlight w:val="none"/>
        </w:rPr>
        <w:instrText xml:space="preserve"> HYPERLINK "http://www.baidu.com/s?wd=%E4%BB%B2%E8%A3%81%E5%A7%94%E5%91%98%E4%BC%9A&amp;tn=SE_PcZhidaonwhc_ngpagmjz&amp;rsv_dl=gh_pc_zhidao" \t "_blank" </w:instrText>
      </w:r>
      <w:r>
        <w:rPr>
          <w:rFonts w:hint="eastAsia" w:ascii="宋体" w:hAnsi="宋体" w:eastAsia="宋体" w:cs="宋体"/>
          <w:color w:val="auto"/>
          <w:kern w:val="0"/>
          <w:sz w:val="24"/>
          <w:szCs w:val="24"/>
          <w:highlight w:val="none"/>
        </w:rPr>
        <w:fldChar w:fldCharType="separate"/>
      </w:r>
      <w:r>
        <w:rPr>
          <w:rFonts w:hint="eastAsia" w:ascii="宋体" w:hAnsi="宋体" w:eastAsia="宋体" w:cs="宋体"/>
          <w:color w:val="auto"/>
          <w:kern w:val="0"/>
          <w:sz w:val="24"/>
          <w:szCs w:val="24"/>
          <w:highlight w:val="none"/>
        </w:rPr>
        <w:t>仲裁委员会</w:t>
      </w:r>
      <w:r>
        <w:rPr>
          <w:rFonts w:hint="eastAsia" w:ascii="宋体" w:hAnsi="宋体" w:eastAsia="宋体" w:cs="宋体"/>
          <w:color w:val="auto"/>
          <w:kern w:val="0"/>
          <w:sz w:val="24"/>
          <w:szCs w:val="24"/>
          <w:highlight w:val="none"/>
        </w:rPr>
        <w:fldChar w:fldCharType="end"/>
      </w:r>
      <w:r>
        <w:rPr>
          <w:rFonts w:hint="eastAsia" w:ascii="宋体" w:hAnsi="宋体" w:eastAsia="宋体" w:cs="宋体"/>
          <w:color w:val="auto"/>
          <w:kern w:val="0"/>
          <w:sz w:val="24"/>
          <w:szCs w:val="24"/>
          <w:highlight w:val="none"/>
        </w:rPr>
        <w:t>）提起仲裁。</w:t>
      </w:r>
    </w:p>
    <w:p w14:paraId="69EA9887">
      <w:pPr>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34" w:name="_Toc19515395"/>
      <w:r>
        <w:rPr>
          <w:rFonts w:hint="eastAsia" w:ascii="宋体" w:hAnsi="宋体" w:eastAsia="宋体" w:cs="宋体"/>
          <w:color w:val="auto"/>
          <w:sz w:val="24"/>
          <w:szCs w:val="24"/>
          <w:highlight w:val="none"/>
        </w:rPr>
        <w:t>十、合同生效及其它</w:t>
      </w:r>
      <w:bookmarkEnd w:id="34"/>
      <w:r>
        <w:rPr>
          <w:rFonts w:hint="eastAsia" w:ascii="宋体" w:hAnsi="宋体" w:eastAsia="宋体" w:cs="宋体"/>
          <w:color w:val="auto"/>
          <w:sz w:val="24"/>
          <w:szCs w:val="24"/>
          <w:highlight w:val="none"/>
          <w:lang w:val="en-US" w:eastAsia="zh-CN"/>
        </w:rPr>
        <w:t>约定</w:t>
      </w:r>
    </w:p>
    <w:p w14:paraId="2FF21CE3">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1、合同未尽事宜、由甲、乙双方协商，作为合同补充，与原合同具有同等法律效力。</w:t>
      </w:r>
    </w:p>
    <w:p w14:paraId="25FB46B9">
      <w:pPr>
        <w:widowControl/>
        <w:autoSpaceDE w:val="0"/>
        <w:autoSpaceDN w:val="0"/>
        <w:snapToGrid w:val="0"/>
        <w:spacing w:line="360" w:lineRule="auto"/>
        <w:ind w:right="-110"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2403E9AA">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本合同一式</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份，甲方、乙方双方分别执</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备案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w:t>
      </w:r>
    </w:p>
    <w:p w14:paraId="24AD0892">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、合同经甲乙双方盖章、签字后生效，合同签订地点为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p>
    <w:p w14:paraId="083B5DC1">
      <w:pPr>
        <w:widowControl/>
        <w:tabs>
          <w:tab w:val="left" w:pos="8391"/>
        </w:tabs>
        <w:autoSpaceDE w:val="0"/>
        <w:autoSpaceDN w:val="0"/>
        <w:snapToGrid w:val="0"/>
        <w:spacing w:line="360" w:lineRule="auto"/>
        <w:ind w:right="-69" w:firstLine="480" w:firstLineChars="200"/>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、生效时间：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日</w:t>
      </w:r>
    </w:p>
    <w:p w14:paraId="1059188B">
      <w:pPr>
        <w:widowControl/>
        <w:tabs>
          <w:tab w:val="left" w:pos="8391"/>
        </w:tabs>
        <w:autoSpaceDE w:val="0"/>
        <w:autoSpaceDN w:val="0"/>
        <w:snapToGrid w:val="0"/>
        <w:spacing w:line="360" w:lineRule="auto"/>
        <w:ind w:right="-69" w:firstLine="840" w:firstLineChars="350"/>
        <w:textAlignment w:val="bottom"/>
        <w:rPr>
          <w:rFonts w:hint="eastAsia" w:ascii="宋体" w:hAnsi="宋体" w:eastAsia="宋体" w:cs="宋体"/>
          <w:color w:val="auto"/>
          <w:kern w:val="0"/>
          <w:sz w:val="24"/>
          <w:szCs w:val="24"/>
          <w:highlight w:val="none"/>
        </w:rPr>
      </w:pPr>
    </w:p>
    <w:tbl>
      <w:tblPr>
        <w:tblStyle w:val="28"/>
        <w:tblW w:w="0" w:type="auto"/>
        <w:jc w:val="center"/>
        <w:tblLayout w:type="fixed"/>
        <w:tblCellMar>
          <w:top w:w="0" w:type="dxa"/>
          <w:left w:w="108" w:type="dxa"/>
          <w:bottom w:w="0" w:type="dxa"/>
          <w:right w:w="108" w:type="dxa"/>
        </w:tblCellMar>
      </w:tblPr>
      <w:tblGrid>
        <w:gridCol w:w="4643"/>
        <w:gridCol w:w="4643"/>
      </w:tblGrid>
      <w:tr w14:paraId="7AA7279B">
        <w:tblPrEx>
          <w:tblCellMar>
            <w:top w:w="0" w:type="dxa"/>
            <w:left w:w="108" w:type="dxa"/>
            <w:bottom w:w="0" w:type="dxa"/>
            <w:right w:w="108" w:type="dxa"/>
          </w:tblCellMar>
        </w:tblPrEx>
        <w:trPr>
          <w:jc w:val="center"/>
        </w:trPr>
        <w:tc>
          <w:tcPr>
            <w:tcW w:w="4643" w:type="dxa"/>
            <w:noWrap w:val="0"/>
            <w:vAlign w:val="top"/>
          </w:tcPr>
          <w:p w14:paraId="6A7EFB1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甲方名称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65B95A6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6D2CDDE">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1B90715A">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2108A2BD">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28CE306F">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c>
          <w:tcPr>
            <w:tcW w:w="4643" w:type="dxa"/>
            <w:noWrap w:val="0"/>
            <w:vAlign w:val="top"/>
          </w:tcPr>
          <w:p w14:paraId="1100F1E2">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乙方名称</w:t>
            </w:r>
            <w:r>
              <w:rPr>
                <w:rFonts w:hint="eastAsia" w:ascii="宋体" w:hAnsi="宋体" w:eastAsia="宋体" w:cs="宋体"/>
                <w:color w:val="auto"/>
                <w:spacing w:val="-20"/>
                <w:kern w:val="0"/>
                <w:sz w:val="24"/>
                <w:szCs w:val="24"/>
                <w:highlight w:val="none"/>
              </w:rPr>
              <w:t>（盖章）</w:t>
            </w:r>
            <w:r>
              <w:rPr>
                <w:rFonts w:hint="eastAsia" w:ascii="宋体" w:hAnsi="宋体" w:eastAsia="宋体" w:cs="宋体"/>
                <w:color w:val="auto"/>
                <w:kern w:val="0"/>
                <w:sz w:val="24"/>
                <w:szCs w:val="24"/>
                <w:highlight w:val="none"/>
              </w:rPr>
              <w:t>:</w:t>
            </w:r>
          </w:p>
          <w:p w14:paraId="3A1C684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p>
          <w:p w14:paraId="5C149681">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代表人（签字）：</w:t>
            </w:r>
          </w:p>
          <w:p w14:paraId="37626EA6">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电话：</w:t>
            </w:r>
          </w:p>
          <w:p w14:paraId="025349E9">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55EEF70B">
            <w:pPr>
              <w:widowControl/>
              <w:autoSpaceDE w:val="0"/>
              <w:autoSpaceDN w:val="0"/>
              <w:snapToGrid w:val="0"/>
              <w:spacing w:line="360" w:lineRule="auto"/>
              <w:ind w:right="-154"/>
              <w:textAlignment w:val="bottom"/>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账号：</w:t>
            </w:r>
          </w:p>
        </w:tc>
      </w:tr>
    </w:tbl>
    <w:p w14:paraId="07E60ABD"/>
    <w:p w14:paraId="481C8B7D">
      <w:pPr>
        <w:rPr>
          <w:rFonts w:hint="eastAsia" w:ascii="宋体" w:hAnsi="宋体" w:eastAsia="宋体" w:cs="宋体"/>
          <w:b/>
          <w:bCs/>
          <w:sz w:val="24"/>
          <w:szCs w:val="24"/>
        </w:rPr>
      </w:pPr>
      <w:r>
        <w:rPr>
          <w:rFonts w:hint="eastAsia" w:ascii="宋体" w:hAnsi="宋体" w:eastAsia="宋体" w:cs="宋体"/>
          <w:b/>
          <w:bCs/>
          <w:sz w:val="24"/>
          <w:szCs w:val="24"/>
        </w:rPr>
        <w:br w:type="page"/>
      </w:r>
    </w:p>
    <w:p w14:paraId="240C8FFD">
      <w:pPr>
        <w:keepNext/>
        <w:keepLines w:val="0"/>
        <w:pageBreakBefore w:val="0"/>
        <w:widowControl/>
        <w:numPr>
          <w:ilvl w:val="0"/>
          <w:numId w:val="0"/>
        </w:numPr>
        <w:kinsoku/>
        <w:wordWrap/>
        <w:overflowPunct/>
        <w:topLinePunct w:val="0"/>
        <w:autoSpaceDE/>
        <w:autoSpaceDN/>
        <w:bidi w:val="0"/>
        <w:adjustRightInd/>
        <w:snapToGrid/>
        <w:ind w:leftChars="0"/>
        <w:textAlignment w:val="auto"/>
        <w:outlineLvl w:val="9"/>
        <w:rPr>
          <w:rFonts w:hint="eastAsia"/>
        </w:rPr>
      </w:pPr>
    </w:p>
    <w:p w14:paraId="1FA73992">
      <w:pPr>
        <w:pStyle w:val="3"/>
        <w:rPr>
          <w:rFonts w:hint="eastAsia" w:ascii="宋体" w:hAnsi="宋体" w:eastAsia="宋体" w:cs="宋体"/>
          <w:b/>
          <w:bCs/>
          <w:sz w:val="36"/>
          <w:szCs w:val="36"/>
        </w:rPr>
      </w:pPr>
      <w:bookmarkStart w:id="35" w:name="_Toc9126"/>
      <w:r>
        <w:rPr>
          <w:rFonts w:hint="eastAsia" w:ascii="宋体" w:hAnsi="宋体" w:eastAsia="宋体" w:cs="宋体"/>
          <w:b/>
          <w:bCs/>
          <w:sz w:val="36"/>
          <w:szCs w:val="36"/>
        </w:rPr>
        <w:t>第五章  投标文件构成及格式</w:t>
      </w:r>
      <w:bookmarkEnd w:id="20"/>
      <w:bookmarkEnd w:id="21"/>
      <w:bookmarkEnd w:id="35"/>
    </w:p>
    <w:p w14:paraId="493C6883">
      <w:pPr>
        <w:bidi w:val="0"/>
        <w:jc w:val="both"/>
        <w:rPr>
          <w:rFonts w:hint="eastAsia" w:ascii="宋体" w:hAnsi="宋体" w:eastAsia="宋体" w:cs="宋体"/>
          <w:b/>
          <w:bCs/>
          <w:sz w:val="36"/>
          <w:szCs w:val="36"/>
          <w:lang w:val="en-US" w:eastAsia="zh-CN"/>
        </w:rPr>
      </w:pPr>
    </w:p>
    <w:p w14:paraId="5C0C4B89">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2025年全区学校教育教学设施设备采购项目第二批次(信息化及多媒体类部室)</w:t>
      </w:r>
    </w:p>
    <w:p w14:paraId="25A30503">
      <w:pPr>
        <w:outlineLvl w:val="9"/>
        <w:rPr>
          <w:rFonts w:hint="eastAsia" w:ascii="宋体" w:hAnsi="宋体" w:eastAsia="宋体" w:cs="宋体"/>
          <w:b/>
          <w:bCs/>
          <w:sz w:val="36"/>
          <w:szCs w:val="36"/>
        </w:rPr>
      </w:pPr>
    </w:p>
    <w:p w14:paraId="663F9D08">
      <w:pPr>
        <w:jc w:val="center"/>
        <w:outlineLvl w:val="9"/>
        <w:rPr>
          <w:rFonts w:hint="eastAsia" w:ascii="宋体" w:hAnsi="宋体" w:eastAsia="宋体" w:cs="宋体"/>
          <w:b/>
          <w:bCs/>
          <w:sz w:val="56"/>
          <w:szCs w:val="56"/>
        </w:rPr>
      </w:pPr>
      <w:r>
        <w:rPr>
          <w:rFonts w:hint="eastAsia" w:ascii="宋体" w:hAnsi="宋体" w:eastAsia="宋体" w:cs="宋体"/>
          <w:b/>
          <w:bCs/>
          <w:sz w:val="56"/>
          <w:szCs w:val="56"/>
        </w:rPr>
        <w:t>投标文件</w:t>
      </w:r>
    </w:p>
    <w:p w14:paraId="74ED6A56">
      <w:pPr>
        <w:bidi w:val="0"/>
        <w:jc w:val="both"/>
        <w:rPr>
          <w:rFonts w:hint="eastAsia" w:ascii="宋体" w:hAnsi="宋体" w:eastAsia="宋体" w:cs="宋体"/>
          <w:b/>
          <w:bCs/>
          <w:sz w:val="36"/>
          <w:szCs w:val="36"/>
          <w:lang w:eastAsia="zh-CN"/>
        </w:rPr>
      </w:pPr>
    </w:p>
    <w:p w14:paraId="7D854B25">
      <w:pPr>
        <w:bidi w:val="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（第一包）</w:t>
      </w:r>
    </w:p>
    <w:p w14:paraId="6E77BBB6">
      <w:pPr>
        <w:rPr>
          <w:rFonts w:hint="eastAsia" w:ascii="宋体" w:hAnsi="宋体" w:eastAsia="宋体" w:cs="宋体"/>
          <w:sz w:val="36"/>
          <w:szCs w:val="36"/>
        </w:rPr>
      </w:pPr>
    </w:p>
    <w:p w14:paraId="1ED09526">
      <w:pPr>
        <w:ind w:left="0" w:leftChars="0" w:firstLine="0" w:firstLineChars="0"/>
        <w:jc w:val="center"/>
        <w:outlineLvl w:val="9"/>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（项目编号：</w:t>
      </w:r>
      <w:r>
        <w:rPr>
          <w:rFonts w:hint="eastAsia" w:ascii="宋体" w:hAnsi="宋体" w:eastAsia="宋体" w:cs="宋体"/>
          <w:b/>
          <w:bCs/>
          <w:sz w:val="36"/>
          <w:szCs w:val="36"/>
          <w:highlight w:val="none"/>
          <w:lang w:eastAsia="zh-CN"/>
        </w:rPr>
        <w:t>HSGJ2025-164</w:t>
      </w:r>
      <w:r>
        <w:rPr>
          <w:rFonts w:hint="eastAsia" w:ascii="宋体" w:hAnsi="宋体" w:eastAsia="宋体" w:cs="宋体"/>
          <w:b/>
          <w:bCs/>
          <w:sz w:val="36"/>
          <w:szCs w:val="36"/>
          <w:highlight w:val="none"/>
        </w:rPr>
        <w:t>）</w:t>
      </w:r>
    </w:p>
    <w:p w14:paraId="065B91C2">
      <w:pPr>
        <w:spacing w:line="560" w:lineRule="exact"/>
        <w:ind w:firstLine="480" w:firstLineChars="200"/>
        <w:jc w:val="both"/>
        <w:rPr>
          <w:rFonts w:hint="eastAsia" w:ascii="宋体" w:hAnsi="宋体" w:eastAsia="宋体" w:cs="宋体"/>
          <w:sz w:val="24"/>
          <w:szCs w:val="24"/>
        </w:rPr>
      </w:pPr>
    </w:p>
    <w:p w14:paraId="28F46597">
      <w:pPr>
        <w:spacing w:line="560" w:lineRule="exact"/>
        <w:jc w:val="both"/>
        <w:rPr>
          <w:rFonts w:hint="eastAsia" w:ascii="宋体" w:hAnsi="宋体" w:eastAsia="宋体" w:cs="宋体"/>
          <w:sz w:val="24"/>
          <w:szCs w:val="24"/>
        </w:rPr>
      </w:pPr>
    </w:p>
    <w:p w14:paraId="2E672EF3">
      <w:pPr>
        <w:spacing w:line="560" w:lineRule="exact"/>
        <w:ind w:firstLine="480" w:firstLineChars="200"/>
        <w:jc w:val="both"/>
        <w:rPr>
          <w:rFonts w:hint="eastAsia" w:ascii="宋体" w:hAnsi="宋体" w:eastAsia="宋体" w:cs="宋体"/>
          <w:sz w:val="24"/>
          <w:szCs w:val="24"/>
        </w:rPr>
      </w:pPr>
    </w:p>
    <w:p w14:paraId="59DB2C97">
      <w:pPr>
        <w:spacing w:line="560" w:lineRule="exact"/>
        <w:ind w:firstLine="480" w:firstLineChars="200"/>
        <w:jc w:val="both"/>
        <w:rPr>
          <w:rFonts w:hint="eastAsia" w:ascii="宋体" w:hAnsi="宋体" w:eastAsia="宋体" w:cs="宋体"/>
          <w:sz w:val="24"/>
          <w:szCs w:val="24"/>
        </w:rPr>
      </w:pPr>
    </w:p>
    <w:p w14:paraId="3F099C90">
      <w:pPr>
        <w:spacing w:line="560" w:lineRule="exact"/>
        <w:ind w:firstLine="480" w:firstLineChars="200"/>
        <w:jc w:val="both"/>
        <w:rPr>
          <w:rFonts w:hint="eastAsia" w:ascii="宋体" w:hAnsi="宋体" w:eastAsia="宋体" w:cs="宋体"/>
          <w:sz w:val="24"/>
          <w:szCs w:val="24"/>
        </w:rPr>
      </w:pPr>
    </w:p>
    <w:p w14:paraId="3815C574">
      <w:pPr>
        <w:pStyle w:val="15"/>
        <w:rPr>
          <w:rFonts w:hint="eastAsia" w:ascii="宋体" w:hAnsi="宋体" w:eastAsia="宋体" w:cs="宋体"/>
          <w:sz w:val="24"/>
          <w:szCs w:val="24"/>
        </w:rPr>
      </w:pPr>
    </w:p>
    <w:p w14:paraId="36BE2B13">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供 应 商：</w:t>
      </w:r>
      <w:r>
        <w:rPr>
          <w:rFonts w:hint="eastAsia" w:ascii="宋体" w:hAnsi="宋体" w:eastAsia="宋体" w:cs="宋体"/>
          <w:b/>
          <w:sz w:val="32"/>
          <w:szCs w:val="32"/>
          <w:highlight w:val="none"/>
          <w:u w:val="single"/>
        </w:rPr>
        <w:t xml:space="preserve">                 （盖章）</w:t>
      </w:r>
    </w:p>
    <w:p w14:paraId="46D8CD9F">
      <w:pPr>
        <w:spacing w:line="360" w:lineRule="auto"/>
        <w:ind w:firstLine="1920" w:firstLineChars="600"/>
        <w:rPr>
          <w:rFonts w:hint="eastAsia" w:ascii="宋体" w:hAnsi="宋体" w:eastAsia="宋体" w:cs="宋体"/>
          <w:b/>
          <w:sz w:val="32"/>
          <w:szCs w:val="32"/>
          <w:highlight w:val="none"/>
        </w:rPr>
      </w:pPr>
      <w:r>
        <w:rPr>
          <w:rFonts w:hint="eastAsia" w:ascii="宋体" w:hAnsi="宋体" w:eastAsia="宋体" w:cs="宋体"/>
          <w:b/>
          <w:sz w:val="32"/>
          <w:szCs w:val="32"/>
          <w:highlight w:val="none"/>
        </w:rPr>
        <w:t>日    期：     年  月  日</w:t>
      </w:r>
    </w:p>
    <w:p w14:paraId="7A7E130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373CE2D2">
      <w:pPr>
        <w:spacing w:line="560" w:lineRule="exact"/>
        <w:ind w:firstLine="480" w:firstLineChars="200"/>
        <w:jc w:val="center"/>
        <w:rPr>
          <w:rFonts w:hint="eastAsia" w:ascii="宋体" w:hAnsi="宋体" w:eastAsia="宋体" w:cs="宋体"/>
          <w:sz w:val="24"/>
          <w:szCs w:val="24"/>
        </w:rPr>
      </w:pPr>
    </w:p>
    <w:p w14:paraId="378BFB9E">
      <w:pPr>
        <w:spacing w:line="560" w:lineRule="exact"/>
        <w:ind w:firstLine="640" w:firstLineChars="200"/>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17DEFFB8">
      <w:pPr>
        <w:spacing w:line="560" w:lineRule="exact"/>
        <w:ind w:firstLine="480" w:firstLineChars="200"/>
        <w:jc w:val="both"/>
        <w:rPr>
          <w:rFonts w:hint="eastAsia" w:ascii="宋体" w:hAnsi="宋体" w:eastAsia="宋体" w:cs="宋体"/>
          <w:sz w:val="24"/>
          <w:szCs w:val="24"/>
        </w:rPr>
      </w:pPr>
    </w:p>
    <w:p w14:paraId="5BFF3C59">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第一部分  投标函</w:t>
      </w:r>
    </w:p>
    <w:p w14:paraId="33CF03D6">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第二部分  开标一览表</w:t>
      </w:r>
    </w:p>
    <w:p w14:paraId="328CC9AF">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第三部分  资格证明文件</w:t>
      </w:r>
    </w:p>
    <w:p w14:paraId="76A3BA60">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第四部分  供应商概况</w:t>
      </w:r>
    </w:p>
    <w:p w14:paraId="54D316B2">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第五部分  供应商参加政府采购活动承诺书</w:t>
      </w:r>
    </w:p>
    <w:p w14:paraId="6211A928">
      <w:pPr>
        <w:spacing w:line="480" w:lineRule="auto"/>
        <w:ind w:firstLine="560" w:firstLineChars="200"/>
        <w:jc w:val="both"/>
        <w:rPr>
          <w:rFonts w:hint="eastAsia" w:ascii="宋体" w:hAnsi="宋体" w:eastAsia="宋体" w:cs="宋体"/>
          <w:sz w:val="28"/>
          <w:szCs w:val="28"/>
        </w:rPr>
      </w:pPr>
      <w:r>
        <w:rPr>
          <w:rFonts w:hint="eastAsia" w:ascii="宋体" w:hAnsi="宋体" w:eastAsia="宋体" w:cs="宋体"/>
          <w:sz w:val="28"/>
          <w:szCs w:val="28"/>
        </w:rPr>
        <w:t>第六部分  投标方案</w:t>
      </w:r>
    </w:p>
    <w:p w14:paraId="11DA24AB">
      <w:pPr>
        <w:rPr>
          <w:rFonts w:hint="eastAsia" w:ascii="宋体" w:hAnsi="宋体" w:eastAsia="宋体" w:cs="宋体"/>
          <w:sz w:val="24"/>
          <w:szCs w:val="24"/>
        </w:rPr>
      </w:pPr>
      <w:r>
        <w:rPr>
          <w:rFonts w:hint="eastAsia" w:ascii="宋体" w:hAnsi="宋体" w:eastAsia="宋体" w:cs="宋体"/>
          <w:sz w:val="24"/>
          <w:szCs w:val="24"/>
        </w:rPr>
        <w:br w:type="page"/>
      </w:r>
    </w:p>
    <w:p w14:paraId="1D47D731">
      <w:pPr>
        <w:pStyle w:val="4"/>
        <w:jc w:val="center"/>
        <w:rPr>
          <w:rFonts w:hint="eastAsia" w:ascii="宋体" w:hAnsi="宋体" w:eastAsia="宋体" w:cs="宋体"/>
          <w:b/>
          <w:bCs/>
          <w:sz w:val="32"/>
          <w:szCs w:val="32"/>
        </w:rPr>
      </w:pPr>
      <w:r>
        <w:rPr>
          <w:rFonts w:hint="eastAsia" w:ascii="宋体" w:hAnsi="宋体" w:eastAsia="宋体" w:cs="宋体"/>
          <w:b/>
          <w:bCs/>
          <w:sz w:val="32"/>
          <w:szCs w:val="32"/>
        </w:rPr>
        <w:t>第一部分  投标函</w:t>
      </w:r>
    </w:p>
    <w:p w14:paraId="28F2DDBD">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0151FC7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我公司收到贵单位</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（项目编号：</w:t>
      </w:r>
      <w:r>
        <w:rPr>
          <w:rFonts w:hint="eastAsia" w:ascii="宋体" w:hAnsi="宋体" w:eastAsia="宋体" w:cs="宋体"/>
          <w:color w:val="000000" w:themeColor="text1"/>
          <w:sz w:val="24"/>
          <w:szCs w:val="24"/>
          <w:u w:val="single"/>
          <w14:textFill>
            <w14:solidFill>
              <w14:schemeClr w14:val="tx1"/>
            </w14:solidFill>
          </w14:textFill>
        </w:rPr>
        <w:t>〈项目编号〉</w:t>
      </w:r>
      <w:r>
        <w:rPr>
          <w:rFonts w:hint="eastAsia" w:ascii="宋体" w:hAnsi="宋体" w:eastAsia="宋体" w:cs="宋体"/>
          <w:color w:val="000000" w:themeColor="text1"/>
          <w:sz w:val="24"/>
          <w:szCs w:val="24"/>
          <w14:textFill>
            <w14:solidFill>
              <w14:schemeClr w14:val="tx1"/>
            </w14:solidFill>
          </w14:textFill>
        </w:rPr>
        <w:t>）招标文件，经详细研究，我方决定参加该项目</w:t>
      </w:r>
      <w:r>
        <w:rPr>
          <w:rFonts w:hint="eastAsia" w:ascii="宋体" w:hAnsi="宋体" w:eastAsia="宋体" w:cs="宋体"/>
          <w:sz w:val="24"/>
          <w:szCs w:val="24"/>
        </w:rPr>
        <w:t>的</w:t>
      </w:r>
      <w:r>
        <w:rPr>
          <w:rFonts w:hint="eastAsia" w:ascii="宋体" w:hAnsi="宋体" w:eastAsia="宋体" w:cs="宋体"/>
          <w:color w:val="000000"/>
          <w:sz w:val="24"/>
          <w:szCs w:val="24"/>
        </w:rPr>
        <w:t>招标活动。为此，我方郑重声明以下诸点，并负法律责任。</w:t>
      </w:r>
    </w:p>
    <w:p w14:paraId="1BD5AC16">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1．我方已详细阅读了招标文件，完全理解并同意招标文件的所有事项及内容。</w:t>
      </w:r>
    </w:p>
    <w:p w14:paraId="5BCAD804">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593A8C9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3．我方同意向贵中心提供与本次招标有关的全部证明材料，并保证所提交的证明材料真实、合法、有效。</w:t>
      </w:r>
    </w:p>
    <w:p w14:paraId="7665C6E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4．我方理解最低价不是成交的唯一条件，并尊重评标委员会的评审结果。</w:t>
      </w:r>
    </w:p>
    <w:p w14:paraId="5F88AD8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5．我方投标文件在开启之日</w:t>
      </w:r>
      <w:r>
        <w:rPr>
          <w:rFonts w:hint="eastAsia" w:ascii="宋体" w:hAnsi="宋体" w:eastAsia="宋体" w:cs="宋体"/>
          <w:color w:val="000000" w:themeColor="text1"/>
          <w:sz w:val="24"/>
          <w:szCs w:val="24"/>
          <w14:textFill>
            <w14:solidFill>
              <w14:schemeClr w14:val="tx1"/>
            </w14:solidFill>
          </w14:textFill>
        </w:rPr>
        <w:t>起</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个日历日（应不少于90个日历日）内有效。</w:t>
      </w:r>
    </w:p>
    <w:p w14:paraId="068BDD32">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6．若我方成交，我方承诺：（1）将投标文件有效期延长至合同执行完毕；（2）收到</w:t>
      </w:r>
      <w:r>
        <w:rPr>
          <w:rFonts w:hint="eastAsia" w:ascii="宋体" w:hAnsi="宋体" w:eastAsia="宋体" w:cs="宋体"/>
          <w:color w:val="000000" w:themeColor="text1"/>
          <w:sz w:val="24"/>
          <w:szCs w:val="24"/>
          <w:lang w:eastAsia="zh-CN"/>
          <w14:textFill>
            <w14:solidFill>
              <w14:schemeClr w14:val="tx1"/>
            </w14:solidFill>
          </w14:textFill>
        </w:rPr>
        <w:t>中标</w:t>
      </w:r>
      <w:r>
        <w:rPr>
          <w:rFonts w:hint="eastAsia" w:ascii="宋体" w:hAnsi="宋体" w:eastAsia="宋体" w:cs="宋体"/>
          <w:color w:val="000000" w:themeColor="text1"/>
          <w:sz w:val="24"/>
          <w:szCs w:val="24"/>
          <w14:textFill>
            <w14:solidFill>
              <w14:schemeClr w14:val="tx1"/>
            </w14:solidFill>
          </w14:textFill>
        </w:rPr>
        <w:t>通知书后提交纸质投标文件一正两副；（3）遵照招标文件中的要求，完成本项目的合同责任和义务。</w:t>
      </w:r>
    </w:p>
    <w:p w14:paraId="46D30C98">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7．所有关于此次招标活动的函电，请按下列方式联系：</w:t>
      </w:r>
    </w:p>
    <w:p w14:paraId="560B479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60"/>
          <w:kern w:val="0"/>
          <w:sz w:val="24"/>
          <w:szCs w:val="24"/>
          <w:fitText w:val="960" w:id="612109122"/>
          <w14:textFill>
            <w14:solidFill>
              <w14:schemeClr w14:val="tx1"/>
            </w14:solidFill>
          </w14:textFill>
        </w:rPr>
        <w:t>供应</w:t>
      </w:r>
      <w:r>
        <w:rPr>
          <w:rFonts w:hint="eastAsia" w:ascii="宋体" w:hAnsi="宋体" w:eastAsia="宋体" w:cs="宋体"/>
          <w:color w:val="000000" w:themeColor="text1"/>
          <w:spacing w:val="0"/>
          <w:kern w:val="0"/>
          <w:sz w:val="24"/>
          <w:szCs w:val="24"/>
          <w:fitText w:val="960" w:id="612109122"/>
          <w14:textFill>
            <w14:solidFill>
              <w14:schemeClr w14:val="tx1"/>
            </w14:solidFill>
          </w14:textFill>
        </w:rPr>
        <w:t>商</w:t>
      </w:r>
      <w:r>
        <w:rPr>
          <w:rFonts w:hint="eastAsia" w:ascii="宋体" w:hAnsi="宋体" w:eastAsia="宋体" w:cs="宋体"/>
          <w:color w:val="000000" w:themeColor="text1"/>
          <w:sz w:val="24"/>
          <w:szCs w:val="24"/>
          <w14:textFill>
            <w14:solidFill>
              <w14:schemeClr w14:val="tx1"/>
            </w14:solidFill>
          </w14:textFill>
        </w:rPr>
        <w:t>：（供应商全称并加盖公章）</w:t>
      </w:r>
    </w:p>
    <w:p w14:paraId="63DADAB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法定代表人（主要负责人）或委托代理人：（签字或盖章）</w:t>
      </w:r>
    </w:p>
    <w:p w14:paraId="7C91BD25">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联系电话：</w:t>
      </w:r>
    </w:p>
    <w:p w14:paraId="73A2150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通讯地址：</w:t>
      </w:r>
    </w:p>
    <w:p w14:paraId="2C37198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邮</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编：</w:t>
      </w:r>
    </w:p>
    <w:p w14:paraId="5D44A64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电子邮箱：</w:t>
      </w:r>
    </w:p>
    <w:p w14:paraId="3444C884">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sz w:val="24"/>
          <w:szCs w:val="24"/>
        </w:rPr>
      </w:pP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1C612839">
      <w:pPr>
        <w:rPr>
          <w:rFonts w:hint="eastAsia"/>
          <w:lang w:val="en-US" w:eastAsia="zh-CN"/>
        </w:rPr>
      </w:pPr>
    </w:p>
    <w:p w14:paraId="7F341FFA">
      <w:pPr>
        <w:pStyle w:val="4"/>
        <w:numPr>
          <w:ilvl w:val="0"/>
          <w:numId w:val="0"/>
        </w:numPr>
        <w:ind w:firstLine="640" w:firstLineChars="200"/>
        <w:jc w:val="center"/>
        <w:rPr>
          <w:rFonts w:hint="eastAsia" w:ascii="宋体" w:hAnsi="宋体" w:eastAsia="宋体" w:cs="宋体"/>
          <w:b/>
          <w:bCs/>
          <w:sz w:val="32"/>
          <w:szCs w:val="32"/>
          <w:highlight w:val="none"/>
        </w:rPr>
      </w:pPr>
      <w:r>
        <w:rPr>
          <w:rFonts w:hint="eastAsia" w:ascii="宋体" w:hAnsi="宋体" w:eastAsia="宋体" w:cs="宋体"/>
          <w:b/>
          <w:bCs/>
          <w:sz w:val="32"/>
          <w:szCs w:val="32"/>
          <w:lang w:val="en-US" w:eastAsia="zh-CN" w:bidi="ar-SA"/>
        </w:rPr>
        <w:t>第二部分</w:t>
      </w:r>
      <w:r>
        <w:rPr>
          <w:rFonts w:hint="eastAsia" w:ascii="宋体" w:hAnsi="宋体" w:eastAsia="宋体" w:cs="宋体"/>
          <w:b/>
          <w:bCs/>
          <w:sz w:val="32"/>
          <w:szCs w:val="32"/>
          <w:highlight w:val="none"/>
        </w:rPr>
        <w:t xml:space="preserve"> </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开标一览表</w:t>
      </w:r>
    </w:p>
    <w:p w14:paraId="62F067EA">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eastAsia="zh-CN"/>
        </w:rPr>
        <w:t>项目名称：</w:t>
      </w:r>
      <w:r>
        <w:rPr>
          <w:rFonts w:hint="eastAsia" w:ascii="宋体" w:hAnsi="宋体" w:eastAsia="宋体" w:cs="宋体"/>
          <w:sz w:val="24"/>
          <w:szCs w:val="24"/>
          <w:u w:val="single"/>
          <w:lang w:val="en-US" w:eastAsia="zh-CN"/>
        </w:rPr>
        <w:t xml:space="preserve">                        </w:t>
      </w:r>
    </w:p>
    <w:p w14:paraId="00FFBBE8">
      <w:pPr>
        <w:numPr>
          <w:ilvl w:val="0"/>
          <w:numId w:val="0"/>
        </w:numPr>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项目编号：</w:t>
      </w:r>
      <w:r>
        <w:rPr>
          <w:rFonts w:hint="eastAsia" w:ascii="宋体" w:hAnsi="宋体" w:eastAsia="宋体" w:cs="宋体"/>
          <w:sz w:val="24"/>
          <w:szCs w:val="24"/>
          <w:u w:val="single"/>
          <w:lang w:val="en-US" w:eastAsia="zh-CN"/>
        </w:rPr>
        <w:t xml:space="preserve">                        </w:t>
      </w:r>
    </w:p>
    <w:p w14:paraId="3B49FC55">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包号：</w:t>
      </w:r>
      <w:r>
        <w:rPr>
          <w:rFonts w:hint="eastAsia" w:ascii="宋体" w:hAnsi="宋体" w:eastAsia="宋体" w:cs="宋体"/>
          <w:sz w:val="24"/>
          <w:szCs w:val="24"/>
          <w:u w:val="single"/>
          <w:lang w:val="en-US" w:eastAsia="zh-CN"/>
        </w:rPr>
        <w:t xml:space="preserve">                        </w:t>
      </w:r>
    </w:p>
    <w:tbl>
      <w:tblPr>
        <w:tblStyle w:val="28"/>
        <w:tblW w:w="4992" w:type="pct"/>
        <w:jc w:val="center"/>
        <w:tblLayout w:type="fixed"/>
        <w:tblCellMar>
          <w:top w:w="0" w:type="dxa"/>
          <w:left w:w="108" w:type="dxa"/>
          <w:bottom w:w="0" w:type="dxa"/>
          <w:right w:w="108" w:type="dxa"/>
        </w:tblCellMar>
      </w:tblPr>
      <w:tblGrid>
        <w:gridCol w:w="2111"/>
        <w:gridCol w:w="7388"/>
      </w:tblGrid>
      <w:tr w14:paraId="41C5E1BF">
        <w:tblPrEx>
          <w:tblCellMar>
            <w:top w:w="0" w:type="dxa"/>
            <w:left w:w="108" w:type="dxa"/>
            <w:bottom w:w="0" w:type="dxa"/>
            <w:right w:w="108" w:type="dxa"/>
          </w:tblCellMar>
        </w:tblPrEx>
        <w:trPr>
          <w:trHeight w:val="1020" w:hRule="atLeast"/>
          <w:jc w:val="center"/>
        </w:trPr>
        <w:tc>
          <w:tcPr>
            <w:tcW w:w="1110" w:type="pct"/>
            <w:tcBorders>
              <w:top w:val="single" w:color="000000" w:sz="4" w:space="0"/>
              <w:left w:val="single" w:color="000000" w:sz="4" w:space="0"/>
              <w:bottom w:val="single" w:color="000000" w:sz="4" w:space="0"/>
            </w:tcBorders>
            <w:vAlign w:val="center"/>
          </w:tcPr>
          <w:p w14:paraId="4819FC7B">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投标报价</w:t>
            </w:r>
          </w:p>
          <w:p w14:paraId="580C1217">
            <w:pPr>
              <w:pStyle w:val="16"/>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eastAsia="zh-CN"/>
              </w:rPr>
              <w:t>（元）</w:t>
            </w:r>
          </w:p>
        </w:tc>
        <w:tc>
          <w:tcPr>
            <w:tcW w:w="3889" w:type="pct"/>
            <w:tcBorders>
              <w:top w:val="single" w:color="000000" w:sz="4" w:space="0"/>
              <w:left w:val="single" w:color="000000" w:sz="4" w:space="0"/>
              <w:bottom w:val="single" w:color="000000" w:sz="4" w:space="0"/>
              <w:right w:val="single" w:color="000000" w:sz="4" w:space="0"/>
            </w:tcBorders>
            <w:vAlign w:val="center"/>
          </w:tcPr>
          <w:p w14:paraId="2BD72474">
            <w:pPr>
              <w:pStyle w:val="1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宋体" w:hAnsi="宋体" w:eastAsia="宋体" w:cs="宋体"/>
                <w:spacing w:val="-2"/>
                <w:sz w:val="24"/>
                <w:szCs w:val="24"/>
                <w:highlight w:val="none"/>
                <w:lang w:val="en-US" w:eastAsia="zh-CN"/>
              </w:rPr>
            </w:pPr>
            <w:r>
              <w:rPr>
                <w:rFonts w:hint="eastAsia" w:ascii="宋体" w:hAnsi="宋体" w:eastAsia="宋体" w:cs="宋体"/>
                <w:spacing w:val="-2"/>
                <w:sz w:val="24"/>
                <w:szCs w:val="24"/>
                <w:highlight w:val="none"/>
                <w:lang w:eastAsia="zh-CN"/>
              </w:rPr>
              <w:t>大写：</w:t>
            </w:r>
            <w:r>
              <w:rPr>
                <w:rFonts w:hint="eastAsia" w:ascii="宋体" w:hAnsi="宋体" w:eastAsia="宋体" w:cs="宋体"/>
                <w:spacing w:val="-2"/>
                <w:sz w:val="24"/>
                <w:szCs w:val="24"/>
                <w:highlight w:val="none"/>
                <w:u w:val="single"/>
                <w:lang w:val="en-US" w:eastAsia="zh-CN"/>
              </w:rPr>
              <w:t xml:space="preserve">                                  </w:t>
            </w:r>
          </w:p>
          <w:p w14:paraId="75625A2E">
            <w:pPr>
              <w:pStyle w:val="16"/>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2"/>
                <w:sz w:val="24"/>
                <w:szCs w:val="24"/>
                <w:highlight w:val="none"/>
                <w:lang w:eastAsia="zh-CN"/>
              </w:rPr>
              <w:t>小写：</w:t>
            </w:r>
            <w:r>
              <w:rPr>
                <w:rFonts w:hint="eastAsia" w:ascii="宋体" w:hAnsi="宋体" w:eastAsia="宋体" w:cs="宋体"/>
                <w:spacing w:val="-2"/>
                <w:sz w:val="24"/>
                <w:szCs w:val="24"/>
                <w:highlight w:val="none"/>
                <w:u w:val="single"/>
                <w:lang w:val="en-US" w:eastAsia="zh-CN"/>
              </w:rPr>
              <w:t xml:space="preserve">                                  </w:t>
            </w:r>
          </w:p>
        </w:tc>
      </w:tr>
      <w:tr w14:paraId="039FF5F4">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20F067">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0BAFA09F">
            <w:pPr>
              <w:rPr>
                <w:rFonts w:hint="eastAsia" w:ascii="宋体" w:hAnsi="宋体" w:eastAsia="宋体" w:cs="宋体"/>
                <w:spacing w:val="-2"/>
                <w:sz w:val="24"/>
                <w:szCs w:val="24"/>
                <w:highlight w:val="none"/>
                <w:lang w:eastAsia="zh-CN"/>
              </w:rPr>
            </w:pPr>
          </w:p>
        </w:tc>
      </w:tr>
      <w:tr w14:paraId="40B6D226">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2EA79AAD">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交付地点</w:t>
            </w:r>
          </w:p>
        </w:tc>
        <w:tc>
          <w:tcPr>
            <w:tcW w:w="3889" w:type="pct"/>
            <w:tcBorders>
              <w:top w:val="single" w:color="000000" w:sz="4" w:space="0"/>
              <w:left w:val="single" w:color="000000" w:sz="4" w:space="0"/>
              <w:bottom w:val="single" w:color="000000" w:sz="4" w:space="0"/>
              <w:right w:val="single" w:color="000000" w:sz="4" w:space="0"/>
            </w:tcBorders>
            <w:vAlign w:val="center"/>
          </w:tcPr>
          <w:p w14:paraId="1FC3AD64">
            <w:pPr>
              <w:rPr>
                <w:rFonts w:hint="eastAsia" w:ascii="宋体" w:hAnsi="宋体" w:eastAsia="宋体" w:cs="宋体"/>
                <w:spacing w:val="-2"/>
                <w:sz w:val="24"/>
                <w:szCs w:val="24"/>
                <w:highlight w:val="none"/>
                <w:lang w:eastAsia="zh-CN"/>
              </w:rPr>
            </w:pPr>
          </w:p>
        </w:tc>
      </w:tr>
      <w:tr w14:paraId="66539988">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bottom w:val="single" w:color="000000" w:sz="4" w:space="0"/>
            </w:tcBorders>
            <w:vAlign w:val="center"/>
          </w:tcPr>
          <w:p w14:paraId="55C88839">
            <w:pPr>
              <w:pStyle w:val="16"/>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质保期</w:t>
            </w:r>
          </w:p>
        </w:tc>
        <w:tc>
          <w:tcPr>
            <w:tcW w:w="3889" w:type="pct"/>
            <w:tcBorders>
              <w:top w:val="single" w:color="000000" w:sz="4" w:space="0"/>
              <w:left w:val="single" w:color="000000" w:sz="4" w:space="0"/>
              <w:bottom w:val="single" w:color="000000" w:sz="4" w:space="0"/>
              <w:right w:val="single" w:color="000000" w:sz="4" w:space="0"/>
            </w:tcBorders>
            <w:vAlign w:val="center"/>
          </w:tcPr>
          <w:p w14:paraId="1FBE4B84">
            <w:pPr>
              <w:rPr>
                <w:rFonts w:hint="eastAsia" w:ascii="宋体" w:hAnsi="宋体" w:eastAsia="宋体" w:cs="宋体"/>
                <w:spacing w:val="-2"/>
                <w:sz w:val="24"/>
                <w:szCs w:val="24"/>
                <w:highlight w:val="none"/>
                <w:lang w:eastAsia="zh-CN"/>
              </w:rPr>
            </w:pPr>
          </w:p>
        </w:tc>
      </w:tr>
      <w:tr w14:paraId="30231220">
        <w:tblPrEx>
          <w:tblCellMar>
            <w:top w:w="0" w:type="dxa"/>
            <w:left w:w="108" w:type="dxa"/>
            <w:bottom w:w="0" w:type="dxa"/>
            <w:right w:w="108" w:type="dxa"/>
          </w:tblCellMar>
        </w:tblPrEx>
        <w:trPr>
          <w:trHeight w:val="964" w:hRule="atLeast"/>
          <w:jc w:val="center"/>
        </w:trPr>
        <w:tc>
          <w:tcPr>
            <w:tcW w:w="1110" w:type="pct"/>
            <w:tcBorders>
              <w:top w:val="single" w:color="000000" w:sz="4" w:space="0"/>
              <w:left w:val="single" w:color="000000" w:sz="4" w:space="0"/>
            </w:tcBorders>
            <w:vAlign w:val="center"/>
          </w:tcPr>
          <w:p w14:paraId="47E2ED73">
            <w:pP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质量要求</w:t>
            </w:r>
          </w:p>
        </w:tc>
        <w:tc>
          <w:tcPr>
            <w:tcW w:w="3889" w:type="pct"/>
            <w:tcBorders>
              <w:top w:val="single" w:color="000000" w:sz="4" w:space="0"/>
              <w:left w:val="single" w:color="000000" w:sz="4" w:space="0"/>
              <w:bottom w:val="single" w:color="000000" w:sz="4" w:space="0"/>
              <w:right w:val="single" w:color="000000" w:sz="4" w:space="0"/>
            </w:tcBorders>
            <w:vAlign w:val="center"/>
          </w:tcPr>
          <w:p w14:paraId="752660E2">
            <w:pPr>
              <w:rPr>
                <w:rFonts w:hint="eastAsia" w:ascii="宋体" w:hAnsi="宋体" w:eastAsia="宋体" w:cs="宋体"/>
                <w:spacing w:val="-2"/>
                <w:sz w:val="24"/>
                <w:szCs w:val="24"/>
                <w:highlight w:val="none"/>
                <w:lang w:eastAsia="zh-CN"/>
              </w:rPr>
            </w:pPr>
          </w:p>
        </w:tc>
      </w:tr>
      <w:tr w14:paraId="0835F977">
        <w:tblPrEx>
          <w:tblCellMar>
            <w:top w:w="0" w:type="dxa"/>
            <w:left w:w="108" w:type="dxa"/>
            <w:bottom w:w="0" w:type="dxa"/>
            <w:right w:w="108" w:type="dxa"/>
          </w:tblCellMar>
        </w:tblPrEx>
        <w:trPr>
          <w:trHeight w:val="907" w:hRule="atLeast"/>
          <w:jc w:val="center"/>
        </w:trPr>
        <w:tc>
          <w:tcPr>
            <w:tcW w:w="1110" w:type="pct"/>
            <w:tcBorders>
              <w:top w:val="single" w:color="000000" w:sz="4" w:space="0"/>
              <w:left w:val="single" w:color="000000" w:sz="4" w:space="0"/>
              <w:bottom w:val="single" w:color="000000" w:sz="4" w:space="0"/>
            </w:tcBorders>
            <w:vAlign w:val="center"/>
          </w:tcPr>
          <w:p w14:paraId="0FCB3FE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c>
          <w:tcPr>
            <w:tcW w:w="3889" w:type="pct"/>
            <w:tcBorders>
              <w:top w:val="single" w:color="000000" w:sz="4" w:space="0"/>
              <w:left w:val="single" w:color="000000" w:sz="4" w:space="0"/>
              <w:bottom w:val="single" w:color="000000" w:sz="4" w:space="0"/>
              <w:right w:val="single" w:color="000000" w:sz="4" w:space="0"/>
            </w:tcBorders>
            <w:vAlign w:val="center"/>
          </w:tcPr>
          <w:p w14:paraId="45EFF56B">
            <w:pPr>
              <w:rPr>
                <w:rFonts w:hint="eastAsia" w:ascii="宋体" w:hAnsi="宋体" w:eastAsia="宋体" w:cs="宋体"/>
                <w:spacing w:val="-2"/>
                <w:sz w:val="24"/>
                <w:szCs w:val="24"/>
                <w:highlight w:val="none"/>
                <w:lang w:eastAsia="zh-CN"/>
              </w:rPr>
            </w:pPr>
          </w:p>
        </w:tc>
      </w:tr>
    </w:tbl>
    <w:p w14:paraId="0EEEE4DC">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p>
    <w:p w14:paraId="25F4C38E">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投标供应商名称：（公章）</w:t>
      </w:r>
    </w:p>
    <w:p w14:paraId="3F115545">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法定代表人或被授权人：（签字或盖章）</w:t>
      </w:r>
    </w:p>
    <w:p w14:paraId="5501E39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日</w:t>
      </w:r>
    </w:p>
    <w:p w14:paraId="3E27F4D1">
      <w:pPr>
        <w:rPr>
          <w:rFonts w:hint="eastAsia" w:ascii="宋体" w:hAnsi="宋体" w:eastAsia="宋体" w:cs="宋体"/>
          <w:sz w:val="24"/>
          <w:szCs w:val="24"/>
        </w:rPr>
      </w:pPr>
      <w:r>
        <w:rPr>
          <w:rFonts w:hint="eastAsia" w:ascii="宋体" w:hAnsi="宋体" w:eastAsia="宋体" w:cs="宋体"/>
          <w:sz w:val="24"/>
          <w:szCs w:val="24"/>
        </w:rPr>
        <w:br w:type="page"/>
      </w:r>
    </w:p>
    <w:p w14:paraId="6D835466">
      <w:pPr>
        <w:keepNext w:val="0"/>
        <w:keepLines w:val="0"/>
        <w:pageBreakBefore w:val="0"/>
        <w:widowControl/>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highlight w:val="none"/>
          <w:lang w:eastAsia="zh-CN"/>
        </w:rPr>
      </w:pPr>
      <w:r>
        <w:rPr>
          <w:rFonts w:hint="eastAsia" w:ascii="宋体" w:hAnsi="宋体" w:eastAsia="宋体" w:cs="宋体"/>
          <w:b/>
          <w:bCs/>
          <w:sz w:val="32"/>
          <w:szCs w:val="32"/>
          <w:highlight w:val="none"/>
          <w:lang w:eastAsia="zh-CN"/>
        </w:rPr>
        <w:t>分项报价表</w:t>
      </w:r>
    </w:p>
    <w:p w14:paraId="1E1203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2930EB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项目编号：     </w:t>
      </w:r>
    </w:p>
    <w:tbl>
      <w:tblPr>
        <w:tblStyle w:val="29"/>
        <w:tblpPr w:leftFromText="180" w:rightFromText="180" w:vertAnchor="text" w:horzAnchor="page" w:tblpX="1291" w:tblpY="692"/>
        <w:tblOverlap w:val="never"/>
        <w:tblW w:w="95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84"/>
        <w:gridCol w:w="1267"/>
        <w:gridCol w:w="1528"/>
        <w:gridCol w:w="738"/>
        <w:gridCol w:w="912"/>
        <w:gridCol w:w="839"/>
        <w:gridCol w:w="850"/>
        <w:gridCol w:w="833"/>
        <w:gridCol w:w="700"/>
      </w:tblGrid>
      <w:tr w14:paraId="5B52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2C3A74F0">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序号</w:t>
            </w:r>
          </w:p>
        </w:tc>
        <w:tc>
          <w:tcPr>
            <w:tcW w:w="1184" w:type="dxa"/>
            <w:vAlign w:val="center"/>
          </w:tcPr>
          <w:p w14:paraId="08FB9298">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部室名称/项目名称</w:t>
            </w:r>
          </w:p>
        </w:tc>
        <w:tc>
          <w:tcPr>
            <w:tcW w:w="1267" w:type="dxa"/>
            <w:vAlign w:val="center"/>
          </w:tcPr>
          <w:p w14:paraId="151AADE7">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设备名称</w:t>
            </w:r>
          </w:p>
        </w:tc>
        <w:tc>
          <w:tcPr>
            <w:tcW w:w="1528" w:type="dxa"/>
            <w:vAlign w:val="center"/>
          </w:tcPr>
          <w:p w14:paraId="433A64C0">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57150"/>
                  <wp:effectExtent l="0" t="0" r="8890" b="0"/>
                  <wp:wrapNone/>
                  <wp:docPr id="13" name="图片_1"/>
                  <wp:cNvGraphicFramePr/>
                  <a:graphic xmlns:a="http://schemas.openxmlformats.org/drawingml/2006/main">
                    <a:graphicData uri="http://schemas.openxmlformats.org/drawingml/2006/picture">
                      <pic:pic xmlns:pic="http://schemas.openxmlformats.org/drawingml/2006/picture">
                        <pic:nvPicPr>
                          <pic:cNvPr id="13" name="图片_1"/>
                          <pic:cNvPicPr/>
                        </pic:nvPicPr>
                        <pic:blipFill>
                          <a:blip r:embed="rId18"/>
                          <a:stretch>
                            <a:fillRect/>
                          </a:stretch>
                        </pic:blipFill>
                        <pic:spPr>
                          <a:xfrm>
                            <a:off x="0" y="0"/>
                            <a:ext cx="2921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57785"/>
                  <wp:effectExtent l="0" t="0" r="10160" b="18415"/>
                  <wp:wrapNone/>
                  <wp:docPr id="17" name="图片_80"/>
                  <wp:cNvGraphicFramePr/>
                  <a:graphic xmlns:a="http://schemas.openxmlformats.org/drawingml/2006/main">
                    <a:graphicData uri="http://schemas.openxmlformats.org/drawingml/2006/picture">
                      <pic:pic xmlns:pic="http://schemas.openxmlformats.org/drawingml/2006/picture">
                        <pic:nvPicPr>
                          <pic:cNvPr id="17" name="图片_80"/>
                          <pic:cNvPicPr/>
                        </pic:nvPicPr>
                        <pic:blipFill>
                          <a:blip r:embed="rId19"/>
                          <a:stretch>
                            <a:fillRect/>
                          </a:stretch>
                        </pic:blipFill>
                        <pic:spPr>
                          <a:xfrm>
                            <a:off x="0" y="0"/>
                            <a:ext cx="27940" cy="5778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67310"/>
                  <wp:effectExtent l="0" t="0" r="8890" b="8890"/>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20"/>
                          <a:stretch>
                            <a:fillRect/>
                          </a:stretch>
                        </pic:blipFill>
                        <pic:spPr>
                          <a:xfrm>
                            <a:off x="0" y="0"/>
                            <a:ext cx="2921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10" cy="66675"/>
                  <wp:effectExtent l="0" t="0" r="8890" b="9525"/>
                  <wp:wrapNone/>
                  <wp:docPr id="19" name="图片_12780"/>
                  <wp:cNvGraphicFramePr/>
                  <a:graphic xmlns:a="http://schemas.openxmlformats.org/drawingml/2006/main">
                    <a:graphicData uri="http://schemas.openxmlformats.org/drawingml/2006/picture">
                      <pic:pic xmlns:pic="http://schemas.openxmlformats.org/drawingml/2006/picture">
                        <pic:nvPicPr>
                          <pic:cNvPr id="19" name="图片_12780"/>
                          <pic:cNvPicPr/>
                        </pic:nvPicPr>
                        <pic:blipFill>
                          <a:blip r:embed="rId21"/>
                          <a:stretch>
                            <a:fillRect/>
                          </a:stretch>
                        </pic:blipFill>
                        <pic:spPr>
                          <a:xfrm>
                            <a:off x="0" y="0"/>
                            <a:ext cx="29210" cy="66675"/>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67310"/>
                  <wp:effectExtent l="0" t="0" r="10160" b="8890"/>
                  <wp:wrapNone/>
                  <wp:docPr id="20" name="图片_82"/>
                  <wp:cNvGraphicFramePr/>
                  <a:graphic xmlns:a="http://schemas.openxmlformats.org/drawingml/2006/main">
                    <a:graphicData uri="http://schemas.openxmlformats.org/drawingml/2006/picture">
                      <pic:pic xmlns:pic="http://schemas.openxmlformats.org/drawingml/2006/picture">
                        <pic:nvPicPr>
                          <pic:cNvPr id="20" name="图片_82"/>
                          <pic:cNvPicPr/>
                        </pic:nvPicPr>
                        <pic:blipFill>
                          <a:blip r:embed="rId22"/>
                          <a:stretch>
                            <a:fillRect/>
                          </a:stretch>
                        </pic:blipFill>
                        <pic:spPr>
                          <a:xfrm>
                            <a:off x="0" y="0"/>
                            <a:ext cx="27940" cy="6731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7940" cy="57150"/>
                  <wp:effectExtent l="0" t="0" r="10160" b="0"/>
                  <wp:wrapNone/>
                  <wp:docPr id="21" name="图片_80_SpCnt_1"/>
                  <wp:cNvGraphicFramePr/>
                  <a:graphic xmlns:a="http://schemas.openxmlformats.org/drawingml/2006/main">
                    <a:graphicData uri="http://schemas.openxmlformats.org/drawingml/2006/picture">
                      <pic:pic xmlns:pic="http://schemas.openxmlformats.org/drawingml/2006/picture">
                        <pic:nvPicPr>
                          <pic:cNvPr id="21" name="图片_80_SpCnt_1"/>
                          <pic:cNvPicPr/>
                        </pic:nvPicPr>
                        <pic:blipFill>
                          <a:blip r:embed="rId19"/>
                          <a:stretch>
                            <a:fillRect/>
                          </a:stretch>
                        </pic:blipFill>
                        <pic:spPr>
                          <a:xfrm>
                            <a:off x="0" y="0"/>
                            <a:ext cx="27940" cy="57150"/>
                          </a:xfrm>
                          <a:prstGeom prst="rect">
                            <a:avLst/>
                          </a:prstGeom>
                          <a:noFill/>
                          <a:ln>
                            <a:noFill/>
                          </a:ln>
                        </pic:spPr>
                      </pic:pic>
                    </a:graphicData>
                  </a:graphic>
                </wp:anchor>
              </w:drawing>
            </w:r>
            <w:r>
              <w:rPr>
                <w:rFonts w:hint="eastAsia" w:ascii="宋体" w:hAnsi="宋体" w:eastAsia="宋体" w:cs="宋体"/>
                <w:b/>
                <w:bCs/>
                <w:i w:val="0"/>
                <w:iCs w:val="0"/>
                <w:color w:val="000000"/>
                <w:kern w:val="0"/>
                <w:sz w:val="24"/>
                <w:szCs w:val="24"/>
                <w:u w:val="none"/>
                <w:lang w:val="en-US" w:eastAsia="zh-CN" w:bidi="ar"/>
              </w:rPr>
              <w:t>规格参数</w:t>
            </w:r>
          </w:p>
        </w:tc>
        <w:tc>
          <w:tcPr>
            <w:tcW w:w="738" w:type="dxa"/>
            <w:vAlign w:val="center"/>
          </w:tcPr>
          <w:p w14:paraId="239076B0">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品牌</w:t>
            </w:r>
          </w:p>
        </w:tc>
        <w:tc>
          <w:tcPr>
            <w:tcW w:w="912" w:type="dxa"/>
            <w:vAlign w:val="center"/>
          </w:tcPr>
          <w:p w14:paraId="77C9F01C">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制造厂商</w:t>
            </w:r>
          </w:p>
        </w:tc>
        <w:tc>
          <w:tcPr>
            <w:tcW w:w="839" w:type="dxa"/>
            <w:vAlign w:val="center"/>
          </w:tcPr>
          <w:p w14:paraId="51AC2B2A">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数量</w:t>
            </w:r>
          </w:p>
        </w:tc>
        <w:tc>
          <w:tcPr>
            <w:tcW w:w="850" w:type="dxa"/>
            <w:vAlign w:val="center"/>
          </w:tcPr>
          <w:p w14:paraId="6314C100">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单价（元）</w:t>
            </w:r>
          </w:p>
        </w:tc>
        <w:tc>
          <w:tcPr>
            <w:tcW w:w="833" w:type="dxa"/>
            <w:vAlign w:val="center"/>
          </w:tcPr>
          <w:p w14:paraId="36F01B78">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合价（元）</w:t>
            </w:r>
          </w:p>
        </w:tc>
        <w:tc>
          <w:tcPr>
            <w:tcW w:w="700" w:type="dxa"/>
            <w:vAlign w:val="center"/>
          </w:tcPr>
          <w:p w14:paraId="030797DD">
            <w:pPr>
              <w:keepNext w:val="0"/>
              <w:keepLines w:val="0"/>
              <w:widowControl/>
              <w:suppressLineNumbers w:val="0"/>
              <w:jc w:val="center"/>
              <w:textAlignment w:val="center"/>
              <w:rPr>
                <w:rFonts w:hint="eastAsia" w:ascii="宋体" w:hAnsi="宋体" w:eastAsia="宋体" w:cs="宋体"/>
                <w:sz w:val="24"/>
                <w:szCs w:val="24"/>
                <w:vertAlign w:val="baseline"/>
              </w:rPr>
            </w:pPr>
            <w:r>
              <w:rPr>
                <w:rFonts w:hint="eastAsia" w:ascii="宋体" w:hAnsi="宋体" w:eastAsia="宋体" w:cs="宋体"/>
                <w:b/>
                <w:bCs/>
                <w:i w:val="0"/>
                <w:iCs w:val="0"/>
                <w:color w:val="000000"/>
                <w:kern w:val="0"/>
                <w:sz w:val="24"/>
                <w:szCs w:val="24"/>
                <w:u w:val="none"/>
                <w:lang w:val="en-US" w:eastAsia="zh-CN" w:bidi="ar"/>
              </w:rPr>
              <w:t>备注</w:t>
            </w:r>
          </w:p>
        </w:tc>
      </w:tr>
      <w:tr w14:paraId="1BDD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top"/>
          </w:tcPr>
          <w:p w14:paraId="666462F4">
            <w:pPr>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1</w:t>
            </w:r>
          </w:p>
        </w:tc>
        <w:tc>
          <w:tcPr>
            <w:tcW w:w="1184" w:type="dxa"/>
            <w:vAlign w:val="center"/>
          </w:tcPr>
          <w:p w14:paraId="6B0E9ECF">
            <w:pPr>
              <w:keepNext w:val="0"/>
              <w:keepLines w:val="0"/>
              <w:widowControl/>
              <w:suppressLineNumbers w:val="0"/>
              <w:jc w:val="left"/>
              <w:textAlignment w:val="center"/>
              <w:rPr>
                <w:rFonts w:hint="eastAsia" w:ascii="宋体" w:hAnsi="宋体" w:eastAsia="宋体" w:cs="宋体"/>
                <w:sz w:val="24"/>
                <w:szCs w:val="24"/>
                <w:vertAlign w:val="baseline"/>
              </w:rPr>
            </w:pPr>
          </w:p>
        </w:tc>
        <w:tc>
          <w:tcPr>
            <w:tcW w:w="1267" w:type="dxa"/>
            <w:vAlign w:val="center"/>
          </w:tcPr>
          <w:p w14:paraId="0D65078C">
            <w:pPr>
              <w:keepNext w:val="0"/>
              <w:keepLines w:val="0"/>
              <w:widowControl/>
              <w:suppressLineNumbers w:val="0"/>
              <w:jc w:val="left"/>
              <w:textAlignment w:val="center"/>
              <w:rPr>
                <w:rFonts w:hint="eastAsia" w:ascii="宋体" w:hAnsi="宋体" w:eastAsia="宋体" w:cs="宋体"/>
                <w:sz w:val="24"/>
                <w:szCs w:val="24"/>
                <w:vertAlign w:val="baseline"/>
              </w:rPr>
            </w:pPr>
            <w:r>
              <w:rPr>
                <w:rFonts w:hint="eastAsia" w:ascii="宋体" w:hAnsi="宋体" w:eastAsia="宋体" w:cs="宋体"/>
                <w:i w:val="0"/>
                <w:iCs w:val="0"/>
                <w:color w:val="000000"/>
                <w:kern w:val="0"/>
                <w:sz w:val="24"/>
                <w:szCs w:val="24"/>
                <w:u w:val="none"/>
                <w:lang w:val="en-US" w:eastAsia="zh-CN" w:bidi="ar"/>
              </w:rPr>
              <w:br w:type="textWrapping"/>
            </w:r>
          </w:p>
        </w:tc>
        <w:tc>
          <w:tcPr>
            <w:tcW w:w="1528" w:type="dxa"/>
          </w:tcPr>
          <w:p w14:paraId="47CAF34C">
            <w:pPr>
              <w:rPr>
                <w:rFonts w:hint="eastAsia" w:ascii="宋体" w:hAnsi="宋体" w:eastAsia="宋体" w:cs="宋体"/>
                <w:sz w:val="24"/>
                <w:szCs w:val="24"/>
                <w:vertAlign w:val="baseline"/>
              </w:rPr>
            </w:pPr>
          </w:p>
        </w:tc>
        <w:tc>
          <w:tcPr>
            <w:tcW w:w="738" w:type="dxa"/>
          </w:tcPr>
          <w:p w14:paraId="219746AC">
            <w:pPr>
              <w:rPr>
                <w:rFonts w:hint="eastAsia" w:ascii="宋体" w:hAnsi="宋体" w:eastAsia="宋体" w:cs="宋体"/>
                <w:sz w:val="24"/>
                <w:szCs w:val="24"/>
                <w:vertAlign w:val="baseline"/>
              </w:rPr>
            </w:pPr>
          </w:p>
        </w:tc>
        <w:tc>
          <w:tcPr>
            <w:tcW w:w="912" w:type="dxa"/>
          </w:tcPr>
          <w:p w14:paraId="55723A35">
            <w:pPr>
              <w:rPr>
                <w:rFonts w:hint="eastAsia" w:ascii="宋体" w:hAnsi="宋体" w:eastAsia="宋体" w:cs="宋体"/>
                <w:sz w:val="24"/>
                <w:szCs w:val="24"/>
                <w:vertAlign w:val="baseline"/>
              </w:rPr>
            </w:pPr>
          </w:p>
        </w:tc>
        <w:tc>
          <w:tcPr>
            <w:tcW w:w="839" w:type="dxa"/>
            <w:vAlign w:val="center"/>
          </w:tcPr>
          <w:p w14:paraId="7A01880C">
            <w:pPr>
              <w:keepNext w:val="0"/>
              <w:keepLines w:val="0"/>
              <w:widowControl/>
              <w:suppressLineNumbers w:val="0"/>
              <w:jc w:val="center"/>
              <w:textAlignment w:val="center"/>
              <w:rPr>
                <w:rFonts w:hint="eastAsia" w:ascii="宋体" w:hAnsi="宋体" w:eastAsia="宋体" w:cs="宋体"/>
                <w:sz w:val="24"/>
                <w:szCs w:val="24"/>
                <w:vertAlign w:val="baseline"/>
              </w:rPr>
            </w:pPr>
          </w:p>
        </w:tc>
        <w:tc>
          <w:tcPr>
            <w:tcW w:w="850" w:type="dxa"/>
          </w:tcPr>
          <w:p w14:paraId="12727537">
            <w:pPr>
              <w:rPr>
                <w:rFonts w:hint="eastAsia" w:ascii="宋体" w:hAnsi="宋体" w:eastAsia="宋体" w:cs="宋体"/>
                <w:sz w:val="24"/>
                <w:szCs w:val="24"/>
                <w:vertAlign w:val="baseline"/>
              </w:rPr>
            </w:pPr>
          </w:p>
        </w:tc>
        <w:tc>
          <w:tcPr>
            <w:tcW w:w="833" w:type="dxa"/>
          </w:tcPr>
          <w:p w14:paraId="62DAF3B3">
            <w:pPr>
              <w:rPr>
                <w:rFonts w:hint="eastAsia" w:ascii="宋体" w:hAnsi="宋体" w:eastAsia="宋体" w:cs="宋体"/>
                <w:sz w:val="24"/>
                <w:szCs w:val="24"/>
                <w:vertAlign w:val="baseline"/>
              </w:rPr>
            </w:pPr>
          </w:p>
        </w:tc>
        <w:tc>
          <w:tcPr>
            <w:tcW w:w="700" w:type="dxa"/>
          </w:tcPr>
          <w:p w14:paraId="4E10D934">
            <w:pPr>
              <w:rPr>
                <w:rFonts w:hint="eastAsia" w:ascii="宋体" w:hAnsi="宋体" w:eastAsia="宋体" w:cs="宋体"/>
                <w:sz w:val="24"/>
                <w:szCs w:val="24"/>
                <w:vertAlign w:val="baseline"/>
              </w:rPr>
            </w:pPr>
          </w:p>
        </w:tc>
      </w:tr>
      <w:tr w14:paraId="15AD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650" w:type="dxa"/>
            <w:vAlign w:val="top"/>
          </w:tcPr>
          <w:p w14:paraId="5C698F61">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1184" w:type="dxa"/>
            <w:vAlign w:val="center"/>
          </w:tcPr>
          <w:p w14:paraId="0B3D920D">
            <w:pPr>
              <w:keepNext w:val="0"/>
              <w:keepLines w:val="0"/>
              <w:widowControl/>
              <w:suppressLineNumbers w:val="0"/>
              <w:jc w:val="left"/>
              <w:textAlignment w:val="center"/>
              <w:rPr>
                <w:rFonts w:hint="eastAsia" w:ascii="宋体" w:hAnsi="宋体" w:eastAsia="宋体" w:cs="宋体"/>
                <w:sz w:val="24"/>
                <w:szCs w:val="24"/>
                <w:vertAlign w:val="baseline"/>
              </w:rPr>
            </w:pPr>
          </w:p>
        </w:tc>
        <w:tc>
          <w:tcPr>
            <w:tcW w:w="1267" w:type="dxa"/>
            <w:vAlign w:val="center"/>
          </w:tcPr>
          <w:p w14:paraId="5BCBC87C">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1528" w:type="dxa"/>
          </w:tcPr>
          <w:p w14:paraId="17FBDC24">
            <w:pPr>
              <w:rPr>
                <w:rFonts w:hint="eastAsia" w:ascii="宋体" w:hAnsi="宋体" w:eastAsia="宋体" w:cs="宋体"/>
                <w:sz w:val="24"/>
                <w:szCs w:val="24"/>
                <w:vertAlign w:val="baseline"/>
              </w:rPr>
            </w:pPr>
          </w:p>
        </w:tc>
        <w:tc>
          <w:tcPr>
            <w:tcW w:w="738" w:type="dxa"/>
          </w:tcPr>
          <w:p w14:paraId="1663EE62">
            <w:pPr>
              <w:rPr>
                <w:rFonts w:hint="eastAsia" w:ascii="宋体" w:hAnsi="宋体" w:eastAsia="宋体" w:cs="宋体"/>
                <w:sz w:val="24"/>
                <w:szCs w:val="24"/>
                <w:vertAlign w:val="baseline"/>
              </w:rPr>
            </w:pPr>
          </w:p>
        </w:tc>
        <w:tc>
          <w:tcPr>
            <w:tcW w:w="912" w:type="dxa"/>
          </w:tcPr>
          <w:p w14:paraId="7BF9F635">
            <w:pPr>
              <w:rPr>
                <w:rFonts w:hint="eastAsia" w:ascii="宋体" w:hAnsi="宋体" w:eastAsia="宋体" w:cs="宋体"/>
                <w:sz w:val="24"/>
                <w:szCs w:val="24"/>
                <w:vertAlign w:val="baseline"/>
              </w:rPr>
            </w:pPr>
          </w:p>
        </w:tc>
        <w:tc>
          <w:tcPr>
            <w:tcW w:w="839" w:type="dxa"/>
            <w:vAlign w:val="center"/>
          </w:tcPr>
          <w:p w14:paraId="0F651B63">
            <w:pPr>
              <w:keepNext w:val="0"/>
              <w:keepLines w:val="0"/>
              <w:widowControl/>
              <w:suppressLineNumbers w:val="0"/>
              <w:jc w:val="center"/>
              <w:textAlignment w:val="center"/>
              <w:rPr>
                <w:rFonts w:hint="eastAsia" w:ascii="宋体" w:hAnsi="宋体" w:eastAsia="宋体" w:cs="宋体"/>
                <w:sz w:val="24"/>
                <w:szCs w:val="24"/>
                <w:vertAlign w:val="baseline"/>
              </w:rPr>
            </w:pPr>
          </w:p>
        </w:tc>
        <w:tc>
          <w:tcPr>
            <w:tcW w:w="850" w:type="dxa"/>
          </w:tcPr>
          <w:p w14:paraId="60025052">
            <w:pPr>
              <w:rPr>
                <w:rFonts w:hint="eastAsia" w:ascii="宋体" w:hAnsi="宋体" w:eastAsia="宋体" w:cs="宋体"/>
                <w:sz w:val="24"/>
                <w:szCs w:val="24"/>
                <w:vertAlign w:val="baseline"/>
              </w:rPr>
            </w:pPr>
          </w:p>
        </w:tc>
        <w:tc>
          <w:tcPr>
            <w:tcW w:w="833" w:type="dxa"/>
          </w:tcPr>
          <w:p w14:paraId="5F9136D8">
            <w:pPr>
              <w:rPr>
                <w:rFonts w:hint="eastAsia" w:ascii="宋体" w:hAnsi="宋体" w:eastAsia="宋体" w:cs="宋体"/>
                <w:sz w:val="24"/>
                <w:szCs w:val="24"/>
                <w:vertAlign w:val="baseline"/>
              </w:rPr>
            </w:pPr>
          </w:p>
        </w:tc>
        <w:tc>
          <w:tcPr>
            <w:tcW w:w="700" w:type="dxa"/>
          </w:tcPr>
          <w:p w14:paraId="43676CB7">
            <w:pPr>
              <w:rPr>
                <w:rFonts w:hint="eastAsia" w:ascii="宋体" w:hAnsi="宋体" w:eastAsia="宋体" w:cs="宋体"/>
                <w:sz w:val="24"/>
                <w:szCs w:val="24"/>
                <w:vertAlign w:val="baseline"/>
              </w:rPr>
            </w:pPr>
          </w:p>
        </w:tc>
      </w:tr>
      <w:tr w14:paraId="7C57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50" w:type="dxa"/>
            <w:vAlign w:val="top"/>
          </w:tcPr>
          <w:p w14:paraId="50BD1F24">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1184" w:type="dxa"/>
            <w:vAlign w:val="center"/>
          </w:tcPr>
          <w:p w14:paraId="31979F0C">
            <w:pPr>
              <w:keepNext w:val="0"/>
              <w:keepLines w:val="0"/>
              <w:widowControl/>
              <w:suppressLineNumbers w:val="0"/>
              <w:jc w:val="left"/>
              <w:textAlignment w:val="center"/>
              <w:rPr>
                <w:rFonts w:hint="eastAsia" w:ascii="宋体" w:hAnsi="宋体" w:eastAsia="宋体" w:cs="宋体"/>
                <w:sz w:val="24"/>
                <w:szCs w:val="24"/>
                <w:vertAlign w:val="baseline"/>
              </w:rPr>
            </w:pPr>
          </w:p>
        </w:tc>
        <w:tc>
          <w:tcPr>
            <w:tcW w:w="1267" w:type="dxa"/>
            <w:vAlign w:val="center"/>
          </w:tcPr>
          <w:p w14:paraId="73B706C6">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1528" w:type="dxa"/>
          </w:tcPr>
          <w:p w14:paraId="08DA81E5">
            <w:pPr>
              <w:rPr>
                <w:rFonts w:hint="eastAsia" w:ascii="宋体" w:hAnsi="宋体" w:eastAsia="宋体" w:cs="宋体"/>
                <w:sz w:val="24"/>
                <w:szCs w:val="24"/>
                <w:vertAlign w:val="baseline"/>
              </w:rPr>
            </w:pPr>
          </w:p>
        </w:tc>
        <w:tc>
          <w:tcPr>
            <w:tcW w:w="738" w:type="dxa"/>
          </w:tcPr>
          <w:p w14:paraId="3A8A37F8">
            <w:pPr>
              <w:rPr>
                <w:rFonts w:hint="eastAsia" w:ascii="宋体" w:hAnsi="宋体" w:eastAsia="宋体" w:cs="宋体"/>
                <w:sz w:val="24"/>
                <w:szCs w:val="24"/>
                <w:vertAlign w:val="baseline"/>
              </w:rPr>
            </w:pPr>
          </w:p>
        </w:tc>
        <w:tc>
          <w:tcPr>
            <w:tcW w:w="912" w:type="dxa"/>
          </w:tcPr>
          <w:p w14:paraId="45FA5A67">
            <w:pPr>
              <w:rPr>
                <w:rFonts w:hint="eastAsia" w:ascii="宋体" w:hAnsi="宋体" w:eastAsia="宋体" w:cs="宋体"/>
                <w:sz w:val="24"/>
                <w:szCs w:val="24"/>
                <w:vertAlign w:val="baseline"/>
              </w:rPr>
            </w:pPr>
          </w:p>
        </w:tc>
        <w:tc>
          <w:tcPr>
            <w:tcW w:w="839" w:type="dxa"/>
            <w:vAlign w:val="center"/>
          </w:tcPr>
          <w:p w14:paraId="4D493A6A">
            <w:pPr>
              <w:keepNext w:val="0"/>
              <w:keepLines w:val="0"/>
              <w:widowControl/>
              <w:suppressLineNumbers w:val="0"/>
              <w:jc w:val="center"/>
              <w:textAlignment w:val="center"/>
              <w:rPr>
                <w:rFonts w:hint="eastAsia" w:ascii="宋体" w:hAnsi="宋体" w:eastAsia="宋体" w:cs="宋体"/>
                <w:sz w:val="24"/>
                <w:szCs w:val="24"/>
                <w:vertAlign w:val="baseline"/>
              </w:rPr>
            </w:pPr>
          </w:p>
        </w:tc>
        <w:tc>
          <w:tcPr>
            <w:tcW w:w="850" w:type="dxa"/>
          </w:tcPr>
          <w:p w14:paraId="7555A28D">
            <w:pPr>
              <w:rPr>
                <w:rFonts w:hint="eastAsia" w:ascii="宋体" w:hAnsi="宋体" w:eastAsia="宋体" w:cs="宋体"/>
                <w:sz w:val="24"/>
                <w:szCs w:val="24"/>
                <w:vertAlign w:val="baseline"/>
              </w:rPr>
            </w:pPr>
          </w:p>
        </w:tc>
        <w:tc>
          <w:tcPr>
            <w:tcW w:w="833" w:type="dxa"/>
          </w:tcPr>
          <w:p w14:paraId="2BF8141C">
            <w:pPr>
              <w:rPr>
                <w:rFonts w:hint="eastAsia" w:ascii="宋体" w:hAnsi="宋体" w:eastAsia="宋体" w:cs="宋体"/>
                <w:sz w:val="24"/>
                <w:szCs w:val="24"/>
                <w:vertAlign w:val="baseline"/>
              </w:rPr>
            </w:pPr>
          </w:p>
        </w:tc>
        <w:tc>
          <w:tcPr>
            <w:tcW w:w="700" w:type="dxa"/>
          </w:tcPr>
          <w:p w14:paraId="09F1C2EE">
            <w:pPr>
              <w:rPr>
                <w:rFonts w:hint="eastAsia" w:ascii="宋体" w:hAnsi="宋体" w:eastAsia="宋体" w:cs="宋体"/>
                <w:sz w:val="24"/>
                <w:szCs w:val="24"/>
                <w:vertAlign w:val="baseline"/>
              </w:rPr>
            </w:pPr>
          </w:p>
        </w:tc>
      </w:tr>
      <w:tr w14:paraId="2CF4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5DCF20C0">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1184" w:type="dxa"/>
            <w:vAlign w:val="center"/>
          </w:tcPr>
          <w:p w14:paraId="68473429">
            <w:pPr>
              <w:keepNext w:val="0"/>
              <w:keepLines w:val="0"/>
              <w:widowControl/>
              <w:suppressLineNumbers w:val="0"/>
              <w:jc w:val="left"/>
              <w:textAlignment w:val="center"/>
              <w:rPr>
                <w:rFonts w:hint="eastAsia" w:ascii="宋体" w:hAnsi="宋体" w:eastAsia="宋体" w:cs="宋体"/>
                <w:sz w:val="24"/>
                <w:szCs w:val="24"/>
                <w:vertAlign w:val="baseline"/>
              </w:rPr>
            </w:pPr>
          </w:p>
        </w:tc>
        <w:tc>
          <w:tcPr>
            <w:tcW w:w="1267" w:type="dxa"/>
            <w:vAlign w:val="center"/>
          </w:tcPr>
          <w:p w14:paraId="3B5693F9">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1528" w:type="dxa"/>
          </w:tcPr>
          <w:p w14:paraId="6F95F1FD">
            <w:pPr>
              <w:rPr>
                <w:rFonts w:hint="eastAsia" w:ascii="宋体" w:hAnsi="宋体" w:eastAsia="宋体" w:cs="宋体"/>
                <w:sz w:val="24"/>
                <w:szCs w:val="24"/>
                <w:vertAlign w:val="baseline"/>
              </w:rPr>
            </w:pPr>
          </w:p>
        </w:tc>
        <w:tc>
          <w:tcPr>
            <w:tcW w:w="738" w:type="dxa"/>
          </w:tcPr>
          <w:p w14:paraId="3729E4CE">
            <w:pPr>
              <w:rPr>
                <w:rFonts w:hint="eastAsia" w:ascii="宋体" w:hAnsi="宋体" w:eastAsia="宋体" w:cs="宋体"/>
                <w:sz w:val="24"/>
                <w:szCs w:val="24"/>
                <w:vertAlign w:val="baseline"/>
              </w:rPr>
            </w:pPr>
          </w:p>
        </w:tc>
        <w:tc>
          <w:tcPr>
            <w:tcW w:w="912" w:type="dxa"/>
          </w:tcPr>
          <w:p w14:paraId="37C923F5">
            <w:pPr>
              <w:rPr>
                <w:rFonts w:hint="eastAsia" w:ascii="宋体" w:hAnsi="宋体" w:eastAsia="宋体" w:cs="宋体"/>
                <w:sz w:val="24"/>
                <w:szCs w:val="24"/>
                <w:vertAlign w:val="baseline"/>
              </w:rPr>
            </w:pPr>
          </w:p>
        </w:tc>
        <w:tc>
          <w:tcPr>
            <w:tcW w:w="839" w:type="dxa"/>
            <w:vAlign w:val="center"/>
          </w:tcPr>
          <w:p w14:paraId="3F3D73A2">
            <w:pPr>
              <w:keepNext w:val="0"/>
              <w:keepLines w:val="0"/>
              <w:widowControl/>
              <w:suppressLineNumbers w:val="0"/>
              <w:jc w:val="center"/>
              <w:textAlignment w:val="center"/>
              <w:rPr>
                <w:rFonts w:hint="eastAsia" w:ascii="宋体" w:hAnsi="宋体" w:eastAsia="宋体" w:cs="宋体"/>
                <w:sz w:val="24"/>
                <w:szCs w:val="24"/>
                <w:vertAlign w:val="baseline"/>
              </w:rPr>
            </w:pPr>
          </w:p>
        </w:tc>
        <w:tc>
          <w:tcPr>
            <w:tcW w:w="850" w:type="dxa"/>
          </w:tcPr>
          <w:p w14:paraId="656EAEAC">
            <w:pPr>
              <w:rPr>
                <w:rFonts w:hint="eastAsia" w:ascii="宋体" w:hAnsi="宋体" w:eastAsia="宋体" w:cs="宋体"/>
                <w:sz w:val="24"/>
                <w:szCs w:val="24"/>
                <w:vertAlign w:val="baseline"/>
              </w:rPr>
            </w:pPr>
          </w:p>
        </w:tc>
        <w:tc>
          <w:tcPr>
            <w:tcW w:w="833" w:type="dxa"/>
          </w:tcPr>
          <w:p w14:paraId="58197E9E">
            <w:pPr>
              <w:rPr>
                <w:rFonts w:hint="eastAsia" w:ascii="宋体" w:hAnsi="宋体" w:eastAsia="宋体" w:cs="宋体"/>
                <w:sz w:val="24"/>
                <w:szCs w:val="24"/>
                <w:vertAlign w:val="baseline"/>
              </w:rPr>
            </w:pPr>
          </w:p>
        </w:tc>
        <w:tc>
          <w:tcPr>
            <w:tcW w:w="700" w:type="dxa"/>
          </w:tcPr>
          <w:p w14:paraId="289F4A25">
            <w:pPr>
              <w:rPr>
                <w:rFonts w:hint="eastAsia" w:ascii="宋体" w:hAnsi="宋体" w:eastAsia="宋体" w:cs="宋体"/>
                <w:sz w:val="24"/>
                <w:szCs w:val="24"/>
                <w:vertAlign w:val="baseline"/>
              </w:rPr>
            </w:pPr>
          </w:p>
        </w:tc>
      </w:tr>
      <w:tr w14:paraId="5C25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650" w:type="dxa"/>
            <w:vAlign w:val="top"/>
          </w:tcPr>
          <w:p w14:paraId="1417FF5F">
            <w:pPr>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w:t>
            </w:r>
          </w:p>
        </w:tc>
        <w:tc>
          <w:tcPr>
            <w:tcW w:w="1184" w:type="dxa"/>
            <w:vAlign w:val="center"/>
          </w:tcPr>
          <w:p w14:paraId="49F8B033">
            <w:pPr>
              <w:keepNext w:val="0"/>
              <w:keepLines w:val="0"/>
              <w:widowControl/>
              <w:suppressLineNumbers w:val="0"/>
              <w:jc w:val="left"/>
              <w:textAlignment w:val="center"/>
              <w:rPr>
                <w:rFonts w:hint="eastAsia" w:ascii="宋体" w:hAnsi="宋体" w:eastAsia="宋体" w:cs="宋体"/>
                <w:sz w:val="24"/>
                <w:szCs w:val="24"/>
                <w:vertAlign w:val="baseline"/>
              </w:rPr>
            </w:pPr>
          </w:p>
        </w:tc>
        <w:tc>
          <w:tcPr>
            <w:tcW w:w="1267" w:type="dxa"/>
            <w:vAlign w:val="center"/>
          </w:tcPr>
          <w:p w14:paraId="55F74C80">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1528" w:type="dxa"/>
          </w:tcPr>
          <w:p w14:paraId="2D26A429">
            <w:pPr>
              <w:rPr>
                <w:rFonts w:hint="eastAsia" w:ascii="宋体" w:hAnsi="宋体" w:eastAsia="宋体" w:cs="宋体"/>
                <w:sz w:val="24"/>
                <w:szCs w:val="24"/>
                <w:vertAlign w:val="baseline"/>
              </w:rPr>
            </w:pPr>
          </w:p>
        </w:tc>
        <w:tc>
          <w:tcPr>
            <w:tcW w:w="738" w:type="dxa"/>
          </w:tcPr>
          <w:p w14:paraId="47EFB73F">
            <w:pPr>
              <w:rPr>
                <w:rFonts w:hint="eastAsia" w:ascii="宋体" w:hAnsi="宋体" w:eastAsia="宋体" w:cs="宋体"/>
                <w:sz w:val="24"/>
                <w:szCs w:val="24"/>
                <w:vertAlign w:val="baseline"/>
              </w:rPr>
            </w:pPr>
          </w:p>
        </w:tc>
        <w:tc>
          <w:tcPr>
            <w:tcW w:w="912" w:type="dxa"/>
          </w:tcPr>
          <w:p w14:paraId="27C9834A">
            <w:pPr>
              <w:rPr>
                <w:rFonts w:hint="eastAsia" w:ascii="宋体" w:hAnsi="宋体" w:eastAsia="宋体" w:cs="宋体"/>
                <w:sz w:val="24"/>
                <w:szCs w:val="24"/>
                <w:vertAlign w:val="baseline"/>
              </w:rPr>
            </w:pPr>
          </w:p>
        </w:tc>
        <w:tc>
          <w:tcPr>
            <w:tcW w:w="839" w:type="dxa"/>
            <w:vAlign w:val="center"/>
          </w:tcPr>
          <w:p w14:paraId="3D99D38B">
            <w:pPr>
              <w:keepNext w:val="0"/>
              <w:keepLines w:val="0"/>
              <w:widowControl/>
              <w:suppressLineNumbers w:val="0"/>
              <w:jc w:val="center"/>
              <w:textAlignment w:val="center"/>
              <w:rPr>
                <w:rFonts w:hint="eastAsia" w:ascii="宋体" w:hAnsi="宋体" w:eastAsia="宋体" w:cs="宋体"/>
                <w:sz w:val="24"/>
                <w:szCs w:val="24"/>
                <w:vertAlign w:val="baseline"/>
              </w:rPr>
            </w:pPr>
          </w:p>
        </w:tc>
        <w:tc>
          <w:tcPr>
            <w:tcW w:w="850" w:type="dxa"/>
          </w:tcPr>
          <w:p w14:paraId="23C016F2">
            <w:pPr>
              <w:rPr>
                <w:rFonts w:hint="eastAsia" w:ascii="宋体" w:hAnsi="宋体" w:eastAsia="宋体" w:cs="宋体"/>
                <w:sz w:val="24"/>
                <w:szCs w:val="24"/>
                <w:vertAlign w:val="baseline"/>
              </w:rPr>
            </w:pPr>
          </w:p>
        </w:tc>
        <w:tc>
          <w:tcPr>
            <w:tcW w:w="833" w:type="dxa"/>
          </w:tcPr>
          <w:p w14:paraId="052C6141">
            <w:pPr>
              <w:rPr>
                <w:rFonts w:hint="eastAsia" w:ascii="宋体" w:hAnsi="宋体" w:eastAsia="宋体" w:cs="宋体"/>
                <w:sz w:val="24"/>
                <w:szCs w:val="24"/>
                <w:vertAlign w:val="baseline"/>
              </w:rPr>
            </w:pPr>
          </w:p>
        </w:tc>
        <w:tc>
          <w:tcPr>
            <w:tcW w:w="700" w:type="dxa"/>
          </w:tcPr>
          <w:p w14:paraId="713EE21E">
            <w:pPr>
              <w:rPr>
                <w:rFonts w:hint="eastAsia" w:ascii="宋体" w:hAnsi="宋体" w:eastAsia="宋体" w:cs="宋体"/>
                <w:sz w:val="24"/>
                <w:szCs w:val="24"/>
                <w:vertAlign w:val="baseline"/>
              </w:rPr>
            </w:pPr>
          </w:p>
        </w:tc>
      </w:tr>
    </w:tbl>
    <w:p w14:paraId="0BAF6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 xml:space="preserve">                                     </w:t>
      </w:r>
    </w:p>
    <w:p w14:paraId="26E5ED39">
      <w:pPr>
        <w:spacing w:line="5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”与“</w:t>
      </w:r>
      <w:r>
        <w:rPr>
          <w:rFonts w:hint="eastAsia" w:ascii="宋体" w:hAnsi="宋体" w:eastAsia="宋体" w:cs="宋体"/>
          <w:color w:val="auto"/>
          <w:sz w:val="24"/>
          <w:szCs w:val="24"/>
          <w:highlight w:val="none"/>
          <w:lang w:eastAsia="zh-CN"/>
        </w:rPr>
        <w:t>开标一览</w:t>
      </w:r>
      <w:r>
        <w:rPr>
          <w:rFonts w:hint="eastAsia" w:ascii="宋体" w:hAnsi="宋体" w:eastAsia="宋体" w:cs="宋体"/>
          <w:color w:val="auto"/>
          <w:sz w:val="24"/>
          <w:szCs w:val="24"/>
          <w:highlight w:val="none"/>
        </w:rPr>
        <w:t>表”中的“</w:t>
      </w:r>
      <w:r>
        <w:rPr>
          <w:rFonts w:hint="eastAsia" w:ascii="宋体" w:hAnsi="宋体" w:eastAsia="宋体" w:cs="宋体"/>
          <w:color w:val="auto"/>
          <w:spacing w:val="-6"/>
          <w:sz w:val="24"/>
          <w:szCs w:val="24"/>
          <w:highlight w:val="none"/>
          <w:lang w:eastAsia="zh-CN"/>
        </w:rPr>
        <w:t>投标</w:t>
      </w:r>
      <w:r>
        <w:rPr>
          <w:rFonts w:hint="eastAsia" w:ascii="宋体" w:hAnsi="宋体" w:eastAsia="宋体" w:cs="宋体"/>
          <w:color w:val="auto"/>
          <w:spacing w:val="-6"/>
          <w:sz w:val="24"/>
          <w:szCs w:val="24"/>
          <w:highlight w:val="none"/>
        </w:rPr>
        <w:t>报价</w:t>
      </w:r>
      <w:r>
        <w:rPr>
          <w:rFonts w:hint="eastAsia" w:ascii="宋体" w:hAnsi="宋体" w:eastAsia="宋体" w:cs="宋体"/>
          <w:color w:val="auto"/>
          <w:sz w:val="24"/>
          <w:szCs w:val="24"/>
          <w:highlight w:val="none"/>
        </w:rPr>
        <w:t>”一致。各子项分别报价。</w:t>
      </w:r>
    </w:p>
    <w:p w14:paraId="158797D7">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0A6F5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6CBE5383">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20A36C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14:paraId="53219714">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第三部分  资格证明文件</w:t>
      </w:r>
    </w:p>
    <w:p w14:paraId="5391543D">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4D1AEDEC">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62DA74CC">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1061EE7">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56265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521EE141">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F921395">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2EB6B6D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53B46E1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07551AA9">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184929A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74E40E2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35D9332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38E01CDB">
      <w:pPr>
        <w:rPr>
          <w:rFonts w:hint="eastAsia" w:ascii="宋体" w:hAnsi="宋体" w:cs="宋体"/>
          <w:color w:val="000000"/>
          <w:sz w:val="24"/>
          <w:highlight w:val="none"/>
          <w:lang w:val="en-US" w:eastAsia="zh-CN"/>
        </w:rPr>
      </w:pPr>
    </w:p>
    <w:p w14:paraId="74DA2517">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13624D7">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047"/>
        <w:gridCol w:w="2044"/>
        <w:gridCol w:w="173"/>
        <w:gridCol w:w="2044"/>
        <w:gridCol w:w="2171"/>
      </w:tblGrid>
      <w:tr w14:paraId="3F7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36D90ED7">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F5D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4E1888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47A690D">
            <w:pPr>
              <w:tabs>
                <w:tab w:val="left" w:pos="210"/>
              </w:tabs>
              <w:spacing w:line="320" w:lineRule="exact"/>
              <w:jc w:val="center"/>
              <w:rPr>
                <w:rFonts w:hint="eastAsia" w:ascii="宋体" w:hAnsi="宋体" w:eastAsia="宋体" w:cs="宋体"/>
                <w:color w:val="auto"/>
                <w:kern w:val="0"/>
                <w:sz w:val="24"/>
                <w:highlight w:val="none"/>
              </w:rPr>
            </w:pPr>
          </w:p>
          <w:p w14:paraId="257C4B2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D4C55B4">
            <w:pPr>
              <w:tabs>
                <w:tab w:val="left" w:pos="210"/>
              </w:tabs>
              <w:spacing w:line="320" w:lineRule="exact"/>
              <w:jc w:val="center"/>
              <w:rPr>
                <w:rFonts w:hint="eastAsia" w:ascii="宋体" w:hAnsi="宋体" w:eastAsia="宋体" w:cs="宋体"/>
                <w:color w:val="auto"/>
                <w:kern w:val="0"/>
                <w:sz w:val="24"/>
                <w:highlight w:val="none"/>
              </w:rPr>
            </w:pPr>
          </w:p>
          <w:p w14:paraId="01EB0A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634ECC2A">
            <w:pPr>
              <w:tabs>
                <w:tab w:val="left" w:pos="210"/>
              </w:tabs>
              <w:spacing w:line="320" w:lineRule="exact"/>
              <w:jc w:val="center"/>
              <w:rPr>
                <w:rFonts w:hint="eastAsia" w:ascii="宋体" w:hAnsi="宋体" w:eastAsia="宋体" w:cs="宋体"/>
                <w:color w:val="auto"/>
                <w:kern w:val="0"/>
                <w:sz w:val="24"/>
                <w:highlight w:val="none"/>
              </w:rPr>
            </w:pPr>
          </w:p>
          <w:p w14:paraId="1B63DF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70CFD4F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7C9CA515">
            <w:pPr>
              <w:tabs>
                <w:tab w:val="left" w:pos="210"/>
              </w:tabs>
              <w:spacing w:line="320" w:lineRule="exact"/>
              <w:jc w:val="center"/>
              <w:rPr>
                <w:rFonts w:hint="eastAsia" w:ascii="宋体" w:hAnsi="宋体" w:eastAsia="宋体" w:cs="宋体"/>
                <w:color w:val="auto"/>
                <w:kern w:val="0"/>
                <w:sz w:val="24"/>
                <w:highlight w:val="none"/>
              </w:rPr>
            </w:pPr>
          </w:p>
        </w:tc>
      </w:tr>
      <w:tr w14:paraId="6B7C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07AFE71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CCA117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2B9DEB88">
            <w:pPr>
              <w:tabs>
                <w:tab w:val="left" w:pos="210"/>
              </w:tabs>
              <w:spacing w:line="320" w:lineRule="exact"/>
              <w:jc w:val="center"/>
              <w:rPr>
                <w:rFonts w:hint="eastAsia" w:ascii="宋体" w:hAnsi="宋体" w:eastAsia="宋体" w:cs="宋体"/>
                <w:color w:val="auto"/>
                <w:kern w:val="0"/>
                <w:sz w:val="24"/>
                <w:highlight w:val="none"/>
              </w:rPr>
            </w:pPr>
          </w:p>
        </w:tc>
      </w:tr>
      <w:tr w14:paraId="3971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4FD41465">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81AD10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67A3B87A">
            <w:pPr>
              <w:tabs>
                <w:tab w:val="left" w:pos="210"/>
              </w:tabs>
              <w:spacing w:line="320" w:lineRule="exact"/>
              <w:jc w:val="center"/>
              <w:rPr>
                <w:rFonts w:hint="eastAsia" w:ascii="宋体" w:hAnsi="宋体" w:eastAsia="宋体" w:cs="宋体"/>
                <w:color w:val="auto"/>
                <w:kern w:val="0"/>
                <w:sz w:val="24"/>
                <w:highlight w:val="none"/>
              </w:rPr>
            </w:pPr>
          </w:p>
        </w:tc>
      </w:tr>
      <w:tr w14:paraId="73D5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7F3B4CB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592783B">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ABCD8E4">
            <w:pPr>
              <w:tabs>
                <w:tab w:val="left" w:pos="210"/>
              </w:tabs>
              <w:spacing w:line="320" w:lineRule="exact"/>
              <w:jc w:val="center"/>
              <w:rPr>
                <w:rFonts w:hint="eastAsia" w:ascii="宋体" w:hAnsi="宋体" w:eastAsia="宋体" w:cs="宋体"/>
                <w:color w:val="auto"/>
                <w:kern w:val="0"/>
                <w:sz w:val="24"/>
                <w:highlight w:val="none"/>
              </w:rPr>
            </w:pPr>
          </w:p>
        </w:tc>
      </w:tr>
      <w:tr w14:paraId="3D4A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764A75AD">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78BD331E">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127DF643">
            <w:pPr>
              <w:tabs>
                <w:tab w:val="left" w:pos="210"/>
              </w:tabs>
              <w:spacing w:line="320" w:lineRule="exact"/>
              <w:rPr>
                <w:rFonts w:hint="eastAsia" w:ascii="宋体" w:hAnsi="宋体" w:eastAsia="宋体" w:cs="宋体"/>
                <w:color w:val="auto"/>
                <w:kern w:val="0"/>
                <w:sz w:val="24"/>
                <w:highlight w:val="none"/>
              </w:rPr>
            </w:pPr>
          </w:p>
        </w:tc>
      </w:tr>
      <w:tr w14:paraId="2C1A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1D252F61">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DF429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4EBBD6E7">
            <w:pPr>
              <w:tabs>
                <w:tab w:val="left" w:pos="210"/>
              </w:tabs>
              <w:spacing w:line="320" w:lineRule="exact"/>
              <w:jc w:val="center"/>
              <w:rPr>
                <w:rFonts w:hint="eastAsia" w:ascii="宋体" w:hAnsi="宋体" w:eastAsia="宋体" w:cs="宋体"/>
                <w:color w:val="auto"/>
                <w:kern w:val="0"/>
                <w:sz w:val="24"/>
                <w:highlight w:val="none"/>
              </w:rPr>
            </w:pPr>
          </w:p>
        </w:tc>
      </w:tr>
      <w:tr w14:paraId="25D4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00E7AFE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7055B8E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2EC15F6B">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22D04C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5709844B">
            <w:pPr>
              <w:tabs>
                <w:tab w:val="left" w:pos="210"/>
              </w:tabs>
              <w:spacing w:line="320" w:lineRule="exact"/>
              <w:jc w:val="center"/>
              <w:rPr>
                <w:rFonts w:hint="eastAsia" w:ascii="宋体" w:hAnsi="宋体" w:eastAsia="宋体" w:cs="宋体"/>
                <w:color w:val="auto"/>
                <w:kern w:val="0"/>
                <w:sz w:val="24"/>
                <w:highlight w:val="none"/>
              </w:rPr>
            </w:pPr>
          </w:p>
        </w:tc>
      </w:tr>
      <w:tr w14:paraId="5187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55E2463">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69A6CF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CC3DD79">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214D33B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106C2D3E">
            <w:pPr>
              <w:tabs>
                <w:tab w:val="left" w:pos="210"/>
              </w:tabs>
              <w:spacing w:line="320" w:lineRule="exact"/>
              <w:jc w:val="center"/>
              <w:rPr>
                <w:rFonts w:hint="eastAsia" w:ascii="宋体" w:hAnsi="宋体" w:eastAsia="宋体" w:cs="宋体"/>
                <w:color w:val="auto"/>
                <w:kern w:val="0"/>
                <w:sz w:val="24"/>
                <w:highlight w:val="none"/>
              </w:rPr>
            </w:pPr>
          </w:p>
        </w:tc>
      </w:tr>
      <w:tr w14:paraId="686E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2E50454">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623EA2F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7926B873">
            <w:pPr>
              <w:tabs>
                <w:tab w:val="left" w:pos="210"/>
              </w:tabs>
              <w:spacing w:line="320" w:lineRule="exact"/>
              <w:jc w:val="center"/>
              <w:rPr>
                <w:rFonts w:hint="eastAsia" w:ascii="宋体" w:hAnsi="宋体" w:eastAsia="宋体" w:cs="宋体"/>
                <w:color w:val="auto"/>
                <w:kern w:val="0"/>
                <w:sz w:val="24"/>
                <w:highlight w:val="none"/>
              </w:rPr>
            </w:pPr>
          </w:p>
        </w:tc>
      </w:tr>
      <w:tr w14:paraId="4B0C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69C4D00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7AD912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61F0D5A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6F0F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1B14FB8E">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2CAF329E">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668E59B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127DE289">
            <w:pPr>
              <w:tabs>
                <w:tab w:val="left" w:pos="210"/>
              </w:tabs>
              <w:spacing w:line="320" w:lineRule="exact"/>
              <w:jc w:val="center"/>
              <w:rPr>
                <w:rFonts w:hint="eastAsia" w:ascii="宋体" w:hAnsi="宋体" w:eastAsia="宋体" w:cs="宋体"/>
                <w:color w:val="auto"/>
                <w:kern w:val="0"/>
                <w:sz w:val="24"/>
                <w:highlight w:val="none"/>
              </w:rPr>
            </w:pPr>
          </w:p>
          <w:p w14:paraId="3DE247A5">
            <w:pPr>
              <w:tabs>
                <w:tab w:val="left" w:pos="210"/>
              </w:tabs>
              <w:spacing w:line="320" w:lineRule="exact"/>
              <w:jc w:val="center"/>
              <w:rPr>
                <w:rFonts w:hint="eastAsia" w:ascii="宋体" w:hAnsi="宋体" w:eastAsia="宋体" w:cs="宋体"/>
                <w:color w:val="auto"/>
                <w:kern w:val="0"/>
                <w:sz w:val="24"/>
                <w:highlight w:val="none"/>
              </w:rPr>
            </w:pPr>
          </w:p>
          <w:p w14:paraId="5506F16B">
            <w:pPr>
              <w:tabs>
                <w:tab w:val="left" w:pos="210"/>
              </w:tabs>
              <w:spacing w:line="320" w:lineRule="exact"/>
              <w:jc w:val="center"/>
              <w:rPr>
                <w:rFonts w:hint="eastAsia" w:ascii="宋体" w:hAnsi="宋体" w:eastAsia="宋体" w:cs="宋体"/>
                <w:color w:val="auto"/>
                <w:kern w:val="0"/>
                <w:sz w:val="24"/>
                <w:highlight w:val="none"/>
              </w:rPr>
            </w:pPr>
          </w:p>
          <w:p w14:paraId="143C36C0">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5AA56B6F">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67D5A70C">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1D172325">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642F74A1">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0AC8047B">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1586208C">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28174FC">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D79BF8A">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6FAD674">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28864E9">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22BF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41D37341">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50FF6B4F">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1B83B44A">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3F025FA8">
      <w:pPr>
        <w:pStyle w:val="16"/>
        <w:spacing w:line="500" w:lineRule="exact"/>
        <w:ind w:firstLine="720" w:firstLineChars="300"/>
        <w:jc w:val="left"/>
        <w:rPr>
          <w:rFonts w:hint="eastAsia" w:ascii="宋体" w:hAnsi="宋体" w:eastAsia="宋体" w:cs="宋体"/>
          <w:b/>
          <w:bCs/>
          <w:color w:val="auto"/>
          <w:sz w:val="24"/>
          <w:szCs w:val="24"/>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5F585A79">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3A507276">
      <w:pPr>
        <w:rPr>
          <w:rFonts w:hint="eastAsia" w:ascii="宋体" w:hAnsi="宋体" w:eastAsia="宋体" w:cs="宋体"/>
          <w:color w:val="auto"/>
          <w:highlight w:val="none"/>
        </w:rPr>
      </w:pPr>
    </w:p>
    <w:p w14:paraId="5A81BD69">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36"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7513118A">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095CFF0C">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33840120">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68BFBC35">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76B0F5A6">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1EFE6049">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157E44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0E5E4CEC">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BD80C46">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6B556648">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1F22E1F4">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4228CCC">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61D66059">
      <w:pPr>
        <w:pStyle w:val="19"/>
        <w:rPr>
          <w:rFonts w:hint="eastAsia" w:ascii="宋体" w:hAnsi="宋体" w:eastAsia="宋体" w:cs="宋体"/>
          <w:color w:val="auto"/>
          <w:highlight w:val="none"/>
        </w:rPr>
      </w:pPr>
    </w:p>
    <w:p w14:paraId="09377030">
      <w:pPr>
        <w:pStyle w:val="19"/>
        <w:rPr>
          <w:rFonts w:hint="eastAsia" w:ascii="宋体" w:hAnsi="宋体" w:eastAsia="宋体" w:cs="宋体"/>
          <w:color w:val="auto"/>
          <w:highlight w:val="none"/>
        </w:rPr>
      </w:pPr>
    </w:p>
    <w:p w14:paraId="01F15682">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投标人名称（盖章）：</w:t>
      </w:r>
      <w:r>
        <w:rPr>
          <w:rFonts w:hint="eastAsia" w:ascii="宋体" w:hAnsi="宋体" w:eastAsia="宋体" w:cs="宋体"/>
          <w:color w:val="auto"/>
          <w:sz w:val="24"/>
          <w:szCs w:val="24"/>
          <w:highlight w:val="none"/>
          <w:u w:val="single"/>
          <w:lang w:eastAsia="zh-CN"/>
        </w:rPr>
        <w:t xml:space="preserve">                              </w:t>
      </w:r>
    </w:p>
    <w:p w14:paraId="5036F4AE">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法定代表人或被授权人（签字或盖章）：</w:t>
      </w:r>
      <w:r>
        <w:rPr>
          <w:rFonts w:hint="eastAsia" w:ascii="宋体" w:hAnsi="宋体" w:eastAsia="宋体" w:cs="宋体"/>
          <w:color w:val="auto"/>
          <w:sz w:val="24"/>
          <w:szCs w:val="24"/>
          <w:highlight w:val="none"/>
          <w:u w:val="single"/>
          <w:lang w:eastAsia="zh-CN"/>
        </w:rPr>
        <w:t xml:space="preserve">             </w:t>
      </w:r>
    </w:p>
    <w:p w14:paraId="02C37F41">
      <w:pPr>
        <w:spacing w:line="480" w:lineRule="auto"/>
        <w:ind w:firstLine="3840" w:firstLineChars="16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lang w:eastAsia="zh-CN"/>
        </w:rPr>
        <w:t>日              期：</w:t>
      </w:r>
      <w:r>
        <w:rPr>
          <w:rFonts w:hint="eastAsia" w:ascii="宋体" w:hAnsi="宋体" w:eastAsia="宋体" w:cs="宋体"/>
          <w:color w:val="auto"/>
          <w:sz w:val="24"/>
          <w:szCs w:val="24"/>
          <w:highlight w:val="none"/>
          <w:u w:val="single"/>
          <w:lang w:eastAsia="zh-CN"/>
        </w:rPr>
        <w:t xml:space="preserve">                        </w:t>
      </w:r>
    </w:p>
    <w:p w14:paraId="42C04DFE">
      <w:pPr>
        <w:bidi w:val="0"/>
        <w:rPr>
          <w:rFonts w:hint="eastAsia" w:ascii="宋体" w:hAnsi="宋体" w:eastAsia="宋体" w:cs="宋体"/>
          <w:color w:val="auto"/>
          <w:highlight w:val="none"/>
          <w:lang w:eastAsia="zh-CN"/>
        </w:rPr>
      </w:pPr>
    </w:p>
    <w:p w14:paraId="679B5A06">
      <w:pPr>
        <w:ind w:left="0" w:lef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36"/>
      <w:r>
        <w:rPr>
          <w:rFonts w:hint="eastAsia" w:ascii="宋体" w:hAnsi="宋体" w:eastAsia="宋体" w:cs="宋体"/>
          <w:b/>
          <w:bCs/>
          <w:sz w:val="24"/>
          <w:szCs w:val="24"/>
          <w:highlight w:val="none"/>
          <w:lang w:val="en-US" w:eastAsia="zh-CN"/>
        </w:rPr>
        <w:br w:type="page"/>
      </w:r>
    </w:p>
    <w:p w14:paraId="5D4E12BA">
      <w:pPr>
        <w:pStyle w:val="4"/>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第四部分  供应商概况</w:t>
      </w:r>
    </w:p>
    <w:p w14:paraId="39C12B0D">
      <w:pPr>
        <w:pStyle w:val="96"/>
        <w:spacing w:before="210" w:after="210"/>
        <w:ind w:left="0" w:leftChars="0" w:firstLine="0" w:firstLineChars="0"/>
        <w:jc w:val="left"/>
        <w:outlineLvl w:val="9"/>
        <w:rPr>
          <w:rFonts w:hint="eastAsia" w:ascii="宋体" w:hAnsi="宋体" w:eastAsia="宋体" w:cs="宋体"/>
          <w:sz w:val="24"/>
          <w:szCs w:val="24"/>
        </w:rPr>
      </w:pPr>
      <w:r>
        <w:rPr>
          <w:rFonts w:hint="eastAsia" w:ascii="宋体" w:hAnsi="宋体" w:eastAsia="宋体" w:cs="宋体"/>
          <w:sz w:val="24"/>
          <w:szCs w:val="24"/>
        </w:rPr>
        <w:t>（一）供应商基本信息</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1062"/>
        <w:gridCol w:w="1528"/>
        <w:gridCol w:w="1513"/>
        <w:gridCol w:w="1570"/>
        <w:gridCol w:w="1577"/>
      </w:tblGrid>
      <w:tr w14:paraId="05AA6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225870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3F1B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AF9415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tcPr>
          <w:p w14:paraId="1DBE1DB2">
            <w:pPr>
              <w:ind w:firstLine="0"/>
              <w:jc w:val="both"/>
              <w:rPr>
                <w:rFonts w:hint="eastAsia" w:ascii="宋体" w:hAnsi="宋体" w:eastAsia="宋体" w:cs="宋体"/>
                <w:kern w:val="2"/>
                <w:sz w:val="24"/>
                <w:szCs w:val="24"/>
              </w:rPr>
            </w:pPr>
          </w:p>
        </w:tc>
      </w:tr>
      <w:tr w14:paraId="5D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B74357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tcPr>
          <w:p w14:paraId="6EA4613A">
            <w:pPr>
              <w:ind w:firstLine="0"/>
              <w:jc w:val="both"/>
              <w:rPr>
                <w:rFonts w:hint="eastAsia" w:ascii="宋体" w:hAnsi="宋体" w:eastAsia="宋体" w:cs="宋体"/>
                <w:kern w:val="2"/>
                <w:sz w:val="24"/>
                <w:szCs w:val="24"/>
              </w:rPr>
            </w:pPr>
          </w:p>
        </w:tc>
        <w:tc>
          <w:tcPr>
            <w:tcW w:w="795" w:type="pct"/>
          </w:tcPr>
          <w:p w14:paraId="5FC52EC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tcPr>
          <w:p w14:paraId="6B034648">
            <w:pPr>
              <w:ind w:firstLine="0"/>
              <w:jc w:val="both"/>
              <w:rPr>
                <w:rFonts w:hint="eastAsia" w:ascii="宋体" w:hAnsi="宋体" w:eastAsia="宋体" w:cs="宋体"/>
                <w:kern w:val="2"/>
                <w:sz w:val="24"/>
                <w:szCs w:val="24"/>
              </w:rPr>
            </w:pPr>
          </w:p>
        </w:tc>
      </w:tr>
      <w:tr w14:paraId="7AFC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3D8E2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tcPr>
          <w:p w14:paraId="405E9EBB">
            <w:pPr>
              <w:ind w:firstLine="0"/>
              <w:jc w:val="both"/>
              <w:rPr>
                <w:rFonts w:hint="eastAsia" w:ascii="宋体" w:hAnsi="宋体" w:eastAsia="宋体" w:cs="宋体"/>
                <w:kern w:val="2"/>
                <w:sz w:val="24"/>
                <w:szCs w:val="24"/>
              </w:rPr>
            </w:pPr>
          </w:p>
        </w:tc>
        <w:tc>
          <w:tcPr>
            <w:tcW w:w="795" w:type="pct"/>
          </w:tcPr>
          <w:p w14:paraId="56F3378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tcPr>
          <w:p w14:paraId="71C9D1DB">
            <w:pPr>
              <w:ind w:firstLine="0"/>
              <w:jc w:val="both"/>
              <w:rPr>
                <w:rFonts w:hint="eastAsia" w:ascii="宋体" w:hAnsi="宋体" w:eastAsia="宋体" w:cs="宋体"/>
                <w:kern w:val="2"/>
                <w:sz w:val="24"/>
                <w:szCs w:val="24"/>
              </w:rPr>
            </w:pPr>
          </w:p>
        </w:tc>
      </w:tr>
      <w:tr w14:paraId="5992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BC510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法定代表人（主要负责人）</w:t>
            </w:r>
          </w:p>
        </w:tc>
        <w:tc>
          <w:tcPr>
            <w:tcW w:w="1361" w:type="pct"/>
            <w:gridSpan w:val="2"/>
          </w:tcPr>
          <w:p w14:paraId="5637FA28">
            <w:pPr>
              <w:ind w:firstLine="0"/>
              <w:jc w:val="both"/>
              <w:rPr>
                <w:rFonts w:hint="eastAsia" w:ascii="宋体" w:hAnsi="宋体" w:eastAsia="宋体" w:cs="宋体"/>
                <w:kern w:val="2"/>
                <w:sz w:val="24"/>
                <w:szCs w:val="24"/>
              </w:rPr>
            </w:pPr>
          </w:p>
        </w:tc>
        <w:tc>
          <w:tcPr>
            <w:tcW w:w="795" w:type="pct"/>
          </w:tcPr>
          <w:p w14:paraId="784B447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tcPr>
          <w:p w14:paraId="0B1F33F6">
            <w:pPr>
              <w:ind w:firstLine="0"/>
              <w:jc w:val="both"/>
              <w:rPr>
                <w:rFonts w:hint="eastAsia" w:ascii="宋体" w:hAnsi="宋体" w:eastAsia="宋体" w:cs="宋体"/>
                <w:kern w:val="2"/>
                <w:sz w:val="24"/>
                <w:szCs w:val="24"/>
              </w:rPr>
            </w:pPr>
          </w:p>
        </w:tc>
      </w:tr>
      <w:tr w14:paraId="0177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5AFE2C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tcPr>
          <w:p w14:paraId="70FF44E7">
            <w:pPr>
              <w:ind w:firstLine="0"/>
              <w:jc w:val="both"/>
              <w:rPr>
                <w:rFonts w:hint="eastAsia" w:ascii="宋体" w:hAnsi="宋体" w:eastAsia="宋体" w:cs="宋体"/>
                <w:kern w:val="2"/>
                <w:sz w:val="24"/>
                <w:szCs w:val="24"/>
              </w:rPr>
            </w:pPr>
          </w:p>
        </w:tc>
        <w:tc>
          <w:tcPr>
            <w:tcW w:w="795" w:type="pct"/>
          </w:tcPr>
          <w:p w14:paraId="48E79F1D">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05E115F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tcPr>
          <w:p w14:paraId="0297DFB5">
            <w:pPr>
              <w:ind w:firstLine="0"/>
              <w:jc w:val="both"/>
              <w:rPr>
                <w:rFonts w:hint="eastAsia" w:ascii="宋体" w:hAnsi="宋体" w:eastAsia="宋体" w:cs="宋体"/>
                <w:kern w:val="2"/>
                <w:sz w:val="24"/>
                <w:szCs w:val="24"/>
              </w:rPr>
            </w:pPr>
          </w:p>
        </w:tc>
      </w:tr>
      <w:tr w14:paraId="6CE9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2677BF9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tcPr>
          <w:p w14:paraId="567A73B8">
            <w:pPr>
              <w:ind w:firstLine="0"/>
              <w:jc w:val="both"/>
              <w:rPr>
                <w:rFonts w:hint="eastAsia" w:ascii="宋体" w:hAnsi="宋体" w:eastAsia="宋体" w:cs="宋体"/>
                <w:kern w:val="2"/>
                <w:sz w:val="24"/>
                <w:szCs w:val="24"/>
              </w:rPr>
            </w:pPr>
          </w:p>
        </w:tc>
        <w:tc>
          <w:tcPr>
            <w:tcW w:w="795" w:type="pct"/>
          </w:tcPr>
          <w:p w14:paraId="245920E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tcPr>
          <w:p w14:paraId="0378CBBD">
            <w:pPr>
              <w:ind w:firstLine="0"/>
              <w:jc w:val="both"/>
              <w:rPr>
                <w:rFonts w:hint="eastAsia" w:ascii="宋体" w:hAnsi="宋体" w:eastAsia="宋体" w:cs="宋体"/>
                <w:kern w:val="2"/>
                <w:sz w:val="24"/>
                <w:szCs w:val="24"/>
              </w:rPr>
            </w:pPr>
          </w:p>
        </w:tc>
      </w:tr>
      <w:tr w14:paraId="362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CF020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tcPr>
          <w:p w14:paraId="37A34A52">
            <w:pPr>
              <w:ind w:firstLine="0"/>
              <w:jc w:val="both"/>
              <w:rPr>
                <w:rFonts w:hint="eastAsia" w:ascii="宋体" w:hAnsi="宋体" w:eastAsia="宋体" w:cs="宋体"/>
                <w:kern w:val="2"/>
                <w:sz w:val="24"/>
                <w:szCs w:val="24"/>
              </w:rPr>
            </w:pPr>
          </w:p>
        </w:tc>
      </w:tr>
      <w:tr w14:paraId="465C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8688BC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tcPr>
          <w:p w14:paraId="58D38F0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tcPr>
          <w:p w14:paraId="395418D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tcPr>
          <w:p w14:paraId="64D86C1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715E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45279A4">
            <w:pPr>
              <w:ind w:firstLine="0"/>
              <w:jc w:val="both"/>
              <w:rPr>
                <w:rFonts w:hint="eastAsia" w:ascii="宋体" w:hAnsi="宋体" w:eastAsia="宋体" w:cs="宋体"/>
                <w:kern w:val="2"/>
                <w:sz w:val="24"/>
                <w:szCs w:val="24"/>
              </w:rPr>
            </w:pPr>
          </w:p>
        </w:tc>
        <w:tc>
          <w:tcPr>
            <w:tcW w:w="1361" w:type="pct"/>
            <w:gridSpan w:val="2"/>
          </w:tcPr>
          <w:p w14:paraId="35C4F0C2">
            <w:pPr>
              <w:ind w:firstLine="0"/>
              <w:jc w:val="both"/>
              <w:rPr>
                <w:rFonts w:hint="eastAsia" w:ascii="宋体" w:hAnsi="宋体" w:eastAsia="宋体" w:cs="宋体"/>
                <w:kern w:val="2"/>
                <w:sz w:val="24"/>
                <w:szCs w:val="24"/>
              </w:rPr>
            </w:pPr>
          </w:p>
        </w:tc>
        <w:tc>
          <w:tcPr>
            <w:tcW w:w="795" w:type="pct"/>
          </w:tcPr>
          <w:p w14:paraId="7B287CE7">
            <w:pPr>
              <w:ind w:firstLine="0"/>
              <w:jc w:val="both"/>
              <w:rPr>
                <w:rFonts w:hint="eastAsia" w:ascii="宋体" w:hAnsi="宋体" w:eastAsia="宋体" w:cs="宋体"/>
                <w:kern w:val="2"/>
                <w:sz w:val="24"/>
                <w:szCs w:val="24"/>
              </w:rPr>
            </w:pPr>
          </w:p>
        </w:tc>
        <w:tc>
          <w:tcPr>
            <w:tcW w:w="1651" w:type="pct"/>
            <w:gridSpan w:val="2"/>
          </w:tcPr>
          <w:p w14:paraId="2DB2301C">
            <w:pPr>
              <w:ind w:firstLine="0"/>
              <w:jc w:val="both"/>
              <w:rPr>
                <w:rFonts w:hint="eastAsia" w:ascii="宋体" w:hAnsi="宋体" w:eastAsia="宋体" w:cs="宋体"/>
                <w:kern w:val="2"/>
                <w:sz w:val="24"/>
                <w:szCs w:val="24"/>
              </w:rPr>
            </w:pPr>
          </w:p>
        </w:tc>
      </w:tr>
      <w:tr w14:paraId="43524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4848B20A">
            <w:pPr>
              <w:ind w:firstLine="0"/>
              <w:jc w:val="both"/>
              <w:rPr>
                <w:rFonts w:hint="eastAsia" w:ascii="宋体" w:hAnsi="宋体" w:eastAsia="宋体" w:cs="宋体"/>
                <w:kern w:val="2"/>
                <w:sz w:val="24"/>
                <w:szCs w:val="24"/>
              </w:rPr>
            </w:pPr>
          </w:p>
        </w:tc>
        <w:tc>
          <w:tcPr>
            <w:tcW w:w="1361" w:type="pct"/>
            <w:gridSpan w:val="2"/>
          </w:tcPr>
          <w:p w14:paraId="7BC3B487">
            <w:pPr>
              <w:ind w:firstLine="0"/>
              <w:jc w:val="both"/>
              <w:rPr>
                <w:rFonts w:hint="eastAsia" w:ascii="宋体" w:hAnsi="宋体" w:eastAsia="宋体" w:cs="宋体"/>
                <w:kern w:val="2"/>
                <w:sz w:val="24"/>
                <w:szCs w:val="24"/>
              </w:rPr>
            </w:pPr>
          </w:p>
        </w:tc>
        <w:tc>
          <w:tcPr>
            <w:tcW w:w="795" w:type="pct"/>
          </w:tcPr>
          <w:p w14:paraId="51A25767">
            <w:pPr>
              <w:ind w:firstLine="0"/>
              <w:jc w:val="both"/>
              <w:rPr>
                <w:rFonts w:hint="eastAsia" w:ascii="宋体" w:hAnsi="宋体" w:eastAsia="宋体" w:cs="宋体"/>
                <w:kern w:val="2"/>
                <w:sz w:val="24"/>
                <w:szCs w:val="24"/>
              </w:rPr>
            </w:pPr>
          </w:p>
        </w:tc>
        <w:tc>
          <w:tcPr>
            <w:tcW w:w="1651" w:type="pct"/>
            <w:gridSpan w:val="2"/>
          </w:tcPr>
          <w:p w14:paraId="75FFED21">
            <w:pPr>
              <w:ind w:firstLine="0"/>
              <w:jc w:val="both"/>
              <w:rPr>
                <w:rFonts w:hint="eastAsia" w:ascii="宋体" w:hAnsi="宋体" w:eastAsia="宋体" w:cs="宋体"/>
                <w:kern w:val="2"/>
                <w:sz w:val="24"/>
                <w:szCs w:val="24"/>
              </w:rPr>
            </w:pPr>
          </w:p>
        </w:tc>
      </w:tr>
      <w:tr w14:paraId="08EF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6154FAD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286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tcPr>
          <w:p w14:paraId="4766E7A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tcPr>
          <w:p w14:paraId="64D70B52">
            <w:pPr>
              <w:ind w:firstLine="0"/>
              <w:jc w:val="both"/>
              <w:rPr>
                <w:rFonts w:hint="eastAsia" w:ascii="宋体" w:hAnsi="宋体" w:eastAsia="宋体" w:cs="宋体"/>
                <w:kern w:val="2"/>
                <w:sz w:val="24"/>
                <w:szCs w:val="24"/>
              </w:rPr>
            </w:pPr>
          </w:p>
        </w:tc>
        <w:tc>
          <w:tcPr>
            <w:tcW w:w="803" w:type="pct"/>
          </w:tcPr>
          <w:p w14:paraId="346B430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tcPr>
          <w:p w14:paraId="3A9B0CAF">
            <w:pPr>
              <w:ind w:firstLine="0"/>
              <w:jc w:val="both"/>
              <w:rPr>
                <w:rFonts w:hint="eastAsia" w:ascii="宋体" w:hAnsi="宋体" w:eastAsia="宋体" w:cs="宋体"/>
                <w:kern w:val="2"/>
                <w:sz w:val="24"/>
                <w:szCs w:val="24"/>
              </w:rPr>
            </w:pPr>
          </w:p>
        </w:tc>
        <w:tc>
          <w:tcPr>
            <w:tcW w:w="825" w:type="pct"/>
          </w:tcPr>
          <w:p w14:paraId="7EEBDF6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tcPr>
          <w:p w14:paraId="26672731">
            <w:pPr>
              <w:ind w:firstLine="0"/>
              <w:jc w:val="both"/>
              <w:rPr>
                <w:rFonts w:hint="eastAsia" w:ascii="宋体" w:hAnsi="宋体" w:eastAsia="宋体" w:cs="宋体"/>
                <w:kern w:val="2"/>
                <w:sz w:val="24"/>
                <w:szCs w:val="24"/>
              </w:rPr>
            </w:pPr>
          </w:p>
        </w:tc>
      </w:tr>
      <w:tr w14:paraId="0979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tcPr>
          <w:p w14:paraId="4B6030B8">
            <w:pPr>
              <w:ind w:firstLine="0"/>
              <w:jc w:val="both"/>
              <w:rPr>
                <w:rFonts w:hint="eastAsia" w:ascii="宋体" w:hAnsi="宋体" w:eastAsia="宋体" w:cs="宋体"/>
                <w:kern w:val="2"/>
                <w:sz w:val="24"/>
                <w:szCs w:val="24"/>
              </w:rPr>
            </w:pPr>
          </w:p>
        </w:tc>
        <w:tc>
          <w:tcPr>
            <w:tcW w:w="558" w:type="pct"/>
            <w:vMerge w:val="continue"/>
          </w:tcPr>
          <w:p w14:paraId="47129564">
            <w:pPr>
              <w:ind w:firstLine="0"/>
              <w:jc w:val="both"/>
              <w:rPr>
                <w:rFonts w:hint="eastAsia" w:ascii="宋体" w:hAnsi="宋体" w:eastAsia="宋体" w:cs="宋体"/>
                <w:kern w:val="2"/>
                <w:sz w:val="24"/>
                <w:szCs w:val="24"/>
              </w:rPr>
            </w:pPr>
          </w:p>
        </w:tc>
        <w:tc>
          <w:tcPr>
            <w:tcW w:w="803" w:type="pct"/>
          </w:tcPr>
          <w:p w14:paraId="4DF64B1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tcPr>
          <w:p w14:paraId="26E6E65E">
            <w:pPr>
              <w:ind w:firstLine="0"/>
              <w:jc w:val="both"/>
              <w:rPr>
                <w:rFonts w:hint="eastAsia" w:ascii="宋体" w:hAnsi="宋体" w:eastAsia="宋体" w:cs="宋体"/>
                <w:kern w:val="2"/>
                <w:sz w:val="24"/>
                <w:szCs w:val="24"/>
              </w:rPr>
            </w:pPr>
          </w:p>
        </w:tc>
        <w:tc>
          <w:tcPr>
            <w:tcW w:w="825" w:type="pct"/>
          </w:tcPr>
          <w:p w14:paraId="397A5B0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tcPr>
          <w:p w14:paraId="231F66B1">
            <w:pPr>
              <w:ind w:firstLine="0"/>
              <w:jc w:val="both"/>
              <w:rPr>
                <w:rFonts w:hint="eastAsia" w:ascii="宋体" w:hAnsi="宋体" w:eastAsia="宋体" w:cs="宋体"/>
                <w:kern w:val="2"/>
                <w:sz w:val="24"/>
                <w:szCs w:val="24"/>
              </w:rPr>
            </w:pPr>
          </w:p>
        </w:tc>
      </w:tr>
      <w:tr w14:paraId="627B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Pr>
          <w:p w14:paraId="16C6094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4EC2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CF1327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tcPr>
          <w:p w14:paraId="676D43E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17FF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77A7568F">
            <w:pPr>
              <w:ind w:firstLine="0"/>
              <w:jc w:val="both"/>
              <w:rPr>
                <w:rFonts w:hint="eastAsia" w:ascii="宋体" w:hAnsi="宋体" w:eastAsia="宋体" w:cs="宋体"/>
                <w:kern w:val="2"/>
                <w:sz w:val="24"/>
                <w:szCs w:val="24"/>
              </w:rPr>
            </w:pPr>
          </w:p>
        </w:tc>
        <w:tc>
          <w:tcPr>
            <w:tcW w:w="3809" w:type="pct"/>
            <w:gridSpan w:val="5"/>
          </w:tcPr>
          <w:p w14:paraId="2CF61228">
            <w:pPr>
              <w:ind w:firstLine="0"/>
              <w:jc w:val="both"/>
              <w:rPr>
                <w:rFonts w:hint="eastAsia" w:ascii="宋体" w:hAnsi="宋体" w:eastAsia="宋体" w:cs="宋体"/>
                <w:kern w:val="2"/>
                <w:sz w:val="24"/>
                <w:szCs w:val="24"/>
              </w:rPr>
            </w:pPr>
          </w:p>
        </w:tc>
      </w:tr>
      <w:tr w14:paraId="4797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1CB4237C">
            <w:pPr>
              <w:ind w:firstLine="0"/>
              <w:jc w:val="both"/>
              <w:rPr>
                <w:rFonts w:hint="eastAsia" w:ascii="宋体" w:hAnsi="宋体" w:eastAsia="宋体" w:cs="宋体"/>
                <w:kern w:val="2"/>
                <w:sz w:val="24"/>
                <w:szCs w:val="24"/>
              </w:rPr>
            </w:pPr>
          </w:p>
        </w:tc>
        <w:tc>
          <w:tcPr>
            <w:tcW w:w="3809" w:type="pct"/>
            <w:gridSpan w:val="5"/>
          </w:tcPr>
          <w:p w14:paraId="470D3509">
            <w:pPr>
              <w:ind w:firstLine="0"/>
              <w:jc w:val="both"/>
              <w:rPr>
                <w:rFonts w:hint="eastAsia" w:ascii="宋体" w:hAnsi="宋体" w:eastAsia="宋体" w:cs="宋体"/>
                <w:kern w:val="2"/>
                <w:sz w:val="24"/>
                <w:szCs w:val="24"/>
              </w:rPr>
            </w:pPr>
          </w:p>
        </w:tc>
      </w:tr>
      <w:tr w14:paraId="6E0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tcPr>
          <w:p w14:paraId="30BFD9E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tcPr>
          <w:p w14:paraId="45629F5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3300EBB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461984C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B71C2E6">
      <w:pPr>
        <w:rPr>
          <w:rFonts w:hint="eastAsia" w:ascii="宋体" w:hAnsi="宋体" w:eastAsia="宋体" w:cs="宋体"/>
          <w:sz w:val="24"/>
          <w:szCs w:val="24"/>
        </w:rPr>
      </w:pPr>
      <w:r>
        <w:rPr>
          <w:rFonts w:hint="eastAsia" w:ascii="宋体" w:hAnsi="宋体" w:eastAsia="宋体" w:cs="宋体"/>
          <w:sz w:val="24"/>
          <w:szCs w:val="24"/>
        </w:rPr>
        <w:br w:type="page"/>
      </w:r>
    </w:p>
    <w:p w14:paraId="44013F4F">
      <w:pPr>
        <w:pStyle w:val="24"/>
        <w:spacing w:before="0" w:beforeAutospacing="0" w:after="0" w:afterAutospacing="0" w:line="360" w:lineRule="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（二）中小企业声明函、监狱企业证明文件、残疾人福利性单位声明函</w:t>
      </w:r>
    </w:p>
    <w:p w14:paraId="57E8FC6F">
      <w:pPr>
        <w:pStyle w:val="16"/>
        <w:spacing w:line="360" w:lineRule="auto"/>
        <w:jc w:val="center"/>
        <w:rPr>
          <w:rFonts w:hint="eastAsia" w:ascii="宋体" w:hAnsi="宋体" w:eastAsia="宋体" w:cs="宋体"/>
          <w:b w:val="0"/>
          <w:kern w:val="2"/>
          <w:sz w:val="24"/>
          <w:szCs w:val="24"/>
          <w:highlight w:val="none"/>
          <w:lang w:val="en-US" w:eastAsia="zh-CN" w:bidi="ar-SA"/>
        </w:rPr>
      </w:pPr>
      <w:bookmarkStart w:id="37" w:name="_Toc18592"/>
      <w:bookmarkStart w:id="38" w:name="_Toc5155"/>
      <w:bookmarkStart w:id="39" w:name="_Toc499739990"/>
      <w:bookmarkStart w:id="40" w:name="_Toc10913"/>
      <w:bookmarkStart w:id="41" w:name="_Toc1541"/>
      <w:bookmarkStart w:id="42" w:name="_Toc24443"/>
      <w:bookmarkStart w:id="43" w:name="_Toc255"/>
      <w:bookmarkStart w:id="44" w:name="_Toc21356"/>
      <w:bookmarkStart w:id="45" w:name="_Toc607"/>
      <w:r>
        <w:rPr>
          <w:rFonts w:hint="eastAsia" w:ascii="宋体" w:hAnsi="宋体" w:eastAsia="宋体" w:cs="宋体"/>
          <w:b/>
          <w:bCs/>
          <w:sz w:val="24"/>
          <w:szCs w:val="24"/>
          <w:highlight w:val="none"/>
          <w:lang w:val="en-US" w:eastAsia="zh-CN"/>
        </w:rPr>
        <w:t>中小企业声明函（格式）</w:t>
      </w:r>
    </w:p>
    <w:p w14:paraId="5F5BCE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lang w:val="en-US" w:eastAsia="zh-CN"/>
        </w:rPr>
        <w:t>（单位名称）的（项目名称）</w:t>
      </w:r>
      <w:r>
        <w:rPr>
          <w:rFonts w:hint="eastAsia" w:ascii="宋体" w:hAnsi="宋体" w:eastAsia="宋体" w:cs="宋体"/>
          <w:sz w:val="24"/>
          <w:szCs w:val="24"/>
          <w:highlight w:val="none"/>
          <w:lang w:val="en-US" w:eastAsia="zh-CN"/>
        </w:rPr>
        <w:t>采购活动，</w:t>
      </w:r>
      <w:r>
        <w:rPr>
          <w:rFonts w:hint="eastAsia" w:ascii="宋体" w:hAnsi="宋体" w:eastAsia="宋体" w:cs="宋体"/>
          <w:sz w:val="24"/>
          <w:szCs w:val="24"/>
          <w:highlight w:val="none"/>
        </w:rPr>
        <w:t>提供的货物全部由符合政策要求的中小企业制造。相关企业（含联合体中的中小企业、签订分包意向协议的中小企业）的具体情况如下：</w:t>
      </w:r>
    </w:p>
    <w:p w14:paraId="25B0CCC0">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万元¹，属于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 xml:space="preserve">； </w:t>
      </w:r>
    </w:p>
    <w:p w14:paraId="67C313F7">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u w:val="single"/>
          <w:lang w:val="en-US" w:eastAsia="zh-CN"/>
        </w:rPr>
        <w:t xml:space="preserve"> （标的名称） </w:t>
      </w:r>
      <w:r>
        <w:rPr>
          <w:rFonts w:hint="eastAsia" w:ascii="宋体" w:hAnsi="宋体" w:eastAsia="宋体" w:cs="宋体"/>
          <w:sz w:val="24"/>
          <w:szCs w:val="24"/>
          <w:highlight w:val="none"/>
          <w:lang w:val="en-US" w:eastAsia="zh-CN"/>
        </w:rPr>
        <w:t>，属于（</w:t>
      </w:r>
      <w:r>
        <w:rPr>
          <w:rFonts w:hint="eastAsia" w:ascii="宋体" w:hAnsi="宋体" w:eastAsia="宋体" w:cs="宋体"/>
          <w:sz w:val="24"/>
          <w:szCs w:val="24"/>
          <w:highlight w:val="none"/>
          <w:u w:val="single"/>
          <w:lang w:val="en-US" w:eastAsia="zh-CN"/>
        </w:rPr>
        <w:t>工业）行业</w:t>
      </w:r>
      <w:r>
        <w:rPr>
          <w:rFonts w:hint="eastAsia" w:ascii="宋体" w:hAnsi="宋体" w:eastAsia="宋体" w:cs="宋体"/>
          <w:sz w:val="24"/>
          <w:szCs w:val="24"/>
          <w:highlight w:val="none"/>
          <w:lang w:val="en-US" w:eastAsia="zh-CN"/>
        </w:rPr>
        <w:t>；制造商为</w:t>
      </w:r>
      <w:r>
        <w:rPr>
          <w:rFonts w:hint="eastAsia" w:ascii="宋体" w:hAnsi="宋体" w:eastAsia="宋体" w:cs="宋体"/>
          <w:sz w:val="24"/>
          <w:szCs w:val="24"/>
          <w:highlight w:val="none"/>
          <w:u w:val="single"/>
          <w:lang w:val="en-US" w:eastAsia="zh-CN"/>
        </w:rPr>
        <w:t>（企业名称）</w:t>
      </w:r>
      <w:r>
        <w:rPr>
          <w:rFonts w:hint="eastAsia" w:ascii="宋体" w:hAnsi="宋体" w:eastAsia="宋体" w:cs="宋体"/>
          <w:sz w:val="24"/>
          <w:szCs w:val="24"/>
          <w:highlight w:val="none"/>
          <w:lang w:val="en-US" w:eastAsia="zh-CN"/>
        </w:rPr>
        <w:t>，从业人员</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人，营业收入为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万元，资产总额为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en-US" w:eastAsia="zh-CN"/>
        </w:rPr>
        <w:t>万元，属于</w:t>
      </w:r>
      <w:r>
        <w:rPr>
          <w:rFonts w:hint="eastAsia" w:ascii="宋体" w:hAnsi="宋体" w:eastAsia="宋体" w:cs="宋体"/>
          <w:sz w:val="24"/>
          <w:szCs w:val="24"/>
          <w:highlight w:val="none"/>
          <w:u w:val="single"/>
          <w:lang w:val="en-US" w:eastAsia="zh-CN"/>
        </w:rPr>
        <w:t>（中型企业、小型企业、微型企业）</w:t>
      </w:r>
      <w:r>
        <w:rPr>
          <w:rFonts w:hint="eastAsia" w:ascii="宋体" w:hAnsi="宋体" w:eastAsia="宋体" w:cs="宋体"/>
          <w:sz w:val="24"/>
          <w:szCs w:val="24"/>
          <w:highlight w:val="none"/>
          <w:lang w:val="en-US" w:eastAsia="zh-CN"/>
        </w:rPr>
        <w:t>；</w:t>
      </w:r>
    </w:p>
    <w:p w14:paraId="211872F9">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65EC934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以上企业，不属于大企业的分支机构，不存在控股股东为大企业的情形，也不存在与大企业的负责人为同一人的情形。</w:t>
      </w:r>
    </w:p>
    <w:p w14:paraId="11A7D20E">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本企业对上述声明内容的真实性负责。如有虚假，将依法承担相应责任。</w:t>
      </w:r>
    </w:p>
    <w:p w14:paraId="438CEE7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备注：</w:t>
      </w:r>
      <w:r>
        <w:rPr>
          <w:rFonts w:hint="eastAsia" w:ascii="宋体" w:hAnsi="宋体" w:eastAsia="宋体" w:cs="宋体"/>
          <w:sz w:val="24"/>
          <w:szCs w:val="24"/>
          <w:highlight w:val="none"/>
          <w:lang w:val="en-US" w:eastAsia="zh-CN"/>
        </w:rPr>
        <w:t>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6EC9144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2.从业人员、营业收入、资产总额填报上一年度数据；无上一年度数据的新成立企业可不填报相关数据，参照国务院批准的中小企业划分标准，根据企业自身情况如实判断。</w:t>
      </w:r>
    </w:p>
    <w:p w14:paraId="1C1138DF">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3.《中小企业声明函》随成交结果同时公开。</w:t>
      </w:r>
    </w:p>
    <w:p w14:paraId="7F0E930A">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4.非中小企业可不用提供中小企业声明函。</w:t>
      </w:r>
    </w:p>
    <w:p w14:paraId="7003574E">
      <w:pPr>
        <w:pStyle w:val="16"/>
        <w:spacing w:line="360" w:lineRule="auto"/>
        <w:ind w:firstLine="480" w:firstLineChars="200"/>
        <w:jc w:val="right"/>
        <w:rPr>
          <w:rFonts w:hint="eastAsia" w:ascii="宋体" w:hAnsi="宋体" w:eastAsia="宋体" w:cs="宋体"/>
          <w:b w:val="0"/>
          <w:kern w:val="2"/>
          <w:sz w:val="24"/>
          <w:szCs w:val="24"/>
          <w:highlight w:val="none"/>
          <w:lang w:val="en-US" w:eastAsia="zh-CN" w:bidi="ar-SA"/>
        </w:rPr>
      </w:pPr>
    </w:p>
    <w:p w14:paraId="50984FB1">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企业名称（盖章）：</w:t>
      </w:r>
    </w:p>
    <w:p w14:paraId="6281C20C">
      <w:pPr>
        <w:keepNext w:val="0"/>
        <w:keepLines w:val="0"/>
        <w:pageBreakBefore w:val="0"/>
        <w:widowControl w:val="0"/>
        <w:kinsoku/>
        <w:wordWrap/>
        <w:overflowPunct/>
        <w:topLinePunct w:val="0"/>
        <w:autoSpaceDE/>
        <w:autoSpaceDN/>
        <w:bidi w:val="0"/>
        <w:adjustRightInd/>
        <w:snapToGrid w:val="0"/>
        <w:spacing w:line="480" w:lineRule="auto"/>
        <w:ind w:firstLine="4560" w:firstLineChars="1900"/>
        <w:textAlignment w:val="auto"/>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日期：</w:t>
      </w:r>
    </w:p>
    <w:p w14:paraId="2E600413">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p>
    <w:p w14:paraId="6C43E198">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w:t>
      </w:r>
      <w:bookmarkEnd w:id="37"/>
      <w:bookmarkEnd w:id="38"/>
      <w:bookmarkEnd w:id="39"/>
      <w:bookmarkEnd w:id="40"/>
      <w:bookmarkEnd w:id="41"/>
      <w:bookmarkEnd w:id="42"/>
      <w:bookmarkEnd w:id="43"/>
      <w:bookmarkEnd w:id="44"/>
      <w:bookmarkEnd w:id="45"/>
      <w:r>
        <w:rPr>
          <w:rFonts w:hint="eastAsia" w:ascii="宋体" w:hAnsi="宋体" w:eastAsia="宋体" w:cs="宋体"/>
          <w:b/>
          <w:bCs/>
          <w:sz w:val="24"/>
          <w:szCs w:val="24"/>
          <w:highlight w:val="none"/>
        </w:rPr>
        <w:t>2</w:t>
      </w:r>
    </w:p>
    <w:p w14:paraId="771E762E">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61797284">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6AD98DBF">
      <w:pPr>
        <w:pStyle w:val="24"/>
        <w:spacing w:line="360" w:lineRule="auto"/>
        <w:ind w:firstLine="480" w:firstLineChars="200"/>
        <w:rPr>
          <w:rFonts w:hint="eastAsia" w:ascii="宋体" w:hAnsi="宋体" w:eastAsia="宋体" w:cs="宋体"/>
          <w:b/>
          <w:sz w:val="24"/>
          <w:szCs w:val="24"/>
          <w:highlight w:val="none"/>
          <w:lang w:eastAsia="zh-CN"/>
        </w:rPr>
      </w:pPr>
      <w:bookmarkStart w:id="46" w:name="_Toc499739991"/>
      <w:r>
        <w:rPr>
          <w:rFonts w:hint="eastAsia" w:ascii="宋体" w:hAnsi="宋体" w:eastAsia="宋体" w:cs="宋体"/>
          <w:b/>
          <w:sz w:val="24"/>
          <w:szCs w:val="24"/>
          <w:highlight w:val="none"/>
          <w:lang w:eastAsia="zh-CN"/>
        </w:rPr>
        <w:t>注：非监狱企业不提供此证明文件</w:t>
      </w:r>
    </w:p>
    <w:p w14:paraId="438EF32F">
      <w:pPr>
        <w:rPr>
          <w:rFonts w:hint="eastAsia" w:ascii="宋体" w:hAnsi="宋体" w:eastAsia="宋体" w:cs="宋体"/>
          <w:sz w:val="24"/>
          <w:szCs w:val="24"/>
          <w:highlight w:val="none"/>
        </w:rPr>
      </w:pPr>
    </w:p>
    <w:p w14:paraId="02AF535C">
      <w:pPr>
        <w:rPr>
          <w:rFonts w:hint="eastAsia" w:ascii="宋体" w:hAnsi="宋体" w:eastAsia="宋体" w:cs="宋体"/>
          <w:sz w:val="24"/>
          <w:szCs w:val="24"/>
          <w:highlight w:val="none"/>
        </w:rPr>
      </w:pPr>
      <w:bookmarkStart w:id="47" w:name="_Toc16753"/>
      <w:bookmarkStart w:id="48" w:name="_Toc30838"/>
      <w:bookmarkStart w:id="49" w:name="_Toc16824"/>
      <w:bookmarkStart w:id="50" w:name="_Toc30090"/>
      <w:bookmarkStart w:id="51" w:name="_Toc11296"/>
      <w:bookmarkStart w:id="52" w:name="_Toc2290"/>
    </w:p>
    <w:p w14:paraId="6BCDEDA8">
      <w:pPr>
        <w:rPr>
          <w:rFonts w:hint="eastAsia" w:ascii="宋体" w:hAnsi="宋体" w:eastAsia="宋体" w:cs="宋体"/>
          <w:sz w:val="24"/>
          <w:szCs w:val="24"/>
          <w:highlight w:val="none"/>
        </w:rPr>
      </w:pPr>
    </w:p>
    <w:p w14:paraId="77CDAA11">
      <w:pPr>
        <w:rPr>
          <w:rFonts w:hint="eastAsia" w:ascii="宋体" w:hAnsi="宋体" w:eastAsia="宋体" w:cs="宋体"/>
          <w:b/>
          <w:bCs/>
          <w:sz w:val="24"/>
          <w:szCs w:val="24"/>
          <w:highlight w:val="none"/>
        </w:rPr>
      </w:pPr>
      <w:bookmarkStart w:id="53" w:name="_Toc28279"/>
      <w:bookmarkStart w:id="54" w:name="_Toc3073"/>
      <w:r>
        <w:rPr>
          <w:rFonts w:hint="eastAsia" w:ascii="宋体" w:hAnsi="宋体" w:eastAsia="宋体" w:cs="宋体"/>
          <w:b/>
          <w:bCs/>
          <w:sz w:val="24"/>
          <w:szCs w:val="24"/>
          <w:highlight w:val="none"/>
        </w:rPr>
        <w:t>附件</w:t>
      </w:r>
      <w:bookmarkEnd w:id="46"/>
      <w:bookmarkEnd w:id="47"/>
      <w:bookmarkEnd w:id="48"/>
      <w:bookmarkEnd w:id="49"/>
      <w:bookmarkEnd w:id="50"/>
      <w:bookmarkEnd w:id="51"/>
      <w:bookmarkEnd w:id="52"/>
      <w:bookmarkEnd w:id="53"/>
      <w:bookmarkEnd w:id="54"/>
      <w:r>
        <w:rPr>
          <w:rFonts w:hint="eastAsia" w:ascii="宋体" w:hAnsi="宋体" w:eastAsia="宋体" w:cs="宋体"/>
          <w:b/>
          <w:bCs/>
          <w:sz w:val="24"/>
          <w:szCs w:val="24"/>
          <w:highlight w:val="none"/>
        </w:rPr>
        <w:t>3</w:t>
      </w:r>
    </w:p>
    <w:p w14:paraId="019F8FAD">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73AD88BD">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1308B0B7">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7D7FAB8E">
      <w:pPr>
        <w:spacing w:line="560" w:lineRule="exact"/>
        <w:ind w:firstLine="480" w:firstLineChars="200"/>
        <w:jc w:val="both"/>
        <w:rPr>
          <w:rFonts w:hint="eastAsia" w:ascii="宋体" w:hAnsi="宋体" w:eastAsia="宋体" w:cs="宋体"/>
          <w:sz w:val="24"/>
          <w:szCs w:val="24"/>
        </w:rPr>
      </w:pPr>
    </w:p>
    <w:p w14:paraId="35820FF6">
      <w:pPr>
        <w:spacing w:line="560" w:lineRule="exact"/>
        <w:ind w:firstLine="480" w:firstLineChars="200"/>
        <w:jc w:val="both"/>
        <w:rPr>
          <w:rFonts w:hint="eastAsia" w:ascii="宋体" w:hAnsi="宋体" w:eastAsia="宋体" w:cs="宋体"/>
          <w:sz w:val="24"/>
          <w:szCs w:val="24"/>
        </w:rPr>
      </w:pPr>
    </w:p>
    <w:p w14:paraId="4BC074AE">
      <w:pPr>
        <w:spacing w:line="560" w:lineRule="exact"/>
        <w:ind w:firstLine="480" w:firstLineChars="200"/>
        <w:jc w:val="both"/>
        <w:rPr>
          <w:rFonts w:hint="eastAsia" w:ascii="宋体" w:hAnsi="宋体" w:eastAsia="宋体" w:cs="宋体"/>
          <w:sz w:val="24"/>
          <w:szCs w:val="24"/>
        </w:rPr>
      </w:pPr>
    </w:p>
    <w:p w14:paraId="063C7519">
      <w:pPr>
        <w:rPr>
          <w:rFonts w:hint="eastAsia" w:ascii="宋体" w:hAnsi="宋体" w:eastAsia="宋体" w:cs="宋体"/>
          <w:sz w:val="24"/>
          <w:szCs w:val="24"/>
        </w:rPr>
      </w:pPr>
      <w:r>
        <w:rPr>
          <w:rFonts w:hint="eastAsia" w:ascii="宋体" w:hAnsi="宋体" w:eastAsia="宋体" w:cs="宋体"/>
          <w:sz w:val="24"/>
          <w:szCs w:val="24"/>
        </w:rPr>
        <w:br w:type="page"/>
      </w:r>
    </w:p>
    <w:p w14:paraId="16917CFA">
      <w:pPr>
        <w:pStyle w:val="4"/>
        <w:ind w:left="0" w:lef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第五部分  供应商参加政府采购活动承诺书</w:t>
      </w:r>
    </w:p>
    <w:p w14:paraId="7278C99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6B7CFD79">
      <w:pPr>
        <w:ind w:left="0" w:leftChars="0" w:right="0" w:rightChars="0" w:firstLine="0" w:firstLineChars="0"/>
        <w:jc w:val="center"/>
        <w:outlineLvl w:val="9"/>
        <w:rPr>
          <w:rFonts w:hint="eastAsia" w:ascii="宋体" w:hAnsi="宋体" w:eastAsia="宋体" w:cs="宋体"/>
          <w:b/>
          <w:bCs/>
          <w:sz w:val="24"/>
          <w:szCs w:val="24"/>
        </w:rPr>
      </w:pPr>
      <w:r>
        <w:rPr>
          <w:rFonts w:hint="eastAsia" w:ascii="宋体" w:hAnsi="宋体" w:eastAsia="宋体" w:cs="宋体"/>
          <w:b/>
          <w:bCs/>
          <w:sz w:val="24"/>
          <w:szCs w:val="24"/>
        </w:rPr>
        <w:t>（一）质量安全责任承诺书</w:t>
      </w:r>
    </w:p>
    <w:p w14:paraId="0F72F2D4">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5C7FF67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1388AC8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28C7622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47623E9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06783798">
      <w:pPr>
        <w:spacing w:line="560" w:lineRule="exact"/>
        <w:ind w:firstLine="480" w:firstLineChars="200"/>
        <w:jc w:val="both"/>
        <w:rPr>
          <w:rFonts w:hint="eastAsia" w:ascii="宋体" w:hAnsi="宋体" w:eastAsia="宋体" w:cs="宋体"/>
          <w:sz w:val="24"/>
          <w:szCs w:val="24"/>
        </w:rPr>
      </w:pPr>
    </w:p>
    <w:p w14:paraId="463786C9">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F6D489A">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6C075C4B">
      <w:pPr>
        <w:spacing w:line="560" w:lineRule="exact"/>
        <w:ind w:firstLine="480" w:firstLineChars="200"/>
        <w:jc w:val="both"/>
        <w:rPr>
          <w:rFonts w:hint="eastAsia" w:ascii="宋体" w:hAnsi="宋体" w:eastAsia="宋体" w:cs="宋体"/>
          <w:sz w:val="24"/>
          <w:szCs w:val="24"/>
        </w:rPr>
      </w:pPr>
    </w:p>
    <w:p w14:paraId="2DF4AB6B">
      <w:pPr>
        <w:rPr>
          <w:rFonts w:hint="eastAsia" w:ascii="宋体" w:hAnsi="宋体" w:eastAsia="宋体" w:cs="宋体"/>
          <w:sz w:val="24"/>
          <w:szCs w:val="24"/>
        </w:rPr>
      </w:pPr>
      <w:r>
        <w:rPr>
          <w:rFonts w:hint="eastAsia" w:ascii="宋体" w:hAnsi="宋体" w:eastAsia="宋体" w:cs="宋体"/>
          <w:sz w:val="24"/>
          <w:szCs w:val="24"/>
        </w:rPr>
        <w:br w:type="page"/>
      </w:r>
    </w:p>
    <w:p w14:paraId="32C9581F">
      <w:pPr>
        <w:jc w:val="center"/>
        <w:outlineLvl w:val="9"/>
        <w:rPr>
          <w:rFonts w:hint="eastAsia" w:ascii="宋体" w:hAnsi="宋体" w:eastAsia="宋体" w:cs="宋体"/>
          <w:b/>
          <w:bCs/>
          <w:sz w:val="24"/>
          <w:szCs w:val="24"/>
        </w:rPr>
      </w:pPr>
      <w:r>
        <w:rPr>
          <w:rFonts w:hint="eastAsia" w:ascii="宋体" w:hAnsi="宋体" w:eastAsia="宋体" w:cs="宋体"/>
          <w:b/>
          <w:bCs/>
          <w:sz w:val="24"/>
          <w:szCs w:val="24"/>
        </w:rPr>
        <w:t>（二）参加政府采购活动行为自律承诺书</w:t>
      </w:r>
    </w:p>
    <w:p w14:paraId="4E39A9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652BCC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767AB41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718A435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773C36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128AB22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3F49AF79">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4C152E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47EA56A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24CBE1B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4430FB2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45C68C96">
      <w:pPr>
        <w:spacing w:line="560" w:lineRule="exact"/>
        <w:ind w:firstLine="480" w:firstLineChars="200"/>
        <w:jc w:val="both"/>
        <w:rPr>
          <w:rFonts w:hint="eastAsia" w:ascii="宋体" w:hAnsi="宋体" w:eastAsia="宋体" w:cs="宋体"/>
          <w:sz w:val="24"/>
          <w:szCs w:val="24"/>
        </w:rPr>
      </w:pPr>
    </w:p>
    <w:p w14:paraId="16341446">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007C1C4">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62DAA22E">
      <w:pPr>
        <w:rPr>
          <w:rFonts w:hint="eastAsia" w:ascii="宋体" w:hAnsi="宋体" w:eastAsia="宋体" w:cs="宋体"/>
          <w:sz w:val="24"/>
          <w:szCs w:val="24"/>
        </w:rPr>
      </w:pPr>
      <w:r>
        <w:rPr>
          <w:rFonts w:hint="eastAsia" w:ascii="宋体" w:hAnsi="宋体" w:eastAsia="宋体" w:cs="宋体"/>
          <w:sz w:val="24"/>
          <w:szCs w:val="24"/>
        </w:rPr>
        <w:br w:type="page"/>
      </w:r>
    </w:p>
    <w:p w14:paraId="60C4F243">
      <w:pPr>
        <w:pStyle w:val="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rPr>
        <w:t>第六部分  投标方案</w:t>
      </w:r>
    </w:p>
    <w:p w14:paraId="7988B5A5">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（一）技术（服务）要求</w:t>
      </w:r>
      <w:r>
        <w:rPr>
          <w:rFonts w:hint="eastAsia" w:ascii="宋体" w:hAnsi="宋体" w:eastAsia="宋体" w:cs="宋体"/>
          <w:sz w:val="24"/>
          <w:szCs w:val="24"/>
          <w:lang w:eastAsia="zh-CN"/>
        </w:rPr>
        <w:t>偏离表</w:t>
      </w:r>
    </w:p>
    <w:tbl>
      <w:tblPr>
        <w:tblStyle w:val="28"/>
        <w:tblW w:w="4996"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3"/>
        <w:gridCol w:w="1717"/>
        <w:gridCol w:w="2520"/>
        <w:gridCol w:w="2394"/>
        <w:gridCol w:w="1257"/>
        <w:gridCol w:w="945"/>
      </w:tblGrid>
      <w:tr w14:paraId="1A3F0D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12" w:space="0"/>
              <w:bottom w:val="single" w:color="auto" w:sz="2" w:space="0"/>
            </w:tcBorders>
            <w:shd w:val="clear" w:color="auto" w:fill="F1F1F1" w:themeFill="background1" w:themeFillShade="F2"/>
            <w:vAlign w:val="center"/>
          </w:tcPr>
          <w:p w14:paraId="7B262F27">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3101532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themeFill="background1" w:themeFillShade="F2"/>
            <w:vAlign w:val="center"/>
          </w:tcPr>
          <w:p w14:paraId="6540300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themeFill="background1" w:themeFillShade="F2"/>
            <w:vAlign w:val="center"/>
          </w:tcPr>
          <w:p w14:paraId="5D735DA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661" w:type="pct"/>
            <w:tcBorders>
              <w:top w:val="single" w:color="auto" w:sz="12" w:space="0"/>
              <w:bottom w:val="single" w:color="auto" w:sz="2" w:space="0"/>
            </w:tcBorders>
            <w:shd w:val="clear" w:color="auto" w:fill="F1F1F1" w:themeFill="background1" w:themeFillShade="F2"/>
            <w:vAlign w:val="center"/>
          </w:tcPr>
          <w:p w14:paraId="6506BC9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495" w:type="pct"/>
            <w:tcBorders>
              <w:top w:val="single" w:color="auto" w:sz="12" w:space="0"/>
              <w:bottom w:val="single" w:color="auto" w:sz="2" w:space="0"/>
            </w:tcBorders>
            <w:shd w:val="clear" w:color="auto" w:fill="F1F1F1" w:themeFill="background1" w:themeFillShade="F2"/>
            <w:vAlign w:val="center"/>
          </w:tcPr>
          <w:p w14:paraId="38DBC1E3">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237BA56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tcBorders>
              <w:top w:val="single" w:color="auto" w:sz="2" w:space="0"/>
            </w:tcBorders>
            <w:vAlign w:val="center"/>
          </w:tcPr>
          <w:p w14:paraId="489CB149">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5CFEB039">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52BCF304">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746D6B0F">
            <w:pPr>
              <w:spacing w:line="560" w:lineRule="exact"/>
              <w:jc w:val="center"/>
              <w:rPr>
                <w:rFonts w:hint="eastAsia" w:ascii="宋体" w:hAnsi="宋体" w:eastAsia="宋体" w:cs="宋体"/>
                <w:sz w:val="24"/>
                <w:szCs w:val="24"/>
              </w:rPr>
            </w:pPr>
          </w:p>
        </w:tc>
        <w:tc>
          <w:tcPr>
            <w:tcW w:w="661" w:type="pct"/>
            <w:tcBorders>
              <w:top w:val="single" w:color="auto" w:sz="2" w:space="0"/>
            </w:tcBorders>
            <w:vAlign w:val="center"/>
          </w:tcPr>
          <w:p w14:paraId="4AFCAEC6">
            <w:pPr>
              <w:spacing w:line="560" w:lineRule="exact"/>
              <w:jc w:val="center"/>
              <w:rPr>
                <w:rFonts w:hint="eastAsia" w:ascii="宋体" w:hAnsi="宋体" w:eastAsia="宋体" w:cs="宋体"/>
                <w:sz w:val="24"/>
                <w:szCs w:val="24"/>
              </w:rPr>
            </w:pPr>
          </w:p>
        </w:tc>
        <w:tc>
          <w:tcPr>
            <w:tcW w:w="495" w:type="pct"/>
            <w:tcBorders>
              <w:top w:val="single" w:color="auto" w:sz="2" w:space="0"/>
            </w:tcBorders>
            <w:vAlign w:val="center"/>
          </w:tcPr>
          <w:p w14:paraId="0B4EB495">
            <w:pPr>
              <w:spacing w:line="560" w:lineRule="exact"/>
              <w:jc w:val="center"/>
              <w:rPr>
                <w:rFonts w:hint="eastAsia" w:ascii="宋体" w:hAnsi="宋体" w:eastAsia="宋体" w:cs="宋体"/>
                <w:sz w:val="24"/>
                <w:szCs w:val="24"/>
              </w:rPr>
            </w:pPr>
          </w:p>
        </w:tc>
      </w:tr>
      <w:tr w14:paraId="677AF99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9074F8D">
            <w:pPr>
              <w:spacing w:line="560" w:lineRule="exact"/>
              <w:jc w:val="center"/>
              <w:rPr>
                <w:rFonts w:hint="eastAsia" w:ascii="宋体" w:hAnsi="宋体" w:eastAsia="宋体" w:cs="宋体"/>
                <w:sz w:val="24"/>
                <w:szCs w:val="24"/>
              </w:rPr>
            </w:pPr>
          </w:p>
        </w:tc>
        <w:tc>
          <w:tcPr>
            <w:tcW w:w="903" w:type="pct"/>
            <w:vAlign w:val="center"/>
          </w:tcPr>
          <w:p w14:paraId="7C81D377">
            <w:pPr>
              <w:spacing w:line="560" w:lineRule="exact"/>
              <w:jc w:val="center"/>
              <w:rPr>
                <w:rFonts w:hint="eastAsia" w:ascii="宋体" w:hAnsi="宋体" w:eastAsia="宋体" w:cs="宋体"/>
                <w:sz w:val="24"/>
                <w:szCs w:val="24"/>
              </w:rPr>
            </w:pPr>
          </w:p>
        </w:tc>
        <w:tc>
          <w:tcPr>
            <w:tcW w:w="1325" w:type="pct"/>
            <w:vAlign w:val="center"/>
          </w:tcPr>
          <w:p w14:paraId="4A3664F8">
            <w:pPr>
              <w:spacing w:line="560" w:lineRule="exact"/>
              <w:jc w:val="center"/>
              <w:rPr>
                <w:rFonts w:hint="eastAsia" w:ascii="宋体" w:hAnsi="宋体" w:eastAsia="宋体" w:cs="宋体"/>
                <w:sz w:val="24"/>
                <w:szCs w:val="24"/>
              </w:rPr>
            </w:pPr>
          </w:p>
        </w:tc>
        <w:tc>
          <w:tcPr>
            <w:tcW w:w="1259" w:type="pct"/>
            <w:vAlign w:val="center"/>
          </w:tcPr>
          <w:p w14:paraId="01463B67">
            <w:pPr>
              <w:spacing w:line="560" w:lineRule="exact"/>
              <w:jc w:val="center"/>
              <w:rPr>
                <w:rFonts w:hint="eastAsia" w:ascii="宋体" w:hAnsi="宋体" w:eastAsia="宋体" w:cs="宋体"/>
                <w:sz w:val="24"/>
                <w:szCs w:val="24"/>
              </w:rPr>
            </w:pPr>
          </w:p>
        </w:tc>
        <w:tc>
          <w:tcPr>
            <w:tcW w:w="661" w:type="pct"/>
            <w:vAlign w:val="center"/>
          </w:tcPr>
          <w:p w14:paraId="1AE8B617">
            <w:pPr>
              <w:spacing w:line="560" w:lineRule="exact"/>
              <w:jc w:val="center"/>
              <w:rPr>
                <w:rFonts w:hint="eastAsia" w:ascii="宋体" w:hAnsi="宋体" w:eastAsia="宋体" w:cs="宋体"/>
                <w:sz w:val="24"/>
                <w:szCs w:val="24"/>
              </w:rPr>
            </w:pPr>
          </w:p>
        </w:tc>
        <w:tc>
          <w:tcPr>
            <w:tcW w:w="495" w:type="pct"/>
            <w:vAlign w:val="center"/>
          </w:tcPr>
          <w:p w14:paraId="088B489F">
            <w:pPr>
              <w:spacing w:line="560" w:lineRule="exact"/>
              <w:jc w:val="center"/>
              <w:rPr>
                <w:rFonts w:hint="eastAsia" w:ascii="宋体" w:hAnsi="宋体" w:eastAsia="宋体" w:cs="宋体"/>
                <w:sz w:val="24"/>
                <w:szCs w:val="24"/>
              </w:rPr>
            </w:pPr>
          </w:p>
        </w:tc>
      </w:tr>
      <w:tr w14:paraId="0A2054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CD43D44">
            <w:pPr>
              <w:spacing w:line="560" w:lineRule="exact"/>
              <w:jc w:val="center"/>
              <w:rPr>
                <w:rFonts w:hint="eastAsia" w:ascii="宋体" w:hAnsi="宋体" w:eastAsia="宋体" w:cs="宋体"/>
                <w:sz w:val="24"/>
                <w:szCs w:val="24"/>
              </w:rPr>
            </w:pPr>
          </w:p>
        </w:tc>
        <w:tc>
          <w:tcPr>
            <w:tcW w:w="903" w:type="pct"/>
            <w:vAlign w:val="center"/>
          </w:tcPr>
          <w:p w14:paraId="3C9A894C">
            <w:pPr>
              <w:spacing w:line="560" w:lineRule="exact"/>
              <w:jc w:val="center"/>
              <w:rPr>
                <w:rFonts w:hint="eastAsia" w:ascii="宋体" w:hAnsi="宋体" w:eastAsia="宋体" w:cs="宋体"/>
                <w:sz w:val="24"/>
                <w:szCs w:val="24"/>
              </w:rPr>
            </w:pPr>
          </w:p>
        </w:tc>
        <w:tc>
          <w:tcPr>
            <w:tcW w:w="1325" w:type="pct"/>
            <w:vAlign w:val="center"/>
          </w:tcPr>
          <w:p w14:paraId="1F2B6A71">
            <w:pPr>
              <w:spacing w:line="560" w:lineRule="exact"/>
              <w:jc w:val="center"/>
              <w:rPr>
                <w:rFonts w:hint="eastAsia" w:ascii="宋体" w:hAnsi="宋体" w:eastAsia="宋体" w:cs="宋体"/>
                <w:sz w:val="24"/>
                <w:szCs w:val="24"/>
              </w:rPr>
            </w:pPr>
          </w:p>
        </w:tc>
        <w:tc>
          <w:tcPr>
            <w:tcW w:w="1259" w:type="pct"/>
            <w:vAlign w:val="center"/>
          </w:tcPr>
          <w:p w14:paraId="216F5B85">
            <w:pPr>
              <w:spacing w:line="560" w:lineRule="exact"/>
              <w:jc w:val="center"/>
              <w:rPr>
                <w:rFonts w:hint="eastAsia" w:ascii="宋体" w:hAnsi="宋体" w:eastAsia="宋体" w:cs="宋体"/>
                <w:sz w:val="24"/>
                <w:szCs w:val="24"/>
              </w:rPr>
            </w:pPr>
          </w:p>
        </w:tc>
        <w:tc>
          <w:tcPr>
            <w:tcW w:w="661" w:type="pct"/>
            <w:vAlign w:val="center"/>
          </w:tcPr>
          <w:p w14:paraId="05567623">
            <w:pPr>
              <w:spacing w:line="560" w:lineRule="exact"/>
              <w:jc w:val="center"/>
              <w:rPr>
                <w:rFonts w:hint="eastAsia" w:ascii="宋体" w:hAnsi="宋体" w:eastAsia="宋体" w:cs="宋体"/>
                <w:sz w:val="24"/>
                <w:szCs w:val="24"/>
              </w:rPr>
            </w:pPr>
          </w:p>
        </w:tc>
        <w:tc>
          <w:tcPr>
            <w:tcW w:w="495" w:type="pct"/>
            <w:vAlign w:val="center"/>
          </w:tcPr>
          <w:p w14:paraId="0D3E0F0F">
            <w:pPr>
              <w:spacing w:line="560" w:lineRule="exact"/>
              <w:jc w:val="center"/>
              <w:rPr>
                <w:rFonts w:hint="eastAsia" w:ascii="宋体" w:hAnsi="宋体" w:eastAsia="宋体" w:cs="宋体"/>
                <w:sz w:val="24"/>
                <w:szCs w:val="24"/>
              </w:rPr>
            </w:pPr>
          </w:p>
        </w:tc>
      </w:tr>
      <w:tr w14:paraId="357B9D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1552491C">
            <w:pPr>
              <w:spacing w:line="560" w:lineRule="exact"/>
              <w:jc w:val="center"/>
              <w:rPr>
                <w:rFonts w:hint="eastAsia" w:ascii="宋体" w:hAnsi="宋体" w:eastAsia="宋体" w:cs="宋体"/>
                <w:sz w:val="24"/>
                <w:szCs w:val="24"/>
              </w:rPr>
            </w:pPr>
          </w:p>
        </w:tc>
        <w:tc>
          <w:tcPr>
            <w:tcW w:w="903" w:type="pct"/>
            <w:vAlign w:val="center"/>
          </w:tcPr>
          <w:p w14:paraId="130E31D2">
            <w:pPr>
              <w:spacing w:line="560" w:lineRule="exact"/>
              <w:jc w:val="center"/>
              <w:rPr>
                <w:rFonts w:hint="eastAsia" w:ascii="宋体" w:hAnsi="宋体" w:eastAsia="宋体" w:cs="宋体"/>
                <w:sz w:val="24"/>
                <w:szCs w:val="24"/>
              </w:rPr>
            </w:pPr>
          </w:p>
        </w:tc>
        <w:tc>
          <w:tcPr>
            <w:tcW w:w="1325" w:type="pct"/>
            <w:vAlign w:val="center"/>
          </w:tcPr>
          <w:p w14:paraId="7B13B88B">
            <w:pPr>
              <w:spacing w:line="560" w:lineRule="exact"/>
              <w:jc w:val="center"/>
              <w:rPr>
                <w:rFonts w:hint="eastAsia" w:ascii="宋体" w:hAnsi="宋体" w:eastAsia="宋体" w:cs="宋体"/>
                <w:sz w:val="24"/>
                <w:szCs w:val="24"/>
              </w:rPr>
            </w:pPr>
          </w:p>
        </w:tc>
        <w:tc>
          <w:tcPr>
            <w:tcW w:w="1259" w:type="pct"/>
            <w:vAlign w:val="center"/>
          </w:tcPr>
          <w:p w14:paraId="451A0883">
            <w:pPr>
              <w:spacing w:line="560" w:lineRule="exact"/>
              <w:jc w:val="center"/>
              <w:rPr>
                <w:rFonts w:hint="eastAsia" w:ascii="宋体" w:hAnsi="宋体" w:eastAsia="宋体" w:cs="宋体"/>
                <w:sz w:val="24"/>
                <w:szCs w:val="24"/>
              </w:rPr>
            </w:pPr>
          </w:p>
        </w:tc>
        <w:tc>
          <w:tcPr>
            <w:tcW w:w="661" w:type="pct"/>
            <w:vAlign w:val="center"/>
          </w:tcPr>
          <w:p w14:paraId="097F3794">
            <w:pPr>
              <w:spacing w:line="560" w:lineRule="exact"/>
              <w:jc w:val="center"/>
              <w:rPr>
                <w:rFonts w:hint="eastAsia" w:ascii="宋体" w:hAnsi="宋体" w:eastAsia="宋体" w:cs="宋体"/>
                <w:sz w:val="24"/>
                <w:szCs w:val="24"/>
              </w:rPr>
            </w:pPr>
          </w:p>
        </w:tc>
        <w:tc>
          <w:tcPr>
            <w:tcW w:w="495" w:type="pct"/>
            <w:vAlign w:val="center"/>
          </w:tcPr>
          <w:p w14:paraId="41245A8D">
            <w:pPr>
              <w:spacing w:line="560" w:lineRule="exact"/>
              <w:jc w:val="center"/>
              <w:rPr>
                <w:rFonts w:hint="eastAsia" w:ascii="宋体" w:hAnsi="宋体" w:eastAsia="宋体" w:cs="宋体"/>
                <w:sz w:val="24"/>
                <w:szCs w:val="24"/>
              </w:rPr>
            </w:pPr>
          </w:p>
        </w:tc>
      </w:tr>
      <w:tr w14:paraId="060080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351E0587">
            <w:pPr>
              <w:spacing w:line="560" w:lineRule="exact"/>
              <w:jc w:val="center"/>
              <w:rPr>
                <w:rFonts w:hint="eastAsia" w:ascii="宋体" w:hAnsi="宋体" w:eastAsia="宋体" w:cs="宋体"/>
                <w:sz w:val="24"/>
                <w:szCs w:val="24"/>
              </w:rPr>
            </w:pPr>
          </w:p>
        </w:tc>
        <w:tc>
          <w:tcPr>
            <w:tcW w:w="903" w:type="pct"/>
            <w:vAlign w:val="center"/>
          </w:tcPr>
          <w:p w14:paraId="07822F28">
            <w:pPr>
              <w:spacing w:line="560" w:lineRule="exact"/>
              <w:jc w:val="center"/>
              <w:rPr>
                <w:rFonts w:hint="eastAsia" w:ascii="宋体" w:hAnsi="宋体" w:eastAsia="宋体" w:cs="宋体"/>
                <w:sz w:val="24"/>
                <w:szCs w:val="24"/>
              </w:rPr>
            </w:pPr>
          </w:p>
        </w:tc>
        <w:tc>
          <w:tcPr>
            <w:tcW w:w="1325" w:type="pct"/>
            <w:vAlign w:val="center"/>
          </w:tcPr>
          <w:p w14:paraId="1D49BB7C">
            <w:pPr>
              <w:spacing w:line="560" w:lineRule="exact"/>
              <w:jc w:val="center"/>
              <w:rPr>
                <w:rFonts w:hint="eastAsia" w:ascii="宋体" w:hAnsi="宋体" w:eastAsia="宋体" w:cs="宋体"/>
                <w:sz w:val="24"/>
                <w:szCs w:val="24"/>
              </w:rPr>
            </w:pPr>
          </w:p>
        </w:tc>
        <w:tc>
          <w:tcPr>
            <w:tcW w:w="1259" w:type="pct"/>
            <w:vAlign w:val="center"/>
          </w:tcPr>
          <w:p w14:paraId="158679E9">
            <w:pPr>
              <w:spacing w:line="560" w:lineRule="exact"/>
              <w:jc w:val="center"/>
              <w:rPr>
                <w:rFonts w:hint="eastAsia" w:ascii="宋体" w:hAnsi="宋体" w:eastAsia="宋体" w:cs="宋体"/>
                <w:sz w:val="24"/>
                <w:szCs w:val="24"/>
              </w:rPr>
            </w:pPr>
          </w:p>
        </w:tc>
        <w:tc>
          <w:tcPr>
            <w:tcW w:w="661" w:type="pct"/>
            <w:vAlign w:val="center"/>
          </w:tcPr>
          <w:p w14:paraId="6A0318E4">
            <w:pPr>
              <w:spacing w:line="560" w:lineRule="exact"/>
              <w:jc w:val="center"/>
              <w:rPr>
                <w:rFonts w:hint="eastAsia" w:ascii="宋体" w:hAnsi="宋体" w:eastAsia="宋体" w:cs="宋体"/>
                <w:sz w:val="24"/>
                <w:szCs w:val="24"/>
              </w:rPr>
            </w:pPr>
          </w:p>
        </w:tc>
        <w:tc>
          <w:tcPr>
            <w:tcW w:w="495" w:type="pct"/>
            <w:vAlign w:val="center"/>
          </w:tcPr>
          <w:p w14:paraId="03306B47">
            <w:pPr>
              <w:spacing w:line="560" w:lineRule="exact"/>
              <w:jc w:val="center"/>
              <w:rPr>
                <w:rFonts w:hint="eastAsia" w:ascii="宋体" w:hAnsi="宋体" w:eastAsia="宋体" w:cs="宋体"/>
                <w:sz w:val="24"/>
                <w:szCs w:val="24"/>
              </w:rPr>
            </w:pPr>
          </w:p>
        </w:tc>
      </w:tr>
      <w:tr w14:paraId="50D11AB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4B771993">
            <w:pPr>
              <w:spacing w:line="560" w:lineRule="exact"/>
              <w:jc w:val="center"/>
              <w:rPr>
                <w:rFonts w:hint="eastAsia" w:ascii="宋体" w:hAnsi="宋体" w:eastAsia="宋体" w:cs="宋体"/>
                <w:sz w:val="24"/>
                <w:szCs w:val="24"/>
              </w:rPr>
            </w:pPr>
          </w:p>
        </w:tc>
        <w:tc>
          <w:tcPr>
            <w:tcW w:w="903" w:type="pct"/>
            <w:vAlign w:val="center"/>
          </w:tcPr>
          <w:p w14:paraId="363B5ADF">
            <w:pPr>
              <w:spacing w:line="560" w:lineRule="exact"/>
              <w:jc w:val="center"/>
              <w:rPr>
                <w:rFonts w:hint="eastAsia" w:ascii="宋体" w:hAnsi="宋体" w:eastAsia="宋体" w:cs="宋体"/>
                <w:sz w:val="24"/>
                <w:szCs w:val="24"/>
              </w:rPr>
            </w:pPr>
          </w:p>
        </w:tc>
        <w:tc>
          <w:tcPr>
            <w:tcW w:w="1325" w:type="pct"/>
            <w:vAlign w:val="center"/>
          </w:tcPr>
          <w:p w14:paraId="13915E28">
            <w:pPr>
              <w:spacing w:line="560" w:lineRule="exact"/>
              <w:jc w:val="center"/>
              <w:rPr>
                <w:rFonts w:hint="eastAsia" w:ascii="宋体" w:hAnsi="宋体" w:eastAsia="宋体" w:cs="宋体"/>
                <w:sz w:val="24"/>
                <w:szCs w:val="24"/>
              </w:rPr>
            </w:pPr>
          </w:p>
        </w:tc>
        <w:tc>
          <w:tcPr>
            <w:tcW w:w="1259" w:type="pct"/>
            <w:vAlign w:val="center"/>
          </w:tcPr>
          <w:p w14:paraId="3E7D0E16">
            <w:pPr>
              <w:spacing w:line="560" w:lineRule="exact"/>
              <w:jc w:val="center"/>
              <w:rPr>
                <w:rFonts w:hint="eastAsia" w:ascii="宋体" w:hAnsi="宋体" w:eastAsia="宋体" w:cs="宋体"/>
                <w:sz w:val="24"/>
                <w:szCs w:val="24"/>
              </w:rPr>
            </w:pPr>
          </w:p>
        </w:tc>
        <w:tc>
          <w:tcPr>
            <w:tcW w:w="661" w:type="pct"/>
            <w:vAlign w:val="center"/>
          </w:tcPr>
          <w:p w14:paraId="5E437BF2">
            <w:pPr>
              <w:spacing w:line="560" w:lineRule="exact"/>
              <w:jc w:val="center"/>
              <w:rPr>
                <w:rFonts w:hint="eastAsia" w:ascii="宋体" w:hAnsi="宋体" w:eastAsia="宋体" w:cs="宋体"/>
                <w:sz w:val="24"/>
                <w:szCs w:val="24"/>
              </w:rPr>
            </w:pPr>
          </w:p>
        </w:tc>
        <w:tc>
          <w:tcPr>
            <w:tcW w:w="495" w:type="pct"/>
            <w:vAlign w:val="center"/>
          </w:tcPr>
          <w:p w14:paraId="413F4149">
            <w:pPr>
              <w:spacing w:line="560" w:lineRule="exact"/>
              <w:jc w:val="center"/>
              <w:rPr>
                <w:rFonts w:hint="eastAsia" w:ascii="宋体" w:hAnsi="宋体" w:eastAsia="宋体" w:cs="宋体"/>
                <w:sz w:val="24"/>
                <w:szCs w:val="24"/>
              </w:rPr>
            </w:pPr>
          </w:p>
        </w:tc>
      </w:tr>
      <w:tr w14:paraId="4991A9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4" w:type="pct"/>
            <w:vAlign w:val="center"/>
          </w:tcPr>
          <w:p w14:paraId="7E184DCE">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5" w:type="pct"/>
            <w:gridSpan w:val="5"/>
            <w:vAlign w:val="center"/>
          </w:tcPr>
          <w:p w14:paraId="100AFEC5">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5F416802">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374E3FC8">
      <w:pPr>
        <w:spacing w:line="560" w:lineRule="exact"/>
        <w:ind w:firstLine="480" w:firstLineChars="200"/>
        <w:jc w:val="both"/>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投标人可根据项目情况自行增加内容项完善表格，表格不够用，可按此表复制。技术要求偏离表应逐条响应，如有漏项、完全复制招标文件所要求的性能指标等将视为没有实质性响应招标文件。</w:t>
      </w:r>
    </w:p>
    <w:p w14:paraId="48BE2D29">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6A960307">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987B507">
      <w:pPr>
        <w:spacing w:line="560" w:lineRule="exact"/>
        <w:ind w:firstLine="480"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sz w:val="24"/>
          <w:szCs w:val="24"/>
          <w:highlight w:val="none"/>
        </w:rPr>
        <w:t>附</w:t>
      </w:r>
      <w:r>
        <w:rPr>
          <w:rFonts w:hint="eastAsia" w:ascii="宋体" w:hAnsi="宋体" w:eastAsia="宋体" w:cs="宋体"/>
          <w:b/>
          <w:bCs/>
          <w:color w:val="auto"/>
          <w:sz w:val="24"/>
          <w:szCs w:val="24"/>
          <w:highlight w:val="none"/>
        </w:rPr>
        <w:t>：技术（服务）响应方案</w:t>
      </w:r>
    </w:p>
    <w:p w14:paraId="057054DB">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根据本项目“第二章</w:t>
      </w:r>
      <w:r>
        <w:rPr>
          <w:rFonts w:hint="eastAsia" w:ascii="宋体" w:hAnsi="宋体" w:eastAsia="宋体" w:cs="宋体"/>
          <w:color w:val="auto"/>
          <w:sz w:val="24"/>
          <w:szCs w:val="24"/>
          <w:lang w:val="en-US" w:eastAsia="zh-CN"/>
        </w:rPr>
        <w:t xml:space="preserve"> 供应商须知”中的〖评审要素及分值一览表〗提供。</w:t>
      </w:r>
    </w:p>
    <w:p w14:paraId="12403F80">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1.技术响应</w:t>
      </w:r>
    </w:p>
    <w:p w14:paraId="4E9E7596">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2.售后服务</w:t>
      </w:r>
    </w:p>
    <w:p w14:paraId="184ABCD2">
      <w:pPr>
        <w:spacing w:line="560" w:lineRule="exact"/>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3.节能环保产品</w:t>
      </w:r>
    </w:p>
    <w:p w14:paraId="7162180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6073F734">
      <w:pPr>
        <w:pStyle w:val="96"/>
        <w:spacing w:before="210" w:after="210"/>
        <w:ind w:left="0" w:leftChars="0" w:firstLine="0" w:firstLineChars="0"/>
        <w:outlineLvl w:val="9"/>
        <w:rPr>
          <w:rFonts w:hint="eastAsia" w:ascii="宋体" w:hAnsi="宋体" w:eastAsia="宋体" w:cs="宋体"/>
          <w:sz w:val="24"/>
          <w:szCs w:val="24"/>
          <w:lang w:val="zh-CN" w:eastAsia="zh-CN"/>
        </w:rPr>
      </w:pPr>
      <w:r>
        <w:rPr>
          <w:rFonts w:hint="eastAsia" w:ascii="宋体" w:hAnsi="宋体" w:eastAsia="宋体" w:cs="宋体"/>
          <w:sz w:val="24"/>
          <w:szCs w:val="24"/>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77"/>
        <w:gridCol w:w="1718"/>
        <w:gridCol w:w="2521"/>
        <w:gridCol w:w="2395"/>
        <w:gridCol w:w="1018"/>
        <w:gridCol w:w="1181"/>
      </w:tblGrid>
      <w:tr w14:paraId="3AEDEA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themeFill="background1" w:themeFillShade="F2"/>
            <w:vAlign w:val="center"/>
          </w:tcPr>
          <w:p w14:paraId="421565D1">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themeFill="background1" w:themeFillShade="F2"/>
            <w:vAlign w:val="center"/>
          </w:tcPr>
          <w:p w14:paraId="71C09FEE">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themeFill="background1" w:themeFillShade="F2"/>
            <w:vAlign w:val="center"/>
          </w:tcPr>
          <w:p w14:paraId="2822AFB5">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themeFill="background1" w:themeFillShade="F2"/>
            <w:vAlign w:val="center"/>
          </w:tcPr>
          <w:p w14:paraId="6EEC3D6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themeFill="background1" w:themeFillShade="F2"/>
            <w:vAlign w:val="center"/>
          </w:tcPr>
          <w:p w14:paraId="3E9B9779">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themeFill="background1" w:themeFillShade="F2"/>
            <w:vAlign w:val="center"/>
          </w:tcPr>
          <w:p w14:paraId="4E27D7A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37BF53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vAlign w:val="center"/>
          </w:tcPr>
          <w:p w14:paraId="5067CE0F">
            <w:pPr>
              <w:spacing w:line="560" w:lineRule="exact"/>
              <w:jc w:val="center"/>
              <w:rPr>
                <w:rFonts w:hint="eastAsia" w:ascii="宋体" w:hAnsi="宋体" w:eastAsia="宋体" w:cs="宋体"/>
                <w:sz w:val="24"/>
                <w:szCs w:val="24"/>
              </w:rPr>
            </w:pPr>
          </w:p>
        </w:tc>
        <w:tc>
          <w:tcPr>
            <w:tcW w:w="903" w:type="pct"/>
            <w:tcBorders>
              <w:top w:val="single" w:color="auto" w:sz="2" w:space="0"/>
            </w:tcBorders>
            <w:vAlign w:val="center"/>
          </w:tcPr>
          <w:p w14:paraId="4BCD2AB7">
            <w:pPr>
              <w:spacing w:line="560" w:lineRule="exact"/>
              <w:jc w:val="center"/>
              <w:rPr>
                <w:rFonts w:hint="eastAsia" w:ascii="宋体" w:hAnsi="宋体" w:eastAsia="宋体" w:cs="宋体"/>
                <w:sz w:val="24"/>
                <w:szCs w:val="24"/>
              </w:rPr>
            </w:pPr>
          </w:p>
        </w:tc>
        <w:tc>
          <w:tcPr>
            <w:tcW w:w="1325" w:type="pct"/>
            <w:tcBorders>
              <w:top w:val="single" w:color="auto" w:sz="2" w:space="0"/>
            </w:tcBorders>
            <w:vAlign w:val="center"/>
          </w:tcPr>
          <w:p w14:paraId="38C1A9F1">
            <w:pPr>
              <w:spacing w:line="560" w:lineRule="exact"/>
              <w:jc w:val="center"/>
              <w:rPr>
                <w:rFonts w:hint="eastAsia" w:ascii="宋体" w:hAnsi="宋体" w:eastAsia="宋体" w:cs="宋体"/>
                <w:sz w:val="24"/>
                <w:szCs w:val="24"/>
              </w:rPr>
            </w:pPr>
          </w:p>
        </w:tc>
        <w:tc>
          <w:tcPr>
            <w:tcW w:w="1259" w:type="pct"/>
            <w:tcBorders>
              <w:top w:val="single" w:color="auto" w:sz="2" w:space="0"/>
            </w:tcBorders>
            <w:vAlign w:val="center"/>
          </w:tcPr>
          <w:p w14:paraId="37C2D24A">
            <w:pPr>
              <w:spacing w:line="560" w:lineRule="exact"/>
              <w:jc w:val="center"/>
              <w:rPr>
                <w:rFonts w:hint="eastAsia" w:ascii="宋体" w:hAnsi="宋体" w:eastAsia="宋体" w:cs="宋体"/>
                <w:sz w:val="24"/>
                <w:szCs w:val="24"/>
              </w:rPr>
            </w:pPr>
          </w:p>
        </w:tc>
        <w:tc>
          <w:tcPr>
            <w:tcW w:w="535" w:type="pct"/>
            <w:tcBorders>
              <w:top w:val="single" w:color="auto" w:sz="2" w:space="0"/>
            </w:tcBorders>
            <w:vAlign w:val="center"/>
          </w:tcPr>
          <w:p w14:paraId="3F7AB103">
            <w:pPr>
              <w:spacing w:line="560" w:lineRule="exact"/>
              <w:jc w:val="center"/>
              <w:rPr>
                <w:rFonts w:hint="eastAsia" w:ascii="宋体" w:hAnsi="宋体" w:eastAsia="宋体" w:cs="宋体"/>
                <w:sz w:val="24"/>
                <w:szCs w:val="24"/>
              </w:rPr>
            </w:pPr>
          </w:p>
        </w:tc>
        <w:tc>
          <w:tcPr>
            <w:tcW w:w="620" w:type="pct"/>
            <w:tcBorders>
              <w:top w:val="single" w:color="auto" w:sz="2" w:space="0"/>
            </w:tcBorders>
            <w:vAlign w:val="center"/>
          </w:tcPr>
          <w:p w14:paraId="4DC35CB7">
            <w:pPr>
              <w:spacing w:line="560" w:lineRule="exact"/>
              <w:jc w:val="center"/>
              <w:rPr>
                <w:rFonts w:hint="eastAsia" w:ascii="宋体" w:hAnsi="宋体" w:eastAsia="宋体" w:cs="宋体"/>
                <w:sz w:val="24"/>
                <w:szCs w:val="24"/>
              </w:rPr>
            </w:pPr>
          </w:p>
        </w:tc>
      </w:tr>
      <w:tr w14:paraId="47329E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4B215586">
            <w:pPr>
              <w:spacing w:line="560" w:lineRule="exact"/>
              <w:jc w:val="center"/>
              <w:rPr>
                <w:rFonts w:hint="eastAsia" w:ascii="宋体" w:hAnsi="宋体" w:eastAsia="宋体" w:cs="宋体"/>
                <w:sz w:val="24"/>
                <w:szCs w:val="24"/>
              </w:rPr>
            </w:pPr>
          </w:p>
        </w:tc>
        <w:tc>
          <w:tcPr>
            <w:tcW w:w="903" w:type="pct"/>
            <w:vAlign w:val="center"/>
          </w:tcPr>
          <w:p w14:paraId="3B0B261B">
            <w:pPr>
              <w:spacing w:line="560" w:lineRule="exact"/>
              <w:jc w:val="center"/>
              <w:rPr>
                <w:rFonts w:hint="eastAsia" w:ascii="宋体" w:hAnsi="宋体" w:eastAsia="宋体" w:cs="宋体"/>
                <w:sz w:val="24"/>
                <w:szCs w:val="24"/>
              </w:rPr>
            </w:pPr>
          </w:p>
        </w:tc>
        <w:tc>
          <w:tcPr>
            <w:tcW w:w="1325" w:type="pct"/>
            <w:vAlign w:val="center"/>
          </w:tcPr>
          <w:p w14:paraId="2AB6D2D1">
            <w:pPr>
              <w:spacing w:line="560" w:lineRule="exact"/>
              <w:jc w:val="center"/>
              <w:rPr>
                <w:rFonts w:hint="eastAsia" w:ascii="宋体" w:hAnsi="宋体" w:eastAsia="宋体" w:cs="宋体"/>
                <w:sz w:val="24"/>
                <w:szCs w:val="24"/>
              </w:rPr>
            </w:pPr>
          </w:p>
        </w:tc>
        <w:tc>
          <w:tcPr>
            <w:tcW w:w="1259" w:type="pct"/>
            <w:vAlign w:val="center"/>
          </w:tcPr>
          <w:p w14:paraId="2BB7DBD3">
            <w:pPr>
              <w:spacing w:line="560" w:lineRule="exact"/>
              <w:jc w:val="center"/>
              <w:rPr>
                <w:rFonts w:hint="eastAsia" w:ascii="宋体" w:hAnsi="宋体" w:eastAsia="宋体" w:cs="宋体"/>
                <w:sz w:val="24"/>
                <w:szCs w:val="24"/>
              </w:rPr>
            </w:pPr>
          </w:p>
        </w:tc>
        <w:tc>
          <w:tcPr>
            <w:tcW w:w="535" w:type="pct"/>
            <w:vAlign w:val="center"/>
          </w:tcPr>
          <w:p w14:paraId="6B2DB4F7">
            <w:pPr>
              <w:spacing w:line="560" w:lineRule="exact"/>
              <w:jc w:val="center"/>
              <w:rPr>
                <w:rFonts w:hint="eastAsia" w:ascii="宋体" w:hAnsi="宋体" w:eastAsia="宋体" w:cs="宋体"/>
                <w:sz w:val="24"/>
                <w:szCs w:val="24"/>
              </w:rPr>
            </w:pPr>
          </w:p>
        </w:tc>
        <w:tc>
          <w:tcPr>
            <w:tcW w:w="620" w:type="pct"/>
            <w:vAlign w:val="center"/>
          </w:tcPr>
          <w:p w14:paraId="7D5FBB35">
            <w:pPr>
              <w:spacing w:line="560" w:lineRule="exact"/>
              <w:jc w:val="center"/>
              <w:rPr>
                <w:rFonts w:hint="eastAsia" w:ascii="宋体" w:hAnsi="宋体" w:eastAsia="宋体" w:cs="宋体"/>
                <w:sz w:val="24"/>
                <w:szCs w:val="24"/>
              </w:rPr>
            </w:pPr>
          </w:p>
        </w:tc>
      </w:tr>
      <w:tr w14:paraId="2070475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015F44F6">
            <w:pPr>
              <w:spacing w:line="560" w:lineRule="exact"/>
              <w:jc w:val="center"/>
              <w:rPr>
                <w:rFonts w:hint="eastAsia" w:ascii="宋体" w:hAnsi="宋体" w:eastAsia="宋体" w:cs="宋体"/>
                <w:sz w:val="24"/>
                <w:szCs w:val="24"/>
              </w:rPr>
            </w:pPr>
          </w:p>
        </w:tc>
        <w:tc>
          <w:tcPr>
            <w:tcW w:w="903" w:type="pct"/>
            <w:vAlign w:val="center"/>
          </w:tcPr>
          <w:p w14:paraId="7380857B">
            <w:pPr>
              <w:spacing w:line="560" w:lineRule="exact"/>
              <w:jc w:val="center"/>
              <w:rPr>
                <w:rFonts w:hint="eastAsia" w:ascii="宋体" w:hAnsi="宋体" w:eastAsia="宋体" w:cs="宋体"/>
                <w:sz w:val="24"/>
                <w:szCs w:val="24"/>
              </w:rPr>
            </w:pPr>
          </w:p>
        </w:tc>
        <w:tc>
          <w:tcPr>
            <w:tcW w:w="1325" w:type="pct"/>
            <w:vAlign w:val="center"/>
          </w:tcPr>
          <w:p w14:paraId="488286AC">
            <w:pPr>
              <w:spacing w:line="560" w:lineRule="exact"/>
              <w:jc w:val="center"/>
              <w:rPr>
                <w:rFonts w:hint="eastAsia" w:ascii="宋体" w:hAnsi="宋体" w:eastAsia="宋体" w:cs="宋体"/>
                <w:sz w:val="24"/>
                <w:szCs w:val="24"/>
              </w:rPr>
            </w:pPr>
          </w:p>
        </w:tc>
        <w:tc>
          <w:tcPr>
            <w:tcW w:w="1259" w:type="pct"/>
            <w:vAlign w:val="center"/>
          </w:tcPr>
          <w:p w14:paraId="0CB15403">
            <w:pPr>
              <w:spacing w:line="560" w:lineRule="exact"/>
              <w:jc w:val="center"/>
              <w:rPr>
                <w:rFonts w:hint="eastAsia" w:ascii="宋体" w:hAnsi="宋体" w:eastAsia="宋体" w:cs="宋体"/>
                <w:sz w:val="24"/>
                <w:szCs w:val="24"/>
              </w:rPr>
            </w:pPr>
          </w:p>
        </w:tc>
        <w:tc>
          <w:tcPr>
            <w:tcW w:w="535" w:type="pct"/>
            <w:vAlign w:val="center"/>
          </w:tcPr>
          <w:p w14:paraId="67575738">
            <w:pPr>
              <w:spacing w:line="560" w:lineRule="exact"/>
              <w:jc w:val="center"/>
              <w:rPr>
                <w:rFonts w:hint="eastAsia" w:ascii="宋体" w:hAnsi="宋体" w:eastAsia="宋体" w:cs="宋体"/>
                <w:sz w:val="24"/>
                <w:szCs w:val="24"/>
              </w:rPr>
            </w:pPr>
          </w:p>
        </w:tc>
        <w:tc>
          <w:tcPr>
            <w:tcW w:w="620" w:type="pct"/>
            <w:vAlign w:val="center"/>
          </w:tcPr>
          <w:p w14:paraId="31B092D1">
            <w:pPr>
              <w:spacing w:line="560" w:lineRule="exact"/>
              <w:jc w:val="center"/>
              <w:rPr>
                <w:rFonts w:hint="eastAsia" w:ascii="宋体" w:hAnsi="宋体" w:eastAsia="宋体" w:cs="宋体"/>
                <w:sz w:val="24"/>
                <w:szCs w:val="24"/>
              </w:rPr>
            </w:pPr>
          </w:p>
        </w:tc>
      </w:tr>
      <w:tr w14:paraId="115858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54076B0">
            <w:pPr>
              <w:spacing w:line="560" w:lineRule="exact"/>
              <w:jc w:val="center"/>
              <w:rPr>
                <w:rFonts w:hint="eastAsia" w:ascii="宋体" w:hAnsi="宋体" w:eastAsia="宋体" w:cs="宋体"/>
                <w:sz w:val="24"/>
                <w:szCs w:val="24"/>
              </w:rPr>
            </w:pPr>
          </w:p>
        </w:tc>
        <w:tc>
          <w:tcPr>
            <w:tcW w:w="903" w:type="pct"/>
            <w:vAlign w:val="center"/>
          </w:tcPr>
          <w:p w14:paraId="6836D18D">
            <w:pPr>
              <w:spacing w:line="560" w:lineRule="exact"/>
              <w:jc w:val="center"/>
              <w:rPr>
                <w:rFonts w:hint="eastAsia" w:ascii="宋体" w:hAnsi="宋体" w:eastAsia="宋体" w:cs="宋体"/>
                <w:sz w:val="24"/>
                <w:szCs w:val="24"/>
              </w:rPr>
            </w:pPr>
          </w:p>
        </w:tc>
        <w:tc>
          <w:tcPr>
            <w:tcW w:w="1325" w:type="pct"/>
            <w:vAlign w:val="center"/>
          </w:tcPr>
          <w:p w14:paraId="3135C5A7">
            <w:pPr>
              <w:spacing w:line="560" w:lineRule="exact"/>
              <w:jc w:val="center"/>
              <w:rPr>
                <w:rFonts w:hint="eastAsia" w:ascii="宋体" w:hAnsi="宋体" w:eastAsia="宋体" w:cs="宋体"/>
                <w:sz w:val="24"/>
                <w:szCs w:val="24"/>
              </w:rPr>
            </w:pPr>
          </w:p>
        </w:tc>
        <w:tc>
          <w:tcPr>
            <w:tcW w:w="1259" w:type="pct"/>
            <w:vAlign w:val="center"/>
          </w:tcPr>
          <w:p w14:paraId="19CF5295">
            <w:pPr>
              <w:spacing w:line="560" w:lineRule="exact"/>
              <w:jc w:val="center"/>
              <w:rPr>
                <w:rFonts w:hint="eastAsia" w:ascii="宋体" w:hAnsi="宋体" w:eastAsia="宋体" w:cs="宋体"/>
                <w:sz w:val="24"/>
                <w:szCs w:val="24"/>
              </w:rPr>
            </w:pPr>
          </w:p>
        </w:tc>
        <w:tc>
          <w:tcPr>
            <w:tcW w:w="535" w:type="pct"/>
            <w:vAlign w:val="center"/>
          </w:tcPr>
          <w:p w14:paraId="608B35A9">
            <w:pPr>
              <w:spacing w:line="560" w:lineRule="exact"/>
              <w:jc w:val="center"/>
              <w:rPr>
                <w:rFonts w:hint="eastAsia" w:ascii="宋体" w:hAnsi="宋体" w:eastAsia="宋体" w:cs="宋体"/>
                <w:sz w:val="24"/>
                <w:szCs w:val="24"/>
              </w:rPr>
            </w:pPr>
          </w:p>
        </w:tc>
        <w:tc>
          <w:tcPr>
            <w:tcW w:w="620" w:type="pct"/>
            <w:vAlign w:val="center"/>
          </w:tcPr>
          <w:p w14:paraId="2688177D">
            <w:pPr>
              <w:spacing w:line="560" w:lineRule="exact"/>
              <w:jc w:val="center"/>
              <w:rPr>
                <w:rFonts w:hint="eastAsia" w:ascii="宋体" w:hAnsi="宋体" w:eastAsia="宋体" w:cs="宋体"/>
                <w:sz w:val="24"/>
                <w:szCs w:val="24"/>
              </w:rPr>
            </w:pPr>
          </w:p>
        </w:tc>
      </w:tr>
      <w:tr w14:paraId="508AA57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371D5783">
            <w:pPr>
              <w:spacing w:line="560" w:lineRule="exact"/>
              <w:jc w:val="center"/>
              <w:rPr>
                <w:rFonts w:hint="eastAsia" w:ascii="宋体" w:hAnsi="宋体" w:eastAsia="宋体" w:cs="宋体"/>
                <w:sz w:val="24"/>
                <w:szCs w:val="24"/>
              </w:rPr>
            </w:pPr>
          </w:p>
        </w:tc>
        <w:tc>
          <w:tcPr>
            <w:tcW w:w="903" w:type="pct"/>
            <w:vAlign w:val="center"/>
          </w:tcPr>
          <w:p w14:paraId="7FC61FC1">
            <w:pPr>
              <w:spacing w:line="560" w:lineRule="exact"/>
              <w:jc w:val="center"/>
              <w:rPr>
                <w:rFonts w:hint="eastAsia" w:ascii="宋体" w:hAnsi="宋体" w:eastAsia="宋体" w:cs="宋体"/>
                <w:sz w:val="24"/>
                <w:szCs w:val="24"/>
              </w:rPr>
            </w:pPr>
          </w:p>
        </w:tc>
        <w:tc>
          <w:tcPr>
            <w:tcW w:w="1325" w:type="pct"/>
            <w:vAlign w:val="center"/>
          </w:tcPr>
          <w:p w14:paraId="19B8E949">
            <w:pPr>
              <w:spacing w:line="560" w:lineRule="exact"/>
              <w:jc w:val="center"/>
              <w:rPr>
                <w:rFonts w:hint="eastAsia" w:ascii="宋体" w:hAnsi="宋体" w:eastAsia="宋体" w:cs="宋体"/>
                <w:sz w:val="24"/>
                <w:szCs w:val="24"/>
              </w:rPr>
            </w:pPr>
          </w:p>
        </w:tc>
        <w:tc>
          <w:tcPr>
            <w:tcW w:w="1259" w:type="pct"/>
            <w:vAlign w:val="center"/>
          </w:tcPr>
          <w:p w14:paraId="4301739C">
            <w:pPr>
              <w:spacing w:line="560" w:lineRule="exact"/>
              <w:jc w:val="center"/>
              <w:rPr>
                <w:rFonts w:hint="eastAsia" w:ascii="宋体" w:hAnsi="宋体" w:eastAsia="宋体" w:cs="宋体"/>
                <w:sz w:val="24"/>
                <w:szCs w:val="24"/>
              </w:rPr>
            </w:pPr>
          </w:p>
        </w:tc>
        <w:tc>
          <w:tcPr>
            <w:tcW w:w="535" w:type="pct"/>
            <w:vAlign w:val="center"/>
          </w:tcPr>
          <w:p w14:paraId="76F1B0C6">
            <w:pPr>
              <w:spacing w:line="560" w:lineRule="exact"/>
              <w:jc w:val="center"/>
              <w:rPr>
                <w:rFonts w:hint="eastAsia" w:ascii="宋体" w:hAnsi="宋体" w:eastAsia="宋体" w:cs="宋体"/>
                <w:sz w:val="24"/>
                <w:szCs w:val="24"/>
              </w:rPr>
            </w:pPr>
          </w:p>
        </w:tc>
        <w:tc>
          <w:tcPr>
            <w:tcW w:w="620" w:type="pct"/>
            <w:vAlign w:val="center"/>
          </w:tcPr>
          <w:p w14:paraId="6BEFF90C">
            <w:pPr>
              <w:spacing w:line="560" w:lineRule="exact"/>
              <w:jc w:val="center"/>
              <w:rPr>
                <w:rFonts w:hint="eastAsia" w:ascii="宋体" w:hAnsi="宋体" w:eastAsia="宋体" w:cs="宋体"/>
                <w:sz w:val="24"/>
                <w:szCs w:val="24"/>
              </w:rPr>
            </w:pPr>
          </w:p>
        </w:tc>
      </w:tr>
      <w:tr w14:paraId="4ADEF22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2C3569BA">
            <w:pPr>
              <w:spacing w:line="560" w:lineRule="exact"/>
              <w:jc w:val="center"/>
              <w:rPr>
                <w:rFonts w:hint="eastAsia" w:ascii="宋体" w:hAnsi="宋体" w:eastAsia="宋体" w:cs="宋体"/>
                <w:sz w:val="24"/>
                <w:szCs w:val="24"/>
              </w:rPr>
            </w:pPr>
          </w:p>
        </w:tc>
        <w:tc>
          <w:tcPr>
            <w:tcW w:w="903" w:type="pct"/>
            <w:vAlign w:val="center"/>
          </w:tcPr>
          <w:p w14:paraId="07149AD6">
            <w:pPr>
              <w:spacing w:line="560" w:lineRule="exact"/>
              <w:jc w:val="center"/>
              <w:rPr>
                <w:rFonts w:hint="eastAsia" w:ascii="宋体" w:hAnsi="宋体" w:eastAsia="宋体" w:cs="宋体"/>
                <w:sz w:val="24"/>
                <w:szCs w:val="24"/>
              </w:rPr>
            </w:pPr>
          </w:p>
        </w:tc>
        <w:tc>
          <w:tcPr>
            <w:tcW w:w="1325" w:type="pct"/>
            <w:vAlign w:val="center"/>
          </w:tcPr>
          <w:p w14:paraId="033E5667">
            <w:pPr>
              <w:spacing w:line="560" w:lineRule="exact"/>
              <w:jc w:val="center"/>
              <w:rPr>
                <w:rFonts w:hint="eastAsia" w:ascii="宋体" w:hAnsi="宋体" w:eastAsia="宋体" w:cs="宋体"/>
                <w:sz w:val="24"/>
                <w:szCs w:val="24"/>
              </w:rPr>
            </w:pPr>
          </w:p>
        </w:tc>
        <w:tc>
          <w:tcPr>
            <w:tcW w:w="1259" w:type="pct"/>
            <w:vAlign w:val="center"/>
          </w:tcPr>
          <w:p w14:paraId="0FD7F8C2">
            <w:pPr>
              <w:spacing w:line="560" w:lineRule="exact"/>
              <w:jc w:val="center"/>
              <w:rPr>
                <w:rFonts w:hint="eastAsia" w:ascii="宋体" w:hAnsi="宋体" w:eastAsia="宋体" w:cs="宋体"/>
                <w:sz w:val="24"/>
                <w:szCs w:val="24"/>
              </w:rPr>
            </w:pPr>
          </w:p>
        </w:tc>
        <w:tc>
          <w:tcPr>
            <w:tcW w:w="535" w:type="pct"/>
            <w:vAlign w:val="center"/>
          </w:tcPr>
          <w:p w14:paraId="3C56FC1B">
            <w:pPr>
              <w:spacing w:line="560" w:lineRule="exact"/>
              <w:jc w:val="center"/>
              <w:rPr>
                <w:rFonts w:hint="eastAsia" w:ascii="宋体" w:hAnsi="宋体" w:eastAsia="宋体" w:cs="宋体"/>
                <w:sz w:val="24"/>
                <w:szCs w:val="24"/>
              </w:rPr>
            </w:pPr>
          </w:p>
        </w:tc>
        <w:tc>
          <w:tcPr>
            <w:tcW w:w="620" w:type="pct"/>
            <w:vAlign w:val="center"/>
          </w:tcPr>
          <w:p w14:paraId="47140C98">
            <w:pPr>
              <w:spacing w:line="560" w:lineRule="exact"/>
              <w:jc w:val="center"/>
              <w:rPr>
                <w:rFonts w:hint="eastAsia" w:ascii="宋体" w:hAnsi="宋体" w:eastAsia="宋体" w:cs="宋体"/>
                <w:sz w:val="24"/>
                <w:szCs w:val="24"/>
              </w:rPr>
            </w:pPr>
          </w:p>
        </w:tc>
      </w:tr>
      <w:tr w14:paraId="28345A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vAlign w:val="center"/>
          </w:tcPr>
          <w:p w14:paraId="748F8F58">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vAlign w:val="center"/>
          </w:tcPr>
          <w:p w14:paraId="08438281">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39597489">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7F6784D">
      <w:pPr>
        <w:spacing w:line="560" w:lineRule="exact"/>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75B95C6">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6C1D4DE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BC9691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F7A8477">
      <w:pPr>
        <w:spacing w:line="560" w:lineRule="exact"/>
        <w:ind w:firstLine="480" w:firstLineChars="200"/>
        <w:jc w:val="both"/>
        <w:rPr>
          <w:rFonts w:hint="eastAsia" w:ascii="宋体" w:hAnsi="宋体" w:eastAsia="宋体" w:cs="宋体"/>
          <w:sz w:val="24"/>
          <w:szCs w:val="24"/>
        </w:rPr>
      </w:pPr>
    </w:p>
    <w:p w14:paraId="129A83D6">
      <w:pPr>
        <w:spacing w:line="560" w:lineRule="exact"/>
        <w:ind w:firstLine="480" w:firstLineChars="200"/>
        <w:jc w:val="both"/>
        <w:rPr>
          <w:rFonts w:hint="eastAsia" w:ascii="宋体" w:hAnsi="宋体" w:eastAsia="宋体" w:cs="宋体"/>
          <w:sz w:val="24"/>
          <w:szCs w:val="24"/>
        </w:rPr>
      </w:pPr>
    </w:p>
    <w:p w14:paraId="503C0A67">
      <w:pPr>
        <w:spacing w:line="560" w:lineRule="exact"/>
        <w:ind w:firstLine="480" w:firstLineChars="200"/>
        <w:jc w:val="both"/>
        <w:rPr>
          <w:rFonts w:hint="eastAsia" w:ascii="宋体" w:hAnsi="宋体" w:eastAsia="宋体" w:cs="宋体"/>
          <w:sz w:val="24"/>
          <w:szCs w:val="24"/>
        </w:rPr>
      </w:pPr>
    </w:p>
    <w:p w14:paraId="0144911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br w:type="page"/>
      </w:r>
    </w:p>
    <w:p w14:paraId="7CC783FB">
      <w:pPr>
        <w:pStyle w:val="96"/>
        <w:spacing w:before="210" w:after="210"/>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059"/>
        <w:gridCol w:w="1661"/>
        <w:gridCol w:w="2700"/>
        <w:gridCol w:w="2715"/>
        <w:gridCol w:w="1375"/>
      </w:tblGrid>
      <w:tr w14:paraId="085DB42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themeFill="background1" w:themeFillShade="F2"/>
            <w:vAlign w:val="center"/>
          </w:tcPr>
          <w:p w14:paraId="2BD75828">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themeFill="background1" w:themeFillShade="F2"/>
            <w:vAlign w:val="center"/>
          </w:tcPr>
          <w:p w14:paraId="53502999">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themeFill="background1" w:themeFillShade="F2"/>
            <w:vAlign w:val="center"/>
          </w:tcPr>
          <w:p w14:paraId="530C315A">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themeFill="background1" w:themeFillShade="F2"/>
            <w:vAlign w:val="center"/>
          </w:tcPr>
          <w:p w14:paraId="46ACEC95">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themeFill="background1" w:themeFillShade="F2"/>
            <w:vAlign w:val="center"/>
          </w:tcPr>
          <w:p w14:paraId="0E5DB590">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0B760A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vAlign w:val="center"/>
          </w:tcPr>
          <w:p w14:paraId="16E609A0">
            <w:pPr>
              <w:jc w:val="center"/>
              <w:rPr>
                <w:rFonts w:hint="eastAsia" w:ascii="宋体" w:hAnsi="宋体" w:eastAsia="宋体" w:cs="宋体"/>
                <w:sz w:val="24"/>
                <w:szCs w:val="24"/>
              </w:rPr>
            </w:pPr>
          </w:p>
        </w:tc>
        <w:tc>
          <w:tcPr>
            <w:tcW w:w="873" w:type="pct"/>
            <w:tcBorders>
              <w:top w:val="single" w:color="auto" w:sz="2" w:space="0"/>
            </w:tcBorders>
            <w:vAlign w:val="center"/>
          </w:tcPr>
          <w:p w14:paraId="0DA8AA4C">
            <w:pPr>
              <w:jc w:val="center"/>
              <w:rPr>
                <w:rFonts w:hint="eastAsia" w:ascii="宋体" w:hAnsi="宋体" w:eastAsia="宋体" w:cs="宋体"/>
                <w:sz w:val="24"/>
                <w:szCs w:val="24"/>
              </w:rPr>
            </w:pPr>
          </w:p>
        </w:tc>
        <w:tc>
          <w:tcPr>
            <w:tcW w:w="1419" w:type="pct"/>
            <w:tcBorders>
              <w:top w:val="single" w:color="auto" w:sz="2" w:space="0"/>
            </w:tcBorders>
            <w:vAlign w:val="center"/>
          </w:tcPr>
          <w:p w14:paraId="58AF126F">
            <w:pPr>
              <w:jc w:val="center"/>
              <w:rPr>
                <w:rFonts w:hint="eastAsia" w:ascii="宋体" w:hAnsi="宋体" w:eastAsia="宋体" w:cs="宋体"/>
                <w:sz w:val="24"/>
                <w:szCs w:val="24"/>
              </w:rPr>
            </w:pPr>
          </w:p>
        </w:tc>
        <w:tc>
          <w:tcPr>
            <w:tcW w:w="1427" w:type="pct"/>
            <w:tcBorders>
              <w:top w:val="single" w:color="auto" w:sz="2" w:space="0"/>
            </w:tcBorders>
            <w:vAlign w:val="center"/>
          </w:tcPr>
          <w:p w14:paraId="394FFF99">
            <w:pPr>
              <w:jc w:val="center"/>
              <w:rPr>
                <w:rFonts w:hint="eastAsia" w:ascii="宋体" w:hAnsi="宋体" w:eastAsia="宋体" w:cs="宋体"/>
                <w:sz w:val="24"/>
                <w:szCs w:val="24"/>
              </w:rPr>
            </w:pPr>
          </w:p>
        </w:tc>
        <w:tc>
          <w:tcPr>
            <w:tcW w:w="722" w:type="pct"/>
            <w:tcBorders>
              <w:top w:val="single" w:color="auto" w:sz="2" w:space="0"/>
            </w:tcBorders>
            <w:vAlign w:val="center"/>
          </w:tcPr>
          <w:p w14:paraId="6CD9B568">
            <w:pPr>
              <w:jc w:val="center"/>
              <w:rPr>
                <w:rFonts w:hint="eastAsia" w:ascii="宋体" w:hAnsi="宋体" w:eastAsia="宋体" w:cs="宋体"/>
                <w:sz w:val="24"/>
                <w:szCs w:val="24"/>
              </w:rPr>
            </w:pPr>
          </w:p>
        </w:tc>
      </w:tr>
      <w:tr w14:paraId="293B86F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09FD63A5">
            <w:pPr>
              <w:jc w:val="center"/>
              <w:rPr>
                <w:rFonts w:hint="eastAsia" w:ascii="宋体" w:hAnsi="宋体" w:eastAsia="宋体" w:cs="宋体"/>
                <w:sz w:val="24"/>
                <w:szCs w:val="24"/>
              </w:rPr>
            </w:pPr>
          </w:p>
        </w:tc>
        <w:tc>
          <w:tcPr>
            <w:tcW w:w="873" w:type="pct"/>
            <w:vAlign w:val="center"/>
          </w:tcPr>
          <w:p w14:paraId="52D13121">
            <w:pPr>
              <w:jc w:val="center"/>
              <w:rPr>
                <w:rFonts w:hint="eastAsia" w:ascii="宋体" w:hAnsi="宋体" w:eastAsia="宋体" w:cs="宋体"/>
                <w:sz w:val="24"/>
                <w:szCs w:val="24"/>
              </w:rPr>
            </w:pPr>
          </w:p>
        </w:tc>
        <w:tc>
          <w:tcPr>
            <w:tcW w:w="1419" w:type="pct"/>
            <w:vAlign w:val="center"/>
          </w:tcPr>
          <w:p w14:paraId="045C5E27">
            <w:pPr>
              <w:jc w:val="center"/>
              <w:rPr>
                <w:rFonts w:hint="eastAsia" w:ascii="宋体" w:hAnsi="宋体" w:eastAsia="宋体" w:cs="宋体"/>
                <w:sz w:val="24"/>
                <w:szCs w:val="24"/>
              </w:rPr>
            </w:pPr>
          </w:p>
        </w:tc>
        <w:tc>
          <w:tcPr>
            <w:tcW w:w="1427" w:type="pct"/>
            <w:vAlign w:val="center"/>
          </w:tcPr>
          <w:p w14:paraId="414109CE">
            <w:pPr>
              <w:jc w:val="center"/>
              <w:rPr>
                <w:rFonts w:hint="eastAsia" w:ascii="宋体" w:hAnsi="宋体" w:eastAsia="宋体" w:cs="宋体"/>
                <w:sz w:val="24"/>
                <w:szCs w:val="24"/>
              </w:rPr>
            </w:pPr>
          </w:p>
        </w:tc>
        <w:tc>
          <w:tcPr>
            <w:tcW w:w="722" w:type="pct"/>
            <w:vAlign w:val="center"/>
          </w:tcPr>
          <w:p w14:paraId="29BA5F90">
            <w:pPr>
              <w:jc w:val="center"/>
              <w:rPr>
                <w:rFonts w:hint="eastAsia" w:ascii="宋体" w:hAnsi="宋体" w:eastAsia="宋体" w:cs="宋体"/>
                <w:sz w:val="24"/>
                <w:szCs w:val="24"/>
              </w:rPr>
            </w:pPr>
          </w:p>
        </w:tc>
      </w:tr>
      <w:tr w14:paraId="1BF04D9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4A3D0F02">
            <w:pPr>
              <w:jc w:val="center"/>
              <w:rPr>
                <w:rFonts w:hint="eastAsia" w:ascii="宋体" w:hAnsi="宋体" w:eastAsia="宋体" w:cs="宋体"/>
                <w:sz w:val="24"/>
                <w:szCs w:val="24"/>
              </w:rPr>
            </w:pPr>
          </w:p>
        </w:tc>
        <w:tc>
          <w:tcPr>
            <w:tcW w:w="873" w:type="pct"/>
            <w:vAlign w:val="center"/>
          </w:tcPr>
          <w:p w14:paraId="6CD09BA2">
            <w:pPr>
              <w:jc w:val="center"/>
              <w:rPr>
                <w:rFonts w:hint="eastAsia" w:ascii="宋体" w:hAnsi="宋体" w:eastAsia="宋体" w:cs="宋体"/>
                <w:sz w:val="24"/>
                <w:szCs w:val="24"/>
              </w:rPr>
            </w:pPr>
          </w:p>
        </w:tc>
        <w:tc>
          <w:tcPr>
            <w:tcW w:w="1419" w:type="pct"/>
            <w:vAlign w:val="center"/>
          </w:tcPr>
          <w:p w14:paraId="634F5B65">
            <w:pPr>
              <w:jc w:val="center"/>
              <w:rPr>
                <w:rFonts w:hint="eastAsia" w:ascii="宋体" w:hAnsi="宋体" w:eastAsia="宋体" w:cs="宋体"/>
                <w:sz w:val="24"/>
                <w:szCs w:val="24"/>
              </w:rPr>
            </w:pPr>
          </w:p>
        </w:tc>
        <w:tc>
          <w:tcPr>
            <w:tcW w:w="1427" w:type="pct"/>
            <w:vAlign w:val="center"/>
          </w:tcPr>
          <w:p w14:paraId="560459D7">
            <w:pPr>
              <w:jc w:val="center"/>
              <w:rPr>
                <w:rFonts w:hint="eastAsia" w:ascii="宋体" w:hAnsi="宋体" w:eastAsia="宋体" w:cs="宋体"/>
                <w:sz w:val="24"/>
                <w:szCs w:val="24"/>
              </w:rPr>
            </w:pPr>
          </w:p>
        </w:tc>
        <w:tc>
          <w:tcPr>
            <w:tcW w:w="722" w:type="pct"/>
            <w:vAlign w:val="center"/>
          </w:tcPr>
          <w:p w14:paraId="74EF1B9C">
            <w:pPr>
              <w:jc w:val="center"/>
              <w:rPr>
                <w:rFonts w:hint="eastAsia" w:ascii="宋体" w:hAnsi="宋体" w:eastAsia="宋体" w:cs="宋体"/>
                <w:sz w:val="24"/>
                <w:szCs w:val="24"/>
              </w:rPr>
            </w:pPr>
          </w:p>
        </w:tc>
      </w:tr>
      <w:tr w14:paraId="1E6FB5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7EDF054">
            <w:pPr>
              <w:jc w:val="center"/>
              <w:rPr>
                <w:rFonts w:hint="eastAsia" w:ascii="宋体" w:hAnsi="宋体" w:eastAsia="宋体" w:cs="宋体"/>
                <w:sz w:val="24"/>
                <w:szCs w:val="24"/>
              </w:rPr>
            </w:pPr>
          </w:p>
        </w:tc>
        <w:tc>
          <w:tcPr>
            <w:tcW w:w="873" w:type="pct"/>
            <w:vAlign w:val="center"/>
          </w:tcPr>
          <w:p w14:paraId="159B015D">
            <w:pPr>
              <w:jc w:val="center"/>
              <w:rPr>
                <w:rFonts w:hint="eastAsia" w:ascii="宋体" w:hAnsi="宋体" w:eastAsia="宋体" w:cs="宋体"/>
                <w:sz w:val="24"/>
                <w:szCs w:val="24"/>
              </w:rPr>
            </w:pPr>
          </w:p>
        </w:tc>
        <w:tc>
          <w:tcPr>
            <w:tcW w:w="1419" w:type="pct"/>
            <w:vAlign w:val="center"/>
          </w:tcPr>
          <w:p w14:paraId="756772BF">
            <w:pPr>
              <w:jc w:val="center"/>
              <w:rPr>
                <w:rFonts w:hint="eastAsia" w:ascii="宋体" w:hAnsi="宋体" w:eastAsia="宋体" w:cs="宋体"/>
                <w:sz w:val="24"/>
                <w:szCs w:val="24"/>
              </w:rPr>
            </w:pPr>
          </w:p>
        </w:tc>
        <w:tc>
          <w:tcPr>
            <w:tcW w:w="1427" w:type="pct"/>
            <w:vAlign w:val="center"/>
          </w:tcPr>
          <w:p w14:paraId="0FC10498">
            <w:pPr>
              <w:jc w:val="center"/>
              <w:rPr>
                <w:rFonts w:hint="eastAsia" w:ascii="宋体" w:hAnsi="宋体" w:eastAsia="宋体" w:cs="宋体"/>
                <w:sz w:val="24"/>
                <w:szCs w:val="24"/>
              </w:rPr>
            </w:pPr>
          </w:p>
        </w:tc>
        <w:tc>
          <w:tcPr>
            <w:tcW w:w="722" w:type="pct"/>
            <w:vAlign w:val="center"/>
          </w:tcPr>
          <w:p w14:paraId="487A6286">
            <w:pPr>
              <w:jc w:val="center"/>
              <w:rPr>
                <w:rFonts w:hint="eastAsia" w:ascii="宋体" w:hAnsi="宋体" w:eastAsia="宋体" w:cs="宋体"/>
                <w:sz w:val="24"/>
                <w:szCs w:val="24"/>
              </w:rPr>
            </w:pPr>
          </w:p>
        </w:tc>
      </w:tr>
      <w:tr w14:paraId="59F760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3759D21">
            <w:pPr>
              <w:jc w:val="center"/>
              <w:rPr>
                <w:rFonts w:hint="eastAsia" w:ascii="宋体" w:hAnsi="宋体" w:eastAsia="宋体" w:cs="宋体"/>
                <w:sz w:val="24"/>
                <w:szCs w:val="24"/>
              </w:rPr>
            </w:pPr>
          </w:p>
        </w:tc>
        <w:tc>
          <w:tcPr>
            <w:tcW w:w="873" w:type="pct"/>
            <w:vAlign w:val="center"/>
          </w:tcPr>
          <w:p w14:paraId="1F238995">
            <w:pPr>
              <w:jc w:val="center"/>
              <w:rPr>
                <w:rFonts w:hint="eastAsia" w:ascii="宋体" w:hAnsi="宋体" w:eastAsia="宋体" w:cs="宋体"/>
                <w:sz w:val="24"/>
                <w:szCs w:val="24"/>
              </w:rPr>
            </w:pPr>
          </w:p>
        </w:tc>
        <w:tc>
          <w:tcPr>
            <w:tcW w:w="1419" w:type="pct"/>
            <w:vAlign w:val="center"/>
          </w:tcPr>
          <w:p w14:paraId="5A8881BB">
            <w:pPr>
              <w:jc w:val="center"/>
              <w:rPr>
                <w:rFonts w:hint="eastAsia" w:ascii="宋体" w:hAnsi="宋体" w:eastAsia="宋体" w:cs="宋体"/>
                <w:sz w:val="24"/>
                <w:szCs w:val="24"/>
              </w:rPr>
            </w:pPr>
          </w:p>
        </w:tc>
        <w:tc>
          <w:tcPr>
            <w:tcW w:w="1427" w:type="pct"/>
            <w:vAlign w:val="center"/>
          </w:tcPr>
          <w:p w14:paraId="7B3F2895">
            <w:pPr>
              <w:jc w:val="center"/>
              <w:rPr>
                <w:rFonts w:hint="eastAsia" w:ascii="宋体" w:hAnsi="宋体" w:eastAsia="宋体" w:cs="宋体"/>
                <w:sz w:val="24"/>
                <w:szCs w:val="24"/>
              </w:rPr>
            </w:pPr>
          </w:p>
        </w:tc>
        <w:tc>
          <w:tcPr>
            <w:tcW w:w="722" w:type="pct"/>
            <w:vAlign w:val="center"/>
          </w:tcPr>
          <w:p w14:paraId="2E2CD174">
            <w:pPr>
              <w:jc w:val="center"/>
              <w:rPr>
                <w:rFonts w:hint="eastAsia" w:ascii="宋体" w:hAnsi="宋体" w:eastAsia="宋体" w:cs="宋体"/>
                <w:sz w:val="24"/>
                <w:szCs w:val="24"/>
              </w:rPr>
            </w:pPr>
          </w:p>
        </w:tc>
      </w:tr>
      <w:tr w14:paraId="3DBDDF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2FFFB162">
            <w:pPr>
              <w:jc w:val="center"/>
              <w:rPr>
                <w:rFonts w:hint="eastAsia" w:ascii="宋体" w:hAnsi="宋体" w:eastAsia="宋体" w:cs="宋体"/>
                <w:sz w:val="24"/>
                <w:szCs w:val="24"/>
              </w:rPr>
            </w:pPr>
          </w:p>
        </w:tc>
        <w:tc>
          <w:tcPr>
            <w:tcW w:w="873" w:type="pct"/>
            <w:vAlign w:val="center"/>
          </w:tcPr>
          <w:p w14:paraId="15143164">
            <w:pPr>
              <w:jc w:val="center"/>
              <w:rPr>
                <w:rFonts w:hint="eastAsia" w:ascii="宋体" w:hAnsi="宋体" w:eastAsia="宋体" w:cs="宋体"/>
                <w:sz w:val="24"/>
                <w:szCs w:val="24"/>
              </w:rPr>
            </w:pPr>
          </w:p>
        </w:tc>
        <w:tc>
          <w:tcPr>
            <w:tcW w:w="1419" w:type="pct"/>
            <w:vAlign w:val="center"/>
          </w:tcPr>
          <w:p w14:paraId="46990C3D">
            <w:pPr>
              <w:jc w:val="center"/>
              <w:rPr>
                <w:rFonts w:hint="eastAsia" w:ascii="宋体" w:hAnsi="宋体" w:eastAsia="宋体" w:cs="宋体"/>
                <w:sz w:val="24"/>
                <w:szCs w:val="24"/>
              </w:rPr>
            </w:pPr>
          </w:p>
        </w:tc>
        <w:tc>
          <w:tcPr>
            <w:tcW w:w="1427" w:type="pct"/>
            <w:vAlign w:val="center"/>
          </w:tcPr>
          <w:p w14:paraId="05C9C231">
            <w:pPr>
              <w:jc w:val="center"/>
              <w:rPr>
                <w:rFonts w:hint="eastAsia" w:ascii="宋体" w:hAnsi="宋体" w:eastAsia="宋体" w:cs="宋体"/>
                <w:sz w:val="24"/>
                <w:szCs w:val="24"/>
              </w:rPr>
            </w:pPr>
          </w:p>
        </w:tc>
        <w:tc>
          <w:tcPr>
            <w:tcW w:w="722" w:type="pct"/>
            <w:vAlign w:val="center"/>
          </w:tcPr>
          <w:p w14:paraId="4CA2ACBD">
            <w:pPr>
              <w:jc w:val="center"/>
              <w:rPr>
                <w:rFonts w:hint="eastAsia" w:ascii="宋体" w:hAnsi="宋体" w:eastAsia="宋体" w:cs="宋体"/>
                <w:sz w:val="24"/>
                <w:szCs w:val="24"/>
              </w:rPr>
            </w:pPr>
          </w:p>
        </w:tc>
      </w:tr>
      <w:tr w14:paraId="4808285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6AC3DB6E">
            <w:pPr>
              <w:jc w:val="center"/>
              <w:rPr>
                <w:rFonts w:hint="eastAsia" w:ascii="宋体" w:hAnsi="宋体" w:eastAsia="宋体" w:cs="宋体"/>
                <w:sz w:val="24"/>
                <w:szCs w:val="24"/>
              </w:rPr>
            </w:pPr>
          </w:p>
        </w:tc>
        <w:tc>
          <w:tcPr>
            <w:tcW w:w="873" w:type="pct"/>
            <w:vAlign w:val="center"/>
          </w:tcPr>
          <w:p w14:paraId="3E1FDB4F">
            <w:pPr>
              <w:jc w:val="center"/>
              <w:rPr>
                <w:rFonts w:hint="eastAsia" w:ascii="宋体" w:hAnsi="宋体" w:eastAsia="宋体" w:cs="宋体"/>
                <w:sz w:val="24"/>
                <w:szCs w:val="24"/>
              </w:rPr>
            </w:pPr>
          </w:p>
        </w:tc>
        <w:tc>
          <w:tcPr>
            <w:tcW w:w="1419" w:type="pct"/>
            <w:vAlign w:val="center"/>
          </w:tcPr>
          <w:p w14:paraId="30B529B6">
            <w:pPr>
              <w:jc w:val="center"/>
              <w:rPr>
                <w:rFonts w:hint="eastAsia" w:ascii="宋体" w:hAnsi="宋体" w:eastAsia="宋体" w:cs="宋体"/>
                <w:sz w:val="24"/>
                <w:szCs w:val="24"/>
              </w:rPr>
            </w:pPr>
          </w:p>
        </w:tc>
        <w:tc>
          <w:tcPr>
            <w:tcW w:w="1427" w:type="pct"/>
            <w:vAlign w:val="center"/>
          </w:tcPr>
          <w:p w14:paraId="29CEF51F">
            <w:pPr>
              <w:jc w:val="center"/>
              <w:rPr>
                <w:rFonts w:hint="eastAsia" w:ascii="宋体" w:hAnsi="宋体" w:eastAsia="宋体" w:cs="宋体"/>
                <w:sz w:val="24"/>
                <w:szCs w:val="24"/>
              </w:rPr>
            </w:pPr>
          </w:p>
        </w:tc>
        <w:tc>
          <w:tcPr>
            <w:tcW w:w="722" w:type="pct"/>
            <w:vAlign w:val="center"/>
          </w:tcPr>
          <w:p w14:paraId="5B71D87D">
            <w:pPr>
              <w:jc w:val="center"/>
              <w:rPr>
                <w:rFonts w:hint="eastAsia" w:ascii="宋体" w:hAnsi="宋体" w:eastAsia="宋体" w:cs="宋体"/>
                <w:sz w:val="24"/>
                <w:szCs w:val="24"/>
              </w:rPr>
            </w:pPr>
          </w:p>
        </w:tc>
      </w:tr>
      <w:tr w14:paraId="2488CD2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vAlign w:val="center"/>
          </w:tcPr>
          <w:p w14:paraId="7E230B7D">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vAlign w:val="center"/>
          </w:tcPr>
          <w:p w14:paraId="377F179F">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375F941C">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7D635A61">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声明：除上表所列的合同条款外，招标文件中的其他合同条款我方均完全接受。</w:t>
      </w:r>
    </w:p>
    <w:p w14:paraId="3946D14F">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2B11D0C3">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81309A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648F388">
      <w:pPr>
        <w:spacing w:line="560" w:lineRule="exact"/>
        <w:jc w:val="both"/>
        <w:rPr>
          <w:rFonts w:hint="eastAsia" w:ascii="宋体" w:hAnsi="宋体" w:eastAsia="宋体" w:cs="宋体"/>
          <w:sz w:val="24"/>
          <w:szCs w:val="24"/>
        </w:rPr>
      </w:pPr>
      <w:r>
        <w:rPr>
          <w:rFonts w:hint="eastAsia" w:ascii="宋体" w:hAnsi="宋体" w:eastAsia="宋体" w:cs="宋体"/>
          <w:sz w:val="24"/>
          <w:szCs w:val="24"/>
        </w:rPr>
        <w:br w:type="page"/>
      </w:r>
    </w:p>
    <w:p w14:paraId="2FC668BE">
      <w:pPr>
        <w:pStyle w:val="96"/>
        <w:spacing w:before="210" w:after="210" w:line="240" w:lineRule="auto"/>
        <w:ind w:left="0" w:leftChars="0" w:firstLine="0" w:firstLineChars="0"/>
        <w:outlineLvl w:val="9"/>
        <w:rPr>
          <w:rFonts w:hint="eastAsia" w:ascii="宋体" w:hAnsi="宋体" w:eastAsia="宋体" w:cs="宋体"/>
          <w:sz w:val="24"/>
          <w:szCs w:val="24"/>
        </w:rPr>
      </w:pPr>
      <w:r>
        <w:rPr>
          <w:rFonts w:hint="eastAsia" w:ascii="宋体" w:hAnsi="宋体" w:eastAsia="宋体" w:cs="宋体"/>
          <w:sz w:val="24"/>
          <w:szCs w:val="24"/>
        </w:rPr>
        <w:t>（四）其他需要供应商提供的材料</w:t>
      </w:r>
    </w:p>
    <w:p w14:paraId="351C67E6">
      <w:pPr>
        <w:spacing w:line="240" w:lineRule="auto"/>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002"/>
        <w:gridCol w:w="1310"/>
        <w:gridCol w:w="25"/>
        <w:gridCol w:w="1411"/>
        <w:gridCol w:w="17"/>
        <w:gridCol w:w="8"/>
        <w:gridCol w:w="1633"/>
        <w:gridCol w:w="1806"/>
        <w:gridCol w:w="1185"/>
      </w:tblGrid>
      <w:tr w14:paraId="643F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themeFill="background1" w:themeFillShade="F2"/>
            <w:vAlign w:val="center"/>
          </w:tcPr>
          <w:p w14:paraId="51B8E543">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5A66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CE8274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2F4901A">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6E843B80">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0" w:type="pct"/>
            <w:gridSpan w:val="2"/>
            <w:vAlign w:val="center"/>
          </w:tcPr>
          <w:p w14:paraId="441B8CD9">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6" w:type="pct"/>
            <w:gridSpan w:val="3"/>
            <w:vAlign w:val="center"/>
          </w:tcPr>
          <w:p w14:paraId="25A2916B">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vAlign w:val="center"/>
          </w:tcPr>
          <w:p w14:paraId="304752AE">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left w:val="single" w:color="auto" w:sz="2" w:space="0"/>
              <w:right w:val="single" w:color="auto" w:sz="12" w:space="0"/>
            </w:tcBorders>
            <w:vAlign w:val="center"/>
          </w:tcPr>
          <w:p w14:paraId="4E382A91">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9BFE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F40525D">
            <w:pPr>
              <w:jc w:val="both"/>
              <w:rPr>
                <w:rFonts w:hint="eastAsia" w:ascii="宋体" w:hAnsi="宋体" w:eastAsia="宋体" w:cs="宋体"/>
                <w:sz w:val="24"/>
                <w:szCs w:val="24"/>
              </w:rPr>
            </w:pPr>
          </w:p>
        </w:tc>
        <w:tc>
          <w:tcPr>
            <w:tcW w:w="523" w:type="pct"/>
            <w:tcBorders>
              <w:left w:val="single" w:color="auto" w:sz="6" w:space="0"/>
            </w:tcBorders>
            <w:vAlign w:val="center"/>
          </w:tcPr>
          <w:p w14:paraId="0E4B3AB6">
            <w:pPr>
              <w:jc w:val="both"/>
              <w:rPr>
                <w:rFonts w:hint="eastAsia" w:ascii="宋体" w:hAnsi="宋体" w:eastAsia="宋体" w:cs="宋体"/>
                <w:sz w:val="24"/>
                <w:szCs w:val="24"/>
              </w:rPr>
            </w:pPr>
          </w:p>
        </w:tc>
        <w:tc>
          <w:tcPr>
            <w:tcW w:w="684" w:type="pct"/>
            <w:vAlign w:val="center"/>
          </w:tcPr>
          <w:p w14:paraId="77CDDD10">
            <w:pPr>
              <w:jc w:val="both"/>
              <w:rPr>
                <w:rFonts w:hint="eastAsia" w:ascii="宋体" w:hAnsi="宋体" w:eastAsia="宋体" w:cs="宋体"/>
                <w:sz w:val="24"/>
                <w:szCs w:val="24"/>
              </w:rPr>
            </w:pPr>
          </w:p>
        </w:tc>
        <w:tc>
          <w:tcPr>
            <w:tcW w:w="750" w:type="pct"/>
            <w:gridSpan w:val="2"/>
            <w:vAlign w:val="center"/>
          </w:tcPr>
          <w:p w14:paraId="2ED42B08">
            <w:pPr>
              <w:jc w:val="both"/>
              <w:rPr>
                <w:rFonts w:hint="eastAsia" w:ascii="宋体" w:hAnsi="宋体" w:eastAsia="宋体" w:cs="宋体"/>
                <w:sz w:val="24"/>
                <w:szCs w:val="24"/>
              </w:rPr>
            </w:pPr>
          </w:p>
        </w:tc>
        <w:tc>
          <w:tcPr>
            <w:tcW w:w="866" w:type="pct"/>
            <w:gridSpan w:val="3"/>
            <w:vAlign w:val="center"/>
          </w:tcPr>
          <w:p w14:paraId="67024D99">
            <w:pPr>
              <w:jc w:val="both"/>
              <w:rPr>
                <w:rFonts w:hint="eastAsia" w:ascii="宋体" w:hAnsi="宋体" w:eastAsia="宋体" w:cs="宋体"/>
                <w:sz w:val="24"/>
                <w:szCs w:val="24"/>
              </w:rPr>
            </w:pPr>
          </w:p>
        </w:tc>
        <w:tc>
          <w:tcPr>
            <w:tcW w:w="943" w:type="pct"/>
            <w:tcBorders>
              <w:right w:val="single" w:color="auto" w:sz="2" w:space="0"/>
            </w:tcBorders>
            <w:vAlign w:val="center"/>
          </w:tcPr>
          <w:p w14:paraId="1D21B17D">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3AE082AF">
            <w:pPr>
              <w:jc w:val="both"/>
              <w:rPr>
                <w:rFonts w:hint="eastAsia" w:ascii="宋体" w:hAnsi="宋体" w:eastAsia="宋体" w:cs="宋体"/>
                <w:sz w:val="24"/>
                <w:szCs w:val="24"/>
              </w:rPr>
            </w:pPr>
          </w:p>
        </w:tc>
      </w:tr>
      <w:tr w14:paraId="3F0F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A9350DE">
            <w:pPr>
              <w:jc w:val="both"/>
              <w:rPr>
                <w:rFonts w:hint="eastAsia" w:ascii="宋体" w:hAnsi="宋体" w:eastAsia="宋体" w:cs="宋体"/>
                <w:sz w:val="24"/>
                <w:szCs w:val="24"/>
              </w:rPr>
            </w:pPr>
          </w:p>
        </w:tc>
        <w:tc>
          <w:tcPr>
            <w:tcW w:w="523" w:type="pct"/>
            <w:tcBorders>
              <w:left w:val="single" w:color="auto" w:sz="6" w:space="0"/>
            </w:tcBorders>
            <w:vAlign w:val="center"/>
          </w:tcPr>
          <w:p w14:paraId="060EB2FC">
            <w:pPr>
              <w:jc w:val="both"/>
              <w:rPr>
                <w:rFonts w:hint="eastAsia" w:ascii="宋体" w:hAnsi="宋体" w:eastAsia="宋体" w:cs="宋体"/>
                <w:sz w:val="24"/>
                <w:szCs w:val="24"/>
              </w:rPr>
            </w:pPr>
          </w:p>
        </w:tc>
        <w:tc>
          <w:tcPr>
            <w:tcW w:w="684" w:type="pct"/>
            <w:vAlign w:val="center"/>
          </w:tcPr>
          <w:p w14:paraId="6683A14F">
            <w:pPr>
              <w:jc w:val="both"/>
              <w:rPr>
                <w:rFonts w:hint="eastAsia" w:ascii="宋体" w:hAnsi="宋体" w:eastAsia="宋体" w:cs="宋体"/>
                <w:sz w:val="24"/>
                <w:szCs w:val="24"/>
              </w:rPr>
            </w:pPr>
          </w:p>
        </w:tc>
        <w:tc>
          <w:tcPr>
            <w:tcW w:w="750" w:type="pct"/>
            <w:gridSpan w:val="2"/>
            <w:vAlign w:val="center"/>
          </w:tcPr>
          <w:p w14:paraId="303C19D6">
            <w:pPr>
              <w:jc w:val="both"/>
              <w:rPr>
                <w:rFonts w:hint="eastAsia" w:ascii="宋体" w:hAnsi="宋体" w:eastAsia="宋体" w:cs="宋体"/>
                <w:sz w:val="24"/>
                <w:szCs w:val="24"/>
              </w:rPr>
            </w:pPr>
          </w:p>
        </w:tc>
        <w:tc>
          <w:tcPr>
            <w:tcW w:w="866" w:type="pct"/>
            <w:gridSpan w:val="3"/>
            <w:vAlign w:val="center"/>
          </w:tcPr>
          <w:p w14:paraId="3851E798">
            <w:pPr>
              <w:jc w:val="both"/>
              <w:rPr>
                <w:rFonts w:hint="eastAsia" w:ascii="宋体" w:hAnsi="宋体" w:eastAsia="宋体" w:cs="宋体"/>
                <w:sz w:val="24"/>
                <w:szCs w:val="24"/>
              </w:rPr>
            </w:pPr>
          </w:p>
        </w:tc>
        <w:tc>
          <w:tcPr>
            <w:tcW w:w="943" w:type="pct"/>
            <w:tcBorders>
              <w:right w:val="single" w:color="auto" w:sz="2" w:space="0"/>
            </w:tcBorders>
            <w:vAlign w:val="center"/>
          </w:tcPr>
          <w:p w14:paraId="2A1A7646">
            <w:pPr>
              <w:jc w:val="both"/>
              <w:rPr>
                <w:rFonts w:hint="eastAsia" w:ascii="宋体" w:hAnsi="宋体" w:eastAsia="宋体" w:cs="宋体"/>
                <w:sz w:val="24"/>
                <w:szCs w:val="24"/>
              </w:rPr>
            </w:pPr>
          </w:p>
        </w:tc>
        <w:tc>
          <w:tcPr>
            <w:tcW w:w="614" w:type="pct"/>
            <w:tcBorders>
              <w:left w:val="single" w:color="auto" w:sz="2" w:space="0"/>
              <w:right w:val="single" w:color="auto" w:sz="12" w:space="0"/>
            </w:tcBorders>
            <w:vAlign w:val="center"/>
          </w:tcPr>
          <w:p w14:paraId="43F8EDE0">
            <w:pPr>
              <w:jc w:val="both"/>
              <w:rPr>
                <w:rFonts w:hint="eastAsia" w:ascii="宋体" w:hAnsi="宋体" w:eastAsia="宋体" w:cs="宋体"/>
                <w:sz w:val="24"/>
                <w:szCs w:val="24"/>
              </w:rPr>
            </w:pPr>
          </w:p>
        </w:tc>
      </w:tr>
      <w:tr w14:paraId="4758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238F3AB9">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734E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992E53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5F1154B3">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4" w:type="pct"/>
            <w:vAlign w:val="center"/>
          </w:tcPr>
          <w:p w14:paraId="4F5645F3">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9" w:type="pct"/>
            <w:gridSpan w:val="3"/>
            <w:vAlign w:val="center"/>
          </w:tcPr>
          <w:p w14:paraId="50B5BDE8">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7" w:type="pct"/>
            <w:gridSpan w:val="2"/>
            <w:vAlign w:val="center"/>
          </w:tcPr>
          <w:p w14:paraId="7B885059">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vAlign w:val="center"/>
          </w:tcPr>
          <w:p w14:paraId="1B3224C4">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1DDD7E4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66AE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E787EA1">
            <w:pPr>
              <w:jc w:val="both"/>
              <w:rPr>
                <w:rFonts w:hint="eastAsia" w:ascii="宋体" w:hAnsi="宋体" w:eastAsia="宋体" w:cs="宋体"/>
                <w:sz w:val="24"/>
                <w:szCs w:val="24"/>
              </w:rPr>
            </w:pPr>
          </w:p>
        </w:tc>
        <w:tc>
          <w:tcPr>
            <w:tcW w:w="523" w:type="pct"/>
            <w:tcBorders>
              <w:left w:val="single" w:color="auto" w:sz="6" w:space="0"/>
            </w:tcBorders>
            <w:vAlign w:val="center"/>
          </w:tcPr>
          <w:p w14:paraId="58CDACFF">
            <w:pPr>
              <w:jc w:val="both"/>
              <w:rPr>
                <w:rFonts w:hint="eastAsia" w:ascii="宋体" w:hAnsi="宋体" w:eastAsia="宋体" w:cs="宋体"/>
                <w:sz w:val="24"/>
                <w:szCs w:val="24"/>
              </w:rPr>
            </w:pPr>
          </w:p>
        </w:tc>
        <w:tc>
          <w:tcPr>
            <w:tcW w:w="684" w:type="pct"/>
            <w:vAlign w:val="center"/>
          </w:tcPr>
          <w:p w14:paraId="39F078A1">
            <w:pPr>
              <w:jc w:val="both"/>
              <w:rPr>
                <w:rFonts w:hint="eastAsia" w:ascii="宋体" w:hAnsi="宋体" w:eastAsia="宋体" w:cs="宋体"/>
                <w:sz w:val="24"/>
                <w:szCs w:val="24"/>
              </w:rPr>
            </w:pPr>
          </w:p>
        </w:tc>
        <w:tc>
          <w:tcPr>
            <w:tcW w:w="759" w:type="pct"/>
            <w:gridSpan w:val="3"/>
            <w:vAlign w:val="center"/>
          </w:tcPr>
          <w:p w14:paraId="581F56F5">
            <w:pPr>
              <w:jc w:val="both"/>
              <w:rPr>
                <w:rFonts w:hint="eastAsia" w:ascii="宋体" w:hAnsi="宋体" w:eastAsia="宋体" w:cs="宋体"/>
                <w:sz w:val="24"/>
                <w:szCs w:val="24"/>
              </w:rPr>
            </w:pPr>
          </w:p>
        </w:tc>
        <w:tc>
          <w:tcPr>
            <w:tcW w:w="857" w:type="pct"/>
            <w:gridSpan w:val="2"/>
            <w:vAlign w:val="center"/>
          </w:tcPr>
          <w:p w14:paraId="2476AC15">
            <w:pPr>
              <w:jc w:val="both"/>
              <w:rPr>
                <w:rFonts w:hint="eastAsia" w:ascii="宋体" w:hAnsi="宋体" w:eastAsia="宋体" w:cs="宋体"/>
                <w:sz w:val="24"/>
                <w:szCs w:val="24"/>
              </w:rPr>
            </w:pPr>
          </w:p>
        </w:tc>
        <w:tc>
          <w:tcPr>
            <w:tcW w:w="943" w:type="pct"/>
            <w:vAlign w:val="center"/>
          </w:tcPr>
          <w:p w14:paraId="16DDCA6E">
            <w:pPr>
              <w:jc w:val="both"/>
              <w:rPr>
                <w:rFonts w:hint="eastAsia" w:ascii="宋体" w:hAnsi="宋体" w:eastAsia="宋体" w:cs="宋体"/>
                <w:sz w:val="24"/>
                <w:szCs w:val="24"/>
              </w:rPr>
            </w:pPr>
          </w:p>
        </w:tc>
        <w:tc>
          <w:tcPr>
            <w:tcW w:w="614" w:type="pct"/>
            <w:tcBorders>
              <w:right w:val="single" w:color="auto" w:sz="12" w:space="0"/>
            </w:tcBorders>
            <w:vAlign w:val="center"/>
          </w:tcPr>
          <w:p w14:paraId="61A8CE07">
            <w:pPr>
              <w:jc w:val="both"/>
              <w:rPr>
                <w:rFonts w:hint="eastAsia" w:ascii="宋体" w:hAnsi="宋体" w:eastAsia="宋体" w:cs="宋体"/>
                <w:sz w:val="24"/>
                <w:szCs w:val="24"/>
              </w:rPr>
            </w:pPr>
          </w:p>
        </w:tc>
      </w:tr>
      <w:tr w14:paraId="377B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D371EA1">
            <w:pPr>
              <w:jc w:val="both"/>
              <w:rPr>
                <w:rFonts w:hint="eastAsia" w:ascii="宋体" w:hAnsi="宋体" w:eastAsia="宋体" w:cs="宋体"/>
                <w:sz w:val="24"/>
                <w:szCs w:val="24"/>
              </w:rPr>
            </w:pPr>
          </w:p>
        </w:tc>
        <w:tc>
          <w:tcPr>
            <w:tcW w:w="523" w:type="pct"/>
            <w:tcBorders>
              <w:left w:val="single" w:color="auto" w:sz="6" w:space="0"/>
            </w:tcBorders>
            <w:vAlign w:val="center"/>
          </w:tcPr>
          <w:p w14:paraId="68798A5F">
            <w:pPr>
              <w:jc w:val="both"/>
              <w:rPr>
                <w:rFonts w:hint="eastAsia" w:ascii="宋体" w:hAnsi="宋体" w:eastAsia="宋体" w:cs="宋体"/>
                <w:sz w:val="24"/>
                <w:szCs w:val="24"/>
              </w:rPr>
            </w:pPr>
          </w:p>
        </w:tc>
        <w:tc>
          <w:tcPr>
            <w:tcW w:w="684" w:type="pct"/>
            <w:vAlign w:val="center"/>
          </w:tcPr>
          <w:p w14:paraId="25787FD5">
            <w:pPr>
              <w:jc w:val="both"/>
              <w:rPr>
                <w:rFonts w:hint="eastAsia" w:ascii="宋体" w:hAnsi="宋体" w:eastAsia="宋体" w:cs="宋体"/>
                <w:sz w:val="24"/>
                <w:szCs w:val="24"/>
              </w:rPr>
            </w:pPr>
          </w:p>
        </w:tc>
        <w:tc>
          <w:tcPr>
            <w:tcW w:w="759" w:type="pct"/>
            <w:gridSpan w:val="3"/>
            <w:vAlign w:val="center"/>
          </w:tcPr>
          <w:p w14:paraId="27CEB4A4">
            <w:pPr>
              <w:jc w:val="both"/>
              <w:rPr>
                <w:rFonts w:hint="eastAsia" w:ascii="宋体" w:hAnsi="宋体" w:eastAsia="宋体" w:cs="宋体"/>
                <w:sz w:val="24"/>
                <w:szCs w:val="24"/>
              </w:rPr>
            </w:pPr>
          </w:p>
        </w:tc>
        <w:tc>
          <w:tcPr>
            <w:tcW w:w="857" w:type="pct"/>
            <w:gridSpan w:val="2"/>
            <w:vAlign w:val="center"/>
          </w:tcPr>
          <w:p w14:paraId="64F3EC7E">
            <w:pPr>
              <w:jc w:val="both"/>
              <w:rPr>
                <w:rFonts w:hint="eastAsia" w:ascii="宋体" w:hAnsi="宋体" w:eastAsia="宋体" w:cs="宋体"/>
                <w:sz w:val="24"/>
                <w:szCs w:val="24"/>
              </w:rPr>
            </w:pPr>
          </w:p>
        </w:tc>
        <w:tc>
          <w:tcPr>
            <w:tcW w:w="943" w:type="pct"/>
            <w:vAlign w:val="center"/>
          </w:tcPr>
          <w:p w14:paraId="73E37DB9">
            <w:pPr>
              <w:jc w:val="both"/>
              <w:rPr>
                <w:rFonts w:hint="eastAsia" w:ascii="宋体" w:hAnsi="宋体" w:eastAsia="宋体" w:cs="宋体"/>
                <w:sz w:val="24"/>
                <w:szCs w:val="24"/>
              </w:rPr>
            </w:pPr>
          </w:p>
        </w:tc>
        <w:tc>
          <w:tcPr>
            <w:tcW w:w="614" w:type="pct"/>
            <w:tcBorders>
              <w:right w:val="single" w:color="auto" w:sz="12" w:space="0"/>
            </w:tcBorders>
            <w:vAlign w:val="center"/>
          </w:tcPr>
          <w:p w14:paraId="18F3DA0B">
            <w:pPr>
              <w:jc w:val="both"/>
              <w:rPr>
                <w:rFonts w:hint="eastAsia" w:ascii="宋体" w:hAnsi="宋体" w:eastAsia="宋体" w:cs="宋体"/>
                <w:sz w:val="24"/>
                <w:szCs w:val="24"/>
              </w:rPr>
            </w:pPr>
          </w:p>
        </w:tc>
      </w:tr>
      <w:tr w14:paraId="6965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5FD61093">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35FD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D26E8F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38FE1DA2">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188997A9">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548284FB">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098E5B1D">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5EABB699">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2863B3A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47D9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02ADA6DE">
            <w:pPr>
              <w:jc w:val="both"/>
              <w:rPr>
                <w:rFonts w:hint="eastAsia" w:ascii="宋体" w:hAnsi="宋体" w:eastAsia="宋体" w:cs="宋体"/>
                <w:sz w:val="24"/>
                <w:szCs w:val="24"/>
              </w:rPr>
            </w:pPr>
          </w:p>
        </w:tc>
        <w:tc>
          <w:tcPr>
            <w:tcW w:w="523" w:type="pct"/>
            <w:tcBorders>
              <w:left w:val="single" w:color="auto" w:sz="6" w:space="0"/>
            </w:tcBorders>
            <w:vAlign w:val="center"/>
          </w:tcPr>
          <w:p w14:paraId="7468DC48">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5CDBC44">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10ECD9D">
            <w:pPr>
              <w:jc w:val="both"/>
              <w:rPr>
                <w:rFonts w:hint="eastAsia" w:ascii="宋体" w:hAnsi="宋体" w:eastAsia="宋体" w:cs="宋体"/>
                <w:sz w:val="24"/>
                <w:szCs w:val="24"/>
              </w:rPr>
            </w:pPr>
          </w:p>
        </w:tc>
        <w:tc>
          <w:tcPr>
            <w:tcW w:w="853" w:type="pct"/>
            <w:vAlign w:val="center"/>
          </w:tcPr>
          <w:p w14:paraId="6ED89B90">
            <w:pPr>
              <w:jc w:val="both"/>
              <w:rPr>
                <w:rFonts w:hint="eastAsia" w:ascii="宋体" w:hAnsi="宋体" w:eastAsia="宋体" w:cs="宋体"/>
                <w:sz w:val="24"/>
                <w:szCs w:val="24"/>
              </w:rPr>
            </w:pPr>
          </w:p>
        </w:tc>
        <w:tc>
          <w:tcPr>
            <w:tcW w:w="943" w:type="pct"/>
            <w:vAlign w:val="center"/>
          </w:tcPr>
          <w:p w14:paraId="72382046">
            <w:pPr>
              <w:jc w:val="both"/>
              <w:rPr>
                <w:rFonts w:hint="eastAsia" w:ascii="宋体" w:hAnsi="宋体" w:eastAsia="宋体" w:cs="宋体"/>
                <w:sz w:val="24"/>
                <w:szCs w:val="24"/>
              </w:rPr>
            </w:pPr>
          </w:p>
        </w:tc>
        <w:tc>
          <w:tcPr>
            <w:tcW w:w="614" w:type="pct"/>
            <w:tcBorders>
              <w:right w:val="single" w:color="auto" w:sz="12" w:space="0"/>
            </w:tcBorders>
            <w:vAlign w:val="center"/>
          </w:tcPr>
          <w:p w14:paraId="22AA1B65">
            <w:pPr>
              <w:jc w:val="both"/>
              <w:rPr>
                <w:rFonts w:hint="eastAsia" w:ascii="宋体" w:hAnsi="宋体" w:eastAsia="宋体" w:cs="宋体"/>
                <w:sz w:val="24"/>
                <w:szCs w:val="24"/>
              </w:rPr>
            </w:pPr>
          </w:p>
        </w:tc>
      </w:tr>
      <w:tr w14:paraId="601B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6776C1E6">
            <w:pPr>
              <w:jc w:val="both"/>
              <w:rPr>
                <w:rFonts w:hint="eastAsia" w:ascii="宋体" w:hAnsi="宋体" w:eastAsia="宋体" w:cs="宋体"/>
                <w:sz w:val="24"/>
                <w:szCs w:val="24"/>
              </w:rPr>
            </w:pPr>
          </w:p>
        </w:tc>
        <w:tc>
          <w:tcPr>
            <w:tcW w:w="523" w:type="pct"/>
            <w:tcBorders>
              <w:left w:val="single" w:color="auto" w:sz="6" w:space="0"/>
            </w:tcBorders>
            <w:vAlign w:val="center"/>
          </w:tcPr>
          <w:p w14:paraId="1AB235F7">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34605BA5">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1BC9D0A8">
            <w:pPr>
              <w:jc w:val="both"/>
              <w:rPr>
                <w:rFonts w:hint="eastAsia" w:ascii="宋体" w:hAnsi="宋体" w:eastAsia="宋体" w:cs="宋体"/>
                <w:sz w:val="24"/>
                <w:szCs w:val="24"/>
              </w:rPr>
            </w:pPr>
          </w:p>
        </w:tc>
        <w:tc>
          <w:tcPr>
            <w:tcW w:w="853" w:type="pct"/>
            <w:vAlign w:val="center"/>
          </w:tcPr>
          <w:p w14:paraId="5A69CC30">
            <w:pPr>
              <w:jc w:val="both"/>
              <w:rPr>
                <w:rFonts w:hint="eastAsia" w:ascii="宋体" w:hAnsi="宋体" w:eastAsia="宋体" w:cs="宋体"/>
                <w:sz w:val="24"/>
                <w:szCs w:val="24"/>
              </w:rPr>
            </w:pPr>
          </w:p>
        </w:tc>
        <w:tc>
          <w:tcPr>
            <w:tcW w:w="943" w:type="pct"/>
            <w:vAlign w:val="center"/>
          </w:tcPr>
          <w:p w14:paraId="41E83D3F">
            <w:pPr>
              <w:jc w:val="both"/>
              <w:rPr>
                <w:rFonts w:hint="eastAsia" w:ascii="宋体" w:hAnsi="宋体" w:eastAsia="宋体" w:cs="宋体"/>
                <w:sz w:val="24"/>
                <w:szCs w:val="24"/>
              </w:rPr>
            </w:pPr>
          </w:p>
        </w:tc>
        <w:tc>
          <w:tcPr>
            <w:tcW w:w="614" w:type="pct"/>
            <w:tcBorders>
              <w:right w:val="single" w:color="auto" w:sz="12" w:space="0"/>
            </w:tcBorders>
            <w:vAlign w:val="center"/>
          </w:tcPr>
          <w:p w14:paraId="2F39D718">
            <w:pPr>
              <w:jc w:val="both"/>
              <w:rPr>
                <w:rFonts w:hint="eastAsia" w:ascii="宋体" w:hAnsi="宋体" w:eastAsia="宋体" w:cs="宋体"/>
                <w:sz w:val="24"/>
                <w:szCs w:val="24"/>
              </w:rPr>
            </w:pPr>
          </w:p>
        </w:tc>
      </w:tr>
      <w:tr w14:paraId="2AF4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themeFill="background1" w:themeFillShade="F2"/>
            <w:vAlign w:val="center"/>
          </w:tcPr>
          <w:p w14:paraId="006EF169">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3419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199CD407">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3" w:type="pct"/>
            <w:tcBorders>
              <w:left w:val="single" w:color="auto" w:sz="6" w:space="0"/>
            </w:tcBorders>
            <w:vAlign w:val="center"/>
          </w:tcPr>
          <w:p w14:paraId="4CE1ADF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7" w:type="pct"/>
            <w:gridSpan w:val="2"/>
            <w:tcBorders>
              <w:right w:val="single" w:color="auto" w:sz="2" w:space="0"/>
            </w:tcBorders>
            <w:vAlign w:val="center"/>
          </w:tcPr>
          <w:p w14:paraId="206506BB">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0" w:type="pct"/>
            <w:gridSpan w:val="3"/>
            <w:tcBorders>
              <w:left w:val="single" w:color="auto" w:sz="2" w:space="0"/>
            </w:tcBorders>
            <w:vAlign w:val="center"/>
          </w:tcPr>
          <w:p w14:paraId="03E500C0">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3" w:type="pct"/>
            <w:vAlign w:val="center"/>
          </w:tcPr>
          <w:p w14:paraId="1BFCC7C0">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vAlign w:val="center"/>
          </w:tcPr>
          <w:p w14:paraId="30A5A65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4" w:type="pct"/>
            <w:tcBorders>
              <w:right w:val="single" w:color="auto" w:sz="12" w:space="0"/>
            </w:tcBorders>
            <w:vAlign w:val="center"/>
          </w:tcPr>
          <w:p w14:paraId="32726168">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337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523BC159">
            <w:pPr>
              <w:jc w:val="both"/>
              <w:rPr>
                <w:rFonts w:hint="eastAsia" w:ascii="宋体" w:hAnsi="宋体" w:eastAsia="宋体" w:cs="宋体"/>
                <w:sz w:val="24"/>
                <w:szCs w:val="24"/>
              </w:rPr>
            </w:pPr>
          </w:p>
        </w:tc>
        <w:tc>
          <w:tcPr>
            <w:tcW w:w="523" w:type="pct"/>
            <w:tcBorders>
              <w:left w:val="single" w:color="auto" w:sz="6" w:space="0"/>
            </w:tcBorders>
            <w:vAlign w:val="center"/>
          </w:tcPr>
          <w:p w14:paraId="2CBC643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07CA5B1D">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66BEF1B8">
            <w:pPr>
              <w:jc w:val="both"/>
              <w:rPr>
                <w:rFonts w:hint="eastAsia" w:ascii="宋体" w:hAnsi="宋体" w:eastAsia="宋体" w:cs="宋体"/>
                <w:sz w:val="24"/>
                <w:szCs w:val="24"/>
              </w:rPr>
            </w:pPr>
          </w:p>
        </w:tc>
        <w:tc>
          <w:tcPr>
            <w:tcW w:w="853" w:type="pct"/>
            <w:vAlign w:val="center"/>
          </w:tcPr>
          <w:p w14:paraId="3F1EEE84">
            <w:pPr>
              <w:jc w:val="both"/>
              <w:rPr>
                <w:rFonts w:hint="eastAsia" w:ascii="宋体" w:hAnsi="宋体" w:eastAsia="宋体" w:cs="宋体"/>
                <w:sz w:val="24"/>
                <w:szCs w:val="24"/>
              </w:rPr>
            </w:pPr>
          </w:p>
        </w:tc>
        <w:tc>
          <w:tcPr>
            <w:tcW w:w="943" w:type="pct"/>
            <w:vAlign w:val="center"/>
          </w:tcPr>
          <w:p w14:paraId="1F057D29">
            <w:pPr>
              <w:jc w:val="both"/>
              <w:rPr>
                <w:rFonts w:hint="eastAsia" w:ascii="宋体" w:hAnsi="宋体" w:eastAsia="宋体" w:cs="宋体"/>
                <w:sz w:val="24"/>
                <w:szCs w:val="24"/>
              </w:rPr>
            </w:pPr>
          </w:p>
        </w:tc>
        <w:tc>
          <w:tcPr>
            <w:tcW w:w="614" w:type="pct"/>
            <w:tcBorders>
              <w:right w:val="single" w:color="auto" w:sz="12" w:space="0"/>
            </w:tcBorders>
            <w:vAlign w:val="center"/>
          </w:tcPr>
          <w:p w14:paraId="059FAC5D">
            <w:pPr>
              <w:jc w:val="both"/>
              <w:rPr>
                <w:rFonts w:hint="eastAsia" w:ascii="宋体" w:hAnsi="宋体" w:eastAsia="宋体" w:cs="宋体"/>
                <w:sz w:val="24"/>
                <w:szCs w:val="24"/>
              </w:rPr>
            </w:pPr>
          </w:p>
        </w:tc>
      </w:tr>
      <w:tr w14:paraId="6946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15" w:type="pct"/>
            <w:tcBorders>
              <w:top w:val="single" w:color="auto" w:sz="6" w:space="0"/>
              <w:left w:val="single" w:color="auto" w:sz="12" w:space="0"/>
              <w:bottom w:val="single" w:color="auto" w:sz="6" w:space="0"/>
              <w:right w:val="single" w:color="auto" w:sz="6" w:space="0"/>
            </w:tcBorders>
            <w:vAlign w:val="center"/>
          </w:tcPr>
          <w:p w14:paraId="45DBC708">
            <w:pPr>
              <w:jc w:val="both"/>
              <w:rPr>
                <w:rFonts w:hint="eastAsia" w:ascii="宋体" w:hAnsi="宋体" w:eastAsia="宋体" w:cs="宋体"/>
                <w:sz w:val="24"/>
                <w:szCs w:val="24"/>
              </w:rPr>
            </w:pPr>
          </w:p>
        </w:tc>
        <w:tc>
          <w:tcPr>
            <w:tcW w:w="523" w:type="pct"/>
            <w:tcBorders>
              <w:left w:val="single" w:color="auto" w:sz="6" w:space="0"/>
            </w:tcBorders>
            <w:vAlign w:val="center"/>
          </w:tcPr>
          <w:p w14:paraId="04DC9E54">
            <w:pPr>
              <w:jc w:val="both"/>
              <w:rPr>
                <w:rFonts w:hint="eastAsia" w:ascii="宋体" w:hAnsi="宋体" w:eastAsia="宋体" w:cs="宋体"/>
                <w:sz w:val="24"/>
                <w:szCs w:val="24"/>
              </w:rPr>
            </w:pPr>
          </w:p>
        </w:tc>
        <w:tc>
          <w:tcPr>
            <w:tcW w:w="697" w:type="pct"/>
            <w:gridSpan w:val="2"/>
            <w:tcBorders>
              <w:right w:val="single" w:color="auto" w:sz="2" w:space="0"/>
            </w:tcBorders>
            <w:vAlign w:val="center"/>
          </w:tcPr>
          <w:p w14:paraId="1CF05D68">
            <w:pPr>
              <w:jc w:val="both"/>
              <w:rPr>
                <w:rFonts w:hint="eastAsia" w:ascii="宋体" w:hAnsi="宋体" w:eastAsia="宋体" w:cs="宋体"/>
                <w:sz w:val="24"/>
                <w:szCs w:val="24"/>
              </w:rPr>
            </w:pPr>
          </w:p>
        </w:tc>
        <w:tc>
          <w:tcPr>
            <w:tcW w:w="750" w:type="pct"/>
            <w:gridSpan w:val="3"/>
            <w:tcBorders>
              <w:left w:val="single" w:color="auto" w:sz="2" w:space="0"/>
            </w:tcBorders>
            <w:vAlign w:val="center"/>
          </w:tcPr>
          <w:p w14:paraId="3EE9AE08">
            <w:pPr>
              <w:jc w:val="both"/>
              <w:rPr>
                <w:rFonts w:hint="eastAsia" w:ascii="宋体" w:hAnsi="宋体" w:eastAsia="宋体" w:cs="宋体"/>
                <w:sz w:val="24"/>
                <w:szCs w:val="24"/>
              </w:rPr>
            </w:pPr>
          </w:p>
        </w:tc>
        <w:tc>
          <w:tcPr>
            <w:tcW w:w="853" w:type="pct"/>
            <w:vAlign w:val="center"/>
          </w:tcPr>
          <w:p w14:paraId="7E054286">
            <w:pPr>
              <w:jc w:val="both"/>
              <w:rPr>
                <w:rFonts w:hint="eastAsia" w:ascii="宋体" w:hAnsi="宋体" w:eastAsia="宋体" w:cs="宋体"/>
                <w:sz w:val="24"/>
                <w:szCs w:val="24"/>
              </w:rPr>
            </w:pPr>
          </w:p>
        </w:tc>
        <w:tc>
          <w:tcPr>
            <w:tcW w:w="943" w:type="pct"/>
            <w:vAlign w:val="center"/>
          </w:tcPr>
          <w:p w14:paraId="248115C1">
            <w:pPr>
              <w:jc w:val="both"/>
              <w:rPr>
                <w:rFonts w:hint="eastAsia" w:ascii="宋体" w:hAnsi="宋体" w:eastAsia="宋体" w:cs="宋体"/>
                <w:sz w:val="24"/>
                <w:szCs w:val="24"/>
              </w:rPr>
            </w:pPr>
          </w:p>
        </w:tc>
        <w:tc>
          <w:tcPr>
            <w:tcW w:w="614" w:type="pct"/>
            <w:tcBorders>
              <w:right w:val="single" w:color="auto" w:sz="12" w:space="0"/>
            </w:tcBorders>
            <w:vAlign w:val="center"/>
          </w:tcPr>
          <w:p w14:paraId="666BDB42">
            <w:pPr>
              <w:jc w:val="both"/>
              <w:rPr>
                <w:rFonts w:hint="eastAsia" w:ascii="宋体" w:hAnsi="宋体" w:eastAsia="宋体" w:cs="宋体"/>
                <w:sz w:val="24"/>
                <w:szCs w:val="24"/>
              </w:rPr>
            </w:pPr>
          </w:p>
        </w:tc>
      </w:tr>
      <w:tr w14:paraId="4A1D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615" w:type="pct"/>
            <w:tcBorders>
              <w:top w:val="single" w:color="auto" w:sz="6" w:space="0"/>
              <w:left w:val="single" w:color="auto" w:sz="12" w:space="0"/>
              <w:bottom w:val="single" w:color="auto" w:sz="12" w:space="0"/>
              <w:right w:val="single" w:color="auto" w:sz="6" w:space="0"/>
            </w:tcBorders>
            <w:vAlign w:val="center"/>
          </w:tcPr>
          <w:p w14:paraId="50184E51">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4" w:type="pct"/>
            <w:gridSpan w:val="9"/>
            <w:tcBorders>
              <w:left w:val="single" w:color="auto" w:sz="6" w:space="0"/>
              <w:bottom w:val="single" w:color="auto" w:sz="12" w:space="0"/>
              <w:right w:val="single" w:color="auto" w:sz="12" w:space="0"/>
            </w:tcBorders>
            <w:vAlign w:val="center"/>
          </w:tcPr>
          <w:p w14:paraId="6E00C2F1">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EF1B920">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3B6E0B24">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5785826F">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92E563B">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30692156">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2．业绩</w:t>
      </w:r>
    </w:p>
    <w:p w14:paraId="16AB064C">
      <w:pPr>
        <w:spacing w:line="560" w:lineRule="exact"/>
        <w:ind w:firstLine="480" w:firstLineChars="200"/>
        <w:jc w:val="both"/>
        <w:rPr>
          <w:rFonts w:hint="eastAsia" w:ascii="宋体" w:hAnsi="宋体" w:eastAsia="宋体" w:cs="宋体"/>
          <w:sz w:val="24"/>
          <w:szCs w:val="24"/>
        </w:rPr>
      </w:pPr>
    </w:p>
    <w:p w14:paraId="2BE0111E">
      <w:pPr>
        <w:spacing w:line="560" w:lineRule="exact"/>
        <w:ind w:firstLine="480" w:firstLineChars="200"/>
        <w:jc w:val="both"/>
        <w:rPr>
          <w:rFonts w:hint="eastAsia" w:ascii="宋体" w:hAnsi="宋体" w:eastAsia="宋体" w:cs="宋体"/>
          <w:sz w:val="24"/>
          <w:szCs w:val="24"/>
        </w:rPr>
      </w:pPr>
    </w:p>
    <w:p w14:paraId="085974AC">
      <w:pPr>
        <w:spacing w:line="560" w:lineRule="exact"/>
        <w:ind w:firstLine="480" w:firstLineChars="200"/>
        <w:jc w:val="both"/>
        <w:rPr>
          <w:rFonts w:hint="eastAsia" w:ascii="宋体" w:hAnsi="宋体" w:eastAsia="宋体" w:cs="宋体"/>
          <w:sz w:val="24"/>
          <w:szCs w:val="24"/>
        </w:rPr>
      </w:pPr>
    </w:p>
    <w:p w14:paraId="127A139C">
      <w:pPr>
        <w:spacing w:line="560" w:lineRule="exact"/>
        <w:ind w:firstLine="480"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633E8999">
      <w:pPr>
        <w:rPr>
          <w:rFonts w:hint="eastAsia" w:ascii="宋体" w:hAnsi="宋体" w:eastAsia="宋体" w:cs="宋体"/>
          <w:sz w:val="24"/>
          <w:szCs w:val="24"/>
        </w:rPr>
      </w:pPr>
    </w:p>
    <w:sectPr>
      <w:headerReference r:id="rId7" w:type="default"/>
      <w:footerReference r:id="rId8" w:type="default"/>
      <w:footerReference r:id="rId9" w:type="even"/>
      <w:pgSz w:w="11906" w:h="16838"/>
      <w:pgMar w:top="1304" w:right="1304" w:bottom="1304" w:left="1304" w:header="851" w:footer="992" w:gutter="0"/>
      <w:pgNumType w:fmt="decimal" w:start="1"/>
      <w:cols w:space="425"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ABFFA">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354DF">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BF7F5">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E2B45">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DEE2B45">
                    <w:pPr>
                      <w:pStyle w:val="19"/>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C083B">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A662B">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F4A662B">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BBECA">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AAB09">
    <w:pPr>
      <w:pStyle w:val="20"/>
      <w:pBdr>
        <w:bottom w:val="none" w:color="auto" w:sz="0" w:space="1"/>
      </w:pBdr>
      <w:ind w:left="210" w:hanging="180" w:hangingChars="100"/>
      <w:jc w:val="left"/>
      <w:rPr>
        <w:rFonts w:hint="default"/>
        <w:sz w:val="18"/>
        <w:szCs w:val="1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B7370">
    <w:pPr>
      <w:pStyle w:val="20"/>
      <w:pBdr>
        <w:bottom w:val="none" w:color="auto" w:sz="0" w:space="1"/>
      </w:pBdr>
      <w:jc w:val="both"/>
      <w:rPr>
        <w:rFonts w:hint="default" w:ascii="宋体" w:hAnsi="宋体" w:cs="宋体" w:eastAsiaTheme="minorEastAsia"/>
        <w:spacing w:val="0"/>
        <w:sz w:val="18"/>
        <w:szCs w:val="18"/>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823885"/>
    <w:multiLevelType w:val="singleLevel"/>
    <w:tmpl w:val="9D823885"/>
    <w:lvl w:ilvl="0" w:tentative="0">
      <w:start w:val="4"/>
      <w:numFmt w:val="decimal"/>
      <w:suff w:val="nothing"/>
      <w:lvlText w:val="%1、"/>
      <w:lvlJc w:val="left"/>
    </w:lvl>
  </w:abstractNum>
  <w:abstractNum w:abstractNumId="1">
    <w:nsid w:val="BE024276"/>
    <w:multiLevelType w:val="singleLevel"/>
    <w:tmpl w:val="BE024276"/>
    <w:lvl w:ilvl="0" w:tentative="0">
      <w:start w:val="1"/>
      <w:numFmt w:val="decimal"/>
      <w:suff w:val="nothing"/>
      <w:lvlText w:val="%1、"/>
      <w:lvlJc w:val="left"/>
    </w:lvl>
  </w:abstractNum>
  <w:abstractNum w:abstractNumId="2">
    <w:nsid w:val="E20C5545"/>
    <w:multiLevelType w:val="singleLevel"/>
    <w:tmpl w:val="E20C5545"/>
    <w:lvl w:ilvl="0" w:tentative="0">
      <w:start w:val="6"/>
      <w:numFmt w:val="decimal"/>
      <w:suff w:val="nothing"/>
      <w:lvlText w:val="%1、"/>
      <w:lvlJc w:val="left"/>
    </w:lvl>
  </w:abstractNum>
  <w:abstractNum w:abstractNumId="3">
    <w:nsid w:val="E3B88C10"/>
    <w:multiLevelType w:val="singleLevel"/>
    <w:tmpl w:val="E3B88C10"/>
    <w:lvl w:ilvl="0" w:tentative="0">
      <w:start w:val="1"/>
      <w:numFmt w:val="decimal"/>
      <w:suff w:val="nothing"/>
      <w:lvlText w:val="%1、"/>
      <w:lvlJc w:val="left"/>
    </w:lvl>
  </w:abstractNum>
  <w:abstractNum w:abstractNumId="4">
    <w:nsid w:val="E47F7CDE"/>
    <w:multiLevelType w:val="singleLevel"/>
    <w:tmpl w:val="E47F7CDE"/>
    <w:lvl w:ilvl="0" w:tentative="0">
      <w:start w:val="1"/>
      <w:numFmt w:val="decimal"/>
      <w:lvlText w:val="%1."/>
      <w:lvlJc w:val="left"/>
      <w:pPr>
        <w:tabs>
          <w:tab w:val="left" w:pos="312"/>
        </w:tabs>
      </w:pPr>
    </w:lvl>
  </w:abstractNum>
  <w:abstractNum w:abstractNumId="5">
    <w:nsid w:val="2941CD22"/>
    <w:multiLevelType w:val="singleLevel"/>
    <w:tmpl w:val="2941CD22"/>
    <w:lvl w:ilvl="0" w:tentative="0">
      <w:start w:val="1"/>
      <w:numFmt w:val="decimal"/>
      <w:suff w:val="nothing"/>
      <w:lvlText w:val="%1、"/>
      <w:lvlJc w:val="left"/>
    </w:lvl>
  </w:abstractNum>
  <w:abstractNum w:abstractNumId="6">
    <w:nsid w:val="55377AAD"/>
    <w:multiLevelType w:val="singleLevel"/>
    <w:tmpl w:val="55377AAD"/>
    <w:lvl w:ilvl="0" w:tentative="0">
      <w:start w:val="2"/>
      <w:numFmt w:val="chineseCounting"/>
      <w:suff w:val="nothing"/>
      <w:lvlText w:val="%1、"/>
      <w:lvlJc w:val="left"/>
      <w:rPr>
        <w:rFonts w:hint="eastAsia"/>
      </w:rPr>
    </w:lvl>
  </w:abstractNum>
  <w:abstractNum w:abstractNumId="7">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8">
    <w:nsid w:val="7E0E1845"/>
    <w:multiLevelType w:val="singleLevel"/>
    <w:tmpl w:val="7E0E1845"/>
    <w:lvl w:ilvl="0" w:tentative="0">
      <w:start w:val="3"/>
      <w:numFmt w:val="chineseCounting"/>
      <w:suff w:val="space"/>
      <w:lvlText w:val="第%1章"/>
      <w:lvlJc w:val="left"/>
      <w:rPr>
        <w:rFonts w:hint="eastAsia"/>
      </w:rPr>
    </w:lvl>
  </w:abstractNum>
  <w:num w:numId="1">
    <w:abstractNumId w:val="7"/>
  </w:num>
  <w:num w:numId="2">
    <w:abstractNumId w:val="4"/>
  </w:num>
  <w:num w:numId="3">
    <w:abstractNumId w:val="3"/>
  </w:num>
  <w:num w:numId="4">
    <w:abstractNumId w:val="0"/>
  </w:num>
  <w:num w:numId="5">
    <w:abstractNumId w:val="2"/>
  </w:num>
  <w:num w:numId="6">
    <w:abstractNumId w:val="8"/>
  </w:num>
  <w:num w:numId="7">
    <w:abstractNumId w:val="6"/>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evenAndOddHeaders w:val="1"/>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jZmExMGY2OGRkYWU0ZDg1MGQzY2JiZTAxMTQwNzI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2C4E"/>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91A"/>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91"/>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3FC"/>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6A53"/>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10C"/>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057174"/>
    <w:rsid w:val="018345E4"/>
    <w:rsid w:val="01A06D45"/>
    <w:rsid w:val="01A808A2"/>
    <w:rsid w:val="01BC0965"/>
    <w:rsid w:val="01DB1C83"/>
    <w:rsid w:val="01F42D45"/>
    <w:rsid w:val="01FD3B42"/>
    <w:rsid w:val="020862C3"/>
    <w:rsid w:val="021D08C9"/>
    <w:rsid w:val="02263A0C"/>
    <w:rsid w:val="02380249"/>
    <w:rsid w:val="0240152C"/>
    <w:rsid w:val="024912E2"/>
    <w:rsid w:val="025A670A"/>
    <w:rsid w:val="02A15559"/>
    <w:rsid w:val="02B67BB0"/>
    <w:rsid w:val="02B756B9"/>
    <w:rsid w:val="0306511F"/>
    <w:rsid w:val="03211304"/>
    <w:rsid w:val="03A1159F"/>
    <w:rsid w:val="04161DF0"/>
    <w:rsid w:val="04247911"/>
    <w:rsid w:val="042B4769"/>
    <w:rsid w:val="04AB57AE"/>
    <w:rsid w:val="05104339"/>
    <w:rsid w:val="051908A9"/>
    <w:rsid w:val="052662E8"/>
    <w:rsid w:val="05441904"/>
    <w:rsid w:val="05481BC6"/>
    <w:rsid w:val="054A67F1"/>
    <w:rsid w:val="05AD1B88"/>
    <w:rsid w:val="05EA1433"/>
    <w:rsid w:val="05F4071B"/>
    <w:rsid w:val="06006E2B"/>
    <w:rsid w:val="062F73CE"/>
    <w:rsid w:val="066873D1"/>
    <w:rsid w:val="06B42EA7"/>
    <w:rsid w:val="06DA4BFF"/>
    <w:rsid w:val="06EE7C33"/>
    <w:rsid w:val="06F22B07"/>
    <w:rsid w:val="070E664D"/>
    <w:rsid w:val="076A3DAC"/>
    <w:rsid w:val="077961C6"/>
    <w:rsid w:val="07C46CC8"/>
    <w:rsid w:val="07E8782A"/>
    <w:rsid w:val="07EA1DFF"/>
    <w:rsid w:val="07F46244"/>
    <w:rsid w:val="08290A63"/>
    <w:rsid w:val="082C3238"/>
    <w:rsid w:val="08594641"/>
    <w:rsid w:val="08862D93"/>
    <w:rsid w:val="08994C82"/>
    <w:rsid w:val="08E048A3"/>
    <w:rsid w:val="08E6699A"/>
    <w:rsid w:val="08F16230"/>
    <w:rsid w:val="09173BE2"/>
    <w:rsid w:val="097924AD"/>
    <w:rsid w:val="098132AC"/>
    <w:rsid w:val="09C54786"/>
    <w:rsid w:val="09CB306A"/>
    <w:rsid w:val="09FB5160"/>
    <w:rsid w:val="0A0D1961"/>
    <w:rsid w:val="0AB52E4B"/>
    <w:rsid w:val="0AC413A1"/>
    <w:rsid w:val="0ACC7409"/>
    <w:rsid w:val="0B05596C"/>
    <w:rsid w:val="0B147F71"/>
    <w:rsid w:val="0B1549D5"/>
    <w:rsid w:val="0B4340AA"/>
    <w:rsid w:val="0B5F4097"/>
    <w:rsid w:val="0B651BC6"/>
    <w:rsid w:val="0B6E5AC7"/>
    <w:rsid w:val="0B72128C"/>
    <w:rsid w:val="0BFF061B"/>
    <w:rsid w:val="0C185825"/>
    <w:rsid w:val="0C50725B"/>
    <w:rsid w:val="0C5161DC"/>
    <w:rsid w:val="0C77413A"/>
    <w:rsid w:val="0CC928DF"/>
    <w:rsid w:val="0CED3C2C"/>
    <w:rsid w:val="0D034EE3"/>
    <w:rsid w:val="0D1A2DAF"/>
    <w:rsid w:val="0D272C82"/>
    <w:rsid w:val="0D353530"/>
    <w:rsid w:val="0D4D0739"/>
    <w:rsid w:val="0D6F7F53"/>
    <w:rsid w:val="0DC72E34"/>
    <w:rsid w:val="0DE85C35"/>
    <w:rsid w:val="0E18687C"/>
    <w:rsid w:val="0E4B4EB3"/>
    <w:rsid w:val="0E63368C"/>
    <w:rsid w:val="0E7262FB"/>
    <w:rsid w:val="0E91466C"/>
    <w:rsid w:val="0EC3241C"/>
    <w:rsid w:val="0ED14613"/>
    <w:rsid w:val="0F2410E0"/>
    <w:rsid w:val="0F693ECA"/>
    <w:rsid w:val="0F91589E"/>
    <w:rsid w:val="0F9359BF"/>
    <w:rsid w:val="0FAE003A"/>
    <w:rsid w:val="0FB32534"/>
    <w:rsid w:val="10037741"/>
    <w:rsid w:val="10152312"/>
    <w:rsid w:val="102C5265"/>
    <w:rsid w:val="103D7164"/>
    <w:rsid w:val="104E518D"/>
    <w:rsid w:val="104F742D"/>
    <w:rsid w:val="10654F5A"/>
    <w:rsid w:val="10EA5DD8"/>
    <w:rsid w:val="10F0623A"/>
    <w:rsid w:val="11755C50"/>
    <w:rsid w:val="11E04EEF"/>
    <w:rsid w:val="120C1F49"/>
    <w:rsid w:val="12387F40"/>
    <w:rsid w:val="12775458"/>
    <w:rsid w:val="127B5307"/>
    <w:rsid w:val="12BB3B36"/>
    <w:rsid w:val="12BB485E"/>
    <w:rsid w:val="12EA2F3A"/>
    <w:rsid w:val="12F6276B"/>
    <w:rsid w:val="12FB3F33"/>
    <w:rsid w:val="1304734C"/>
    <w:rsid w:val="13257202"/>
    <w:rsid w:val="13734DAF"/>
    <w:rsid w:val="146E1D29"/>
    <w:rsid w:val="147E55D3"/>
    <w:rsid w:val="14BC0C59"/>
    <w:rsid w:val="14BF17D8"/>
    <w:rsid w:val="14EB5483"/>
    <w:rsid w:val="15126972"/>
    <w:rsid w:val="151A7746"/>
    <w:rsid w:val="15235E47"/>
    <w:rsid w:val="15731CC9"/>
    <w:rsid w:val="15802E15"/>
    <w:rsid w:val="15CC7E09"/>
    <w:rsid w:val="15E52C78"/>
    <w:rsid w:val="15ED7DB6"/>
    <w:rsid w:val="16624D7B"/>
    <w:rsid w:val="16705666"/>
    <w:rsid w:val="16804BD0"/>
    <w:rsid w:val="16A237B3"/>
    <w:rsid w:val="16B72867"/>
    <w:rsid w:val="16C50FB2"/>
    <w:rsid w:val="17207642"/>
    <w:rsid w:val="172B0DE8"/>
    <w:rsid w:val="174B6345"/>
    <w:rsid w:val="179B0190"/>
    <w:rsid w:val="17EB6AAC"/>
    <w:rsid w:val="180D3552"/>
    <w:rsid w:val="182855F1"/>
    <w:rsid w:val="18595E69"/>
    <w:rsid w:val="187E4427"/>
    <w:rsid w:val="18F35D67"/>
    <w:rsid w:val="19183BAB"/>
    <w:rsid w:val="19364268"/>
    <w:rsid w:val="195475F8"/>
    <w:rsid w:val="195A7AFF"/>
    <w:rsid w:val="19FA344A"/>
    <w:rsid w:val="1A145528"/>
    <w:rsid w:val="1A980A99"/>
    <w:rsid w:val="1A9C249F"/>
    <w:rsid w:val="1A9E5B80"/>
    <w:rsid w:val="1AC251EA"/>
    <w:rsid w:val="1ACB4B33"/>
    <w:rsid w:val="1AE24E9D"/>
    <w:rsid w:val="1B1F47F5"/>
    <w:rsid w:val="1B8C131D"/>
    <w:rsid w:val="1BB37B8D"/>
    <w:rsid w:val="1BD46B71"/>
    <w:rsid w:val="1BF14E41"/>
    <w:rsid w:val="1BF71E0B"/>
    <w:rsid w:val="1C1240F3"/>
    <w:rsid w:val="1C707611"/>
    <w:rsid w:val="1D213DA7"/>
    <w:rsid w:val="1D43465E"/>
    <w:rsid w:val="1D640CB3"/>
    <w:rsid w:val="1D647D73"/>
    <w:rsid w:val="1DBC4825"/>
    <w:rsid w:val="1DD2622D"/>
    <w:rsid w:val="1E083917"/>
    <w:rsid w:val="1E687389"/>
    <w:rsid w:val="1EE0497A"/>
    <w:rsid w:val="1EEF7FE2"/>
    <w:rsid w:val="1F21693D"/>
    <w:rsid w:val="1F403551"/>
    <w:rsid w:val="1F55375D"/>
    <w:rsid w:val="1F694562"/>
    <w:rsid w:val="1F7724CD"/>
    <w:rsid w:val="1F7A0C65"/>
    <w:rsid w:val="1FB679C3"/>
    <w:rsid w:val="1FD47C40"/>
    <w:rsid w:val="201631A1"/>
    <w:rsid w:val="203A5E3A"/>
    <w:rsid w:val="20490CC8"/>
    <w:rsid w:val="205611AE"/>
    <w:rsid w:val="205848BD"/>
    <w:rsid w:val="205A5997"/>
    <w:rsid w:val="20C8006E"/>
    <w:rsid w:val="20E406FC"/>
    <w:rsid w:val="21052421"/>
    <w:rsid w:val="21170CE2"/>
    <w:rsid w:val="21232A10"/>
    <w:rsid w:val="216E1D66"/>
    <w:rsid w:val="21887344"/>
    <w:rsid w:val="22316C03"/>
    <w:rsid w:val="229C744B"/>
    <w:rsid w:val="22E0799A"/>
    <w:rsid w:val="239318C9"/>
    <w:rsid w:val="23C019F6"/>
    <w:rsid w:val="242C2014"/>
    <w:rsid w:val="24462058"/>
    <w:rsid w:val="24795803"/>
    <w:rsid w:val="24C50E97"/>
    <w:rsid w:val="24C87CBD"/>
    <w:rsid w:val="24D21AAA"/>
    <w:rsid w:val="24F45ECC"/>
    <w:rsid w:val="24F641FA"/>
    <w:rsid w:val="25021151"/>
    <w:rsid w:val="25164BFC"/>
    <w:rsid w:val="254259F1"/>
    <w:rsid w:val="258E2E79"/>
    <w:rsid w:val="25A07695"/>
    <w:rsid w:val="25A54C35"/>
    <w:rsid w:val="25B10E34"/>
    <w:rsid w:val="25B86A75"/>
    <w:rsid w:val="25BF7042"/>
    <w:rsid w:val="25C1582D"/>
    <w:rsid w:val="25C17832"/>
    <w:rsid w:val="25D03E3D"/>
    <w:rsid w:val="25E1520A"/>
    <w:rsid w:val="25E66CC5"/>
    <w:rsid w:val="26013792"/>
    <w:rsid w:val="261A4BC0"/>
    <w:rsid w:val="263E4218"/>
    <w:rsid w:val="26521C05"/>
    <w:rsid w:val="26572D4C"/>
    <w:rsid w:val="265D41FA"/>
    <w:rsid w:val="26E0627B"/>
    <w:rsid w:val="26E47A85"/>
    <w:rsid w:val="271B0BF0"/>
    <w:rsid w:val="27326734"/>
    <w:rsid w:val="27384086"/>
    <w:rsid w:val="273A72C8"/>
    <w:rsid w:val="27452D6D"/>
    <w:rsid w:val="279A64B7"/>
    <w:rsid w:val="27AB5802"/>
    <w:rsid w:val="27E56B08"/>
    <w:rsid w:val="27FE2415"/>
    <w:rsid w:val="280445C1"/>
    <w:rsid w:val="281F6A3D"/>
    <w:rsid w:val="28285372"/>
    <w:rsid w:val="282E01D5"/>
    <w:rsid w:val="282E547B"/>
    <w:rsid w:val="2874680A"/>
    <w:rsid w:val="287D26C6"/>
    <w:rsid w:val="28925CDD"/>
    <w:rsid w:val="28B90F3D"/>
    <w:rsid w:val="28BD138E"/>
    <w:rsid w:val="28D62AF2"/>
    <w:rsid w:val="290556B4"/>
    <w:rsid w:val="29A547A1"/>
    <w:rsid w:val="29B05AF6"/>
    <w:rsid w:val="29B4676A"/>
    <w:rsid w:val="29BA4765"/>
    <w:rsid w:val="29C430AC"/>
    <w:rsid w:val="29C50F13"/>
    <w:rsid w:val="29C64887"/>
    <w:rsid w:val="29CC0CAB"/>
    <w:rsid w:val="29CC115B"/>
    <w:rsid w:val="29EF4215"/>
    <w:rsid w:val="2A6050A0"/>
    <w:rsid w:val="2A714D67"/>
    <w:rsid w:val="2A817CEF"/>
    <w:rsid w:val="2A8F645A"/>
    <w:rsid w:val="2AAE4D9D"/>
    <w:rsid w:val="2ACF55A8"/>
    <w:rsid w:val="2AE00B69"/>
    <w:rsid w:val="2AFA45DC"/>
    <w:rsid w:val="2B476EFC"/>
    <w:rsid w:val="2BB533C1"/>
    <w:rsid w:val="2BBA1C2C"/>
    <w:rsid w:val="2BC03D34"/>
    <w:rsid w:val="2BC34EC4"/>
    <w:rsid w:val="2C260F85"/>
    <w:rsid w:val="2C703772"/>
    <w:rsid w:val="2CA248AA"/>
    <w:rsid w:val="2CCC3583"/>
    <w:rsid w:val="2D10668C"/>
    <w:rsid w:val="2D363880"/>
    <w:rsid w:val="2D3826E3"/>
    <w:rsid w:val="2D5644CB"/>
    <w:rsid w:val="2D6B29EA"/>
    <w:rsid w:val="2D6C3DB8"/>
    <w:rsid w:val="2DB350A6"/>
    <w:rsid w:val="2DB4490F"/>
    <w:rsid w:val="2DB9670D"/>
    <w:rsid w:val="2E1B251B"/>
    <w:rsid w:val="2E23750C"/>
    <w:rsid w:val="2E6B371F"/>
    <w:rsid w:val="2EB40F63"/>
    <w:rsid w:val="2EBA0CEE"/>
    <w:rsid w:val="2EC76F67"/>
    <w:rsid w:val="2EC92CDF"/>
    <w:rsid w:val="2EF97E15"/>
    <w:rsid w:val="2EFF278B"/>
    <w:rsid w:val="2F2038D9"/>
    <w:rsid w:val="2F2443BA"/>
    <w:rsid w:val="2F3E4480"/>
    <w:rsid w:val="2F3F4D1B"/>
    <w:rsid w:val="2F68739C"/>
    <w:rsid w:val="2F9622AC"/>
    <w:rsid w:val="2FAA0D63"/>
    <w:rsid w:val="2FBF2095"/>
    <w:rsid w:val="2FDB1217"/>
    <w:rsid w:val="2FE244AB"/>
    <w:rsid w:val="2FF355C0"/>
    <w:rsid w:val="30040642"/>
    <w:rsid w:val="3056529F"/>
    <w:rsid w:val="30801AC4"/>
    <w:rsid w:val="3082143F"/>
    <w:rsid w:val="308B2942"/>
    <w:rsid w:val="30CC19E5"/>
    <w:rsid w:val="30D20571"/>
    <w:rsid w:val="30D30BED"/>
    <w:rsid w:val="30E72BFB"/>
    <w:rsid w:val="30EE414A"/>
    <w:rsid w:val="31275097"/>
    <w:rsid w:val="314619D4"/>
    <w:rsid w:val="31474D8B"/>
    <w:rsid w:val="317739A7"/>
    <w:rsid w:val="3195004A"/>
    <w:rsid w:val="319E0B3E"/>
    <w:rsid w:val="31CE7EC4"/>
    <w:rsid w:val="31EF254C"/>
    <w:rsid w:val="32134D79"/>
    <w:rsid w:val="323B3D6E"/>
    <w:rsid w:val="32A9546D"/>
    <w:rsid w:val="32BC5BFF"/>
    <w:rsid w:val="32C10A18"/>
    <w:rsid w:val="32D92BBC"/>
    <w:rsid w:val="335039CF"/>
    <w:rsid w:val="33585F3A"/>
    <w:rsid w:val="33AD7074"/>
    <w:rsid w:val="33D53E1A"/>
    <w:rsid w:val="34034483"/>
    <w:rsid w:val="34044EAB"/>
    <w:rsid w:val="34237336"/>
    <w:rsid w:val="343C3F54"/>
    <w:rsid w:val="345319C9"/>
    <w:rsid w:val="3457735C"/>
    <w:rsid w:val="34645984"/>
    <w:rsid w:val="347552F0"/>
    <w:rsid w:val="34AC1F61"/>
    <w:rsid w:val="34AC650B"/>
    <w:rsid w:val="34BD10D8"/>
    <w:rsid w:val="34C401D1"/>
    <w:rsid w:val="352C780C"/>
    <w:rsid w:val="353D21BE"/>
    <w:rsid w:val="354E4E4E"/>
    <w:rsid w:val="355A4B75"/>
    <w:rsid w:val="359E7435"/>
    <w:rsid w:val="35B437C5"/>
    <w:rsid w:val="35ED6E95"/>
    <w:rsid w:val="35FC7E3E"/>
    <w:rsid w:val="360A60B7"/>
    <w:rsid w:val="361E26BC"/>
    <w:rsid w:val="362D624A"/>
    <w:rsid w:val="36323189"/>
    <w:rsid w:val="36DB5CA6"/>
    <w:rsid w:val="373A7FEA"/>
    <w:rsid w:val="377A66D7"/>
    <w:rsid w:val="378A5B0A"/>
    <w:rsid w:val="37945C59"/>
    <w:rsid w:val="37E70466"/>
    <w:rsid w:val="381B7B07"/>
    <w:rsid w:val="38303DCF"/>
    <w:rsid w:val="38D62BC9"/>
    <w:rsid w:val="38E86458"/>
    <w:rsid w:val="38F37552"/>
    <w:rsid w:val="3920750D"/>
    <w:rsid w:val="39237EB6"/>
    <w:rsid w:val="393C05D6"/>
    <w:rsid w:val="3945087F"/>
    <w:rsid w:val="394C69E7"/>
    <w:rsid w:val="39647800"/>
    <w:rsid w:val="398F3C7C"/>
    <w:rsid w:val="399432C0"/>
    <w:rsid w:val="399F1EF8"/>
    <w:rsid w:val="39A3649C"/>
    <w:rsid w:val="39CD186A"/>
    <w:rsid w:val="39D3395B"/>
    <w:rsid w:val="39D709A6"/>
    <w:rsid w:val="39DA2903"/>
    <w:rsid w:val="39DE1D35"/>
    <w:rsid w:val="3A156AFE"/>
    <w:rsid w:val="3A461688"/>
    <w:rsid w:val="3A6F435C"/>
    <w:rsid w:val="3A9064FF"/>
    <w:rsid w:val="3A96323D"/>
    <w:rsid w:val="3AD9074E"/>
    <w:rsid w:val="3B0804BA"/>
    <w:rsid w:val="3B660234"/>
    <w:rsid w:val="3B984974"/>
    <w:rsid w:val="3C795D45"/>
    <w:rsid w:val="3C7E30BA"/>
    <w:rsid w:val="3CD25361"/>
    <w:rsid w:val="3D347473"/>
    <w:rsid w:val="3D400FA1"/>
    <w:rsid w:val="3D4A1818"/>
    <w:rsid w:val="3D5D48FB"/>
    <w:rsid w:val="3D9559C0"/>
    <w:rsid w:val="3DA57E9B"/>
    <w:rsid w:val="3DF106A8"/>
    <w:rsid w:val="3E4800C5"/>
    <w:rsid w:val="3E7919AB"/>
    <w:rsid w:val="3E88226F"/>
    <w:rsid w:val="3E9C5D1B"/>
    <w:rsid w:val="3EA51073"/>
    <w:rsid w:val="3EF67D02"/>
    <w:rsid w:val="3F010FE7"/>
    <w:rsid w:val="3F0833B0"/>
    <w:rsid w:val="3F5F4CCF"/>
    <w:rsid w:val="3F6525B0"/>
    <w:rsid w:val="3F6F42A9"/>
    <w:rsid w:val="3F7A2219"/>
    <w:rsid w:val="3FF86DBE"/>
    <w:rsid w:val="40141BC7"/>
    <w:rsid w:val="40214D11"/>
    <w:rsid w:val="40236A3A"/>
    <w:rsid w:val="40450345"/>
    <w:rsid w:val="40563C0B"/>
    <w:rsid w:val="40B01F51"/>
    <w:rsid w:val="40BC08F6"/>
    <w:rsid w:val="40F36398"/>
    <w:rsid w:val="412E25C9"/>
    <w:rsid w:val="41484E09"/>
    <w:rsid w:val="41607EC4"/>
    <w:rsid w:val="416367FB"/>
    <w:rsid w:val="4166503C"/>
    <w:rsid w:val="41836F1D"/>
    <w:rsid w:val="41954CFD"/>
    <w:rsid w:val="41BC5B41"/>
    <w:rsid w:val="41C53136"/>
    <w:rsid w:val="41C87C39"/>
    <w:rsid w:val="41C96B43"/>
    <w:rsid w:val="41F8595E"/>
    <w:rsid w:val="42347CF9"/>
    <w:rsid w:val="4242307D"/>
    <w:rsid w:val="424F5203"/>
    <w:rsid w:val="427664C2"/>
    <w:rsid w:val="42AE7D3A"/>
    <w:rsid w:val="42B1469C"/>
    <w:rsid w:val="42DE4B54"/>
    <w:rsid w:val="42E94F7C"/>
    <w:rsid w:val="435D6808"/>
    <w:rsid w:val="43A558A9"/>
    <w:rsid w:val="43B77122"/>
    <w:rsid w:val="43BA292A"/>
    <w:rsid w:val="43BC6413"/>
    <w:rsid w:val="43E45AF4"/>
    <w:rsid w:val="43F82ECA"/>
    <w:rsid w:val="443679F5"/>
    <w:rsid w:val="443C30D3"/>
    <w:rsid w:val="44623DBC"/>
    <w:rsid w:val="4484172B"/>
    <w:rsid w:val="44AB201A"/>
    <w:rsid w:val="44D107B7"/>
    <w:rsid w:val="451330CC"/>
    <w:rsid w:val="4518783B"/>
    <w:rsid w:val="453C5F9E"/>
    <w:rsid w:val="45681522"/>
    <w:rsid w:val="456E2EF8"/>
    <w:rsid w:val="45817B4F"/>
    <w:rsid w:val="459736E0"/>
    <w:rsid w:val="45CC24C4"/>
    <w:rsid w:val="45ED78ED"/>
    <w:rsid w:val="4642004E"/>
    <w:rsid w:val="4660675D"/>
    <w:rsid w:val="46674E60"/>
    <w:rsid w:val="46683089"/>
    <w:rsid w:val="46B36752"/>
    <w:rsid w:val="46C155FF"/>
    <w:rsid w:val="46F45FAF"/>
    <w:rsid w:val="473E5925"/>
    <w:rsid w:val="476741EB"/>
    <w:rsid w:val="47B96B4B"/>
    <w:rsid w:val="47CB2B77"/>
    <w:rsid w:val="47F70466"/>
    <w:rsid w:val="48065DB2"/>
    <w:rsid w:val="48185BA2"/>
    <w:rsid w:val="481F6669"/>
    <w:rsid w:val="48345CE6"/>
    <w:rsid w:val="48621A93"/>
    <w:rsid w:val="48635AF9"/>
    <w:rsid w:val="487E0FE7"/>
    <w:rsid w:val="48885A92"/>
    <w:rsid w:val="48AF6C91"/>
    <w:rsid w:val="48C5709F"/>
    <w:rsid w:val="49514E3C"/>
    <w:rsid w:val="4972319F"/>
    <w:rsid w:val="49F90908"/>
    <w:rsid w:val="49F91A85"/>
    <w:rsid w:val="4A4E5109"/>
    <w:rsid w:val="4A8E048D"/>
    <w:rsid w:val="4AAD09F1"/>
    <w:rsid w:val="4AB1135A"/>
    <w:rsid w:val="4ACC65DF"/>
    <w:rsid w:val="4B207C5E"/>
    <w:rsid w:val="4B6422B6"/>
    <w:rsid w:val="4B8025FD"/>
    <w:rsid w:val="4B9D1FFC"/>
    <w:rsid w:val="4BA14F5C"/>
    <w:rsid w:val="4BB26B7D"/>
    <w:rsid w:val="4BD0684C"/>
    <w:rsid w:val="4BE83DFC"/>
    <w:rsid w:val="4C1A0B36"/>
    <w:rsid w:val="4C342173"/>
    <w:rsid w:val="4C4D484F"/>
    <w:rsid w:val="4C55796F"/>
    <w:rsid w:val="4C625235"/>
    <w:rsid w:val="4CA02E7A"/>
    <w:rsid w:val="4CB614C5"/>
    <w:rsid w:val="4CEE03B5"/>
    <w:rsid w:val="4CF227BF"/>
    <w:rsid w:val="4CF626D0"/>
    <w:rsid w:val="4CFA4C80"/>
    <w:rsid w:val="4D2424A4"/>
    <w:rsid w:val="4D2D0FDC"/>
    <w:rsid w:val="4D8E1BF9"/>
    <w:rsid w:val="4D9E4CE9"/>
    <w:rsid w:val="4DBB52DD"/>
    <w:rsid w:val="4DF20539"/>
    <w:rsid w:val="4DFC4A28"/>
    <w:rsid w:val="4E0256F8"/>
    <w:rsid w:val="4E4F30C8"/>
    <w:rsid w:val="4E4F73B4"/>
    <w:rsid w:val="4E50267E"/>
    <w:rsid w:val="4E5D3049"/>
    <w:rsid w:val="4E6F7581"/>
    <w:rsid w:val="4E8B0864"/>
    <w:rsid w:val="4E8F31A6"/>
    <w:rsid w:val="4ED85325"/>
    <w:rsid w:val="4EDA771B"/>
    <w:rsid w:val="4EEA4880"/>
    <w:rsid w:val="4F7A317B"/>
    <w:rsid w:val="501B265E"/>
    <w:rsid w:val="509A7756"/>
    <w:rsid w:val="50FB388D"/>
    <w:rsid w:val="5106188B"/>
    <w:rsid w:val="512429D2"/>
    <w:rsid w:val="516D03A2"/>
    <w:rsid w:val="516D2907"/>
    <w:rsid w:val="51755DE7"/>
    <w:rsid w:val="518B7CBD"/>
    <w:rsid w:val="51D32AE5"/>
    <w:rsid w:val="52045C59"/>
    <w:rsid w:val="520A4D17"/>
    <w:rsid w:val="520F4F62"/>
    <w:rsid w:val="5217598C"/>
    <w:rsid w:val="522A3F92"/>
    <w:rsid w:val="52357A04"/>
    <w:rsid w:val="52373E8F"/>
    <w:rsid w:val="525536BD"/>
    <w:rsid w:val="52A44405"/>
    <w:rsid w:val="52A445CA"/>
    <w:rsid w:val="52E52FC3"/>
    <w:rsid w:val="52F14A71"/>
    <w:rsid w:val="53440388"/>
    <w:rsid w:val="53873AAE"/>
    <w:rsid w:val="53887714"/>
    <w:rsid w:val="53BC772E"/>
    <w:rsid w:val="53C438F2"/>
    <w:rsid w:val="53FB2F47"/>
    <w:rsid w:val="54017EEF"/>
    <w:rsid w:val="54283B07"/>
    <w:rsid w:val="543D1653"/>
    <w:rsid w:val="54506385"/>
    <w:rsid w:val="54B46D2D"/>
    <w:rsid w:val="54BF7B31"/>
    <w:rsid w:val="54EA346C"/>
    <w:rsid w:val="54F40207"/>
    <w:rsid w:val="5621502B"/>
    <w:rsid w:val="562C39D0"/>
    <w:rsid w:val="563B6719"/>
    <w:rsid w:val="5653730A"/>
    <w:rsid w:val="569F0011"/>
    <w:rsid w:val="570D3D70"/>
    <w:rsid w:val="57435B33"/>
    <w:rsid w:val="575625C6"/>
    <w:rsid w:val="57AA1051"/>
    <w:rsid w:val="57D72F77"/>
    <w:rsid w:val="57E271BB"/>
    <w:rsid w:val="58350A83"/>
    <w:rsid w:val="5847010F"/>
    <w:rsid w:val="593212FE"/>
    <w:rsid w:val="59481573"/>
    <w:rsid w:val="59487733"/>
    <w:rsid w:val="598915A6"/>
    <w:rsid w:val="59A95430"/>
    <w:rsid w:val="59D66702"/>
    <w:rsid w:val="5A1337D7"/>
    <w:rsid w:val="5A235F34"/>
    <w:rsid w:val="5A2F6381"/>
    <w:rsid w:val="5A556960"/>
    <w:rsid w:val="5A957D82"/>
    <w:rsid w:val="5AA62968"/>
    <w:rsid w:val="5B0B1E06"/>
    <w:rsid w:val="5B1D0CCB"/>
    <w:rsid w:val="5B206E0A"/>
    <w:rsid w:val="5B3D70C5"/>
    <w:rsid w:val="5B413A7A"/>
    <w:rsid w:val="5B4F313F"/>
    <w:rsid w:val="5B7D45EA"/>
    <w:rsid w:val="5BD20B76"/>
    <w:rsid w:val="5BD3011B"/>
    <w:rsid w:val="5BE11A56"/>
    <w:rsid w:val="5BF7509C"/>
    <w:rsid w:val="5C2917C9"/>
    <w:rsid w:val="5C855D12"/>
    <w:rsid w:val="5CE9261B"/>
    <w:rsid w:val="5D5D29FB"/>
    <w:rsid w:val="5D702B8B"/>
    <w:rsid w:val="5D75587B"/>
    <w:rsid w:val="5D7A6168"/>
    <w:rsid w:val="5D860856"/>
    <w:rsid w:val="5D871691"/>
    <w:rsid w:val="5DF43A30"/>
    <w:rsid w:val="5E1D67A5"/>
    <w:rsid w:val="5E6E536B"/>
    <w:rsid w:val="5EEB4428"/>
    <w:rsid w:val="5F2A261D"/>
    <w:rsid w:val="5F3C1128"/>
    <w:rsid w:val="5F433A8A"/>
    <w:rsid w:val="5F5B3C9A"/>
    <w:rsid w:val="5F5E1B86"/>
    <w:rsid w:val="5F816B3B"/>
    <w:rsid w:val="5F91367F"/>
    <w:rsid w:val="5F9B5C14"/>
    <w:rsid w:val="602D06A5"/>
    <w:rsid w:val="60316BD2"/>
    <w:rsid w:val="60680F20"/>
    <w:rsid w:val="608F2EE2"/>
    <w:rsid w:val="60C95589"/>
    <w:rsid w:val="61070925"/>
    <w:rsid w:val="612D4D53"/>
    <w:rsid w:val="615F317C"/>
    <w:rsid w:val="617050B9"/>
    <w:rsid w:val="61821BE5"/>
    <w:rsid w:val="61926DDD"/>
    <w:rsid w:val="61D53811"/>
    <w:rsid w:val="61DB29EC"/>
    <w:rsid w:val="62175534"/>
    <w:rsid w:val="621C6604"/>
    <w:rsid w:val="62297B44"/>
    <w:rsid w:val="623507B5"/>
    <w:rsid w:val="623B29A7"/>
    <w:rsid w:val="623B46F0"/>
    <w:rsid w:val="62540044"/>
    <w:rsid w:val="625B223E"/>
    <w:rsid w:val="625C7814"/>
    <w:rsid w:val="62615DE9"/>
    <w:rsid w:val="62683FE2"/>
    <w:rsid w:val="62C620F9"/>
    <w:rsid w:val="62C76F5B"/>
    <w:rsid w:val="62CB5959"/>
    <w:rsid w:val="636968FC"/>
    <w:rsid w:val="637C61F2"/>
    <w:rsid w:val="63CD1056"/>
    <w:rsid w:val="63FA79B0"/>
    <w:rsid w:val="64047999"/>
    <w:rsid w:val="642E1C76"/>
    <w:rsid w:val="64542A70"/>
    <w:rsid w:val="64923598"/>
    <w:rsid w:val="64970BAF"/>
    <w:rsid w:val="64A52D4B"/>
    <w:rsid w:val="64BE79CE"/>
    <w:rsid w:val="64DA4B01"/>
    <w:rsid w:val="64F27480"/>
    <w:rsid w:val="64F3678D"/>
    <w:rsid w:val="6535002F"/>
    <w:rsid w:val="657349E7"/>
    <w:rsid w:val="659C46CE"/>
    <w:rsid w:val="66257D34"/>
    <w:rsid w:val="66677466"/>
    <w:rsid w:val="666A0329"/>
    <w:rsid w:val="66BB1AFB"/>
    <w:rsid w:val="66E31E89"/>
    <w:rsid w:val="67053791"/>
    <w:rsid w:val="670B3B0B"/>
    <w:rsid w:val="6715560B"/>
    <w:rsid w:val="67252F07"/>
    <w:rsid w:val="67567318"/>
    <w:rsid w:val="67582877"/>
    <w:rsid w:val="67797A29"/>
    <w:rsid w:val="6792167D"/>
    <w:rsid w:val="67A91D7C"/>
    <w:rsid w:val="67BD350F"/>
    <w:rsid w:val="680846A1"/>
    <w:rsid w:val="683C5CF5"/>
    <w:rsid w:val="68534DEC"/>
    <w:rsid w:val="68F3424F"/>
    <w:rsid w:val="690B0DF4"/>
    <w:rsid w:val="6951757E"/>
    <w:rsid w:val="6967075D"/>
    <w:rsid w:val="69B522E8"/>
    <w:rsid w:val="69C51688"/>
    <w:rsid w:val="69C550B4"/>
    <w:rsid w:val="6A004C60"/>
    <w:rsid w:val="6A2829D5"/>
    <w:rsid w:val="6A2B09DC"/>
    <w:rsid w:val="6A6376B8"/>
    <w:rsid w:val="6A661836"/>
    <w:rsid w:val="6A7755A9"/>
    <w:rsid w:val="6A907DCE"/>
    <w:rsid w:val="6AA95198"/>
    <w:rsid w:val="6AD743F6"/>
    <w:rsid w:val="6AEC20B7"/>
    <w:rsid w:val="6B1D5CE2"/>
    <w:rsid w:val="6B357712"/>
    <w:rsid w:val="6B5269B3"/>
    <w:rsid w:val="6B8C3A28"/>
    <w:rsid w:val="6BB463E5"/>
    <w:rsid w:val="6BC2512C"/>
    <w:rsid w:val="6BED6C60"/>
    <w:rsid w:val="6BEE7306"/>
    <w:rsid w:val="6BFB42D8"/>
    <w:rsid w:val="6C0C555F"/>
    <w:rsid w:val="6C1D7BEB"/>
    <w:rsid w:val="6C4611A4"/>
    <w:rsid w:val="6C4B6506"/>
    <w:rsid w:val="6C561B1F"/>
    <w:rsid w:val="6C582321"/>
    <w:rsid w:val="6C6C2705"/>
    <w:rsid w:val="6C965D24"/>
    <w:rsid w:val="6CDF2429"/>
    <w:rsid w:val="6CF43042"/>
    <w:rsid w:val="6CFC73C8"/>
    <w:rsid w:val="6D1E4BE6"/>
    <w:rsid w:val="6D555865"/>
    <w:rsid w:val="6D70286F"/>
    <w:rsid w:val="6D9F6377"/>
    <w:rsid w:val="6DB93944"/>
    <w:rsid w:val="6DBC675B"/>
    <w:rsid w:val="6DC33A0D"/>
    <w:rsid w:val="6DD61BC7"/>
    <w:rsid w:val="6DDC0427"/>
    <w:rsid w:val="6E137010"/>
    <w:rsid w:val="6E283E10"/>
    <w:rsid w:val="6E3F4BB9"/>
    <w:rsid w:val="6E3F7887"/>
    <w:rsid w:val="6E40404E"/>
    <w:rsid w:val="6E424E4A"/>
    <w:rsid w:val="6E625D89"/>
    <w:rsid w:val="6E753F51"/>
    <w:rsid w:val="6E9F3C9F"/>
    <w:rsid w:val="6EA53DC8"/>
    <w:rsid w:val="6EE64C0C"/>
    <w:rsid w:val="6EF92FE2"/>
    <w:rsid w:val="6F101C89"/>
    <w:rsid w:val="6F20011E"/>
    <w:rsid w:val="6F2B6AD3"/>
    <w:rsid w:val="6F685621"/>
    <w:rsid w:val="6F8F49A6"/>
    <w:rsid w:val="6F9C2B61"/>
    <w:rsid w:val="6FDD555A"/>
    <w:rsid w:val="6FE211DA"/>
    <w:rsid w:val="6FEF22B2"/>
    <w:rsid w:val="700510C2"/>
    <w:rsid w:val="700649E3"/>
    <w:rsid w:val="700D7F77"/>
    <w:rsid w:val="702B672C"/>
    <w:rsid w:val="70905D38"/>
    <w:rsid w:val="709A71C8"/>
    <w:rsid w:val="70DC7D22"/>
    <w:rsid w:val="710E3FA6"/>
    <w:rsid w:val="71294435"/>
    <w:rsid w:val="712B5188"/>
    <w:rsid w:val="713779A1"/>
    <w:rsid w:val="71417B50"/>
    <w:rsid w:val="7153255C"/>
    <w:rsid w:val="716D47B4"/>
    <w:rsid w:val="71A010A2"/>
    <w:rsid w:val="71CF1988"/>
    <w:rsid w:val="726D5F3C"/>
    <w:rsid w:val="72777FE9"/>
    <w:rsid w:val="72E560B4"/>
    <w:rsid w:val="731D6723"/>
    <w:rsid w:val="73351248"/>
    <w:rsid w:val="733E0A28"/>
    <w:rsid w:val="735A0271"/>
    <w:rsid w:val="7386758A"/>
    <w:rsid w:val="73877CAB"/>
    <w:rsid w:val="73DD70BA"/>
    <w:rsid w:val="74233D30"/>
    <w:rsid w:val="74516218"/>
    <w:rsid w:val="745579AC"/>
    <w:rsid w:val="747D5A76"/>
    <w:rsid w:val="74957C20"/>
    <w:rsid w:val="74C36260"/>
    <w:rsid w:val="74EC67AF"/>
    <w:rsid w:val="750000AA"/>
    <w:rsid w:val="75743F4F"/>
    <w:rsid w:val="75834F63"/>
    <w:rsid w:val="759C7DD3"/>
    <w:rsid w:val="75B03D22"/>
    <w:rsid w:val="75D40186"/>
    <w:rsid w:val="75DF0C59"/>
    <w:rsid w:val="763D7A3F"/>
    <w:rsid w:val="765A0D7E"/>
    <w:rsid w:val="769A6A08"/>
    <w:rsid w:val="770E208A"/>
    <w:rsid w:val="770F7566"/>
    <w:rsid w:val="775B7CD8"/>
    <w:rsid w:val="77791ACE"/>
    <w:rsid w:val="778168EE"/>
    <w:rsid w:val="77B04456"/>
    <w:rsid w:val="77F65547"/>
    <w:rsid w:val="780D4FB8"/>
    <w:rsid w:val="78455FE5"/>
    <w:rsid w:val="785018A3"/>
    <w:rsid w:val="78516F03"/>
    <w:rsid w:val="7855420A"/>
    <w:rsid w:val="786E0A50"/>
    <w:rsid w:val="78C97718"/>
    <w:rsid w:val="793D609E"/>
    <w:rsid w:val="7941662A"/>
    <w:rsid w:val="796432FD"/>
    <w:rsid w:val="79786FBD"/>
    <w:rsid w:val="79816CAE"/>
    <w:rsid w:val="7987101F"/>
    <w:rsid w:val="79D008FA"/>
    <w:rsid w:val="7A101AB7"/>
    <w:rsid w:val="7A23582D"/>
    <w:rsid w:val="7AE30252"/>
    <w:rsid w:val="7B0F54EB"/>
    <w:rsid w:val="7B252618"/>
    <w:rsid w:val="7B291B29"/>
    <w:rsid w:val="7B3E72C4"/>
    <w:rsid w:val="7B64029B"/>
    <w:rsid w:val="7B7C6424"/>
    <w:rsid w:val="7BEF5FFA"/>
    <w:rsid w:val="7C163879"/>
    <w:rsid w:val="7C241CA2"/>
    <w:rsid w:val="7C442D20"/>
    <w:rsid w:val="7C581C2C"/>
    <w:rsid w:val="7C727ADF"/>
    <w:rsid w:val="7CA70F0B"/>
    <w:rsid w:val="7CC04412"/>
    <w:rsid w:val="7D07647A"/>
    <w:rsid w:val="7D2D1C58"/>
    <w:rsid w:val="7D43322A"/>
    <w:rsid w:val="7D4C2687"/>
    <w:rsid w:val="7D6C22BD"/>
    <w:rsid w:val="7D6C452F"/>
    <w:rsid w:val="7D90323E"/>
    <w:rsid w:val="7DA74646"/>
    <w:rsid w:val="7DCC7515"/>
    <w:rsid w:val="7DE01D7D"/>
    <w:rsid w:val="7E0E7579"/>
    <w:rsid w:val="7E55237B"/>
    <w:rsid w:val="7EAC4F2D"/>
    <w:rsid w:val="7ED74932"/>
    <w:rsid w:val="7EE032BD"/>
    <w:rsid w:val="7EE37ECB"/>
    <w:rsid w:val="7EE477AF"/>
    <w:rsid w:val="7F146F18"/>
    <w:rsid w:val="7F1B26B0"/>
    <w:rsid w:val="7F324E44"/>
    <w:rsid w:val="7F632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3">
    <w:name w:val="heading 1"/>
    <w:basedOn w:val="1"/>
    <w:next w:val="1"/>
    <w:link w:val="60"/>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61"/>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62"/>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63"/>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4"/>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5"/>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6"/>
    <w:semiHidden/>
    <w:unhideWhenUsed/>
    <w:qFormat/>
    <w:uiPriority w:val="9"/>
    <w:pPr>
      <w:numPr>
        <w:ilvl w:val="6"/>
        <w:numId w:val="1"/>
      </w:numPr>
      <w:spacing w:before="240" w:after="60"/>
      <w:outlineLvl w:val="6"/>
    </w:pPr>
  </w:style>
  <w:style w:type="paragraph" w:styleId="9">
    <w:name w:val="heading 8"/>
    <w:basedOn w:val="1"/>
    <w:next w:val="1"/>
    <w:link w:val="67"/>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8"/>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Document Map"/>
    <w:basedOn w:val="1"/>
    <w:link w:val="92"/>
    <w:semiHidden/>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84"/>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57"/>
    <w:semiHidden/>
    <w:unhideWhenUsed/>
    <w:qFormat/>
    <w:uiPriority w:val="99"/>
    <w:pPr>
      <w:ind w:left="100" w:leftChars="2500"/>
    </w:pPr>
  </w:style>
  <w:style w:type="paragraph" w:styleId="18">
    <w:name w:val="Balloon Text"/>
    <w:basedOn w:val="1"/>
    <w:link w:val="83"/>
    <w:semiHidden/>
    <w:unhideWhenUsed/>
    <w:qFormat/>
    <w:uiPriority w:val="99"/>
    <w:rPr>
      <w:sz w:val="18"/>
      <w:szCs w:val="18"/>
    </w:rPr>
  </w:style>
  <w:style w:type="paragraph" w:styleId="19">
    <w:name w:val="footer"/>
    <w:basedOn w:val="1"/>
    <w:link w:val="59"/>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8"/>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70"/>
    <w:qFormat/>
    <w:uiPriority w:val="11"/>
    <w:pPr>
      <w:keepNext/>
      <w:spacing w:before="50" w:beforeLines="50" w:after="50" w:afterLines="50"/>
      <w:jc w:val="center"/>
      <w:outlineLvl w:val="1"/>
    </w:pPr>
    <w:rPr>
      <w:rFonts w:ascii="Calibri" w:hAnsi="Calibri" w:eastAsia="黑体" w:cstheme="majorBidi"/>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6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6">
    <w:name w:val="annotation subject"/>
    <w:basedOn w:val="14"/>
    <w:next w:val="14"/>
    <w:link w:val="91"/>
    <w:semiHidden/>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4">
    <w:name w:val="Emphasis"/>
    <w:basedOn w:val="30"/>
    <w:qFormat/>
    <w:uiPriority w:val="20"/>
    <w:rPr>
      <w:rFonts w:asciiTheme="minorHAnsi" w:hAnsiTheme="minorHAnsi"/>
      <w:b/>
      <w:i/>
      <w:iCs/>
    </w:rPr>
  </w:style>
  <w:style w:type="character" w:styleId="35">
    <w:name w:val="Hyperlink"/>
    <w:basedOn w:val="30"/>
    <w:unhideWhenUsed/>
    <w:qFormat/>
    <w:uiPriority w:val="99"/>
    <w:rPr>
      <w:color w:val="0563C1" w:themeColor="hyperlink"/>
      <w:u w:val="single"/>
      <w14:textFill>
        <w14:solidFill>
          <w14:schemeClr w14:val="hlink"/>
        </w14:solidFill>
      </w14:textFill>
    </w:rPr>
  </w:style>
  <w:style w:type="character" w:styleId="36">
    <w:name w:val="annotation reference"/>
    <w:basedOn w:val="30"/>
    <w:semiHidden/>
    <w:unhideWhenUsed/>
    <w:qFormat/>
    <w:uiPriority w:val="99"/>
    <w:rPr>
      <w:sz w:val="21"/>
      <w:szCs w:val="21"/>
    </w:rPr>
  </w:style>
  <w:style w:type="paragraph" w:customStyle="1" w:styleId="37">
    <w:name w:val="※封面大标题"/>
    <w:basedOn w:val="1"/>
    <w:next w:val="1"/>
    <w:qFormat/>
    <w:uiPriority w:val="0"/>
    <w:pPr>
      <w:jc w:val="center"/>
    </w:pPr>
    <w:rPr>
      <w:rFonts w:ascii="华文中宋" w:hAnsi="华文中宋" w:eastAsia="华文中宋"/>
      <w:sz w:val="96"/>
      <w:szCs w:val="96"/>
    </w:rPr>
  </w:style>
  <w:style w:type="paragraph" w:customStyle="1" w:styleId="38">
    <w:name w:val="※封面题颌"/>
    <w:basedOn w:val="1"/>
    <w:next w:val="1"/>
    <w:qFormat/>
    <w:uiPriority w:val="0"/>
    <w:pPr>
      <w:jc w:val="center"/>
    </w:pPr>
    <w:rPr>
      <w:rFonts w:ascii="Calibri Light" w:hAnsi="Calibri Light" w:eastAsia="华文仿宋"/>
      <w:sz w:val="36"/>
      <w:szCs w:val="36"/>
    </w:rPr>
  </w:style>
  <w:style w:type="paragraph" w:customStyle="1" w:styleId="39">
    <w:name w:val="※封面题眉"/>
    <w:basedOn w:val="1"/>
    <w:next w:val="37"/>
    <w:qFormat/>
    <w:uiPriority w:val="0"/>
    <w:pPr>
      <w:jc w:val="center"/>
    </w:pPr>
    <w:rPr>
      <w:rFonts w:ascii="华文仿宋" w:hAnsi="华文仿宋" w:eastAsia="华文仿宋"/>
      <w:sz w:val="52"/>
      <w:szCs w:val="28"/>
    </w:rPr>
  </w:style>
  <w:style w:type="paragraph" w:customStyle="1" w:styleId="40">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41">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42">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43">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4">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5">
    <w:name w:val="※小标题 一"/>
    <w:basedOn w:val="44"/>
    <w:next w:val="44"/>
    <w:qFormat/>
    <w:uiPriority w:val="0"/>
    <w:pPr>
      <w:spacing w:before="120" w:line="240" w:lineRule="auto"/>
      <w:outlineLvl w:val="2"/>
    </w:pPr>
    <w:rPr>
      <w:b/>
      <w:color w:val="203864" w:themeColor="accent5" w:themeShade="80"/>
      <w:sz w:val="32"/>
    </w:rPr>
  </w:style>
  <w:style w:type="paragraph" w:customStyle="1" w:styleId="46">
    <w:name w:val="※小标题（1）"/>
    <w:basedOn w:val="1"/>
    <w:next w:val="44"/>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7">
    <w:name w:val="※小标题（一）"/>
    <w:basedOn w:val="1"/>
    <w:next w:val="44"/>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8">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9">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50">
    <w:name w:val="※页眉"/>
    <w:basedOn w:val="44"/>
    <w:qFormat/>
    <w:uiPriority w:val="0"/>
    <w:pPr>
      <w:pBdr>
        <w:bottom w:val="single" w:color="auto" w:sz="4" w:space="1"/>
      </w:pBdr>
      <w:spacing w:line="240" w:lineRule="atLeast"/>
      <w:jc w:val="right"/>
    </w:pPr>
    <w:rPr>
      <w:rFonts w:ascii="宋体" w:hAnsi="宋体" w:eastAsia="宋体"/>
      <w:sz w:val="18"/>
    </w:rPr>
  </w:style>
  <w:style w:type="paragraph" w:customStyle="1" w:styleId="51">
    <w:name w:val="※章节标题（第X章）"/>
    <w:basedOn w:val="1"/>
    <w:qFormat/>
    <w:uiPriority w:val="0"/>
    <w:pPr>
      <w:jc w:val="center"/>
      <w:outlineLvl w:val="0"/>
    </w:pPr>
    <w:rPr>
      <w:rFonts w:ascii="Calibri Light" w:hAnsi="Calibri Light" w:eastAsia="黑体"/>
      <w:sz w:val="36"/>
      <w:szCs w:val="28"/>
    </w:rPr>
  </w:style>
  <w:style w:type="paragraph" w:customStyle="1" w:styleId="52">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53">
    <w:name w:val="※章节标题（第Z部分分项）"/>
    <w:basedOn w:val="52"/>
    <w:qFormat/>
    <w:uiPriority w:val="0"/>
    <w:pPr>
      <w:outlineLvl w:val="2"/>
    </w:pPr>
  </w:style>
  <w:style w:type="paragraph" w:customStyle="1" w:styleId="54">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5">
    <w:name w:val="※正文（缩进2）"/>
    <w:basedOn w:val="44"/>
    <w:qFormat/>
    <w:uiPriority w:val="0"/>
    <w:pPr>
      <w:ind w:firstLine="200" w:firstLineChars="200"/>
    </w:pPr>
  </w:style>
  <w:style w:type="paragraph" w:customStyle="1" w:styleId="56">
    <w:name w:val="※正文（缩进4）"/>
    <w:basedOn w:val="44"/>
    <w:qFormat/>
    <w:uiPriority w:val="0"/>
    <w:pPr>
      <w:ind w:firstLine="400" w:firstLineChars="400"/>
    </w:pPr>
  </w:style>
  <w:style w:type="character" w:customStyle="1" w:styleId="57">
    <w:name w:val="日期 字符"/>
    <w:basedOn w:val="30"/>
    <w:link w:val="17"/>
    <w:semiHidden/>
    <w:qFormat/>
    <w:uiPriority w:val="99"/>
    <w:rPr>
      <w:rFonts w:ascii="华文仿宋" w:hAnsi="华文仿宋" w:eastAsia="华文仿宋"/>
      <w:sz w:val="28"/>
      <w:szCs w:val="28"/>
    </w:rPr>
  </w:style>
  <w:style w:type="character" w:customStyle="1" w:styleId="58">
    <w:name w:val="页眉 字符"/>
    <w:basedOn w:val="30"/>
    <w:link w:val="20"/>
    <w:qFormat/>
    <w:uiPriority w:val="0"/>
    <w:rPr>
      <w:rFonts w:ascii="华文仿宋" w:hAnsi="华文仿宋" w:eastAsia="华文仿宋"/>
      <w:sz w:val="18"/>
      <w:szCs w:val="18"/>
    </w:rPr>
  </w:style>
  <w:style w:type="character" w:customStyle="1" w:styleId="59">
    <w:name w:val="页脚 字符"/>
    <w:basedOn w:val="30"/>
    <w:link w:val="19"/>
    <w:qFormat/>
    <w:uiPriority w:val="99"/>
    <w:rPr>
      <w:rFonts w:ascii="华文仿宋" w:hAnsi="华文仿宋" w:eastAsia="华文仿宋"/>
      <w:sz w:val="18"/>
      <w:szCs w:val="18"/>
    </w:rPr>
  </w:style>
  <w:style w:type="character" w:customStyle="1" w:styleId="60">
    <w:name w:val="标题 1 字符"/>
    <w:basedOn w:val="30"/>
    <w:link w:val="3"/>
    <w:qFormat/>
    <w:uiPriority w:val="9"/>
    <w:rPr>
      <w:rFonts w:ascii="方正小标宋_GBK" w:hAnsi="仿宋" w:eastAsia="方正小标宋_GBK"/>
      <w:sz w:val="44"/>
      <w:szCs w:val="44"/>
    </w:rPr>
  </w:style>
  <w:style w:type="character" w:customStyle="1" w:styleId="61">
    <w:name w:val="标题 2 字符"/>
    <w:basedOn w:val="30"/>
    <w:link w:val="4"/>
    <w:qFormat/>
    <w:uiPriority w:val="9"/>
    <w:rPr>
      <w:rFonts w:ascii="楷体" w:hAnsi="楷体" w:eastAsia="黑体"/>
      <w:sz w:val="32"/>
      <w:szCs w:val="32"/>
    </w:rPr>
  </w:style>
  <w:style w:type="character" w:customStyle="1" w:styleId="62">
    <w:name w:val="标题 3 字符"/>
    <w:basedOn w:val="30"/>
    <w:link w:val="5"/>
    <w:qFormat/>
    <w:uiPriority w:val="9"/>
    <w:rPr>
      <w:rFonts w:ascii="方正小标宋_GBK" w:hAnsi="仿宋" w:eastAsia="方正小标宋_GBK"/>
      <w:sz w:val="36"/>
      <w:szCs w:val="36"/>
    </w:rPr>
  </w:style>
  <w:style w:type="character" w:customStyle="1" w:styleId="63">
    <w:name w:val="标题 4 字符"/>
    <w:basedOn w:val="30"/>
    <w:link w:val="2"/>
    <w:semiHidden/>
    <w:qFormat/>
    <w:uiPriority w:val="9"/>
    <w:rPr>
      <w:rFonts w:cstheme="majorBidi"/>
      <w:b/>
      <w:bCs/>
      <w:sz w:val="28"/>
      <w:szCs w:val="28"/>
    </w:rPr>
  </w:style>
  <w:style w:type="character" w:customStyle="1" w:styleId="64">
    <w:name w:val="标题 5 字符"/>
    <w:basedOn w:val="30"/>
    <w:link w:val="6"/>
    <w:semiHidden/>
    <w:qFormat/>
    <w:uiPriority w:val="9"/>
    <w:rPr>
      <w:b/>
      <w:bCs/>
      <w:i/>
      <w:iCs/>
      <w:sz w:val="26"/>
      <w:szCs w:val="26"/>
    </w:rPr>
  </w:style>
  <w:style w:type="character" w:customStyle="1" w:styleId="65">
    <w:name w:val="标题 6 字符"/>
    <w:basedOn w:val="30"/>
    <w:link w:val="7"/>
    <w:semiHidden/>
    <w:qFormat/>
    <w:uiPriority w:val="9"/>
    <w:rPr>
      <w:rFonts w:cstheme="majorBidi"/>
      <w:b/>
      <w:bCs/>
    </w:rPr>
  </w:style>
  <w:style w:type="character" w:customStyle="1" w:styleId="66">
    <w:name w:val="标题 7 字符"/>
    <w:basedOn w:val="30"/>
    <w:link w:val="8"/>
    <w:semiHidden/>
    <w:qFormat/>
    <w:uiPriority w:val="9"/>
    <w:rPr>
      <w:sz w:val="24"/>
      <w:szCs w:val="24"/>
    </w:rPr>
  </w:style>
  <w:style w:type="character" w:customStyle="1" w:styleId="67">
    <w:name w:val="标题 8 字符"/>
    <w:basedOn w:val="30"/>
    <w:link w:val="9"/>
    <w:semiHidden/>
    <w:qFormat/>
    <w:uiPriority w:val="9"/>
    <w:rPr>
      <w:rFonts w:cstheme="majorBidi"/>
      <w:i/>
      <w:iCs/>
      <w:sz w:val="24"/>
      <w:szCs w:val="24"/>
    </w:rPr>
  </w:style>
  <w:style w:type="character" w:customStyle="1" w:styleId="68">
    <w:name w:val="标题 9 字符"/>
    <w:basedOn w:val="30"/>
    <w:link w:val="10"/>
    <w:semiHidden/>
    <w:qFormat/>
    <w:uiPriority w:val="9"/>
    <w:rPr>
      <w:rFonts w:asciiTheme="majorHAnsi" w:hAnsiTheme="majorHAnsi" w:eastAsiaTheme="majorEastAsia" w:cstheme="majorBidi"/>
    </w:rPr>
  </w:style>
  <w:style w:type="character" w:customStyle="1" w:styleId="69">
    <w:name w:val="标题 字符"/>
    <w:basedOn w:val="30"/>
    <w:link w:val="25"/>
    <w:qFormat/>
    <w:uiPriority w:val="10"/>
    <w:rPr>
      <w:rFonts w:asciiTheme="majorHAnsi" w:hAnsiTheme="majorHAnsi" w:eastAsiaTheme="majorEastAsia" w:cstheme="majorBidi"/>
      <w:b/>
      <w:bCs/>
      <w:kern w:val="28"/>
      <w:sz w:val="32"/>
      <w:szCs w:val="32"/>
    </w:rPr>
  </w:style>
  <w:style w:type="character" w:customStyle="1" w:styleId="70">
    <w:name w:val="副标题 字符"/>
    <w:basedOn w:val="30"/>
    <w:link w:val="22"/>
    <w:qFormat/>
    <w:uiPriority w:val="11"/>
    <w:rPr>
      <w:rFonts w:ascii="Calibri" w:hAnsi="Calibri" w:eastAsia="黑体" w:cstheme="majorBidi"/>
      <w:sz w:val="32"/>
      <w:szCs w:val="24"/>
    </w:rPr>
  </w:style>
  <w:style w:type="paragraph" w:styleId="71">
    <w:name w:val="No Spacing"/>
    <w:basedOn w:val="1"/>
    <w:qFormat/>
    <w:uiPriority w:val="1"/>
    <w:rPr>
      <w:szCs w:val="32"/>
    </w:rPr>
  </w:style>
  <w:style w:type="paragraph" w:styleId="72">
    <w:name w:val="List Paragraph"/>
    <w:basedOn w:val="1"/>
    <w:qFormat/>
    <w:uiPriority w:val="0"/>
    <w:pPr>
      <w:ind w:left="720"/>
      <w:contextualSpacing/>
    </w:pPr>
  </w:style>
  <w:style w:type="paragraph" w:styleId="73">
    <w:name w:val="Quote"/>
    <w:basedOn w:val="1"/>
    <w:next w:val="1"/>
    <w:link w:val="74"/>
    <w:qFormat/>
    <w:uiPriority w:val="29"/>
    <w:rPr>
      <w:i/>
    </w:rPr>
  </w:style>
  <w:style w:type="character" w:customStyle="1" w:styleId="74">
    <w:name w:val="引用 字符"/>
    <w:basedOn w:val="30"/>
    <w:link w:val="73"/>
    <w:qFormat/>
    <w:uiPriority w:val="29"/>
    <w:rPr>
      <w:i/>
      <w:sz w:val="24"/>
      <w:szCs w:val="24"/>
    </w:rPr>
  </w:style>
  <w:style w:type="paragraph" w:styleId="75">
    <w:name w:val="Intense Quote"/>
    <w:basedOn w:val="1"/>
    <w:next w:val="1"/>
    <w:link w:val="76"/>
    <w:qFormat/>
    <w:uiPriority w:val="30"/>
    <w:pPr>
      <w:ind w:left="720" w:right="720"/>
    </w:pPr>
    <w:rPr>
      <w:b/>
      <w:i/>
      <w:szCs w:val="22"/>
    </w:rPr>
  </w:style>
  <w:style w:type="character" w:customStyle="1" w:styleId="76">
    <w:name w:val="明显引用 字符"/>
    <w:basedOn w:val="30"/>
    <w:link w:val="75"/>
    <w:qFormat/>
    <w:uiPriority w:val="30"/>
    <w:rPr>
      <w:b/>
      <w:i/>
      <w:sz w:val="24"/>
    </w:rPr>
  </w:style>
  <w:style w:type="character" w:customStyle="1" w:styleId="77">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8">
    <w:name w:val="Intense Emphasis"/>
    <w:basedOn w:val="30"/>
    <w:qFormat/>
    <w:uiPriority w:val="21"/>
    <w:rPr>
      <w:b/>
      <w:i/>
      <w:sz w:val="24"/>
      <w:szCs w:val="24"/>
      <w:u w:val="single"/>
    </w:rPr>
  </w:style>
  <w:style w:type="character" w:customStyle="1" w:styleId="79">
    <w:name w:val="Subtle Reference"/>
    <w:basedOn w:val="30"/>
    <w:qFormat/>
    <w:uiPriority w:val="31"/>
    <w:rPr>
      <w:sz w:val="24"/>
      <w:szCs w:val="24"/>
      <w:u w:val="single"/>
    </w:rPr>
  </w:style>
  <w:style w:type="character" w:customStyle="1" w:styleId="80">
    <w:name w:val="Intense Reference"/>
    <w:basedOn w:val="30"/>
    <w:qFormat/>
    <w:uiPriority w:val="32"/>
    <w:rPr>
      <w:b/>
      <w:sz w:val="24"/>
      <w:u w:val="single"/>
    </w:rPr>
  </w:style>
  <w:style w:type="character" w:customStyle="1" w:styleId="81">
    <w:name w:val="Book Title"/>
    <w:basedOn w:val="30"/>
    <w:qFormat/>
    <w:uiPriority w:val="33"/>
    <w:rPr>
      <w:rFonts w:asciiTheme="majorHAnsi" w:hAnsiTheme="majorHAnsi" w:eastAsiaTheme="majorEastAsia"/>
      <w:b/>
      <w:i/>
      <w:sz w:val="24"/>
      <w:szCs w:val="24"/>
    </w:rPr>
  </w:style>
  <w:style w:type="paragraph" w:customStyle="1" w:styleId="82">
    <w:name w:val="TOC Heading"/>
    <w:basedOn w:val="3"/>
    <w:next w:val="1"/>
    <w:semiHidden/>
    <w:unhideWhenUsed/>
    <w:qFormat/>
    <w:uiPriority w:val="39"/>
    <w:pPr>
      <w:outlineLvl w:val="9"/>
    </w:pPr>
  </w:style>
  <w:style w:type="character" w:customStyle="1" w:styleId="83">
    <w:name w:val="批注框文本 字符"/>
    <w:basedOn w:val="30"/>
    <w:link w:val="18"/>
    <w:semiHidden/>
    <w:qFormat/>
    <w:uiPriority w:val="99"/>
    <w:rPr>
      <w:sz w:val="18"/>
      <w:szCs w:val="18"/>
    </w:rPr>
  </w:style>
  <w:style w:type="character" w:customStyle="1" w:styleId="84">
    <w:name w:val="批注文字 字符"/>
    <w:basedOn w:val="30"/>
    <w:link w:val="14"/>
    <w:qFormat/>
    <w:uiPriority w:val="99"/>
    <w:rPr>
      <w:rFonts w:ascii="Calibri Light" w:hAnsi="Calibri Light" w:eastAsia="华文仿宋" w:cs="Calibri Light"/>
      <w:kern w:val="2"/>
      <w:sz w:val="28"/>
      <w:szCs w:val="28"/>
    </w:rPr>
  </w:style>
  <w:style w:type="paragraph" w:customStyle="1" w:styleId="85">
    <w:name w:val="@正文"/>
    <w:basedOn w:val="44"/>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6">
    <w:name w:val="@一级小标题"/>
    <w:basedOn w:val="1"/>
    <w:next w:val="85"/>
    <w:qFormat/>
    <w:uiPriority w:val="0"/>
    <w:pPr>
      <w:keepNext/>
      <w:spacing w:before="120" w:after="60"/>
      <w:outlineLvl w:val="2"/>
    </w:pPr>
    <w:rPr>
      <w:rFonts w:ascii="Calibri" w:hAnsi="Calibri" w:eastAsia="黑体"/>
      <w:kern w:val="28"/>
      <w:sz w:val="28"/>
    </w:rPr>
  </w:style>
  <w:style w:type="paragraph" w:customStyle="1" w:styleId="87">
    <w:name w:val="@标题"/>
    <w:basedOn w:val="1"/>
    <w:next w:val="85"/>
    <w:qFormat/>
    <w:uiPriority w:val="0"/>
    <w:pPr>
      <w:keepNext/>
      <w:spacing w:before="50" w:beforeLines="50" w:after="50" w:afterLines="50"/>
      <w:jc w:val="center"/>
      <w:outlineLvl w:val="1"/>
    </w:pPr>
    <w:rPr>
      <w:rFonts w:ascii="Calibri" w:hAnsi="Calibri" w:eastAsia="黑体"/>
      <w:kern w:val="32"/>
      <w:sz w:val="32"/>
    </w:rPr>
  </w:style>
  <w:style w:type="table" w:customStyle="1" w:styleId="88">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页眉 Char1"/>
    <w:basedOn w:val="30"/>
    <w:semiHidden/>
    <w:qFormat/>
    <w:uiPriority w:val="99"/>
    <w:rPr>
      <w:rFonts w:cs="Calibri Light"/>
      <w:sz w:val="18"/>
      <w:szCs w:val="18"/>
    </w:rPr>
  </w:style>
  <w:style w:type="character" w:customStyle="1" w:styleId="90">
    <w:name w:val="页脚 Char1"/>
    <w:basedOn w:val="30"/>
    <w:semiHidden/>
    <w:qFormat/>
    <w:uiPriority w:val="99"/>
    <w:rPr>
      <w:rFonts w:cs="Calibri Light"/>
      <w:sz w:val="18"/>
      <w:szCs w:val="18"/>
    </w:rPr>
  </w:style>
  <w:style w:type="character" w:customStyle="1" w:styleId="91">
    <w:name w:val="批注主题 字符"/>
    <w:basedOn w:val="84"/>
    <w:link w:val="26"/>
    <w:semiHidden/>
    <w:qFormat/>
    <w:uiPriority w:val="99"/>
    <w:rPr>
      <w:rFonts w:ascii="Calibri Light" w:hAnsi="Calibri Light" w:eastAsia="华文仿宋" w:cs="Calibri Light"/>
      <w:b/>
      <w:bCs/>
      <w:kern w:val="2"/>
      <w:sz w:val="28"/>
      <w:szCs w:val="28"/>
    </w:rPr>
  </w:style>
  <w:style w:type="character" w:customStyle="1" w:styleId="92">
    <w:name w:val="文档结构图 字符"/>
    <w:basedOn w:val="30"/>
    <w:link w:val="13"/>
    <w:semiHidden/>
    <w:qFormat/>
    <w:uiPriority w:val="99"/>
    <w:rPr>
      <w:rFonts w:ascii="宋体" w:hAnsi="Calibri Light" w:eastAsia="宋体" w:cs="Calibri Light"/>
      <w:kern w:val="2"/>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semiHidden/>
    <w:unhideWhenUsed/>
    <w:qFormat/>
    <w:uiPriority w:val="99"/>
    <w:rPr>
      <w:color w:val="605E5C"/>
      <w:shd w:val="clear" w:color="auto" w:fill="E1DFDD"/>
    </w:rPr>
  </w:style>
  <w:style w:type="paragraph" w:customStyle="1" w:styleId="95">
    <w:name w:val="样式1"/>
    <w:basedOn w:val="5"/>
    <w:link w:val="97"/>
    <w:qFormat/>
    <w:uiPriority w:val="0"/>
    <w:pPr>
      <w:jc w:val="left"/>
    </w:pPr>
    <w:rPr>
      <w:rFonts w:eastAsia="楷体"/>
      <w:sz w:val="32"/>
    </w:rPr>
  </w:style>
  <w:style w:type="paragraph" w:customStyle="1" w:styleId="96">
    <w:name w:val="样式2"/>
    <w:basedOn w:val="87"/>
    <w:link w:val="99"/>
    <w:qFormat/>
    <w:uiPriority w:val="0"/>
    <w:pPr>
      <w:spacing w:line="560" w:lineRule="exact"/>
      <w:ind w:firstLine="643" w:firstLineChars="200"/>
      <w:jc w:val="both"/>
    </w:pPr>
    <w:rPr>
      <w:rFonts w:ascii="仿宋_GB2312" w:hAnsi="仿宋" w:eastAsia="仿宋_GB2312"/>
      <w:b/>
      <w:bCs/>
      <w:szCs w:val="32"/>
    </w:rPr>
  </w:style>
  <w:style w:type="character" w:customStyle="1" w:styleId="97">
    <w:name w:val="样式1 字符"/>
    <w:basedOn w:val="61"/>
    <w:link w:val="95"/>
    <w:qFormat/>
    <w:uiPriority w:val="0"/>
    <w:rPr>
      <w:rFonts w:ascii="方正小标宋_GBK" w:hAnsi="仿宋" w:eastAsia="楷体"/>
      <w:sz w:val="32"/>
      <w:szCs w:val="36"/>
    </w:rPr>
  </w:style>
  <w:style w:type="paragraph" w:customStyle="1" w:styleId="98">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99">
    <w:name w:val="样式2 字符"/>
    <w:basedOn w:val="30"/>
    <w:link w:val="96"/>
    <w:qFormat/>
    <w:uiPriority w:val="0"/>
    <w:rPr>
      <w:rFonts w:ascii="仿宋_GB2312" w:hAnsi="仿宋" w:eastAsia="仿宋_GB2312"/>
      <w:b/>
      <w:bCs/>
      <w:kern w:val="32"/>
      <w:sz w:val="32"/>
      <w:szCs w:val="32"/>
    </w:rPr>
  </w:style>
  <w:style w:type="character" w:customStyle="1" w:styleId="100">
    <w:name w:val="样式3 字符"/>
    <w:basedOn w:val="30"/>
    <w:link w:val="98"/>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paragraph" w:customStyle="1" w:styleId="108">
    <w:name w:val="Table Text"/>
    <w:basedOn w:val="1"/>
    <w:semiHidden/>
    <w:qFormat/>
    <w:uiPriority w:val="0"/>
    <w:rPr>
      <w:rFonts w:ascii="宋体" w:hAnsi="宋体" w:eastAsia="宋体" w:cs="宋体"/>
      <w:sz w:val="24"/>
      <w:szCs w:val="24"/>
      <w:lang w:val="en-US" w:eastAsia="en-US" w:bidi="ar-SA"/>
    </w:rPr>
  </w:style>
  <w:style w:type="table" w:customStyle="1" w:styleId="109">
    <w:name w:val="Table Normal"/>
    <w:semiHidden/>
    <w:unhideWhenUsed/>
    <w:qFormat/>
    <w:uiPriority w:val="0"/>
    <w:tblPr>
      <w:tblCellMar>
        <w:top w:w="0" w:type="dxa"/>
        <w:left w:w="0" w:type="dxa"/>
        <w:bottom w:w="0" w:type="dxa"/>
        <w:right w:w="0" w:type="dxa"/>
      </w:tblCellMar>
    </w:tblPr>
  </w:style>
  <w:style w:type="paragraph" w:customStyle="1" w:styleId="110">
    <w:name w:val="样式 首行缩进:  2 字符"/>
    <w:basedOn w:val="1"/>
    <w:qFormat/>
    <w:uiPriority w:val="0"/>
    <w:pPr>
      <w:spacing w:line="400" w:lineRule="exact"/>
      <w:ind w:firstLine="200" w:firstLineChars="200"/>
    </w:pPr>
    <w:rPr>
      <w:rFonts w:cs="宋体"/>
      <w:sz w:val="24"/>
      <w:szCs w:val="24"/>
    </w:rPr>
  </w:style>
  <w:style w:type="character" w:customStyle="1" w:styleId="111">
    <w:name w:val="NormalCharacter"/>
    <w:qFormat/>
    <w:uiPriority w:val="0"/>
    <w:rPr>
      <w:rFonts w:ascii="Times New Roman" w:hAnsi="Times New Roman" w:eastAsia="宋体" w:cs="Times New Roman"/>
    </w:rPr>
  </w:style>
  <w:style w:type="character" w:customStyle="1" w:styleId="112">
    <w:name w:val="font101"/>
    <w:basedOn w:val="30"/>
    <w:qFormat/>
    <w:uiPriority w:val="0"/>
    <w:rPr>
      <w:rFonts w:hint="eastAsia" w:ascii="宋体" w:hAnsi="宋体" w:eastAsia="宋体" w:cs="宋体"/>
      <w:b/>
      <w:bCs/>
      <w:color w:val="000000"/>
      <w:sz w:val="21"/>
      <w:szCs w:val="21"/>
      <w:u w:val="none"/>
    </w:rPr>
  </w:style>
  <w:style w:type="character" w:customStyle="1" w:styleId="113">
    <w:name w:val="font41"/>
    <w:basedOn w:val="30"/>
    <w:qFormat/>
    <w:uiPriority w:val="0"/>
    <w:rPr>
      <w:rFonts w:hint="default" w:ascii="Times New Roman" w:hAnsi="Times New Roman" w:cs="Times New Roman"/>
      <w:b/>
      <w:bCs/>
      <w:color w:val="000000"/>
      <w:sz w:val="21"/>
      <w:szCs w:val="21"/>
      <w:u w:val="none"/>
    </w:rPr>
  </w:style>
  <w:style w:type="character" w:customStyle="1" w:styleId="114">
    <w:name w:val="font31"/>
    <w:basedOn w:val="30"/>
    <w:qFormat/>
    <w:uiPriority w:val="0"/>
    <w:rPr>
      <w:rFonts w:hint="eastAsia" w:ascii="宋体" w:hAnsi="宋体" w:eastAsia="宋体" w:cs="宋体"/>
      <w:color w:val="000000"/>
      <w:sz w:val="18"/>
      <w:szCs w:val="18"/>
      <w:u w:val="none"/>
    </w:rPr>
  </w:style>
  <w:style w:type="character" w:customStyle="1" w:styleId="115">
    <w:name w:val="font21"/>
    <w:basedOn w:val="30"/>
    <w:qFormat/>
    <w:uiPriority w:val="0"/>
    <w:rPr>
      <w:rFonts w:hint="eastAsia" w:ascii="宋体" w:hAnsi="宋体" w:eastAsia="宋体" w:cs="宋体"/>
      <w:color w:val="000000"/>
      <w:sz w:val="20"/>
      <w:szCs w:val="20"/>
      <w:u w:val="none"/>
    </w:rPr>
  </w:style>
  <w:style w:type="character" w:customStyle="1" w:styleId="116">
    <w:name w:val="font61"/>
    <w:basedOn w:val="30"/>
    <w:qFormat/>
    <w:uiPriority w:val="0"/>
    <w:rPr>
      <w:rFonts w:ascii="Symbol" w:hAnsi="Symbol" w:cs="Symbol"/>
      <w:color w:val="000000"/>
      <w:sz w:val="20"/>
      <w:szCs w:val="20"/>
      <w:u w:val="none"/>
    </w:rPr>
  </w:style>
  <w:style w:type="character" w:customStyle="1" w:styleId="117">
    <w:name w:val="font11"/>
    <w:basedOn w:val="3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823A8D-A678-4E48-B7B4-2C97FA0C4A89}">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152</Pages>
  <Words>6710</Words>
  <Characters>7551</Characters>
  <Lines>1035</Lines>
  <Paragraphs>716</Paragraphs>
  <TotalTime>0</TotalTime>
  <ScaleCrop>false</ScaleCrop>
  <LinksUpToDate>false</LinksUpToDate>
  <CharactersWithSpaces>7624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我在
丶等风</cp:lastModifiedBy>
  <cp:lastPrinted>2025-06-05T09:02:00Z</cp:lastPrinted>
  <dcterms:modified xsi:type="dcterms:W3CDTF">2025-07-16T05:49:59Z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2AD42F725ACB4463AC661D83E86A5049_13</vt:lpwstr>
  </property>
  <property fmtid="{D5CDD505-2E9C-101B-9397-08002B2CF9AE}" pid="4" name="KSOTemplateDocerSaveRecord">
    <vt:lpwstr>eyJoZGlkIjoiOGU1M2EwZjk1NzIzYThhYTZjMWFlMzBjNzk0ZDI2MDMiLCJ1c2VySWQiOiIzMjExNjMxODcifQ==</vt:lpwstr>
  </property>
</Properties>
</file>